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 w:firstLine="735" w:firstLineChars="245"/>
        <w:rPr>
          <w:rFonts w:ascii="宋体" w:hAnsi="宋体"/>
          <w:spacing w:val="2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bCs/>
          <w:spacing w:val="20"/>
          <w:sz w:val="30"/>
          <w:szCs w:val="30"/>
        </w:rPr>
        <w:t>湖北省幼儿园教师资格申请人员体检表</w:t>
      </w:r>
    </w:p>
    <w:p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2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</w:p>
          <w:p>
            <w:pPr>
              <w:rPr>
                <w:rFonts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>
            <w:pPr>
              <w:spacing w:afterLines="50"/>
              <w:ind w:firstLine="2374" w:firstLineChars="1126"/>
              <w:rPr>
                <w:rFonts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50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>
            <w:pPr>
              <w:rPr>
                <w:rFonts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spacing w:afterLines="50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</w:p>
          <w:p>
            <w:pPr>
              <w:spacing w:line="360" w:lineRule="auto"/>
              <w:ind w:firstLine="3971" w:firstLineChars="1890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71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Lines="50" w:line="360" w:lineRule="auto"/>
              <w:ind w:firstLine="3971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04ADB"/>
    <w:rsid w:val="66C04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2019-03-19T01:12:00Z</dcterms:created>
  <dc:creator>风满楼</dc:creator>
  <cp:lastModifiedBy>风满楼</cp:lastModifiedBy>
  <dcterms:modified xsi:type="dcterms:W3CDTF">2019-03-19T01:13:28Z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