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5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contextualSpacing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附件1：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ab/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640"/>
        <w:gridCol w:w="640"/>
        <w:gridCol w:w="798"/>
        <w:gridCol w:w="630"/>
        <w:gridCol w:w="615"/>
        <w:gridCol w:w="494"/>
        <w:gridCol w:w="680"/>
        <w:gridCol w:w="881"/>
        <w:gridCol w:w="579"/>
        <w:gridCol w:w="1656"/>
        <w:gridCol w:w="645"/>
        <w:gridCol w:w="3224"/>
        <w:gridCol w:w="873"/>
        <w:gridCol w:w="13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阳新县2024年度大学生乡村医生专项招聘工作人员岗位表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职位描述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其它条件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政策咨询电话及联系人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0" w:hRule="atLeast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阳新县卫生健康局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阳新县枫林镇卫生院、陶港镇卫生院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十二级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在村卫生室从事基本医疗卫生服务工作</w:t>
            </w:r>
          </w:p>
        </w:tc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：临床医学类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临床医学类、 中医学类、中西医结合类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临床医学、 中医学、中西医结合 </w:t>
            </w:r>
          </w:p>
        </w:tc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1988年元月1日及以后出生</w:t>
            </w: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按照大学生乡村医生专项计划招录的2023届高校毕业生，以及2020年新冠疫情以来通过“医学专业高校毕业生面试申请乡村医生执业注册政策”进入村卫生室工作，目前在乡镇卫生院(不含社区卫生服务中心和街道卫生院)一体化管理的村卫生室(不含社区卫生服务站)服务的大学生乡村医生。</w:t>
            </w:r>
          </w:p>
        </w:tc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基卫股：谈荣旺15072078399             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1、本岗位最低服务年限6年；2、出生年月以第二代有效居民身份证为准；3、专业科目目录参考教育部现行的专业目录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06F1A17-EA0E-4CEE-97DB-44775005C1B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14B13DC-731C-4FA5-B22B-04F588E5317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34EFAC0-717A-4954-A37D-45A4041C659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mMzYwZjJiMDhiY2I3Y2YxNmY4N2UyNDFlZGFhNWUifQ=="/>
  </w:docVars>
  <w:rsids>
    <w:rsidRoot w:val="52D630EC"/>
    <w:rsid w:val="52D6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2024-04-22T02:43:00Z</dcterms:created>
  <dc:creator>Dew lover</dc:creator>
  <cp:lastModifiedBy>Dew lover</cp:lastModifiedBy>
  <dcterms:modified xsi:type="dcterms:W3CDTF">2024-04-22T02:44:39Z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500181C2AD12499C979AC7121D79F72D_11</vt:lpwstr>
  </property>
</Properties>
</file>