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7DCD3">
      <w:pPr>
        <w:wordWrap w:val="0"/>
        <w:spacing w:before="660" w:line="580" w:lineRule="atLeast"/>
        <w:jc w:val="center"/>
        <w:textAlignment w:val="baseline"/>
        <w:rPr>
          <w:rFonts w:hint="eastAsia" w:ascii="宋体" w:hAnsi="宋体" w:eastAsia="宋体" w:cs="宋体"/>
          <w:b/>
          <w:color w:val="000000"/>
          <w:sz w:val="28"/>
        </w:rPr>
      </w:pPr>
      <w:bookmarkStart w:id="0" w:name="OLE_LINK1"/>
      <w:r>
        <w:rPr>
          <w:rFonts w:hint="eastAsia" w:ascii="宋体" w:hAnsi="宋体" w:eastAsia="宋体" w:cs="宋体"/>
          <w:b/>
          <w:color w:val="000000"/>
          <w:sz w:val="28"/>
        </w:rPr>
        <w:t>202</w:t>
      </w:r>
      <w:r>
        <w:rPr>
          <w:rFonts w:hint="eastAsia" w:ascii="宋体" w:hAnsi="宋体" w:eastAsia="宋体" w:cs="宋体"/>
          <w:b/>
          <w:color w:val="000000"/>
          <w:sz w:val="28"/>
          <w:lang w:val="en-US" w:eastAsia="zh-CN"/>
        </w:rPr>
        <w:t>6</w:t>
      </w:r>
      <w:r>
        <w:rPr>
          <w:rFonts w:hint="eastAsia" w:ascii="宋体" w:hAnsi="宋体" w:eastAsia="宋体" w:cs="宋体"/>
          <w:b/>
          <w:color w:val="000000"/>
          <w:sz w:val="28"/>
        </w:rPr>
        <w:t>年</w:t>
      </w:r>
      <w:r>
        <w:rPr>
          <w:rFonts w:hint="eastAsia" w:ascii="宋体" w:hAnsi="宋体" w:eastAsia="宋体" w:cs="宋体"/>
          <w:b/>
          <w:color w:val="000000"/>
          <w:sz w:val="28"/>
          <w:lang w:val="en-US" w:eastAsia="zh-CN"/>
        </w:rPr>
        <w:t>白沙镇人民政府部门</w:t>
      </w:r>
      <w:r>
        <w:rPr>
          <w:rFonts w:hint="eastAsia" w:ascii="宋体" w:hAnsi="宋体" w:eastAsia="宋体" w:cs="宋体"/>
          <w:b/>
          <w:color w:val="000000"/>
          <w:sz w:val="28"/>
        </w:rPr>
        <w:t>预算公开情况说明</w:t>
      </w:r>
    </w:p>
    <w:p w14:paraId="0B5A563D">
      <w:pPr>
        <w:wordWrap w:val="0"/>
        <w:spacing w:before="380" w:line="580" w:lineRule="atLeast"/>
        <w:ind w:left="2940" w:firstLine="1084" w:firstLineChars="300"/>
        <w:jc w:val="both"/>
        <w:textAlignment w:val="baseline"/>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目  录</w:t>
      </w:r>
    </w:p>
    <w:p w14:paraId="32FDA700">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一、部门主要职责</w:t>
      </w:r>
    </w:p>
    <w:p w14:paraId="363E830C">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二、机构设置情况</w:t>
      </w:r>
    </w:p>
    <w:p w14:paraId="4E40F9F4">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三、预算收支及增减变化情况</w:t>
      </w:r>
    </w:p>
    <w:p w14:paraId="4DF617BD">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四、机关运行经费安排情况</w:t>
      </w:r>
    </w:p>
    <w:p w14:paraId="0C6B8BA3">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五、一般公共预算“三公”经费及增减变化情况</w:t>
      </w:r>
    </w:p>
    <w:p w14:paraId="6853F2BA">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六、政府采购预算安排情况</w:t>
      </w:r>
    </w:p>
    <w:p w14:paraId="26590532">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七、国有资产占用情况</w:t>
      </w:r>
    </w:p>
    <w:p w14:paraId="2BC8CBF7">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八、重点项目预算绩效情况</w:t>
      </w:r>
    </w:p>
    <w:p w14:paraId="1B5E50D9">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九、其他需要说明的情况</w:t>
      </w:r>
    </w:p>
    <w:p w14:paraId="07C08A52">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 xml:space="preserve">十、专业名词解释 </w:t>
      </w:r>
    </w:p>
    <w:p w14:paraId="1808BA79">
      <w:pPr>
        <w:spacing w:line="360" w:lineRule="auto"/>
        <w:ind w:left="420" w:leftChars="200" w:firstLine="200"/>
        <w:jc w:val="left"/>
        <w:textAlignment w:val="baseline"/>
        <w:rPr>
          <w:rFonts w:hint="eastAsia" w:asciiTheme="minorEastAsia" w:hAnsiTheme="minorEastAsia"/>
          <w:b/>
          <w:sz w:val="28"/>
          <w:szCs w:val="28"/>
        </w:rPr>
      </w:pPr>
    </w:p>
    <w:p w14:paraId="1D5D5575">
      <w:pPr>
        <w:spacing w:line="360" w:lineRule="auto"/>
        <w:ind w:left="420" w:leftChars="200" w:firstLine="200"/>
        <w:jc w:val="left"/>
        <w:textAlignment w:val="baseline"/>
        <w:rPr>
          <w:rFonts w:hint="eastAsia" w:asciiTheme="minorEastAsia" w:hAnsiTheme="minorEastAsia"/>
          <w:b/>
          <w:sz w:val="28"/>
          <w:szCs w:val="28"/>
        </w:rPr>
      </w:pPr>
    </w:p>
    <w:p w14:paraId="1234DA1A">
      <w:pPr>
        <w:spacing w:line="360" w:lineRule="auto"/>
        <w:ind w:left="420" w:leftChars="200" w:firstLine="200"/>
        <w:jc w:val="left"/>
        <w:textAlignment w:val="baseline"/>
        <w:rPr>
          <w:rFonts w:hint="eastAsia" w:asciiTheme="minorEastAsia" w:hAnsiTheme="minorEastAsia"/>
          <w:b/>
          <w:sz w:val="28"/>
          <w:szCs w:val="28"/>
        </w:rPr>
      </w:pPr>
    </w:p>
    <w:p w14:paraId="122C1241">
      <w:pPr>
        <w:spacing w:line="360" w:lineRule="auto"/>
        <w:ind w:left="420" w:leftChars="200" w:firstLine="200"/>
        <w:jc w:val="left"/>
        <w:textAlignment w:val="baseline"/>
        <w:rPr>
          <w:rFonts w:hint="eastAsia" w:asciiTheme="minorEastAsia" w:hAnsiTheme="minorEastAsia"/>
          <w:b/>
          <w:sz w:val="28"/>
          <w:szCs w:val="28"/>
        </w:rPr>
      </w:pPr>
    </w:p>
    <w:p w14:paraId="6E09C81A">
      <w:pPr>
        <w:spacing w:line="360" w:lineRule="auto"/>
        <w:ind w:left="420" w:leftChars="200" w:firstLine="200"/>
        <w:jc w:val="left"/>
        <w:textAlignment w:val="baseline"/>
        <w:rPr>
          <w:rFonts w:hint="eastAsia" w:asciiTheme="minorEastAsia" w:hAnsiTheme="minorEastAsia"/>
          <w:b/>
          <w:sz w:val="28"/>
          <w:szCs w:val="28"/>
        </w:rPr>
      </w:pPr>
    </w:p>
    <w:p w14:paraId="0ADBD8D4">
      <w:pPr>
        <w:spacing w:line="360" w:lineRule="auto"/>
        <w:ind w:left="420" w:leftChars="200" w:firstLine="200"/>
        <w:jc w:val="left"/>
        <w:textAlignment w:val="baseline"/>
        <w:rPr>
          <w:rFonts w:hint="eastAsia" w:asciiTheme="minorEastAsia" w:hAnsiTheme="minorEastAsia"/>
          <w:b/>
          <w:sz w:val="28"/>
          <w:szCs w:val="28"/>
        </w:rPr>
      </w:pPr>
    </w:p>
    <w:p w14:paraId="273E49AC">
      <w:pPr>
        <w:spacing w:line="360" w:lineRule="auto"/>
        <w:ind w:left="420" w:leftChars="200" w:firstLine="200"/>
        <w:jc w:val="left"/>
        <w:textAlignment w:val="baseline"/>
        <w:rPr>
          <w:rFonts w:hint="eastAsia" w:asciiTheme="minorEastAsia" w:hAnsiTheme="minorEastAsia"/>
          <w:b/>
          <w:sz w:val="28"/>
          <w:szCs w:val="28"/>
        </w:rPr>
      </w:pPr>
    </w:p>
    <w:p w14:paraId="4A5268A4">
      <w:pPr>
        <w:spacing w:line="360" w:lineRule="auto"/>
        <w:ind w:left="420" w:leftChars="200" w:firstLine="200"/>
        <w:jc w:val="left"/>
        <w:textAlignment w:val="baseline"/>
        <w:rPr>
          <w:rFonts w:hint="eastAsia" w:asciiTheme="minorEastAsia" w:hAnsiTheme="minorEastAsia"/>
          <w:b/>
          <w:sz w:val="28"/>
          <w:szCs w:val="28"/>
        </w:rPr>
      </w:pPr>
    </w:p>
    <w:p w14:paraId="71685063">
      <w:pPr>
        <w:spacing w:line="360" w:lineRule="auto"/>
        <w:ind w:left="420" w:leftChars="200" w:firstLine="200"/>
        <w:jc w:val="left"/>
        <w:textAlignment w:val="baseline"/>
        <w:rPr>
          <w:rFonts w:hint="eastAsia" w:asciiTheme="minorEastAsia" w:hAnsiTheme="minorEastAsia"/>
          <w:b/>
          <w:sz w:val="28"/>
          <w:szCs w:val="28"/>
        </w:rPr>
      </w:pPr>
    </w:p>
    <w:p w14:paraId="3A759729">
      <w:pPr>
        <w:spacing w:line="360" w:lineRule="auto"/>
        <w:ind w:left="420" w:leftChars="200" w:firstLine="200"/>
        <w:jc w:val="left"/>
        <w:textAlignment w:val="baseline"/>
        <w:rPr>
          <w:rFonts w:hint="eastAsia" w:asciiTheme="minorEastAsia" w:hAnsiTheme="minorEastAsia"/>
          <w:b/>
          <w:sz w:val="28"/>
          <w:szCs w:val="28"/>
        </w:rPr>
      </w:pPr>
    </w:p>
    <w:p w14:paraId="00D9D7B9">
      <w:pPr>
        <w:spacing w:line="360" w:lineRule="auto"/>
        <w:ind w:left="420" w:leftChars="200" w:firstLine="200"/>
        <w:jc w:val="left"/>
        <w:textAlignment w:val="baseline"/>
        <w:rPr>
          <w:rFonts w:hint="eastAsia" w:asciiTheme="minorEastAsia" w:hAnsiTheme="minorEastAsia"/>
          <w:b/>
          <w:sz w:val="28"/>
          <w:szCs w:val="28"/>
        </w:rPr>
      </w:pPr>
      <w:r>
        <w:rPr>
          <w:rFonts w:hint="eastAsia" w:asciiTheme="minorEastAsia" w:hAnsiTheme="minorEastAsia"/>
          <w:b/>
          <w:sz w:val="28"/>
          <w:szCs w:val="28"/>
        </w:rPr>
        <w:br w:type="textWrapping"/>
      </w:r>
      <w:r>
        <w:rPr>
          <w:rFonts w:hint="eastAsia" w:asciiTheme="minorEastAsia" w:hAnsiTheme="minorEastAsia"/>
          <w:b/>
          <w:sz w:val="28"/>
          <w:szCs w:val="28"/>
        </w:rPr>
        <w:t>一、部门主要职责</w:t>
      </w:r>
    </w:p>
    <w:p w14:paraId="7F61C7F9">
      <w:pPr>
        <w:spacing w:line="360" w:lineRule="auto"/>
        <w:ind w:left="420" w:leftChars="200" w:firstLine="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主要职责是：</w:t>
      </w:r>
    </w:p>
    <w:p w14:paraId="4A8732FD">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1.</w:t>
      </w:r>
      <w:r>
        <w:rPr>
          <w:rFonts w:hint="eastAsia" w:asciiTheme="minorEastAsia" w:hAnsiTheme="minorEastAsia"/>
          <w:sz w:val="28"/>
          <w:szCs w:val="28"/>
          <w:u w:val="none"/>
          <w:lang w:val="en-US" w:eastAsia="zh-CN"/>
        </w:rPr>
        <w:t>宣传、贯彻落实党和国家各项方针政策和法律法规，执行上级的决议、决定。研究决定本镇经济建设、政治建设、文化建设、社会建设、生态文明建设和党的建设等方面的重大问题。执行本级党员代表大会和人民代表大会的决议，发布决定和命令。</w:t>
      </w:r>
    </w:p>
    <w:p w14:paraId="23EE2C46">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2.</w:t>
      </w:r>
      <w:r>
        <w:rPr>
          <w:rFonts w:hint="eastAsia" w:asciiTheme="minorEastAsia" w:hAnsiTheme="minorEastAsia"/>
          <w:sz w:val="28"/>
          <w:szCs w:val="28"/>
          <w:u w:val="none"/>
          <w:lang w:val="en-US" w:eastAsia="zh-CN"/>
        </w:rPr>
        <w:t>落实基层党建工作责任制和基层党组织建设各项制度，统筹抓好基层党建工作。坚持和完善党的全面领导，加强乡镇党委自身建设和村(社区)党组织建设，以及其他隶属乡镇党委的党组织建设。抓好发展党员工作，加强党员队伍建设。维护和执行党的纪律，监督党员干部和其他任何工作人员严格遵守国家法律法规。</w:t>
      </w:r>
    </w:p>
    <w:p w14:paraId="3C16F608">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3.</w:t>
      </w:r>
      <w:r>
        <w:rPr>
          <w:rFonts w:hint="eastAsia" w:asciiTheme="minorEastAsia" w:hAnsiTheme="minorEastAsia"/>
          <w:sz w:val="28"/>
          <w:szCs w:val="28"/>
          <w:u w:val="none"/>
          <w:lang w:val="en-US" w:eastAsia="zh-CN"/>
        </w:rPr>
        <w:t>统筹制定区域发展重大决策和建设规划，引导和扶持各类经济组织的发展。实施乡村振兴战略，指导农村经济发展，推进农业结构调整，组织引导农村富余劳动力向非农产业和城镇转移。积极维护社会经济秩序，营造公正、公平的发展环境，着力解决工业化和城镇化发展进程中的各种问题，提高经济发展的质量和水平。</w:t>
      </w:r>
    </w:p>
    <w:p w14:paraId="2F81F789">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4.</w:t>
      </w:r>
      <w:r>
        <w:rPr>
          <w:rFonts w:hint="eastAsia" w:asciiTheme="minorEastAsia" w:hAnsiTheme="minorEastAsia"/>
          <w:sz w:val="28"/>
          <w:szCs w:val="28"/>
          <w:u w:val="none"/>
          <w:lang w:val="en-US" w:eastAsia="zh-CN"/>
        </w:rPr>
        <w:t>统筹负责辖区公共服务工作。加强对各类服务提供主体的统筹协调和有效监管。负责协调下放乡镇审批服务事项承接工作，推进乡镇便民服务平台标准化建设。组织实施公共服务、社会事务、政务服务以及党群服务等相关工作，落实劳动就业、社会保障、民政、教育、文化、体育、卫生健康、土地流转、退役军人服务等领域相关政策，推动优质公共服务资源向村级延伸。防疫、气象灾害防御、食品药品安全等应急管理工作，建立健全各种应急机制。</w:t>
      </w:r>
    </w:p>
    <w:p w14:paraId="062F1EE3">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rPr>
        <w:t>5.</w:t>
      </w:r>
      <w:r>
        <w:rPr>
          <w:rFonts w:hint="eastAsia" w:asciiTheme="minorEastAsia" w:hAnsiTheme="minorEastAsia"/>
          <w:sz w:val="28"/>
          <w:szCs w:val="28"/>
          <w:u w:val="none"/>
          <w:lang w:val="en-US" w:eastAsia="zh-CN"/>
        </w:rPr>
        <w:t>统筹负责辖区综合治理工作。加强社会主义民主法治建设和精神文明建设，做好生态环保、美丽乡村建设、民生保障、脱贫致富、民族宗教等工作。承担辖区平安建设和法治建设工作，协调推动预防、化解影响稳定的社会矛盾和风险。负责处理群众来信来访工作。承担辖区社会治安综合治理、公共安全及安全生产监管等相关工作，做好安全生产、防汛、防旱、防风、防火、防疫、气象灾害防御、食品药品安全等应急管理工作，建立健全各种应急机制。</w:t>
      </w:r>
    </w:p>
    <w:p w14:paraId="5122AF5F">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rPr>
        <w:t>6.</w:t>
      </w:r>
      <w:r>
        <w:rPr>
          <w:rFonts w:hint="eastAsia" w:asciiTheme="minorEastAsia" w:hAnsiTheme="minorEastAsia"/>
          <w:sz w:val="28"/>
          <w:szCs w:val="28"/>
          <w:u w:val="none"/>
          <w:lang w:val="en-US" w:eastAsia="zh-CN"/>
        </w:rPr>
        <w:t>统筹负责辖区综合行政执法工作。组织实施辖区内综合行政执法工作，统一指挥调度派驻执法机构开展执法活动。</w:t>
      </w:r>
    </w:p>
    <w:p w14:paraId="346D66C4">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7.完善党领导下的基层社会治理体系，提高基层自治水平，发挥村(社区)基层党组织在群众自治组织建设中的领导核心作用，推进社会主义基层协商民主建设，做好组织群众、宣传群众、凝聚群众、服务群众工作，发挥村(居)民在基层社会治理中的主体作用，提高基层自治整体水平。</w:t>
      </w:r>
    </w:p>
    <w:p w14:paraId="4C8DB4F8">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8.动员辖区内各类单位、社会组织和村(居)民等社会力量参与社会治理,引导辖区内单位履行社会责任，整合区域内各种社会力量为辖区发展服务。</w:t>
      </w:r>
    </w:p>
    <w:p w14:paraId="26B8F804">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9.编制本镇经济发展规划和财政预决算计划，负责经费的划拨和核算工作，并指导、协调、监督村(社区)和农村合作经济组织的财务、会计、审计工作。负责推进农业农村现代化，推动经济发展，增加农民收入。</w:t>
      </w:r>
    </w:p>
    <w:p w14:paraId="72D05E5C">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10.按照干部管理权限，负责对干部的教育、培训、选拔、考核和监督工作。协助管理上级有关部门驻乡镇单位的干部。做好人才服务和引进工作。</w:t>
      </w:r>
    </w:p>
    <w:p w14:paraId="2E679767">
      <w:pPr>
        <w:spacing w:line="360" w:lineRule="auto"/>
        <w:ind w:left="420" w:leftChars="200" w:firstLine="546" w:firstLineChars="195"/>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11.承办县党委、政府以及其他上级部门交办的其他事项。</w:t>
      </w:r>
    </w:p>
    <w:p w14:paraId="633F3B09">
      <w:pPr>
        <w:spacing w:line="360" w:lineRule="auto"/>
        <w:ind w:left="420" w:leftChars="200" w:firstLine="200"/>
        <w:jc w:val="left"/>
        <w:textAlignment w:val="baseline"/>
        <w:rPr>
          <w:rFonts w:hint="eastAsia" w:asciiTheme="minorEastAsia" w:hAnsiTheme="minorEastAsia"/>
          <w:b/>
          <w:sz w:val="28"/>
          <w:szCs w:val="28"/>
          <w:lang w:val="en-US" w:eastAsia="zh-CN"/>
        </w:rPr>
      </w:pPr>
    </w:p>
    <w:p w14:paraId="15D37167">
      <w:pPr>
        <w:spacing w:line="360" w:lineRule="auto"/>
        <w:ind w:left="420" w:leftChars="200" w:firstLine="200"/>
        <w:jc w:val="left"/>
        <w:textAlignment w:val="baseline"/>
        <w:rPr>
          <w:rFonts w:hint="eastAsia" w:asciiTheme="minorEastAsia" w:hAnsiTheme="minorEastAsia"/>
          <w:b/>
          <w:sz w:val="28"/>
          <w:szCs w:val="28"/>
        </w:rPr>
      </w:pPr>
      <w:r>
        <w:rPr>
          <w:rFonts w:hint="eastAsia" w:asciiTheme="minorEastAsia" w:hAnsiTheme="minorEastAsia"/>
          <w:b/>
          <w:sz w:val="28"/>
          <w:szCs w:val="28"/>
        </w:rPr>
        <w:t>二、机构设置情况</w:t>
      </w:r>
    </w:p>
    <w:p w14:paraId="73E261E1">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白沙镇人民政府为阳新县白沙镇人民政府部门的一级预算单位，由0个参公管理事业单位及</w:t>
      </w:r>
      <w:r>
        <w:rPr>
          <w:rFonts w:hint="eastAsia" w:asciiTheme="minorEastAsia" w:hAnsiTheme="minorEastAsia"/>
          <w:sz w:val="28"/>
          <w:szCs w:val="28"/>
          <w:u w:val="none"/>
          <w:lang w:val="en-US" w:eastAsia="zh-CN"/>
        </w:rPr>
        <w:t>4</w:t>
      </w:r>
      <w:r>
        <w:rPr>
          <w:rFonts w:hint="eastAsia" w:asciiTheme="minorEastAsia" w:hAnsiTheme="minorEastAsia"/>
          <w:sz w:val="28"/>
          <w:szCs w:val="28"/>
          <w:u w:val="none"/>
        </w:rPr>
        <w:t>个公益类事业单位合并编制报表。内设党政办、党建办、城乡建设办、社会事务办、经济发展办、平安建设办6大办公室。</w:t>
      </w:r>
    </w:p>
    <w:p w14:paraId="60C4632C">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参照公务员法管理事业单位0个。</w:t>
      </w:r>
    </w:p>
    <w:p w14:paraId="3DFC86C4">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公益一类事业单位</w:t>
      </w:r>
      <w:r>
        <w:rPr>
          <w:rFonts w:hint="eastAsia" w:asciiTheme="minorEastAsia" w:hAnsiTheme="minorEastAsia"/>
          <w:sz w:val="28"/>
          <w:szCs w:val="28"/>
          <w:u w:val="none"/>
          <w:lang w:val="en-US" w:eastAsia="zh-CN"/>
        </w:rPr>
        <w:t>4</w:t>
      </w:r>
      <w:r>
        <w:rPr>
          <w:rFonts w:hint="eastAsia" w:asciiTheme="minorEastAsia" w:hAnsiTheme="minorEastAsia"/>
          <w:sz w:val="28"/>
          <w:szCs w:val="28"/>
          <w:u w:val="none"/>
        </w:rPr>
        <w:t>个。分别为：阳新县财政局白沙财政所</w:t>
      </w:r>
      <w:r>
        <w:rPr>
          <w:rFonts w:hint="eastAsia" w:asciiTheme="minorEastAsia" w:hAnsiTheme="minorEastAsia"/>
          <w:sz w:val="28"/>
          <w:szCs w:val="28"/>
          <w:u w:val="none"/>
          <w:lang w:eastAsia="zh-CN"/>
        </w:rPr>
        <w:t>、</w:t>
      </w:r>
      <w:r>
        <w:rPr>
          <w:rFonts w:hint="eastAsia" w:asciiTheme="minorEastAsia" w:hAnsiTheme="minorEastAsia"/>
          <w:sz w:val="28"/>
          <w:szCs w:val="28"/>
          <w:u w:val="none"/>
          <w:lang w:val="en-US" w:eastAsia="zh-CN"/>
        </w:rPr>
        <w:t>白沙综合执法中队、白沙镇党群服务中心、白沙镇农业农村服务中心</w:t>
      </w:r>
      <w:r>
        <w:rPr>
          <w:rFonts w:hint="eastAsia" w:asciiTheme="minorEastAsia" w:hAnsiTheme="minorEastAsia"/>
          <w:sz w:val="28"/>
          <w:szCs w:val="28"/>
          <w:u w:val="none"/>
        </w:rPr>
        <w:t>。</w:t>
      </w:r>
    </w:p>
    <w:p w14:paraId="7108EBFD">
      <w:pPr>
        <w:spacing w:line="360" w:lineRule="auto"/>
        <w:ind w:left="420" w:leftChars="200" w:firstLine="546" w:firstLineChars="195"/>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公益二类事业单位0个。</w:t>
      </w:r>
    </w:p>
    <w:bookmarkEnd w:id="0"/>
    <w:p w14:paraId="1B7E4544">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三、预算收支及增减变化情况</w:t>
      </w:r>
    </w:p>
    <w:p w14:paraId="4D70E217">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sz w:val="28"/>
          <w:szCs w:val="28"/>
        </w:rPr>
        <w:t>1.预算收入情况：</w:t>
      </w:r>
    </w:p>
    <w:p w14:paraId="2842B9BE">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2026年本年收入预算为</w:t>
      </w:r>
      <w:r>
        <w:rPr>
          <w:rFonts w:hint="eastAsia" w:asciiTheme="minorEastAsia" w:hAnsiTheme="minorEastAsia"/>
          <w:sz w:val="28"/>
          <w:szCs w:val="28"/>
          <w:u w:val="none"/>
          <w:lang w:val="en-US" w:eastAsia="zh-CN"/>
        </w:rPr>
        <w:t>1716.7</w:t>
      </w:r>
      <w:r>
        <w:rPr>
          <w:rFonts w:hint="eastAsia" w:asciiTheme="minorEastAsia" w:hAnsiTheme="minorEastAsia"/>
          <w:sz w:val="28"/>
          <w:szCs w:val="28"/>
          <w:u w:val="none"/>
        </w:rPr>
        <w:t>万元，比上年增加</w:t>
      </w:r>
      <w:r>
        <w:rPr>
          <w:rFonts w:hint="eastAsia" w:asciiTheme="minorEastAsia" w:hAnsiTheme="minorEastAsia"/>
          <w:sz w:val="28"/>
          <w:szCs w:val="28"/>
          <w:u w:val="none"/>
          <w:lang w:val="en-US" w:eastAsia="zh-CN"/>
        </w:rPr>
        <w:t>326.7</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23.5</w:t>
      </w:r>
      <w:r>
        <w:rPr>
          <w:rFonts w:hint="eastAsia" w:asciiTheme="minorEastAsia" w:hAnsiTheme="minorEastAsia"/>
          <w:sz w:val="28"/>
          <w:szCs w:val="28"/>
          <w:u w:val="none"/>
        </w:rPr>
        <w:t>%。 其中，经费拨款1413.7万元，财政专户管理资金收入</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万元，其他收入303万元。</w:t>
      </w:r>
    </w:p>
    <w:p w14:paraId="108DCDB5">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收入增加原因：</w:t>
      </w:r>
      <w:r>
        <w:rPr>
          <w:rFonts w:hint="eastAsia" w:asciiTheme="minorEastAsia" w:hAnsiTheme="minorEastAsia"/>
          <w:sz w:val="28"/>
          <w:szCs w:val="28"/>
          <w:u w:val="none"/>
          <w:lang w:val="en-US" w:eastAsia="zh-CN"/>
        </w:rPr>
        <w:t>2025年本部门有新进人员，新增往来收入</w:t>
      </w:r>
      <w:r>
        <w:rPr>
          <w:rFonts w:hint="eastAsia" w:asciiTheme="minorEastAsia" w:hAnsiTheme="minorEastAsia"/>
          <w:sz w:val="28"/>
          <w:szCs w:val="28"/>
          <w:u w:val="none"/>
        </w:rPr>
        <w:t>。</w:t>
      </w:r>
    </w:p>
    <w:p w14:paraId="723BDAE0">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2.预算支出情况：</w:t>
      </w:r>
    </w:p>
    <w:p w14:paraId="236799B6">
      <w:pPr>
        <w:spacing w:line="360" w:lineRule="auto"/>
        <w:ind w:firstLine="560" w:firstLineChars="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2026年本年收入预算为</w:t>
      </w:r>
      <w:r>
        <w:rPr>
          <w:rFonts w:hint="eastAsia" w:asciiTheme="minorEastAsia" w:hAnsiTheme="minorEastAsia"/>
          <w:sz w:val="28"/>
          <w:szCs w:val="28"/>
          <w:u w:val="none"/>
          <w:lang w:val="en-US" w:eastAsia="zh-CN"/>
        </w:rPr>
        <w:t>1716.7</w:t>
      </w:r>
      <w:r>
        <w:rPr>
          <w:rFonts w:hint="eastAsia" w:asciiTheme="minorEastAsia" w:hAnsiTheme="minorEastAsia"/>
          <w:sz w:val="28"/>
          <w:szCs w:val="28"/>
          <w:u w:val="none"/>
        </w:rPr>
        <w:t>万元，比上年增加</w:t>
      </w:r>
      <w:r>
        <w:rPr>
          <w:rFonts w:hint="eastAsia" w:asciiTheme="minorEastAsia" w:hAnsiTheme="minorEastAsia"/>
          <w:sz w:val="28"/>
          <w:szCs w:val="28"/>
          <w:u w:val="none"/>
          <w:lang w:val="en-US" w:eastAsia="zh-CN"/>
        </w:rPr>
        <w:t>23.7</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1.7</w:t>
      </w:r>
      <w:r>
        <w:rPr>
          <w:rFonts w:hint="eastAsia" w:asciiTheme="minorEastAsia" w:hAnsiTheme="minorEastAsia"/>
          <w:sz w:val="28"/>
          <w:szCs w:val="28"/>
          <w:u w:val="none"/>
        </w:rPr>
        <w:t>%。其中：基本支出</w:t>
      </w:r>
      <w:r>
        <w:rPr>
          <w:rFonts w:hint="eastAsia" w:asciiTheme="minorEastAsia" w:hAnsiTheme="minorEastAsia"/>
          <w:sz w:val="28"/>
          <w:szCs w:val="28"/>
          <w:u w:val="none"/>
          <w:lang w:val="en-US" w:eastAsia="zh-CN"/>
        </w:rPr>
        <w:t>1240.99</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72.29</w:t>
      </w:r>
      <w:r>
        <w:rPr>
          <w:rFonts w:hint="eastAsia" w:asciiTheme="minorEastAsia" w:hAnsiTheme="minorEastAsia"/>
          <w:sz w:val="28"/>
          <w:szCs w:val="28"/>
          <w:u w:val="none"/>
        </w:rPr>
        <w:t>%；项目支出</w:t>
      </w:r>
      <w:r>
        <w:rPr>
          <w:rFonts w:hint="eastAsia" w:asciiTheme="minorEastAsia" w:hAnsiTheme="minorEastAsia"/>
          <w:sz w:val="28"/>
          <w:szCs w:val="28"/>
          <w:u w:val="none"/>
          <w:lang w:val="en-US" w:eastAsia="zh-CN"/>
        </w:rPr>
        <w:t>475.71</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27.71</w:t>
      </w:r>
      <w:r>
        <w:rPr>
          <w:rFonts w:hint="eastAsia" w:asciiTheme="minorEastAsia" w:hAnsiTheme="minorEastAsia"/>
          <w:sz w:val="28"/>
          <w:szCs w:val="28"/>
          <w:u w:val="none"/>
        </w:rPr>
        <w:t>%。本年支出构成为：一般公共服务支出支出1532万元，占本年支出</w:t>
      </w:r>
      <w:r>
        <w:rPr>
          <w:rFonts w:hint="eastAsia" w:asciiTheme="minorEastAsia" w:hAnsiTheme="minorEastAsia"/>
          <w:sz w:val="28"/>
          <w:szCs w:val="28"/>
          <w:u w:val="none"/>
          <w:lang w:val="en-US" w:eastAsia="zh-CN"/>
        </w:rPr>
        <w:t>89.24</w:t>
      </w:r>
      <w:r>
        <w:rPr>
          <w:rFonts w:hint="eastAsia" w:asciiTheme="minorEastAsia" w:hAnsiTheme="minorEastAsia"/>
          <w:sz w:val="28"/>
          <w:szCs w:val="28"/>
          <w:u w:val="none"/>
        </w:rPr>
        <w:t>%；城乡社区支出</w:t>
      </w:r>
      <w:r>
        <w:rPr>
          <w:rFonts w:hint="eastAsia" w:asciiTheme="minorEastAsia" w:hAnsiTheme="minorEastAsia"/>
          <w:sz w:val="28"/>
          <w:szCs w:val="28"/>
          <w:u w:val="none"/>
          <w:lang w:val="en-US" w:eastAsia="zh-CN"/>
        </w:rPr>
        <w:t>126.7</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7.38</w:t>
      </w:r>
      <w:r>
        <w:rPr>
          <w:rFonts w:hint="eastAsia" w:asciiTheme="minorEastAsia" w:hAnsiTheme="minorEastAsia"/>
          <w:sz w:val="28"/>
          <w:szCs w:val="28"/>
          <w:u w:val="none"/>
        </w:rPr>
        <w:t>%；农林水支出</w:t>
      </w:r>
      <w:r>
        <w:rPr>
          <w:rFonts w:hint="eastAsia" w:asciiTheme="minorEastAsia" w:hAnsiTheme="minorEastAsia"/>
          <w:sz w:val="28"/>
          <w:szCs w:val="28"/>
          <w:u w:val="none"/>
          <w:lang w:val="en-US" w:eastAsia="zh-CN"/>
        </w:rPr>
        <w:t>58</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3.38</w:t>
      </w:r>
      <w:r>
        <w:rPr>
          <w:rFonts w:hint="eastAsia" w:asciiTheme="minorEastAsia" w:hAnsiTheme="minorEastAsia"/>
          <w:sz w:val="28"/>
          <w:szCs w:val="28"/>
          <w:u w:val="none"/>
        </w:rPr>
        <w:t>%。</w:t>
      </w:r>
    </w:p>
    <w:p w14:paraId="08D8A96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支出增加原因：（1）2026年基本支出比上年增加</w:t>
      </w:r>
      <w:r>
        <w:rPr>
          <w:rFonts w:hint="eastAsia" w:asciiTheme="minorEastAsia" w:hAnsiTheme="minorEastAsia"/>
          <w:sz w:val="28"/>
          <w:szCs w:val="28"/>
          <w:u w:val="none"/>
          <w:lang w:val="en-US" w:eastAsia="zh-CN"/>
        </w:rPr>
        <w:t>342.6</w:t>
      </w:r>
      <w:r>
        <w:rPr>
          <w:rFonts w:hint="eastAsia" w:asciiTheme="minorEastAsia" w:hAnsiTheme="minorEastAsia"/>
          <w:sz w:val="28"/>
          <w:szCs w:val="28"/>
          <w:u w:val="none"/>
        </w:rPr>
        <w:t>万元，主要是</w:t>
      </w:r>
      <w:r>
        <w:rPr>
          <w:rFonts w:hint="eastAsia" w:asciiTheme="minorEastAsia" w:hAnsiTheme="minorEastAsia"/>
          <w:sz w:val="28"/>
          <w:szCs w:val="28"/>
          <w:u w:val="none"/>
          <w:lang w:val="en-US" w:eastAsia="zh-CN"/>
        </w:rPr>
        <w:t>人员及其他收入增加</w:t>
      </w:r>
      <w:r>
        <w:rPr>
          <w:rFonts w:hint="eastAsia" w:asciiTheme="minorEastAsia" w:hAnsiTheme="minorEastAsia"/>
          <w:sz w:val="28"/>
          <w:szCs w:val="28"/>
          <w:u w:val="none"/>
        </w:rPr>
        <w:t>；</w:t>
      </w:r>
    </w:p>
    <w:p w14:paraId="7AE87B08">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（2）2026年项目支出比上年增加 </w:t>
      </w:r>
      <w:r>
        <w:rPr>
          <w:rFonts w:hint="eastAsia" w:asciiTheme="minorEastAsia" w:hAnsiTheme="minorEastAsia"/>
          <w:sz w:val="28"/>
          <w:szCs w:val="28"/>
          <w:u w:val="none"/>
          <w:lang w:val="en-US" w:eastAsia="zh-CN"/>
        </w:rPr>
        <w:t>207.59</w:t>
      </w:r>
      <w:r>
        <w:rPr>
          <w:rFonts w:hint="eastAsia" w:asciiTheme="minorEastAsia" w:hAnsiTheme="minorEastAsia"/>
          <w:sz w:val="28"/>
          <w:szCs w:val="28"/>
          <w:u w:val="none"/>
        </w:rPr>
        <w:t>万元，主要增减原因为：</w:t>
      </w:r>
      <w:r>
        <w:rPr>
          <w:rFonts w:hint="eastAsia" w:asciiTheme="minorEastAsia" w:hAnsiTheme="minorEastAsia"/>
          <w:sz w:val="28"/>
          <w:szCs w:val="28"/>
          <w:u w:val="none"/>
          <w:lang w:val="en-US" w:eastAsia="zh-CN"/>
        </w:rPr>
        <w:t>其他收入增</w:t>
      </w:r>
      <w:r>
        <w:rPr>
          <w:rFonts w:hint="eastAsia" w:asciiTheme="minorEastAsia" w:hAnsiTheme="minorEastAsia"/>
          <w:sz w:val="28"/>
          <w:szCs w:val="28"/>
          <w:u w:val="none"/>
        </w:rPr>
        <w:t xml:space="preserve"> 。</w:t>
      </w:r>
    </w:p>
    <w:p w14:paraId="43C4EA33">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3. 2026年政府性基金预算支出比上年增加 </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w:t>
      </w:r>
    </w:p>
    <w:p w14:paraId="597BC38D">
      <w:pPr>
        <w:spacing w:line="360" w:lineRule="auto"/>
        <w:ind w:left="420" w:leftChars="200" w:firstLine="200"/>
        <w:jc w:val="left"/>
        <w:textAlignment w:val="baseline"/>
        <w:rPr>
          <w:rFonts w:asciiTheme="minorEastAsia" w:hAnsiTheme="minorEastAsia"/>
          <w:sz w:val="28"/>
          <w:szCs w:val="28"/>
        </w:rPr>
      </w:pPr>
    </w:p>
    <w:p w14:paraId="38C07B6E">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四、机关运行经费安排情况</w:t>
      </w:r>
    </w:p>
    <w:p w14:paraId="6C5ACAFA">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2026年机关运行经费预算总额为</w:t>
      </w:r>
      <w:r>
        <w:rPr>
          <w:rFonts w:hint="eastAsia" w:asciiTheme="minorEastAsia" w:hAnsiTheme="minorEastAsia"/>
          <w:sz w:val="28"/>
          <w:szCs w:val="28"/>
          <w:u w:val="none"/>
          <w:lang w:val="en-US" w:eastAsia="zh-CN"/>
        </w:rPr>
        <w:t>105.91</w:t>
      </w:r>
      <w:r>
        <w:rPr>
          <w:rFonts w:hint="eastAsia" w:asciiTheme="minorEastAsia" w:hAnsiTheme="minorEastAsia"/>
          <w:sz w:val="28"/>
          <w:szCs w:val="28"/>
          <w:u w:val="none"/>
        </w:rPr>
        <w:t>万元，与上年相比增加</w:t>
      </w:r>
      <w:r>
        <w:rPr>
          <w:rFonts w:hint="eastAsia" w:asciiTheme="minorEastAsia" w:hAnsiTheme="minorEastAsia"/>
          <w:sz w:val="28"/>
          <w:szCs w:val="28"/>
          <w:u w:val="none"/>
          <w:lang w:val="en-US" w:eastAsia="zh-CN"/>
        </w:rPr>
        <w:t>7.09</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7.17</w:t>
      </w:r>
      <w:r>
        <w:rPr>
          <w:rFonts w:hint="eastAsia" w:asciiTheme="minorEastAsia" w:hAnsiTheme="minorEastAsia"/>
          <w:sz w:val="28"/>
          <w:szCs w:val="28"/>
          <w:u w:val="none"/>
        </w:rPr>
        <w:t>%。增加原因主要是：一是</w:t>
      </w:r>
      <w:r>
        <w:rPr>
          <w:rFonts w:hint="eastAsia" w:asciiTheme="minorEastAsia" w:hAnsiTheme="minorEastAsia"/>
          <w:sz w:val="28"/>
          <w:szCs w:val="28"/>
          <w:u w:val="none"/>
          <w:lang w:val="en-US" w:eastAsia="zh-CN"/>
        </w:rPr>
        <w:t>人员及离退休人员工作经费增加</w:t>
      </w:r>
      <w:r>
        <w:rPr>
          <w:rFonts w:hint="eastAsia" w:asciiTheme="minorEastAsia" w:hAnsiTheme="minorEastAsia"/>
          <w:sz w:val="28"/>
          <w:szCs w:val="28"/>
          <w:u w:val="none"/>
        </w:rPr>
        <w:t xml:space="preserve"> ；二是依据机关运行实际足额编列水电费、维修（护）费、委托业务费等。其中，办公费</w:t>
      </w:r>
      <w:r>
        <w:rPr>
          <w:rFonts w:hint="eastAsia" w:asciiTheme="minorEastAsia" w:hAnsiTheme="minorEastAsia"/>
          <w:sz w:val="28"/>
          <w:szCs w:val="28"/>
          <w:u w:val="none"/>
          <w:lang w:val="en-US" w:eastAsia="zh-CN"/>
        </w:rPr>
        <w:t>11</w:t>
      </w:r>
      <w:r>
        <w:rPr>
          <w:rFonts w:hint="eastAsia" w:asciiTheme="minorEastAsia" w:hAnsiTheme="minorEastAsia"/>
          <w:sz w:val="28"/>
          <w:szCs w:val="28"/>
          <w:u w:val="none"/>
        </w:rPr>
        <w:t>万元，印刷费</w:t>
      </w:r>
      <w:r>
        <w:rPr>
          <w:rFonts w:hint="eastAsia" w:asciiTheme="minorEastAsia" w:hAnsiTheme="minorEastAsia"/>
          <w:sz w:val="28"/>
          <w:szCs w:val="28"/>
          <w:u w:val="none"/>
          <w:lang w:val="en-US" w:eastAsia="zh-CN"/>
        </w:rPr>
        <w:t>4.47</w:t>
      </w:r>
      <w:r>
        <w:rPr>
          <w:rFonts w:hint="eastAsia" w:asciiTheme="minorEastAsia" w:hAnsiTheme="minorEastAsia"/>
          <w:sz w:val="28"/>
          <w:szCs w:val="28"/>
          <w:u w:val="none"/>
        </w:rPr>
        <w:t xml:space="preserve">  万元，水费</w:t>
      </w:r>
      <w:r>
        <w:rPr>
          <w:rFonts w:hint="eastAsia" w:asciiTheme="minorEastAsia" w:hAnsiTheme="minorEastAsia"/>
          <w:sz w:val="28"/>
          <w:szCs w:val="28"/>
          <w:u w:val="none"/>
          <w:lang w:val="en-US" w:eastAsia="zh-CN"/>
        </w:rPr>
        <w:t>2.78</w:t>
      </w:r>
      <w:r>
        <w:rPr>
          <w:rFonts w:hint="eastAsia" w:asciiTheme="minorEastAsia" w:hAnsiTheme="minorEastAsia"/>
          <w:sz w:val="28"/>
          <w:szCs w:val="28"/>
          <w:u w:val="none"/>
        </w:rPr>
        <w:t>万元，电费</w:t>
      </w:r>
      <w:r>
        <w:rPr>
          <w:rFonts w:hint="eastAsia" w:asciiTheme="minorEastAsia" w:hAnsiTheme="minorEastAsia"/>
          <w:sz w:val="28"/>
          <w:szCs w:val="28"/>
          <w:u w:val="none"/>
          <w:lang w:val="en-US" w:eastAsia="zh-CN"/>
        </w:rPr>
        <w:t>22.18</w:t>
      </w:r>
      <w:r>
        <w:rPr>
          <w:rFonts w:hint="eastAsia" w:asciiTheme="minorEastAsia" w:hAnsiTheme="minorEastAsia"/>
          <w:sz w:val="28"/>
          <w:szCs w:val="28"/>
          <w:u w:val="none"/>
        </w:rPr>
        <w:t>万元，邮电费</w:t>
      </w:r>
      <w:r>
        <w:rPr>
          <w:rFonts w:hint="eastAsia" w:asciiTheme="minorEastAsia" w:hAnsiTheme="minorEastAsia"/>
          <w:sz w:val="28"/>
          <w:szCs w:val="28"/>
          <w:u w:val="none"/>
          <w:lang w:val="en-US" w:eastAsia="zh-CN"/>
        </w:rPr>
        <w:t>0.67</w:t>
      </w:r>
      <w:r>
        <w:rPr>
          <w:rFonts w:hint="eastAsia" w:asciiTheme="minorEastAsia" w:hAnsiTheme="minorEastAsia"/>
          <w:sz w:val="28"/>
          <w:szCs w:val="28"/>
          <w:u w:val="none"/>
        </w:rPr>
        <w:t>万元，差旅费</w:t>
      </w:r>
      <w:r>
        <w:rPr>
          <w:rFonts w:hint="eastAsia" w:asciiTheme="minorEastAsia" w:hAnsiTheme="minorEastAsia"/>
          <w:sz w:val="28"/>
          <w:szCs w:val="28"/>
          <w:u w:val="none"/>
          <w:lang w:val="en-US" w:eastAsia="zh-CN"/>
        </w:rPr>
        <w:t>4.1</w:t>
      </w:r>
      <w:r>
        <w:rPr>
          <w:rFonts w:hint="eastAsia" w:asciiTheme="minorEastAsia" w:hAnsiTheme="minorEastAsia"/>
          <w:sz w:val="28"/>
          <w:szCs w:val="28"/>
          <w:u w:val="none"/>
        </w:rPr>
        <w:t>万元，维修（护）费</w:t>
      </w:r>
      <w:r>
        <w:rPr>
          <w:rFonts w:hint="eastAsia" w:asciiTheme="minorEastAsia" w:hAnsiTheme="minorEastAsia"/>
          <w:sz w:val="28"/>
          <w:szCs w:val="28"/>
          <w:u w:val="none"/>
          <w:lang w:val="en-US" w:eastAsia="zh-CN"/>
        </w:rPr>
        <w:t>2.4</w:t>
      </w:r>
      <w:r>
        <w:rPr>
          <w:rFonts w:hint="eastAsia" w:asciiTheme="minorEastAsia" w:hAnsiTheme="minorEastAsia"/>
          <w:sz w:val="28"/>
          <w:szCs w:val="28"/>
          <w:u w:val="none"/>
        </w:rPr>
        <w:t>万元，会议费</w:t>
      </w:r>
      <w:r>
        <w:rPr>
          <w:rFonts w:hint="eastAsia" w:asciiTheme="minorEastAsia" w:hAnsiTheme="minorEastAsia"/>
          <w:sz w:val="28"/>
          <w:szCs w:val="28"/>
          <w:u w:val="none"/>
          <w:lang w:val="en-US" w:eastAsia="zh-CN"/>
        </w:rPr>
        <w:t>1</w:t>
      </w:r>
      <w:r>
        <w:rPr>
          <w:rFonts w:hint="eastAsia" w:asciiTheme="minorEastAsia" w:hAnsiTheme="minorEastAsia"/>
          <w:sz w:val="28"/>
          <w:szCs w:val="28"/>
          <w:u w:val="none"/>
        </w:rPr>
        <w:t>万元，工会经费</w:t>
      </w:r>
      <w:r>
        <w:rPr>
          <w:rFonts w:hint="eastAsia" w:asciiTheme="minorEastAsia" w:hAnsiTheme="minorEastAsia"/>
          <w:sz w:val="28"/>
          <w:szCs w:val="28"/>
          <w:u w:val="none"/>
          <w:lang w:val="en-US" w:eastAsia="zh-CN"/>
        </w:rPr>
        <w:t>10.27</w:t>
      </w:r>
      <w:r>
        <w:rPr>
          <w:rFonts w:hint="eastAsia" w:asciiTheme="minorEastAsia" w:hAnsiTheme="minorEastAsia"/>
          <w:sz w:val="28"/>
          <w:szCs w:val="28"/>
          <w:u w:val="none"/>
        </w:rPr>
        <w:t>万元,公务用车运行维护费</w:t>
      </w:r>
      <w:r>
        <w:rPr>
          <w:rFonts w:hint="eastAsia" w:asciiTheme="minorEastAsia" w:hAnsiTheme="minorEastAsia"/>
          <w:sz w:val="28"/>
          <w:szCs w:val="28"/>
          <w:u w:val="none"/>
          <w:lang w:val="en-US" w:eastAsia="zh-CN"/>
        </w:rPr>
        <w:t>4.5</w:t>
      </w:r>
      <w:r>
        <w:rPr>
          <w:rFonts w:hint="eastAsia" w:asciiTheme="minorEastAsia" w:hAnsiTheme="minorEastAsia"/>
          <w:sz w:val="28"/>
          <w:szCs w:val="28"/>
          <w:u w:val="none"/>
        </w:rPr>
        <w:t>万元，其他交通费</w:t>
      </w:r>
      <w:r>
        <w:rPr>
          <w:rFonts w:hint="eastAsia" w:asciiTheme="minorEastAsia" w:hAnsiTheme="minorEastAsia"/>
          <w:sz w:val="28"/>
          <w:szCs w:val="28"/>
          <w:u w:val="none"/>
          <w:lang w:val="en-US" w:eastAsia="zh-CN"/>
        </w:rPr>
        <w:t>27.24</w:t>
      </w:r>
      <w:r>
        <w:rPr>
          <w:rFonts w:hint="eastAsia" w:asciiTheme="minorEastAsia" w:hAnsiTheme="minorEastAsia"/>
          <w:sz w:val="28"/>
          <w:szCs w:val="28"/>
          <w:u w:val="none"/>
        </w:rPr>
        <w:t>万元，其他商品和服务支出</w:t>
      </w:r>
      <w:r>
        <w:rPr>
          <w:rFonts w:hint="eastAsia" w:asciiTheme="minorEastAsia" w:hAnsiTheme="minorEastAsia"/>
          <w:sz w:val="28"/>
          <w:szCs w:val="28"/>
          <w:u w:val="none"/>
          <w:lang w:val="en-US" w:eastAsia="zh-CN"/>
        </w:rPr>
        <w:t>12.1</w:t>
      </w:r>
      <w:r>
        <w:rPr>
          <w:rFonts w:hint="eastAsia" w:asciiTheme="minorEastAsia" w:hAnsiTheme="minorEastAsia"/>
          <w:sz w:val="28"/>
          <w:szCs w:val="28"/>
          <w:u w:val="none"/>
        </w:rPr>
        <w:t>万元。</w:t>
      </w:r>
    </w:p>
    <w:p w14:paraId="38E33994">
      <w:pPr>
        <w:spacing w:line="360" w:lineRule="auto"/>
        <w:ind w:left="420" w:leftChars="200" w:firstLine="200"/>
        <w:jc w:val="left"/>
        <w:textAlignment w:val="baseline"/>
        <w:rPr>
          <w:rFonts w:asciiTheme="minorEastAsia" w:hAnsiTheme="minorEastAsia"/>
          <w:sz w:val="28"/>
          <w:szCs w:val="28"/>
        </w:rPr>
      </w:pPr>
    </w:p>
    <w:p w14:paraId="463F29E0">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五、一般公共预算“三公”经费及增减变化情况</w:t>
      </w:r>
    </w:p>
    <w:p w14:paraId="56C8925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6</w:t>
      </w:r>
      <w:r>
        <w:rPr>
          <w:rFonts w:hint="eastAsia" w:asciiTheme="minorEastAsia" w:hAnsiTheme="minorEastAsia"/>
          <w:sz w:val="28"/>
          <w:szCs w:val="28"/>
        </w:rPr>
        <w:t>年“三公”经费一般公共预算总额4.5万元，比上年预算增加0万元，增加0%。主要是本单位严格控制“三公”经费支出，分别如下：</w:t>
      </w:r>
    </w:p>
    <w:p w14:paraId="20D8C651">
      <w:pPr>
        <w:spacing w:line="360" w:lineRule="auto"/>
        <w:jc w:val="left"/>
        <w:textAlignment w:val="baseline"/>
        <w:rPr>
          <w:rFonts w:hint="eastAsia" w:asciiTheme="minorEastAsia" w:hAnsiTheme="minorEastAsia"/>
          <w:sz w:val="28"/>
          <w:szCs w:val="28"/>
        </w:rPr>
      </w:pPr>
      <w:r>
        <w:rPr>
          <w:rFonts w:hint="eastAsia" w:asciiTheme="minorEastAsia" w:hAnsiTheme="minorEastAsia"/>
          <w:sz w:val="28"/>
          <w:szCs w:val="28"/>
        </w:rPr>
        <w:t>1.公务接待费0万元，比上年减少0万元，减少0%。主要原因是本部门遵守乡镇“零”招待，无公务接待支出。</w:t>
      </w:r>
    </w:p>
    <w:p w14:paraId="27E180CB">
      <w:pPr>
        <w:spacing w:line="360" w:lineRule="auto"/>
        <w:jc w:val="left"/>
        <w:textAlignment w:val="baseline"/>
        <w:rPr>
          <w:rFonts w:hint="eastAsia" w:asciiTheme="minorEastAsia" w:hAnsiTheme="minorEastAsia"/>
          <w:sz w:val="28"/>
          <w:szCs w:val="28"/>
        </w:rPr>
      </w:pPr>
      <w:r>
        <w:rPr>
          <w:rFonts w:hint="eastAsia" w:asciiTheme="minorEastAsia" w:hAnsiTheme="minorEastAsia"/>
          <w:sz w:val="28"/>
          <w:szCs w:val="28"/>
        </w:rPr>
        <w:t>2.公务用车购置及运行费0万元，比上年增加0万元，增加0%。其中：</w:t>
      </w:r>
    </w:p>
    <w:p w14:paraId="03AAB51B">
      <w:pPr>
        <w:spacing w:line="360" w:lineRule="auto"/>
        <w:jc w:val="left"/>
        <w:textAlignment w:val="baseline"/>
        <w:rPr>
          <w:rFonts w:hint="eastAsia" w:asciiTheme="minorEastAsia" w:hAnsiTheme="minorEastAsia"/>
          <w:sz w:val="28"/>
          <w:szCs w:val="28"/>
        </w:rPr>
      </w:pPr>
      <w:r>
        <w:rPr>
          <w:rFonts w:hint="eastAsia" w:asciiTheme="minorEastAsia" w:hAnsiTheme="minorEastAsia"/>
          <w:sz w:val="28"/>
          <w:szCs w:val="28"/>
        </w:rPr>
        <w:t>公务用车购置费0元，与上年持平，主要原因是无公务用车购置计划；</w:t>
      </w:r>
    </w:p>
    <w:p w14:paraId="4D1A299D">
      <w:pPr>
        <w:spacing w:line="360" w:lineRule="auto"/>
        <w:jc w:val="left"/>
        <w:textAlignment w:val="baseline"/>
        <w:rPr>
          <w:rFonts w:hint="eastAsia" w:asciiTheme="minorEastAsia" w:hAnsiTheme="minorEastAsia"/>
          <w:sz w:val="28"/>
          <w:szCs w:val="28"/>
        </w:rPr>
      </w:pPr>
      <w:r>
        <w:rPr>
          <w:rFonts w:hint="eastAsia" w:asciiTheme="minorEastAsia" w:hAnsiTheme="minorEastAsia"/>
          <w:sz w:val="28"/>
          <w:szCs w:val="28"/>
        </w:rPr>
        <w:t>公务用车运行费4.5万元，与上年持平，主要原因是进一步加强公务车加油、维修、使用管理。</w:t>
      </w:r>
    </w:p>
    <w:p w14:paraId="54C48CB6">
      <w:pPr>
        <w:spacing w:line="360" w:lineRule="auto"/>
        <w:jc w:val="left"/>
        <w:textAlignment w:val="baseline"/>
        <w:rPr>
          <w:rFonts w:hint="eastAsia" w:asciiTheme="minorEastAsia" w:hAnsiTheme="minorEastAsia"/>
          <w:sz w:val="28"/>
          <w:szCs w:val="28"/>
        </w:rPr>
      </w:pPr>
      <w:r>
        <w:rPr>
          <w:rFonts w:hint="eastAsia" w:asciiTheme="minorEastAsia" w:hAnsiTheme="minorEastAsia"/>
          <w:sz w:val="28"/>
          <w:szCs w:val="28"/>
        </w:rPr>
        <w:t>3.因公出国（境）费0万元，与上年持平。主要是无因公出国（境）计划。</w:t>
      </w:r>
    </w:p>
    <w:p w14:paraId="1E38CAD6">
      <w:pPr>
        <w:spacing w:line="360" w:lineRule="auto"/>
        <w:jc w:val="left"/>
        <w:textAlignment w:val="baseline"/>
        <w:rPr>
          <w:rFonts w:asciiTheme="minorEastAsia" w:hAnsiTheme="minorEastAsia"/>
          <w:sz w:val="28"/>
          <w:szCs w:val="28"/>
        </w:rPr>
      </w:pPr>
    </w:p>
    <w:p w14:paraId="2D710003">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六、政府采购预算安排情况</w:t>
      </w:r>
    </w:p>
    <w:p w14:paraId="07C5255C">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根据《湖北省政府集中采购目录及标准（2021年）》要求，2024年编制政府采购预算1万元，</w:t>
      </w:r>
      <w:r>
        <w:rPr>
          <w:rFonts w:hint="eastAsia" w:asciiTheme="minorEastAsia" w:hAnsiTheme="minorEastAsia"/>
          <w:sz w:val="28"/>
          <w:szCs w:val="28"/>
          <w:lang w:val="en-US" w:eastAsia="zh-CN"/>
        </w:rPr>
        <w:t>与上年持平</w:t>
      </w:r>
      <w:r>
        <w:rPr>
          <w:rFonts w:hint="eastAsia" w:asciiTheme="minorEastAsia" w:hAnsiTheme="minorEastAsia"/>
          <w:sz w:val="28"/>
          <w:szCs w:val="28"/>
        </w:rPr>
        <w:t>。主要原因：一是严格控制采购支出；二是按需求和严格遵守政府采购目录的要求列支采购预算。</w:t>
      </w:r>
    </w:p>
    <w:p w14:paraId="16D40887">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其中：货物类政府采购预算</w:t>
      </w:r>
      <w:r>
        <w:rPr>
          <w:rFonts w:hint="eastAsia" w:asciiTheme="minorEastAsia" w:hAnsiTheme="minorEastAsia"/>
          <w:sz w:val="28"/>
          <w:szCs w:val="28"/>
          <w:lang w:val="en-US" w:eastAsia="zh-CN"/>
        </w:rPr>
        <w:t>1</w:t>
      </w:r>
      <w:r>
        <w:rPr>
          <w:rFonts w:hint="eastAsia" w:asciiTheme="minorEastAsia" w:hAnsiTheme="minorEastAsia"/>
          <w:sz w:val="28"/>
          <w:szCs w:val="28"/>
        </w:rPr>
        <w:t>万元，主要是集中采购复印纸、多功能一体机、彩色打印机、台式计算机等支出。</w:t>
      </w:r>
    </w:p>
    <w:p w14:paraId="51EF1070">
      <w:pPr>
        <w:spacing w:line="360" w:lineRule="auto"/>
        <w:ind w:left="420" w:leftChars="200" w:firstLine="200"/>
        <w:jc w:val="left"/>
        <w:textAlignment w:val="baseline"/>
        <w:rPr>
          <w:rFonts w:asciiTheme="minorEastAsia" w:hAnsiTheme="minorEastAsia"/>
          <w:sz w:val="28"/>
          <w:szCs w:val="28"/>
        </w:rPr>
      </w:pPr>
    </w:p>
    <w:p w14:paraId="5A07ADF2">
      <w:pPr>
        <w:spacing w:line="360" w:lineRule="auto"/>
        <w:ind w:left="420" w:leftChars="200" w:firstLine="200"/>
        <w:jc w:val="left"/>
        <w:textAlignment w:val="baseline"/>
        <w:rPr>
          <w:rFonts w:asciiTheme="minorEastAsia" w:hAnsiTheme="minorEastAsia"/>
          <w:b/>
          <w:sz w:val="28"/>
          <w:szCs w:val="28"/>
        </w:rPr>
      </w:pPr>
      <w:r>
        <w:rPr>
          <w:rFonts w:hint="eastAsia" w:asciiTheme="minorEastAsia" w:hAnsiTheme="minorEastAsia"/>
          <w:b/>
          <w:sz w:val="28"/>
          <w:szCs w:val="28"/>
        </w:rPr>
        <w:t>七、国有资产占用情况</w:t>
      </w:r>
    </w:p>
    <w:p w14:paraId="52A9286B">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1、白沙镇人民政府</w:t>
      </w:r>
    </w:p>
    <w:p w14:paraId="7571C3E1">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2025年占有房屋面积13859平方米，大型专用设备数量为0，现有公务用车1辆。</w:t>
      </w:r>
    </w:p>
    <w:p w14:paraId="0CDBB686">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土地、房屋及构筑物：房屋建筑面积为12834平方米，其中，办公用房1380平方米，其他用房11134平方米。价值163.25万元；</w:t>
      </w:r>
    </w:p>
    <w:p w14:paraId="6A467E4B">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通用设备：298（台/件），价值47.11万元；</w:t>
      </w:r>
    </w:p>
    <w:p w14:paraId="3164B92B">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专用设备：无；</w:t>
      </w:r>
    </w:p>
    <w:p w14:paraId="020EE10C">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文物和陈列品：2（个/套），价值5.2万元。</w:t>
      </w:r>
    </w:p>
    <w:p w14:paraId="44628DDD">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图书、档案：3（个/套），价值0.03万元。</w:t>
      </w:r>
    </w:p>
    <w:p w14:paraId="4A6AC232">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家具、用具、装具及动植物：719（个/套），价值25.04万元</w:t>
      </w:r>
    </w:p>
    <w:p w14:paraId="479AD133">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2、白沙财政所</w:t>
      </w:r>
    </w:p>
    <w:p w14:paraId="55F116C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2025年占有房屋面积1910平方米，大型专用设备数量为0，现有公务用车0辆。</w:t>
      </w:r>
    </w:p>
    <w:p w14:paraId="5383CF78">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土地、房屋及构筑物：房屋建筑面积为1705平方米，其中，办公用房1705平方米。价值28.66万元；</w:t>
      </w:r>
    </w:p>
    <w:p w14:paraId="7A474642">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通用设备：54（台/件），价值4.6万元；</w:t>
      </w:r>
    </w:p>
    <w:p w14:paraId="10058560">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专用设备：无；</w:t>
      </w:r>
    </w:p>
    <w:p w14:paraId="03B26ED3">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文物和陈列品：无；</w:t>
      </w:r>
    </w:p>
    <w:p w14:paraId="64BC6834">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图书、档案：无；</w:t>
      </w:r>
    </w:p>
    <w:p w14:paraId="4978F1AB">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家具、用具、装具及动植物：173（个/套），价值10.32万元。</w:t>
      </w:r>
    </w:p>
    <w:p w14:paraId="155B08D6">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3、白沙执法队</w:t>
      </w:r>
    </w:p>
    <w:p w14:paraId="75097EB7">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2025年占有房屋面积50平方米，大型专用设备数量为0，现有公务用车1辆。</w:t>
      </w:r>
    </w:p>
    <w:p w14:paraId="548295A2">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土地、房屋及构筑物：1010平方，价值8.97万元</w:t>
      </w:r>
    </w:p>
    <w:p w14:paraId="7FA4CD12">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通用设备：50（台/件),价值9.22万元</w:t>
      </w:r>
    </w:p>
    <w:p w14:paraId="1759AC27">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专用设备：0</w:t>
      </w:r>
    </w:p>
    <w:p w14:paraId="055E5CC1">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文物和陈列品：0</w:t>
      </w:r>
    </w:p>
    <w:p w14:paraId="5F031672">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图书、档案：0</w:t>
      </w:r>
    </w:p>
    <w:p w14:paraId="34A1A323">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家具、用具、装具及动植物：31(个/套),价值3.13万元。</w:t>
      </w:r>
    </w:p>
    <w:p w14:paraId="27A540BA">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4、白沙党群服务中心</w:t>
      </w:r>
    </w:p>
    <w:p w14:paraId="14755E41">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2025年占有房屋面积约380平方米，大型专用设备数量为0，现有公务用0辆。</w:t>
      </w:r>
    </w:p>
    <w:p w14:paraId="73C4A50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土地、房屋及构筑物：无</w:t>
      </w:r>
    </w:p>
    <w:p w14:paraId="48035D8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通用设备：无</w:t>
      </w:r>
    </w:p>
    <w:p w14:paraId="4575CF5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专用设备：无</w:t>
      </w:r>
    </w:p>
    <w:p w14:paraId="1232EDB0">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文物和陈列品：无</w:t>
      </w:r>
    </w:p>
    <w:p w14:paraId="4BC6767B">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图书、档案：无</w:t>
      </w:r>
    </w:p>
    <w:p w14:paraId="7C5BECA8">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家具、用具、装具及动植物：无</w:t>
      </w:r>
    </w:p>
    <w:p w14:paraId="0985FCC0">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5、白沙农业农村服务中心</w:t>
      </w:r>
    </w:p>
    <w:p w14:paraId="489B587A">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2025年占有房屋面积0平方米，大型专用设备数量为0，现有公务用车0辆。</w:t>
      </w:r>
    </w:p>
    <w:p w14:paraId="690ED4EB">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土地、房屋及构筑物：无</w:t>
      </w:r>
    </w:p>
    <w:p w14:paraId="337793BB">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通用设备：无</w:t>
      </w:r>
    </w:p>
    <w:p w14:paraId="7A597340">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专用设备：无</w:t>
      </w:r>
    </w:p>
    <w:p w14:paraId="45C0F033">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文物和陈列品：无</w:t>
      </w:r>
    </w:p>
    <w:p w14:paraId="2A96643D">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图书、档案：无</w:t>
      </w:r>
    </w:p>
    <w:p w14:paraId="4D6BEF94">
      <w:pPr>
        <w:spacing w:line="360" w:lineRule="auto"/>
        <w:ind w:left="200" w:firstLine="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家具、用具、装具及动植物：无</w:t>
      </w:r>
    </w:p>
    <w:p w14:paraId="5091B51F">
      <w:pPr>
        <w:spacing w:line="360" w:lineRule="auto"/>
        <w:ind w:left="420" w:leftChars="200" w:firstLine="200"/>
        <w:jc w:val="left"/>
        <w:textAlignment w:val="baseline"/>
        <w:rPr>
          <w:rFonts w:asciiTheme="minorEastAsia" w:hAnsiTheme="minorEastAsia"/>
          <w:sz w:val="28"/>
          <w:szCs w:val="28"/>
        </w:rPr>
      </w:pPr>
    </w:p>
    <w:p w14:paraId="6BEDFCE3">
      <w:pPr>
        <w:spacing w:line="360" w:lineRule="auto"/>
        <w:ind w:left="420" w:leftChars="200" w:firstLine="200"/>
        <w:jc w:val="left"/>
        <w:textAlignment w:val="baseline"/>
        <w:rPr>
          <w:rFonts w:asciiTheme="minorEastAsia" w:hAnsiTheme="minorEastAsia"/>
          <w:b/>
          <w:bCs/>
          <w:sz w:val="28"/>
          <w:szCs w:val="28"/>
        </w:rPr>
      </w:pPr>
      <w:r>
        <w:rPr>
          <w:rFonts w:hint="eastAsia" w:asciiTheme="minorEastAsia" w:hAnsiTheme="minorEastAsia"/>
          <w:b/>
          <w:bCs/>
          <w:sz w:val="28"/>
          <w:szCs w:val="28"/>
        </w:rPr>
        <w:t>八、重点项目预算绩效情况</w:t>
      </w:r>
    </w:p>
    <w:p w14:paraId="51343E5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 xml:space="preserve"> </w:t>
      </w:r>
      <w:r>
        <w:rPr>
          <w:rFonts w:hint="eastAsia" w:asciiTheme="minorEastAsia" w:hAnsiTheme="minorEastAsia"/>
          <w:sz w:val="28"/>
          <w:szCs w:val="28"/>
          <w:u w:val="none"/>
          <w:lang w:val="en-US" w:eastAsia="zh-CN"/>
        </w:rPr>
        <w:t>1、“人大代表活动费”项目</w:t>
      </w:r>
    </w:p>
    <w:p w14:paraId="2914DB03">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项目主要内容：用于人大代表活动及参会期间的费用支出。2026年预算安排0.86万元，资金来源为一般公共预算财政拨款。</w:t>
      </w:r>
    </w:p>
    <w:p w14:paraId="631C7D8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年度绩效目标：通过本项目的实施，保障人大代表活动及参会期间的费用支出。</w:t>
      </w:r>
    </w:p>
    <w:p w14:paraId="1CABAED1">
      <w:pPr>
        <w:spacing w:line="360" w:lineRule="auto"/>
        <w:ind w:firstLine="560" w:firstLineChars="200"/>
        <w:jc w:val="left"/>
        <w:textAlignment w:val="baseline"/>
        <w:rPr>
          <w:rFonts w:hint="default"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成本指标：项目资金总额=0.86万元。对社会发展的无负面影响。对生态环境无负面影响。</w:t>
      </w:r>
    </w:p>
    <w:p w14:paraId="28CC07A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产出指标：人大代表参会率≥90%；按计划完成各项会议议程=100%；人民代表大会会议时间≤7天。</w:t>
      </w:r>
    </w:p>
    <w:p w14:paraId="6FA7268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效益指标：按标准保障参会代表补助；人大代表履职效果良好，有效发挥作用。</w:t>
      </w:r>
    </w:p>
    <w:p w14:paraId="6CF4F446">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满意度指标：人大代表满意度≥</w:t>
      </w:r>
      <w:r>
        <w:rPr>
          <w:rFonts w:hint="eastAsia" w:asciiTheme="minorEastAsia" w:hAnsiTheme="minorEastAsia"/>
          <w:sz w:val="28"/>
          <w:szCs w:val="28"/>
          <w:u w:val="none"/>
          <w:lang w:val="en-US" w:eastAsia="zh-CN"/>
        </w:rPr>
        <w:t>95%。</w:t>
      </w:r>
    </w:p>
    <w:p w14:paraId="2B02BB2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2、“白沙镇社会事务工作经费”项目</w:t>
      </w:r>
    </w:p>
    <w:p w14:paraId="4F3D6B0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项目主要内容：用于白沙镇社会事务工作经费支出。2026年预算安排197.58万元，资金来源为一般公共预算财政拨款。</w:t>
      </w:r>
    </w:p>
    <w:p w14:paraId="12F4B02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年度绩效目标：落实各项工作和任务，做好基层治理体系的建设和统筹工作，完成各项指标。</w:t>
      </w:r>
    </w:p>
    <w:p w14:paraId="51DAA438">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成本指标：项目资金总额197.58万元。对社会发展的无负面影响。对生态环境无负面影响。</w:t>
      </w:r>
    </w:p>
    <w:p w14:paraId="7ECABEC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产出指标：招商引资任务完成率≥95%；保重大安全事件发生率＝0%；社会保障工作完成率≥95；惠农惠企政策落实率=100%；项目时间≥1年。</w:t>
      </w:r>
    </w:p>
    <w:p w14:paraId="56B1249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效益指标：城镇就业人口增加；公共服务能力提升。</w:t>
      </w:r>
    </w:p>
    <w:p w14:paraId="216284B9">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w:t>
      </w:r>
      <w:r>
        <w:rPr>
          <w:rFonts w:hint="eastAsia" w:asciiTheme="minorEastAsia" w:hAnsiTheme="minorEastAsia"/>
          <w:sz w:val="28"/>
          <w:szCs w:val="28"/>
          <w:u w:val="none"/>
          <w:lang w:val="en-US" w:eastAsia="zh-CN"/>
        </w:rPr>
        <w:t>群众</w:t>
      </w:r>
      <w:r>
        <w:rPr>
          <w:rFonts w:hint="default" w:asciiTheme="minorEastAsia" w:hAnsiTheme="minorEastAsia"/>
          <w:sz w:val="28"/>
          <w:szCs w:val="28"/>
          <w:u w:val="none"/>
          <w:lang w:val="en-US" w:eastAsia="zh-CN"/>
        </w:rPr>
        <w:t>满意度</w:t>
      </w:r>
      <w:r>
        <w:rPr>
          <w:rFonts w:hint="eastAsia" w:asciiTheme="minorEastAsia" w:hAnsiTheme="minorEastAsia"/>
          <w:sz w:val="28"/>
          <w:szCs w:val="28"/>
          <w:u w:val="none"/>
          <w:lang w:val="en-US" w:eastAsia="zh-CN"/>
        </w:rPr>
        <w:t>≥95%。</w:t>
      </w:r>
    </w:p>
    <w:p w14:paraId="1705CD78">
      <w:pPr>
        <w:numPr>
          <w:ilvl w:val="0"/>
          <w:numId w:val="1"/>
        </w:num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“镇区协调工作经费”项目</w:t>
      </w:r>
    </w:p>
    <w:p w14:paraId="100F51A2">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项目主要内容：协调项目工作经费，用于矛盾协调，加速推动项目建设。2026年预算安排160万元，资金来源为一般公共预算财政拨款。</w:t>
      </w:r>
    </w:p>
    <w:p w14:paraId="2F8D6477">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年度绩效目标：用于矛盾协调，加速推动项目建设，完成各项指标。</w:t>
      </w:r>
    </w:p>
    <w:p w14:paraId="189C19A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成本指标：项目资金总额160万元。对社会发展的无负面影响。对生态环境无负面影响。</w:t>
      </w:r>
    </w:p>
    <w:p w14:paraId="2204C355">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产出指标：矛盾化解率≥95%；协调工作完成率＝95%；项目时间≥1年。</w:t>
      </w:r>
    </w:p>
    <w:p w14:paraId="4B71C88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效益指标：负面舆情的投诉率降低，加快镇区经济发展。</w:t>
      </w:r>
    </w:p>
    <w:p w14:paraId="0177F5F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w:t>
      </w:r>
      <w:r>
        <w:rPr>
          <w:rFonts w:hint="eastAsia" w:asciiTheme="minorEastAsia" w:hAnsiTheme="minorEastAsia"/>
          <w:sz w:val="28"/>
          <w:szCs w:val="28"/>
          <w:u w:val="none"/>
          <w:lang w:val="en-US" w:eastAsia="zh-CN"/>
        </w:rPr>
        <w:t>群众</w:t>
      </w:r>
      <w:r>
        <w:rPr>
          <w:rFonts w:hint="default" w:asciiTheme="minorEastAsia" w:hAnsiTheme="minorEastAsia"/>
          <w:sz w:val="28"/>
          <w:szCs w:val="28"/>
          <w:u w:val="none"/>
          <w:lang w:val="en-US" w:eastAsia="zh-CN"/>
        </w:rPr>
        <w:t>满意度</w:t>
      </w:r>
      <w:r>
        <w:rPr>
          <w:rFonts w:hint="eastAsia" w:asciiTheme="minorEastAsia" w:hAnsiTheme="minorEastAsia"/>
          <w:sz w:val="28"/>
          <w:szCs w:val="28"/>
          <w:u w:val="none"/>
          <w:lang w:val="en-US" w:eastAsia="zh-CN"/>
        </w:rPr>
        <w:t>≥95%。</w:t>
      </w:r>
    </w:p>
    <w:p w14:paraId="773A863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、“基层财政工作经费”项目</w:t>
      </w:r>
    </w:p>
    <w:p w14:paraId="6ED53074">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项目主要内容：保障单位的日常运转和业务工作稳定开展。202</w:t>
      </w:r>
      <w:r>
        <w:rPr>
          <w:rFonts w:hint="eastAsia" w:asciiTheme="minorEastAsia" w:hAnsiTheme="minorEastAsia"/>
          <w:sz w:val="28"/>
          <w:szCs w:val="28"/>
          <w:lang w:val="en-US" w:eastAsia="zh-CN"/>
        </w:rPr>
        <w:t>6</w:t>
      </w:r>
      <w:r>
        <w:rPr>
          <w:rFonts w:hint="eastAsia" w:asciiTheme="minorEastAsia" w:hAnsiTheme="minorEastAsia"/>
          <w:sz w:val="28"/>
          <w:szCs w:val="28"/>
        </w:rPr>
        <w:t>年预算安排35万元，资金来源为当年一般公共预算财政拨款。</w:t>
      </w:r>
    </w:p>
    <w:p w14:paraId="4CCEC138">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年度绩效目标：健全乡镇财政专管员制度、乡镇财政资金监管制度；宣传农村集体“三资”管理制度；确保每一笔招投标项目公平、合规；加强农村财会人员培训；实行全镇区财务会计电算化。</w:t>
      </w:r>
    </w:p>
    <w:p w14:paraId="3E88D36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成本指标：项目资金总额=35万元；对社会发展无负面影响；对生态环境无负面影响。</w:t>
      </w:r>
    </w:p>
    <w:p w14:paraId="1FDD63A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产出指标：开展绩效评价小项目次数=20次；三资监管涉及村个数=</w:t>
      </w:r>
      <w:r>
        <w:rPr>
          <w:rFonts w:hint="eastAsia" w:asciiTheme="minorEastAsia" w:hAnsiTheme="minorEastAsia"/>
          <w:sz w:val="28"/>
          <w:szCs w:val="28"/>
          <w:lang w:val="en-US" w:eastAsia="zh-CN"/>
        </w:rPr>
        <w:t>38</w:t>
      </w:r>
      <w:r>
        <w:rPr>
          <w:rFonts w:hint="eastAsia" w:asciiTheme="minorEastAsia" w:hAnsiTheme="minorEastAsia"/>
          <w:sz w:val="28"/>
          <w:szCs w:val="28"/>
        </w:rPr>
        <w:t>个；强农惠农政策宣传工作3次/年；上级部门组织工作考核≥90分；项目周期=1年。</w:t>
      </w:r>
    </w:p>
    <w:p w14:paraId="366609F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效益指标：推动镇区经济社会高质量发展，提升经济发展综合实力；惠民惠农补贴资金＞100万元。</w:t>
      </w:r>
    </w:p>
    <w:p w14:paraId="2ABAEB20">
      <w:pPr>
        <w:spacing w:line="360" w:lineRule="auto"/>
        <w:ind w:left="420" w:leftChars="200" w:firstLine="200"/>
        <w:jc w:val="left"/>
        <w:textAlignment w:val="baseline"/>
        <w:rPr>
          <w:rFonts w:hint="eastAsia" w:asciiTheme="minorEastAsia" w:hAnsiTheme="minorEastAsia"/>
          <w:sz w:val="28"/>
          <w:szCs w:val="28"/>
        </w:rPr>
      </w:pPr>
      <w:r>
        <w:rPr>
          <w:rFonts w:hint="eastAsia" w:asciiTheme="minorEastAsia" w:hAnsiTheme="minorEastAsia"/>
          <w:sz w:val="28"/>
          <w:szCs w:val="28"/>
        </w:rPr>
        <w:t>满意度指标：群众满意度≥95%。</w:t>
      </w:r>
    </w:p>
    <w:p w14:paraId="3AB68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cstheme="minorBidi"/>
          <w:kern w:val="2"/>
          <w:sz w:val="28"/>
          <w:szCs w:val="28"/>
          <w:lang w:val="en-US" w:eastAsia="zh-CN" w:bidi="ar-SA"/>
          <w14:ligatures w14:val="standardContextual"/>
        </w:rPr>
        <w:t>5、</w:t>
      </w:r>
      <w:r>
        <w:rPr>
          <w:rFonts w:hint="eastAsia" w:asciiTheme="minorEastAsia" w:hAnsiTheme="minorEastAsia" w:eastAsiaTheme="minorEastAsia" w:cstheme="minorBidi"/>
          <w:kern w:val="2"/>
          <w:sz w:val="28"/>
          <w:szCs w:val="28"/>
          <w:lang w:val="en-US" w:eastAsia="zh-CN" w:bidi="ar-SA"/>
          <w14:ligatures w14:val="standardContextual"/>
        </w:rPr>
        <w:t>“综合执法队工作经费”项目</w:t>
      </w:r>
    </w:p>
    <w:p w14:paraId="6C9FFB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项目主要内容：提升本镇区城乡管理水平，加强城管队伍规范化、法制化、制度化建设。2026年预算安排39.27万元，资金来源为一般公共预算财政拨款。</w:t>
      </w:r>
    </w:p>
    <w:p w14:paraId="3E6012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年度绩效目标：通过抓队伍、强管理、树形象，保障执法工作正常运转，有效打击各类违法行为。</w:t>
      </w:r>
    </w:p>
    <w:p w14:paraId="1DAC2E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成本指标：项目资金总额=39.27万元；对社会发展无负面影响；对生态环境无负面影响。</w:t>
      </w:r>
    </w:p>
    <w:p w14:paraId="4A2261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产出指标：拆除违建8起；清理规范流动商贩102起；执法人员培训3次/年；拆违整治工作目标考核≥90分；项目周期=1年。</w:t>
      </w:r>
    </w:p>
    <w:p w14:paraId="21F605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效益指标：有效促进城市管理优化升级；有效改善城市管理；有效改善生态环境卫生。</w:t>
      </w:r>
    </w:p>
    <w:p w14:paraId="62D5F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right="0" w:firstLine="280" w:firstLineChars="10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满意度指标：群众满意度≥96%。</w:t>
      </w:r>
    </w:p>
    <w:p w14:paraId="1FD555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 xml:space="preserve"> 6</w:t>
      </w:r>
      <w:r>
        <w:rPr>
          <w:rFonts w:hint="eastAsia" w:asciiTheme="minorEastAsia" w:hAnsiTheme="minorEastAsia" w:eastAsiaTheme="minorEastAsia" w:cstheme="minorBidi"/>
          <w:kern w:val="2"/>
          <w:sz w:val="28"/>
          <w:szCs w:val="28"/>
          <w:lang w:val="en-US" w:eastAsia="zh-CN" w:bidi="ar-SA"/>
          <w14:ligatures w14:val="standardContextual"/>
        </w:rPr>
        <w:t>、“白沙镇农业农村服务中心运转工作经费”项目</w:t>
      </w:r>
    </w:p>
    <w:p w14:paraId="467B54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项目主要内容：用于白沙镇农业农村服务中心工作经费支出。2026年预算安排28万元，资金来源为一般公共预算财政拨款。</w:t>
      </w:r>
    </w:p>
    <w:p w14:paraId="0E3A48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年度绩效目标：保障中心正常运转，完成镇区工作任务</w:t>
      </w:r>
    </w:p>
    <w:p w14:paraId="0D8241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成本指标：项目资金总额28万元。对社会发展的无负面影响。对生态环境无负面影响。</w:t>
      </w:r>
      <w:bookmarkStart w:id="1" w:name="_GoBack"/>
      <w:bookmarkEnd w:id="1"/>
    </w:p>
    <w:p w14:paraId="539415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产出指标：农村集体“三资”监管行政村数/年=38个；惠农惠民补贴政策宣传发放行政村数/年=38个；推动提升土地流转率/年≥5%；宅基地巡查审批管理次数/年≥24次；质量指标=100%；时效指标＝12个月。</w:t>
      </w:r>
    </w:p>
    <w:p w14:paraId="0E6CBB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效益指标：提升镇区经济；提升居民生活质量；提升人居环境质量。</w:t>
      </w:r>
    </w:p>
    <w:p w14:paraId="4436D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满意度指标：群众满意度≥95%。</w:t>
      </w:r>
    </w:p>
    <w:p w14:paraId="0AE2687F">
      <w:pPr>
        <w:spacing w:line="360" w:lineRule="auto"/>
        <w:ind w:firstLine="560" w:firstLineChars="200"/>
        <w:jc w:val="left"/>
        <w:textAlignment w:val="baseline"/>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7、“镇区中心运转工作经费”项目</w:t>
      </w:r>
    </w:p>
    <w:p w14:paraId="33514944">
      <w:pPr>
        <w:spacing w:line="360" w:lineRule="auto"/>
        <w:ind w:firstLine="560" w:firstLineChars="200"/>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年度绩效目标：保障中心正常运转，完成镇区工作任务</w:t>
      </w:r>
    </w:p>
    <w:p w14:paraId="6D16E275">
      <w:pPr>
        <w:spacing w:line="360" w:lineRule="auto"/>
        <w:ind w:firstLine="560" w:firstLineChars="200"/>
        <w:jc w:val="left"/>
        <w:textAlignment w:val="baseline"/>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成本指标</w:t>
      </w:r>
      <w:r>
        <w:rPr>
          <w:rFonts w:hint="eastAsia" w:asciiTheme="minorEastAsia" w:hAnsiTheme="minorEastAsia"/>
          <w:sz w:val="28"/>
          <w:szCs w:val="28"/>
          <w:lang w:val="en-US" w:eastAsia="zh-CN"/>
        </w:rPr>
        <w:t>：党群服务中心年均工作经费支出金额为15万元。对社会发展的无负面影响。对生态环境无负面影响。</w:t>
      </w:r>
    </w:p>
    <w:p w14:paraId="4A67A48B">
      <w:pPr>
        <w:spacing w:line="360" w:lineRule="auto"/>
        <w:ind w:firstLine="560" w:firstLineChars="200"/>
        <w:jc w:val="left"/>
        <w:textAlignment w:val="baseline"/>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产出指标</w:t>
      </w:r>
      <w:r>
        <w:rPr>
          <w:rFonts w:hint="eastAsia" w:asciiTheme="minorEastAsia" w:hAnsiTheme="minorEastAsia"/>
          <w:sz w:val="28"/>
          <w:szCs w:val="28"/>
          <w:lang w:val="en-US" w:eastAsia="zh-CN"/>
        </w:rPr>
        <w:t>：待遇领取认证≤12045人数；就业培训≥9次；政策宣传到≥38个村。</w:t>
      </w:r>
    </w:p>
    <w:p w14:paraId="4DD709D7">
      <w:pPr>
        <w:spacing w:line="360" w:lineRule="auto"/>
        <w:ind w:firstLine="560" w:firstLineChars="200"/>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效益指标：提升镇区经济、提升居民生活质量、升人居环境质量</w:t>
      </w:r>
    </w:p>
    <w:p w14:paraId="5399DE9B">
      <w:pPr>
        <w:spacing w:line="360" w:lineRule="auto"/>
        <w:ind w:firstLine="560" w:firstLineChars="200"/>
        <w:jc w:val="left"/>
        <w:textAlignment w:val="baseline"/>
        <w:rPr>
          <w:rFonts w:hint="eastAsia" w:asciiTheme="minorEastAsia" w:hAnsiTheme="minorEastAsia"/>
          <w:sz w:val="28"/>
          <w:szCs w:val="28"/>
        </w:rPr>
      </w:pPr>
      <w:r>
        <w:rPr>
          <w:rFonts w:hint="default" w:asciiTheme="minorEastAsia" w:hAnsiTheme="minorEastAsia"/>
          <w:sz w:val="28"/>
          <w:szCs w:val="28"/>
          <w:lang w:val="en-US" w:eastAsia="zh-CN"/>
        </w:rPr>
        <w:t>满意度指标</w:t>
      </w:r>
      <w:r>
        <w:rPr>
          <w:rFonts w:hint="eastAsia" w:asciiTheme="minorEastAsia" w:hAnsiTheme="minorEastAsia"/>
          <w:sz w:val="28"/>
          <w:szCs w:val="28"/>
          <w:lang w:val="en-US" w:eastAsia="zh-CN"/>
        </w:rPr>
        <w:t>：居民对政府满意度≥95%。</w:t>
      </w:r>
    </w:p>
    <w:p w14:paraId="32AABA6E">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九、其他需要说明的情况</w:t>
      </w:r>
    </w:p>
    <w:p w14:paraId="3B2D2F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（一）对空表的说明：</w:t>
      </w:r>
    </w:p>
    <w:p w14:paraId="60392C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1．本单位无政府性基金收支情况，因此表格为空；</w:t>
      </w:r>
    </w:p>
    <w:p w14:paraId="5280E7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2、本单位无国有资本经营支出，故表格为空。</w:t>
      </w:r>
    </w:p>
    <w:p w14:paraId="2716F9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（二）对其他情况的说明：</w:t>
      </w:r>
    </w:p>
    <w:p w14:paraId="678042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15" w:lineRule="atLeast"/>
        <w:ind w:left="0" w:right="0" w:firstLine="420"/>
        <w:jc w:val="both"/>
        <w:rPr>
          <w:rFonts w:hint="eastAsia" w:asciiTheme="minorEastAsia" w:hAnsiTheme="minorEastAsia" w:eastAsiaTheme="minorEastAsia" w:cstheme="minorBidi"/>
          <w:kern w:val="2"/>
          <w:sz w:val="28"/>
          <w:szCs w:val="28"/>
          <w:lang w:val="en-US" w:eastAsia="zh-CN" w:bidi="ar-SA"/>
          <w14:ligatures w14:val="standardContextual"/>
        </w:rPr>
      </w:pPr>
      <w:r>
        <w:rPr>
          <w:rFonts w:hint="eastAsia" w:asciiTheme="minorEastAsia" w:hAnsiTheme="minorEastAsia" w:eastAsiaTheme="minorEastAsia" w:cstheme="minorBidi"/>
          <w:kern w:val="2"/>
          <w:sz w:val="28"/>
          <w:szCs w:val="28"/>
          <w:lang w:val="en-US" w:eastAsia="zh-CN" w:bidi="ar-SA"/>
          <w14:ligatures w14:val="standardContextual"/>
        </w:rPr>
        <w:t>无</w:t>
      </w:r>
    </w:p>
    <w:p w14:paraId="2322A821">
      <w:pPr>
        <w:spacing w:line="360" w:lineRule="auto"/>
        <w:ind w:left="420" w:leftChars="200" w:firstLine="200"/>
        <w:jc w:val="left"/>
        <w:textAlignment w:val="baseline"/>
        <w:rPr>
          <w:rFonts w:asciiTheme="minorEastAsia" w:hAnsiTheme="minorEastAsia"/>
          <w:sz w:val="28"/>
          <w:szCs w:val="28"/>
          <w:u w:val="single"/>
        </w:rPr>
      </w:pPr>
    </w:p>
    <w:p w14:paraId="4907ACF7">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十、专业名词解释</w:t>
      </w:r>
    </w:p>
    <w:p w14:paraId="762B9411">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6A085371">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3E8A9143">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99FA87D">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4.财政拨款（补助）收入：指从同级财政部门取得的财政预算资金。</w:t>
      </w:r>
    </w:p>
    <w:p w14:paraId="11F851F4">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5.其他收入：指除上述“财政拨款收入”以外任务相应安排的资金。</w:t>
      </w:r>
    </w:p>
    <w:p w14:paraId="3F7B899E">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6.基本支出：指为保障机构正常运转、完成日常工作任务而发生的人员支出和公用支出。</w:t>
      </w:r>
    </w:p>
    <w:p w14:paraId="72666277">
      <w:pPr>
        <w:spacing w:line="360" w:lineRule="auto"/>
        <w:ind w:firstLine="560" w:firstLineChars="200"/>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rPr>
        <w:t>7.项目支出：指在基本支出之外为完成特定行政任务和事业发展目标所发生的支出。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AE5C2"/>
    <w:multiLevelType w:val="singleLevel"/>
    <w:tmpl w:val="C95AE5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8236132"/>
    <w:rsid w:val="0C040028"/>
    <w:rsid w:val="0C8C5F76"/>
    <w:rsid w:val="113109BC"/>
    <w:rsid w:val="121E62E8"/>
    <w:rsid w:val="29EB291E"/>
    <w:rsid w:val="31FB3473"/>
    <w:rsid w:val="46BF20A2"/>
    <w:rsid w:val="4BC845F3"/>
    <w:rsid w:val="4EA81DC4"/>
    <w:rsid w:val="50616DC4"/>
    <w:rsid w:val="533D0066"/>
    <w:rsid w:val="567C6706"/>
    <w:rsid w:val="57AF6600"/>
    <w:rsid w:val="61987808"/>
    <w:rsid w:val="76272E98"/>
    <w:rsid w:val="76FB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5121</Words>
  <Characters>5494</Characters>
  <Lines>27</Lines>
  <Paragraphs>7</Paragraphs>
  <TotalTime>0</TotalTime>
  <ScaleCrop>false</ScaleCrop>
  <LinksUpToDate>false</LinksUpToDate>
  <CharactersWithSpaces>5508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锁骨的印迹</cp:lastModifiedBy>
  <dcterms:modified xsi:type="dcterms:W3CDTF">2026-02-06T06:28:57Z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eyJoZGlkIjoiMDI1NGEzM2Q2MGQyYzM4NjFiMTgyMDNlYjA4ZGEzMmQiLCJ1c2VySWQiOiIzMTI0NTAyMjcifQ==</vt:lpwstr>
  </property>
  <property fmtid="{D5CDD505-2E9C-101B-9397-08002B2CF9AE}" pid="3" name="KSOProductBuildVer">
    <vt:lpwstr>2052-12.1.0.24657</vt:lpwstr>
  </property>
  <property fmtid="{D5CDD505-2E9C-101B-9397-08002B2CF9AE}" pid="4" name="ICV">
    <vt:lpwstr>6924FE12495F49FB8389FFD871ED2734_13</vt:lpwstr>
  </property>
</Properties>
</file>