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baseline"/>
        <w:rPr>
          <w:rFonts w:cs="宋体" w:asciiTheme="minorEastAsia" w:hAnsiTheme="minorEastAsia"/>
          <w:b/>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cs="宋体" w:asciiTheme="minorEastAsia" w:hAnsiTheme="minorEastAsia"/>
          <w:b/>
          <w:color w:val="000000"/>
          <w:sz w:val="44"/>
          <w:szCs w:val="44"/>
        </w:rPr>
      </w:pPr>
      <w:r>
        <w:rPr>
          <w:rFonts w:hint="eastAsia" w:ascii="方正小标宋简体" w:hAnsi="方正小标宋简体" w:eastAsia="方正小标宋简体" w:cs="方正小标宋简体"/>
          <w:b w:val="0"/>
          <w:bCs/>
          <w:color w:val="000000"/>
          <w:sz w:val="44"/>
          <w:szCs w:val="44"/>
        </w:rPr>
        <w:t>2026年</w:t>
      </w:r>
      <w:r>
        <w:rPr>
          <w:rFonts w:hint="eastAsia" w:ascii="方正小标宋简体" w:hAnsi="方正小标宋简体" w:eastAsia="方正小标宋简体" w:cs="方正小标宋简体"/>
          <w:b w:val="0"/>
          <w:bCs/>
          <w:color w:val="000000"/>
          <w:sz w:val="44"/>
          <w:szCs w:val="44"/>
          <w:u w:val="none"/>
          <w:lang w:val="en-US" w:eastAsia="zh-CN"/>
        </w:rPr>
        <w:t>阳新县浮屠镇人民政府本级</w:t>
      </w:r>
      <w:bookmarkStart w:id="2" w:name="_GoBack"/>
      <w:bookmarkEnd w:id="2"/>
      <w:r>
        <w:rPr>
          <w:rFonts w:hint="eastAsia" w:ascii="方正小标宋简体" w:hAnsi="方正小标宋简体" w:eastAsia="方正小标宋简体" w:cs="方正小标宋简体"/>
          <w:b w:val="0"/>
          <w:bCs/>
          <w:color w:val="000000"/>
          <w:sz w:val="44"/>
          <w:szCs w:val="44"/>
        </w:rPr>
        <w:t>预算公开情况说明</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3" w:firstLineChars="200"/>
        <w:jc w:val="left"/>
        <w:textAlignment w:val="baseline"/>
        <w:rPr>
          <w:rFonts w:cs="宋体" w:asciiTheme="minorEastAsia" w:hAnsiTheme="minorEastAsia"/>
          <w:b/>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baseline"/>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一、部门（单位）主要职责</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三、预算收支安排及增减变化情况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四、机关运行经费安排情况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五、一般公共预算“三公”经费及增减变化情况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六、政府采购预算安排情况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七、国有资产占用情况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八、重点项目预算绩效情况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0" w:firstLineChars="2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0" w:firstLineChars="2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0" w:firstLineChars="2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0" w:firstLineChars="200"/>
        <w:jc w:val="left"/>
        <w:textAlignment w:val="baseline"/>
        <w:rPr>
          <w:rFonts w:asciiTheme="minorEastAsia" w:hAnsiTheme="minorEastAsia"/>
          <w:sz w:val="36"/>
          <w:szCs w:val="36"/>
        </w:rPr>
      </w:pPr>
    </w:p>
    <w:p>
      <w:pPr>
        <w:keepNext w:val="0"/>
        <w:keepLines w:val="0"/>
        <w:pageBreakBefore w:val="0"/>
        <w:widowControl w:val="0"/>
        <w:kinsoku/>
        <w:overflowPunct/>
        <w:topLinePunct w:val="0"/>
        <w:autoSpaceDE/>
        <w:autoSpaceDN/>
        <w:bidi w:val="0"/>
        <w:adjustRightInd/>
        <w:snapToGrid/>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黑体" w:hAnsi="黑体" w:eastAsia="黑体" w:cs="黑体"/>
          <w:b w:val="0"/>
          <w:bCs/>
          <w:sz w:val="32"/>
          <w:szCs w:val="32"/>
        </w:rPr>
      </w:pPr>
      <w:r>
        <w:rPr>
          <w:rFonts w:hint="eastAsia" w:ascii="黑体" w:hAnsi="黑体" w:eastAsia="黑体" w:cs="黑体"/>
          <w:b w:val="0"/>
          <w:bCs/>
          <w:color w:val="000000"/>
          <w:sz w:val="32"/>
          <w:szCs w:val="32"/>
        </w:rPr>
        <w:t>一、部门（单位）主要职责</w:t>
      </w:r>
    </w:p>
    <w:p>
      <w:pPr>
        <w:keepNext w:val="0"/>
        <w:keepLines w:val="0"/>
        <w:pageBreakBefore w:val="0"/>
        <w:widowControl w:val="0"/>
        <w:kinsoku/>
        <w:wordWrap w:val="0"/>
        <w:overflowPunct/>
        <w:topLinePunct w:val="0"/>
        <w:autoSpaceDE/>
        <w:autoSpaceDN/>
        <w:bidi w:val="0"/>
        <w:adjustRightInd/>
        <w:snapToGrid/>
        <w:spacing w:line="560" w:lineRule="exact"/>
        <w:ind w:right="6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阳新县浮屠镇人民政府本级</w:t>
      </w:r>
      <w:r>
        <w:rPr>
          <w:rFonts w:hint="eastAsia" w:ascii="仿宋_GB2312" w:hAnsi="仿宋_GB2312" w:eastAsia="仿宋_GB2312" w:cs="仿宋_GB2312"/>
          <w:color w:val="000000"/>
          <w:sz w:val="32"/>
          <w:szCs w:val="32"/>
        </w:rPr>
        <w:t>主要职责是：</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olor w:val="000000"/>
          <w:sz w:val="32"/>
          <w:szCs w:val="32"/>
          <w:u w:val="none"/>
        </w:rPr>
        <w:t>1</w:t>
      </w:r>
      <w:r>
        <w:rPr>
          <w:rFonts w:hint="eastAsia" w:ascii="仿宋_GB2312" w:hAnsi="仿宋_GB2312" w:eastAsia="仿宋_GB2312" w:cs="仿宋_GB2312"/>
          <w:i w:val="0"/>
          <w:iCs w:val="0"/>
          <w:color w:val="000000"/>
          <w:sz w:val="32"/>
          <w:szCs w:val="32"/>
          <w:u w:val="none"/>
          <w:lang w:val="en-US" w:eastAsia="zh-CN"/>
        </w:rPr>
        <w:t>.</w:t>
      </w:r>
      <w:r>
        <w:rPr>
          <w:rFonts w:hint="eastAsia" w:ascii="仿宋_GB2312" w:hAnsi="仿宋_GB2312" w:eastAsia="仿宋_GB2312" w:cs="仿宋_GB2312"/>
          <w:i w:val="0"/>
          <w:iCs w:val="0"/>
          <w:sz w:val="32"/>
          <w:szCs w:val="32"/>
          <w:u w:val="none"/>
          <w:lang w:val="en-US" w:eastAsia="zh-CN"/>
        </w:rPr>
        <w:t>宣传、贯彻落实党和国家各项方针政策和法律法规，执行上级的决议、决定。研究决定本镇经济建设、政治建设、文化建设、社会建设、生态文明建设和党的建设等方面的重大问题。执行本级党员代表大会和人民代表大会的决议，发布决定和命令</w:t>
      </w:r>
      <w:r>
        <w:rPr>
          <w:rFonts w:hint="eastAsia" w:ascii="仿宋_GB2312" w:hAnsi="仿宋_GB2312" w:eastAsia="仿宋_GB2312" w:cs="仿宋_GB2312"/>
          <w:i w:val="0"/>
          <w:iCs w:val="0"/>
          <w:sz w:val="32"/>
          <w:szCs w:val="32"/>
          <w:u w:val="none"/>
        </w:rPr>
        <w:t>；</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落实基层党建工作责任制和基层党组织建设各项制度，统筹抓好基层党建工作。坚持和完善党的全面领导，加强乡镇党委自身建设和村（社区）党组织建设，以及其他隶属乡镇党委的党组织建设。抓好发展党员工作，加强党员队伍建设。维护和执行党的纪律，监督党员干部和其他任何工作人员严格遵守国家法律法规。</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3.统筹制定区域发展重大决策和建设规划，引导和扶持各类经济组织的发展。实施乡村振兴战略，指导农村经济发展，推进农业结构调整，组织引导农村富余劳动力向非农产业和城镇转移。积极维护社会经济秩序，营造公正、公平的发展环境，着力解决工业化和城镇化发展进程中的各种问题，提高经济发展的质量和水平。</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4.统筹负责辖区公共服务工作。加强对各类服务提供主体的统筹协调和有效监管。负责协调下放乡镇审批服务事项承接工作，推进乡镇便民服务平台标准化建设。组织实施公共服务、社会事务、政务服务以及党群服务等相关工作，落实劳动就业、社会保障、民政、教育、文化、体育、卫生健康、土地流转、退役军人服务等领域相关政策，推动优质公共服务资源向村级延伸。防疫、气象灾害防御、食品药品安全等应急管理工作，建立健全各种应急机制。</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5.统筹负责辖区综合治理工作。加强社会主义民主法治建设和精神文明建设，做好生态环保、美丽乡村建设、民生保障、脱贫致富、民族宗教等工作。承担辖区平安建设和法治建设工作，协调推动预防、化解影响稳定的社会矛盾和风险。负责处理群众来信来访工作。承担辖区社会治安综合治理、公共安全及安全生产监管等相关工作，做好安全生产、防汛、防旱、防风、防火、防疫、气象灾害防御、食品药品安全等应急管理工作，建立健全各种应急机制。</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6.统筹负责辖区综合行政执法工作。组织实施辖区内综合行政执法工作，统一指挥调度派驻执法机构开展执法活动。</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7.完善党领导下的基层社会治理体系，提高基层自治水平，发挥村（社区）基层党组织在群众自治组织建设中的领导核心作用，推进社会主义基层协商民主建设，做好组织群众、宣传群众、凝聚群众、服务群众工作，发挥村（居）民在基层社会治理中的主体作用，提高基层自治整体水平。</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8.动员辖区内各类单位、社会组织和村（居）民等社会力量参与社会治理,引导辖区内单位履行社会责任，整合区域内各种社会力量为辖区发展服务。</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9.编制本镇经济发展规划和财政预决算计划，负责经费的划拨和核算工作，并指导、协调、监督村（社区）和农村合作经济组织的财务、会计、审计工作。负责推进农业农村现代化，推动经济发展，增加农民收入。</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10.按照干部管理权限，负责对干部的教育、培训、选拔、考核和监督工作。协助管理上级有关部门驻乡镇单位的干部。做好人才服务和引进工作。</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11.承办县委、县政府以及其他上级部门交办的其他事项。</w:t>
      </w: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仿宋_GB2312" w:hAnsi="仿宋_GB2312" w:eastAsia="仿宋_GB2312" w:cs="仿宋_GB2312"/>
          <w:i w:val="0"/>
          <w:iCs w:val="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sz w:val="32"/>
          <w:szCs w:val="32"/>
        </w:rPr>
      </w:pPr>
      <w:r>
        <w:rPr>
          <w:rFonts w:hint="eastAsia" w:ascii="黑体" w:hAnsi="黑体" w:eastAsia="黑体" w:cs="黑体"/>
          <w:b w:val="0"/>
          <w:bCs/>
          <w:color w:val="000000"/>
          <w:sz w:val="32"/>
          <w:szCs w:val="32"/>
        </w:rPr>
        <w:t>二、机构设置情况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bookmarkStart w:id="0" w:name="OLE_LINK2"/>
      <w:r>
        <w:rPr>
          <w:rFonts w:hint="eastAsia" w:ascii="仿宋_GB2312" w:hAnsi="仿宋_GB2312" w:eastAsia="仿宋_GB2312" w:cs="仿宋_GB2312"/>
          <w:color w:val="000000"/>
          <w:sz w:val="32"/>
          <w:szCs w:val="32"/>
          <w:lang w:val="en-US" w:eastAsia="zh-CN"/>
        </w:rPr>
        <w:t>阳新县浮屠镇人民政府</w:t>
      </w:r>
      <w:r>
        <w:rPr>
          <w:rFonts w:hint="eastAsia" w:ascii="仿宋_GB2312" w:hAnsi="仿宋_GB2312" w:eastAsia="仿宋_GB2312" w:cs="仿宋_GB2312"/>
          <w:i w:val="0"/>
          <w:iCs w:val="0"/>
          <w:sz w:val="32"/>
          <w:szCs w:val="32"/>
          <w:u w:val="none"/>
          <w:lang w:val="en-US" w:eastAsia="zh-CN"/>
        </w:rPr>
        <w:t>（本级）</w:t>
      </w:r>
      <w:bookmarkEnd w:id="0"/>
      <w:r>
        <w:rPr>
          <w:rFonts w:hint="eastAsia" w:ascii="仿宋_GB2312" w:hAnsi="仿宋_GB2312" w:eastAsia="仿宋_GB2312" w:cs="仿宋_GB2312"/>
          <w:i w:val="0"/>
          <w:iCs w:val="0"/>
          <w:sz w:val="32"/>
          <w:szCs w:val="32"/>
          <w:u w:val="none"/>
          <w:lang w:val="en-US" w:eastAsia="zh-CN"/>
        </w:rPr>
        <w:t>为</w:t>
      </w:r>
      <w:r>
        <w:rPr>
          <w:rFonts w:hint="eastAsia" w:ascii="仿宋_GB2312" w:hAnsi="仿宋_GB2312" w:eastAsia="仿宋_GB2312" w:cs="仿宋_GB2312"/>
          <w:color w:val="000000"/>
          <w:sz w:val="32"/>
          <w:szCs w:val="32"/>
          <w:lang w:val="en-US" w:eastAsia="zh-CN"/>
        </w:rPr>
        <w:t>阳新县浮屠镇人民政府部门的二级预算单位</w:t>
      </w:r>
      <w:r>
        <w:rPr>
          <w:rFonts w:hint="eastAsia" w:ascii="仿宋_GB2312" w:hAnsi="仿宋_GB2312" w:eastAsia="仿宋_GB2312" w:cs="仿宋_GB2312"/>
          <w:i w:val="0"/>
          <w:iCs w:val="0"/>
          <w:sz w:val="32"/>
          <w:szCs w:val="32"/>
          <w:u w:val="none"/>
          <w:lang w:val="en-US" w:eastAsia="zh-CN"/>
        </w:rPr>
        <w:t>，由镇政府机关、0个机关直属参公管理事业单位及0个公益类事业单位合并编制报表。</w:t>
      </w:r>
      <w:r>
        <w:rPr>
          <w:rFonts w:hint="eastAsia" w:ascii="仿宋_GB2312" w:hAnsi="仿宋_GB2312" w:eastAsia="仿宋_GB2312" w:cs="仿宋_GB2312"/>
          <w:color w:val="000000"/>
          <w:sz w:val="32"/>
          <w:szCs w:val="32"/>
          <w:lang w:val="en-US" w:eastAsia="zh-CN"/>
        </w:rPr>
        <w:t>内设党政办、组织办、纪委办、综治办、经发办、乡村振兴办、综合执法中心、党群服务中心、和农业农村中心等9个机构。</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560" w:firstLineChars="200"/>
        <w:jc w:val="left"/>
        <w:textAlignment w:val="baseline"/>
        <w:rPr>
          <w:rFonts w:asciiTheme="minorEastAsia" w:hAnsiTheme="minor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bookmarkStart w:id="1" w:name="OLE_LINK1"/>
      <w:r>
        <w:rPr>
          <w:rFonts w:hint="eastAsia" w:ascii="黑体" w:hAnsi="黑体" w:eastAsia="黑体" w:cs="黑体"/>
          <w:b w:val="0"/>
          <w:bCs/>
          <w:color w:val="000000"/>
          <w:sz w:val="32"/>
          <w:szCs w:val="32"/>
        </w:rPr>
        <w:t>三、预算收支及增减变化情况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1.预算收入情况：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2026年本年收入预算为1516.30万元，比上年增加29.30万元,增加1.97%。其中，经费拨款1276.30万元，财政专户管理资金收入0万元，其他收入240万元。收入增加原因：其他收入纳入预算。                </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2.预算支出情况：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2026年本年支出预算1516.30万元，比上年增加29.30万元，增加1.97%。其中：基本支出1105.29万元，占总支出的 72.89%；项目支出411.01万元,占总支出的27.11%。本年支出构成为：一般公共服务支出1476.3万元，占本年支出97.36%；城乡社区支出40万元，占本年支出2.64%。</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支出增加原因：（1）2026年基本支出比上年增加19.19万元，主要是人员变动；</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（2）2026年项目支出比上年增加10.11万元，主要增加原因为：其他收入纳入预算。</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3.2026年无政府性基金预算支出，无举借政府债务的情况，与上年一致。      </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asciiTheme="minorEastAsia" w:hAnsiTheme="minorEastAsia"/>
          <w:sz w:val="28"/>
          <w:szCs w:val="28"/>
        </w:rPr>
      </w:pPr>
      <w:r>
        <w:rPr>
          <w:rFonts w:hint="eastAsia" w:ascii="仿宋_GB2312" w:hAnsi="仿宋_GB2312" w:eastAsia="仿宋_GB2312" w:cs="仿宋_GB2312"/>
          <w:color w:val="000000"/>
          <w:sz w:val="32"/>
          <w:szCs w:val="32"/>
          <w:lang w:val="en-US" w:eastAsia="zh-CN"/>
        </w:rPr>
        <w:t xml:space="preserve">   </w:t>
      </w:r>
      <w:bookmarkEnd w:id="1"/>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四、机关运行经费安排情况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机关运行经费预算总额为96.83万元，与上年相比减少3.61万元，减少3.59%。减少原因主要是：一是本年预算未列支福利费；二是依据机关运行实际足额编列水电费、维修（护）费、委托业务费等。其中，办公费48.20万元，维修（护）费4.00万元，工会经费9.73万元, 公务用车运行维护费4.50万元，其他交通费25.61万元，其他商品和服务支出4.80万元。</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560" w:firstLineChars="200"/>
        <w:jc w:val="left"/>
        <w:textAlignment w:val="baseline"/>
        <w:rPr>
          <w:rFonts w:asciiTheme="minorEastAsia" w:hAnsiTheme="minor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五、一般公共预算“三公”经费及增减变化情况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2026年“三公”经费一般公共预算总额4.50万元，与上年持平。分别如下：</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1.公务接待费0.00万元，与上年持平。主要原因是无公务接待任务安排。</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2.公务用车购置及运行费4.50万元，与上年持平。其中：</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公务用车购置费0元，与上年持平，主要原因是无公务用车购置计划； </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公务用车运行费4.50万元，与上年持平,主要原因是进一步加强公务车加油、维修、使用管理。</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3.因公出国（境）费0万元，与上年持平。主要是无因公出国（境）计划。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baseline"/>
        <w:rPr>
          <w:rFonts w:asciiTheme="minorEastAsia" w:hAnsiTheme="minor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六、政府采购预算安排情况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根据《湖北省政府集中采购目录及标准（2021年）》要求，2026 年编制政府采购预算0万元，与上年持平。主要原因：我单位本年度无政府采购计划。</w:t>
      </w: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Theme="minorEastAsia" w:hAnsiTheme="minorEastAsia"/>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七、国有资产占用情况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2026年占有房屋面积13410.56平方米，大型专用设备数量为0，现有公务用车2辆。</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土地、房屋及构筑物：房屋建筑面积为13410.56平方米，其中，办公用房6692.26平方米。</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通用设备：含电脑、打印机、复印机、传真机、投影仪、空调等若干设备。</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文物和陈列品：无。</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图书、档案：无。</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家具、用具、装具及动植物：家具44.12万元。</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八、重点项目预算绩效情况</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1.“镇区招商引资”项目</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项目内容：通过项目支出预算，开展招商引资活动，吸引企业来本地发展，带动地方经济发展和就业。2026年预算安排170万元，资金来源为当年一般公共预算财政拨款。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2026年度项目绩效目标：开展招商引资宣传、吸引外地企业投资建厂，提高地方经济活力。</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成本指标：项目运行成本≤170万元；对社会发展无负面影响；对生态环境无负面影响。</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产出指标：招商引资活动次数≥2次；镇区年度产业投资总金额增长≥5%；年初计划目标基本完成；年终各项工作考核合格。</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效益指标：提高镇区税收收入；提提高镇区新增就业率；改善地区生态环境质量。</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2.镇区信访维稳”项目</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项目内容：通过项目支出预算，落根据镇区群众历史上访情况，开展信访维稳工作，保障政府部门正常运转。2026年预算安排50万元，资金来源为当年一般公共预算财政拨款。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2026年度项目绩效目标：维护地方稳定，保障群众权利，提高人民群众幸福感。</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成本指标：项目运行成本≤50万元；对社会发展无负面影响；对生态环境无负面影响。</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产出指标：降低上访次数≥10次；信访案件降低率≥20%；年初计划目标基本完成；年终各项工作考核合格。</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效益指标：维持地方稳定，促进经济发展；提高群众幸福感、获得感、安全感；改善地区生态环境质量。</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黑体" w:hAnsi="黑体" w:eastAsia="黑体" w:cs="黑体"/>
          <w:b w:val="0"/>
          <w:bCs/>
          <w:color w:val="000000"/>
          <w:sz w:val="32"/>
          <w:szCs w:val="32"/>
          <w:lang w:val="en-US" w:eastAsia="zh-CN"/>
        </w:rPr>
        <w:t>3</w:t>
      </w:r>
      <w:r>
        <w:rPr>
          <w:rFonts w:hint="eastAsia" w:ascii="楷体_GB2312" w:hAnsi="楷体_GB2312" w:eastAsia="楷体_GB2312" w:cs="楷体_GB2312"/>
          <w:color w:val="000000"/>
          <w:sz w:val="32"/>
          <w:szCs w:val="32"/>
          <w:lang w:val="en-US" w:eastAsia="zh-CN"/>
        </w:rPr>
        <w:t>.“镇区综合事务发展”项目</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项目内容：通过项目支出预算，开展镇区森林防火、汛期防汛、疫情防控等综合性事务工作。2026年预算安排150万元，资金来源为当年一般公共预算财政拨款。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2026年度项目绩效目标：提高镇区应急救援效率，保障群众生命财产安全，打造安全美丽镇区。</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成本指标：综合事务发展资金成本≤150万元；对社会发展无负面影响；对生态环境无负面影响。</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产出指标：降低灾害伤亡人数≥2人；有效提高镇区灾害防范救助成果；项目总时长1年。</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效益指标：对镇区经济发展的促进作用；维护镇区社会安全与稳定；明显改善地区生态环境质量。</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4.“人大代表活动经费”项目</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项目内容：保障浮屠镇政府人大代表相关活动顺利开展。2026年预算安排1.008万元，资金来源为当年一般公共预算财政拨款。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2026年度项目绩效总目标是：通过本项目的实施，保障浮屠镇人大活动正常运转。</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成本指标：人大代表活动经费≤1.008万元；对社会发展无负面影响；对生态环境无负面影响。</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产出指标：全年开展人大活动次数为2次（召开人大会议1次，开展人大选举活动1次）。</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效益指标：人大代表充分反映民情民意；代表履职能力明显提升；干群关系明显改善。</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5.镇区协调工作经费</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项目内容：协调项目工作经费。2026年预算安排40万元，资金来源为当年一般公共预算财政拨款。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2026年度项目绩效总目标是：加速推进项目建设。</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成本指标：特高压工作经费≤40万元；对社会发展无负面影响；对生态环境无负面影响。</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产出指标：完成塔基建设100个，完成管道建设10公里；项目总时长1年。</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效益指标：提高贸易通达率，加快地方经济发展；建设环境改善；维护良好社会秩序。</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对空表的说明：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1.本单位无政府性基金收支情况，因此表格为空；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2.本单位无国有资本经营收支情况，因此表格为空。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（二）对其他情况的说明：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62" w:firstLine="640" w:firstLineChars="200"/>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1.机关运行经费：</w:t>
      </w:r>
      <w:r>
        <w:rPr>
          <w:rFonts w:hint="eastAsia" w:ascii="仿宋_GB2312" w:hAnsi="仿宋_GB2312" w:eastAsia="仿宋_GB2312" w:cs="仿宋_GB2312"/>
          <w:sz w:val="32"/>
          <w:szCs w:val="32"/>
        </w:rPr>
        <w:t>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2.“三公”经费：</w:t>
      </w:r>
      <w:r>
        <w:rPr>
          <w:rFonts w:hint="eastAsia" w:ascii="仿宋_GB2312" w:hAnsi="仿宋_GB2312" w:eastAsia="仿宋_GB2312" w:cs="仿宋_GB2312"/>
          <w:sz w:val="32"/>
          <w:szCs w:val="32"/>
        </w:rPr>
        <w:t>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3.政府采购：</w:t>
      </w:r>
      <w:r>
        <w:rPr>
          <w:rFonts w:hint="eastAsia" w:ascii="仿宋_GB2312" w:hAnsi="仿宋_GB2312" w:eastAsia="仿宋_GB2312" w:cs="仿宋_GB2312"/>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4.财政拨款（补助）收入：</w:t>
      </w:r>
      <w:r>
        <w:rPr>
          <w:rFonts w:hint="eastAsia" w:ascii="仿宋_GB2312" w:hAnsi="仿宋_GB2312" w:eastAsia="仿宋_GB2312" w:cs="仿宋_GB2312"/>
          <w:sz w:val="32"/>
          <w:szCs w:val="32"/>
        </w:rPr>
        <w:t>指从同级财政部门取得的财政预算资金。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5.其他收入：</w:t>
      </w:r>
      <w:r>
        <w:rPr>
          <w:rFonts w:hint="eastAsia" w:ascii="仿宋_GB2312" w:hAnsi="仿宋_GB2312" w:eastAsia="仿宋_GB2312" w:cs="仿宋_GB2312"/>
          <w:sz w:val="32"/>
          <w:szCs w:val="32"/>
        </w:rPr>
        <w:t>指除上述“财政拨款收入”以外任务相应安排的资金。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6.基本支出：</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default" w:asciiTheme="minorEastAsia" w:hAnsiTheme="minorEastAsia"/>
          <w:sz w:val="28"/>
          <w:szCs w:val="28"/>
          <w:lang w:val="en-US"/>
        </w:rPr>
      </w:pPr>
      <w:r>
        <w:rPr>
          <w:rFonts w:hint="eastAsia" w:ascii="楷体_GB2312" w:hAnsi="楷体_GB2312" w:eastAsia="楷体_GB2312" w:cs="楷体_GB2312"/>
          <w:sz w:val="32"/>
          <w:szCs w:val="32"/>
        </w:rPr>
        <w:t>7.项目支出：</w:t>
      </w:r>
      <w:r>
        <w:rPr>
          <w:rFonts w:hint="eastAsia" w:ascii="仿宋_GB2312" w:hAnsi="仿宋_GB2312" w:eastAsia="仿宋_GB2312" w:cs="仿宋_GB2312"/>
          <w:sz w:val="32"/>
          <w:szCs w:val="32"/>
        </w:rPr>
        <w:t>指在基本支出之外为完成特定行政任务和事业发展目标所发生的支出</w:t>
      </w:r>
      <w:r>
        <w:rPr>
          <w:rFonts w:hint="eastAsia" w:ascii="仿宋_GB2312" w:hAnsi="仿宋_GB2312" w:eastAsia="仿宋_GB2312" w:cs="仿宋_GB2312"/>
          <w:sz w:val="32"/>
          <w:szCs w:val="32"/>
          <w:lang w:eastAsia="zh-CN"/>
        </w:rPr>
        <w:t>。</w:t>
      </w:r>
    </w:p>
    <w:sectPr>
      <w:pgSz w:w="11900" w:h="1682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ZTVmZWIyYTE1NWZiYmJmOTVmYjg4ZDNjOWY5YmM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57FB8"/>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35F3703"/>
    <w:rsid w:val="099A134E"/>
    <w:rsid w:val="1864035F"/>
    <w:rsid w:val="1ED039ED"/>
    <w:rsid w:val="2EC166E4"/>
    <w:rsid w:val="36C92CF2"/>
    <w:rsid w:val="39B904CA"/>
    <w:rsid w:val="3D2F6767"/>
    <w:rsid w:val="3F594EEE"/>
    <w:rsid w:val="445B50C0"/>
    <w:rsid w:val="4F2411C2"/>
    <w:rsid w:val="4F7275CA"/>
    <w:rsid w:val="52695D61"/>
    <w:rsid w:val="53A076C0"/>
    <w:rsid w:val="57881A65"/>
    <w:rsid w:val="5ACF7962"/>
    <w:rsid w:val="5C3B7B0F"/>
    <w:rsid w:val="60E318BB"/>
    <w:rsid w:val="6CBC0BC6"/>
    <w:rsid w:val="71273BEC"/>
    <w:rsid w:val="73B0114E"/>
    <w:rsid w:val="75A42408"/>
    <w:rsid w:val="7617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4357</Words>
  <Characters>4638</Characters>
  <Lines>27</Lines>
  <Paragraphs>7</Paragraphs>
  <TotalTime>26</TotalTime>
  <ScaleCrop>false</ScaleCrop>
  <LinksUpToDate>false</LinksUpToDate>
  <CharactersWithSpaces>4671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Lenovo</cp:lastModifiedBy>
  <cp:lastPrinted>2026-01-28T03:31:00Z</cp:lastPrinted>
  <dcterms:modified xsi:type="dcterms:W3CDTF">2026-01-28T03:39:46Z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7370EB10DD2F4A2BBEBC8F5A94847254_12</vt:lpwstr>
  </property>
</Properties>
</file>