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2618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40"/>
          <w:szCs w:val="40"/>
          <w:lang w:val="en-US" w:eastAsia="zh-CN" w:bidi="ar-SA"/>
        </w:rPr>
        <w:t>阳新县2025年推进甲鱼产业高质量发展</w:t>
      </w:r>
    </w:p>
    <w:p w14:paraId="21C7B87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40"/>
          <w:szCs w:val="40"/>
          <w:lang w:val="en-US" w:eastAsia="zh-CN" w:bidi="ar-SA"/>
        </w:rPr>
        <w:t>实施方案</w:t>
      </w:r>
    </w:p>
    <w:p w14:paraId="08529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416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贯彻落实黄石市委市政府关于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黄金湖甲鱼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的决策部署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有效促成《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黄石市推进黄金湖甲鱼产业高质量发展三年行动实施方案（2025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～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2027年）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》各项政策措施落实落地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，结合本县渔业生产实际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制定本方案。</w:t>
      </w:r>
    </w:p>
    <w:p w14:paraId="040A73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一、目标和任务</w:t>
      </w:r>
    </w:p>
    <w:p w14:paraId="497A42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贯彻乡村振兴战略部署，加快推进渔业绿色转型发展。以生态优先、提质增效为导向，示范推广稻鳖综合生态种养模式；合理探索鱼鳖或藕鳖立体混养模式，为渔民一池多收拓展新思路，为养殖户扩产增收提供新方法；持续推广池塘甲鱼专精养殖，提高养殖技术和综合效益，打造一批甲鱼养殖专精特新示范点。不断推广渔业养殖新品种，增加特色水产品养殖比例，提高渔业经济产值。</w:t>
      </w:r>
    </w:p>
    <w:p w14:paraId="27FC6E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rPr>
          <w:rFonts w:hint="eastAsia" w:ascii="Times New Roman" w:hAnsi="Times New Roman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二、建设内容和申报要求</w:t>
      </w:r>
    </w:p>
    <w:p w14:paraId="0D88F1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依据文件精神，结合阳新县甲鱼养殖产业发展现状，2025年安排市级财政资金200万元，重点用于扶持推广甲鱼养殖新模式，做好甲鱼养殖宣传推广工作。</w:t>
      </w:r>
    </w:p>
    <w:p w14:paraId="60A78D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textAlignment w:val="auto"/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（一）甲鱼苗种补贴</w:t>
      </w:r>
    </w:p>
    <w:p w14:paraId="0B196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对开展稻鳖、稻虾鳖、池塘养鳖等模式养殖进行甲鱼苗种补贴，要求投放甲鱼苗种规格每只0.5～1.2斤，每斤给予奖补10元。</w:t>
      </w:r>
    </w:p>
    <w:p w14:paraId="54CF53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（二）支持稻鳖综合种养</w:t>
      </w:r>
    </w:p>
    <w:p w14:paraId="12C861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2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1、基本要求</w:t>
      </w:r>
    </w:p>
    <w:p w14:paraId="71A096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申报主体需为开展稻鳖、稻虾鳖等模式养殖50亩以上，符合稻田标准化改造要求。</w:t>
      </w:r>
    </w:p>
    <w:p w14:paraId="47E137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稻田标准化改造：单块稻田面积25～60亩为宜；回型沟开挖面积不超过稻田面积的10%（建议回形沟规格：沿田埂内侧1～2m处开挖环沟，沟深1～1.2m），田埂宜高出田面0.6～0.8m，田埂宽3～4米为宜；有瓷砖或玻璃围栏防逃设施（围栏埋入土中20厘米，土上60厘米）；技术章程规范，生产记录、投入品管理和技术操作规程较为完善。水稻机插秧，固定行距。</w:t>
      </w:r>
    </w:p>
    <w:p w14:paraId="17DA47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甲鱼苗种投放：建议甲鱼苗种投放量为50～100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只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/亩，规格以1只/斤左右为宜。</w:t>
      </w:r>
    </w:p>
    <w:p w14:paraId="309F7E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2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奖补标准</w:t>
      </w:r>
    </w:p>
    <w:p w14:paraId="0C6E70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项目通过“以奖代补”形式给予资金扶持。具体补贴标准：</w:t>
      </w:r>
      <w:r>
        <w:rPr>
          <w:rFonts w:hint="default" w:ascii="Times New Roman" w:hAnsi="Times New Roman" w:eastAsia="仿宋_GB2312" w:cs="Calibri"/>
          <w:color w:val="000000"/>
          <w:kern w:val="0"/>
          <w:sz w:val="31"/>
          <w:szCs w:val="31"/>
          <w:lang w:val="en-US" w:eastAsia="zh-CN" w:bidi="ar"/>
        </w:rPr>
        <w:t>①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修缮原有瓷砖或玻璃围栏、修整环沟等，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按80元/亩补贴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Times New Roman" w:hAnsi="Times New Roman" w:eastAsia="仿宋_GB2312" w:cs="Calibri"/>
          <w:color w:val="000000"/>
          <w:kern w:val="0"/>
          <w:sz w:val="31"/>
          <w:szCs w:val="31"/>
          <w:lang w:val="en-US" w:eastAsia="zh-CN" w:bidi="ar"/>
        </w:rPr>
        <w:t>②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新建瓷砖或玻璃围栏，修整环沟等，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按150元/亩补贴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Times New Roman" w:hAnsi="Times New Roman" w:eastAsia="仿宋_GB2312" w:cs="Calibri"/>
          <w:color w:val="000000"/>
          <w:kern w:val="0"/>
          <w:sz w:val="31"/>
          <w:szCs w:val="31"/>
          <w:lang w:val="en-US" w:eastAsia="zh-CN" w:bidi="ar"/>
        </w:rPr>
        <w:t>③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新增稻田标准化改造，新建瓷砖或玻璃围栏防逃设施、开挖环沟、稻田平整等，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按400元/亩补贴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。单个主体最高奖补金额不超过30万元。</w:t>
      </w:r>
    </w:p>
    <w:p w14:paraId="28A327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b/>
          <w:bCs/>
          <w:sz w:val="32"/>
          <w:szCs w:val="32"/>
          <w:lang w:val="en-US" w:eastAsia="zh-CN"/>
        </w:rPr>
        <w:t>（三）支持池塘养鳖</w:t>
      </w:r>
    </w:p>
    <w:p w14:paraId="4DBB43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1、基本要求</w:t>
      </w:r>
    </w:p>
    <w:p w14:paraId="06C975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申报主体需为开展池塘鱼鳖或藕鳖混养50亩以上或改建甲鱼专养池塘30亩以上，符合相应模式池塘改造要求。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池塘鱼鳖或藕鳖混养改造：藕塘需要清出隔离条带，确保能够对甲鱼进行生产管理。混养池塘要求增设瓷砖或玻璃围栏防逃设施。建议池塘甲鱼混养模式苗种投放量为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100只/亩，规格以1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/斤为宜；</w:t>
      </w:r>
    </w:p>
    <w:p w14:paraId="28E66B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甲鱼专养池塘：单个甲鱼池面积在10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15亩为宜。一般改造模式：池塘改造清杂，修建晒背饵料台，增设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瓷砖或玻璃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围栏防逃设施；高标准改造模式：池塘改造清杂，边坡修整覆膜（坡比1:0.5，黑色帆布塑料膜），增设瓷砖或玻璃围栏防逃设施，修建水泥晒背饵料台，台下铺设塑料网格。建议甲鱼专养池塘养殖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苗种投放量为500～800只/亩，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规格以1～2只/斤为宜。</w:t>
      </w:r>
    </w:p>
    <w:p w14:paraId="292D3E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2、奖补标准</w:t>
      </w:r>
    </w:p>
    <w:p w14:paraId="248B1B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项目通过“以奖代补”形式给予资金扶持。具体补贴标准：</w:t>
      </w:r>
      <w:r>
        <w:rPr>
          <w:rFonts w:hint="default" w:ascii="Times New Roman" w:hAnsi="Times New Roman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池塘甲鱼混养模式按150元/亩补贴。每家主体奖补金额最高不超过5万元；</w:t>
      </w:r>
      <w:r>
        <w:rPr>
          <w:rFonts w:hint="default" w:ascii="Times New Roman" w:hAnsi="Times New Roman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甲鱼专养池塘一般改造模式，按1000元/亩补贴；</w:t>
      </w:r>
      <w:r>
        <w:rPr>
          <w:rFonts w:hint="default" w:ascii="Times New Roman" w:hAnsi="Times New Roman" w:eastAsia="仿宋_GB2312" w:cs="Calibri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甲鱼专养池塘高标准改造模式，按2000元/亩补贴。</w:t>
      </w:r>
    </w:p>
    <w:p w14:paraId="54648D8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rPr>
          <w:rFonts w:hint="default" w:ascii="Times New Roman" w:hAnsi="Times New Roman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项目申报及资金拨付流程</w:t>
      </w:r>
    </w:p>
    <w:p w14:paraId="7625D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(一)申报</w:t>
      </w:r>
    </w:p>
    <w:p w14:paraId="58E6F8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申报主体需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带动脱贫户或一般农户5户以上的企业、合作社、家庭农场和养殖场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申报奖补项目的农业经营主体直接或间接带动农户(村集体)年增收不少于申报奖补资金的20%。符合项目要求的新型农业经营主体向镇水产服务中心提交申报材料。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单个主体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三类子项目（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甲鱼苗种补贴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、稻鳖综合种养、池塘养鳖）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叠加申报，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最高奖补金额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总和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0万元。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镇水产服务中心负责审核把关，对申报材料的真实性负责，并在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前将申报材料提交至阳新县水产服务中心渔业发展股。具体申报材料包括：</w:t>
      </w:r>
    </w:p>
    <w:p w14:paraId="30373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1、项目申请书；</w:t>
      </w:r>
    </w:p>
    <w:p w14:paraId="50988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2、合法承包经营权；</w:t>
      </w:r>
    </w:p>
    <w:p w14:paraId="6B656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3、基地环境图片3-5张，养殖生产图片3-5张；</w:t>
      </w:r>
    </w:p>
    <w:p w14:paraId="480F6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4、营业执照、法人身份证等主体资格；</w:t>
      </w:r>
    </w:p>
    <w:p w14:paraId="5A81E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5、甲鱼苗种投放佐证材料，包括照片、票据等；</w:t>
      </w:r>
    </w:p>
    <w:p w14:paraId="2B8F3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、《阳新县2025年推进甲鱼产业高质量发展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申报表》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联农带农情况明细表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》(见附件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1，2</w:t>
      </w:r>
      <w:r>
        <w:rPr>
          <w:rFonts w:hint="eastAsia" w:ascii="Times New Roman" w:hAnsi="Times New Roman" w:eastAsia="仿宋_GB2312" w:cs="仿宋_GB2312"/>
          <w:sz w:val="32"/>
          <w:szCs w:val="32"/>
        </w:rPr>
        <w:t>);</w:t>
      </w:r>
    </w:p>
    <w:p w14:paraId="3DB61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、基地项目建设情况介绍，包含项目建设地点、生产管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理措施、设施配套情况、技术先进性及特点、养殖经济效益与示范带动等内容。</w:t>
      </w:r>
    </w:p>
    <w:p w14:paraId="3C170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(二)验收</w:t>
      </w:r>
    </w:p>
    <w:p w14:paraId="15672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县水产服务中心根据申报情况，先对申报材料进行初筛，不符合要求的直接取消申报资格。再组织水产专家开展现场检查核实，对项目实施、基地建设、生产管理、示范推广和效益等内容综合考核，验收通过后报县农业农村局审批。</w:t>
      </w:r>
    </w:p>
    <w:p w14:paraId="01EE3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(三)公示公开</w:t>
      </w:r>
    </w:p>
    <w:p w14:paraId="69E09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项目经验收合格，在阳新县政府网进行公示5-7天无异议后，奖补资金直接拨付到项目实施主体账户。</w:t>
      </w:r>
    </w:p>
    <w:p w14:paraId="16E91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、保障措施</w:t>
      </w:r>
    </w:p>
    <w:p w14:paraId="3B978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(一)加强组织领导</w:t>
      </w:r>
    </w:p>
    <w:p w14:paraId="51ACF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工作领导小组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明确组织结构，强化监督管理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确保项目实施过程严格符合相关程序，做到合规、合理、合法；强化统筹协调，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切实履行职能，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把握工作标准，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提升项目执行效率，全力推进项目实施落实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C672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(二)加强资金监管</w:t>
      </w:r>
    </w:p>
    <w:p w14:paraId="0972F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严格执行项目资金使用规定，坚决按程序拨付，严禁挪用、挤占项目资金，确保项目资金使用规范、安全、高效。项目资金实行专项管理，做到专款专用。</w:t>
      </w:r>
    </w:p>
    <w:p w14:paraId="49EF4B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kern w:val="2"/>
          <w:sz w:val="32"/>
          <w:szCs w:val="32"/>
          <w:lang w:val="en-US" w:eastAsia="zh-CN" w:bidi="ar-SA"/>
        </w:rPr>
        <w:t>(三)</w:t>
      </w: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完善运行机制</w:t>
      </w:r>
    </w:p>
    <w:p w14:paraId="1AD1BE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有关科室负责人不定期地对项目实施情况进行督办检查，及时跟踪服务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协调处理相关问题；同步加大技术指导力度，使科技与实体对接，最大限度把科技转化为生产力。</w:t>
      </w:r>
    </w:p>
    <w:p w14:paraId="2D537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52CE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4DD6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4D4E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附件1:阳新县2025年推进甲鱼产业高质量发展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申报表</w:t>
      </w:r>
    </w:p>
    <w:p w14:paraId="25873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附件2: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联农带农情况明细表</w:t>
      </w:r>
    </w:p>
    <w:p w14:paraId="67F46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阳新县2025年推进甲鱼产业高质量发展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工作领导小组</w:t>
      </w:r>
    </w:p>
    <w:p w14:paraId="3A983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0EB783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640" w:lineRule="exact"/>
        <w:textAlignment w:val="auto"/>
        <w:rPr>
          <w:rFonts w:hint="eastAsia"/>
        </w:rPr>
      </w:pPr>
    </w:p>
    <w:p w14:paraId="07074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阳新县水产服务中心</w:t>
      </w:r>
    </w:p>
    <w:p w14:paraId="28254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2025年6月24日</w:t>
      </w:r>
    </w:p>
    <w:p w14:paraId="4541A82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640" w:lineRule="exact"/>
        <w:textAlignment w:val="auto"/>
        <w:rPr>
          <w:rFonts w:hint="eastAsia"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F03C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u w:val="none"/>
          <w:lang w:val="en-US" w:eastAsia="zh-CN" w:bidi="ar"/>
        </w:rPr>
        <w:t>附件1：</w:t>
      </w:r>
    </w:p>
    <w:tbl>
      <w:tblPr>
        <w:tblStyle w:val="7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24"/>
        <w:gridCol w:w="1073"/>
        <w:gridCol w:w="1105"/>
        <w:gridCol w:w="1176"/>
        <w:gridCol w:w="1278"/>
        <w:gridCol w:w="1335"/>
        <w:gridCol w:w="1317"/>
      </w:tblGrid>
      <w:tr w14:paraId="16BD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3D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阳新县2025年推进甲鱼产业高质量发展项目申报表</w:t>
            </w:r>
          </w:p>
        </w:tc>
      </w:tr>
      <w:tr w14:paraId="04A3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7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申报单位（盖章）：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BFB48"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76CAE"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CA107"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D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单位：亩、斤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/亩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、斤/只、元</w:t>
            </w:r>
          </w:p>
        </w:tc>
      </w:tr>
      <w:tr w14:paraId="6EBD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申报单位信息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BC1B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法人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B5D1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B21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8EA1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D76F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9048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EAD9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E7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F2A0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CE11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12EF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D568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214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A857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开户行</w:t>
            </w:r>
          </w:p>
        </w:tc>
        <w:tc>
          <w:tcPr>
            <w:tcW w:w="7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0CE6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CCA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545F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A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7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1076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C52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34AF">
            <w:pPr>
              <w:rPr>
                <w:rFonts w:hint="default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申报项目类型</w:t>
            </w:r>
          </w:p>
        </w:tc>
        <w:tc>
          <w:tcPr>
            <w:tcW w:w="8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8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" w:leftChars="0" w:firstLine="0" w:firstLineChars="0"/>
              <w:textAlignment w:val="auto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甲鱼苗种补贴（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按实际投苗量补贴）</w:t>
            </w:r>
          </w:p>
          <w:p w14:paraId="05A9C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" w:leftChars="0" w:firstLine="0" w:firstLineChars="0"/>
              <w:textAlignment w:val="auto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稻鳖综合种养（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原有设施修缮/ 围栏设施新建/ 新增稻田标准化改造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  <w:p w14:paraId="1831B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" w:leftChars="0"/>
              <w:textAlignment w:val="auto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池塘甲鱼混养（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鱼鳖混养/ 藕鳖混养）</w:t>
            </w:r>
          </w:p>
          <w:p w14:paraId="63EC2F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9" w:leftChars="0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池塘甲鱼专养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（一般改造模式/高标准改造模式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6C46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养殖</w:t>
            </w:r>
          </w:p>
          <w:p w14:paraId="26DC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信息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5D07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A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养殖面积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CAC4">
            <w:pPr>
              <w:jc w:val="right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核实奖补面积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2EEA">
            <w:pP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33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4CD4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放种情况</w:t>
            </w:r>
          </w:p>
        </w:tc>
        <w:tc>
          <w:tcPr>
            <w:tcW w:w="7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EA81">
            <w:pPr>
              <w:ind w:firstLine="240" w:firstLineChars="100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放种量：                  放种规格：         </w:t>
            </w:r>
          </w:p>
        </w:tc>
      </w:tr>
      <w:tr w14:paraId="2640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1984"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预期效益</w:t>
            </w:r>
          </w:p>
        </w:tc>
        <w:tc>
          <w:tcPr>
            <w:tcW w:w="7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亩产量：        亩产值：           亩利润：</w:t>
            </w:r>
          </w:p>
        </w:tc>
      </w:tr>
      <w:tr w14:paraId="2720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8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D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240" w:lineRule="auto"/>
              <w:ind w:firstLine="240" w:firstLineChars="100"/>
              <w:jc w:val="both"/>
              <w:textAlignment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（从养殖规模、苗种放养、基地改造或设施配套、经济效益与示范带动等方面介绍）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  <w:p w14:paraId="6B85ED7A">
            <w:pPr>
              <w:jc w:val="both"/>
              <w:rPr>
                <w:rFonts w:hint="eastAsia" w:ascii="Times New Roman" w:hAnsi="Times New Roman"/>
              </w:rPr>
            </w:pPr>
          </w:p>
        </w:tc>
      </w:tr>
      <w:tr w14:paraId="7597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拟奖补金额</w:t>
            </w:r>
          </w:p>
        </w:tc>
        <w:tc>
          <w:tcPr>
            <w:tcW w:w="8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，大写：</w:t>
            </w:r>
          </w:p>
        </w:tc>
      </w:tr>
      <w:tr w14:paraId="0529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村集体意见</w:t>
            </w:r>
          </w:p>
        </w:tc>
        <w:tc>
          <w:tcPr>
            <w:tcW w:w="8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116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7C0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公章（签名）：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  <w:tr w14:paraId="4922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镇水产服务中心意见</w:t>
            </w:r>
          </w:p>
        </w:tc>
        <w:tc>
          <w:tcPr>
            <w:tcW w:w="8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公章（签名）：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  <w:tr w14:paraId="6BA5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县水产服务中心意见</w:t>
            </w:r>
          </w:p>
        </w:tc>
        <w:tc>
          <w:tcPr>
            <w:tcW w:w="8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公章（签名）：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  <w:tr w14:paraId="429D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8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公章（签名）：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</w:tbl>
    <w:p w14:paraId="63D5A42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44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59"/>
        <w:gridCol w:w="2086"/>
        <w:gridCol w:w="2427"/>
        <w:gridCol w:w="2278"/>
        <w:gridCol w:w="2045"/>
        <w:gridCol w:w="1773"/>
        <w:gridCol w:w="1104"/>
      </w:tblGrid>
      <w:tr w14:paraId="7DA4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2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9CDA5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358A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E35BA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E49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4AAE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47E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FF64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2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联农带农情况明细表</w:t>
            </w:r>
          </w:p>
        </w:tc>
      </w:tr>
      <w:tr w14:paraId="56DB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EA9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填报单位（公章）：                           填报日期：   年   月   日                  村集体盖章：                </w:t>
            </w:r>
          </w:p>
        </w:tc>
      </w:tr>
      <w:tr w14:paraId="6DA6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带动农户姓名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农户地址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农户类型（普通农户/脱贫户）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带动方式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年带动增收（元）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E2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3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CF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21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27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0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B4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1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5D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A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8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5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81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7D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25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7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DB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4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E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F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1B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84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0B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E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54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D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87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9D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BE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9A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1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8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CE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E1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D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0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B6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0C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E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4B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46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11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C0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1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0B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4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85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01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1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3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5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D4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6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5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4828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6D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B0B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775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CB3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E6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70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3568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EBC4F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u w:val="none"/>
          <w:lang w:val="en-US" w:eastAsia="zh-CN" w:bidi="ar"/>
        </w:rPr>
        <w:t>附件3：</w:t>
      </w:r>
    </w:p>
    <w:p w14:paraId="40AB3A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z w:val="44"/>
          <w:szCs w:val="44"/>
          <w:highlight w:val="none"/>
          <w:lang w:val="en-US" w:eastAsia="zh-CN"/>
        </w:rPr>
        <w:t>阳新县2025年推进甲鱼产业高质量发展项目工作领导小组</w:t>
      </w:r>
    </w:p>
    <w:p w14:paraId="2C59AC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一、协调督办组</w:t>
      </w:r>
    </w:p>
    <w:p w14:paraId="0D55EA9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组  长：刘  志     县农业农村局副局长</w:t>
      </w:r>
    </w:p>
    <w:p w14:paraId="3DF01D9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副组长：柯青霞     县水产服务中心主任</w:t>
      </w:r>
    </w:p>
    <w:p w14:paraId="14BF69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成  员：蔡细香     县水产服务中心副主任</w:t>
      </w:r>
    </w:p>
    <w:p w14:paraId="6E7EE6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雷安松     县水产服务中心副主任</w:t>
      </w:r>
    </w:p>
    <w:p w14:paraId="0DB70B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程  玮     县水产中心综合股股长</w:t>
      </w:r>
    </w:p>
    <w:p w14:paraId="3AE6F6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主要职责：负责项目工作推进、工作质量的协调督办等工作。</w:t>
      </w:r>
    </w:p>
    <w:p w14:paraId="567464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技术指导组</w:t>
      </w:r>
    </w:p>
    <w:p w14:paraId="4BC7D5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组  长：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柯于武   县水产服务中心支委</w:t>
      </w:r>
    </w:p>
    <w:p w14:paraId="136F5A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成  员：赵丽爽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县水产服务中心支委</w:t>
      </w:r>
    </w:p>
    <w:p w14:paraId="2D8E59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李明月   县水产学会会长</w:t>
      </w:r>
    </w:p>
    <w:p w14:paraId="55603E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林艳萍   县水产中心渔业资源养护股股长</w:t>
      </w:r>
    </w:p>
    <w:p w14:paraId="505392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王  志   县水产中心渔业发展股股长</w:t>
      </w:r>
    </w:p>
    <w:p w14:paraId="4463D3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主要职责：负责项目实施过程中技术指导工作。</w:t>
      </w:r>
    </w:p>
    <w:p w14:paraId="0D0B670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三、资料审查组</w:t>
      </w:r>
    </w:p>
    <w:p w14:paraId="3D86CB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组  长：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陈  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县水产中心渔业发展股技术人员</w:t>
      </w:r>
    </w:p>
    <w:p w14:paraId="2C6416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成  员：张晓玲   县水产中心综合股财务人员</w:t>
      </w:r>
    </w:p>
    <w:p w14:paraId="669F04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柯婷婷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县水产中心渔业发展股技术人员</w:t>
      </w:r>
    </w:p>
    <w:p w14:paraId="27ADF4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陈远倩   县水产中心渔业发展股技术人员</w:t>
      </w:r>
    </w:p>
    <w:p w14:paraId="056D71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ind w:left="0" w:leftChars="0"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主要职责：负责项目申报材料、报账材料的指导审核等工作。</w:t>
      </w:r>
    </w:p>
    <w:p w14:paraId="01FC12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领导小组下设办公室，办公室设在渔业发展股，由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陈实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同志兼任办公室主任。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877A5C-1BAC-40B9-860A-6D19FB0F25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766EA6-EA01-49B2-B42C-BFEDADA736B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8C3A6AE-85F1-41F6-988F-D33BA66510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C0E9AF7-BC0B-4D07-B2D9-FDE45866660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19A6BB4E-6265-432D-9921-07525E4C427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CE12259-77AE-4CC5-A139-941536F8B8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0771EA1-565F-41A6-AB9C-62DC11160A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7F45B6C4-D847-43CD-8FD6-F76BDBB40CB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9" w:fontKey="{81B24726-3C0D-4ED3-98F1-D0DA294112E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0" w:fontKey="{53079DF2-7906-431B-A25B-9250AB1D69A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7FE85"/>
    <w:multiLevelType w:val="singleLevel"/>
    <w:tmpl w:val="47D7FE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5652"/>
    <w:rsid w:val="000E5D71"/>
    <w:rsid w:val="00135135"/>
    <w:rsid w:val="00E645F8"/>
    <w:rsid w:val="01A4698D"/>
    <w:rsid w:val="01C52125"/>
    <w:rsid w:val="01F66ABD"/>
    <w:rsid w:val="01FA7CCE"/>
    <w:rsid w:val="02422AFF"/>
    <w:rsid w:val="02645B37"/>
    <w:rsid w:val="027A149C"/>
    <w:rsid w:val="03F03A87"/>
    <w:rsid w:val="04245B63"/>
    <w:rsid w:val="063876A4"/>
    <w:rsid w:val="06EE06AA"/>
    <w:rsid w:val="07350087"/>
    <w:rsid w:val="079C3C62"/>
    <w:rsid w:val="07F602B3"/>
    <w:rsid w:val="093D1475"/>
    <w:rsid w:val="098F1CD1"/>
    <w:rsid w:val="09976DD7"/>
    <w:rsid w:val="09A15652"/>
    <w:rsid w:val="09A563E9"/>
    <w:rsid w:val="0B1B452F"/>
    <w:rsid w:val="0CEC743A"/>
    <w:rsid w:val="0D4903E8"/>
    <w:rsid w:val="0D8C6527"/>
    <w:rsid w:val="0E8F62CF"/>
    <w:rsid w:val="0F543075"/>
    <w:rsid w:val="0F695AD6"/>
    <w:rsid w:val="1111168F"/>
    <w:rsid w:val="111C76D4"/>
    <w:rsid w:val="15802564"/>
    <w:rsid w:val="158D108E"/>
    <w:rsid w:val="159D5775"/>
    <w:rsid w:val="1670433D"/>
    <w:rsid w:val="171E4694"/>
    <w:rsid w:val="175E2CE2"/>
    <w:rsid w:val="17B9616B"/>
    <w:rsid w:val="18D771F0"/>
    <w:rsid w:val="18F51424"/>
    <w:rsid w:val="18F90F15"/>
    <w:rsid w:val="19575C3B"/>
    <w:rsid w:val="1BEA58B4"/>
    <w:rsid w:val="1C2071C5"/>
    <w:rsid w:val="1C224C26"/>
    <w:rsid w:val="1C760ACE"/>
    <w:rsid w:val="1C7D3C0B"/>
    <w:rsid w:val="1CA23671"/>
    <w:rsid w:val="1D3C3AC6"/>
    <w:rsid w:val="1D725739"/>
    <w:rsid w:val="1E51534F"/>
    <w:rsid w:val="1EFC175F"/>
    <w:rsid w:val="20286583"/>
    <w:rsid w:val="20711CD8"/>
    <w:rsid w:val="211B0277"/>
    <w:rsid w:val="219B30E2"/>
    <w:rsid w:val="22DB168B"/>
    <w:rsid w:val="23864923"/>
    <w:rsid w:val="2467564F"/>
    <w:rsid w:val="24DC16EA"/>
    <w:rsid w:val="267C13D7"/>
    <w:rsid w:val="27532138"/>
    <w:rsid w:val="29064F88"/>
    <w:rsid w:val="292A336C"/>
    <w:rsid w:val="29757F3D"/>
    <w:rsid w:val="2B020295"/>
    <w:rsid w:val="2BA555ED"/>
    <w:rsid w:val="2C8114F5"/>
    <w:rsid w:val="2CB8114C"/>
    <w:rsid w:val="2CE2121B"/>
    <w:rsid w:val="2CEA709A"/>
    <w:rsid w:val="2CF241A1"/>
    <w:rsid w:val="2D636E4D"/>
    <w:rsid w:val="2DBF2D6D"/>
    <w:rsid w:val="2E951288"/>
    <w:rsid w:val="2ED973C6"/>
    <w:rsid w:val="2EDA6C9B"/>
    <w:rsid w:val="2F24599D"/>
    <w:rsid w:val="2FBE036A"/>
    <w:rsid w:val="301663F8"/>
    <w:rsid w:val="30183F1E"/>
    <w:rsid w:val="317C07F5"/>
    <w:rsid w:val="31DD7679"/>
    <w:rsid w:val="32D103B5"/>
    <w:rsid w:val="335C05C6"/>
    <w:rsid w:val="33684899"/>
    <w:rsid w:val="34A0650B"/>
    <w:rsid w:val="367E6AA5"/>
    <w:rsid w:val="36A36760"/>
    <w:rsid w:val="36DE0C46"/>
    <w:rsid w:val="37E42938"/>
    <w:rsid w:val="38036AEA"/>
    <w:rsid w:val="38D5710E"/>
    <w:rsid w:val="39275F30"/>
    <w:rsid w:val="39812B34"/>
    <w:rsid w:val="3B2C4652"/>
    <w:rsid w:val="3B561D9F"/>
    <w:rsid w:val="3BC907C3"/>
    <w:rsid w:val="3C850B8E"/>
    <w:rsid w:val="3CD303CE"/>
    <w:rsid w:val="3CF278A5"/>
    <w:rsid w:val="3E012496"/>
    <w:rsid w:val="3EF26282"/>
    <w:rsid w:val="3FBC3478"/>
    <w:rsid w:val="40D33BCA"/>
    <w:rsid w:val="464C6278"/>
    <w:rsid w:val="46753D34"/>
    <w:rsid w:val="47797678"/>
    <w:rsid w:val="47B564B4"/>
    <w:rsid w:val="47C63E08"/>
    <w:rsid w:val="4A3B6D2F"/>
    <w:rsid w:val="4B321C9A"/>
    <w:rsid w:val="4BAD5A0B"/>
    <w:rsid w:val="4C934C01"/>
    <w:rsid w:val="4D7B119C"/>
    <w:rsid w:val="4D9F1AAE"/>
    <w:rsid w:val="4DA150FB"/>
    <w:rsid w:val="4DF74D1B"/>
    <w:rsid w:val="4EA67A81"/>
    <w:rsid w:val="50966A6E"/>
    <w:rsid w:val="50E61077"/>
    <w:rsid w:val="526A6404"/>
    <w:rsid w:val="544762D1"/>
    <w:rsid w:val="545509EE"/>
    <w:rsid w:val="54901A26"/>
    <w:rsid w:val="555D5794"/>
    <w:rsid w:val="5605083D"/>
    <w:rsid w:val="56BC4D54"/>
    <w:rsid w:val="56FE536D"/>
    <w:rsid w:val="570F757A"/>
    <w:rsid w:val="57250C88"/>
    <w:rsid w:val="57A2219C"/>
    <w:rsid w:val="57CF0AB7"/>
    <w:rsid w:val="57DF6392"/>
    <w:rsid w:val="585F1E3B"/>
    <w:rsid w:val="58E97957"/>
    <w:rsid w:val="59611BE3"/>
    <w:rsid w:val="5A13112F"/>
    <w:rsid w:val="5ADD173D"/>
    <w:rsid w:val="5BC621D1"/>
    <w:rsid w:val="5C0E6052"/>
    <w:rsid w:val="5C262B97"/>
    <w:rsid w:val="5CDD6911"/>
    <w:rsid w:val="5CF039A9"/>
    <w:rsid w:val="5D6677C8"/>
    <w:rsid w:val="5D6F6A3F"/>
    <w:rsid w:val="5E341674"/>
    <w:rsid w:val="5EAD6542"/>
    <w:rsid w:val="6017749F"/>
    <w:rsid w:val="617D532A"/>
    <w:rsid w:val="624837BF"/>
    <w:rsid w:val="626F711E"/>
    <w:rsid w:val="62E8640A"/>
    <w:rsid w:val="63E37DC4"/>
    <w:rsid w:val="647E7AED"/>
    <w:rsid w:val="64C01EB3"/>
    <w:rsid w:val="651F307E"/>
    <w:rsid w:val="666B5E4F"/>
    <w:rsid w:val="66DE0D17"/>
    <w:rsid w:val="679F04A6"/>
    <w:rsid w:val="67D77C40"/>
    <w:rsid w:val="67F56318"/>
    <w:rsid w:val="68D20407"/>
    <w:rsid w:val="69FD6901"/>
    <w:rsid w:val="6A794FDE"/>
    <w:rsid w:val="6A8F4802"/>
    <w:rsid w:val="6B040620"/>
    <w:rsid w:val="6B691D4B"/>
    <w:rsid w:val="6D322245"/>
    <w:rsid w:val="6DF52803"/>
    <w:rsid w:val="6E0E3C8F"/>
    <w:rsid w:val="6E2214E9"/>
    <w:rsid w:val="6EB72579"/>
    <w:rsid w:val="6F664D2E"/>
    <w:rsid w:val="70A00DEB"/>
    <w:rsid w:val="70DF7B65"/>
    <w:rsid w:val="727A5D97"/>
    <w:rsid w:val="731358A4"/>
    <w:rsid w:val="73B057E9"/>
    <w:rsid w:val="74661B71"/>
    <w:rsid w:val="755328D0"/>
    <w:rsid w:val="75AE7B06"/>
    <w:rsid w:val="762D49E0"/>
    <w:rsid w:val="7B0F1047"/>
    <w:rsid w:val="7B4861A8"/>
    <w:rsid w:val="7C137359"/>
    <w:rsid w:val="7CA51C63"/>
    <w:rsid w:val="7CEC1640"/>
    <w:rsid w:val="7D657644"/>
    <w:rsid w:val="7D7626D6"/>
    <w:rsid w:val="7E10135E"/>
    <w:rsid w:val="7E422585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4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1"/>
    <w:basedOn w:val="1"/>
    <w:next w:val="1"/>
    <w:qFormat/>
    <w:uiPriority w:val="99"/>
    <w:pPr>
      <w:ind w:left="420" w:leftChars="200"/>
    </w:pPr>
  </w:style>
  <w:style w:type="paragraph" w:styleId="4">
    <w:name w:val="table of authorities"/>
    <w:next w:val="1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spacing w:after="120"/>
      <w:ind w:left="42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6">
    <w:name w:val="Body Text First Indent 2"/>
    <w:qFormat/>
    <w:uiPriority w:val="99"/>
    <w:pPr>
      <w:widowControl w:val="0"/>
      <w:spacing w:before="100" w:beforeAutospacing="1" w:after="120"/>
      <w:ind w:left="0" w:firstLine="42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font21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0">
    <w:name w:val="font81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2978</Words>
  <Characters>3078</Characters>
  <Lines>0</Lines>
  <Paragraphs>0</Paragraphs>
  <TotalTime>13</TotalTime>
  <ScaleCrop>false</ScaleCrop>
  <LinksUpToDate>false</LinksUpToDate>
  <CharactersWithSpaces>3490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2025-02-18T01:17:00Z</dcterms:created>
  <dc:creator>程玮</dc:creator>
  <cp:lastModifiedBy>程玮</cp:lastModifiedBy>
  <dcterms:modified xsi:type="dcterms:W3CDTF">2025-07-16T07:52:10Z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C3CE1114AAFE4A97921C8CECB9DB6524_13</vt:lpwstr>
  </property>
  <property fmtid="{D5CDD505-2E9C-101B-9397-08002B2CF9AE}" pid="4" name="KSOTemplateDocerSaveRecord">
    <vt:lpwstr>eyJoZGlkIjoiNmUxYTYyN2Q2OGNlODIwZmVhNTE1OTNmMmJhYTRjMjkiLCJ1c2VySWQiOiI0NTc2MTI4NjEifQ==</vt:lpwstr>
  </property>
</Properties>
</file>