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F5826A">
      <w:pPr>
        <w:widowControl/>
        <w:spacing w:after="312" w:afterLines="100"/>
        <w:jc w:val="center"/>
        <w:rPr>
          <w:rFonts w:ascii="方正小标宋简体" w:hAnsi="Times New Roman" w:eastAsia="方正小标宋简体"/>
          <w:sz w:val="36"/>
          <w:szCs w:val="36"/>
        </w:rPr>
      </w:pPr>
      <w:r>
        <w:rPr>
          <w:rFonts w:hint="eastAsia" w:ascii="方正小标宋简体" w:hAnsi="Times New Roman" w:eastAsia="方正小标宋简体" w:cs="方正小标宋简体"/>
          <w:sz w:val="36"/>
          <w:szCs w:val="36"/>
          <w:lang w:val="en-US" w:eastAsia="zh-CN"/>
        </w:rPr>
        <w:t>2025年</w:t>
      </w:r>
      <w:r>
        <w:rPr>
          <w:rFonts w:hint="eastAsia" w:ascii="方正小标宋简体" w:hAnsi="Times New Roman" w:eastAsia="方正小标宋简体" w:cs="方正小标宋简体"/>
          <w:sz w:val="36"/>
          <w:szCs w:val="36"/>
        </w:rPr>
        <w:t>部门整体绩效目标申报表</w:t>
      </w:r>
    </w:p>
    <w:p w14:paraId="4BF750D9">
      <w:pPr>
        <w:widowControl/>
        <w:rPr>
          <w:rFonts w:ascii="楷体_GB2312" w:hAnsi="Times New Roman" w:eastAsia="楷体_GB2312"/>
          <w:sz w:val="28"/>
          <w:szCs w:val="28"/>
        </w:rPr>
      </w:pPr>
      <w:r>
        <w:rPr>
          <w:rFonts w:hint="eastAsia" w:ascii="楷体_GB2312" w:hAnsi="Times New Roman" w:eastAsia="楷体_GB2312" w:cs="楷体_GB2312"/>
          <w:sz w:val="28"/>
          <w:szCs w:val="28"/>
        </w:rPr>
        <w:t>填报日期：</w:t>
      </w:r>
      <w:r>
        <w:rPr>
          <w:rFonts w:ascii="楷体_GB2312" w:hAnsi="Times New Roman" w:eastAsia="楷体_GB2312" w:cs="楷体_GB2312"/>
          <w:sz w:val="28"/>
          <w:szCs w:val="28"/>
        </w:rPr>
        <w:t xml:space="preserve"> </w:t>
      </w:r>
      <w:r>
        <w:rPr>
          <w:rFonts w:hint="eastAsia" w:ascii="楷体_GB2312" w:hAnsi="Times New Roman" w:eastAsia="楷体_GB2312" w:cs="楷体_GB2312"/>
          <w:sz w:val="28"/>
          <w:szCs w:val="28"/>
          <w:lang w:val="en-US" w:eastAsia="zh-CN"/>
        </w:rPr>
        <w:t>2024</w:t>
      </w:r>
      <w:r>
        <w:rPr>
          <w:rFonts w:ascii="楷体_GB2312" w:hAnsi="Times New Roman" w:eastAsia="楷体_GB2312" w:cs="楷体_GB2312"/>
          <w:sz w:val="28"/>
          <w:szCs w:val="28"/>
        </w:rPr>
        <w:t xml:space="preserve"> </w:t>
      </w:r>
      <w:r>
        <w:rPr>
          <w:rFonts w:hint="eastAsia" w:ascii="楷体_GB2312" w:hAnsi="Times New Roman" w:eastAsia="楷体_GB2312" w:cs="楷体_GB2312"/>
          <w:sz w:val="28"/>
          <w:szCs w:val="28"/>
        </w:rPr>
        <w:t>年</w:t>
      </w:r>
      <w:r>
        <w:rPr>
          <w:rFonts w:ascii="楷体_GB2312" w:hAnsi="Times New Roman" w:eastAsia="楷体_GB2312" w:cs="楷体_GB2312"/>
          <w:sz w:val="28"/>
          <w:szCs w:val="28"/>
        </w:rPr>
        <w:t xml:space="preserve"> </w:t>
      </w:r>
      <w:r>
        <w:rPr>
          <w:rFonts w:hint="eastAsia" w:ascii="楷体_GB2312" w:hAnsi="Times New Roman" w:eastAsia="楷体_GB2312" w:cs="楷体_GB2312"/>
          <w:sz w:val="28"/>
          <w:szCs w:val="28"/>
          <w:lang w:val="en-US" w:eastAsia="zh-CN"/>
        </w:rPr>
        <w:t>11</w:t>
      </w:r>
      <w:r>
        <w:rPr>
          <w:rFonts w:hint="eastAsia" w:ascii="楷体_GB2312" w:hAnsi="Times New Roman" w:eastAsia="楷体_GB2312" w:cs="楷体_GB2312"/>
          <w:sz w:val="28"/>
          <w:szCs w:val="28"/>
        </w:rPr>
        <w:t>月</w:t>
      </w:r>
      <w:r>
        <w:rPr>
          <w:rFonts w:ascii="楷体_GB2312" w:hAnsi="Times New Roman" w:eastAsia="楷体_GB2312" w:cs="楷体_GB2312"/>
          <w:sz w:val="28"/>
          <w:szCs w:val="28"/>
        </w:rPr>
        <w:t xml:space="preserve"> </w:t>
      </w:r>
      <w:r>
        <w:rPr>
          <w:rFonts w:hint="eastAsia" w:ascii="楷体_GB2312" w:hAnsi="Times New Roman" w:eastAsia="楷体_GB2312" w:cs="楷体_GB2312"/>
          <w:sz w:val="28"/>
          <w:szCs w:val="28"/>
          <w:lang w:val="en-US" w:eastAsia="zh-CN"/>
        </w:rPr>
        <w:t>15</w:t>
      </w:r>
      <w:r>
        <w:rPr>
          <w:rFonts w:hint="eastAsia" w:ascii="楷体_GB2312" w:hAnsi="Times New Roman" w:eastAsia="楷体_GB2312" w:cs="楷体_GB2312"/>
          <w:sz w:val="28"/>
          <w:szCs w:val="28"/>
        </w:rPr>
        <w:t>日</w:t>
      </w:r>
      <w:r>
        <w:rPr>
          <w:rFonts w:ascii="楷体_GB2312" w:hAnsi="Times New Roman" w:eastAsia="楷体_GB2312" w:cs="楷体_GB2312"/>
          <w:sz w:val="28"/>
          <w:szCs w:val="28"/>
        </w:rPr>
        <w:t xml:space="preserve">        </w:t>
      </w:r>
      <w:bookmarkStart w:id="0" w:name="_GoBack"/>
      <w:bookmarkEnd w:id="0"/>
      <w:r>
        <w:rPr>
          <w:rFonts w:ascii="楷体_GB2312" w:hAnsi="Times New Roman" w:eastAsia="楷体_GB2312" w:cs="楷体_GB2312"/>
          <w:sz w:val="28"/>
          <w:szCs w:val="28"/>
        </w:rPr>
        <w:t xml:space="preserve">           </w:t>
      </w:r>
      <w:r>
        <w:rPr>
          <w:rFonts w:hint="eastAsia" w:ascii="楷体_GB2312" w:hAnsi="Times New Roman" w:eastAsia="楷体_GB2312" w:cs="楷体_GB2312"/>
          <w:sz w:val="28"/>
          <w:szCs w:val="28"/>
        </w:rPr>
        <w:t>单位：万元</w:t>
      </w:r>
    </w:p>
    <w:tbl>
      <w:tblPr>
        <w:tblStyle w:val="2"/>
        <w:tblW w:w="89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8"/>
        <w:gridCol w:w="823"/>
        <w:gridCol w:w="1527"/>
        <w:gridCol w:w="1626"/>
        <w:gridCol w:w="400"/>
        <w:gridCol w:w="389"/>
        <w:gridCol w:w="876"/>
        <w:gridCol w:w="866"/>
        <w:gridCol w:w="28"/>
        <w:gridCol w:w="500"/>
        <w:gridCol w:w="485"/>
      </w:tblGrid>
      <w:tr w14:paraId="58F95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8" w:type="dxa"/>
            <w:noWrap w:val="0"/>
            <w:tcMar>
              <w:left w:w="57" w:type="dxa"/>
              <w:right w:w="57" w:type="dxa"/>
            </w:tcMar>
            <w:vAlign w:val="center"/>
          </w:tcPr>
          <w:p w14:paraId="75C457D4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部门（单位）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</w:rPr>
              <w:t>名称</w:t>
            </w:r>
          </w:p>
        </w:tc>
        <w:tc>
          <w:tcPr>
            <w:tcW w:w="7520" w:type="dxa"/>
            <w:gridSpan w:val="10"/>
            <w:noWrap w:val="0"/>
            <w:tcMar>
              <w:left w:w="57" w:type="dxa"/>
              <w:right w:w="57" w:type="dxa"/>
            </w:tcMar>
            <w:vAlign w:val="center"/>
          </w:tcPr>
          <w:p w14:paraId="39C1C188">
            <w:pPr>
              <w:widowControl/>
              <w:snapToGrid w:val="0"/>
              <w:rPr>
                <w:rFonts w:hint="default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　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阳新县自然资源和规划局</w:t>
            </w:r>
          </w:p>
        </w:tc>
      </w:tr>
      <w:tr w14:paraId="05CCD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8" w:type="dxa"/>
            <w:noWrap w:val="0"/>
            <w:tcMar>
              <w:left w:w="57" w:type="dxa"/>
              <w:right w:w="57" w:type="dxa"/>
            </w:tcMar>
            <w:vAlign w:val="center"/>
          </w:tcPr>
          <w:p w14:paraId="7E8F65A7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填报人</w:t>
            </w:r>
          </w:p>
        </w:tc>
        <w:tc>
          <w:tcPr>
            <w:tcW w:w="2350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14BF853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肖城芬</w:t>
            </w:r>
            <w:r>
              <w:rPr>
                <w:rFonts w:hint="eastAsia" w:ascii="仿宋_GB2312" w:hAnsi="宋体" w:eastAsia="仿宋_GB2312" w:cs="仿宋_GB2312"/>
                <w:kern w:val="0"/>
              </w:rPr>
              <w:t>　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111AAA04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联系电话</w:t>
            </w:r>
          </w:p>
        </w:tc>
        <w:tc>
          <w:tcPr>
            <w:tcW w:w="3544" w:type="dxa"/>
            <w:gridSpan w:val="7"/>
            <w:noWrap w:val="0"/>
            <w:tcMar>
              <w:left w:w="57" w:type="dxa"/>
              <w:right w:w="57" w:type="dxa"/>
            </w:tcMar>
            <w:vAlign w:val="center"/>
          </w:tcPr>
          <w:p w14:paraId="7D6D9B3F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13554206017</w:t>
            </w:r>
            <w:r>
              <w:rPr>
                <w:rFonts w:hint="eastAsia" w:ascii="仿宋_GB2312" w:hAnsi="宋体" w:eastAsia="仿宋_GB2312" w:cs="仿宋_GB2312"/>
                <w:kern w:val="0"/>
              </w:rPr>
              <w:t>　</w:t>
            </w:r>
          </w:p>
        </w:tc>
      </w:tr>
      <w:tr w14:paraId="3119E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8" w:type="dxa"/>
            <w:noWrap w:val="0"/>
            <w:tcMar>
              <w:left w:w="57" w:type="dxa"/>
              <w:right w:w="57" w:type="dxa"/>
            </w:tcMar>
            <w:vAlign w:val="center"/>
          </w:tcPr>
          <w:p w14:paraId="4301231F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部门职能概述</w:t>
            </w:r>
          </w:p>
        </w:tc>
        <w:tc>
          <w:tcPr>
            <w:tcW w:w="7520" w:type="dxa"/>
            <w:gridSpan w:val="10"/>
            <w:noWrap w:val="0"/>
            <w:tcMar>
              <w:left w:w="57" w:type="dxa"/>
              <w:right w:w="57" w:type="dxa"/>
            </w:tcMar>
            <w:vAlign w:val="center"/>
          </w:tcPr>
          <w:p w14:paraId="56186920">
            <w:pPr>
              <w:widowControl/>
              <w:snapToGrid w:val="0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ascii="仿宋_GB2312" w:hAnsi="宋体" w:eastAsia="仿宋_GB2312" w:cs="仿宋_GB2312"/>
                <w:kern w:val="0"/>
              </w:rPr>
              <w:t xml:space="preserve"> </w:t>
            </w:r>
          </w:p>
          <w:p w14:paraId="5E03E84A">
            <w:pPr>
              <w:widowControl/>
              <w:snapToGrid w:val="0"/>
              <w:ind w:firstLine="105" w:firstLineChars="50"/>
              <w:rPr>
                <w:rFonts w:ascii="仿宋_GB2312" w:hAnsi="宋体" w:eastAsia="仿宋_GB2312"/>
                <w:kern w:val="0"/>
              </w:rPr>
            </w:pPr>
            <w:r>
              <w:rPr>
                <w:rFonts w:ascii="仿宋_GB2312" w:hAnsi="宋体" w:eastAsia="仿宋_GB2312" w:cs="仿宋_GB2312"/>
                <w:kern w:val="0"/>
              </w:rPr>
              <w:t>1.</w:t>
            </w:r>
            <w:r>
              <w:rPr>
                <w:rFonts w:hint="eastAsia" w:ascii="仿宋_GB2312" w:hAnsi="宋体" w:eastAsia="仿宋_GB2312" w:cs="仿宋_GB2312"/>
                <w:kern w:val="0"/>
                <w:u w:val="single"/>
              </w:rPr>
              <w:t>履行全民所有土地、矿产、森林、湿地、水等自然资源资产所有者管理职责和所有国土空间用途管制职责</w:t>
            </w:r>
            <w:r>
              <w:rPr>
                <w:rFonts w:ascii="仿宋_GB2312" w:hAnsi="宋体" w:eastAsia="仿宋_GB2312" w:cs="仿宋_GB2312"/>
                <w:kern w:val="0"/>
                <w:u w:val="single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</w:rPr>
              <w:t>；</w:t>
            </w:r>
          </w:p>
          <w:p w14:paraId="195D25E7">
            <w:pPr>
              <w:widowControl/>
              <w:snapToGrid w:val="0"/>
              <w:rPr>
                <w:rFonts w:ascii="仿宋_GB2312" w:hAnsi="宋体" w:eastAsia="仿宋_GB2312"/>
                <w:kern w:val="0"/>
              </w:rPr>
            </w:pPr>
            <w:r>
              <w:rPr>
                <w:rFonts w:ascii="仿宋_GB2312" w:hAnsi="宋体" w:eastAsia="仿宋_GB2312" w:cs="仿宋_GB2312"/>
                <w:kern w:val="0"/>
              </w:rPr>
              <w:t xml:space="preserve"> 2.</w:t>
            </w:r>
            <w:r>
              <w:rPr>
                <w:rFonts w:hint="eastAsia" w:ascii="仿宋_GB2312" w:hAnsi="宋体" w:eastAsia="仿宋_GB2312" w:cs="仿宋_GB2312"/>
                <w:kern w:val="0"/>
                <w:u w:val="single"/>
              </w:rPr>
              <w:t>负责自然资源调查监测评价、统一确权登记、资产有偿使用、合理开发利用职责</w:t>
            </w:r>
            <w:r>
              <w:rPr>
                <w:rFonts w:ascii="仿宋_GB2312" w:hAnsi="宋体" w:eastAsia="仿宋_GB2312" w:cs="仿宋_GB2312"/>
                <w:kern w:val="0"/>
                <w:u w:val="single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</w:rPr>
              <w:t>；</w:t>
            </w:r>
          </w:p>
          <w:p w14:paraId="0CF6F5FC">
            <w:pPr>
              <w:widowControl/>
              <w:snapToGrid w:val="0"/>
              <w:rPr>
                <w:rFonts w:hint="eastAsia" w:ascii="仿宋_GB2312" w:hAnsi="宋体" w:eastAsia="仿宋_GB2312" w:cs="仿宋_GB2312"/>
                <w:kern w:val="0"/>
              </w:rPr>
            </w:pPr>
            <w:r>
              <w:rPr>
                <w:rFonts w:ascii="仿宋_GB2312" w:hAnsi="宋体" w:eastAsia="仿宋_GB2312" w:cs="仿宋_GB2312"/>
                <w:kern w:val="0"/>
              </w:rPr>
              <w:t xml:space="preserve"> 3.</w:t>
            </w:r>
            <w:r>
              <w:rPr>
                <w:rFonts w:ascii="仿宋_GB2312" w:hAnsi="宋体" w:eastAsia="仿宋_GB2312" w:cs="仿宋_GB2312"/>
                <w:kern w:val="0"/>
                <w:u w:val="single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  <w:u w:val="single"/>
              </w:rPr>
              <w:t>负责建立空间规划体系并监督实施；负责组织编制城市控制性详细规划和重点地区城市 设计，并按规定权限审查、审批、报批</w:t>
            </w:r>
            <w:r>
              <w:rPr>
                <w:rFonts w:ascii="仿宋_GB2312" w:hAnsi="宋体" w:eastAsia="仿宋_GB2312" w:cs="仿宋_GB2312"/>
                <w:kern w:val="0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</w:rPr>
              <w:t>；</w:t>
            </w:r>
          </w:p>
          <w:p w14:paraId="2FDA523A">
            <w:pPr>
              <w:widowControl/>
              <w:snapToGrid w:val="0"/>
              <w:rPr>
                <w:rFonts w:ascii="仿宋_GB2312" w:hAnsi="宋体" w:eastAsia="仿宋_GB2312"/>
                <w:kern w:val="0"/>
              </w:rPr>
            </w:pPr>
            <w:r>
              <w:rPr>
                <w:rFonts w:ascii="仿宋_GB2312" w:hAnsi="宋体" w:eastAsia="仿宋_GB2312" w:cs="仿宋_GB2312"/>
                <w:kern w:val="0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4</w:t>
            </w:r>
            <w:r>
              <w:rPr>
                <w:rFonts w:ascii="仿宋_GB2312" w:hAnsi="宋体" w:eastAsia="仿宋_GB2312" w:cs="仿宋_GB2312"/>
                <w:kern w:val="0"/>
              </w:rPr>
              <w:t>.</w:t>
            </w:r>
            <w:r>
              <w:rPr>
                <w:rFonts w:ascii="仿宋_GB2312" w:hAnsi="宋体" w:eastAsia="仿宋_GB2312" w:cs="仿宋_GB2312"/>
                <w:kern w:val="0"/>
                <w:u w:val="single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  <w:u w:val="single"/>
              </w:rPr>
              <w:t>负责建设工程规划管理</w:t>
            </w:r>
            <w:r>
              <w:rPr>
                <w:rFonts w:ascii="仿宋_GB2312" w:hAnsi="宋体" w:eastAsia="仿宋_GB2312" w:cs="仿宋_GB2312"/>
                <w:kern w:val="0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</w:rPr>
              <w:t>；</w:t>
            </w:r>
          </w:p>
          <w:p w14:paraId="445AF8C6">
            <w:pPr>
              <w:widowControl/>
              <w:snapToGrid w:val="0"/>
              <w:rPr>
                <w:rFonts w:ascii="仿宋_GB2312" w:hAnsi="宋体" w:eastAsia="仿宋_GB2312"/>
                <w:kern w:val="0"/>
              </w:rPr>
            </w:pPr>
            <w:r>
              <w:rPr>
                <w:rFonts w:ascii="仿宋_GB2312" w:hAnsi="宋体" w:eastAsia="仿宋_GB2312" w:cs="仿宋_GB2312"/>
                <w:kern w:val="0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5</w:t>
            </w:r>
            <w:r>
              <w:rPr>
                <w:rFonts w:ascii="仿宋_GB2312" w:hAnsi="宋体" w:eastAsia="仿宋_GB2312" w:cs="仿宋_GB2312"/>
                <w:kern w:val="0"/>
              </w:rPr>
              <w:t>.</w:t>
            </w:r>
            <w:r>
              <w:rPr>
                <w:rFonts w:ascii="仿宋_GB2312" w:hAnsi="宋体" w:eastAsia="仿宋_GB2312" w:cs="仿宋_GB2312"/>
                <w:kern w:val="0"/>
                <w:u w:val="single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  <w:u w:val="single"/>
              </w:rPr>
              <w:t>负责森林资源、陆生野生动植物资源及各类自然保护地的监督管理</w:t>
            </w:r>
            <w:r>
              <w:rPr>
                <w:rFonts w:ascii="仿宋_GB2312" w:hAnsi="宋体" w:eastAsia="仿宋_GB2312" w:cs="仿宋_GB2312"/>
                <w:kern w:val="0"/>
                <w:u w:val="single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</w:rPr>
              <w:t>；</w:t>
            </w:r>
          </w:p>
          <w:p w14:paraId="3FA3EC45">
            <w:pPr>
              <w:widowControl/>
              <w:snapToGrid w:val="0"/>
              <w:rPr>
                <w:rFonts w:ascii="仿宋_GB2312" w:hAnsi="宋体" w:eastAsia="仿宋_GB2312"/>
                <w:kern w:val="0"/>
              </w:rPr>
            </w:pPr>
            <w:r>
              <w:rPr>
                <w:rFonts w:ascii="仿宋_GB2312" w:hAnsi="宋体" w:eastAsia="仿宋_GB2312" w:cs="仿宋_GB2312"/>
                <w:kern w:val="0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6</w:t>
            </w:r>
            <w:r>
              <w:rPr>
                <w:rFonts w:ascii="仿宋_GB2312" w:hAnsi="宋体" w:eastAsia="仿宋_GB2312" w:cs="仿宋_GB2312"/>
                <w:kern w:val="0"/>
              </w:rPr>
              <w:t>.</w:t>
            </w:r>
            <w:r>
              <w:rPr>
                <w:rFonts w:ascii="仿宋_GB2312" w:hAnsi="宋体" w:eastAsia="仿宋_GB2312" w:cs="仿宋_GB2312"/>
                <w:kern w:val="0"/>
                <w:u w:val="single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  <w:u w:val="single"/>
              </w:rPr>
              <w:t>负责自然资源督察和行政执法工作</w:t>
            </w:r>
            <w:r>
              <w:rPr>
                <w:rFonts w:ascii="仿宋_GB2312" w:hAnsi="宋体" w:eastAsia="仿宋_GB2312" w:cs="仿宋_GB2312"/>
                <w:kern w:val="0"/>
                <w:u w:val="single"/>
              </w:rPr>
              <w:t xml:space="preserve">                  </w:t>
            </w:r>
            <w:r>
              <w:rPr>
                <w:rFonts w:hint="eastAsia" w:ascii="仿宋_GB2312" w:hAnsi="宋体" w:eastAsia="仿宋_GB2312" w:cs="仿宋_GB2312"/>
                <w:kern w:val="0"/>
              </w:rPr>
              <w:t>；</w:t>
            </w:r>
          </w:p>
          <w:p w14:paraId="1AD53611">
            <w:pPr>
              <w:widowControl/>
              <w:snapToGrid w:val="0"/>
              <w:rPr>
                <w:rFonts w:ascii="仿宋_GB2312" w:hAnsi="宋体" w:eastAsia="仿宋_GB2312"/>
                <w:kern w:val="0"/>
              </w:rPr>
            </w:pPr>
            <w:r>
              <w:rPr>
                <w:rFonts w:ascii="仿宋_GB2312" w:hAnsi="宋体" w:eastAsia="仿宋_GB2312" w:cs="仿宋_GB2312"/>
                <w:kern w:val="0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7</w:t>
            </w:r>
            <w:r>
              <w:rPr>
                <w:rFonts w:ascii="仿宋_GB2312" w:hAnsi="宋体" w:eastAsia="仿宋_GB2312" w:cs="仿宋_GB2312"/>
                <w:kern w:val="0"/>
              </w:rPr>
              <w:t>.</w:t>
            </w:r>
            <w:r>
              <w:rPr>
                <w:rFonts w:ascii="仿宋_GB2312" w:hAnsi="宋体" w:eastAsia="仿宋_GB2312" w:cs="仿宋_GB2312"/>
                <w:kern w:val="0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  <w:u w:val="single"/>
              </w:rPr>
              <w:t>负责统筹国土空间生态修复；负责地质灾害预防和治理</w:t>
            </w:r>
            <w:r>
              <w:rPr>
                <w:rFonts w:ascii="仿宋_GB2312" w:hAnsi="宋体" w:eastAsia="仿宋_GB2312" w:cs="仿宋_GB2312"/>
                <w:kern w:val="0"/>
                <w:u w:val="single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</w:rPr>
              <w:t>；</w:t>
            </w:r>
          </w:p>
        </w:tc>
      </w:tr>
      <w:tr w14:paraId="0B343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8" w:type="dxa"/>
            <w:noWrap w:val="0"/>
            <w:tcMar>
              <w:left w:w="57" w:type="dxa"/>
              <w:right w:w="57" w:type="dxa"/>
            </w:tcMar>
            <w:vAlign w:val="center"/>
          </w:tcPr>
          <w:p w14:paraId="283F44B5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年度工作任务</w:t>
            </w:r>
          </w:p>
        </w:tc>
        <w:tc>
          <w:tcPr>
            <w:tcW w:w="7520" w:type="dxa"/>
            <w:gridSpan w:val="10"/>
            <w:noWrap w:val="0"/>
            <w:tcMar>
              <w:left w:w="57" w:type="dxa"/>
              <w:right w:w="57" w:type="dxa"/>
            </w:tcMar>
            <w:vAlign w:val="center"/>
          </w:tcPr>
          <w:p w14:paraId="29008550">
            <w:pPr>
              <w:widowControl/>
              <w:snapToGrid w:val="0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ascii="仿宋_GB2312" w:hAnsi="宋体" w:eastAsia="仿宋_GB2312" w:cs="仿宋_GB2312"/>
                <w:kern w:val="0"/>
              </w:rPr>
              <w:t xml:space="preserve"> </w:t>
            </w:r>
          </w:p>
          <w:p w14:paraId="1A43C2A6">
            <w:pPr>
              <w:widowControl/>
              <w:snapToGrid w:val="0"/>
              <w:rPr>
                <w:rFonts w:ascii="仿宋_GB2312" w:hAnsi="宋体" w:eastAsia="仿宋_GB2312"/>
                <w:kern w:val="0"/>
              </w:rPr>
            </w:pPr>
            <w:r>
              <w:rPr>
                <w:rFonts w:ascii="仿宋_GB2312" w:hAnsi="宋体" w:eastAsia="仿宋_GB2312" w:cs="仿宋_GB2312"/>
                <w:kern w:val="0"/>
              </w:rPr>
              <w:t xml:space="preserve"> 1.</w:t>
            </w:r>
            <w:r>
              <w:rPr>
                <w:rFonts w:ascii="仿宋_GB2312" w:hAnsi="宋体" w:eastAsia="仿宋_GB2312" w:cs="仿宋_GB2312"/>
                <w:kern w:val="0"/>
                <w:u w:val="single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  <w:u w:val="single"/>
                <w:lang w:val="en-US" w:eastAsia="zh-CN"/>
              </w:rPr>
              <w:t>严格落实全县耕地保护，严守耕地面积72.35万亩，</w:t>
            </w:r>
            <w:r>
              <w:rPr>
                <w:rFonts w:ascii="仿宋_GB2312" w:hAnsi="宋体" w:eastAsia="仿宋_GB2312" w:cs="仿宋_GB2312"/>
                <w:kern w:val="0"/>
                <w:u w:val="single"/>
              </w:rPr>
              <w:t xml:space="preserve">                  </w:t>
            </w:r>
            <w:r>
              <w:rPr>
                <w:rFonts w:hint="eastAsia" w:ascii="仿宋_GB2312" w:hAnsi="宋体" w:eastAsia="仿宋_GB2312" w:cs="仿宋_GB2312"/>
                <w:kern w:val="0"/>
              </w:rPr>
              <w:t>；</w:t>
            </w:r>
          </w:p>
          <w:p w14:paraId="29D2784B">
            <w:pPr>
              <w:widowControl/>
              <w:snapToGrid w:val="0"/>
              <w:rPr>
                <w:rFonts w:ascii="仿宋_GB2312" w:hAnsi="宋体" w:eastAsia="仿宋_GB2312"/>
                <w:kern w:val="0"/>
              </w:rPr>
            </w:pPr>
            <w:r>
              <w:rPr>
                <w:rFonts w:ascii="仿宋_GB2312" w:hAnsi="宋体" w:eastAsia="仿宋_GB2312" w:cs="仿宋_GB2312"/>
                <w:kern w:val="0"/>
              </w:rPr>
              <w:t xml:space="preserve"> 2.</w:t>
            </w:r>
            <w:r>
              <w:rPr>
                <w:rFonts w:ascii="仿宋_GB2312" w:hAnsi="宋体" w:eastAsia="仿宋_GB2312" w:cs="仿宋_GB2312"/>
                <w:kern w:val="0"/>
                <w:u w:val="single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  <w:u w:val="single"/>
                <w:lang w:val="en-US" w:eastAsia="zh-CN"/>
              </w:rPr>
              <w:t>积极“造地”，抓好占补平衡坑塘改造9728亩</w:t>
            </w:r>
            <w:r>
              <w:rPr>
                <w:rFonts w:ascii="仿宋_GB2312" w:hAnsi="宋体" w:eastAsia="仿宋_GB2312" w:cs="仿宋_GB2312"/>
                <w:kern w:val="0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</w:rPr>
              <w:t>；</w:t>
            </w:r>
          </w:p>
          <w:p w14:paraId="3C162075">
            <w:pPr>
              <w:widowControl/>
              <w:snapToGrid w:val="0"/>
              <w:rPr>
                <w:rFonts w:ascii="仿宋_GB2312" w:hAnsi="宋体" w:eastAsia="仿宋_GB2312"/>
                <w:kern w:val="0"/>
              </w:rPr>
            </w:pPr>
            <w:r>
              <w:rPr>
                <w:rFonts w:ascii="仿宋_GB2312" w:hAnsi="宋体" w:eastAsia="仿宋_GB2312" w:cs="仿宋_GB2312"/>
                <w:kern w:val="0"/>
              </w:rPr>
              <w:t xml:space="preserve"> 3.</w:t>
            </w:r>
            <w:r>
              <w:rPr>
                <w:rFonts w:ascii="仿宋_GB2312" w:hAnsi="宋体" w:eastAsia="仿宋_GB2312" w:cs="仿宋_GB2312"/>
                <w:kern w:val="0"/>
                <w:u w:val="single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  <w:u w:val="single"/>
                <w:lang w:val="en-US" w:eastAsia="zh-CN"/>
              </w:rPr>
              <w:t>加大绿林造化力度，创建省级森林城镇1个、森林乡村40个</w:t>
            </w:r>
            <w:r>
              <w:rPr>
                <w:rFonts w:ascii="仿宋_GB2312" w:hAnsi="宋体" w:eastAsia="仿宋_GB2312" w:cs="仿宋_GB2312"/>
                <w:kern w:val="0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</w:rPr>
              <w:t>；</w:t>
            </w:r>
          </w:p>
          <w:p w14:paraId="622E2FD7">
            <w:pPr>
              <w:widowControl/>
              <w:snapToGrid w:val="0"/>
              <w:rPr>
                <w:rFonts w:hint="eastAsia" w:ascii="仿宋_GB2312" w:hAnsi="宋体" w:eastAsia="仿宋_GB2312" w:cs="仿宋_GB2312"/>
                <w:kern w:val="0"/>
              </w:rPr>
            </w:pPr>
            <w:r>
              <w:rPr>
                <w:rFonts w:ascii="仿宋_GB2312" w:hAnsi="宋体" w:eastAsia="仿宋_GB2312" w:cs="仿宋_GB2312"/>
                <w:kern w:val="0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4</w:t>
            </w:r>
            <w:r>
              <w:rPr>
                <w:rFonts w:ascii="仿宋_GB2312" w:hAnsi="宋体" w:eastAsia="仿宋_GB2312" w:cs="仿宋_GB2312"/>
                <w:kern w:val="0"/>
              </w:rPr>
              <w:t>.</w:t>
            </w:r>
            <w:r>
              <w:rPr>
                <w:rFonts w:ascii="仿宋_GB2312" w:hAnsi="宋体" w:eastAsia="仿宋_GB2312" w:cs="仿宋_GB2312"/>
                <w:kern w:val="0"/>
                <w:u w:val="single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  <w:u w:val="single"/>
                <w:lang w:val="en-US" w:eastAsia="zh-CN"/>
              </w:rPr>
              <w:t>加大矿权推进力度</w:t>
            </w:r>
            <w:r>
              <w:rPr>
                <w:rFonts w:ascii="仿宋_GB2312" w:hAnsi="宋体" w:eastAsia="仿宋_GB2312" w:cs="仿宋_GB2312"/>
                <w:kern w:val="0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</w:rPr>
              <w:t>；</w:t>
            </w:r>
          </w:p>
          <w:p w14:paraId="253C1C7B">
            <w:pPr>
              <w:widowControl/>
              <w:snapToGrid w:val="0"/>
              <w:rPr>
                <w:rFonts w:hint="eastAsia"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 xml:space="preserve"> 5</w:t>
            </w:r>
            <w:r>
              <w:rPr>
                <w:rFonts w:ascii="仿宋_GB2312" w:hAnsi="宋体" w:eastAsia="仿宋_GB2312" w:cs="仿宋_GB2312"/>
                <w:kern w:val="0"/>
              </w:rPr>
              <w:t>.</w:t>
            </w:r>
            <w:r>
              <w:rPr>
                <w:rFonts w:ascii="仿宋_GB2312" w:hAnsi="宋体" w:eastAsia="仿宋_GB2312" w:cs="仿宋_GB2312"/>
                <w:kern w:val="0"/>
                <w:u w:val="single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  <w:u w:val="single"/>
                <w:lang w:val="en-US" w:eastAsia="zh-CN"/>
              </w:rPr>
              <w:t>加大城乡规划力度</w:t>
            </w:r>
            <w:r>
              <w:rPr>
                <w:rFonts w:ascii="仿宋_GB2312" w:hAnsi="宋体" w:eastAsia="仿宋_GB2312" w:cs="仿宋_GB2312"/>
                <w:kern w:val="0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</w:rPr>
              <w:t>；</w:t>
            </w:r>
          </w:p>
          <w:p w14:paraId="332536B4">
            <w:pPr>
              <w:widowControl/>
              <w:snapToGrid w:val="0"/>
              <w:rPr>
                <w:rFonts w:ascii="仿宋_GB2312" w:hAnsi="宋体" w:eastAsia="仿宋_GB2312"/>
                <w:kern w:val="0"/>
              </w:rPr>
            </w:pPr>
          </w:p>
        </w:tc>
      </w:tr>
      <w:tr w14:paraId="02261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noWrap w:val="0"/>
            <w:tcMar>
              <w:left w:w="57" w:type="dxa"/>
              <w:right w:w="57" w:type="dxa"/>
            </w:tcMar>
            <w:vAlign w:val="center"/>
          </w:tcPr>
          <w:p w14:paraId="10573526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b/>
                <w:bCs/>
                <w:kern w:val="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kern w:val="0"/>
              </w:rPr>
              <w:t>长期目标：</w:t>
            </w:r>
          </w:p>
          <w:p w14:paraId="7E7F08B3">
            <w:pPr>
              <w:widowControl/>
              <w:snapToGrid w:val="0"/>
              <w:jc w:val="center"/>
              <w:rPr>
                <w:rFonts w:ascii="仿宋_GB2312" w:hAnsi="宋体" w:eastAsia="仿宋_GB2312"/>
                <w:b/>
                <w:bCs/>
                <w:kern w:val="0"/>
              </w:rPr>
            </w:pPr>
            <w:r>
              <w:rPr>
                <w:rFonts w:ascii="仿宋_GB2312" w:hAnsi="宋体" w:eastAsia="仿宋_GB2312" w:cs="仿宋_GB2312"/>
                <w:kern w:val="0"/>
              </w:rPr>
              <w:t>（</w:t>
            </w:r>
            <w:r>
              <w:rPr>
                <w:rFonts w:hint="eastAsia" w:ascii="仿宋_GB2312" w:hAnsi="宋体" w:eastAsia="仿宋_GB2312" w:cs="仿宋_GB2312"/>
                <w:kern w:val="0"/>
              </w:rPr>
              <w:t>截止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2028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</w:rPr>
              <w:t>年）</w:t>
            </w:r>
          </w:p>
        </w:tc>
        <w:tc>
          <w:tcPr>
            <w:tcW w:w="7520" w:type="dxa"/>
            <w:gridSpan w:val="10"/>
            <w:noWrap w:val="0"/>
            <w:tcMar>
              <w:left w:w="57" w:type="dxa"/>
              <w:right w:w="57" w:type="dxa"/>
            </w:tcMar>
            <w:vAlign w:val="center"/>
          </w:tcPr>
          <w:p w14:paraId="79E0CDB3">
            <w:pPr>
              <w:widowControl/>
              <w:snapToGrid w:val="0"/>
              <w:jc w:val="left"/>
              <w:rPr>
                <w:rFonts w:hint="default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　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做好供地报批工作，紧扣项目落地，促进县域经济发展；编制国土空间规划，不断优化城乡国土空间布局；依托林长制，加大绿色生态资源保护力度，改善县域生态环境质量；严守耕地保护红线，落实耕地保护政策；加强地质灾害防治建设，减少地质灾害安全隐患。</w:t>
            </w:r>
          </w:p>
        </w:tc>
      </w:tr>
      <w:tr w14:paraId="2B611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02D57922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长期绩</w:t>
            </w:r>
          </w:p>
          <w:p w14:paraId="5C79CF0C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效指标</w:t>
            </w:r>
          </w:p>
        </w:tc>
        <w:tc>
          <w:tcPr>
            <w:tcW w:w="823" w:type="dxa"/>
            <w:noWrap w:val="0"/>
            <w:tcMar>
              <w:left w:w="57" w:type="dxa"/>
              <w:right w:w="57" w:type="dxa"/>
            </w:tcMar>
            <w:vAlign w:val="center"/>
          </w:tcPr>
          <w:p w14:paraId="457DA58A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一级</w:t>
            </w:r>
          </w:p>
          <w:p w14:paraId="00F96285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指标</w:t>
            </w:r>
          </w:p>
        </w:tc>
        <w:tc>
          <w:tcPr>
            <w:tcW w:w="1527" w:type="dxa"/>
            <w:noWrap w:val="0"/>
            <w:tcMar>
              <w:left w:w="57" w:type="dxa"/>
              <w:right w:w="57" w:type="dxa"/>
            </w:tcMar>
            <w:vAlign w:val="center"/>
          </w:tcPr>
          <w:p w14:paraId="7B973F60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二级指标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331B0CAE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三级指标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655BF5D2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指标值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30FDDF53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指标值确定依据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935EC92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指标分类</w:t>
            </w:r>
          </w:p>
        </w:tc>
      </w:tr>
      <w:tr w14:paraId="66B37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182F57CE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4662EB1E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运行</w:t>
            </w:r>
          </w:p>
          <w:p w14:paraId="2A989382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成本</w:t>
            </w:r>
          </w:p>
        </w:tc>
        <w:tc>
          <w:tcPr>
            <w:tcW w:w="1527" w:type="dxa"/>
            <w:noWrap w:val="0"/>
            <w:tcMar>
              <w:left w:w="57" w:type="dxa"/>
              <w:right w:w="57" w:type="dxa"/>
            </w:tcMar>
            <w:vAlign w:val="center"/>
          </w:tcPr>
          <w:p w14:paraId="60847FA9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  <w:u w:val="single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公用经费控制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78E618DB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公用经费控制率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5F582B62"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343762D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842AB9F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27EF1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592BABF1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102B2443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noWrap w:val="0"/>
            <w:tcMar>
              <w:left w:w="57" w:type="dxa"/>
              <w:right w:w="57" w:type="dxa"/>
            </w:tcMar>
            <w:vAlign w:val="center"/>
          </w:tcPr>
          <w:p w14:paraId="55E29F4A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  <w:u w:val="single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在职人员控制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78806FC6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在职</w:t>
            </w:r>
            <w:r>
              <w:rPr>
                <w:rFonts w:hint="eastAsia" w:ascii="仿宋_GB2312" w:hAnsi="宋体" w:eastAsia="仿宋_GB2312"/>
                <w:kern w:val="0"/>
              </w:rPr>
              <w:t>人员控制率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7FEE0F73"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496917E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528A03B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0AE17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54B23FDB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19B3C4BC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513E5DEE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项目支出成本控制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46A14815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会议费控制率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271827FF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C0128BF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5D28A67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31437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09EFF028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1E68BC75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53569898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3722E352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“三公经费”变动率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0511983F"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≤0%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5E84C84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9519CBB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63822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1A50EA01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1CBFAB9B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管理</w:t>
            </w:r>
          </w:p>
          <w:p w14:paraId="0C1D6868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效率</w:t>
            </w:r>
          </w:p>
        </w:tc>
        <w:tc>
          <w:tcPr>
            <w:tcW w:w="1527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5972479A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  <w:u w:val="single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战略管理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7364E4BC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中长期规划相符性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55F4532D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部门规划与部门职能匹配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0C16A67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行业标准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4878BDA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256BE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D897B58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2EC4662E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4511F30C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3F69576E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工作计划健全性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59926D68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计划完整，与中长期规划匹配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DD8AED4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行业标准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7940BD1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4A7E6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6A465AED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1A33E21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5F720D78">
            <w:pPr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预算编制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28C10816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预算编制科学性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16B508F4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按标准制定，测算依据充分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558905B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行业标准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F402F72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7E506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4B22175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F698115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83C2B4A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  <w:u w:val="single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78354B48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预算编制合理性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22A1B7D2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重点项目预算有保障，部门内部项目无重复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C98A486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8D5E654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1345D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0E18CC0A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10623B83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F7FF01A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374F806D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立项规范性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102A39D3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  <w:lang w:eastAsia="zh-CN"/>
              </w:rPr>
              <w:t>设立依据充分，按程序设立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E040673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BC60600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64861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546D4C1A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1428EE6A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05F8A0DE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72A0ACD5"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预算调整率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1FCB367B"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0%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7001AB9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1159768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3C3D0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6381B290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6F0632AF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2021FC9C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预算执行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612BC6E5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预算执行率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0E619E88"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207D108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48AF5BE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28B68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29BFC047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0816AFA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080D6806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047DA16B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结转结余率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3D8B2B36"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0%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3039563E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3F07F81F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1F972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197E3F3E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602F6452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0F3BA11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500DC2B0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政府采购执行率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7CA2DFAB"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3354C027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02762FB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20A1E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694F4789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27186B10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1F46152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7FA69652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非税收入预算完成率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1006C301"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3FD4009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8313A1B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0F844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7E62C7F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46790B51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0EA4CA64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绩效管理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56EE18FC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事前绩效评估完成率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5D5924AB"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BF31C6A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计划</w:t>
            </w:r>
            <w:r>
              <w:rPr>
                <w:rFonts w:hint="eastAsia" w:ascii="仿宋_GB2312" w:hAnsi="宋体" w:eastAsia="仿宋_GB2312"/>
                <w:kern w:val="0"/>
                <w:highlight w:val="none"/>
              </w:rPr>
              <w:t>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47E59DC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74159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3296C08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12225DED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042BE497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0124FA2C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绩效目标合理性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4B14F32A"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合理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9A84B8B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9F3BFAE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301C9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7EFBCD1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2C4E11BF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2E262475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213E1B1B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绩效监控开展率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011D9489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245610B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F3F0C2A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3C56B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5737B143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46F5732F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2755238A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623FC9B9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绩效评价覆盖率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569B362E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321C617E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4B32E98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19E7F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420EAA10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410B3751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137B9580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346E22D2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评价结果应用率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0DAA74F9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7A38A22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E5BCE48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65B35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2115AC14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6F70AE4E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4F17CE35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资产管理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107F3423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资产管理制度健全性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779DC61B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资产配置、使用、处置等管理制度完善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86E3038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1AAB334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29288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48A691FE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0ED224A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61B96778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020D0FAC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资产管理规范性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0169A8A8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  <w:lang w:eastAsia="zh-CN"/>
              </w:rPr>
              <w:t>资产保存完整，使用合规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942AC04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预算支出标准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EAA39C1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121F1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ED75096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2260F7B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3EA0D409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财务管理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32956E51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财务管理制度健全性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14856676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  <w:lang w:eastAsia="zh-CN"/>
              </w:rPr>
              <w:t>已制定收入支出管理、内控管理等制度，制度合法合规、完整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0BA39DB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EC0AA78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73EEF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17466865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62649FAF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570106C0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4685ABD1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会计核算规范性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3B69915C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符合国家财经法规和财务管理制度有关规定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73B5217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FEB3A31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05F4D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0243390F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022AE89F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5D2D2D41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36DB0475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资金使用合规性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6CCBBB12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符合国家财经法规和财务管理制度有关规定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594D460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38994ED1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5538B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1357E5A8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5ECD0F41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履职</w:t>
            </w:r>
          </w:p>
          <w:p w14:paraId="0E0A8F7B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效能</w:t>
            </w:r>
          </w:p>
        </w:tc>
        <w:tc>
          <w:tcPr>
            <w:tcW w:w="1527" w:type="dxa"/>
            <w:noWrap w:val="0"/>
            <w:tcMar>
              <w:left w:w="57" w:type="dxa"/>
              <w:right w:w="57" w:type="dxa"/>
            </w:tcMar>
            <w:vAlign w:val="center"/>
          </w:tcPr>
          <w:p w14:paraId="063FE087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核心业务产出1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438ECA57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卫片图斑整改工作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01CF65C6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7182亩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C64F71B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EAF19AB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6028B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2B26024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6C050AF8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noWrap w:val="0"/>
            <w:tcMar>
              <w:left w:w="57" w:type="dxa"/>
              <w:right w:w="57" w:type="dxa"/>
            </w:tcMar>
            <w:vAlign w:val="center"/>
          </w:tcPr>
          <w:p w14:paraId="2A148C4F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核心业务产出2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29C4FEDC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基本农田保护工作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72F783D8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217.05万亩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063D009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30CCD82C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05CA4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1BC6DE45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05CA62B1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noWrap w:val="0"/>
            <w:tcMar>
              <w:left w:w="57" w:type="dxa"/>
              <w:right w:w="57" w:type="dxa"/>
            </w:tcMar>
            <w:vAlign w:val="center"/>
          </w:tcPr>
          <w:p w14:paraId="3CD14003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核心业务产出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3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4AEEF745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造林绿化工作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70E9ED6A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17.1万亩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4ACE5A2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AD6074E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53E03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4AD07989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D1DEBD2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noWrap w:val="0"/>
            <w:tcMar>
              <w:left w:w="57" w:type="dxa"/>
              <w:right w:w="57" w:type="dxa"/>
            </w:tcMar>
            <w:vAlign w:val="center"/>
          </w:tcPr>
          <w:p w14:paraId="43F7ABF6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核心业务产出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4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77BE59B4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占补平衡，坑塘改造工作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3B2609BC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13000亩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099D0D7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F37D1C8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2E133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096C53D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08DFAA7F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noWrap w:val="0"/>
            <w:tcMar>
              <w:left w:w="57" w:type="dxa"/>
              <w:right w:w="57" w:type="dxa"/>
            </w:tcMar>
            <w:vAlign w:val="center"/>
          </w:tcPr>
          <w:p w14:paraId="4905F7C9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核心业务产出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5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6F07A422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自然资源调查，确权登记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09510E46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18个乡镇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F26A916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3E799522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6E7C0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27569C3B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3D72A30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noWrap w:val="0"/>
            <w:tcMar>
              <w:left w:w="57" w:type="dxa"/>
              <w:right w:w="57" w:type="dxa"/>
            </w:tcMar>
            <w:vAlign w:val="center"/>
          </w:tcPr>
          <w:p w14:paraId="2B15DD84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核心业务产出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6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53AE47A3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自然资源督查执法工作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0907FEBE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18个乡镇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30FE193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F1A32D7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06123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487DE7D0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5179BEE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noWrap w:val="0"/>
            <w:tcMar>
              <w:left w:w="57" w:type="dxa"/>
              <w:right w:w="57" w:type="dxa"/>
            </w:tcMar>
            <w:vAlign w:val="center"/>
          </w:tcPr>
          <w:p w14:paraId="4CEDDEE5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核心业务产出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7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2D34FD2C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国土空间生态修复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7CC925FE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  <w:t>24万平方米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DDBCD02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EDC74D5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564D8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22B16DC8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B1281B2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noWrap w:val="0"/>
            <w:tcMar>
              <w:left w:w="57" w:type="dxa"/>
              <w:right w:w="57" w:type="dxa"/>
            </w:tcMar>
            <w:vAlign w:val="center"/>
          </w:tcPr>
          <w:p w14:paraId="7E4B5CAE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核心业务产出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8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4C6A2801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矿权出让工作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7DA0422D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20个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6134FB8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E6B5422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363C7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03BBDC6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3EB0F71F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社会</w:t>
            </w:r>
          </w:p>
          <w:p w14:paraId="4F6D4265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效应</w:t>
            </w:r>
          </w:p>
        </w:tc>
        <w:tc>
          <w:tcPr>
            <w:tcW w:w="1527" w:type="dxa"/>
            <w:noWrap w:val="0"/>
            <w:tcMar>
              <w:left w:w="57" w:type="dxa"/>
              <w:right w:w="57" w:type="dxa"/>
            </w:tcMar>
            <w:vAlign w:val="center"/>
          </w:tcPr>
          <w:p w14:paraId="122114ED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经济效益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4897FAD4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县域经济发展水平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009E9A7B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提高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4971B33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1ED0822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24160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4C6B9CFD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3BD5373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noWrap w:val="0"/>
            <w:tcMar>
              <w:left w:w="57" w:type="dxa"/>
              <w:right w:w="57" w:type="dxa"/>
            </w:tcMar>
            <w:vAlign w:val="center"/>
          </w:tcPr>
          <w:p w14:paraId="3B20E1D9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社会效益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6C431E84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社会就业率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02F11614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提高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06E31E8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FBBB6CD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6F038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6BFDC893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61B91ACD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noWrap w:val="0"/>
            <w:tcMar>
              <w:left w:w="57" w:type="dxa"/>
              <w:right w:w="57" w:type="dxa"/>
            </w:tcMar>
            <w:vAlign w:val="center"/>
          </w:tcPr>
          <w:p w14:paraId="4C6EFFD6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生态效益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2A6B12ED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县域生态环境质量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368B1D67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改善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30195510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BC0A2AD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2CD70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A23C12C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72CA72FD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可持续发展能力</w:t>
            </w:r>
          </w:p>
        </w:tc>
        <w:tc>
          <w:tcPr>
            <w:tcW w:w="1527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0C7623A6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体制机制改革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3A6E28B7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服务体制改革成效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798453DD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显著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A6DC726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8D3F79A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0B7DE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2D3E5549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03653130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BD50BCE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6E2D966C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行政管理体制改革成效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3E36E51E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有效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AF0E0C3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04248C9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00DC5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9D8EAB3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00908C93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07F84CB4">
            <w:pPr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人才支撑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4A75F564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业务学习与培训完成率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3A686220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≥95%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5732130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DB706F1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36821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2C3A306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66AA325E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68A185A3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73BF383F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干部队伍体系建设规划情况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0FAFD714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干部队伍体系建设合理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76E7E22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1124DE2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00C39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1EF15F11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2E2B65C1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8684343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46BBD31B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高学历、高层次人才储备率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21FF7A67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≥9%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B112C7A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13FD7EF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2D18C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25FC79D2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638D21D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noWrap w:val="0"/>
            <w:tcMar>
              <w:left w:w="57" w:type="dxa"/>
              <w:right w:w="57" w:type="dxa"/>
            </w:tcMar>
            <w:vAlign w:val="center"/>
          </w:tcPr>
          <w:p w14:paraId="3038E28F">
            <w:pPr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科技支撑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291BBA35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信息化建设情况</w:t>
            </w:r>
          </w:p>
          <w:p w14:paraId="6AABA891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744D1B68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提高单位工作效率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B051D92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F7DC56B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610B4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42B7193E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3B9C405E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满意度</w:t>
            </w:r>
          </w:p>
        </w:tc>
        <w:tc>
          <w:tcPr>
            <w:tcW w:w="1527" w:type="dxa"/>
            <w:noWrap w:val="0"/>
            <w:tcMar>
              <w:left w:w="57" w:type="dxa"/>
              <w:right w:w="57" w:type="dxa"/>
            </w:tcMar>
            <w:vAlign w:val="center"/>
          </w:tcPr>
          <w:p w14:paraId="366F10C0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服务对象满意度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26F076D4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社会公众满意度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0BD2AA58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≥95%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671E432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7594FB4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15893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0D4D7F6D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822D4B8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noWrap w:val="0"/>
            <w:tcMar>
              <w:left w:w="57" w:type="dxa"/>
              <w:right w:w="57" w:type="dxa"/>
            </w:tcMar>
            <w:vAlign w:val="center"/>
          </w:tcPr>
          <w:p w14:paraId="14C0E54F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联系部门满意度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446D0E33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基层单位满意度</w:t>
            </w: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0D6D8C6E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≥95%</w:t>
            </w:r>
          </w:p>
        </w:tc>
        <w:tc>
          <w:tcPr>
            <w:tcW w:w="8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33A8CF0D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98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3C5A98D9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基本型</w:t>
            </w:r>
          </w:p>
        </w:tc>
      </w:tr>
      <w:tr w14:paraId="1E599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428" w:type="dxa"/>
            <w:noWrap w:val="0"/>
            <w:tcMar>
              <w:left w:w="57" w:type="dxa"/>
              <w:right w:w="57" w:type="dxa"/>
            </w:tcMar>
            <w:vAlign w:val="center"/>
          </w:tcPr>
          <w:p w14:paraId="06883EE2">
            <w:pPr>
              <w:widowControl/>
              <w:snapToGrid w:val="0"/>
              <w:jc w:val="center"/>
              <w:rPr>
                <w:rFonts w:ascii="仿宋_GB2312" w:hAnsi="宋体" w:eastAsia="仿宋_GB2312"/>
                <w:b/>
                <w:bCs/>
                <w:kern w:val="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kern w:val="0"/>
              </w:rPr>
              <w:t>年度目标：</w:t>
            </w:r>
          </w:p>
        </w:tc>
        <w:tc>
          <w:tcPr>
            <w:tcW w:w="7520" w:type="dxa"/>
            <w:gridSpan w:val="10"/>
            <w:noWrap w:val="0"/>
            <w:tcMar>
              <w:left w:w="57" w:type="dxa"/>
              <w:right w:w="57" w:type="dxa"/>
            </w:tcMar>
            <w:vAlign w:val="center"/>
          </w:tcPr>
          <w:p w14:paraId="5A721BFE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　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做好供地报批工作，紧扣项目落地，促进县域经济发展；编制国土空间规划，不断优化城乡国土空间布局；依托林长制，加大绿色生态资源保护力度，改善县域生态环境质量；严守耕地保护红线，落实耕地保护政策；加强地质灾害防治建设，减少地质灾害安全隐患。</w:t>
            </w:r>
          </w:p>
        </w:tc>
      </w:tr>
      <w:tr w14:paraId="32644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23E47066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年度绩效指标</w:t>
            </w:r>
          </w:p>
        </w:tc>
        <w:tc>
          <w:tcPr>
            <w:tcW w:w="823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61483AC3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一级</w:t>
            </w:r>
          </w:p>
          <w:p w14:paraId="7E055D3C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指标</w:t>
            </w:r>
          </w:p>
        </w:tc>
        <w:tc>
          <w:tcPr>
            <w:tcW w:w="1527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0C137B4C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二级指标</w:t>
            </w:r>
          </w:p>
        </w:tc>
        <w:tc>
          <w:tcPr>
            <w:tcW w:w="1626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58751D5E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三级指标</w:t>
            </w:r>
          </w:p>
        </w:tc>
        <w:tc>
          <w:tcPr>
            <w:tcW w:w="400" w:type="dxa"/>
            <w:tcBorders>
              <w:right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DC8D39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2131" w:type="dxa"/>
            <w:gridSpan w:val="3"/>
            <w:tcBorders>
              <w:left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EC2433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指标值</w:t>
            </w:r>
          </w:p>
        </w:tc>
        <w:tc>
          <w:tcPr>
            <w:tcW w:w="528" w:type="dxa"/>
            <w:gridSpan w:val="2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2E2AE437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指标值确定依据</w:t>
            </w:r>
          </w:p>
        </w:tc>
        <w:tc>
          <w:tcPr>
            <w:tcW w:w="485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06A4078C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指标分类</w:t>
            </w:r>
          </w:p>
        </w:tc>
      </w:tr>
      <w:tr w14:paraId="461B5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DD26002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4B114DA6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85342B2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626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2B78003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665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590C99BA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近两年指标值</w:t>
            </w:r>
          </w:p>
        </w:tc>
        <w:tc>
          <w:tcPr>
            <w:tcW w:w="866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3099B5F1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预期当年实现值</w:t>
            </w:r>
          </w:p>
        </w:tc>
        <w:tc>
          <w:tcPr>
            <w:tcW w:w="528" w:type="dxa"/>
            <w:gridSpan w:val="2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19144316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485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4A14419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</w:tr>
      <w:tr w14:paraId="7424E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481F80E1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469B5A8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47F0B1C0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626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61E48798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35C639F9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  <w:u w:val="single"/>
              </w:rPr>
            </w:pPr>
            <w:r>
              <w:rPr>
                <w:rFonts w:hint="eastAsia" w:ascii="仿宋_GB2312" w:hAnsi="宋体" w:eastAsia="仿宋_GB2312" w:cs="仿宋_GB2312"/>
                <w:kern w:val="0"/>
                <w:u w:val="single"/>
              </w:rPr>
              <w:t>前</w:t>
            </w:r>
            <w:r>
              <w:rPr>
                <w:rFonts w:ascii="仿宋_GB2312" w:hAnsi="宋体" w:eastAsia="仿宋_GB2312" w:cs="仿宋_GB2312"/>
                <w:kern w:val="0"/>
                <w:u w:val="single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</w:rPr>
              <w:t>年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5A37CD90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  <w:u w:val="single"/>
              </w:rPr>
            </w:pPr>
            <w:r>
              <w:rPr>
                <w:rFonts w:hint="eastAsia" w:ascii="仿宋_GB2312" w:hAnsi="宋体" w:eastAsia="仿宋_GB2312" w:cs="仿宋_GB2312"/>
                <w:kern w:val="0"/>
                <w:u w:val="single"/>
              </w:rPr>
              <w:t>上</w:t>
            </w:r>
            <w:r>
              <w:rPr>
                <w:rFonts w:ascii="仿宋_GB2312" w:hAnsi="宋体" w:eastAsia="仿宋_GB2312" w:cs="仿宋_GB2312"/>
                <w:kern w:val="0"/>
                <w:u w:val="single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</w:rPr>
              <w:t>年</w:t>
            </w:r>
          </w:p>
        </w:tc>
        <w:tc>
          <w:tcPr>
            <w:tcW w:w="866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2F83D3BF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528" w:type="dxa"/>
            <w:gridSpan w:val="2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201E0B31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485" w:type="dxa"/>
            <w:vMerge w:val="continue"/>
            <w:tcBorders>
              <w:left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F74BDC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</w:tr>
      <w:tr w14:paraId="1FDC8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EDC5F94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066415C0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运行</w:t>
            </w:r>
          </w:p>
          <w:p w14:paraId="78542932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成本</w:t>
            </w:r>
          </w:p>
        </w:tc>
        <w:tc>
          <w:tcPr>
            <w:tcW w:w="1527" w:type="dxa"/>
            <w:noWrap w:val="0"/>
            <w:tcMar>
              <w:left w:w="57" w:type="dxa"/>
              <w:right w:w="57" w:type="dxa"/>
            </w:tcMar>
            <w:vAlign w:val="center"/>
          </w:tcPr>
          <w:p w14:paraId="2D5AAB45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  <w:u w:val="single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公用经费控制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0F41DC46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公用经费控制率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C5FC508"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3DD60A58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4F1488F8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326E3E99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67FC17C3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03576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669F2118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03502A68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noWrap w:val="0"/>
            <w:tcMar>
              <w:left w:w="57" w:type="dxa"/>
              <w:right w:w="57" w:type="dxa"/>
            </w:tcMar>
            <w:vAlign w:val="center"/>
          </w:tcPr>
          <w:p w14:paraId="35E3AF93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  <w:u w:val="single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在职人员控制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7E08ED84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在职</w:t>
            </w:r>
            <w:r>
              <w:rPr>
                <w:rFonts w:hint="eastAsia" w:ascii="仿宋_GB2312" w:hAnsi="宋体" w:eastAsia="仿宋_GB2312"/>
                <w:kern w:val="0"/>
              </w:rPr>
              <w:t>人员控制率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FB9892E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11FF8FDE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3CBB215A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2FB56E9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3E24475A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1B26B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5550D076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02DDD1F6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1182CB66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项目支出成本控制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15A6E140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会议费控制率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00E6C19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3F39228B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77D51FE4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2BE57D4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148D1097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17000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E7FE597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E588B47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2171A66E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7FDCBDC0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“三公经费”变动率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A51207F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0%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00985651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0%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4F31356C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0%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6027E0E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5A79C1BD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17AA5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6A8B1F55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39F8D311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管理</w:t>
            </w:r>
          </w:p>
          <w:p w14:paraId="497516B5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效率</w:t>
            </w:r>
          </w:p>
        </w:tc>
        <w:tc>
          <w:tcPr>
            <w:tcW w:w="1527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7ED71016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  <w:u w:val="single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战略管理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76A70C33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中长期规划相符性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EBCD805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部门职能和部门规划相符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6E94380A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部门职能和部门规划相符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3B12DB8C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部门职能和部门规划相符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DB2EAE3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行业标准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4823D719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562B0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5EF04456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5B315E39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72A3E77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2BD3537C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工作计划健全性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22D46A3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工作计划和</w:t>
            </w: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部门规划相符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5452FD62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工作计划和</w:t>
            </w: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部门规划相符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407C0FAA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工作计划和</w:t>
            </w: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部门规划相符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45BA1EE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行业标准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4C0556CC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738D0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506A91CF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334A191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5457E7B7">
            <w:pPr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预算编制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7238F87F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预算编制科学性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5A8C3DD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按标准制定，测算依据充分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079B2E6C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按标准制定，测算依据充分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7CBDF7B8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按标准制定，测算依据充分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34D3B714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行业标准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117DD83C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0BC1C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0780B741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120F7C3D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BB0756B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  <w:u w:val="single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75E9E263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预算编制合理性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34FC211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编制充分，重点项目预算有保障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6DDD1224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编制充分，重点项目预算有保障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3061B1EC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编制充分，重点项目预算有保障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EE65EBA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1A6AFF7E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7D2F1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2ED61229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536C96D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26495AC0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305CACAA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立项规范性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56103D9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依据充分，按规定程序申请设立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19B1AA58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依据充分，按规定程序申请设立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27DE7F15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依据充分，按规定程序申请设立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92B65A8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39B20416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0B3B6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1BB72E3D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54DF8D2E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0A3029FE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5D2AF993"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预算调整率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3BD9AF9B"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0%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3CEC59E5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0%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0182135C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0%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1F35577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0B3E0A3B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529E3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2A410165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3E590F5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7E029A8B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预算执行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69870EA0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预算执行率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613E316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2FD59902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62E7897C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3C8D73D1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2E1ADE1E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0E85B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62AA8A0D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A91BE7B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4D8DC88C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588D0911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结转结余率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27A223B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0%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65A733B7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0%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6723484B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0%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D226147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7375401F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5C0B2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23913040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E2B9028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0508A65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481B5B2F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政府采购执行率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914AC88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3D214543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2C9FF019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546AD7D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45708208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231CD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0260800E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7AD5303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5B41F2A6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09EFDBFB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非税收入预算完成率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3D22D99A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62B65179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0C10CCAF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29B3747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389AD1B4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16EC3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09DFAE88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9FABAF3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77235A95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绩效管理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0A6D85AD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事前绩效评估完成率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7736A8B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3A9F10FA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5B8EDC47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D84E0D5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6F7B1504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760E4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143C6D2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5A7712C8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5DD190C2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13402117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绩效目标合理性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B0BBEB5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绩效目标</w:t>
            </w: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与中长期规划匹配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61BEDCF8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绩效目标</w:t>
            </w: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与中长期规划匹配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10DDE221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绩效目标</w:t>
            </w: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与中长期规划匹配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7F82AE5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2ED7AB10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5F3A1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55A50268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2232C412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50959BDA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1B4630B8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绩效监控开展率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126685E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506FC7F9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73CF5D4B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38B6984B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05FE1791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551AB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09501802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425F0741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04ED5FCA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1FF6EC5D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绩效评价覆盖率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1C34B3F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4E0692DB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2503474A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8482B84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04FFA04E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17EB4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5343B1D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2E08606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FBFC9AF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599E732D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评价结果应用率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3D5BE4B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30E5F547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233D1040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100%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3C4025EE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423A76D9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406C8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D33FE5B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0BBCBD0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52B95891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资产管理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24421AA0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资产管理制度健全性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92EBBC5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资产配置、使用、处置等管理制度完善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08031D7D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资产配置、使用、处置等管理制度完善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3FE0B290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资产配置、使用、处置等管理制度完善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F8196D3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140CB91E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540B2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3CA208B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4F8B2C5F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47A84B3C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1C377A6E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资产管理规范性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0809D0D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  <w:lang w:eastAsia="zh-CN"/>
              </w:rPr>
              <w:t>资产保存完整，使用合规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01B8A377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  <w:lang w:eastAsia="zh-CN"/>
              </w:rPr>
              <w:t>资产保存完整，使用合规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714958F2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  <w:lang w:eastAsia="zh-CN"/>
              </w:rPr>
              <w:t>资产保存完整，使用合规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7D59B67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38EBAF19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5AB58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6364AFFA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64865203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3B4101DF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财务管理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53156127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财务管理制度健全性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EE93339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  <w:lang w:eastAsia="zh-CN"/>
              </w:rPr>
              <w:t>已制定收入支出管理、内控管理等制度，制度合法合规、完整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64485469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  <w:lang w:eastAsia="zh-CN"/>
              </w:rPr>
              <w:t>已制定收入支出管理、内控管理等制度，制度合法合规、完整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2D3FD8EA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  <w:lang w:eastAsia="zh-CN"/>
              </w:rPr>
              <w:t>已制定收入支出管理、内控管理等制度，制度合法合规、完整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030D87D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5BB5E3D2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28D05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2DEFF295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6F900F1A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25ED2187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7BAA51A9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会计核算规范性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909F4EB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符合国家财经法规和财务管理制度有关规定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4B44AD23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符合国家财经法规和财务管理制度有关规定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153EDC89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符合国家财经法规和财务管理制度有关规定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3EFE8AD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513DE1B3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3DF66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1664A67F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12AF1085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0BE19341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48DB566A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资金使用合规性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9B1BF85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符合国家财经法规和财务管理制度有关规定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472B6E52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符合国家财经法规和财务管理制度有关规定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5792BED6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符合国家财经法规和财务管理制度有关规定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8582F76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预算支出标准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6AC82D16"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69664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6096183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3B1963CB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履职</w:t>
            </w:r>
          </w:p>
          <w:p w14:paraId="0902A155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效能</w:t>
            </w:r>
          </w:p>
        </w:tc>
        <w:tc>
          <w:tcPr>
            <w:tcW w:w="1527" w:type="dxa"/>
            <w:noWrap w:val="0"/>
            <w:tcMar>
              <w:left w:w="57" w:type="dxa"/>
              <w:right w:w="57" w:type="dxa"/>
            </w:tcMar>
            <w:vAlign w:val="center"/>
          </w:tcPr>
          <w:p w14:paraId="3A153D49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核心业务产出1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695C1829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卫片图斑整改工作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905AAA1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1233.652亩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3B9102E9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1355.664亩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643085DA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1596.324亩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5974849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13282FB7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13737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041E3B7C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55945C0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noWrap w:val="0"/>
            <w:tcMar>
              <w:left w:w="57" w:type="dxa"/>
              <w:right w:w="57" w:type="dxa"/>
            </w:tcMar>
            <w:vAlign w:val="center"/>
          </w:tcPr>
          <w:p w14:paraId="2DEA09E5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核心业务产出2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0DCD46FF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基本农田保护工作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A5D4A20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72.35万亩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438387CD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72.35万亩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772924A2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72.35万亩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BB637E9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4FC630EB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4E09C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4095497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0B68F8D1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noWrap w:val="0"/>
            <w:tcMar>
              <w:left w:w="57" w:type="dxa"/>
              <w:right w:w="57" w:type="dxa"/>
            </w:tcMar>
            <w:vAlign w:val="center"/>
          </w:tcPr>
          <w:p w14:paraId="449D8FBD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核心业务产出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3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32AF2919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造林绿化工作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65F08F8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  <w:t>3.2万亩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2D6B1E3F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  <w:t>3.6万亩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0A901168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  <w:t>3.8万亩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C62F732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3A5A80C2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45869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520BDED3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2602D70E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noWrap w:val="0"/>
            <w:tcMar>
              <w:left w:w="57" w:type="dxa"/>
              <w:right w:w="57" w:type="dxa"/>
            </w:tcMar>
            <w:vAlign w:val="center"/>
          </w:tcPr>
          <w:p w14:paraId="60AD49A7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核心业务产出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4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5F91AF1B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占补平衡，坑塘改造工作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80FC3A9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9728亩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01C8E190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9728亩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3C466E9A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9728亩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6D2C1CE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57A124CA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45C23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92CAAC5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54D692A7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noWrap w:val="0"/>
            <w:tcMar>
              <w:left w:w="57" w:type="dxa"/>
              <w:right w:w="57" w:type="dxa"/>
            </w:tcMar>
            <w:vAlign w:val="center"/>
          </w:tcPr>
          <w:p w14:paraId="0281E448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核心业务产出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5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5DF3577A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自然资源调查，确权登记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D74991E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18个乡镇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420E1541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18个乡镇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500043CC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18个乡镇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E0D25C0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494C6AE1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32F4A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439DD16A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506BA997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noWrap w:val="0"/>
            <w:tcMar>
              <w:left w:w="57" w:type="dxa"/>
              <w:right w:w="57" w:type="dxa"/>
            </w:tcMar>
            <w:vAlign w:val="center"/>
          </w:tcPr>
          <w:p w14:paraId="629E4CA7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核心业务产出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6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1D29ACEF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自然资源督查执法工作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C1B932E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18个乡镇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19F13255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18个乡镇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3D22F9DA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18个乡镇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370242AF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55FF2A17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55F2B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4CF3B762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561E5F8D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noWrap w:val="0"/>
            <w:tcMar>
              <w:left w:w="57" w:type="dxa"/>
              <w:right w:w="57" w:type="dxa"/>
            </w:tcMar>
            <w:vAlign w:val="center"/>
          </w:tcPr>
          <w:p w14:paraId="5035B448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核心业务产出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7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5595A5B0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国土空间生态修复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9D216AA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  <w:t>7万平方米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59F85E0B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  <w:t>7万平方米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786CC4C4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  <w:t>7万平方米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D975EE9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0CC180B8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6D02A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0BA773FE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69C4F36E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noWrap w:val="0"/>
            <w:tcMar>
              <w:left w:w="57" w:type="dxa"/>
              <w:right w:w="57" w:type="dxa"/>
            </w:tcMar>
            <w:vAlign w:val="center"/>
          </w:tcPr>
          <w:p w14:paraId="4FF8DF87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核心业务产出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8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363C39E4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矿权出让工作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C187A55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2个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69454120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4个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3ADC01E0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6个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099E804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51008A56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7B37F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428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526B01D2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0729547B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社会</w:t>
            </w:r>
          </w:p>
          <w:p w14:paraId="1A446CAE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效应</w:t>
            </w:r>
          </w:p>
        </w:tc>
        <w:tc>
          <w:tcPr>
            <w:tcW w:w="1527" w:type="dxa"/>
            <w:noWrap w:val="0"/>
            <w:tcMar>
              <w:left w:w="57" w:type="dxa"/>
              <w:right w:w="57" w:type="dxa"/>
            </w:tcMar>
            <w:vAlign w:val="center"/>
          </w:tcPr>
          <w:p w14:paraId="0E3FD69F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经济效益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39AB1AF9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经济发展水平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1BF9AA2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提高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5012A5FE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提高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05E7F050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提高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39E9366D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6A3A1260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4394A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4E4FF298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44041F03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noWrap w:val="0"/>
            <w:tcMar>
              <w:left w:w="57" w:type="dxa"/>
              <w:right w:w="57" w:type="dxa"/>
            </w:tcMar>
            <w:vAlign w:val="center"/>
          </w:tcPr>
          <w:p w14:paraId="6934A1BB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社会效益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6C4F547E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社会就业率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4E541EE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提高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7B70EBB7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提高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1BEC03B4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提高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3FF5C36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76636F32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16411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095468C9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AC629E3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noWrap w:val="0"/>
            <w:tcMar>
              <w:left w:w="57" w:type="dxa"/>
              <w:right w:w="57" w:type="dxa"/>
            </w:tcMar>
            <w:vAlign w:val="center"/>
          </w:tcPr>
          <w:p w14:paraId="5240DFBF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生态效益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4459CD62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县域生态环境质量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3529659E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改善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7FCFBB56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改善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7C835D95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改善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13D0A50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0C8ADC9A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56A45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03D38E90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65B99FC3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可持续发展能力</w:t>
            </w:r>
          </w:p>
        </w:tc>
        <w:tc>
          <w:tcPr>
            <w:tcW w:w="1527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1577758F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体制机制改革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45B1503F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服务体制改革成效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172FBC9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显著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6E30DE7D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显著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67115FD0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显著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E91433B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79BBB399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315B8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5BD2C00D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17C2BAB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2C88838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58FF27EC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行政管理体制改革成效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92AF5BA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明显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242C4307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明显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78BB1AD3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明显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37615E25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11A1F1CF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0E380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0CFD6E17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497D30F7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66BDE19F">
            <w:pPr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人才支撑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71650D39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业务学习与培训完成率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CE730B3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≥95%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3A69ECDC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≥95%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4FD69C9F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≥95%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0AD609E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50AB1788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69E8E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4ACC7E01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2FCF838A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081D38E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47D3834A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干部队伍体系建设规划情况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0EB8E6F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干部队伍建设合理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70AEA01E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干部队伍建设合理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3EC29D0C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干部队伍建设合理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633E5E6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4D8089AE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22402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0746CF9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9879A19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58FCF41A"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040CF431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高学历、高层次人才储备率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5C76B45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≥5%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67EE24AE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≥5%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04EE6FD5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≥5%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C651A61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712F174F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240FB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10519BEF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217C801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noWrap w:val="0"/>
            <w:tcMar>
              <w:left w:w="57" w:type="dxa"/>
              <w:right w:w="57" w:type="dxa"/>
            </w:tcMar>
            <w:vAlign w:val="center"/>
          </w:tcPr>
          <w:p w14:paraId="51B480F7">
            <w:pPr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科技支撑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466DCF20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信息化建设情况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9C25D27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提高工作效率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3B181D82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提高工作效率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5486EFB6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提高工作效率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889CAA6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441FC1E2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11C4B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22EC2663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2A2B4F0C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满意度</w:t>
            </w:r>
          </w:p>
        </w:tc>
        <w:tc>
          <w:tcPr>
            <w:tcW w:w="1527" w:type="dxa"/>
            <w:noWrap w:val="0"/>
            <w:tcMar>
              <w:left w:w="57" w:type="dxa"/>
              <w:right w:w="57" w:type="dxa"/>
            </w:tcMar>
            <w:vAlign w:val="center"/>
          </w:tcPr>
          <w:p w14:paraId="15D7549B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服务对象满意度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6F999B7B"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社会公众满意度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5E75717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≥95%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7AA75464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≥95%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45F42974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≥95%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951CA6A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1329790E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  <w:tr w14:paraId="631EA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42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D62B2DC">
            <w:pPr>
              <w:widowControl/>
              <w:snapToGrid w:val="0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82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565FBCB3">
            <w:pPr>
              <w:widowControl/>
              <w:snapToGrid w:val="0"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27" w:type="dxa"/>
            <w:noWrap w:val="0"/>
            <w:tcMar>
              <w:left w:w="57" w:type="dxa"/>
              <w:right w:w="57" w:type="dxa"/>
            </w:tcMar>
            <w:vAlign w:val="center"/>
          </w:tcPr>
          <w:p w14:paraId="6B9B1A36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联系部门满意度</w:t>
            </w:r>
          </w:p>
        </w:tc>
        <w:tc>
          <w:tcPr>
            <w:tcW w:w="1626" w:type="dxa"/>
            <w:noWrap w:val="0"/>
            <w:tcMar>
              <w:left w:w="57" w:type="dxa"/>
              <w:right w:w="57" w:type="dxa"/>
            </w:tcMar>
            <w:vAlign w:val="center"/>
          </w:tcPr>
          <w:p w14:paraId="65B9D792">
            <w:pPr>
              <w:widowControl/>
              <w:snapToGrid w:val="0"/>
              <w:jc w:val="both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基层单位满意度</w:t>
            </w:r>
          </w:p>
        </w:tc>
        <w:tc>
          <w:tcPr>
            <w:tcW w:w="789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A071F3E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≥95%</w:t>
            </w:r>
          </w:p>
        </w:tc>
        <w:tc>
          <w:tcPr>
            <w:tcW w:w="876" w:type="dxa"/>
            <w:noWrap w:val="0"/>
            <w:tcMar>
              <w:left w:w="57" w:type="dxa"/>
              <w:right w:w="57" w:type="dxa"/>
            </w:tcMar>
            <w:vAlign w:val="center"/>
          </w:tcPr>
          <w:p w14:paraId="5FB1E8B4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≥95%</w:t>
            </w:r>
          </w:p>
        </w:tc>
        <w:tc>
          <w:tcPr>
            <w:tcW w:w="866" w:type="dxa"/>
            <w:noWrap w:val="0"/>
            <w:tcMar>
              <w:left w:w="57" w:type="dxa"/>
              <w:right w:w="57" w:type="dxa"/>
            </w:tcMar>
            <w:vAlign w:val="center"/>
          </w:tcPr>
          <w:p w14:paraId="7E561835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≥95%</w:t>
            </w:r>
          </w:p>
        </w:tc>
        <w:tc>
          <w:tcPr>
            <w:tcW w:w="52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3C6B028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highlight w:val="none"/>
              </w:rPr>
              <w:t>计划标准</w:t>
            </w:r>
          </w:p>
        </w:tc>
        <w:tc>
          <w:tcPr>
            <w:tcW w:w="485" w:type="dxa"/>
            <w:noWrap w:val="0"/>
            <w:tcMar>
              <w:left w:w="57" w:type="dxa"/>
              <w:right w:w="57" w:type="dxa"/>
            </w:tcMar>
            <w:vAlign w:val="center"/>
          </w:tcPr>
          <w:p w14:paraId="471F7186"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基本型</w:t>
            </w:r>
          </w:p>
        </w:tc>
      </w:tr>
    </w:tbl>
    <w:p w14:paraId="630787F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3Yzg2NTRlZjUzNDFkYTdlY2Q0OWVmZWNlNjZmZGYifQ=="/>
  </w:docVars>
  <w:rsids>
    <w:rsidRoot w:val="36D31200"/>
    <w:rsid w:val="36D31200"/>
    <w:rsid w:val="53A35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2024-11-22T01:54:00Z</dcterms:created>
  <dc:creator>cassie</dc:creator>
  <cp:lastModifiedBy>huawei</cp:lastModifiedBy>
  <dcterms:modified xsi:type="dcterms:W3CDTF">2025-11-06T00:55:29Z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2052-12.1.0.17813</vt:lpwstr>
  </property>
  <property fmtid="{D5CDD505-2E9C-101B-9397-08002B2CF9AE}" pid="3" name="ICV">
    <vt:lpwstr>CF8690BBBDE343B89C5271E2BB5EFE71_11</vt:lpwstr>
  </property>
</Properties>
</file>