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default"/>
          <w:lang w:val="en-US" w:eastAsia="zh-CN"/>
        </w:rPr>
      </w:pPr>
      <w:r>
        <w:t>202</w:t>
      </w:r>
      <w:r>
        <w:rPr>
          <w:rFonts w:hint="eastAsia"/>
        </w:rPr>
        <w:t>4</w:t>
      </w:r>
      <w:r>
        <w:t>年</w:t>
      </w:r>
      <w:r>
        <w:rPr>
          <w:rFonts w:hint="eastAsia"/>
          <w:lang w:val="en-US" w:eastAsia="zh-CN"/>
        </w:rPr>
        <w:t>阳新县财政局白沙财政所</w:t>
      </w:r>
    </w:p>
    <w:p>
      <w:pPr>
        <w:pStyle w:val="3"/>
        <w:bidi w:val="0"/>
      </w:pPr>
      <w:r>
        <w:t>预算公开情况说明</w:t>
      </w:r>
    </w:p>
    <w:p>
      <w:pPr>
        <w:rPr>
          <w:rFonts w:hint="eastAsia"/>
          <w:b/>
          <w:bCs/>
        </w:rPr>
      </w:pPr>
      <w:bookmarkStart w:id="0" w:name="_GoBack"/>
      <w:r>
        <w:rPr>
          <w:rFonts w:hint="eastAsia"/>
          <w:b/>
          <w:bCs/>
        </w:rPr>
        <w:t>目  录</w:t>
      </w:r>
    </w:p>
    <w:p>
      <w:pPr>
        <w:rPr>
          <w:rFonts w:hint="eastAsia"/>
          <w:b/>
          <w:bCs/>
        </w:rPr>
      </w:pPr>
      <w:r>
        <w:rPr>
          <w:rFonts w:hint="eastAsia"/>
          <w:b/>
          <w:bCs/>
        </w:rPr>
        <w:t>一、部门主要职责</w:t>
      </w:r>
    </w:p>
    <w:p>
      <w:pPr>
        <w:rPr>
          <w:rFonts w:hint="eastAsia"/>
          <w:b/>
          <w:bCs/>
          <w:lang w:val="en-US" w:eastAsia="zh-CN"/>
        </w:rPr>
      </w:pPr>
      <w:r>
        <w:rPr>
          <w:rFonts w:hint="eastAsia"/>
          <w:b/>
          <w:bCs/>
        </w:rPr>
        <w:t>二、</w:t>
      </w:r>
      <w:r>
        <w:rPr>
          <w:rFonts w:hint="eastAsia"/>
          <w:b/>
          <w:bCs/>
          <w:lang w:val="en-US" w:eastAsia="zh-CN"/>
        </w:rPr>
        <w:t>机构设置情况</w:t>
      </w:r>
    </w:p>
    <w:p>
      <w:pPr>
        <w:rPr>
          <w:b/>
          <w:bCs/>
        </w:rPr>
      </w:pPr>
      <w:r>
        <w:rPr>
          <w:rFonts w:hint="eastAsia"/>
          <w:b/>
          <w:bCs/>
          <w:lang w:val="en-US" w:eastAsia="zh-CN"/>
        </w:rPr>
        <w:t>三、</w:t>
      </w:r>
      <w:r>
        <w:rPr>
          <w:b/>
          <w:bCs/>
        </w:rPr>
        <w:t>预算收支及增减变化情况</w:t>
      </w:r>
    </w:p>
    <w:p>
      <w:pPr>
        <w:rPr>
          <w:rFonts w:hint="eastAsia"/>
          <w:b/>
          <w:bCs/>
        </w:rPr>
      </w:pPr>
      <w:r>
        <w:rPr>
          <w:rFonts w:hint="eastAsia"/>
          <w:b/>
          <w:bCs/>
        </w:rPr>
        <w:t>四、机关运行经费安排情况</w:t>
      </w:r>
    </w:p>
    <w:p>
      <w:pPr>
        <w:rPr>
          <w:rFonts w:hint="eastAsia"/>
          <w:b/>
          <w:bCs/>
        </w:rPr>
      </w:pPr>
      <w:r>
        <w:rPr>
          <w:rFonts w:hint="eastAsia"/>
          <w:b/>
          <w:bCs/>
        </w:rPr>
        <w:t>五、一般公共预算“三公”经费及增减变化情况</w:t>
      </w:r>
    </w:p>
    <w:p>
      <w:pPr>
        <w:rPr>
          <w:rFonts w:hint="eastAsia"/>
          <w:b/>
          <w:bCs/>
        </w:rPr>
      </w:pPr>
      <w:r>
        <w:rPr>
          <w:rFonts w:hint="eastAsia"/>
          <w:b/>
          <w:bCs/>
        </w:rPr>
        <w:t>六、政府采购预算安排情况</w:t>
      </w:r>
    </w:p>
    <w:p>
      <w:pPr>
        <w:rPr>
          <w:rFonts w:hint="eastAsia"/>
          <w:b/>
          <w:bCs/>
        </w:rPr>
      </w:pPr>
      <w:r>
        <w:rPr>
          <w:rFonts w:hint="eastAsia"/>
          <w:b/>
          <w:bCs/>
        </w:rPr>
        <w:t>七、国有资产占用情况</w:t>
      </w:r>
    </w:p>
    <w:p>
      <w:pPr>
        <w:rPr>
          <w:rFonts w:hint="eastAsia"/>
          <w:b/>
          <w:bCs/>
        </w:rPr>
      </w:pPr>
      <w:r>
        <w:rPr>
          <w:rFonts w:hint="eastAsia"/>
          <w:b/>
          <w:bCs/>
        </w:rPr>
        <w:t>八、重点项目预算绩效情况</w:t>
      </w:r>
    </w:p>
    <w:p>
      <w:pPr>
        <w:rPr>
          <w:rFonts w:hint="eastAsia"/>
          <w:b/>
          <w:bCs/>
        </w:rPr>
      </w:pPr>
      <w:r>
        <w:rPr>
          <w:rFonts w:hint="eastAsia"/>
          <w:b/>
          <w:bCs/>
        </w:rPr>
        <w:t>九、其他需要说明的情况</w:t>
      </w:r>
    </w:p>
    <w:p>
      <w:pPr>
        <w:rPr>
          <w:rFonts w:hint="eastAsia"/>
          <w:b/>
          <w:bCs/>
        </w:rPr>
      </w:pPr>
      <w:r>
        <w:rPr>
          <w:rFonts w:hint="eastAsia"/>
          <w:b/>
          <w:bCs/>
          <w:lang w:val="en-US" w:eastAsia="zh-CN"/>
        </w:rPr>
        <w:t>十、专业</w:t>
      </w:r>
      <w:r>
        <w:rPr>
          <w:rFonts w:hint="eastAsia"/>
          <w:b/>
          <w:bCs/>
        </w:rPr>
        <w:t xml:space="preserve">名词解释 </w:t>
      </w:r>
    </w:p>
    <w:bookmarkEnd w:id="0"/>
    <w:p>
      <w:pPr>
        <w:rPr>
          <w:rFonts w:hint="eastAsia"/>
        </w:rPr>
      </w:pPr>
    </w:p>
    <w:p>
      <w:pPr>
        <w:rPr>
          <w:rFonts w:hint="eastAsia"/>
        </w:rPr>
      </w:pPr>
    </w:p>
    <w:p>
      <w:pPr>
        <w:rPr>
          <w:rFonts w:hint="eastAsia"/>
        </w:rPr>
      </w:pPr>
    </w:p>
    <w:p>
      <w:pPr>
        <w:rPr>
          <w:rFonts w:hint="eastAsia"/>
        </w:rPr>
      </w:pPr>
    </w:p>
    <w:p>
      <w:pPr>
        <w:rPr>
          <w:rFonts w:hint="eastAsia"/>
        </w:rPr>
      </w:pPr>
    </w:p>
    <w:p>
      <w:pPr>
        <w:ind w:left="0" w:leftChars="0" w:firstLine="0" w:firstLineChars="0"/>
        <w:rPr>
          <w:rFonts w:hint="eastAsia"/>
        </w:rPr>
      </w:pPr>
    </w:p>
    <w:p>
      <w:pPr>
        <w:ind w:left="0" w:leftChars="0" w:firstLine="0" w:firstLineChars="0"/>
        <w:rPr>
          <w:rFonts w:hint="eastAsia"/>
        </w:rPr>
      </w:pPr>
    </w:p>
    <w:p>
      <w:pPr>
        <w:pStyle w:val="2"/>
        <w:bidi w:val="0"/>
        <w:ind w:left="0" w:leftChars="0" w:firstLine="241" w:firstLineChars="100"/>
      </w:pPr>
      <w:r>
        <w:t>一、单位主要职责</w:t>
      </w:r>
    </w:p>
    <w:p>
      <w:pPr>
        <w:wordWrap w:val="0"/>
        <w:spacing w:line="580" w:lineRule="atLeast"/>
        <w:ind w:right="40" w:firstLine="400" w:firstLineChars="200"/>
        <w:textAlignment w:val="baseline"/>
        <w:rPr>
          <w:sz w:val="20"/>
        </w:rPr>
      </w:pPr>
      <w:r>
        <w:rPr>
          <w:rFonts w:ascii="宋体" w:hAnsi="宋体" w:eastAsia="宋体" w:cs="宋体"/>
          <w:color w:val="000000"/>
          <w:sz w:val="20"/>
        </w:rPr>
        <w:t>主要职责是：</w:t>
      </w:r>
    </w:p>
    <w:p>
      <w:pPr>
        <w:wordWrap w:val="0"/>
        <w:spacing w:line="580" w:lineRule="atLeast"/>
        <w:ind w:right="60" w:firstLine="380"/>
        <w:textAlignment w:val="baseline"/>
        <w:rPr>
          <w:sz w:val="20"/>
          <w:u w:val="none"/>
        </w:rPr>
      </w:pPr>
      <w:r>
        <w:rPr>
          <w:rFonts w:ascii="宋体" w:hAnsi="宋体" w:eastAsia="宋体" w:cs="宋体"/>
          <w:color w:val="000000"/>
          <w:sz w:val="20"/>
        </w:rPr>
        <w:t>1</w:t>
      </w:r>
      <w:r>
        <w:rPr>
          <w:rFonts w:hint="eastAsia" w:ascii="宋体" w:hAnsi="宋体" w:eastAsia="宋体" w:cs="宋体"/>
          <w:color w:val="000000"/>
          <w:sz w:val="20"/>
          <w:lang w:eastAsia="zh-CN"/>
        </w:rPr>
        <w:t>.</w:t>
      </w:r>
      <w:r>
        <w:rPr>
          <w:rFonts w:hint="eastAsia"/>
          <w:sz w:val="20"/>
          <w:u w:val="none"/>
        </w:rPr>
        <w:t>负责组织和管理乡镇财政收入和支出，编制执行乡镇年度财政预算，监督乡镇单位预算执行，编制财政决算；</w:t>
      </w:r>
    </w:p>
    <w:p>
      <w:pPr>
        <w:wordWrap w:val="0"/>
        <w:spacing w:line="580" w:lineRule="atLeast"/>
        <w:textAlignment w:val="baseline"/>
        <w:rPr>
          <w:sz w:val="20"/>
          <w:u w:val="none"/>
        </w:rPr>
      </w:pPr>
      <w:r>
        <w:rPr>
          <w:rFonts w:ascii="宋体" w:hAnsi="宋体" w:eastAsia="宋体" w:cs="宋体"/>
          <w:color w:val="000000"/>
          <w:sz w:val="20"/>
        </w:rPr>
        <w:t>2.</w:t>
      </w:r>
      <w:r>
        <w:rPr>
          <w:rFonts w:hint="eastAsia"/>
          <w:sz w:val="20"/>
          <w:u w:val="none"/>
        </w:rPr>
        <w:t>负责村级一事一议财政奖补工作；</w:t>
      </w:r>
    </w:p>
    <w:p>
      <w:pPr>
        <w:wordWrap w:val="0"/>
        <w:spacing w:line="580" w:lineRule="atLeast"/>
        <w:ind w:right="80" w:firstLine="380"/>
        <w:textAlignment w:val="baseline"/>
        <w:rPr>
          <w:sz w:val="20"/>
        </w:rPr>
      </w:pPr>
      <w:r>
        <w:rPr>
          <w:rFonts w:ascii="宋体" w:hAnsi="宋体" w:eastAsia="宋体" w:cs="宋体"/>
          <w:color w:val="000000"/>
          <w:sz w:val="20"/>
        </w:rPr>
        <w:t>3.</w:t>
      </w:r>
      <w:r>
        <w:rPr>
          <w:rFonts w:hint="eastAsia"/>
          <w:sz w:val="20"/>
          <w:u w:val="none"/>
        </w:rPr>
        <w:t>负责乡镇非税收入的管理；</w:t>
      </w:r>
    </w:p>
    <w:p>
      <w:pPr>
        <w:wordWrap w:val="0"/>
        <w:spacing w:line="580" w:lineRule="atLeast"/>
        <w:ind w:right="80" w:firstLine="380"/>
        <w:textAlignment w:val="baseline"/>
        <w:rPr>
          <w:sz w:val="20"/>
        </w:rPr>
      </w:pPr>
      <w:r>
        <w:rPr>
          <w:rFonts w:ascii="宋体" w:hAnsi="宋体" w:eastAsia="宋体" w:cs="宋体"/>
          <w:color w:val="000000"/>
          <w:sz w:val="20"/>
        </w:rPr>
        <w:t>4</w:t>
      </w:r>
      <w:r>
        <w:rPr>
          <w:rFonts w:hint="eastAsia" w:ascii="宋体" w:hAnsi="宋体" w:eastAsia="宋体" w:cs="宋体"/>
          <w:color w:val="000000"/>
          <w:sz w:val="20"/>
          <w:lang w:eastAsia="zh-CN"/>
        </w:rPr>
        <w:t>.</w:t>
      </w:r>
      <w:r>
        <w:rPr>
          <w:rFonts w:hint="eastAsia"/>
          <w:sz w:val="20"/>
          <w:u w:val="none"/>
        </w:rPr>
        <w:t>负责强农惠农资金一卡式发放、乡财县管和村财乡代理会计核算工作；</w:t>
      </w:r>
    </w:p>
    <w:p>
      <w:pPr>
        <w:wordWrap w:val="0"/>
        <w:spacing w:line="580" w:lineRule="atLeast"/>
        <w:ind w:right="20" w:firstLine="380"/>
        <w:textAlignment w:val="baseline"/>
        <w:rPr>
          <w:sz w:val="20"/>
        </w:rPr>
      </w:pPr>
      <w:r>
        <w:rPr>
          <w:rFonts w:ascii="宋体" w:hAnsi="宋体" w:eastAsia="宋体" w:cs="宋体"/>
          <w:color w:val="000000"/>
          <w:sz w:val="20"/>
        </w:rPr>
        <w:t>5.</w:t>
      </w:r>
      <w:r>
        <w:rPr>
          <w:rFonts w:hint="eastAsia"/>
          <w:sz w:val="20"/>
          <w:u w:val="none"/>
        </w:rPr>
        <w:t>负责乡镇财政专项资金的管理；</w:t>
      </w:r>
    </w:p>
    <w:p>
      <w:pPr>
        <w:wordWrap w:val="0"/>
        <w:spacing w:line="580" w:lineRule="atLeast"/>
        <w:ind w:right="100" w:firstLine="380"/>
        <w:textAlignment w:val="baseline"/>
        <w:rPr>
          <w:rFonts w:hint="eastAsia"/>
          <w:sz w:val="20"/>
          <w:u w:val="none"/>
        </w:rPr>
      </w:pPr>
      <w:r>
        <w:rPr>
          <w:rFonts w:ascii="宋体" w:hAnsi="宋体" w:eastAsia="宋体" w:cs="宋体"/>
          <w:color w:val="000000"/>
          <w:sz w:val="20"/>
        </w:rPr>
        <w:t>6</w:t>
      </w:r>
      <w:r>
        <w:rPr>
          <w:rFonts w:hint="eastAsia" w:ascii="宋体" w:hAnsi="宋体" w:eastAsia="宋体" w:cs="宋体"/>
          <w:color w:val="000000"/>
          <w:sz w:val="20"/>
          <w:lang w:eastAsia="zh-CN"/>
        </w:rPr>
        <w:t>.</w:t>
      </w:r>
      <w:r>
        <w:rPr>
          <w:rFonts w:hint="eastAsia"/>
          <w:sz w:val="20"/>
          <w:u w:val="none"/>
        </w:rPr>
        <w:t>协助乡村两级清收债权、化解债务；</w:t>
      </w:r>
    </w:p>
    <w:p>
      <w:pPr>
        <w:wordWrap w:val="0"/>
        <w:spacing w:line="580" w:lineRule="atLeast"/>
        <w:ind w:right="100" w:firstLine="380"/>
        <w:textAlignment w:val="baseline"/>
        <w:rPr>
          <w:rFonts w:hint="eastAsia"/>
          <w:sz w:val="20"/>
          <w:u w:val="none"/>
          <w:lang w:val="en-US" w:eastAsia="zh-CN"/>
        </w:rPr>
      </w:pPr>
      <w:r>
        <w:rPr>
          <w:rFonts w:hint="eastAsia"/>
          <w:sz w:val="20"/>
          <w:u w:val="none"/>
          <w:lang w:val="en-US" w:eastAsia="zh-CN"/>
        </w:rPr>
        <w:t>7. 负责对乡镇国有资产的购置、登记、处置进行管理，确保乡镇国有资产安全和保值增值；</w:t>
      </w:r>
    </w:p>
    <w:p>
      <w:pPr>
        <w:wordWrap w:val="0"/>
        <w:spacing w:line="580" w:lineRule="atLeast"/>
        <w:ind w:right="100" w:firstLine="380"/>
        <w:textAlignment w:val="baseline"/>
        <w:rPr>
          <w:rFonts w:hint="eastAsia"/>
          <w:sz w:val="20"/>
          <w:u w:val="none"/>
          <w:lang w:val="en-US" w:eastAsia="zh-CN"/>
        </w:rPr>
      </w:pPr>
      <w:r>
        <w:rPr>
          <w:rFonts w:hint="eastAsia"/>
          <w:sz w:val="20"/>
          <w:u w:val="none"/>
          <w:lang w:val="en-US" w:eastAsia="zh-CN"/>
        </w:rPr>
        <w:t>8.负责对农民负担进行监督管理；</w:t>
      </w:r>
    </w:p>
    <w:p>
      <w:pPr>
        <w:wordWrap w:val="0"/>
        <w:spacing w:line="580" w:lineRule="atLeast"/>
        <w:ind w:right="100" w:firstLine="380"/>
        <w:textAlignment w:val="baseline"/>
        <w:rPr>
          <w:rFonts w:hint="eastAsia"/>
          <w:sz w:val="20"/>
          <w:u w:val="none"/>
          <w:lang w:val="en-US" w:eastAsia="zh-CN"/>
        </w:rPr>
      </w:pPr>
      <w:r>
        <w:rPr>
          <w:rFonts w:hint="eastAsia"/>
          <w:sz w:val="20"/>
          <w:u w:val="none"/>
          <w:lang w:val="en-US" w:eastAsia="zh-CN"/>
        </w:rPr>
        <w:t>9.贯彻党和国家财经方针政策，严格执行财政法规和财经制度，监督乡镇范围内各单位的财务活动；</w:t>
      </w:r>
    </w:p>
    <w:p>
      <w:pPr>
        <w:wordWrap w:val="0"/>
        <w:spacing w:line="580" w:lineRule="atLeast"/>
        <w:ind w:right="100" w:firstLine="380"/>
        <w:textAlignment w:val="baseline"/>
        <w:rPr>
          <w:rFonts w:hint="eastAsia"/>
          <w:sz w:val="20"/>
          <w:u w:val="none"/>
          <w:lang w:val="en-US" w:eastAsia="zh-CN"/>
        </w:rPr>
      </w:pPr>
      <w:r>
        <w:rPr>
          <w:rFonts w:hint="eastAsia"/>
          <w:sz w:val="20"/>
          <w:u w:val="none"/>
          <w:lang w:val="en-US" w:eastAsia="zh-CN"/>
        </w:rPr>
        <w:t>10.认真完成上级主管部门和乡镇交办的其它事项。</w:t>
      </w:r>
    </w:p>
    <w:p>
      <w:pPr>
        <w:wordWrap w:val="0"/>
        <w:spacing w:line="580" w:lineRule="atLeast"/>
        <w:ind w:right="100" w:firstLine="380"/>
        <w:textAlignment w:val="baseline"/>
        <w:rPr>
          <w:rFonts w:hint="eastAsia"/>
          <w:sz w:val="20"/>
          <w:u w:val="none"/>
          <w:lang w:val="en-US" w:eastAsia="zh-CN"/>
        </w:rPr>
      </w:pPr>
    </w:p>
    <w:p>
      <w:pPr>
        <w:pStyle w:val="2"/>
        <w:numPr>
          <w:ilvl w:val="0"/>
          <w:numId w:val="0"/>
        </w:numPr>
        <w:bidi w:val="0"/>
        <w:spacing w:before="340" w:after="330" w:line="280" w:lineRule="atLeast"/>
        <w:ind w:left="162" w:leftChars="77" w:right="0" w:rightChars="0" w:firstLine="0" w:firstLineChars="0"/>
        <w:rPr>
          <w:rFonts w:hint="eastAsia"/>
        </w:rPr>
      </w:pPr>
      <w:r>
        <w:t>二、</w:t>
      </w:r>
      <w:r>
        <w:rPr>
          <w:rFonts w:hint="eastAsia"/>
        </w:rPr>
        <w:t>机构设置情况</w:t>
      </w:r>
    </w:p>
    <w:p>
      <w:pPr>
        <w:wordWrap w:val="0"/>
        <w:spacing w:line="520" w:lineRule="atLeast"/>
        <w:ind w:left="140" w:firstLine="400" w:firstLineChars="200"/>
        <w:textAlignment w:val="baseline"/>
        <w:rPr>
          <w:sz w:val="20"/>
          <w:szCs w:val="20"/>
        </w:rPr>
      </w:pPr>
      <w:r>
        <w:rPr>
          <w:rFonts w:hint="eastAsia" w:ascii="宋体" w:hAnsi="宋体" w:eastAsia="宋体" w:cs="宋体"/>
          <w:color w:val="000000"/>
          <w:sz w:val="20"/>
          <w:szCs w:val="20"/>
          <w:lang w:val="en-US" w:eastAsia="zh-CN"/>
        </w:rPr>
        <w:t>阳新县财政局白沙财政所</w:t>
      </w:r>
      <w:r>
        <w:rPr>
          <w:rFonts w:ascii="宋体" w:hAnsi="宋体" w:eastAsia="宋体" w:cs="宋体"/>
          <w:color w:val="000000"/>
          <w:sz w:val="20"/>
          <w:szCs w:val="20"/>
        </w:rPr>
        <w:t>为</w:t>
      </w:r>
      <w:r>
        <w:rPr>
          <w:rFonts w:hint="eastAsia" w:ascii="宋体" w:hAnsi="宋体" w:eastAsia="宋体" w:cs="宋体"/>
          <w:color w:val="000000"/>
          <w:sz w:val="20"/>
          <w:szCs w:val="20"/>
          <w:lang w:val="en-US" w:eastAsia="zh-CN"/>
        </w:rPr>
        <w:t>阳新县白沙镇人民政府</w:t>
      </w:r>
      <w:r>
        <w:rPr>
          <w:rFonts w:ascii="宋体" w:hAnsi="宋体" w:eastAsia="宋体" w:cs="宋体"/>
          <w:color w:val="000000"/>
          <w:sz w:val="20"/>
          <w:szCs w:val="20"/>
        </w:rPr>
        <w:t>部门的二级预算单位，由</w:t>
      </w:r>
      <w:r>
        <w:rPr>
          <w:rFonts w:hint="eastAsia" w:ascii="宋体" w:hAnsi="宋体" w:eastAsia="宋体" w:cs="宋体"/>
          <w:color w:val="000000"/>
          <w:sz w:val="20"/>
          <w:szCs w:val="20"/>
          <w:u w:val="none"/>
          <w:lang w:val="en-US" w:eastAsia="zh-CN"/>
        </w:rPr>
        <w:t>0</w:t>
      </w:r>
      <w:r>
        <w:rPr>
          <w:rFonts w:ascii="宋体" w:hAnsi="宋体" w:eastAsia="宋体" w:cs="宋体"/>
          <w:color w:val="000000"/>
          <w:sz w:val="20"/>
          <w:szCs w:val="20"/>
        </w:rPr>
        <w:t>个参公管理事业单位及</w:t>
      </w:r>
      <w:r>
        <w:rPr>
          <w:rFonts w:hint="eastAsia" w:ascii="宋体" w:hAnsi="宋体" w:eastAsia="宋体" w:cs="宋体"/>
          <w:color w:val="000000"/>
          <w:sz w:val="20"/>
          <w:szCs w:val="20"/>
          <w:u w:val="none"/>
          <w:lang w:val="en-US" w:eastAsia="zh-CN"/>
        </w:rPr>
        <w:t>1</w:t>
      </w:r>
      <w:r>
        <w:rPr>
          <w:rFonts w:ascii="宋体" w:hAnsi="宋体" w:eastAsia="宋体" w:cs="宋体"/>
          <w:color w:val="000000"/>
          <w:sz w:val="20"/>
          <w:szCs w:val="20"/>
        </w:rPr>
        <w:t>个公益类事业单位合并编制报表。内设</w:t>
      </w:r>
      <w:r>
        <w:rPr>
          <w:rFonts w:hint="eastAsia" w:ascii="宋体" w:hAnsi="宋体" w:eastAsia="宋体" w:cs="宋体"/>
          <w:color w:val="000000"/>
          <w:sz w:val="20"/>
          <w:szCs w:val="20"/>
          <w:u w:val="none"/>
          <w:lang w:val="en-US" w:eastAsia="zh-CN"/>
        </w:rPr>
        <w:t>产权交易中心、农村集体三资监管中心等2</w:t>
      </w:r>
      <w:r>
        <w:rPr>
          <w:rFonts w:ascii="宋体" w:hAnsi="宋体" w:eastAsia="宋体" w:cs="宋体"/>
          <w:color w:val="000000"/>
          <w:sz w:val="20"/>
          <w:szCs w:val="20"/>
        </w:rPr>
        <w:t>个机构。</w:t>
      </w:r>
    </w:p>
    <w:p>
      <w:pPr>
        <w:wordWrap w:val="0"/>
        <w:spacing w:line="260" w:lineRule="exact"/>
        <w:textAlignment w:val="baseline"/>
        <w:rPr>
          <w:sz w:val="20"/>
          <w:szCs w:val="20"/>
        </w:rPr>
      </w:pPr>
    </w:p>
    <w:p>
      <w:pPr>
        <w:wordWrap w:val="0"/>
        <w:spacing w:line="260" w:lineRule="atLeast"/>
        <w:textAlignment w:val="baseline"/>
        <w:rPr>
          <w:sz w:val="20"/>
          <w:szCs w:val="20"/>
        </w:rPr>
        <w:sectPr>
          <w:pgSz w:w="11900" w:h="16820"/>
          <w:pgMar w:top="1420" w:right="1780" w:bottom="1420" w:left="1780" w:header="720" w:footer="720" w:gutter="0"/>
          <w:cols w:space="720" w:num="1"/>
        </w:sectPr>
      </w:pPr>
      <w:r>
        <w:rPr>
          <w:rFonts w:ascii="宋体" w:hAnsi="宋体" w:eastAsia="宋体" w:cs="宋体"/>
          <w:color w:val="000000"/>
          <w:sz w:val="20"/>
          <w:szCs w:val="20"/>
        </w:rPr>
        <w:t>参照公务员法管理事业单位</w:t>
      </w:r>
      <w:r>
        <w:rPr>
          <w:rFonts w:hint="eastAsia" w:ascii="宋体" w:hAnsi="宋体" w:eastAsia="宋体" w:cs="宋体"/>
          <w:color w:val="000000"/>
          <w:sz w:val="20"/>
          <w:szCs w:val="20"/>
          <w:u w:val="none"/>
          <w:lang w:val="en-US" w:eastAsia="zh-CN"/>
        </w:rPr>
        <w:t>0</w:t>
      </w:r>
      <w:r>
        <w:rPr>
          <w:rFonts w:ascii="宋体" w:hAnsi="宋体" w:eastAsia="宋体" w:cs="宋体"/>
          <w:color w:val="000000"/>
          <w:sz w:val="20"/>
          <w:szCs w:val="20"/>
        </w:rPr>
        <w:t>个。</w:t>
      </w:r>
    </w:p>
    <w:p>
      <w:pPr>
        <w:wordWrap w:val="0"/>
        <w:spacing w:before="320" w:line="280" w:lineRule="atLeast"/>
        <w:textAlignment w:val="baseline"/>
        <w:rPr>
          <w:rFonts w:hint="default" w:eastAsia="宋体"/>
          <w:sz w:val="20"/>
          <w:szCs w:val="20"/>
          <w:lang w:val="en-US" w:eastAsia="zh-CN"/>
        </w:rPr>
      </w:pPr>
      <w:r>
        <w:rPr>
          <w:rFonts w:ascii="宋体" w:hAnsi="宋体" w:eastAsia="宋体" w:cs="宋体"/>
          <w:color w:val="000000"/>
          <w:sz w:val="20"/>
          <w:szCs w:val="20"/>
        </w:rPr>
        <w:t>公益一类事业单位</w:t>
      </w:r>
      <w:r>
        <w:rPr>
          <w:rFonts w:hint="eastAsia" w:ascii="宋体" w:hAnsi="宋体" w:eastAsia="宋体" w:cs="宋体"/>
          <w:color w:val="000000"/>
          <w:sz w:val="20"/>
          <w:szCs w:val="20"/>
          <w:u w:val="none"/>
          <w:lang w:val="en-US" w:eastAsia="zh-CN"/>
        </w:rPr>
        <w:t>1</w:t>
      </w:r>
      <w:r>
        <w:rPr>
          <w:rFonts w:ascii="宋体" w:hAnsi="宋体" w:eastAsia="宋体" w:cs="宋体"/>
          <w:color w:val="000000"/>
          <w:sz w:val="20"/>
          <w:szCs w:val="20"/>
        </w:rPr>
        <w:t>个。</w:t>
      </w:r>
      <w:r>
        <w:rPr>
          <w:rFonts w:hint="eastAsia" w:ascii="宋体" w:hAnsi="宋体" w:eastAsia="宋体" w:cs="宋体"/>
          <w:color w:val="000000"/>
          <w:sz w:val="20"/>
          <w:szCs w:val="20"/>
          <w:u w:val="none"/>
          <w:lang w:val="en-US" w:eastAsia="zh-CN"/>
        </w:rPr>
        <w:t>阳新县财政局白沙财政所。</w:t>
      </w:r>
    </w:p>
    <w:p>
      <w:pPr>
        <w:wordWrap w:val="0"/>
        <w:spacing w:line="280" w:lineRule="exact"/>
        <w:textAlignment w:val="baseline"/>
        <w:rPr>
          <w:sz w:val="20"/>
          <w:szCs w:val="20"/>
        </w:rPr>
      </w:pPr>
    </w:p>
    <w:p>
      <w:pPr>
        <w:wordWrap w:val="0"/>
        <w:spacing w:line="280" w:lineRule="atLeast"/>
        <w:textAlignment w:val="baseline"/>
      </w:pPr>
      <w:r>
        <w:rPr>
          <w:rFonts w:ascii="宋体" w:hAnsi="宋体" w:eastAsia="宋体" w:cs="宋体"/>
          <w:color w:val="000000"/>
          <w:sz w:val="20"/>
          <w:szCs w:val="20"/>
        </w:rPr>
        <w:t>公益二类事业单位</w:t>
      </w:r>
      <w:r>
        <w:rPr>
          <w:rFonts w:hint="eastAsia" w:ascii="宋体" w:hAnsi="宋体" w:eastAsia="宋体" w:cs="宋体"/>
          <w:color w:val="000000"/>
          <w:sz w:val="20"/>
          <w:szCs w:val="20"/>
          <w:u w:val="none"/>
          <w:lang w:val="en-US" w:eastAsia="zh-CN"/>
        </w:rPr>
        <w:t>0</w:t>
      </w:r>
      <w:r>
        <w:rPr>
          <w:rFonts w:ascii="宋体" w:hAnsi="宋体" w:eastAsia="宋体" w:cs="宋体"/>
          <w:color w:val="000000"/>
          <w:sz w:val="20"/>
          <w:szCs w:val="20"/>
        </w:rPr>
        <w:t>个。</w:t>
      </w:r>
    </w:p>
    <w:p>
      <w:pPr>
        <w:pStyle w:val="2"/>
        <w:keepNext/>
        <w:keepLines/>
        <w:pageBreakBefore w:val="0"/>
        <w:widowControl w:val="0"/>
        <w:numPr>
          <w:ilvl w:val="0"/>
          <w:numId w:val="0"/>
        </w:numPr>
        <w:kinsoku/>
        <w:wordWrap/>
        <w:overflowPunct/>
        <w:topLinePunct w:val="0"/>
        <w:autoSpaceDE/>
        <w:autoSpaceDN/>
        <w:bidi w:val="0"/>
        <w:adjustRightInd/>
        <w:snapToGrid/>
        <w:spacing w:before="460" w:after="210" w:line="280" w:lineRule="atLeast"/>
        <w:ind w:left="162" w:leftChars="77" w:right="0" w:rightChars="0" w:firstLine="0" w:firstLineChars="0"/>
        <w:textAlignment w:val="auto"/>
      </w:pPr>
      <w:r>
        <w:t>三、预算收支及增减变化情况</w:t>
      </w:r>
    </w:p>
    <w:p>
      <w:pPr>
        <w:wordWrap w:val="0"/>
        <w:spacing w:line="580" w:lineRule="atLeast"/>
        <w:ind w:left="140" w:right="60" w:firstLine="400"/>
        <w:textAlignment w:val="baseline"/>
        <w:rPr>
          <w:sz w:val="20"/>
        </w:rPr>
      </w:pPr>
      <w:r>
        <w:rPr>
          <w:rFonts w:ascii="宋体" w:hAnsi="宋体" w:eastAsia="宋体" w:cs="宋体"/>
          <w:color w:val="000000"/>
          <w:sz w:val="20"/>
        </w:rPr>
        <w:t>1.预算收入情况：2024年本年收入</w:t>
      </w:r>
      <w:r>
        <w:rPr>
          <w:rFonts w:hint="eastAsia" w:ascii="宋体" w:hAnsi="宋体" w:eastAsia="宋体" w:cs="宋体"/>
          <w:color w:val="000000"/>
          <w:sz w:val="20"/>
        </w:rPr>
        <w:t>预算</w:t>
      </w:r>
      <w:r>
        <w:rPr>
          <w:rFonts w:ascii="宋体" w:hAnsi="宋体" w:eastAsia="宋体" w:cs="宋体"/>
          <w:color w:val="000000"/>
          <w:sz w:val="20"/>
        </w:rPr>
        <w:t>为</w:t>
      </w:r>
      <w:r>
        <w:rPr>
          <w:rFonts w:hint="eastAsia" w:ascii="宋体" w:hAnsi="宋体" w:eastAsia="宋体" w:cs="宋体"/>
          <w:color w:val="000000"/>
          <w:sz w:val="20"/>
          <w:u w:val="none"/>
          <w:lang w:val="en-US" w:eastAsia="zh-CN"/>
        </w:rPr>
        <w:t>204.2</w:t>
      </w:r>
      <w:r>
        <w:rPr>
          <w:rFonts w:ascii="宋体" w:hAnsi="宋体" w:eastAsia="宋体" w:cs="宋体"/>
          <w:color w:val="000000"/>
          <w:sz w:val="20"/>
        </w:rPr>
        <w:t>万元</w:t>
      </w:r>
      <w:r>
        <w:rPr>
          <w:rFonts w:hint="eastAsia" w:ascii="宋体" w:hAnsi="宋体" w:eastAsia="宋体" w:cs="宋体"/>
          <w:color w:val="000000"/>
          <w:sz w:val="20"/>
        </w:rPr>
        <w:t>，</w:t>
      </w:r>
      <w:r>
        <w:rPr>
          <w:rFonts w:ascii="宋体" w:hAnsi="宋体" w:eastAsia="宋体" w:cs="宋体"/>
          <w:color w:val="000000"/>
          <w:sz w:val="20"/>
        </w:rPr>
        <w:t>比上年</w:t>
      </w:r>
      <w:r>
        <w:rPr>
          <w:rFonts w:hint="eastAsia" w:ascii="宋体" w:hAnsi="宋体" w:eastAsia="宋体" w:cs="宋体"/>
          <w:color w:val="000000"/>
          <w:sz w:val="20"/>
          <w:lang w:val="en-US" w:eastAsia="zh-CN"/>
        </w:rPr>
        <w:t>减少49.9</w:t>
      </w:r>
      <w:r>
        <w:rPr>
          <w:rFonts w:ascii="宋体" w:hAnsi="宋体" w:eastAsia="宋体" w:cs="宋体"/>
          <w:color w:val="000000"/>
          <w:sz w:val="20"/>
        </w:rPr>
        <w:t>万元,</w:t>
      </w:r>
      <w:r>
        <w:rPr>
          <w:rFonts w:hint="eastAsia" w:ascii="宋体" w:hAnsi="宋体" w:eastAsia="宋体" w:cs="宋体"/>
          <w:color w:val="000000"/>
          <w:sz w:val="20"/>
          <w:lang w:val="en-US" w:eastAsia="zh-CN"/>
        </w:rPr>
        <w:t>减少19.6</w:t>
      </w:r>
      <w:r>
        <w:rPr>
          <w:rFonts w:hint="eastAsia" w:ascii="宋体" w:hAnsi="宋体" w:eastAsia="宋体" w:cs="宋体"/>
          <w:color w:val="000000"/>
          <w:sz w:val="20"/>
        </w:rPr>
        <w:t>%</w:t>
      </w:r>
      <w:r>
        <w:rPr>
          <w:rFonts w:ascii="宋体" w:hAnsi="宋体" w:eastAsia="宋体" w:cs="宋体"/>
          <w:color w:val="000000"/>
          <w:sz w:val="20"/>
        </w:rPr>
        <w:t>。 其中</w:t>
      </w:r>
      <w:r>
        <w:rPr>
          <w:rFonts w:hint="eastAsia" w:ascii="宋体" w:hAnsi="宋体" w:eastAsia="宋体" w:cs="宋体"/>
          <w:color w:val="000000"/>
          <w:sz w:val="20"/>
        </w:rPr>
        <w:t>，</w:t>
      </w:r>
      <w:r>
        <w:rPr>
          <w:rFonts w:ascii="宋体" w:hAnsi="宋体" w:eastAsia="宋体" w:cs="宋体"/>
          <w:color w:val="000000"/>
          <w:sz w:val="20"/>
        </w:rPr>
        <w:t>经费拨款</w:t>
      </w:r>
      <w:r>
        <w:rPr>
          <w:rFonts w:hint="eastAsia" w:ascii="宋体" w:hAnsi="宋体" w:eastAsia="宋体" w:cs="宋体"/>
          <w:color w:val="000000"/>
          <w:sz w:val="20"/>
          <w:u w:val="none"/>
          <w:lang w:val="en-US" w:eastAsia="zh-CN"/>
        </w:rPr>
        <w:t>204.2</w:t>
      </w:r>
      <w:r>
        <w:rPr>
          <w:rFonts w:ascii="宋体" w:hAnsi="宋体" w:eastAsia="宋体" w:cs="宋体"/>
          <w:color w:val="000000"/>
          <w:sz w:val="20"/>
        </w:rPr>
        <w:t>万元</w:t>
      </w:r>
      <w:r>
        <w:rPr>
          <w:rFonts w:hint="eastAsia" w:ascii="宋体" w:hAnsi="宋体" w:eastAsia="宋体" w:cs="宋体"/>
          <w:color w:val="000000"/>
          <w:sz w:val="20"/>
        </w:rPr>
        <w:t>，财政专户管理资金收</w:t>
      </w:r>
      <w:r>
        <w:rPr>
          <w:rFonts w:hint="eastAsia" w:ascii="宋体" w:hAnsi="宋体" w:eastAsia="宋体" w:cs="宋体"/>
          <w:color w:val="000000"/>
          <w:sz w:val="20"/>
          <w:u w:val="none"/>
        </w:rPr>
        <w:t>入</w:t>
      </w:r>
      <w:r>
        <w:rPr>
          <w:rFonts w:hint="eastAsia" w:ascii="宋体" w:hAnsi="宋体" w:eastAsia="宋体" w:cs="宋体"/>
          <w:color w:val="000000"/>
          <w:sz w:val="20"/>
          <w:u w:val="none"/>
          <w:lang w:val="en-US" w:eastAsia="zh-CN"/>
        </w:rPr>
        <w:t>0</w:t>
      </w:r>
      <w:r>
        <w:rPr>
          <w:rFonts w:ascii="宋体" w:hAnsi="宋体" w:eastAsia="宋体" w:cs="宋体"/>
          <w:color w:val="000000"/>
          <w:sz w:val="20"/>
        </w:rPr>
        <w:t>万元</w:t>
      </w:r>
      <w:r>
        <w:rPr>
          <w:rFonts w:hint="eastAsia" w:ascii="宋体" w:hAnsi="宋体" w:eastAsia="宋体" w:cs="宋体"/>
          <w:color w:val="000000"/>
          <w:sz w:val="20"/>
        </w:rPr>
        <w:t>，</w:t>
      </w:r>
      <w:r>
        <w:rPr>
          <w:rFonts w:ascii="宋体" w:hAnsi="宋体" w:eastAsia="宋体" w:cs="宋体"/>
          <w:color w:val="000000"/>
          <w:sz w:val="20"/>
        </w:rPr>
        <w:t>其他收入</w:t>
      </w:r>
      <w:r>
        <w:rPr>
          <w:rFonts w:hint="eastAsia" w:ascii="宋体" w:hAnsi="宋体" w:eastAsia="宋体" w:cs="宋体"/>
          <w:color w:val="000000"/>
          <w:sz w:val="20"/>
          <w:u w:val="none"/>
          <w:lang w:val="en-US" w:eastAsia="zh-CN"/>
        </w:rPr>
        <w:t>0</w:t>
      </w:r>
      <w:r>
        <w:rPr>
          <w:rFonts w:ascii="宋体" w:hAnsi="宋体" w:eastAsia="宋体" w:cs="宋体"/>
          <w:color w:val="000000"/>
          <w:sz w:val="20"/>
        </w:rPr>
        <w:t>万元。</w:t>
      </w:r>
    </w:p>
    <w:p>
      <w:pPr>
        <w:wordWrap w:val="0"/>
        <w:spacing w:line="580" w:lineRule="atLeast"/>
        <w:ind w:left="140" w:right="20" w:firstLine="400"/>
        <w:textAlignment w:val="baseline"/>
        <w:rPr>
          <w:sz w:val="20"/>
          <w:highlight w:val="none"/>
        </w:rPr>
      </w:pPr>
      <w:r>
        <w:rPr>
          <w:rFonts w:hint="eastAsia" w:ascii="宋体" w:hAnsi="宋体" w:eastAsia="宋体" w:cs="宋体"/>
          <w:color w:val="000000"/>
          <w:sz w:val="20"/>
          <w:highlight w:val="none"/>
          <w:lang w:val="en-US" w:eastAsia="zh-CN"/>
        </w:rPr>
        <w:t>支出减少</w:t>
      </w:r>
      <w:r>
        <w:rPr>
          <w:rFonts w:ascii="宋体" w:hAnsi="宋体" w:eastAsia="宋体" w:cs="宋体"/>
          <w:color w:val="000000"/>
          <w:sz w:val="20"/>
          <w:highlight w:val="none"/>
        </w:rPr>
        <w:t>原因：</w:t>
      </w:r>
      <w:r>
        <w:rPr>
          <w:rFonts w:hint="eastAsia" w:ascii="宋体" w:hAnsi="宋体" w:eastAsia="宋体" w:cs="宋体"/>
          <w:color w:val="000000"/>
          <w:sz w:val="20"/>
          <w:highlight w:val="none"/>
          <w:lang w:val="en-US" w:eastAsia="zh-CN"/>
        </w:rPr>
        <w:t>本单位2023年</w:t>
      </w:r>
      <w:r>
        <w:rPr>
          <w:rFonts w:hint="eastAsia" w:ascii="宋体" w:hAnsi="宋体" w:eastAsia="宋体" w:cs="宋体"/>
          <w:color w:val="000000"/>
          <w:sz w:val="20"/>
          <w:highlight w:val="none"/>
          <w:u w:val="none"/>
          <w:lang w:val="en-US" w:eastAsia="zh-CN"/>
        </w:rPr>
        <w:t>人员退休和调动导致2024预算收入减少</w:t>
      </w:r>
      <w:r>
        <w:rPr>
          <w:rFonts w:ascii="宋体" w:hAnsi="宋体" w:eastAsia="宋体" w:cs="宋体"/>
          <w:color w:val="000000"/>
          <w:sz w:val="20"/>
          <w:highlight w:val="none"/>
        </w:rPr>
        <w:t>。</w:t>
      </w:r>
    </w:p>
    <w:p>
      <w:pPr>
        <w:wordWrap w:val="0"/>
        <w:spacing w:line="580" w:lineRule="atLeast"/>
        <w:ind w:left="140" w:firstLine="400"/>
        <w:textAlignment w:val="baseline"/>
        <w:rPr>
          <w:rFonts w:hint="eastAsia" w:eastAsia="宋体"/>
          <w:sz w:val="20"/>
          <w:lang w:val="en-US" w:eastAsia="zh-CN"/>
        </w:rPr>
      </w:pPr>
      <w:r>
        <w:rPr>
          <w:rFonts w:ascii="宋体" w:hAnsi="宋体" w:eastAsia="宋体" w:cs="宋体"/>
          <w:color w:val="000000"/>
          <w:sz w:val="20"/>
        </w:rPr>
        <w:t>2.预算支出情况：2024年本年支出</w:t>
      </w:r>
      <w:r>
        <w:rPr>
          <w:rFonts w:hint="eastAsia" w:ascii="宋体" w:hAnsi="宋体" w:eastAsia="宋体" w:cs="宋体"/>
          <w:color w:val="000000"/>
          <w:sz w:val="20"/>
        </w:rPr>
        <w:t>预算</w:t>
      </w:r>
      <w:r>
        <w:rPr>
          <w:rFonts w:hint="eastAsia" w:ascii="宋体" w:hAnsi="宋体" w:eastAsia="宋体" w:cs="宋体"/>
          <w:color w:val="000000"/>
          <w:sz w:val="20"/>
          <w:u w:val="none"/>
          <w:lang w:val="en-US" w:eastAsia="zh-CN"/>
        </w:rPr>
        <w:t>204.2</w:t>
      </w:r>
      <w:r>
        <w:rPr>
          <w:rFonts w:ascii="宋体" w:hAnsi="宋体" w:eastAsia="宋体" w:cs="宋体"/>
          <w:color w:val="000000"/>
          <w:sz w:val="20"/>
        </w:rPr>
        <w:t>万元</w:t>
      </w:r>
      <w:r>
        <w:rPr>
          <w:rFonts w:hint="eastAsia" w:ascii="宋体" w:hAnsi="宋体" w:eastAsia="宋体" w:cs="宋体"/>
          <w:color w:val="000000"/>
          <w:sz w:val="20"/>
        </w:rPr>
        <w:t>，</w:t>
      </w:r>
      <w:r>
        <w:rPr>
          <w:rFonts w:ascii="宋体" w:hAnsi="宋体" w:eastAsia="宋体" w:cs="宋体"/>
          <w:color w:val="000000"/>
          <w:sz w:val="20"/>
        </w:rPr>
        <w:t>比上年</w:t>
      </w:r>
      <w:r>
        <w:rPr>
          <w:rFonts w:hint="eastAsia" w:ascii="宋体" w:hAnsi="宋体" w:eastAsia="宋体" w:cs="宋体"/>
          <w:color w:val="000000"/>
          <w:sz w:val="20"/>
          <w:lang w:val="en-US" w:eastAsia="zh-CN"/>
        </w:rPr>
        <w:t>减少49.9</w:t>
      </w:r>
      <w:r>
        <w:rPr>
          <w:rFonts w:ascii="宋体" w:hAnsi="宋体" w:eastAsia="宋体" w:cs="宋体"/>
          <w:color w:val="000000"/>
          <w:sz w:val="20"/>
        </w:rPr>
        <w:t>万元,</w:t>
      </w:r>
      <w:r>
        <w:rPr>
          <w:rFonts w:hint="eastAsia" w:ascii="宋体" w:hAnsi="宋体" w:eastAsia="宋体" w:cs="宋体"/>
          <w:color w:val="000000"/>
          <w:sz w:val="20"/>
          <w:lang w:val="en-US" w:eastAsia="zh-CN"/>
        </w:rPr>
        <w:t>减少19.6</w:t>
      </w:r>
      <w:r>
        <w:rPr>
          <w:rFonts w:hint="eastAsia" w:ascii="宋体" w:hAnsi="宋体" w:eastAsia="宋体" w:cs="宋体"/>
          <w:color w:val="000000"/>
          <w:sz w:val="20"/>
        </w:rPr>
        <w:t>%</w:t>
      </w:r>
      <w:r>
        <w:rPr>
          <w:rFonts w:ascii="宋体" w:hAnsi="宋体" w:eastAsia="宋体" w:cs="宋体"/>
          <w:color w:val="000000"/>
          <w:sz w:val="20"/>
        </w:rPr>
        <w:t>。其中：基本支出</w:t>
      </w:r>
      <w:r>
        <w:rPr>
          <w:rFonts w:hint="eastAsia" w:ascii="宋体" w:hAnsi="宋体" w:eastAsia="宋体" w:cs="宋体"/>
          <w:color w:val="000000"/>
          <w:sz w:val="20"/>
          <w:u w:val="none"/>
          <w:lang w:val="en-US" w:eastAsia="zh-CN"/>
        </w:rPr>
        <w:t>169.2</w:t>
      </w:r>
      <w:r>
        <w:rPr>
          <w:rFonts w:ascii="宋体" w:hAnsi="宋体" w:eastAsia="宋体" w:cs="宋体"/>
          <w:color w:val="000000"/>
          <w:sz w:val="20"/>
        </w:rPr>
        <w:t>万元</w:t>
      </w:r>
      <w:r>
        <w:rPr>
          <w:rFonts w:hint="eastAsia" w:ascii="宋体" w:hAnsi="宋体" w:eastAsia="宋体" w:cs="宋体"/>
          <w:color w:val="000000"/>
          <w:sz w:val="20"/>
        </w:rPr>
        <w:t>，</w:t>
      </w:r>
      <w:r>
        <w:rPr>
          <w:rFonts w:ascii="宋体" w:hAnsi="宋体" w:eastAsia="宋体" w:cs="宋体"/>
          <w:color w:val="000000"/>
          <w:sz w:val="20"/>
        </w:rPr>
        <w:t>占总支出的</w:t>
      </w:r>
      <w:r>
        <w:rPr>
          <w:rFonts w:hint="eastAsia" w:ascii="宋体" w:hAnsi="宋体" w:eastAsia="宋体" w:cs="宋体"/>
          <w:color w:val="000000"/>
          <w:sz w:val="20"/>
          <w:u w:val="none"/>
          <w:lang w:val="en-US" w:eastAsia="zh-CN"/>
        </w:rPr>
        <w:t>82.86</w:t>
      </w:r>
      <w:r>
        <w:rPr>
          <w:rFonts w:ascii="宋体" w:hAnsi="宋体" w:eastAsia="宋体" w:cs="宋体"/>
          <w:color w:val="000000"/>
          <w:sz w:val="20"/>
        </w:rPr>
        <w:t>%</w:t>
      </w:r>
      <w:r>
        <w:rPr>
          <w:rFonts w:hint="eastAsia" w:ascii="宋体" w:hAnsi="宋体" w:eastAsia="宋体" w:cs="宋体"/>
          <w:color w:val="000000"/>
          <w:sz w:val="20"/>
        </w:rPr>
        <w:t>；</w:t>
      </w:r>
      <w:r>
        <w:rPr>
          <w:rFonts w:ascii="宋体" w:hAnsi="宋体" w:eastAsia="宋体" w:cs="宋体"/>
          <w:color w:val="000000"/>
          <w:sz w:val="20"/>
        </w:rPr>
        <w:t>项目支出</w:t>
      </w:r>
      <w:r>
        <w:rPr>
          <w:rFonts w:hint="eastAsia" w:ascii="宋体" w:hAnsi="宋体" w:eastAsia="宋体" w:cs="宋体"/>
          <w:color w:val="000000"/>
          <w:sz w:val="20"/>
          <w:u w:val="none"/>
          <w:lang w:val="en-US" w:eastAsia="zh-CN"/>
        </w:rPr>
        <w:t>35</w:t>
      </w:r>
      <w:r>
        <w:rPr>
          <w:rFonts w:ascii="宋体" w:hAnsi="宋体" w:eastAsia="宋体" w:cs="宋体"/>
          <w:color w:val="000000"/>
          <w:sz w:val="20"/>
        </w:rPr>
        <w:t>万元,占总支出的</w:t>
      </w:r>
      <w:r>
        <w:rPr>
          <w:rFonts w:hint="eastAsia" w:ascii="宋体" w:hAnsi="宋体" w:eastAsia="宋体" w:cs="宋体"/>
          <w:color w:val="000000"/>
          <w:sz w:val="20"/>
          <w:u w:val="none"/>
          <w:lang w:val="en-US" w:eastAsia="zh-CN"/>
        </w:rPr>
        <w:t>17.14</w:t>
      </w:r>
      <w:r>
        <w:rPr>
          <w:rFonts w:ascii="宋体" w:hAnsi="宋体" w:eastAsia="宋体" w:cs="宋体"/>
          <w:color w:val="000000"/>
          <w:sz w:val="20"/>
        </w:rPr>
        <w:t>%。本年支出构成为：</w:t>
      </w:r>
      <w:r>
        <w:rPr>
          <w:rFonts w:hint="eastAsia" w:ascii="宋体" w:hAnsi="宋体" w:eastAsia="宋体" w:cs="宋体"/>
          <w:color w:val="000000"/>
          <w:sz w:val="20"/>
          <w:u w:val="none"/>
          <w:lang w:val="en-US" w:eastAsia="zh-CN"/>
        </w:rPr>
        <w:t>一般公共服务</w:t>
      </w:r>
      <w:r>
        <w:rPr>
          <w:rFonts w:ascii="宋体" w:hAnsi="宋体" w:eastAsia="宋体" w:cs="宋体"/>
          <w:color w:val="000000"/>
          <w:sz w:val="20"/>
        </w:rPr>
        <w:t>支出</w:t>
      </w:r>
      <w:r>
        <w:rPr>
          <w:rFonts w:hint="eastAsia" w:ascii="宋体" w:hAnsi="宋体" w:eastAsia="宋体" w:cs="宋体"/>
          <w:color w:val="000000"/>
          <w:sz w:val="20"/>
          <w:u w:val="none"/>
          <w:lang w:val="en-US" w:eastAsia="zh-CN"/>
        </w:rPr>
        <w:t>204.2</w:t>
      </w:r>
      <w:r>
        <w:rPr>
          <w:rFonts w:ascii="宋体" w:hAnsi="宋体" w:eastAsia="宋体" w:cs="宋体"/>
          <w:color w:val="000000"/>
          <w:sz w:val="20"/>
        </w:rPr>
        <w:t>万元，占本年支出</w:t>
      </w:r>
      <w:r>
        <w:rPr>
          <w:rFonts w:hint="eastAsia" w:ascii="宋体" w:hAnsi="宋体" w:eastAsia="宋体" w:cs="宋体"/>
          <w:color w:val="000000"/>
          <w:sz w:val="20"/>
          <w:u w:val="none"/>
          <w:lang w:val="en-US" w:eastAsia="zh-CN"/>
        </w:rPr>
        <w:t>100</w:t>
      </w:r>
      <w:r>
        <w:rPr>
          <w:rFonts w:ascii="宋体" w:hAnsi="宋体" w:eastAsia="宋体" w:cs="宋体"/>
          <w:color w:val="000000"/>
          <w:sz w:val="20"/>
        </w:rPr>
        <w:t>%</w:t>
      </w:r>
      <w:r>
        <w:rPr>
          <w:rFonts w:hint="eastAsia" w:ascii="宋体" w:hAnsi="宋体" w:eastAsia="宋体" w:cs="宋体"/>
          <w:color w:val="000000"/>
          <w:sz w:val="20"/>
          <w:lang w:eastAsia="zh-CN"/>
        </w:rPr>
        <w:t>。</w:t>
      </w:r>
    </w:p>
    <w:p>
      <w:pPr>
        <w:wordWrap w:val="0"/>
        <w:spacing w:line="580" w:lineRule="atLeast"/>
        <w:ind w:left="140" w:firstLine="400"/>
        <w:textAlignment w:val="baseline"/>
        <w:rPr>
          <w:sz w:val="20"/>
        </w:rPr>
      </w:pPr>
      <w:r>
        <w:rPr>
          <w:rFonts w:ascii="宋体" w:hAnsi="宋体" w:eastAsia="宋体" w:cs="宋体"/>
          <w:color w:val="000000"/>
          <w:sz w:val="20"/>
        </w:rPr>
        <w:t>支出</w:t>
      </w:r>
      <w:r>
        <w:rPr>
          <w:rFonts w:hint="eastAsia" w:ascii="宋体" w:hAnsi="宋体" w:eastAsia="宋体" w:cs="宋体"/>
          <w:color w:val="000000"/>
          <w:sz w:val="20"/>
          <w:lang w:val="en-US" w:eastAsia="zh-CN"/>
        </w:rPr>
        <w:t>减少</w:t>
      </w:r>
      <w:r>
        <w:rPr>
          <w:rFonts w:ascii="宋体" w:hAnsi="宋体" w:eastAsia="宋体" w:cs="宋体"/>
          <w:color w:val="000000"/>
          <w:sz w:val="20"/>
        </w:rPr>
        <w:t>原因：</w:t>
      </w:r>
      <w:r>
        <w:rPr>
          <w:rFonts w:hint="eastAsia" w:ascii="宋体" w:hAnsi="宋体" w:eastAsia="宋体" w:cs="宋体"/>
          <w:color w:val="000000"/>
          <w:sz w:val="20"/>
        </w:rPr>
        <w:t>（</w:t>
      </w:r>
      <w:r>
        <w:rPr>
          <w:rFonts w:ascii="宋体" w:hAnsi="宋体" w:eastAsia="宋体" w:cs="宋体"/>
          <w:color w:val="000000"/>
          <w:sz w:val="20"/>
        </w:rPr>
        <w:t>1</w:t>
      </w:r>
      <w:r>
        <w:rPr>
          <w:rFonts w:hint="eastAsia" w:ascii="宋体" w:hAnsi="宋体" w:eastAsia="宋体" w:cs="宋体"/>
          <w:color w:val="000000"/>
          <w:sz w:val="20"/>
        </w:rPr>
        <w:t>）</w:t>
      </w:r>
      <w:r>
        <w:rPr>
          <w:rFonts w:ascii="宋体" w:hAnsi="宋体" w:eastAsia="宋体" w:cs="宋体"/>
          <w:color w:val="000000"/>
          <w:sz w:val="20"/>
        </w:rPr>
        <w:t>2024年基本支出比上年</w:t>
      </w:r>
      <w:r>
        <w:rPr>
          <w:rFonts w:hint="eastAsia" w:ascii="宋体" w:hAnsi="宋体" w:eastAsia="宋体" w:cs="宋体"/>
          <w:color w:val="000000"/>
          <w:sz w:val="20"/>
          <w:lang w:val="en-US" w:eastAsia="zh-CN"/>
        </w:rPr>
        <w:t>减少49.9</w:t>
      </w:r>
      <w:r>
        <w:rPr>
          <w:rFonts w:ascii="宋体" w:hAnsi="宋体" w:eastAsia="宋体" w:cs="宋体"/>
          <w:color w:val="000000"/>
          <w:sz w:val="20"/>
        </w:rPr>
        <w:t>万元</w:t>
      </w:r>
      <w:r>
        <w:rPr>
          <w:rFonts w:hint="eastAsia" w:ascii="宋体" w:hAnsi="宋体" w:eastAsia="宋体" w:cs="宋体"/>
          <w:color w:val="000000"/>
          <w:sz w:val="20"/>
        </w:rPr>
        <w:t>，</w:t>
      </w:r>
      <w:r>
        <w:rPr>
          <w:rFonts w:ascii="宋体" w:hAnsi="宋体" w:eastAsia="宋体" w:cs="宋体"/>
          <w:color w:val="000000"/>
          <w:sz w:val="20"/>
        </w:rPr>
        <w:t>主要是</w:t>
      </w:r>
      <w:r>
        <w:rPr>
          <w:rFonts w:hint="eastAsia" w:ascii="宋体" w:hAnsi="宋体" w:eastAsia="宋体" w:cs="宋体"/>
          <w:color w:val="000000"/>
          <w:sz w:val="20"/>
          <w:u w:val="none"/>
          <w:lang w:val="en-US" w:eastAsia="zh-CN"/>
        </w:rPr>
        <w:t>人员退休和调动导致预算支出减少</w:t>
      </w:r>
      <w:r>
        <w:rPr>
          <w:rFonts w:hint="eastAsia" w:ascii="宋体" w:hAnsi="宋体" w:eastAsia="宋体" w:cs="宋体"/>
          <w:color w:val="000000"/>
          <w:sz w:val="20"/>
        </w:rPr>
        <w:t>；（</w:t>
      </w:r>
      <w:r>
        <w:rPr>
          <w:rFonts w:ascii="宋体" w:hAnsi="宋体" w:eastAsia="宋体" w:cs="宋体"/>
          <w:color w:val="000000"/>
          <w:sz w:val="20"/>
        </w:rPr>
        <w:t>2</w:t>
      </w:r>
      <w:r>
        <w:rPr>
          <w:rFonts w:hint="eastAsia" w:ascii="宋体" w:hAnsi="宋体" w:eastAsia="宋体" w:cs="宋体"/>
          <w:color w:val="000000"/>
          <w:sz w:val="20"/>
        </w:rPr>
        <w:t>）</w:t>
      </w:r>
      <w:r>
        <w:rPr>
          <w:rFonts w:ascii="宋体" w:hAnsi="宋体" w:eastAsia="宋体" w:cs="宋体"/>
          <w:color w:val="000000"/>
          <w:sz w:val="20"/>
        </w:rPr>
        <w:t xml:space="preserve"> 2024年项目支出比上年增加</w:t>
      </w:r>
      <w:r>
        <w:rPr>
          <w:rFonts w:hint="eastAsia" w:ascii="宋体" w:hAnsi="宋体" w:eastAsia="宋体" w:cs="宋体"/>
          <w:color w:val="000000"/>
          <w:sz w:val="20"/>
          <w:lang w:val="en-US" w:eastAsia="zh-CN"/>
        </w:rPr>
        <w:t>0</w:t>
      </w:r>
      <w:r>
        <w:rPr>
          <w:rFonts w:ascii="宋体" w:hAnsi="宋体" w:eastAsia="宋体" w:cs="宋体"/>
          <w:color w:val="000000"/>
          <w:sz w:val="20"/>
        </w:rPr>
        <w:t>万元</w:t>
      </w:r>
      <w:r>
        <w:rPr>
          <w:rFonts w:hint="eastAsia" w:ascii="宋体" w:hAnsi="宋体" w:eastAsia="宋体" w:cs="宋体"/>
          <w:color w:val="000000"/>
          <w:sz w:val="20"/>
          <w:lang w:eastAsia="zh-CN"/>
        </w:rPr>
        <w:t>，</w:t>
      </w:r>
      <w:r>
        <w:rPr>
          <w:rFonts w:hint="eastAsia" w:ascii="宋体" w:hAnsi="宋体" w:eastAsia="宋体" w:cs="宋体"/>
          <w:color w:val="000000"/>
          <w:sz w:val="20"/>
          <w:lang w:val="en-US" w:eastAsia="zh-CN"/>
        </w:rPr>
        <w:t>与上年持平</w:t>
      </w:r>
      <w:r>
        <w:rPr>
          <w:rFonts w:hint="eastAsia" w:ascii="宋体" w:hAnsi="宋体" w:eastAsia="宋体" w:cs="宋体"/>
          <w:color w:val="000000"/>
          <w:sz w:val="20"/>
          <w:lang w:eastAsia="zh-CN"/>
        </w:rPr>
        <w:t>。</w:t>
      </w:r>
    </w:p>
    <w:p>
      <w:pPr>
        <w:wordWrap w:val="0"/>
        <w:spacing w:line="300" w:lineRule="atLeast"/>
        <w:textAlignment w:val="baseline"/>
        <w:rPr>
          <w:rFonts w:ascii="宋体" w:hAnsi="宋体" w:eastAsia="宋体" w:cs="宋体"/>
          <w:color w:val="000000"/>
          <w:sz w:val="20"/>
        </w:rPr>
      </w:pPr>
    </w:p>
    <w:p>
      <w:pPr>
        <w:wordWrap w:val="0"/>
        <w:spacing w:line="300" w:lineRule="atLeast"/>
        <w:ind w:left="0" w:leftChars="0" w:firstLine="600" w:firstLineChars="300"/>
        <w:textAlignment w:val="baseline"/>
      </w:pPr>
      <w:r>
        <w:rPr>
          <w:rFonts w:ascii="宋体" w:hAnsi="宋体" w:eastAsia="宋体" w:cs="宋体"/>
          <w:color w:val="000000"/>
          <w:sz w:val="20"/>
        </w:rPr>
        <w:t>3. 2024年无政府性基金预算支出，无举借政府债务的情况，与上年一致。</w:t>
      </w:r>
    </w:p>
    <w:p>
      <w:pPr>
        <w:pStyle w:val="2"/>
        <w:keepNext/>
        <w:keepLines/>
        <w:pageBreakBefore w:val="0"/>
        <w:widowControl w:val="0"/>
        <w:numPr>
          <w:ilvl w:val="0"/>
          <w:numId w:val="0"/>
        </w:numPr>
        <w:kinsoku/>
        <w:wordWrap/>
        <w:overflowPunct/>
        <w:topLinePunct w:val="0"/>
        <w:autoSpaceDE/>
        <w:autoSpaceDN/>
        <w:bidi w:val="0"/>
        <w:adjustRightInd/>
        <w:snapToGrid/>
        <w:spacing w:before="460" w:after="210" w:line="280" w:lineRule="atLeast"/>
        <w:ind w:left="162" w:leftChars="77" w:right="0" w:rightChars="0" w:firstLine="0" w:firstLineChars="0"/>
        <w:textAlignment w:val="auto"/>
      </w:pPr>
      <w:r>
        <w:t>四、机关运行经费安排情况</w:t>
      </w:r>
    </w:p>
    <w:p>
      <w:pPr>
        <w:wordWrap w:val="0"/>
        <w:spacing w:line="700" w:lineRule="atLeast"/>
        <w:ind w:left="20" w:right="60" w:firstLine="440"/>
        <w:textAlignment w:val="baseline"/>
      </w:pPr>
      <w:r>
        <w:rPr>
          <w:rFonts w:ascii="宋体" w:hAnsi="宋体" w:eastAsia="宋体" w:cs="宋体"/>
          <w:color w:val="000000"/>
          <w:sz w:val="20"/>
        </w:rPr>
        <w:t>2024年机关运行经费预算总额</w:t>
      </w:r>
      <w:r>
        <w:rPr>
          <w:rFonts w:hint="eastAsia" w:ascii="宋体" w:hAnsi="宋体" w:eastAsia="宋体" w:cs="宋体"/>
          <w:color w:val="000000"/>
          <w:sz w:val="20"/>
          <w:lang w:val="en-US" w:eastAsia="zh-CN"/>
        </w:rPr>
        <w:t>11.16</w:t>
      </w:r>
      <w:r>
        <w:rPr>
          <w:rFonts w:ascii="宋体" w:hAnsi="宋体" w:eastAsia="宋体" w:cs="宋体"/>
          <w:color w:val="000000"/>
          <w:sz w:val="20"/>
        </w:rPr>
        <w:t>万元，与上年相比</w:t>
      </w:r>
      <w:r>
        <w:rPr>
          <w:rFonts w:hint="eastAsia" w:ascii="宋体" w:hAnsi="宋体" w:eastAsia="宋体" w:cs="宋体"/>
          <w:color w:val="000000"/>
          <w:sz w:val="20"/>
          <w:lang w:val="en-US" w:eastAsia="zh-CN"/>
        </w:rPr>
        <w:t>减少4.42</w:t>
      </w:r>
      <w:r>
        <w:rPr>
          <w:rFonts w:ascii="宋体" w:hAnsi="宋体" w:eastAsia="宋体" w:cs="宋体"/>
          <w:color w:val="000000"/>
          <w:sz w:val="20"/>
        </w:rPr>
        <w:t>万元，</w:t>
      </w:r>
      <w:r>
        <w:rPr>
          <w:rFonts w:hint="eastAsia" w:ascii="宋体" w:hAnsi="宋体" w:eastAsia="宋体" w:cs="宋体"/>
          <w:color w:val="000000"/>
          <w:sz w:val="20"/>
          <w:lang w:val="en-US" w:eastAsia="zh-CN"/>
        </w:rPr>
        <w:t>减少28.37</w:t>
      </w:r>
      <w:r>
        <w:rPr>
          <w:rFonts w:ascii="宋体" w:hAnsi="宋体" w:eastAsia="宋体" w:cs="宋体"/>
          <w:color w:val="000000"/>
          <w:sz w:val="20"/>
        </w:rPr>
        <w:t>%。</w:t>
      </w:r>
      <w:r>
        <w:rPr>
          <w:rFonts w:hint="eastAsia" w:ascii="宋体" w:hAnsi="宋体" w:eastAsia="宋体" w:cs="宋体"/>
          <w:color w:val="000000"/>
          <w:sz w:val="20"/>
          <w:lang w:val="en-US" w:eastAsia="zh-CN"/>
        </w:rPr>
        <w:t>减少</w:t>
      </w:r>
      <w:r>
        <w:rPr>
          <w:rFonts w:ascii="宋体" w:hAnsi="宋体" w:eastAsia="宋体" w:cs="宋体"/>
          <w:color w:val="000000"/>
          <w:sz w:val="20"/>
        </w:rPr>
        <w:t>原因主要是：一是</w:t>
      </w:r>
      <w:r>
        <w:rPr>
          <w:rFonts w:hint="eastAsia" w:ascii="宋体" w:hAnsi="宋体" w:eastAsia="宋体" w:cs="宋体"/>
          <w:color w:val="000000"/>
          <w:sz w:val="20"/>
          <w:lang w:val="en-US" w:eastAsia="zh-CN"/>
        </w:rPr>
        <w:t>本单位2023年有退休和调动人员导致经费减少</w:t>
      </w:r>
      <w:r>
        <w:rPr>
          <w:rFonts w:ascii="宋体" w:hAnsi="宋体" w:eastAsia="宋体" w:cs="宋体"/>
          <w:color w:val="000000"/>
          <w:sz w:val="20"/>
        </w:rPr>
        <w:t>；二是依据机关运行实际足额编列水电费、维修</w:t>
      </w:r>
      <w:r>
        <w:rPr>
          <w:rFonts w:hint="eastAsia" w:ascii="宋体" w:hAnsi="宋体" w:eastAsia="宋体" w:cs="宋体"/>
          <w:color w:val="000000"/>
          <w:sz w:val="20"/>
        </w:rPr>
        <w:t>（</w:t>
      </w:r>
      <w:r>
        <w:rPr>
          <w:rFonts w:ascii="宋体" w:hAnsi="宋体" w:eastAsia="宋体" w:cs="宋体"/>
          <w:color w:val="000000"/>
          <w:sz w:val="20"/>
        </w:rPr>
        <w:t>护</w:t>
      </w:r>
      <w:r>
        <w:rPr>
          <w:rFonts w:hint="eastAsia" w:ascii="宋体" w:hAnsi="宋体" w:eastAsia="宋体" w:cs="宋体"/>
          <w:color w:val="000000"/>
          <w:sz w:val="20"/>
        </w:rPr>
        <w:t>）</w:t>
      </w:r>
      <w:r>
        <w:rPr>
          <w:rFonts w:ascii="宋体" w:hAnsi="宋体" w:eastAsia="宋体" w:cs="宋体"/>
          <w:color w:val="000000"/>
          <w:sz w:val="20"/>
        </w:rPr>
        <w:t>费、委托业务费等。</w:t>
      </w:r>
      <w:r>
        <w:rPr>
          <w:rFonts w:ascii="宋体" w:hAnsi="宋体" w:eastAsia="宋体" w:cs="宋体"/>
          <w:color w:val="000000"/>
          <w:sz w:val="20"/>
          <w:highlight w:val="none"/>
        </w:rPr>
        <w:t>其中，办公费</w:t>
      </w:r>
      <w:r>
        <w:rPr>
          <w:rFonts w:hint="eastAsia" w:ascii="宋体" w:hAnsi="宋体" w:eastAsia="宋体" w:cs="宋体"/>
          <w:color w:val="000000"/>
          <w:sz w:val="20"/>
          <w:highlight w:val="none"/>
          <w:lang w:val="en-US" w:eastAsia="zh-CN"/>
        </w:rPr>
        <w:t>3.00</w:t>
      </w:r>
      <w:r>
        <w:rPr>
          <w:rFonts w:ascii="宋体" w:hAnsi="宋体" w:eastAsia="宋体" w:cs="宋体"/>
          <w:color w:val="000000"/>
          <w:sz w:val="20"/>
          <w:highlight w:val="none"/>
        </w:rPr>
        <w:t>万元，</w:t>
      </w:r>
      <w:r>
        <w:rPr>
          <w:rFonts w:hint="eastAsia" w:ascii="宋体" w:hAnsi="宋体" w:eastAsia="宋体" w:cs="宋体"/>
          <w:color w:val="000000"/>
          <w:sz w:val="20"/>
          <w:highlight w:val="none"/>
          <w:lang w:val="en-US" w:eastAsia="zh-CN"/>
        </w:rPr>
        <w:t>水费0.50万元，　维修（护）费1.40万元，</w:t>
      </w:r>
      <w:r>
        <w:rPr>
          <w:rFonts w:ascii="宋体" w:hAnsi="宋体" w:eastAsia="宋体" w:cs="宋体"/>
          <w:color w:val="000000"/>
          <w:sz w:val="20"/>
          <w:highlight w:val="none"/>
        </w:rPr>
        <w:t>工会经费</w:t>
      </w:r>
      <w:r>
        <w:rPr>
          <w:rFonts w:hint="eastAsia" w:ascii="宋体" w:hAnsi="宋体" w:eastAsia="宋体" w:cs="宋体"/>
          <w:color w:val="000000"/>
          <w:sz w:val="20"/>
          <w:highlight w:val="none"/>
          <w:lang w:val="en-US" w:eastAsia="zh-CN"/>
        </w:rPr>
        <w:t>1.92</w:t>
      </w:r>
      <w:r>
        <w:rPr>
          <w:rFonts w:ascii="宋体" w:hAnsi="宋体" w:eastAsia="宋体" w:cs="宋体"/>
          <w:color w:val="000000"/>
          <w:sz w:val="20"/>
          <w:highlight w:val="none"/>
        </w:rPr>
        <w:t>万元, 福利费</w:t>
      </w:r>
      <w:r>
        <w:rPr>
          <w:rFonts w:hint="eastAsia" w:ascii="宋体" w:hAnsi="宋体" w:eastAsia="宋体" w:cs="宋体"/>
          <w:color w:val="000000"/>
          <w:sz w:val="20"/>
          <w:highlight w:val="none"/>
          <w:lang w:val="en-US" w:eastAsia="zh-CN"/>
        </w:rPr>
        <w:t>1.13</w:t>
      </w:r>
      <w:r>
        <w:rPr>
          <w:rFonts w:ascii="宋体" w:hAnsi="宋体" w:eastAsia="宋体" w:cs="宋体"/>
          <w:color w:val="000000"/>
          <w:sz w:val="20"/>
          <w:highlight w:val="none"/>
        </w:rPr>
        <w:t>万元</w:t>
      </w:r>
      <w:r>
        <w:rPr>
          <w:rFonts w:hint="eastAsia" w:ascii="宋体" w:hAnsi="宋体" w:eastAsia="宋体" w:cs="宋体"/>
          <w:color w:val="000000"/>
          <w:sz w:val="20"/>
          <w:highlight w:val="none"/>
        </w:rPr>
        <w:t>，</w:t>
      </w:r>
      <w:r>
        <w:rPr>
          <w:rFonts w:ascii="宋体" w:hAnsi="宋体" w:eastAsia="宋体" w:cs="宋体"/>
          <w:color w:val="000000"/>
          <w:sz w:val="20"/>
          <w:highlight w:val="none"/>
        </w:rPr>
        <w:t>其他商品和服务支出</w:t>
      </w:r>
      <w:r>
        <w:rPr>
          <w:rFonts w:hint="eastAsia" w:ascii="宋体" w:hAnsi="宋体" w:eastAsia="宋体" w:cs="宋体"/>
          <w:color w:val="000000"/>
          <w:sz w:val="20"/>
          <w:highlight w:val="none"/>
          <w:lang w:val="en-US" w:eastAsia="zh-CN"/>
        </w:rPr>
        <w:t>3.21</w:t>
      </w:r>
      <w:r>
        <w:rPr>
          <w:rFonts w:ascii="宋体" w:hAnsi="宋体" w:eastAsia="宋体" w:cs="宋体"/>
          <w:color w:val="000000"/>
          <w:sz w:val="20"/>
          <w:highlight w:val="none"/>
        </w:rPr>
        <w:t>万元。</w:t>
      </w:r>
    </w:p>
    <w:p>
      <w:pPr>
        <w:pStyle w:val="2"/>
        <w:keepNext/>
        <w:keepLines/>
        <w:pageBreakBefore w:val="0"/>
        <w:widowControl w:val="0"/>
        <w:numPr>
          <w:ilvl w:val="0"/>
          <w:numId w:val="0"/>
        </w:numPr>
        <w:kinsoku/>
        <w:wordWrap/>
        <w:overflowPunct/>
        <w:topLinePunct w:val="0"/>
        <w:autoSpaceDE/>
        <w:autoSpaceDN/>
        <w:bidi w:val="0"/>
        <w:adjustRightInd/>
        <w:snapToGrid/>
        <w:spacing w:before="460" w:after="210" w:line="280" w:lineRule="atLeast"/>
        <w:ind w:left="162" w:leftChars="77" w:right="0" w:rightChars="0" w:firstLine="0" w:firstLineChars="0"/>
        <w:textAlignment w:val="auto"/>
      </w:pPr>
      <w:r>
        <w:t>五、一般公共预算“三公”经费及增减变化情况</w:t>
      </w:r>
    </w:p>
    <w:p>
      <w:pPr>
        <w:wordWrap w:val="0"/>
        <w:spacing w:line="540" w:lineRule="atLeast"/>
        <w:ind w:left="20" w:firstLine="400"/>
        <w:textAlignment w:val="baseline"/>
        <w:rPr>
          <w:sz w:val="20"/>
        </w:rPr>
      </w:pPr>
      <w:r>
        <w:rPr>
          <w:rFonts w:ascii="宋体" w:hAnsi="宋体" w:eastAsia="宋体" w:cs="宋体"/>
          <w:color w:val="000000"/>
          <w:sz w:val="20"/>
        </w:rPr>
        <w:t>2024年</w:t>
      </w:r>
      <w:r>
        <w:rPr>
          <w:rFonts w:hint="eastAsia" w:ascii="宋体" w:hAnsi="宋体" w:eastAsia="宋体" w:cs="宋体"/>
          <w:color w:val="000000"/>
          <w:sz w:val="20"/>
        </w:rPr>
        <w:t>“</w:t>
      </w:r>
      <w:r>
        <w:rPr>
          <w:rFonts w:ascii="宋体" w:hAnsi="宋体" w:eastAsia="宋体" w:cs="宋体"/>
          <w:color w:val="000000"/>
          <w:sz w:val="20"/>
        </w:rPr>
        <w:t>三公”经费一般公共预算总额</w:t>
      </w:r>
      <w:r>
        <w:rPr>
          <w:rFonts w:hint="eastAsia" w:ascii="宋体" w:hAnsi="宋体" w:eastAsia="宋体" w:cs="宋体"/>
          <w:color w:val="000000"/>
          <w:sz w:val="20"/>
          <w:lang w:val="en-US" w:eastAsia="zh-CN"/>
        </w:rPr>
        <w:t>0</w:t>
      </w:r>
      <w:r>
        <w:rPr>
          <w:rFonts w:ascii="宋体" w:hAnsi="宋体" w:eastAsia="宋体" w:cs="宋体"/>
          <w:color w:val="000000"/>
          <w:sz w:val="20"/>
        </w:rPr>
        <w:t>万元，比上年预算减少</w:t>
      </w:r>
      <w:r>
        <w:rPr>
          <w:rFonts w:hint="eastAsia" w:ascii="宋体" w:hAnsi="宋体" w:eastAsia="宋体" w:cs="宋体"/>
          <w:color w:val="000000"/>
          <w:sz w:val="20"/>
          <w:lang w:val="en-US" w:eastAsia="zh-CN"/>
        </w:rPr>
        <w:t>0</w:t>
      </w:r>
      <w:r>
        <w:rPr>
          <w:rFonts w:ascii="宋体" w:hAnsi="宋体" w:eastAsia="宋体" w:cs="宋体"/>
          <w:color w:val="000000"/>
          <w:sz w:val="20"/>
        </w:rPr>
        <w:t>万元，减少</w:t>
      </w:r>
      <w:r>
        <w:rPr>
          <w:rFonts w:hint="eastAsia" w:ascii="宋体" w:hAnsi="宋体" w:eastAsia="宋体" w:cs="宋体"/>
          <w:color w:val="000000"/>
          <w:sz w:val="20"/>
          <w:lang w:val="en-US" w:eastAsia="zh-CN"/>
        </w:rPr>
        <w:t>0</w:t>
      </w:r>
      <w:r>
        <w:rPr>
          <w:rFonts w:ascii="宋体" w:hAnsi="宋体" w:eastAsia="宋体" w:cs="宋体"/>
          <w:color w:val="000000"/>
          <w:sz w:val="20"/>
        </w:rPr>
        <w:t>%。主要是</w:t>
      </w:r>
      <w:r>
        <w:rPr>
          <w:rFonts w:hint="eastAsia" w:ascii="宋体" w:hAnsi="宋体" w:eastAsia="宋体" w:cs="宋体"/>
          <w:color w:val="000000"/>
          <w:sz w:val="20"/>
          <w:lang w:val="en-US" w:eastAsia="zh-CN"/>
        </w:rPr>
        <w:t>严控“三公”经费预算</w:t>
      </w:r>
      <w:r>
        <w:rPr>
          <w:rFonts w:ascii="宋体" w:hAnsi="宋体" w:eastAsia="宋体" w:cs="宋体"/>
          <w:color w:val="000000"/>
          <w:sz w:val="20"/>
        </w:rPr>
        <w:t>，分别如下：</w:t>
      </w:r>
    </w:p>
    <w:p>
      <w:pPr>
        <w:wordWrap w:val="0"/>
        <w:spacing w:line="540" w:lineRule="atLeast"/>
        <w:ind w:left="20" w:right="60" w:firstLine="380"/>
        <w:textAlignment w:val="baseline"/>
        <w:rPr>
          <w:sz w:val="20"/>
          <w:szCs w:val="20"/>
        </w:rPr>
      </w:pPr>
      <w:r>
        <w:rPr>
          <w:rFonts w:ascii="宋体" w:hAnsi="宋体" w:eastAsia="宋体" w:cs="宋体"/>
          <w:color w:val="000000"/>
          <w:sz w:val="20"/>
          <w:szCs w:val="20"/>
        </w:rPr>
        <w:t>1.公务接待费</w:t>
      </w:r>
      <w:r>
        <w:rPr>
          <w:rFonts w:hint="eastAsia" w:ascii="宋体" w:hAnsi="宋体" w:eastAsia="宋体" w:cs="宋体"/>
          <w:color w:val="000000"/>
          <w:sz w:val="20"/>
          <w:szCs w:val="20"/>
          <w:lang w:val="en-US" w:eastAsia="zh-CN"/>
        </w:rPr>
        <w:t>0</w:t>
      </w:r>
      <w:r>
        <w:rPr>
          <w:rFonts w:ascii="宋体" w:hAnsi="宋体" w:eastAsia="宋体" w:cs="宋体"/>
          <w:color w:val="000000"/>
          <w:sz w:val="20"/>
          <w:szCs w:val="20"/>
        </w:rPr>
        <w:t>万元， 比上年减少</w:t>
      </w:r>
      <w:r>
        <w:rPr>
          <w:rFonts w:hint="eastAsia" w:ascii="宋体" w:hAnsi="宋体" w:eastAsia="宋体" w:cs="宋体"/>
          <w:color w:val="000000"/>
          <w:sz w:val="20"/>
          <w:szCs w:val="20"/>
          <w:lang w:val="en-US" w:eastAsia="zh-CN"/>
        </w:rPr>
        <w:t>0</w:t>
      </w:r>
      <w:r>
        <w:rPr>
          <w:rFonts w:ascii="宋体" w:hAnsi="宋体" w:eastAsia="宋体" w:cs="宋体"/>
          <w:color w:val="000000"/>
          <w:sz w:val="20"/>
          <w:szCs w:val="20"/>
        </w:rPr>
        <w:t>万元，减少</w:t>
      </w:r>
      <w:r>
        <w:rPr>
          <w:rFonts w:hint="eastAsia" w:ascii="宋体" w:hAnsi="宋体" w:eastAsia="宋体" w:cs="宋体"/>
          <w:color w:val="000000"/>
          <w:sz w:val="20"/>
          <w:szCs w:val="20"/>
          <w:lang w:val="en-US" w:eastAsia="zh-CN"/>
        </w:rPr>
        <w:t>0</w:t>
      </w:r>
      <w:r>
        <w:rPr>
          <w:rFonts w:ascii="宋体" w:hAnsi="宋体" w:eastAsia="宋体" w:cs="宋体"/>
          <w:color w:val="000000"/>
          <w:sz w:val="20"/>
          <w:szCs w:val="20"/>
        </w:rPr>
        <w:t>%。 主要原因是</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lang w:val="en-US" w:eastAsia="zh-CN"/>
        </w:rPr>
        <w:t>我单位无公务接待任务安排</w:t>
      </w:r>
      <w:r>
        <w:rPr>
          <w:rFonts w:ascii="宋体" w:hAnsi="宋体" w:eastAsia="宋体" w:cs="宋体"/>
          <w:color w:val="000000"/>
          <w:sz w:val="20"/>
          <w:szCs w:val="20"/>
        </w:rPr>
        <w:t>。</w:t>
      </w:r>
    </w:p>
    <w:p>
      <w:pPr>
        <w:wordWrap w:val="0"/>
        <w:spacing w:line="540" w:lineRule="atLeast"/>
        <w:ind w:left="23" w:right="62" w:firstLine="380"/>
        <w:textAlignment w:val="baseline"/>
        <w:rPr>
          <w:rFonts w:ascii="宋体" w:hAnsi="宋体" w:eastAsia="宋体" w:cs="宋体"/>
          <w:color w:val="000000"/>
          <w:sz w:val="20"/>
          <w:szCs w:val="20"/>
        </w:rPr>
      </w:pPr>
      <w:r>
        <w:rPr>
          <w:rFonts w:ascii="宋体" w:hAnsi="宋体" w:eastAsia="宋体" w:cs="宋体"/>
          <w:color w:val="000000"/>
          <w:sz w:val="20"/>
          <w:szCs w:val="20"/>
        </w:rPr>
        <w:t>2.公务用车购置及运行费</w:t>
      </w:r>
      <w:r>
        <w:rPr>
          <w:rFonts w:hint="eastAsia" w:ascii="宋体" w:hAnsi="宋体" w:eastAsia="宋体" w:cs="宋体"/>
          <w:color w:val="000000"/>
          <w:sz w:val="20"/>
          <w:szCs w:val="20"/>
          <w:lang w:val="en-US" w:eastAsia="zh-CN"/>
        </w:rPr>
        <w:t>0</w:t>
      </w:r>
      <w:r>
        <w:rPr>
          <w:rFonts w:ascii="宋体" w:hAnsi="宋体" w:eastAsia="宋体" w:cs="宋体"/>
          <w:color w:val="000000"/>
          <w:sz w:val="20"/>
          <w:szCs w:val="20"/>
        </w:rPr>
        <w:t>万元，比上年减少</w:t>
      </w:r>
      <w:r>
        <w:rPr>
          <w:rFonts w:hint="eastAsia" w:ascii="宋体" w:hAnsi="宋体" w:eastAsia="宋体" w:cs="宋体"/>
          <w:color w:val="000000"/>
          <w:sz w:val="20"/>
          <w:szCs w:val="20"/>
          <w:lang w:val="en-US" w:eastAsia="zh-CN"/>
        </w:rPr>
        <w:t>0</w:t>
      </w:r>
      <w:r>
        <w:rPr>
          <w:rFonts w:ascii="宋体" w:hAnsi="宋体" w:eastAsia="宋体" w:cs="宋体"/>
          <w:color w:val="000000"/>
          <w:sz w:val="20"/>
          <w:szCs w:val="20"/>
        </w:rPr>
        <w:t>万元，减少</w:t>
      </w:r>
      <w:r>
        <w:rPr>
          <w:rFonts w:hint="eastAsia" w:ascii="宋体" w:hAnsi="宋体" w:eastAsia="宋体" w:cs="宋体"/>
          <w:color w:val="000000"/>
          <w:sz w:val="20"/>
          <w:szCs w:val="20"/>
          <w:lang w:val="en-US" w:eastAsia="zh-CN"/>
        </w:rPr>
        <w:t>0</w:t>
      </w:r>
      <w:r>
        <w:rPr>
          <w:rFonts w:ascii="宋体" w:hAnsi="宋体" w:eastAsia="宋体" w:cs="宋体"/>
          <w:color w:val="000000"/>
          <w:sz w:val="20"/>
          <w:szCs w:val="20"/>
        </w:rPr>
        <w:t>%。其中</w:t>
      </w:r>
      <w:r>
        <w:rPr>
          <w:rFonts w:hint="eastAsia" w:ascii="宋体" w:hAnsi="宋体" w:eastAsia="宋体" w:cs="宋体"/>
          <w:color w:val="000000"/>
          <w:sz w:val="20"/>
          <w:szCs w:val="20"/>
        </w:rPr>
        <w:t>：</w:t>
      </w:r>
    </w:p>
    <w:p>
      <w:pPr>
        <w:wordWrap w:val="0"/>
        <w:spacing w:line="540" w:lineRule="atLeast"/>
        <w:ind w:left="23" w:right="62" w:firstLine="380"/>
        <w:textAlignment w:val="baseline"/>
        <w:rPr>
          <w:rFonts w:ascii="宋体" w:hAnsi="宋体" w:eastAsia="宋体" w:cs="宋体"/>
          <w:color w:val="000000"/>
          <w:sz w:val="20"/>
          <w:szCs w:val="20"/>
        </w:rPr>
      </w:pPr>
      <w:r>
        <w:rPr>
          <w:rFonts w:ascii="宋体" w:hAnsi="宋体" w:eastAsia="宋体" w:cs="宋体"/>
          <w:color w:val="000000"/>
          <w:sz w:val="20"/>
          <w:szCs w:val="20"/>
        </w:rPr>
        <w:t>公务用车购置费</w:t>
      </w:r>
      <w:r>
        <w:rPr>
          <w:rFonts w:hint="eastAsia" w:ascii="宋体" w:hAnsi="宋体" w:eastAsia="宋体" w:cs="宋体"/>
          <w:color w:val="000000"/>
          <w:sz w:val="20"/>
          <w:szCs w:val="20"/>
        </w:rPr>
        <w:t>0</w:t>
      </w:r>
      <w:r>
        <w:rPr>
          <w:rFonts w:ascii="宋体" w:hAnsi="宋体" w:eastAsia="宋体" w:cs="宋体"/>
          <w:color w:val="000000"/>
          <w:sz w:val="20"/>
          <w:szCs w:val="20"/>
        </w:rPr>
        <w:t>元，与上年持平</w:t>
      </w:r>
      <w:r>
        <w:rPr>
          <w:rFonts w:hint="eastAsia" w:ascii="宋体" w:hAnsi="宋体" w:eastAsia="宋体" w:cs="宋体"/>
          <w:color w:val="000000"/>
          <w:sz w:val="20"/>
          <w:szCs w:val="20"/>
        </w:rPr>
        <w:t>，主要原因是</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无公务用车购置计划</w:t>
      </w:r>
      <w:r>
        <w:rPr>
          <w:rFonts w:ascii="宋体" w:hAnsi="宋体" w:eastAsia="宋体" w:cs="宋体"/>
          <w:color w:val="000000"/>
          <w:sz w:val="20"/>
          <w:szCs w:val="20"/>
        </w:rPr>
        <w:t xml:space="preserve">； </w:t>
      </w:r>
    </w:p>
    <w:p>
      <w:pPr>
        <w:wordWrap w:val="0"/>
        <w:spacing w:line="540" w:lineRule="atLeast"/>
        <w:ind w:left="23" w:right="62" w:firstLine="380"/>
        <w:textAlignment w:val="baseline"/>
        <w:rPr>
          <w:sz w:val="20"/>
          <w:szCs w:val="20"/>
        </w:rPr>
      </w:pPr>
      <w:r>
        <w:rPr>
          <w:rFonts w:ascii="宋体" w:hAnsi="宋体" w:eastAsia="宋体" w:cs="宋体"/>
          <w:color w:val="000000"/>
          <w:sz w:val="20"/>
          <w:szCs w:val="20"/>
        </w:rPr>
        <w:t>公务用车</w:t>
      </w:r>
      <w:r>
        <w:rPr>
          <w:rFonts w:hint="eastAsia" w:ascii="宋体" w:hAnsi="宋体" w:eastAsia="宋体" w:cs="宋体"/>
          <w:color w:val="000000"/>
          <w:sz w:val="20"/>
          <w:szCs w:val="20"/>
        </w:rPr>
        <w:t>运行</w:t>
      </w:r>
      <w:r>
        <w:rPr>
          <w:rFonts w:ascii="宋体" w:hAnsi="宋体" w:eastAsia="宋体" w:cs="宋体"/>
          <w:color w:val="000000"/>
          <w:sz w:val="20"/>
          <w:szCs w:val="20"/>
        </w:rPr>
        <w:t>费</w:t>
      </w:r>
      <w:r>
        <w:rPr>
          <w:rFonts w:hint="eastAsia" w:ascii="宋体" w:hAnsi="宋体" w:eastAsia="宋体" w:cs="宋体"/>
          <w:color w:val="000000"/>
          <w:sz w:val="20"/>
          <w:szCs w:val="20"/>
          <w:lang w:val="en-US" w:eastAsia="zh-CN"/>
        </w:rPr>
        <w:t>0</w:t>
      </w:r>
      <w:r>
        <w:rPr>
          <w:rFonts w:ascii="宋体" w:hAnsi="宋体" w:eastAsia="宋体" w:cs="宋体"/>
          <w:color w:val="000000"/>
          <w:sz w:val="20"/>
          <w:szCs w:val="20"/>
        </w:rPr>
        <w:t>万元，比上年减少</w:t>
      </w:r>
      <w:r>
        <w:rPr>
          <w:rFonts w:hint="eastAsia" w:ascii="宋体" w:hAnsi="宋体" w:eastAsia="宋体" w:cs="宋体"/>
          <w:color w:val="000000"/>
          <w:sz w:val="20"/>
          <w:szCs w:val="20"/>
          <w:lang w:val="en-US" w:eastAsia="zh-CN"/>
        </w:rPr>
        <w:t>0，</w:t>
      </w:r>
      <w:r>
        <w:rPr>
          <w:rFonts w:ascii="宋体" w:hAnsi="宋体" w:eastAsia="宋体" w:cs="宋体"/>
          <w:color w:val="000000"/>
          <w:sz w:val="20"/>
          <w:szCs w:val="20"/>
        </w:rPr>
        <w:t>减少</w:t>
      </w:r>
      <w:r>
        <w:rPr>
          <w:rFonts w:hint="eastAsia" w:ascii="宋体" w:hAnsi="宋体" w:eastAsia="宋体" w:cs="宋体"/>
          <w:color w:val="000000"/>
          <w:sz w:val="20"/>
          <w:szCs w:val="20"/>
          <w:lang w:val="en-US" w:eastAsia="zh-CN"/>
        </w:rPr>
        <w:t>0</w:t>
      </w:r>
      <w:r>
        <w:rPr>
          <w:rFonts w:ascii="宋体" w:hAnsi="宋体" w:eastAsia="宋体" w:cs="宋体"/>
          <w:color w:val="000000"/>
          <w:sz w:val="20"/>
          <w:szCs w:val="20"/>
        </w:rPr>
        <w:t>%， 主要原因是</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lang w:val="en-US" w:eastAsia="zh-CN"/>
        </w:rPr>
        <w:t>我单位无公务用车</w:t>
      </w:r>
      <w:r>
        <w:rPr>
          <w:rFonts w:ascii="宋体" w:hAnsi="宋体" w:eastAsia="宋体" w:cs="宋体"/>
          <w:color w:val="000000"/>
          <w:sz w:val="20"/>
          <w:szCs w:val="20"/>
        </w:rPr>
        <w:t>。</w:t>
      </w:r>
    </w:p>
    <w:p>
      <w:pPr>
        <w:wordWrap w:val="0"/>
        <w:spacing w:line="700" w:lineRule="atLeast"/>
        <w:ind w:left="20" w:right="80" w:firstLine="400"/>
        <w:textAlignment w:val="baseline"/>
      </w:pPr>
      <w:r>
        <w:rPr>
          <w:rFonts w:ascii="宋体" w:hAnsi="宋体" w:eastAsia="宋体" w:cs="宋体"/>
          <w:color w:val="000000"/>
          <w:sz w:val="20"/>
          <w:szCs w:val="20"/>
        </w:rPr>
        <w:t>3.</w:t>
      </w:r>
      <w:r>
        <w:rPr>
          <w:rFonts w:hint="eastAsia" w:ascii="宋体" w:hAnsi="宋体" w:eastAsia="宋体" w:cs="宋体"/>
          <w:color w:val="000000"/>
          <w:sz w:val="20"/>
          <w:szCs w:val="20"/>
        </w:rPr>
        <w:t xml:space="preserve"> 因公出国（境）</w:t>
      </w:r>
      <w:r>
        <w:rPr>
          <w:rFonts w:ascii="宋体" w:hAnsi="宋体" w:eastAsia="宋体" w:cs="宋体"/>
          <w:color w:val="000000"/>
          <w:sz w:val="20"/>
          <w:szCs w:val="20"/>
        </w:rPr>
        <w:t>费</w:t>
      </w:r>
      <w:r>
        <w:rPr>
          <w:rFonts w:hint="eastAsia" w:ascii="宋体" w:hAnsi="宋体" w:eastAsia="宋体" w:cs="宋体"/>
          <w:color w:val="000000"/>
          <w:sz w:val="20"/>
          <w:szCs w:val="20"/>
        </w:rPr>
        <w:t>0</w:t>
      </w:r>
      <w:r>
        <w:rPr>
          <w:rFonts w:ascii="宋体" w:hAnsi="宋体" w:eastAsia="宋体" w:cs="宋体"/>
          <w:color w:val="000000"/>
          <w:sz w:val="20"/>
          <w:szCs w:val="20"/>
        </w:rPr>
        <w:t>万元，与上年持平。主要</w:t>
      </w:r>
      <w:r>
        <w:rPr>
          <w:rFonts w:hint="eastAsia" w:ascii="宋体" w:hAnsi="宋体" w:eastAsia="宋体" w:cs="宋体"/>
          <w:color w:val="000000"/>
          <w:sz w:val="20"/>
          <w:szCs w:val="20"/>
          <w:lang w:val="en-US" w:eastAsia="zh-CN"/>
        </w:rPr>
        <w:t>原因</w:t>
      </w:r>
      <w:r>
        <w:rPr>
          <w:rFonts w:ascii="宋体" w:hAnsi="宋体" w:eastAsia="宋体" w:cs="宋体"/>
          <w:color w:val="000000"/>
          <w:sz w:val="20"/>
          <w:szCs w:val="20"/>
        </w:rPr>
        <w:t>是</w:t>
      </w:r>
      <w:r>
        <w:rPr>
          <w:rFonts w:hint="eastAsia" w:ascii="宋体" w:hAnsi="宋体" w:eastAsia="宋体" w:cs="宋体"/>
          <w:color w:val="000000"/>
          <w:sz w:val="20"/>
          <w:szCs w:val="20"/>
          <w:lang w:eastAsia="zh-CN"/>
        </w:rPr>
        <w:t>：</w:t>
      </w:r>
      <w:r>
        <w:rPr>
          <w:rFonts w:hint="eastAsia" w:ascii="宋体" w:hAnsi="宋体" w:eastAsia="宋体" w:cs="宋体"/>
          <w:color w:val="000000"/>
          <w:sz w:val="20"/>
          <w:szCs w:val="20"/>
        </w:rPr>
        <w:t>无因公出国（境）</w:t>
      </w:r>
      <w:r>
        <w:rPr>
          <w:rFonts w:hint="eastAsia" w:ascii="宋体" w:hAnsi="宋体" w:eastAsia="宋体" w:cs="宋体"/>
          <w:color w:val="000000"/>
          <w:sz w:val="20"/>
          <w:szCs w:val="20"/>
          <w:lang w:val="en-US" w:eastAsia="zh-CN"/>
        </w:rPr>
        <w:t>任务安排</w:t>
      </w:r>
      <w:r>
        <w:rPr>
          <w:rFonts w:ascii="宋体" w:hAnsi="宋体" w:eastAsia="宋体" w:cs="宋体"/>
          <w:color w:val="000000"/>
          <w:sz w:val="20"/>
          <w:szCs w:val="20"/>
        </w:rPr>
        <w:t>。</w:t>
      </w:r>
    </w:p>
    <w:p>
      <w:pPr>
        <w:pStyle w:val="2"/>
        <w:keepNext/>
        <w:keepLines/>
        <w:pageBreakBefore w:val="0"/>
        <w:widowControl w:val="0"/>
        <w:numPr>
          <w:ilvl w:val="0"/>
          <w:numId w:val="0"/>
        </w:numPr>
        <w:kinsoku/>
        <w:wordWrap/>
        <w:overflowPunct/>
        <w:topLinePunct w:val="0"/>
        <w:autoSpaceDE/>
        <w:autoSpaceDN/>
        <w:bidi w:val="0"/>
        <w:adjustRightInd/>
        <w:snapToGrid/>
        <w:spacing w:before="460" w:after="210" w:line="280" w:lineRule="atLeast"/>
        <w:ind w:left="162" w:leftChars="77" w:right="0" w:rightChars="0" w:firstLine="0" w:firstLineChars="0"/>
        <w:textAlignment w:val="auto"/>
      </w:pPr>
      <w:r>
        <w:t>六、政府采购预算安排情况</w:t>
      </w:r>
    </w:p>
    <w:p>
      <w:pPr>
        <w:wordWrap w:val="0"/>
        <w:spacing w:line="500" w:lineRule="atLeast"/>
        <w:ind w:left="20" w:firstLine="420"/>
        <w:textAlignment w:val="baseline"/>
        <w:rPr>
          <w:rFonts w:hint="eastAsia" w:ascii="宋体" w:hAnsi="宋体" w:eastAsia="宋体" w:cs="宋体"/>
          <w:color w:val="000000"/>
          <w:sz w:val="20"/>
          <w:highlight w:val="none"/>
          <w:lang w:eastAsia="zh-CN"/>
        </w:rPr>
      </w:pPr>
      <w:r>
        <w:rPr>
          <w:rFonts w:ascii="宋体" w:hAnsi="宋体" w:eastAsia="宋体" w:cs="宋体"/>
          <w:color w:val="000000"/>
          <w:sz w:val="20"/>
          <w:highlight w:val="none"/>
        </w:rPr>
        <w:t>根据《湖北省政府集中采购目录及标准</w:t>
      </w:r>
      <w:r>
        <w:rPr>
          <w:rFonts w:hint="eastAsia" w:ascii="宋体" w:hAnsi="宋体" w:eastAsia="宋体" w:cs="宋体"/>
          <w:color w:val="000000"/>
          <w:sz w:val="20"/>
          <w:highlight w:val="none"/>
        </w:rPr>
        <w:t>（</w:t>
      </w:r>
      <w:r>
        <w:rPr>
          <w:rFonts w:ascii="宋体" w:hAnsi="宋体" w:eastAsia="宋体" w:cs="宋体"/>
          <w:color w:val="000000"/>
          <w:sz w:val="20"/>
          <w:highlight w:val="none"/>
        </w:rPr>
        <w:t>2021年</w:t>
      </w:r>
      <w:r>
        <w:rPr>
          <w:rFonts w:hint="eastAsia" w:ascii="宋体" w:hAnsi="宋体" w:eastAsia="宋体" w:cs="宋体"/>
          <w:color w:val="000000"/>
          <w:sz w:val="20"/>
          <w:highlight w:val="none"/>
        </w:rPr>
        <w:t>）》</w:t>
      </w:r>
      <w:r>
        <w:rPr>
          <w:rFonts w:ascii="宋体" w:hAnsi="宋体" w:eastAsia="宋体" w:cs="宋体"/>
          <w:color w:val="000000"/>
          <w:sz w:val="20"/>
          <w:highlight w:val="none"/>
        </w:rPr>
        <w:t>要求，2024 年编制政府采购预算</w:t>
      </w:r>
      <w:r>
        <w:rPr>
          <w:rFonts w:hint="eastAsia" w:ascii="宋体" w:hAnsi="宋体" w:eastAsia="宋体" w:cs="宋体"/>
          <w:color w:val="000000"/>
          <w:sz w:val="20"/>
          <w:highlight w:val="none"/>
          <w:lang w:val="en-US" w:eastAsia="zh-CN"/>
        </w:rPr>
        <w:t>0.5</w:t>
      </w:r>
      <w:r>
        <w:rPr>
          <w:rFonts w:ascii="宋体" w:hAnsi="宋体" w:eastAsia="宋体" w:cs="宋体"/>
          <w:color w:val="000000"/>
          <w:sz w:val="20"/>
          <w:highlight w:val="none"/>
        </w:rPr>
        <w:t>万元</w:t>
      </w:r>
      <w:r>
        <w:rPr>
          <w:rFonts w:hint="eastAsia" w:ascii="宋体" w:hAnsi="宋体" w:eastAsia="宋体" w:cs="宋体"/>
          <w:color w:val="000000"/>
          <w:sz w:val="20"/>
          <w:highlight w:val="none"/>
        </w:rPr>
        <w:t>，</w:t>
      </w:r>
      <w:r>
        <w:rPr>
          <w:rFonts w:ascii="宋体" w:hAnsi="宋体" w:eastAsia="宋体" w:cs="宋体"/>
          <w:color w:val="000000"/>
          <w:sz w:val="20"/>
          <w:highlight w:val="none"/>
        </w:rPr>
        <w:t>比上年度</w:t>
      </w:r>
      <w:r>
        <w:rPr>
          <w:rFonts w:hint="eastAsia" w:ascii="宋体" w:hAnsi="宋体" w:eastAsia="宋体" w:cs="宋体"/>
          <w:color w:val="000000"/>
          <w:sz w:val="20"/>
          <w:highlight w:val="none"/>
          <w:lang w:val="en-US" w:eastAsia="zh-CN"/>
        </w:rPr>
        <w:t>减少0.5</w:t>
      </w:r>
      <w:r>
        <w:rPr>
          <w:rFonts w:ascii="宋体" w:hAnsi="宋体" w:eastAsia="宋体" w:cs="宋体"/>
          <w:color w:val="000000"/>
          <w:sz w:val="20"/>
          <w:highlight w:val="none"/>
        </w:rPr>
        <w:t>万元</w:t>
      </w:r>
      <w:r>
        <w:rPr>
          <w:rFonts w:hint="eastAsia" w:ascii="宋体" w:hAnsi="宋体" w:eastAsia="宋体" w:cs="宋体"/>
          <w:color w:val="000000"/>
          <w:sz w:val="20"/>
          <w:highlight w:val="none"/>
        </w:rPr>
        <w:t>，</w:t>
      </w:r>
      <w:r>
        <w:rPr>
          <w:rFonts w:hint="eastAsia" w:ascii="宋体" w:hAnsi="宋体" w:eastAsia="宋体" w:cs="宋体"/>
          <w:color w:val="000000"/>
          <w:sz w:val="20"/>
          <w:highlight w:val="none"/>
          <w:lang w:val="en-US" w:eastAsia="zh-CN"/>
        </w:rPr>
        <w:t>减少了50</w:t>
      </w:r>
      <w:r>
        <w:rPr>
          <w:rFonts w:ascii="宋体" w:hAnsi="宋体" w:eastAsia="宋体" w:cs="宋体"/>
          <w:color w:val="000000"/>
          <w:sz w:val="20"/>
          <w:highlight w:val="none"/>
        </w:rPr>
        <w:t>%。</w:t>
      </w:r>
      <w:r>
        <w:rPr>
          <w:rFonts w:hint="eastAsia" w:ascii="宋体" w:hAnsi="宋体" w:eastAsia="宋体" w:cs="宋体"/>
          <w:color w:val="000000"/>
          <w:sz w:val="20"/>
          <w:highlight w:val="none"/>
          <w:lang w:val="en-US" w:eastAsia="zh-CN"/>
        </w:rPr>
        <w:t>减少</w:t>
      </w:r>
      <w:r>
        <w:rPr>
          <w:rFonts w:ascii="宋体" w:hAnsi="宋体" w:eastAsia="宋体" w:cs="宋体"/>
          <w:color w:val="000000"/>
          <w:sz w:val="20"/>
          <w:highlight w:val="none"/>
        </w:rPr>
        <w:t>的主要原因：一是</w:t>
      </w:r>
      <w:r>
        <w:rPr>
          <w:rFonts w:hint="eastAsia" w:ascii="宋体" w:hAnsi="宋体" w:eastAsia="宋体" w:cs="宋体"/>
          <w:color w:val="000000"/>
          <w:sz w:val="20"/>
          <w:highlight w:val="none"/>
          <w:lang w:val="en-US" w:eastAsia="zh-CN"/>
        </w:rPr>
        <w:t>严格控制采购支出</w:t>
      </w:r>
      <w:r>
        <w:rPr>
          <w:rFonts w:ascii="宋体" w:hAnsi="宋体" w:eastAsia="宋体" w:cs="宋体"/>
          <w:color w:val="000000"/>
          <w:sz w:val="20"/>
          <w:highlight w:val="none"/>
        </w:rPr>
        <w:t>；二是</w:t>
      </w:r>
      <w:r>
        <w:rPr>
          <w:rFonts w:hint="eastAsia" w:ascii="宋体" w:hAnsi="宋体" w:eastAsia="宋体" w:cs="宋体"/>
          <w:color w:val="000000"/>
          <w:sz w:val="20"/>
          <w:highlight w:val="none"/>
          <w:lang w:val="en-US" w:eastAsia="zh-CN"/>
        </w:rPr>
        <w:t>严格遵守政府采购目录的要求</w:t>
      </w:r>
      <w:r>
        <w:rPr>
          <w:rFonts w:hint="eastAsia" w:ascii="宋体" w:hAnsi="宋体" w:eastAsia="宋体" w:cs="宋体"/>
          <w:color w:val="000000"/>
          <w:sz w:val="20"/>
          <w:highlight w:val="none"/>
          <w:lang w:eastAsia="zh-CN"/>
        </w:rPr>
        <w:t>。</w:t>
      </w:r>
    </w:p>
    <w:p>
      <w:pPr>
        <w:wordWrap w:val="0"/>
        <w:spacing w:line="720" w:lineRule="atLeast"/>
        <w:ind w:left="20" w:firstLine="400"/>
        <w:textAlignment w:val="baseline"/>
        <w:rPr>
          <w:rFonts w:hint="default"/>
          <w:sz w:val="20"/>
          <w:highlight w:val="none"/>
          <w:lang w:val="en-US"/>
        </w:rPr>
      </w:pPr>
      <w:r>
        <w:rPr>
          <w:rFonts w:ascii="宋体" w:hAnsi="宋体" w:eastAsia="宋体" w:cs="宋体"/>
          <w:color w:val="000000"/>
          <w:sz w:val="20"/>
          <w:highlight w:val="none"/>
        </w:rPr>
        <w:t>其中：货物类政府采购预算</w:t>
      </w:r>
      <w:r>
        <w:rPr>
          <w:rFonts w:hint="eastAsia" w:ascii="宋体" w:hAnsi="宋体" w:eastAsia="宋体" w:cs="宋体"/>
          <w:color w:val="000000"/>
          <w:sz w:val="20"/>
          <w:highlight w:val="none"/>
          <w:lang w:val="en-US" w:eastAsia="zh-CN"/>
        </w:rPr>
        <w:t>0.5</w:t>
      </w:r>
      <w:r>
        <w:rPr>
          <w:rFonts w:ascii="宋体" w:hAnsi="宋体" w:eastAsia="宋体" w:cs="宋体"/>
          <w:color w:val="000000"/>
          <w:sz w:val="20"/>
          <w:highlight w:val="none"/>
        </w:rPr>
        <w:t>万元，主要是集中采购</w:t>
      </w:r>
      <w:r>
        <w:rPr>
          <w:rFonts w:hint="eastAsia" w:ascii="宋体" w:hAnsi="宋体" w:eastAsia="宋体" w:cs="宋体"/>
          <w:color w:val="000000"/>
          <w:sz w:val="20"/>
          <w:highlight w:val="none"/>
          <w:lang w:val="en-US" w:eastAsia="zh-CN"/>
        </w:rPr>
        <w:t>A4复印纸</w:t>
      </w:r>
      <w:r>
        <w:rPr>
          <w:rFonts w:ascii="宋体" w:hAnsi="宋体" w:eastAsia="宋体" w:cs="宋体"/>
          <w:color w:val="000000"/>
          <w:sz w:val="20"/>
          <w:highlight w:val="none"/>
        </w:rPr>
        <w:t>。</w:t>
      </w:r>
    </w:p>
    <w:p>
      <w:pPr>
        <w:pStyle w:val="2"/>
        <w:keepNext/>
        <w:keepLines/>
        <w:pageBreakBefore w:val="0"/>
        <w:widowControl w:val="0"/>
        <w:numPr>
          <w:ilvl w:val="0"/>
          <w:numId w:val="0"/>
        </w:numPr>
        <w:kinsoku/>
        <w:wordWrap/>
        <w:overflowPunct/>
        <w:topLinePunct w:val="0"/>
        <w:autoSpaceDE/>
        <w:autoSpaceDN/>
        <w:bidi w:val="0"/>
        <w:adjustRightInd/>
        <w:snapToGrid/>
        <w:spacing w:before="460" w:after="210" w:line="280" w:lineRule="atLeast"/>
        <w:ind w:left="162" w:leftChars="77" w:right="0" w:rightChars="0" w:firstLine="0" w:firstLineChars="0"/>
        <w:textAlignment w:val="auto"/>
      </w:pPr>
      <w:r>
        <w:t>七、国有资产占用情况</w:t>
      </w:r>
    </w:p>
    <w:p>
      <w:pPr>
        <w:spacing w:line="540" w:lineRule="atLeast"/>
        <w:ind w:left="23" w:right="62" w:firstLine="380"/>
        <w:textAlignment w:val="baseline"/>
        <w:rPr>
          <w:sz w:val="20"/>
          <w:highlight w:val="none"/>
        </w:rPr>
      </w:pPr>
      <w:r>
        <w:rPr>
          <w:rFonts w:ascii="宋体" w:hAnsi="宋体" w:eastAsia="宋体" w:cs="宋体"/>
          <w:color w:val="000000"/>
          <w:sz w:val="20"/>
          <w:highlight w:val="none"/>
        </w:rPr>
        <w:t>2024年占有房屋面积</w:t>
      </w:r>
      <w:r>
        <w:rPr>
          <w:rFonts w:hint="eastAsia" w:ascii="宋体" w:hAnsi="宋体" w:eastAsia="宋体" w:cs="宋体"/>
          <w:color w:val="000000"/>
          <w:sz w:val="20"/>
          <w:highlight w:val="none"/>
          <w:lang w:val="en-US" w:eastAsia="zh-CN"/>
        </w:rPr>
        <w:t>1910</w:t>
      </w:r>
      <w:r>
        <w:rPr>
          <w:rFonts w:ascii="宋体" w:hAnsi="宋体" w:eastAsia="宋体" w:cs="宋体"/>
          <w:color w:val="000000"/>
          <w:sz w:val="20"/>
          <w:highlight w:val="none"/>
        </w:rPr>
        <w:t>平方米，大型专用设备数量为</w:t>
      </w:r>
      <w:r>
        <w:rPr>
          <w:rFonts w:hint="eastAsia" w:ascii="宋体" w:hAnsi="宋体" w:eastAsia="宋体" w:cs="宋体"/>
          <w:color w:val="000000"/>
          <w:sz w:val="20"/>
          <w:highlight w:val="none"/>
          <w:lang w:val="en-US" w:eastAsia="zh-CN"/>
        </w:rPr>
        <w:t>0</w:t>
      </w:r>
      <w:r>
        <w:rPr>
          <w:rFonts w:ascii="宋体" w:hAnsi="宋体" w:eastAsia="宋体" w:cs="宋体"/>
          <w:color w:val="000000"/>
          <w:sz w:val="20"/>
          <w:highlight w:val="none"/>
        </w:rPr>
        <w:t>，现有公务用车</w:t>
      </w:r>
      <w:r>
        <w:rPr>
          <w:rFonts w:ascii="宋体" w:hAnsi="宋体" w:eastAsia="宋体" w:cs="宋体"/>
          <w:color w:val="000000"/>
          <w:sz w:val="20"/>
          <w:highlight w:val="none"/>
          <w:u w:val="single"/>
        </w:rPr>
        <w:t xml:space="preserve">                  </w:t>
      </w:r>
      <w:r>
        <w:rPr>
          <w:rFonts w:hint="eastAsia" w:ascii="宋体" w:hAnsi="宋体" w:eastAsia="宋体" w:cs="宋体"/>
          <w:color w:val="000000"/>
          <w:sz w:val="20"/>
          <w:highlight w:val="none"/>
          <w:u w:val="none"/>
          <w:lang w:val="en-US" w:eastAsia="zh-CN"/>
        </w:rPr>
        <w:t>0</w:t>
      </w:r>
      <w:r>
        <w:rPr>
          <w:rFonts w:ascii="宋体" w:hAnsi="宋体" w:eastAsia="宋体" w:cs="宋体"/>
          <w:color w:val="000000"/>
          <w:sz w:val="20"/>
          <w:highlight w:val="none"/>
        </w:rPr>
        <w:t>辆。</w:t>
      </w:r>
    </w:p>
    <w:p>
      <w:pPr>
        <w:spacing w:line="540" w:lineRule="atLeast"/>
        <w:ind w:left="23" w:right="62" w:firstLine="380"/>
        <w:textAlignment w:val="baseline"/>
        <w:rPr>
          <w:rFonts w:hint="default"/>
          <w:sz w:val="20"/>
          <w:szCs w:val="20"/>
          <w:highlight w:val="none"/>
          <w:lang w:val="en-US" w:eastAsia="zh-CN"/>
        </w:rPr>
      </w:pPr>
      <w:r>
        <w:rPr>
          <w:sz w:val="20"/>
          <w:szCs w:val="20"/>
          <w:highlight w:val="none"/>
        </w:rPr>
        <w:t>土地、房屋及构筑物</w:t>
      </w:r>
      <w:r>
        <w:rPr>
          <w:rFonts w:hint="eastAsia"/>
          <w:sz w:val="20"/>
          <w:szCs w:val="20"/>
          <w:highlight w:val="none"/>
        </w:rPr>
        <w:t>：房屋建筑面积为</w:t>
      </w:r>
      <w:r>
        <w:rPr>
          <w:rFonts w:hint="eastAsia"/>
          <w:sz w:val="20"/>
          <w:szCs w:val="20"/>
          <w:highlight w:val="none"/>
          <w:lang w:val="en-US" w:eastAsia="zh-CN"/>
        </w:rPr>
        <w:t>1705</w:t>
      </w:r>
      <w:r>
        <w:rPr>
          <w:rFonts w:hint="eastAsia"/>
          <w:sz w:val="20"/>
          <w:szCs w:val="20"/>
          <w:highlight w:val="none"/>
        </w:rPr>
        <w:t>平方米，其中</w:t>
      </w:r>
      <w:r>
        <w:rPr>
          <w:rFonts w:hint="eastAsia"/>
          <w:sz w:val="20"/>
          <w:szCs w:val="20"/>
          <w:highlight w:val="none"/>
          <w:lang w:eastAsia="zh-CN"/>
        </w:rPr>
        <w:t>，</w:t>
      </w:r>
      <w:r>
        <w:rPr>
          <w:rFonts w:hint="eastAsia"/>
          <w:sz w:val="20"/>
          <w:szCs w:val="20"/>
          <w:highlight w:val="none"/>
          <w:lang w:val="en-US" w:eastAsia="zh-CN"/>
        </w:rPr>
        <w:t>办公用房1619平方米。价值32.14万元；</w:t>
      </w:r>
    </w:p>
    <w:p>
      <w:pPr>
        <w:spacing w:line="540" w:lineRule="atLeast"/>
        <w:ind w:left="23" w:right="62" w:firstLine="380"/>
        <w:rPr>
          <w:rFonts w:hint="eastAsia"/>
          <w:sz w:val="20"/>
          <w:szCs w:val="20"/>
          <w:highlight w:val="none"/>
        </w:rPr>
      </w:pPr>
      <w:r>
        <w:rPr>
          <w:rFonts w:hint="eastAsia"/>
          <w:sz w:val="20"/>
          <w:szCs w:val="20"/>
          <w:highlight w:val="none"/>
        </w:rPr>
        <w:t>通用设备</w:t>
      </w:r>
      <w:r>
        <w:rPr>
          <w:rFonts w:hint="eastAsia"/>
          <w:sz w:val="20"/>
          <w:szCs w:val="20"/>
          <w:highlight w:val="none"/>
          <w:lang w:val="en-US" w:eastAsia="zh-CN"/>
        </w:rPr>
        <w:t>46</w:t>
      </w:r>
      <w:r>
        <w:rPr>
          <w:rFonts w:hint="eastAsia"/>
          <w:sz w:val="20"/>
          <w:szCs w:val="20"/>
          <w:highlight w:val="none"/>
        </w:rPr>
        <w:t>（台/件），价值</w:t>
      </w:r>
      <w:r>
        <w:rPr>
          <w:rFonts w:hint="eastAsia"/>
          <w:sz w:val="20"/>
          <w:szCs w:val="20"/>
          <w:highlight w:val="none"/>
          <w:lang w:val="en-US" w:eastAsia="zh-CN"/>
        </w:rPr>
        <w:t>4.14</w:t>
      </w:r>
      <w:r>
        <w:rPr>
          <w:rFonts w:hint="eastAsia"/>
          <w:sz w:val="20"/>
          <w:szCs w:val="20"/>
          <w:highlight w:val="none"/>
        </w:rPr>
        <w:t>万元；</w:t>
      </w:r>
    </w:p>
    <w:p>
      <w:pPr>
        <w:spacing w:line="540" w:lineRule="atLeast"/>
        <w:ind w:left="23" w:right="62" w:firstLine="380"/>
        <w:rPr>
          <w:rFonts w:hint="eastAsia" w:eastAsiaTheme="minorEastAsia"/>
          <w:sz w:val="20"/>
          <w:szCs w:val="20"/>
          <w:highlight w:val="none"/>
          <w:lang w:val="en-US" w:eastAsia="zh-CN"/>
        </w:rPr>
      </w:pPr>
      <w:r>
        <w:rPr>
          <w:sz w:val="20"/>
          <w:szCs w:val="20"/>
          <w:highlight w:val="none"/>
        </w:rPr>
        <w:t>专用设备</w:t>
      </w:r>
      <w:r>
        <w:rPr>
          <w:rFonts w:hint="eastAsia"/>
          <w:sz w:val="20"/>
          <w:szCs w:val="20"/>
          <w:highlight w:val="none"/>
        </w:rPr>
        <w:t>：</w:t>
      </w:r>
      <w:r>
        <w:rPr>
          <w:rFonts w:hint="eastAsia"/>
          <w:sz w:val="20"/>
          <w:szCs w:val="20"/>
          <w:highlight w:val="none"/>
          <w:lang w:val="en-US" w:eastAsia="zh-CN"/>
        </w:rPr>
        <w:t>无</w:t>
      </w:r>
    </w:p>
    <w:p>
      <w:pPr>
        <w:spacing w:line="540" w:lineRule="atLeast"/>
        <w:ind w:left="23" w:right="62" w:firstLine="380"/>
        <w:rPr>
          <w:rFonts w:hint="eastAsia" w:eastAsiaTheme="minorEastAsia"/>
          <w:sz w:val="20"/>
          <w:szCs w:val="20"/>
          <w:highlight w:val="none"/>
          <w:lang w:val="en-US" w:eastAsia="zh-CN"/>
        </w:rPr>
      </w:pPr>
      <w:r>
        <w:rPr>
          <w:sz w:val="20"/>
          <w:szCs w:val="20"/>
          <w:highlight w:val="none"/>
        </w:rPr>
        <w:t>文物和陈列品</w:t>
      </w:r>
      <w:r>
        <w:rPr>
          <w:rFonts w:hint="eastAsia"/>
          <w:sz w:val="20"/>
          <w:szCs w:val="20"/>
          <w:highlight w:val="none"/>
        </w:rPr>
        <w:t>：</w:t>
      </w:r>
      <w:r>
        <w:rPr>
          <w:rFonts w:hint="eastAsia"/>
          <w:sz w:val="20"/>
          <w:szCs w:val="20"/>
          <w:highlight w:val="none"/>
          <w:lang w:val="en-US" w:eastAsia="zh-CN"/>
        </w:rPr>
        <w:t>无</w:t>
      </w:r>
    </w:p>
    <w:p>
      <w:pPr>
        <w:spacing w:line="540" w:lineRule="atLeast"/>
        <w:ind w:left="23" w:right="62" w:firstLine="380"/>
        <w:rPr>
          <w:rFonts w:hint="default" w:eastAsiaTheme="minorEastAsia"/>
          <w:sz w:val="20"/>
          <w:szCs w:val="20"/>
          <w:highlight w:val="none"/>
          <w:lang w:val="en-US" w:eastAsia="zh-CN"/>
        </w:rPr>
      </w:pPr>
      <w:r>
        <w:rPr>
          <w:rFonts w:hint="eastAsia"/>
          <w:sz w:val="20"/>
          <w:szCs w:val="20"/>
          <w:highlight w:val="none"/>
        </w:rPr>
        <w:t xml:space="preserve"> </w:t>
      </w:r>
      <w:r>
        <w:rPr>
          <w:sz w:val="20"/>
          <w:szCs w:val="20"/>
          <w:highlight w:val="none"/>
        </w:rPr>
        <w:t>图书、档案</w:t>
      </w:r>
      <w:r>
        <w:rPr>
          <w:rFonts w:hint="eastAsia"/>
          <w:sz w:val="20"/>
          <w:szCs w:val="20"/>
          <w:highlight w:val="none"/>
          <w:lang w:eastAsia="zh-CN"/>
        </w:rPr>
        <w:t>：</w:t>
      </w:r>
      <w:r>
        <w:rPr>
          <w:rFonts w:hint="eastAsia"/>
          <w:sz w:val="20"/>
          <w:szCs w:val="20"/>
          <w:highlight w:val="none"/>
          <w:lang w:val="en-US" w:eastAsia="zh-CN"/>
        </w:rPr>
        <w:t>无</w:t>
      </w:r>
    </w:p>
    <w:p>
      <w:pPr>
        <w:spacing w:line="540" w:lineRule="atLeast"/>
        <w:ind w:left="23" w:right="62" w:firstLine="380"/>
        <w:rPr>
          <w:sz w:val="20"/>
          <w:szCs w:val="20"/>
          <w:highlight w:val="none"/>
        </w:rPr>
      </w:pPr>
      <w:r>
        <w:rPr>
          <w:rFonts w:hint="eastAsia"/>
          <w:sz w:val="20"/>
          <w:szCs w:val="20"/>
          <w:highlight w:val="none"/>
        </w:rPr>
        <w:t xml:space="preserve"> </w:t>
      </w:r>
      <w:r>
        <w:rPr>
          <w:sz w:val="20"/>
          <w:szCs w:val="20"/>
          <w:highlight w:val="none"/>
        </w:rPr>
        <w:t>家具、用具、装具及动植物</w:t>
      </w:r>
      <w:r>
        <w:rPr>
          <w:rFonts w:hint="eastAsia"/>
          <w:sz w:val="20"/>
          <w:szCs w:val="20"/>
          <w:highlight w:val="none"/>
        </w:rPr>
        <w:t>：</w:t>
      </w:r>
      <w:r>
        <w:rPr>
          <w:rFonts w:hint="eastAsia"/>
          <w:sz w:val="20"/>
          <w:szCs w:val="20"/>
          <w:highlight w:val="none"/>
          <w:lang w:val="en-US" w:eastAsia="zh-CN"/>
        </w:rPr>
        <w:t>159</w:t>
      </w:r>
      <w:r>
        <w:rPr>
          <w:rFonts w:hint="eastAsia"/>
          <w:sz w:val="20"/>
          <w:szCs w:val="20"/>
          <w:highlight w:val="none"/>
        </w:rPr>
        <w:t>（个/套），价值</w:t>
      </w:r>
      <w:r>
        <w:rPr>
          <w:rFonts w:hint="eastAsia"/>
          <w:sz w:val="20"/>
          <w:szCs w:val="20"/>
          <w:highlight w:val="none"/>
          <w:lang w:val="en-US" w:eastAsia="zh-CN"/>
        </w:rPr>
        <w:t>7.42</w:t>
      </w:r>
      <w:r>
        <w:rPr>
          <w:rFonts w:hint="eastAsia"/>
          <w:sz w:val="20"/>
          <w:szCs w:val="20"/>
          <w:highlight w:val="none"/>
        </w:rPr>
        <w:t>万元</w:t>
      </w:r>
      <w:r>
        <w:rPr>
          <w:rFonts w:hint="eastAsia"/>
          <w:sz w:val="20"/>
          <w:szCs w:val="20"/>
          <w:highlight w:val="none"/>
          <w:lang w:val="en-US" w:eastAsia="zh-CN"/>
        </w:rPr>
        <w:t>。</w:t>
      </w:r>
    </w:p>
    <w:p>
      <w:pPr>
        <w:pStyle w:val="2"/>
        <w:keepNext/>
        <w:keepLines/>
        <w:pageBreakBefore w:val="0"/>
        <w:widowControl w:val="0"/>
        <w:numPr>
          <w:ilvl w:val="0"/>
          <w:numId w:val="0"/>
        </w:numPr>
        <w:kinsoku/>
        <w:wordWrap/>
        <w:overflowPunct/>
        <w:topLinePunct w:val="0"/>
        <w:autoSpaceDE/>
        <w:autoSpaceDN/>
        <w:bidi w:val="0"/>
        <w:adjustRightInd/>
        <w:snapToGrid/>
        <w:spacing w:before="460" w:after="210" w:line="280" w:lineRule="atLeast"/>
        <w:ind w:left="162" w:leftChars="77" w:right="0" w:rightChars="0" w:firstLine="0" w:firstLineChars="0"/>
        <w:textAlignment w:val="auto"/>
      </w:pPr>
      <w:r>
        <w:t>八、重点项目预算绩效情况</w:t>
      </w:r>
    </w:p>
    <w:p>
      <w:pPr>
        <w:wordWrap w:val="0"/>
        <w:spacing w:line="280" w:lineRule="exact"/>
        <w:ind w:left="0" w:leftChars="0" w:firstLine="0" w:firstLineChars="0"/>
        <w:textAlignment w:val="baseline"/>
        <w:rPr>
          <w:sz w:val="20"/>
        </w:rPr>
      </w:pPr>
    </w:p>
    <w:p>
      <w:pPr>
        <w:keepNext w:val="0"/>
        <w:keepLines w:val="0"/>
        <w:pageBreakBefore w:val="0"/>
        <w:widowControl w:val="0"/>
        <w:numPr>
          <w:ilvl w:val="0"/>
          <w:numId w:val="1"/>
        </w:numPr>
        <w:kinsoku/>
        <w:wordWrap w:val="0"/>
        <w:overflowPunct/>
        <w:topLinePunct w:val="0"/>
        <w:autoSpaceDE/>
        <w:autoSpaceDN/>
        <w:bidi w:val="0"/>
        <w:adjustRightInd/>
        <w:snapToGrid/>
        <w:spacing w:line="640" w:lineRule="exact"/>
        <w:textAlignment w:val="baseline"/>
        <w:rPr>
          <w:rFonts w:hint="default"/>
          <w:sz w:val="20"/>
          <w:u w:val="none"/>
          <w:lang w:val="en-US" w:eastAsia="zh-CN"/>
        </w:rPr>
      </w:pPr>
      <w:r>
        <w:rPr>
          <w:rFonts w:hint="eastAsia"/>
          <w:sz w:val="20"/>
          <w:u w:val="none"/>
          <w:lang w:val="en-US" w:eastAsia="zh-CN"/>
        </w:rPr>
        <w:t>“基层财政工作经费”项目</w:t>
      </w:r>
    </w:p>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ind w:right="29" w:rightChars="14" w:firstLine="400" w:firstLineChars="200"/>
        <w:jc w:val="both"/>
        <w:textAlignment w:val="baseline"/>
        <w:rPr>
          <w:rFonts w:hint="eastAsia"/>
          <w:sz w:val="20"/>
          <w:u w:val="none"/>
          <w:lang w:val="en-US" w:eastAsia="zh-CN"/>
        </w:rPr>
      </w:pPr>
      <w:r>
        <w:rPr>
          <w:rFonts w:hint="eastAsia"/>
          <w:sz w:val="20"/>
          <w:u w:val="none"/>
          <w:lang w:val="en-US" w:eastAsia="zh-CN"/>
        </w:rPr>
        <w:t>项目主要内容：保障单位的日常运转和业务工作稳定开展。2024年预算安排35万元，资金来源为当年一般公共预算财政拨款。</w:t>
      </w:r>
    </w:p>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ind w:right="29" w:rightChars="14" w:firstLine="400" w:firstLineChars="200"/>
        <w:jc w:val="both"/>
        <w:textAlignment w:val="baseline"/>
        <w:rPr>
          <w:rFonts w:hint="eastAsia"/>
          <w:sz w:val="20"/>
          <w:u w:val="none"/>
          <w:lang w:val="en-US" w:eastAsia="zh-CN"/>
        </w:rPr>
      </w:pPr>
      <w:r>
        <w:rPr>
          <w:rFonts w:hint="eastAsia"/>
          <w:sz w:val="20"/>
          <w:u w:val="none"/>
          <w:lang w:val="en-US" w:eastAsia="zh-CN"/>
        </w:rPr>
        <w:t>年度绩效目标：健全乡镇财政专管员制度、乡镇财政资金监管制度；宣传农村集体“三资”管理制度；确保每一笔招投标项目公平、合规；加强农村财会人员培训；实行全镇区财务会计电算化。</w:t>
      </w:r>
    </w:p>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ind w:right="29" w:rightChars="14" w:firstLine="400" w:firstLineChars="200"/>
        <w:jc w:val="both"/>
        <w:textAlignment w:val="baseline"/>
        <w:rPr>
          <w:rFonts w:hint="eastAsia"/>
          <w:sz w:val="20"/>
          <w:u w:val="none"/>
          <w:lang w:val="en-US" w:eastAsia="zh-CN"/>
        </w:rPr>
      </w:pPr>
      <w:r>
        <w:rPr>
          <w:rFonts w:hint="eastAsia"/>
          <w:sz w:val="20"/>
          <w:u w:val="none"/>
          <w:lang w:val="en-US" w:eastAsia="zh-CN"/>
        </w:rPr>
        <w:t>成本指标：项目资金总额=35万元；对社会发展无负面影响；对生态环境无负面影响。</w:t>
      </w:r>
    </w:p>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ind w:right="29" w:rightChars="14" w:firstLine="400" w:firstLineChars="200"/>
        <w:jc w:val="both"/>
        <w:textAlignment w:val="baseline"/>
        <w:rPr>
          <w:rFonts w:hint="eastAsia"/>
          <w:sz w:val="20"/>
          <w:u w:val="none"/>
          <w:lang w:val="en-US" w:eastAsia="zh-CN"/>
        </w:rPr>
      </w:pPr>
      <w:r>
        <w:rPr>
          <w:rFonts w:hint="eastAsia"/>
          <w:sz w:val="20"/>
          <w:u w:val="none"/>
          <w:lang w:val="en-US" w:eastAsia="zh-CN"/>
        </w:rPr>
        <w:t>产出指标：开展绩效评价小项目次数=20次；三资监管涉及村个数=15个；强农惠农政策宣传工作3次/年；上级部门组织工作考核≥90分；项目周期=1年。</w:t>
      </w:r>
    </w:p>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ind w:right="29" w:rightChars="14" w:firstLine="400" w:firstLineChars="200"/>
        <w:jc w:val="both"/>
        <w:textAlignment w:val="baseline"/>
        <w:rPr>
          <w:rFonts w:hint="eastAsia"/>
          <w:sz w:val="20"/>
          <w:u w:val="none"/>
          <w:lang w:val="en-US" w:eastAsia="zh-CN"/>
        </w:rPr>
      </w:pPr>
      <w:r>
        <w:rPr>
          <w:rFonts w:hint="eastAsia"/>
          <w:sz w:val="20"/>
          <w:u w:val="none"/>
          <w:lang w:val="en-US" w:eastAsia="zh-CN"/>
        </w:rPr>
        <w:t>效益指标：推动镇区经济社会高质量发展，提升经济发展综合实力；惠民惠农补贴资金＞100万元。</w:t>
      </w:r>
    </w:p>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ind w:right="29" w:rightChars="14" w:firstLine="400" w:firstLineChars="200"/>
        <w:jc w:val="both"/>
        <w:textAlignment w:val="baseline"/>
        <w:rPr>
          <w:rFonts w:hint="default"/>
          <w:sz w:val="20"/>
          <w:u w:val="none"/>
          <w:lang w:val="en-US" w:eastAsia="zh-CN"/>
        </w:rPr>
      </w:pPr>
      <w:r>
        <w:rPr>
          <w:rFonts w:hint="eastAsia"/>
          <w:sz w:val="20"/>
          <w:u w:val="none"/>
          <w:lang w:val="en-US" w:eastAsia="zh-CN"/>
        </w:rPr>
        <w:t>满意度指标：群众满意度≥95%。</w:t>
      </w:r>
    </w:p>
    <w:p>
      <w:pPr>
        <w:pStyle w:val="2"/>
        <w:keepNext/>
        <w:keepLines/>
        <w:pageBreakBefore w:val="0"/>
        <w:widowControl w:val="0"/>
        <w:numPr>
          <w:ilvl w:val="0"/>
          <w:numId w:val="0"/>
        </w:numPr>
        <w:kinsoku/>
        <w:wordWrap/>
        <w:overflowPunct/>
        <w:topLinePunct w:val="0"/>
        <w:autoSpaceDE/>
        <w:autoSpaceDN/>
        <w:bidi w:val="0"/>
        <w:adjustRightInd/>
        <w:snapToGrid/>
        <w:spacing w:before="460" w:after="210" w:line="280" w:lineRule="atLeast"/>
        <w:ind w:left="162" w:leftChars="77" w:right="0" w:rightChars="0" w:firstLine="0" w:firstLineChars="0"/>
        <w:textAlignment w:val="auto"/>
      </w:pPr>
      <w:r>
        <w:t>九、其他需要说明的情况</w:t>
      </w:r>
    </w:p>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ind w:right="29" w:rightChars="14" w:firstLine="400" w:firstLineChars="200"/>
        <w:jc w:val="both"/>
        <w:textAlignment w:val="baseline"/>
        <w:rPr>
          <w:rFonts w:hint="eastAsia"/>
          <w:sz w:val="20"/>
          <w:u w:val="none"/>
          <w:lang w:val="en-US" w:eastAsia="zh-CN"/>
        </w:rPr>
      </w:pPr>
      <w:r>
        <w:rPr>
          <w:rFonts w:hint="eastAsia"/>
          <w:sz w:val="20"/>
          <w:u w:val="none"/>
          <w:lang w:val="en-US" w:eastAsia="zh-CN"/>
        </w:rPr>
        <w:t>（一） 对空表的说明：</w:t>
      </w:r>
    </w:p>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ind w:right="29" w:rightChars="14" w:firstLine="400" w:firstLineChars="200"/>
        <w:jc w:val="both"/>
        <w:textAlignment w:val="baseline"/>
        <w:rPr>
          <w:rFonts w:hint="eastAsia"/>
          <w:sz w:val="20"/>
          <w:u w:val="none"/>
          <w:lang w:val="en-US" w:eastAsia="zh-CN"/>
        </w:rPr>
      </w:pPr>
      <w:r>
        <w:rPr>
          <w:rFonts w:hint="eastAsia"/>
          <w:sz w:val="20"/>
          <w:u w:val="none"/>
          <w:lang w:val="en-US" w:eastAsia="zh-CN"/>
        </w:rPr>
        <w:t>1．本单位无政府性基金收支情况，因此表格为空；</w:t>
      </w:r>
    </w:p>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ind w:right="29" w:rightChars="14" w:firstLine="400" w:firstLineChars="200"/>
        <w:jc w:val="both"/>
        <w:textAlignment w:val="baseline"/>
        <w:rPr>
          <w:rFonts w:hint="eastAsia"/>
          <w:sz w:val="20"/>
          <w:u w:val="none"/>
          <w:lang w:val="en-US" w:eastAsia="zh-CN"/>
        </w:rPr>
      </w:pPr>
      <w:r>
        <w:rPr>
          <w:rFonts w:hint="eastAsia"/>
          <w:sz w:val="20"/>
          <w:u w:val="none"/>
          <w:lang w:val="en-US" w:eastAsia="zh-CN"/>
        </w:rPr>
        <w:t>2、本单位无三公经费支出，故表格为空；</w:t>
      </w:r>
    </w:p>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ind w:right="29" w:rightChars="14" w:firstLine="400" w:firstLineChars="200"/>
        <w:jc w:val="both"/>
        <w:textAlignment w:val="baseline"/>
        <w:rPr>
          <w:rFonts w:hint="default"/>
          <w:sz w:val="20"/>
          <w:u w:val="none"/>
          <w:lang w:val="en-US" w:eastAsia="zh-CN"/>
        </w:rPr>
      </w:pPr>
      <w:r>
        <w:rPr>
          <w:rFonts w:hint="eastAsia"/>
          <w:sz w:val="20"/>
          <w:u w:val="none"/>
          <w:lang w:val="en-US" w:eastAsia="zh-CN"/>
        </w:rPr>
        <w:t>3、本单位无国有资本经营支出，故表格为空。</w:t>
      </w:r>
    </w:p>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ind w:right="29" w:rightChars="14" w:firstLine="400" w:firstLineChars="200"/>
        <w:jc w:val="both"/>
        <w:textAlignment w:val="baseline"/>
        <w:rPr>
          <w:rFonts w:hint="eastAsia"/>
          <w:sz w:val="20"/>
          <w:u w:val="none"/>
          <w:lang w:val="en-US" w:eastAsia="zh-CN"/>
        </w:rPr>
      </w:pPr>
      <w:r>
        <w:rPr>
          <w:rFonts w:hint="eastAsia"/>
          <w:sz w:val="20"/>
          <w:u w:val="none"/>
          <w:lang w:val="en-US" w:eastAsia="zh-CN"/>
        </w:rPr>
        <w:t>（二）对其他情况的说明：</w:t>
      </w:r>
    </w:p>
    <w:p>
      <w:pPr>
        <w:keepNext w:val="0"/>
        <w:keepLines w:val="0"/>
        <w:pageBreakBefore w:val="0"/>
        <w:widowControl w:val="0"/>
        <w:numPr>
          <w:ilvl w:val="0"/>
          <w:numId w:val="0"/>
        </w:numPr>
        <w:kinsoku/>
        <w:wordWrap w:val="0"/>
        <w:overflowPunct/>
        <w:topLinePunct w:val="0"/>
        <w:autoSpaceDE/>
        <w:autoSpaceDN/>
        <w:bidi w:val="0"/>
        <w:adjustRightInd/>
        <w:snapToGrid/>
        <w:spacing w:line="640" w:lineRule="exact"/>
        <w:ind w:right="29" w:rightChars="14" w:firstLine="400" w:firstLineChars="200"/>
        <w:jc w:val="both"/>
        <w:textAlignment w:val="baseline"/>
        <w:rPr>
          <w:rFonts w:hint="eastAsia"/>
          <w:sz w:val="20"/>
          <w:u w:val="none"/>
          <w:lang w:val="en-US" w:eastAsia="zh-CN"/>
        </w:rPr>
      </w:pPr>
      <w:r>
        <w:rPr>
          <w:rFonts w:hint="eastAsia"/>
          <w:sz w:val="20"/>
          <w:u w:val="none"/>
          <w:lang w:val="en-US" w:eastAsia="zh-CN"/>
        </w:rPr>
        <w:t>无</w:t>
      </w:r>
    </w:p>
    <w:p>
      <w:pPr>
        <w:pStyle w:val="2"/>
        <w:keepNext/>
        <w:keepLines/>
        <w:pageBreakBefore w:val="0"/>
        <w:widowControl w:val="0"/>
        <w:numPr>
          <w:ilvl w:val="0"/>
          <w:numId w:val="0"/>
        </w:numPr>
        <w:kinsoku/>
        <w:wordWrap/>
        <w:overflowPunct/>
        <w:topLinePunct w:val="0"/>
        <w:autoSpaceDE/>
        <w:autoSpaceDN/>
        <w:bidi w:val="0"/>
        <w:adjustRightInd/>
        <w:snapToGrid/>
        <w:spacing w:before="460" w:after="210" w:line="280" w:lineRule="atLeast"/>
        <w:ind w:left="162" w:leftChars="77" w:right="0" w:rightChars="0" w:firstLine="0" w:firstLineChars="0"/>
        <w:textAlignment w:val="auto"/>
      </w:pPr>
      <w:r>
        <w:t>十、专业名词解释</w:t>
      </w:r>
    </w:p>
    <w:p>
      <w:pPr>
        <w:wordWrap w:val="0"/>
        <w:spacing w:line="640" w:lineRule="atLeast"/>
        <w:ind w:right="80" w:firstLine="420"/>
        <w:textAlignment w:val="baseline"/>
        <w:rPr>
          <w:sz w:val="20"/>
          <w:szCs w:val="20"/>
        </w:rPr>
      </w:pPr>
      <w:r>
        <w:rPr>
          <w:rFonts w:ascii="宋体" w:hAnsi="宋体" w:eastAsia="宋体" w:cs="宋体"/>
          <w:color w:val="000000"/>
          <w:sz w:val="20"/>
          <w:szCs w:val="20"/>
        </w:rPr>
        <w:t>1.机关运行经费：指为保障单位运行使用一般公共预算财政拨款安排的基本支出中的日常公用经费支出。包括办公及印刷费、邮电费、差旅费、会议费、福利费、 日常维修费、专用材料及一般设备购置费、办公用房水电费、办公用房取暖费、办公用房物业管理费、公务用车运行维护费以及其他费用。</w:t>
      </w:r>
    </w:p>
    <w:p>
      <w:pPr>
        <w:wordWrap w:val="0"/>
        <w:spacing w:line="640" w:lineRule="atLeast"/>
        <w:ind w:firstLine="400"/>
        <w:textAlignment w:val="baseline"/>
        <w:rPr>
          <w:sz w:val="20"/>
          <w:szCs w:val="20"/>
        </w:rPr>
      </w:pPr>
      <w:r>
        <w:rPr>
          <w:rFonts w:ascii="宋体" w:hAnsi="宋体" w:eastAsia="宋体" w:cs="宋体"/>
          <w:color w:val="000000"/>
          <w:sz w:val="20"/>
          <w:szCs w:val="20"/>
        </w:rPr>
        <w:t>2.“三公”经费：指使用一般公共预算财政拨款安排的因公出国</w:t>
      </w:r>
      <w:r>
        <w:rPr>
          <w:rFonts w:hint="eastAsia" w:ascii="宋体" w:hAnsi="宋体" w:eastAsia="宋体" w:cs="宋体"/>
          <w:color w:val="000000"/>
          <w:sz w:val="20"/>
          <w:szCs w:val="20"/>
        </w:rPr>
        <w:t>（</w:t>
      </w:r>
      <w:r>
        <w:rPr>
          <w:rFonts w:ascii="宋体" w:hAnsi="宋体" w:eastAsia="宋体" w:cs="宋体"/>
          <w:color w:val="000000"/>
          <w:sz w:val="20"/>
          <w:szCs w:val="20"/>
        </w:rPr>
        <w:t>境</w:t>
      </w:r>
      <w:r>
        <w:rPr>
          <w:rFonts w:hint="eastAsia" w:ascii="宋体" w:hAnsi="宋体" w:eastAsia="宋体" w:cs="宋体"/>
          <w:color w:val="000000"/>
          <w:sz w:val="20"/>
          <w:szCs w:val="20"/>
        </w:rPr>
        <w:t>）</w:t>
      </w:r>
      <w:r>
        <w:rPr>
          <w:rFonts w:ascii="宋体" w:hAnsi="宋体" w:eastAsia="宋体" w:cs="宋体"/>
          <w:color w:val="000000"/>
          <w:sz w:val="20"/>
          <w:szCs w:val="20"/>
        </w:rPr>
        <w:t>费、公务用车购置及运行维护费和公务接待费。其中，因公出国</w:t>
      </w:r>
      <w:r>
        <w:rPr>
          <w:rFonts w:hint="eastAsia" w:ascii="宋体" w:hAnsi="宋体" w:eastAsia="宋体" w:cs="宋体"/>
          <w:color w:val="000000"/>
          <w:sz w:val="20"/>
          <w:szCs w:val="20"/>
        </w:rPr>
        <w:t>（</w:t>
      </w:r>
      <w:r>
        <w:rPr>
          <w:rFonts w:ascii="宋体" w:hAnsi="宋体" w:eastAsia="宋体" w:cs="宋体"/>
          <w:color w:val="000000"/>
          <w:sz w:val="20"/>
          <w:szCs w:val="20"/>
        </w:rPr>
        <w:t>境</w:t>
      </w:r>
      <w:r>
        <w:rPr>
          <w:rFonts w:hint="eastAsia" w:ascii="宋体" w:hAnsi="宋体" w:eastAsia="宋体" w:cs="宋体"/>
          <w:color w:val="000000"/>
          <w:sz w:val="20"/>
          <w:szCs w:val="20"/>
        </w:rPr>
        <w:t>）</w:t>
      </w:r>
      <w:r>
        <w:rPr>
          <w:rFonts w:ascii="宋体" w:hAnsi="宋体" w:eastAsia="宋体" w:cs="宋体"/>
          <w:color w:val="000000"/>
          <w:sz w:val="20"/>
          <w:szCs w:val="20"/>
        </w:rPr>
        <w:t>费用反映单位公务出国</w:t>
      </w:r>
      <w:r>
        <w:rPr>
          <w:rFonts w:hint="eastAsia" w:ascii="宋体" w:hAnsi="宋体" w:eastAsia="宋体" w:cs="宋体"/>
          <w:color w:val="000000"/>
          <w:sz w:val="20"/>
          <w:szCs w:val="20"/>
        </w:rPr>
        <w:t>（</w:t>
      </w:r>
      <w:r>
        <w:rPr>
          <w:rFonts w:ascii="宋体" w:hAnsi="宋体" w:eastAsia="宋体" w:cs="宋体"/>
          <w:color w:val="000000"/>
          <w:sz w:val="20"/>
          <w:szCs w:val="20"/>
        </w:rPr>
        <w:t>境</w:t>
      </w:r>
      <w:r>
        <w:rPr>
          <w:rFonts w:hint="eastAsia" w:ascii="宋体" w:hAnsi="宋体" w:eastAsia="宋体" w:cs="宋体"/>
          <w:color w:val="000000"/>
          <w:sz w:val="20"/>
          <w:szCs w:val="20"/>
        </w:rPr>
        <w:t>）</w:t>
      </w:r>
      <w:r>
        <w:rPr>
          <w:rFonts w:ascii="宋体" w:hAnsi="宋体" w:eastAsia="宋体" w:cs="宋体"/>
          <w:color w:val="000000"/>
          <w:sz w:val="20"/>
          <w:szCs w:val="20"/>
        </w:rPr>
        <w:t>的国际旅费、国外城市间交通费、住宿费、伙食费、培训费、公杂费等支出； 公务用车购置及运行维护费反映单位公务用车车辆购置支出</w:t>
      </w:r>
      <w:r>
        <w:rPr>
          <w:rFonts w:hint="eastAsia" w:ascii="宋体" w:hAnsi="宋体" w:eastAsia="宋体" w:cs="宋体"/>
          <w:color w:val="000000"/>
          <w:sz w:val="20"/>
          <w:szCs w:val="20"/>
        </w:rPr>
        <w:t>（</w:t>
      </w:r>
      <w:r>
        <w:rPr>
          <w:rFonts w:ascii="宋体" w:hAnsi="宋体" w:eastAsia="宋体" w:cs="宋体"/>
          <w:color w:val="000000"/>
          <w:sz w:val="20"/>
          <w:szCs w:val="20"/>
        </w:rPr>
        <w:t>含车辆购置税、牌照费</w:t>
      </w:r>
      <w:r>
        <w:rPr>
          <w:rFonts w:hint="eastAsia" w:ascii="宋体" w:hAnsi="宋体" w:eastAsia="宋体" w:cs="宋体"/>
          <w:color w:val="000000"/>
          <w:sz w:val="20"/>
          <w:szCs w:val="20"/>
        </w:rPr>
        <w:t>）</w:t>
      </w:r>
      <w:r>
        <w:rPr>
          <w:rFonts w:ascii="宋体" w:hAnsi="宋体" w:eastAsia="宋体" w:cs="宋体"/>
          <w:color w:val="000000"/>
          <w:sz w:val="20"/>
          <w:szCs w:val="20"/>
        </w:rPr>
        <w:t>、燃料费、维修费、过桥过路费、保险费、安全奖励费用等支出；公务接待费反映单位按规定开支的各类公务接待</w:t>
      </w:r>
      <w:r>
        <w:rPr>
          <w:rFonts w:hint="eastAsia" w:ascii="宋体" w:hAnsi="宋体" w:eastAsia="宋体" w:cs="宋体"/>
          <w:color w:val="000000"/>
          <w:sz w:val="20"/>
          <w:szCs w:val="20"/>
        </w:rPr>
        <w:t>（</w:t>
      </w:r>
      <w:r>
        <w:rPr>
          <w:rFonts w:ascii="宋体" w:hAnsi="宋体" w:eastAsia="宋体" w:cs="宋体"/>
          <w:color w:val="000000"/>
          <w:sz w:val="20"/>
          <w:szCs w:val="20"/>
        </w:rPr>
        <w:t>含外宾接待</w:t>
      </w:r>
      <w:r>
        <w:rPr>
          <w:rFonts w:hint="eastAsia" w:ascii="宋体" w:hAnsi="宋体" w:eastAsia="宋体" w:cs="宋体"/>
          <w:color w:val="000000"/>
          <w:sz w:val="20"/>
          <w:szCs w:val="20"/>
        </w:rPr>
        <w:t>）</w:t>
      </w:r>
      <w:r>
        <w:rPr>
          <w:rFonts w:ascii="宋体" w:hAnsi="宋体" w:eastAsia="宋体" w:cs="宋体"/>
          <w:color w:val="000000"/>
          <w:sz w:val="20"/>
          <w:szCs w:val="20"/>
        </w:rPr>
        <w:t>费用。</w:t>
      </w:r>
    </w:p>
    <w:p>
      <w:pPr>
        <w:wordWrap w:val="0"/>
        <w:spacing w:line="640" w:lineRule="atLeast"/>
        <w:ind w:right="20" w:firstLine="400"/>
        <w:textAlignment w:val="baseline"/>
        <w:rPr>
          <w:sz w:val="20"/>
          <w:szCs w:val="20"/>
        </w:rPr>
      </w:pPr>
      <w:r>
        <w:rPr>
          <w:rFonts w:ascii="宋体" w:hAnsi="宋体" w:eastAsia="宋体" w:cs="宋体"/>
          <w:color w:val="000000"/>
          <w:sz w:val="20"/>
          <w:szCs w:val="20"/>
        </w:rPr>
        <w:t>3.政府采购：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pPr>
        <w:wordWrap w:val="0"/>
        <w:spacing w:line="260" w:lineRule="exact"/>
        <w:textAlignment w:val="baseline"/>
        <w:rPr>
          <w:sz w:val="20"/>
          <w:szCs w:val="20"/>
        </w:rPr>
      </w:pPr>
    </w:p>
    <w:p>
      <w:pPr>
        <w:bidi w:val="0"/>
      </w:pPr>
      <w:r>
        <w:rPr>
          <w:rFonts w:ascii="宋体" w:hAnsi="宋体" w:eastAsia="宋体" w:cs="宋体"/>
          <w:color w:val="000000"/>
          <w:szCs w:val="20"/>
        </w:rPr>
        <w:t>4.财</w:t>
      </w:r>
      <w:r>
        <w:t>政拨款</w:t>
      </w:r>
      <w:r>
        <w:rPr>
          <w:rFonts w:hint="eastAsia"/>
        </w:rPr>
        <w:t>（</w:t>
      </w:r>
      <w:r>
        <w:t>补助</w:t>
      </w:r>
      <w:r>
        <w:rPr>
          <w:rFonts w:hint="eastAsia"/>
        </w:rPr>
        <w:t>）</w:t>
      </w:r>
      <w:r>
        <w:t>收入：指从同级财政部门取得的财政预算资金。</w:t>
      </w:r>
    </w:p>
    <w:p>
      <w:pPr>
        <w:bidi w:val="0"/>
      </w:pPr>
      <w:r>
        <w:t>5.其他收入：指除上述“财政拨款收入”以外任务相应安排的资金</w:t>
      </w:r>
    </w:p>
    <w:p>
      <w:pPr>
        <w:bidi w:val="0"/>
      </w:pPr>
      <w:r>
        <w:t>6.基本支出：指为保障机构正常运转、完成日常工作任务而发生的人员支出和公用支出。</w:t>
      </w:r>
    </w:p>
    <w:p>
      <w:pPr>
        <w:bidi w:val="0"/>
        <w:rPr>
          <w:rFonts w:hint="eastAsia" w:ascii="宋体" w:hAnsi="宋体" w:eastAsia="宋体" w:cs="宋体"/>
          <w:color w:val="000000"/>
          <w:szCs w:val="20"/>
          <w:lang w:eastAsia="zh-CN"/>
        </w:rPr>
      </w:pPr>
      <w:r>
        <w:t>7.项目支出：</w:t>
      </w:r>
      <w:r>
        <w:rPr>
          <w:rFonts w:ascii="宋体" w:hAnsi="宋体" w:eastAsia="宋体" w:cs="宋体"/>
          <w:color w:val="000000"/>
          <w:szCs w:val="20"/>
        </w:rPr>
        <w:t>指在基本支出之外为完成特定行政任务和事业发展目标所发生的支出</w:t>
      </w:r>
      <w:r>
        <w:rPr>
          <w:rFonts w:hint="eastAsia" w:ascii="宋体" w:hAnsi="宋体" w:eastAsia="宋体" w:cs="宋体"/>
          <w:color w:val="000000"/>
          <w:szCs w:val="20"/>
          <w:lang w:eastAsia="zh-CN"/>
        </w:rPr>
        <w:t>。</w:t>
      </w:r>
    </w:p>
    <w:p>
      <w:pPr>
        <w:bidi w:val="0"/>
        <w:rPr>
          <w:rFonts w:hint="eastAsia" w:ascii="宋体" w:hAnsi="宋体" w:eastAsia="宋体" w:cs="宋体"/>
          <w:color w:val="000000"/>
          <w:szCs w:val="20"/>
          <w:lang w:eastAsia="zh-CN"/>
        </w:rPr>
      </w:pPr>
    </w:p>
    <w:p>
      <w:pPr>
        <w:bidi w:val="0"/>
        <w:rPr>
          <w:rFonts w:hint="eastAsia" w:ascii="宋体" w:hAnsi="宋体" w:eastAsia="宋体" w:cs="宋体"/>
          <w:color w:val="000000"/>
          <w:szCs w:val="20"/>
          <w:lang w:eastAsia="zh-CN"/>
        </w:rPr>
      </w:pPr>
    </w:p>
    <w:sectPr>
      <w:pgSz w:w="11900" w:h="16820"/>
      <w:pgMar w:top="1420" w:right="1780" w:bottom="1420" w:left="17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right="29" w:firstLine="420"/>
      </w:pPr>
      <w:r>
        <w:separator/>
      </w:r>
    </w:p>
  </w:endnote>
  <w:endnote w:type="continuationSeparator" w:id="1">
    <w:p>
      <w:pPr>
        <w:spacing w:line="240" w:lineRule="auto"/>
        <w:ind w:right="29"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right="29" w:firstLine="420"/>
      </w:pPr>
      <w:r>
        <w:separator/>
      </w:r>
    </w:p>
  </w:footnote>
  <w:footnote w:type="continuationSeparator" w:id="1">
    <w:p>
      <w:pPr>
        <w:spacing w:line="240" w:lineRule="auto"/>
        <w:ind w:right="29"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24B948"/>
    <w:multiLevelType w:val="singleLevel"/>
    <w:tmpl w:val="7124B94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lMDJkMWY0NzMwOTMyNjM3YWM1MjE4YWZjMjliZmIifQ=="/>
  </w:docVars>
  <w:rsids>
    <w:rsidRoot w:val="00C12D45"/>
    <w:rsid w:val="000039F7"/>
    <w:rsid w:val="000055D7"/>
    <w:rsid w:val="00014143"/>
    <w:rsid w:val="00015A61"/>
    <w:rsid w:val="000479FE"/>
    <w:rsid w:val="00061637"/>
    <w:rsid w:val="00061B64"/>
    <w:rsid w:val="00066026"/>
    <w:rsid w:val="00093FF1"/>
    <w:rsid w:val="000A3C5B"/>
    <w:rsid w:val="000D0523"/>
    <w:rsid w:val="000D202C"/>
    <w:rsid w:val="000F58F9"/>
    <w:rsid w:val="00126815"/>
    <w:rsid w:val="00136B63"/>
    <w:rsid w:val="001C28BC"/>
    <w:rsid w:val="00214E9B"/>
    <w:rsid w:val="00226FE1"/>
    <w:rsid w:val="00243377"/>
    <w:rsid w:val="002D55F5"/>
    <w:rsid w:val="002E5587"/>
    <w:rsid w:val="00302236"/>
    <w:rsid w:val="0031234E"/>
    <w:rsid w:val="003134D8"/>
    <w:rsid w:val="00316045"/>
    <w:rsid w:val="00317AC8"/>
    <w:rsid w:val="00343026"/>
    <w:rsid w:val="003824B0"/>
    <w:rsid w:val="00386CA8"/>
    <w:rsid w:val="00397F37"/>
    <w:rsid w:val="003A29FD"/>
    <w:rsid w:val="003B376C"/>
    <w:rsid w:val="003C4BC7"/>
    <w:rsid w:val="00414FD2"/>
    <w:rsid w:val="00460F8E"/>
    <w:rsid w:val="00474A73"/>
    <w:rsid w:val="0048015E"/>
    <w:rsid w:val="00494819"/>
    <w:rsid w:val="00496B65"/>
    <w:rsid w:val="004B0191"/>
    <w:rsid w:val="004D2656"/>
    <w:rsid w:val="004D2CD8"/>
    <w:rsid w:val="004E5B25"/>
    <w:rsid w:val="00527F43"/>
    <w:rsid w:val="0053079E"/>
    <w:rsid w:val="00572EF5"/>
    <w:rsid w:val="00574596"/>
    <w:rsid w:val="005A399B"/>
    <w:rsid w:val="005D7F0E"/>
    <w:rsid w:val="0062567D"/>
    <w:rsid w:val="006450A0"/>
    <w:rsid w:val="00675186"/>
    <w:rsid w:val="006A4309"/>
    <w:rsid w:val="006B1474"/>
    <w:rsid w:val="006B6CFD"/>
    <w:rsid w:val="006C166D"/>
    <w:rsid w:val="006F6E70"/>
    <w:rsid w:val="00701484"/>
    <w:rsid w:val="00717B1F"/>
    <w:rsid w:val="007268EE"/>
    <w:rsid w:val="00784A87"/>
    <w:rsid w:val="007C22EE"/>
    <w:rsid w:val="007E30E2"/>
    <w:rsid w:val="007E37CD"/>
    <w:rsid w:val="007E40B6"/>
    <w:rsid w:val="00840F95"/>
    <w:rsid w:val="00860A94"/>
    <w:rsid w:val="00884DC1"/>
    <w:rsid w:val="008855DC"/>
    <w:rsid w:val="0089232D"/>
    <w:rsid w:val="008C3B72"/>
    <w:rsid w:val="008C5BDB"/>
    <w:rsid w:val="009004B3"/>
    <w:rsid w:val="00996E04"/>
    <w:rsid w:val="009B141A"/>
    <w:rsid w:val="009D0252"/>
    <w:rsid w:val="00A40A88"/>
    <w:rsid w:val="00A51F64"/>
    <w:rsid w:val="00A60649"/>
    <w:rsid w:val="00A60B70"/>
    <w:rsid w:val="00A815C4"/>
    <w:rsid w:val="00AA50CA"/>
    <w:rsid w:val="00AB0E39"/>
    <w:rsid w:val="00AE3722"/>
    <w:rsid w:val="00B25A97"/>
    <w:rsid w:val="00B56001"/>
    <w:rsid w:val="00B63DF2"/>
    <w:rsid w:val="00B63E76"/>
    <w:rsid w:val="00B920B9"/>
    <w:rsid w:val="00BC0352"/>
    <w:rsid w:val="00BF1951"/>
    <w:rsid w:val="00C12D45"/>
    <w:rsid w:val="00C15A65"/>
    <w:rsid w:val="00C2793F"/>
    <w:rsid w:val="00C34179"/>
    <w:rsid w:val="00C479CB"/>
    <w:rsid w:val="00C64A52"/>
    <w:rsid w:val="00CA6EF4"/>
    <w:rsid w:val="00CB7B08"/>
    <w:rsid w:val="00CC2FA0"/>
    <w:rsid w:val="00CE2E67"/>
    <w:rsid w:val="00D00274"/>
    <w:rsid w:val="00D67C62"/>
    <w:rsid w:val="00DC447F"/>
    <w:rsid w:val="00DE12C8"/>
    <w:rsid w:val="00E02AB6"/>
    <w:rsid w:val="00E17131"/>
    <w:rsid w:val="00E229A9"/>
    <w:rsid w:val="00E37554"/>
    <w:rsid w:val="00E61613"/>
    <w:rsid w:val="00E62A3B"/>
    <w:rsid w:val="00E74E30"/>
    <w:rsid w:val="00E851F4"/>
    <w:rsid w:val="00EB1596"/>
    <w:rsid w:val="00EB17EC"/>
    <w:rsid w:val="00EC1446"/>
    <w:rsid w:val="00ED3DBD"/>
    <w:rsid w:val="00ED7F16"/>
    <w:rsid w:val="00EE0201"/>
    <w:rsid w:val="00EF2EFF"/>
    <w:rsid w:val="00F20E60"/>
    <w:rsid w:val="00F2238C"/>
    <w:rsid w:val="00F27D49"/>
    <w:rsid w:val="00F44153"/>
    <w:rsid w:val="00F760A5"/>
    <w:rsid w:val="00F94C01"/>
    <w:rsid w:val="00FA637B"/>
    <w:rsid w:val="00FA7D96"/>
    <w:rsid w:val="00FE72D3"/>
    <w:rsid w:val="055F70B7"/>
    <w:rsid w:val="0BD318A9"/>
    <w:rsid w:val="105D2CCC"/>
    <w:rsid w:val="1BAF4A2B"/>
    <w:rsid w:val="1BD461C7"/>
    <w:rsid w:val="1C8B1972"/>
    <w:rsid w:val="1E742688"/>
    <w:rsid w:val="25260286"/>
    <w:rsid w:val="257C3213"/>
    <w:rsid w:val="27CF5ED3"/>
    <w:rsid w:val="2C8B4122"/>
    <w:rsid w:val="2C9C0EB8"/>
    <w:rsid w:val="303F76FD"/>
    <w:rsid w:val="32843C93"/>
    <w:rsid w:val="36AC3225"/>
    <w:rsid w:val="38EC5F48"/>
    <w:rsid w:val="3D5A4A26"/>
    <w:rsid w:val="3DAF0771"/>
    <w:rsid w:val="3F71263C"/>
    <w:rsid w:val="45364C1E"/>
    <w:rsid w:val="471468C5"/>
    <w:rsid w:val="47DE73A4"/>
    <w:rsid w:val="48533F29"/>
    <w:rsid w:val="4B3D01C3"/>
    <w:rsid w:val="4CEE03B5"/>
    <w:rsid w:val="4EA35E0D"/>
    <w:rsid w:val="503527F5"/>
    <w:rsid w:val="5474356A"/>
    <w:rsid w:val="57CB6A53"/>
    <w:rsid w:val="586E4D33"/>
    <w:rsid w:val="5A0A3418"/>
    <w:rsid w:val="5B8A1C64"/>
    <w:rsid w:val="5C4D2499"/>
    <w:rsid w:val="5C6A0E18"/>
    <w:rsid w:val="5FA6259B"/>
    <w:rsid w:val="5FDD7713"/>
    <w:rsid w:val="61A04B46"/>
    <w:rsid w:val="67662C42"/>
    <w:rsid w:val="67890C82"/>
    <w:rsid w:val="68D316AC"/>
    <w:rsid w:val="69D76419"/>
    <w:rsid w:val="6EE7352D"/>
    <w:rsid w:val="6F51062B"/>
    <w:rsid w:val="71B023A6"/>
    <w:rsid w:val="72077720"/>
    <w:rsid w:val="75B024BB"/>
    <w:rsid w:val="75F85754"/>
    <w:rsid w:val="77C279D2"/>
    <w:rsid w:val="781B3D48"/>
    <w:rsid w:val="78F50C83"/>
    <w:rsid w:val="7A901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640" w:lineRule="exact"/>
      <w:ind w:right="29" w:rightChars="14" w:firstLine="562" w:firstLineChars="200"/>
      <w:jc w:val="both"/>
    </w:pPr>
    <w:rPr>
      <w:rFonts w:asciiTheme="minorAscii" w:hAnsiTheme="minorAscii" w:eastAsiaTheme="minorEastAsia" w:cstheme="minorBidi"/>
      <w:kern w:val="2"/>
      <w:sz w:val="21"/>
      <w:szCs w:val="22"/>
      <w:lang w:val="en-US" w:eastAsia="zh-CN" w:bidi="ar-SA"/>
      <w14:ligatures w14:val="standardContextual"/>
    </w:rPr>
  </w:style>
  <w:style w:type="paragraph" w:styleId="2">
    <w:name w:val="heading 1"/>
    <w:basedOn w:val="1"/>
    <w:next w:val="1"/>
    <w:autoRedefine/>
    <w:qFormat/>
    <w:uiPriority w:val="9"/>
    <w:pPr>
      <w:keepNext/>
      <w:keepLines/>
      <w:spacing w:beforeLines="0" w:beforeAutospacing="0" w:afterLines="0" w:afterAutospacing="0" w:line="580" w:lineRule="atLeast"/>
      <w:ind w:left="53" w:leftChars="25" w:right="0" w:rightChars="0" w:firstLine="197" w:firstLineChars="70"/>
      <w:outlineLvl w:val="0"/>
    </w:pPr>
    <w:rPr>
      <w:b/>
      <w:kern w:val="44"/>
      <w:sz w:val="24"/>
    </w:rPr>
  </w:style>
  <w:style w:type="paragraph" w:styleId="3">
    <w:name w:val="heading 2"/>
    <w:basedOn w:val="1"/>
    <w:next w:val="1"/>
    <w:autoRedefine/>
    <w:unhideWhenUsed/>
    <w:qFormat/>
    <w:uiPriority w:val="9"/>
    <w:pPr>
      <w:keepNext/>
      <w:keepLines/>
      <w:spacing w:before="260" w:beforeLines="0" w:beforeAutospacing="0" w:after="260" w:afterLines="0" w:afterAutospacing="0" w:line="280" w:lineRule="atLeast"/>
      <w:ind w:left="162" w:leftChars="77" w:right="0" w:rightChars="0" w:firstLine="0" w:firstLineChars="0"/>
      <w:jc w:val="center"/>
      <w:outlineLvl w:val="1"/>
    </w:pPr>
    <w:rPr>
      <w:rFonts w:ascii="Arial" w:hAnsi="Arial" w:eastAsia="黑体"/>
      <w:b/>
      <w:sz w:val="28"/>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9"/>
    <w:autoRedefine/>
    <w:unhideWhenUsed/>
    <w:qFormat/>
    <w:uiPriority w:val="99"/>
    <w:pPr>
      <w:tabs>
        <w:tab w:val="center" w:pos="4153"/>
        <w:tab w:val="right" w:pos="8306"/>
      </w:tabs>
      <w:snapToGrid w:val="0"/>
      <w:jc w:val="left"/>
    </w:pPr>
    <w:rPr>
      <w:sz w:val="18"/>
      <w:szCs w:val="18"/>
    </w:rPr>
  </w:style>
  <w:style w:type="paragraph" w:styleId="5">
    <w:name w:val="header"/>
    <w:basedOn w:val="1"/>
    <w:link w:val="8"/>
    <w:autoRedefine/>
    <w:unhideWhenUsed/>
    <w:qFormat/>
    <w:uiPriority w:val="99"/>
    <w:pPr>
      <w:tabs>
        <w:tab w:val="center" w:pos="4153"/>
        <w:tab w:val="right" w:pos="8306"/>
      </w:tabs>
      <w:snapToGrid w:val="0"/>
      <w:jc w:val="center"/>
    </w:pPr>
    <w:rPr>
      <w:sz w:val="18"/>
      <w:szCs w:val="18"/>
    </w:rPr>
  </w:style>
  <w:style w:type="character" w:customStyle="1" w:styleId="8">
    <w:name w:val="页眉 字符"/>
    <w:basedOn w:val="7"/>
    <w:link w:val="5"/>
    <w:autoRedefine/>
    <w:qFormat/>
    <w:uiPriority w:val="99"/>
    <w:rPr>
      <w:sz w:val="18"/>
      <w:szCs w:val="18"/>
    </w:rPr>
  </w:style>
  <w:style w:type="character" w:customStyle="1" w:styleId="9">
    <w:name w:val="页脚 字符"/>
    <w:basedOn w:val="7"/>
    <w:link w:val="4"/>
    <w:autoRedefine/>
    <w:qFormat/>
    <w:uiPriority w:val="99"/>
    <w:rPr>
      <w:sz w:val="18"/>
      <w:szCs w:val="18"/>
    </w:r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895</Words>
  <Characters>5104</Characters>
  <Lines>42</Lines>
  <Paragraphs>11</Paragraphs>
  <TotalTime>5</TotalTime>
  <ScaleCrop>false</ScaleCrop>
  <LinksUpToDate>false</LinksUpToDate>
  <CharactersWithSpaces>5988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2023-12-28T02:08:00Z</dcterms:created>
  <dc:creator>Apache POI</dc:creator>
  <cp:lastModifiedBy>WPS_191001866</cp:lastModifiedBy>
  <dcterms:modified xsi:type="dcterms:W3CDTF">2024-01-25T03:12:45Z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A14A08301CC84FC7970D7AF979D33A01</vt:lpwstr>
  </property>
</Properties>
</file>