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pPr>
      <w:r>
        <w:t>202</w:t>
      </w:r>
      <w:r>
        <w:rPr>
          <w:rFonts w:hint="eastAsia"/>
        </w:rPr>
        <w:t>4</w:t>
      </w:r>
      <w:r>
        <w:t>年</w:t>
      </w:r>
      <w:r>
        <w:rPr>
          <w:rFonts w:hint="eastAsia"/>
          <w:lang w:val="en-US" w:eastAsia="zh-CN"/>
        </w:rPr>
        <w:t>阳新县白沙镇综合执法中队</w:t>
      </w:r>
      <w:r>
        <w:t>预算公开情况说明</w:t>
      </w:r>
    </w:p>
    <w:p>
      <w:pPr>
        <w:wordWrap w:val="0"/>
        <w:spacing w:before="380" w:line="580" w:lineRule="atLeast"/>
        <w:ind w:left="400"/>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pPr>
        <w:keepNext w:val="0"/>
        <w:keepLines w:val="0"/>
        <w:pageBreakBefore w:val="0"/>
        <w:widowControl w:val="0"/>
        <w:numPr>
          <w:ilvl w:val="0"/>
          <w:numId w:val="1"/>
        </w:numPr>
        <w:kinsoku/>
        <w:wordWrap w:val="0"/>
        <w:overflowPunct/>
        <w:topLinePunct w:val="0"/>
        <w:autoSpaceDE/>
        <w:autoSpaceDN/>
        <w:bidi w:val="0"/>
        <w:adjustRightInd/>
        <w:snapToGrid/>
        <w:spacing w:before="380" w:line="240" w:lineRule="auto"/>
        <w:ind w:left="403"/>
        <w:jc w:val="left"/>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部门主要职责</w:t>
      </w:r>
    </w:p>
    <w:p>
      <w:pPr>
        <w:keepNext w:val="0"/>
        <w:keepLines w:val="0"/>
        <w:pageBreakBefore w:val="0"/>
        <w:widowControl w:val="0"/>
        <w:numPr>
          <w:ilvl w:val="0"/>
          <w:numId w:val="1"/>
        </w:numPr>
        <w:kinsoku/>
        <w:wordWrap w:val="0"/>
        <w:overflowPunct/>
        <w:topLinePunct w:val="0"/>
        <w:autoSpaceDE/>
        <w:autoSpaceDN/>
        <w:bidi w:val="0"/>
        <w:adjustRightInd/>
        <w:snapToGrid/>
        <w:spacing w:before="380" w:line="240" w:lineRule="auto"/>
        <w:ind w:left="403"/>
        <w:jc w:val="left"/>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机构设置情况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三、预算收支及增减变化情况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四、机关运行经费安排情况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五、一般公共预算“三公”经费及增减变化情况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六、政府采购预算安排情况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七、国有资产占用情况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八、重点项目预算绩效情况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九、其他需要说明的情况</w:t>
      </w:r>
    </w:p>
    <w:p>
      <w:pPr>
        <w:keepNext w:val="0"/>
        <w:keepLines w:val="0"/>
        <w:pageBreakBefore w:val="0"/>
        <w:widowControl w:val="0"/>
        <w:kinsoku/>
        <w:wordWrap w:val="0"/>
        <w:overflowPunct/>
        <w:topLinePunct w:val="0"/>
        <w:autoSpaceDE/>
        <w:autoSpaceDN/>
        <w:bidi w:val="0"/>
        <w:adjustRightInd/>
        <w:snapToGrid/>
        <w:spacing w:before="380" w:line="240" w:lineRule="auto"/>
        <w:ind w:left="403"/>
        <w:jc w:val="left"/>
        <w:textAlignment w:val="baseline"/>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十、专业名词解释 </w:t>
      </w:r>
    </w:p>
    <w:p>
      <w:pPr>
        <w:pStyle w:val="2"/>
        <w:keepNext/>
        <w:keepLines/>
        <w:pageBreakBefore w:val="0"/>
        <w:widowControl w:val="0"/>
        <w:kinsoku/>
        <w:wordWrap/>
        <w:overflowPunct/>
        <w:topLinePunct w:val="0"/>
        <w:autoSpaceDE/>
        <w:autoSpaceDN/>
        <w:bidi w:val="0"/>
        <w:adjustRightInd/>
        <w:snapToGrid/>
        <w:spacing w:after="120"/>
        <w:textAlignment w:val="auto"/>
      </w:pPr>
    </w:p>
    <w:p>
      <w:pPr>
        <w:pStyle w:val="2"/>
        <w:keepNext/>
        <w:keepLines/>
        <w:pageBreakBefore w:val="0"/>
        <w:widowControl w:val="0"/>
        <w:kinsoku/>
        <w:wordWrap/>
        <w:overflowPunct/>
        <w:topLinePunct w:val="0"/>
        <w:autoSpaceDE/>
        <w:autoSpaceDN/>
        <w:bidi w:val="0"/>
        <w:adjustRightInd/>
        <w:snapToGrid/>
        <w:spacing w:after="120"/>
        <w:textAlignment w:val="auto"/>
      </w:pPr>
    </w:p>
    <w:p/>
    <w:p/>
    <w:p/>
    <w:p>
      <w:pPr>
        <w:pStyle w:val="2"/>
        <w:keepNext/>
        <w:keepLines/>
        <w:pageBreakBefore w:val="0"/>
        <w:widowControl w:val="0"/>
        <w:kinsoku/>
        <w:wordWrap/>
        <w:overflowPunct/>
        <w:topLinePunct w:val="0"/>
        <w:autoSpaceDE/>
        <w:autoSpaceDN/>
        <w:bidi w:val="0"/>
        <w:adjustRightInd/>
        <w:snapToGrid/>
        <w:spacing w:after="120"/>
        <w:ind w:left="0" w:leftChars="0" w:firstLine="0" w:firstLineChars="0"/>
        <w:textAlignment w:val="auto"/>
        <w:rPr>
          <w:rFonts w:hint="eastAsia" w:eastAsiaTheme="minorEastAsia"/>
          <w:lang w:eastAsia="zh-CN"/>
        </w:rPr>
      </w:pPr>
    </w:p>
    <w:p>
      <w:pPr>
        <w:rPr>
          <w:rFonts w:hint="eastAsia"/>
          <w:lang w:eastAsia="zh-CN"/>
        </w:rPr>
      </w:pPr>
      <w:bookmarkStart w:id="0" w:name="_GoBack"/>
      <w:bookmarkEnd w:id="0"/>
    </w:p>
    <w:p>
      <w:pPr>
        <w:pStyle w:val="2"/>
        <w:keepNext/>
        <w:keepLines/>
        <w:pageBreakBefore w:val="0"/>
        <w:widowControl w:val="0"/>
        <w:kinsoku/>
        <w:wordWrap/>
        <w:overflowPunct/>
        <w:topLinePunct w:val="0"/>
        <w:autoSpaceDE/>
        <w:autoSpaceDN/>
        <w:bidi w:val="0"/>
        <w:adjustRightInd/>
        <w:snapToGrid/>
        <w:spacing w:after="120"/>
        <w:textAlignment w:val="auto"/>
      </w:pPr>
      <w:r>
        <w:t>一、单位主要职责</w:t>
      </w:r>
    </w:p>
    <w:p>
      <w:pPr>
        <w:wordWrap w:val="0"/>
        <w:spacing w:line="580" w:lineRule="atLeast"/>
        <w:ind w:right="40" w:firstLine="400" w:firstLineChars="200"/>
        <w:textAlignment w:val="baseline"/>
        <w:rPr>
          <w:sz w:val="20"/>
        </w:rPr>
      </w:pPr>
      <w:r>
        <w:rPr>
          <w:rFonts w:ascii="宋体" w:hAnsi="宋体" w:eastAsia="宋体" w:cs="宋体"/>
          <w:color w:val="000000"/>
          <w:sz w:val="20"/>
        </w:rPr>
        <w:t>主要职责是：</w:t>
      </w:r>
    </w:p>
    <w:p>
      <w:pPr>
        <w:wordWrap w:val="0"/>
        <w:spacing w:line="520" w:lineRule="atLeast"/>
        <w:textAlignment w:val="baseline"/>
        <w:rPr>
          <w:rFonts w:hint="eastAsia" w:ascii="宋体" w:hAnsi="宋体" w:eastAsia="宋体" w:cs="宋体"/>
          <w:color w:val="000000"/>
          <w:sz w:val="20"/>
        </w:rPr>
      </w:pPr>
      <w:r>
        <w:rPr>
          <w:rFonts w:hint="eastAsia" w:ascii="宋体" w:hAnsi="宋体" w:eastAsia="宋体" w:cs="宋体"/>
          <w:color w:val="000000"/>
          <w:sz w:val="20"/>
        </w:rPr>
        <w:t>1.宣传、贯彻执行市容环卫管理、园林绿化管理、市政公用事业管理等方面法律、法规、规章和政策；</w:t>
      </w:r>
    </w:p>
    <w:p>
      <w:pPr>
        <w:wordWrap w:val="0"/>
        <w:spacing w:line="520" w:lineRule="atLeast"/>
        <w:textAlignment w:val="baseline"/>
        <w:rPr>
          <w:rFonts w:hint="eastAsia" w:ascii="宋体" w:hAnsi="宋体" w:eastAsia="宋体" w:cs="宋体"/>
          <w:color w:val="000000"/>
          <w:sz w:val="20"/>
        </w:rPr>
      </w:pPr>
      <w:r>
        <w:rPr>
          <w:rFonts w:hint="eastAsia" w:ascii="宋体" w:hAnsi="宋体" w:eastAsia="宋体" w:cs="宋体"/>
          <w:color w:val="000000"/>
          <w:sz w:val="20"/>
        </w:rPr>
        <w:t>2.负责对损坏村庄和集镇的房屋、公共设施、破坏村容村貌和环境卫生的处罚；</w:t>
      </w:r>
    </w:p>
    <w:p>
      <w:pPr>
        <w:wordWrap w:val="0"/>
        <w:spacing w:line="520" w:lineRule="atLeast"/>
        <w:textAlignment w:val="baseline"/>
        <w:rPr>
          <w:rFonts w:hint="eastAsia" w:ascii="宋体" w:hAnsi="宋体" w:eastAsia="宋体" w:cs="宋体"/>
          <w:color w:val="000000"/>
          <w:sz w:val="20"/>
        </w:rPr>
      </w:pPr>
      <w:r>
        <w:rPr>
          <w:rFonts w:hint="eastAsia" w:ascii="宋体" w:hAnsi="宋体" w:eastAsia="宋体" w:cs="宋体"/>
          <w:color w:val="000000"/>
          <w:sz w:val="20"/>
        </w:rPr>
        <w:t>3.负责对在村庄、集镇规划区内的街道、广场、市场和车站等场所修建临时建筑物、构筑物和其他设施的处罚；</w:t>
      </w:r>
    </w:p>
    <w:p>
      <w:pPr>
        <w:wordWrap w:val="0"/>
        <w:spacing w:line="520" w:lineRule="atLeast"/>
        <w:textAlignment w:val="baseline"/>
        <w:rPr>
          <w:rFonts w:hint="eastAsia" w:ascii="宋体" w:hAnsi="宋体" w:eastAsia="宋体" w:cs="宋体"/>
          <w:color w:val="000000"/>
          <w:sz w:val="20"/>
        </w:rPr>
      </w:pPr>
      <w:r>
        <w:rPr>
          <w:rFonts w:hint="eastAsia" w:ascii="宋体" w:hAnsi="宋体" w:eastAsia="宋体" w:cs="宋体"/>
          <w:color w:val="000000"/>
          <w:sz w:val="20"/>
        </w:rPr>
        <w:t>4.对未依法取得乡村规划建设许可证或未按乡村规划建设许可证进行建设贩予以强制拆除；</w:t>
      </w:r>
    </w:p>
    <w:p>
      <w:pPr>
        <w:wordWrap w:val="0"/>
        <w:spacing w:line="520" w:lineRule="atLeast"/>
        <w:textAlignment w:val="baseline"/>
        <w:rPr>
          <w:rFonts w:hint="eastAsia" w:ascii="宋体" w:hAnsi="宋体" w:eastAsia="宋体" w:cs="宋体"/>
          <w:color w:val="000000"/>
          <w:sz w:val="20"/>
        </w:rPr>
      </w:pPr>
      <w:r>
        <w:rPr>
          <w:rFonts w:hint="eastAsia" w:ascii="宋体" w:hAnsi="宋体" w:eastAsia="宋体" w:cs="宋体"/>
          <w:color w:val="000000"/>
          <w:sz w:val="20"/>
        </w:rPr>
        <w:t>5.在镇区内，负责依法依规对园林绿化、市政公用设施、市政道路等实施管理；</w:t>
      </w:r>
    </w:p>
    <w:p>
      <w:pPr>
        <w:wordWrap w:val="0"/>
        <w:spacing w:line="520" w:lineRule="atLeast"/>
        <w:textAlignment w:val="baseline"/>
        <w:rPr>
          <w:rFonts w:hint="eastAsia" w:ascii="宋体" w:hAnsi="宋体" w:eastAsia="宋体" w:cs="宋体"/>
          <w:color w:val="000000"/>
          <w:sz w:val="20"/>
        </w:rPr>
      </w:pPr>
      <w:r>
        <w:rPr>
          <w:rFonts w:hint="eastAsia" w:ascii="宋体" w:hAnsi="宋体" w:eastAsia="宋体" w:cs="宋体"/>
          <w:color w:val="000000"/>
          <w:sz w:val="20"/>
        </w:rPr>
        <w:t>6.协助相关部门做好垃圾分类、清扫、收运日常管理、监督和考核工作；</w:t>
      </w:r>
    </w:p>
    <w:p>
      <w:pPr>
        <w:wordWrap w:val="0"/>
        <w:spacing w:line="520" w:lineRule="atLeast"/>
        <w:textAlignment w:val="baseline"/>
        <w:rPr>
          <w:rFonts w:hint="eastAsia" w:ascii="宋体" w:hAnsi="宋体" w:eastAsia="宋体" w:cs="宋体"/>
          <w:color w:val="000000"/>
          <w:sz w:val="20"/>
        </w:rPr>
      </w:pPr>
      <w:r>
        <w:rPr>
          <w:rFonts w:hint="eastAsia" w:ascii="宋体" w:hAnsi="宋体" w:eastAsia="宋体" w:cs="宋体"/>
          <w:color w:val="000000"/>
          <w:sz w:val="20"/>
        </w:rPr>
        <w:t>7.对辖区道路临时堆放建筑物、乱停乱放车辆进行管理；依法依规征收城市道路临时占用费、挖掘修复费、收取市政公用设施损坏赔偿费等规费；</w:t>
      </w:r>
    </w:p>
    <w:p>
      <w:pPr>
        <w:wordWrap w:val="0"/>
        <w:spacing w:line="520" w:lineRule="atLeast"/>
        <w:textAlignment w:val="baseline"/>
        <w:rPr>
          <w:rFonts w:hint="eastAsia" w:ascii="宋体" w:hAnsi="宋体" w:eastAsia="宋体" w:cs="宋体"/>
          <w:color w:val="000000"/>
          <w:sz w:val="20"/>
        </w:rPr>
      </w:pPr>
      <w:r>
        <w:rPr>
          <w:rFonts w:hint="eastAsia" w:ascii="宋体" w:hAnsi="宋体" w:eastAsia="宋体" w:cs="宋体"/>
          <w:color w:val="000000"/>
          <w:sz w:val="20"/>
        </w:rPr>
        <w:t>8.负责组织市容环境综合整治工作；负责户外广告、景观灯饰、门面招牌、横幅布标等市容方面的审批管理工作。负责乱帖乱画、乱牵乱挂、临街建筑物正立面容貌、出店经营、马路市场、占道洗车、占道修理加工、违规烧烤等整治工作；</w:t>
      </w:r>
    </w:p>
    <w:p>
      <w:pPr>
        <w:wordWrap w:val="0"/>
        <w:spacing w:line="520" w:lineRule="atLeast"/>
        <w:textAlignment w:val="baseline"/>
        <w:rPr>
          <w:rFonts w:hint="eastAsia" w:ascii="宋体" w:hAnsi="宋体" w:eastAsia="宋体" w:cs="宋体"/>
          <w:color w:val="000000"/>
          <w:sz w:val="20"/>
        </w:rPr>
      </w:pPr>
      <w:r>
        <w:rPr>
          <w:rFonts w:hint="eastAsia" w:ascii="宋体" w:hAnsi="宋体" w:eastAsia="宋体" w:cs="宋体"/>
          <w:color w:val="000000"/>
          <w:sz w:val="20"/>
        </w:rPr>
        <w:t>9.负责协助国土、环保、工商、交通、水务、食药监等其他方面与村镇管理密切相关的行政处罚及对应的行政强制；</w:t>
      </w:r>
    </w:p>
    <w:p>
      <w:pPr>
        <w:wordWrap w:val="0"/>
        <w:spacing w:line="520" w:lineRule="atLeast"/>
        <w:textAlignment w:val="baseline"/>
        <w:rPr>
          <w:rFonts w:hint="eastAsia" w:ascii="宋体" w:hAnsi="宋体" w:eastAsia="宋体" w:cs="宋体"/>
          <w:color w:val="000000"/>
          <w:sz w:val="20"/>
        </w:rPr>
      </w:pPr>
      <w:r>
        <w:rPr>
          <w:rFonts w:hint="eastAsia" w:ascii="宋体" w:hAnsi="宋体" w:eastAsia="宋体" w:cs="宋体"/>
          <w:color w:val="000000"/>
          <w:sz w:val="20"/>
        </w:rPr>
        <w:t>10.承办上级交办的其他事项。</w:t>
      </w:r>
    </w:p>
    <w:p>
      <w:pPr>
        <w:pStyle w:val="2"/>
        <w:keepNext/>
        <w:keepLines/>
        <w:pageBreakBefore w:val="0"/>
        <w:widowControl w:val="0"/>
        <w:kinsoku/>
        <w:wordWrap/>
        <w:overflowPunct/>
        <w:topLinePunct w:val="0"/>
        <w:autoSpaceDE/>
        <w:autoSpaceDN/>
        <w:bidi w:val="0"/>
        <w:adjustRightInd/>
        <w:snapToGrid/>
        <w:spacing w:after="120"/>
        <w:textAlignment w:val="auto"/>
      </w:pPr>
      <w:r>
        <w:t>二、机构设置情况</w:t>
      </w:r>
    </w:p>
    <w:p>
      <w:pPr>
        <w:wordWrap w:val="0"/>
        <w:spacing w:line="520" w:lineRule="atLeast"/>
        <w:ind w:left="140" w:firstLine="400" w:firstLineChars="200"/>
        <w:textAlignment w:val="baseline"/>
        <w:rPr>
          <w:rFonts w:hint="default"/>
          <w:sz w:val="20"/>
          <w:szCs w:val="20"/>
          <w:lang w:val="en-US"/>
        </w:rPr>
      </w:pPr>
      <w:r>
        <w:rPr>
          <w:rFonts w:hint="eastAsia" w:ascii="宋体" w:hAnsi="宋体" w:eastAsia="宋体" w:cs="宋体"/>
          <w:color w:val="000000"/>
          <w:sz w:val="20"/>
          <w:szCs w:val="20"/>
          <w:lang w:val="en-US" w:eastAsia="zh-CN"/>
        </w:rPr>
        <w:t>阳新县白沙镇综合执法中队</w:t>
      </w:r>
      <w:r>
        <w:rPr>
          <w:rFonts w:ascii="宋体" w:hAnsi="宋体" w:eastAsia="宋体" w:cs="宋体"/>
          <w:color w:val="000000"/>
          <w:sz w:val="20"/>
          <w:szCs w:val="20"/>
        </w:rPr>
        <w:t>为</w:t>
      </w:r>
      <w:r>
        <w:rPr>
          <w:rFonts w:hint="eastAsia" w:ascii="宋体" w:hAnsi="宋体" w:eastAsia="宋体" w:cs="宋体"/>
          <w:color w:val="000000"/>
          <w:sz w:val="20"/>
          <w:szCs w:val="20"/>
          <w:lang w:val="en-US" w:eastAsia="zh-CN"/>
        </w:rPr>
        <w:t>阳新县白沙镇人民政府</w:t>
      </w:r>
      <w:r>
        <w:rPr>
          <w:rFonts w:ascii="宋体" w:hAnsi="宋体" w:eastAsia="宋体" w:cs="宋体"/>
          <w:color w:val="000000"/>
          <w:sz w:val="20"/>
          <w:szCs w:val="20"/>
        </w:rPr>
        <w:t>部门的二级预算单位，由</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rPr>
        <w:t>个参公管理事业单位及</w:t>
      </w:r>
      <w:r>
        <w:rPr>
          <w:rFonts w:hint="eastAsia" w:ascii="宋体" w:hAnsi="宋体" w:eastAsia="宋体" w:cs="宋体"/>
          <w:color w:val="000000"/>
          <w:sz w:val="20"/>
          <w:szCs w:val="20"/>
          <w:u w:val="none"/>
          <w:lang w:val="en-US" w:eastAsia="zh-CN"/>
        </w:rPr>
        <w:t>1</w:t>
      </w:r>
      <w:r>
        <w:rPr>
          <w:rFonts w:ascii="宋体" w:hAnsi="宋体" w:eastAsia="宋体" w:cs="宋体"/>
          <w:color w:val="000000"/>
          <w:sz w:val="20"/>
          <w:szCs w:val="20"/>
        </w:rPr>
        <w:t>个公益类事业单位合并编制报表</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无内设机构</w:t>
      </w:r>
      <w:r>
        <w:rPr>
          <w:rFonts w:hint="eastAsia" w:ascii="宋体" w:hAnsi="宋体" w:eastAsia="宋体" w:cs="宋体"/>
          <w:color w:val="000000"/>
          <w:sz w:val="20"/>
          <w:szCs w:val="20"/>
          <w:u w:val="none"/>
          <w:lang w:val="en-US" w:eastAsia="zh-CN"/>
        </w:rPr>
        <w:t>。</w:t>
      </w:r>
    </w:p>
    <w:p>
      <w:pPr>
        <w:wordWrap w:val="0"/>
        <w:spacing w:line="260" w:lineRule="exact"/>
        <w:textAlignment w:val="baseline"/>
        <w:rPr>
          <w:sz w:val="20"/>
          <w:szCs w:val="20"/>
        </w:rPr>
      </w:pPr>
    </w:p>
    <w:p>
      <w:pPr>
        <w:wordWrap w:val="0"/>
        <w:spacing w:line="260" w:lineRule="atLeast"/>
        <w:textAlignment w:val="baseline"/>
        <w:rPr>
          <w:lang w:val="en-US" w:eastAsia="zh-CN"/>
        </w:rPr>
      </w:pPr>
      <w:r>
        <w:rPr>
          <w:rFonts w:ascii="宋体" w:hAnsi="宋体" w:eastAsia="宋体" w:cs="宋体"/>
          <w:color w:val="000000"/>
          <w:sz w:val="20"/>
          <w:szCs w:val="20"/>
        </w:rPr>
        <w:t>参照公务员法管理事业单位</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rPr>
        <w:t>个。</w:t>
      </w:r>
    </w:p>
    <w:p>
      <w:pPr>
        <w:wordWrap w:val="0"/>
        <w:spacing w:before="320" w:line="280" w:lineRule="atLeast"/>
        <w:textAlignment w:val="baseline"/>
        <w:rPr>
          <w:rFonts w:hint="default" w:eastAsia="宋体"/>
          <w:sz w:val="20"/>
          <w:szCs w:val="20"/>
          <w:lang w:val="en-US" w:eastAsia="zh-CN"/>
        </w:rPr>
      </w:pPr>
      <w:r>
        <w:rPr>
          <w:rFonts w:ascii="宋体" w:hAnsi="宋体" w:eastAsia="宋体" w:cs="宋体"/>
          <w:color w:val="000000"/>
          <w:sz w:val="20"/>
          <w:szCs w:val="20"/>
        </w:rPr>
        <w:t>公益一类事业单位</w:t>
      </w:r>
      <w:r>
        <w:rPr>
          <w:rFonts w:hint="eastAsia" w:ascii="宋体" w:hAnsi="宋体" w:eastAsia="宋体" w:cs="宋体"/>
          <w:color w:val="000000"/>
          <w:sz w:val="20"/>
          <w:szCs w:val="20"/>
          <w:u w:val="none"/>
          <w:lang w:val="en-US" w:eastAsia="zh-CN"/>
        </w:rPr>
        <w:t>1</w:t>
      </w:r>
      <w:r>
        <w:rPr>
          <w:rFonts w:ascii="宋体" w:hAnsi="宋体" w:eastAsia="宋体" w:cs="宋体"/>
          <w:color w:val="000000"/>
          <w:sz w:val="20"/>
          <w:szCs w:val="20"/>
        </w:rPr>
        <w:t>个。</w:t>
      </w:r>
      <w:r>
        <w:rPr>
          <w:rFonts w:hint="eastAsia" w:ascii="宋体" w:hAnsi="宋体" w:eastAsia="宋体" w:cs="宋体"/>
          <w:color w:val="000000"/>
          <w:sz w:val="20"/>
          <w:szCs w:val="20"/>
          <w:u w:val="none"/>
          <w:lang w:val="en-US" w:eastAsia="zh-CN"/>
        </w:rPr>
        <w:t>阳新县白沙镇综合执法中队。</w:t>
      </w:r>
    </w:p>
    <w:p>
      <w:pPr>
        <w:wordWrap w:val="0"/>
        <w:spacing w:line="280" w:lineRule="exact"/>
        <w:textAlignment w:val="baseline"/>
        <w:rPr>
          <w:sz w:val="20"/>
          <w:szCs w:val="20"/>
        </w:rPr>
      </w:pPr>
    </w:p>
    <w:p>
      <w:pPr>
        <w:wordWrap w:val="0"/>
        <w:spacing w:line="280" w:lineRule="atLeast"/>
        <w:textAlignment w:val="baseline"/>
        <w:rPr>
          <w:sz w:val="19"/>
        </w:rPr>
      </w:pPr>
      <w:r>
        <w:rPr>
          <w:rFonts w:ascii="宋体" w:hAnsi="宋体" w:eastAsia="宋体" w:cs="宋体"/>
          <w:color w:val="000000"/>
          <w:sz w:val="20"/>
          <w:szCs w:val="20"/>
        </w:rPr>
        <w:t>公益二类事业单位</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rPr>
        <w:t>个。</w:t>
      </w:r>
    </w:p>
    <w:p>
      <w:pPr>
        <w:pStyle w:val="2"/>
        <w:keepNext/>
        <w:keepLines/>
        <w:pageBreakBefore w:val="0"/>
        <w:widowControl w:val="0"/>
        <w:kinsoku/>
        <w:wordWrap/>
        <w:overflowPunct/>
        <w:topLinePunct w:val="0"/>
        <w:autoSpaceDE/>
        <w:autoSpaceDN/>
        <w:bidi w:val="0"/>
        <w:adjustRightInd/>
        <w:snapToGrid/>
        <w:spacing w:after="120"/>
        <w:textAlignment w:val="auto"/>
      </w:pPr>
      <w:r>
        <w:t>三、预算收支及增减变化情况</w:t>
      </w:r>
    </w:p>
    <w:p>
      <w:pPr>
        <w:wordWrap w:val="0"/>
        <w:spacing w:line="580" w:lineRule="atLeast"/>
        <w:ind w:left="140" w:right="60" w:firstLine="400"/>
        <w:textAlignment w:val="baseline"/>
        <w:rPr>
          <w:sz w:val="20"/>
        </w:rPr>
      </w:pPr>
      <w:r>
        <w:rPr>
          <w:rFonts w:ascii="宋体" w:hAnsi="宋体" w:eastAsia="宋体" w:cs="宋体"/>
          <w:color w:val="000000"/>
          <w:sz w:val="20"/>
        </w:rPr>
        <w:t>1.预算收入情况：2024年本年收入</w:t>
      </w:r>
      <w:r>
        <w:rPr>
          <w:rFonts w:hint="eastAsia" w:ascii="宋体" w:hAnsi="宋体" w:eastAsia="宋体" w:cs="宋体"/>
          <w:color w:val="000000"/>
          <w:sz w:val="20"/>
        </w:rPr>
        <w:t>预算</w:t>
      </w:r>
      <w:r>
        <w:rPr>
          <w:rFonts w:ascii="宋体" w:hAnsi="宋体" w:eastAsia="宋体" w:cs="宋体"/>
          <w:color w:val="000000"/>
          <w:sz w:val="20"/>
        </w:rPr>
        <w:t>为</w:t>
      </w:r>
      <w:r>
        <w:rPr>
          <w:rFonts w:hint="eastAsia" w:ascii="宋体" w:hAnsi="宋体" w:eastAsia="宋体" w:cs="宋体"/>
          <w:color w:val="000000"/>
          <w:sz w:val="20"/>
          <w:lang w:val="en-US" w:eastAsia="zh-CN"/>
        </w:rPr>
        <w:t>196.80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比上年增加</w:t>
      </w:r>
      <w:r>
        <w:rPr>
          <w:rFonts w:hint="eastAsia" w:ascii="宋体" w:hAnsi="宋体" w:eastAsia="宋体" w:cs="宋体"/>
          <w:color w:val="000000"/>
          <w:sz w:val="20"/>
          <w:lang w:val="en-US" w:eastAsia="zh-CN"/>
        </w:rPr>
        <w:t>6.6</w:t>
      </w:r>
      <w:r>
        <w:rPr>
          <w:rFonts w:ascii="宋体" w:hAnsi="宋体" w:eastAsia="宋体" w:cs="宋体"/>
          <w:color w:val="000000"/>
          <w:sz w:val="20"/>
        </w:rPr>
        <w:t>万元,增加</w:t>
      </w:r>
      <w:r>
        <w:rPr>
          <w:rFonts w:hint="eastAsia" w:ascii="宋体" w:hAnsi="宋体" w:eastAsia="宋体" w:cs="宋体"/>
          <w:color w:val="000000"/>
          <w:sz w:val="20"/>
          <w:lang w:val="en-US" w:eastAsia="zh-CN"/>
        </w:rPr>
        <w:t>3.35</w:t>
      </w:r>
      <w:r>
        <w:rPr>
          <w:rFonts w:hint="eastAsia" w:ascii="宋体" w:hAnsi="宋体" w:eastAsia="宋体" w:cs="宋体"/>
          <w:color w:val="000000"/>
          <w:sz w:val="20"/>
        </w:rPr>
        <w:t>%</w:t>
      </w:r>
      <w:r>
        <w:rPr>
          <w:rFonts w:ascii="宋体" w:hAnsi="宋体" w:eastAsia="宋体" w:cs="宋体"/>
          <w:color w:val="000000"/>
          <w:sz w:val="20"/>
        </w:rPr>
        <w:t>。 其中</w:t>
      </w:r>
      <w:r>
        <w:rPr>
          <w:rFonts w:hint="eastAsia" w:ascii="宋体" w:hAnsi="宋体" w:eastAsia="宋体" w:cs="宋体"/>
          <w:color w:val="000000"/>
          <w:sz w:val="20"/>
        </w:rPr>
        <w:t>，</w:t>
      </w:r>
      <w:r>
        <w:rPr>
          <w:rFonts w:ascii="宋体" w:hAnsi="宋体" w:eastAsia="宋体" w:cs="宋体"/>
          <w:color w:val="000000"/>
          <w:sz w:val="20"/>
        </w:rPr>
        <w:t>经费拨款</w:t>
      </w:r>
      <w:r>
        <w:rPr>
          <w:rFonts w:hint="eastAsia" w:ascii="宋体" w:hAnsi="宋体" w:eastAsia="宋体" w:cs="宋体"/>
          <w:color w:val="000000"/>
          <w:sz w:val="20"/>
          <w:lang w:val="en-US" w:eastAsia="zh-CN"/>
        </w:rPr>
        <w:t>196.80</w:t>
      </w:r>
      <w:r>
        <w:rPr>
          <w:rFonts w:ascii="宋体" w:hAnsi="宋体" w:eastAsia="宋体" w:cs="宋体"/>
          <w:color w:val="000000"/>
          <w:sz w:val="20"/>
        </w:rPr>
        <w:t>万元</w:t>
      </w:r>
      <w:r>
        <w:rPr>
          <w:rFonts w:hint="eastAsia" w:ascii="宋体" w:hAnsi="宋体" w:eastAsia="宋体" w:cs="宋体"/>
          <w:color w:val="000000"/>
          <w:sz w:val="20"/>
        </w:rPr>
        <w:t>，财政专户管理资金收入</w:t>
      </w:r>
      <w:r>
        <w:rPr>
          <w:rFonts w:hint="eastAsia" w:ascii="宋体" w:hAnsi="宋体" w:eastAsia="宋体" w:cs="宋体"/>
          <w:color w:val="000000"/>
          <w:sz w:val="20"/>
          <w:lang w:val="en-US" w:eastAsia="zh-CN"/>
        </w:rPr>
        <w:t>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其他收</w:t>
      </w:r>
      <w:r>
        <w:rPr>
          <w:rFonts w:hint="eastAsia" w:ascii="宋体" w:hAnsi="宋体" w:eastAsia="宋体" w:cs="宋体"/>
          <w:color w:val="000000"/>
          <w:sz w:val="20"/>
          <w:lang w:val="en-US" w:eastAsia="zh-CN"/>
        </w:rPr>
        <w:t>0</w:t>
      </w:r>
      <w:r>
        <w:rPr>
          <w:rFonts w:ascii="宋体" w:hAnsi="宋体" w:eastAsia="宋体" w:cs="宋体"/>
          <w:color w:val="000000"/>
          <w:sz w:val="20"/>
        </w:rPr>
        <w:t>万元。</w:t>
      </w:r>
    </w:p>
    <w:p>
      <w:pPr>
        <w:wordWrap w:val="0"/>
        <w:spacing w:line="580" w:lineRule="atLeast"/>
        <w:ind w:left="140" w:right="20" w:firstLine="400"/>
        <w:textAlignment w:val="baseline"/>
        <w:rPr>
          <w:sz w:val="20"/>
        </w:rPr>
      </w:pPr>
      <w:r>
        <w:rPr>
          <w:rFonts w:ascii="宋体" w:hAnsi="宋体" w:eastAsia="宋体" w:cs="宋体"/>
          <w:color w:val="000000"/>
          <w:sz w:val="20"/>
        </w:rPr>
        <w:t>收入增加原因：</w:t>
      </w:r>
      <w:r>
        <w:rPr>
          <w:rFonts w:hint="eastAsia" w:ascii="宋体" w:hAnsi="宋体" w:eastAsia="宋体" w:cs="宋体"/>
          <w:color w:val="000000"/>
          <w:sz w:val="20"/>
          <w:lang w:val="en-US" w:eastAsia="zh-CN"/>
        </w:rPr>
        <w:t>人员经费增加导致预算收入的增加</w:t>
      </w:r>
      <w:r>
        <w:rPr>
          <w:rFonts w:ascii="宋体" w:hAnsi="宋体" w:eastAsia="宋体" w:cs="宋体"/>
          <w:color w:val="000000"/>
          <w:sz w:val="20"/>
        </w:rPr>
        <w:t>。</w:t>
      </w:r>
    </w:p>
    <w:p>
      <w:pPr>
        <w:wordWrap w:val="0"/>
        <w:spacing w:line="580" w:lineRule="atLeast"/>
        <w:ind w:left="140" w:firstLine="400"/>
        <w:textAlignment w:val="baseline"/>
        <w:rPr>
          <w:rFonts w:hint="eastAsia" w:eastAsia="宋体"/>
          <w:sz w:val="20"/>
          <w:lang w:eastAsia="zh-CN"/>
        </w:rPr>
      </w:pPr>
      <w:r>
        <w:rPr>
          <w:rFonts w:ascii="宋体" w:hAnsi="宋体" w:eastAsia="宋体" w:cs="宋体"/>
          <w:color w:val="000000"/>
          <w:sz w:val="20"/>
        </w:rPr>
        <w:t>2.预算支出情况：2024年本年支出</w:t>
      </w:r>
      <w:r>
        <w:rPr>
          <w:rFonts w:hint="eastAsia" w:ascii="宋体" w:hAnsi="宋体" w:eastAsia="宋体" w:cs="宋体"/>
          <w:color w:val="000000"/>
          <w:sz w:val="20"/>
        </w:rPr>
        <w:t>预算</w:t>
      </w:r>
      <w:r>
        <w:rPr>
          <w:rFonts w:hint="eastAsia" w:ascii="宋体" w:hAnsi="宋体" w:eastAsia="宋体" w:cs="宋体"/>
          <w:color w:val="000000"/>
          <w:sz w:val="20"/>
          <w:lang w:val="en-US" w:eastAsia="zh-CN"/>
        </w:rPr>
        <w:t>196.80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比上年增加</w:t>
      </w:r>
      <w:r>
        <w:rPr>
          <w:rFonts w:hint="eastAsia" w:ascii="宋体" w:hAnsi="宋体" w:eastAsia="宋体" w:cs="宋体"/>
          <w:color w:val="000000"/>
          <w:sz w:val="20"/>
          <w:lang w:val="en-US" w:eastAsia="zh-CN"/>
        </w:rPr>
        <w:t>6.6</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增加</w:t>
      </w:r>
      <w:r>
        <w:rPr>
          <w:rFonts w:hint="eastAsia" w:ascii="宋体" w:hAnsi="宋体" w:eastAsia="宋体" w:cs="宋体"/>
          <w:color w:val="000000"/>
          <w:sz w:val="20"/>
          <w:lang w:val="en-US" w:eastAsia="zh-CN"/>
        </w:rPr>
        <w:t>3.35</w:t>
      </w:r>
      <w:r>
        <w:rPr>
          <w:rFonts w:ascii="宋体" w:hAnsi="宋体" w:eastAsia="宋体" w:cs="宋体"/>
          <w:color w:val="000000"/>
          <w:sz w:val="20"/>
        </w:rPr>
        <w:t>%。其中：基本支出</w:t>
      </w:r>
      <w:r>
        <w:rPr>
          <w:rFonts w:hint="eastAsia" w:ascii="宋体" w:hAnsi="宋体" w:eastAsia="宋体" w:cs="宋体"/>
          <w:color w:val="000000"/>
          <w:sz w:val="20"/>
          <w:lang w:val="en-US" w:eastAsia="zh-CN"/>
        </w:rPr>
        <w:t>97.92</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占总支出的</w:t>
      </w:r>
      <w:r>
        <w:rPr>
          <w:rFonts w:hint="eastAsia" w:ascii="宋体" w:hAnsi="宋体" w:eastAsia="宋体" w:cs="宋体"/>
          <w:color w:val="000000"/>
          <w:sz w:val="20"/>
          <w:lang w:val="en-US" w:eastAsia="zh-CN"/>
        </w:rPr>
        <w:t>49.76</w:t>
      </w:r>
      <w:r>
        <w:rPr>
          <w:rFonts w:ascii="宋体" w:hAnsi="宋体" w:eastAsia="宋体" w:cs="宋体"/>
          <w:color w:val="000000"/>
          <w:sz w:val="20"/>
        </w:rPr>
        <w:t>%</w:t>
      </w:r>
      <w:r>
        <w:rPr>
          <w:rFonts w:hint="eastAsia" w:ascii="宋体" w:hAnsi="宋体" w:eastAsia="宋体" w:cs="宋体"/>
          <w:color w:val="000000"/>
          <w:sz w:val="20"/>
        </w:rPr>
        <w:t>；</w:t>
      </w:r>
      <w:r>
        <w:rPr>
          <w:rFonts w:ascii="宋体" w:hAnsi="宋体" w:eastAsia="宋体" w:cs="宋体"/>
          <w:color w:val="000000"/>
          <w:sz w:val="20"/>
        </w:rPr>
        <w:t>项目支出</w:t>
      </w:r>
      <w:r>
        <w:rPr>
          <w:rFonts w:hint="eastAsia" w:ascii="宋体" w:hAnsi="宋体" w:eastAsia="宋体" w:cs="宋体"/>
          <w:color w:val="000000"/>
          <w:sz w:val="20"/>
          <w:lang w:val="en-US" w:eastAsia="zh-CN"/>
        </w:rPr>
        <w:t>98.88</w:t>
      </w:r>
      <w:r>
        <w:rPr>
          <w:rFonts w:ascii="宋体" w:hAnsi="宋体" w:eastAsia="宋体" w:cs="宋体"/>
          <w:color w:val="000000"/>
          <w:sz w:val="20"/>
        </w:rPr>
        <w:t>万元,占总支出的</w:t>
      </w:r>
      <w:r>
        <w:rPr>
          <w:rFonts w:hint="eastAsia" w:ascii="宋体" w:hAnsi="宋体" w:eastAsia="宋体" w:cs="宋体"/>
          <w:color w:val="000000"/>
          <w:sz w:val="20"/>
          <w:lang w:val="en-US" w:eastAsia="zh-CN"/>
        </w:rPr>
        <w:t>50.24</w:t>
      </w:r>
      <w:r>
        <w:rPr>
          <w:rFonts w:ascii="宋体" w:hAnsi="宋体" w:eastAsia="宋体" w:cs="宋体"/>
          <w:color w:val="000000"/>
          <w:sz w:val="20"/>
        </w:rPr>
        <w:t>%。本年支出构成为：</w:t>
      </w:r>
      <w:r>
        <w:rPr>
          <w:rFonts w:hint="eastAsia" w:ascii="宋体" w:hAnsi="宋体" w:eastAsia="宋体" w:cs="宋体"/>
          <w:color w:val="000000"/>
          <w:sz w:val="20"/>
          <w:lang w:val="en-US" w:eastAsia="zh-CN"/>
        </w:rPr>
        <w:t>城乡社区支出类支出196.80</w:t>
      </w:r>
      <w:r>
        <w:rPr>
          <w:rFonts w:ascii="宋体" w:hAnsi="宋体" w:eastAsia="宋体" w:cs="宋体"/>
          <w:color w:val="000000"/>
          <w:sz w:val="20"/>
        </w:rPr>
        <w:t>万元，占本年支出</w:t>
      </w:r>
      <w:r>
        <w:rPr>
          <w:rFonts w:hint="eastAsia" w:ascii="宋体" w:hAnsi="宋体" w:eastAsia="宋体" w:cs="宋体"/>
          <w:color w:val="000000"/>
          <w:sz w:val="20"/>
          <w:lang w:val="en-US" w:eastAsia="zh-CN"/>
        </w:rPr>
        <w:t>100</w:t>
      </w:r>
      <w:r>
        <w:rPr>
          <w:rFonts w:ascii="宋体" w:hAnsi="宋体" w:eastAsia="宋体" w:cs="宋体"/>
          <w:color w:val="000000"/>
          <w:sz w:val="20"/>
        </w:rPr>
        <w:t>%</w:t>
      </w:r>
      <w:r>
        <w:rPr>
          <w:rFonts w:hint="eastAsia" w:ascii="宋体" w:hAnsi="宋体" w:eastAsia="宋体" w:cs="宋体"/>
          <w:color w:val="000000"/>
          <w:sz w:val="20"/>
          <w:lang w:val="en-US" w:eastAsia="zh-CN"/>
        </w:rPr>
        <w:t>.</w:t>
      </w:r>
    </w:p>
    <w:p>
      <w:pPr>
        <w:wordWrap w:val="0"/>
        <w:spacing w:line="580" w:lineRule="atLeast"/>
        <w:ind w:left="140" w:firstLine="400"/>
        <w:textAlignment w:val="baseline"/>
        <w:rPr>
          <w:sz w:val="20"/>
          <w:highlight w:val="yellow"/>
        </w:rPr>
      </w:pPr>
      <w:r>
        <w:rPr>
          <w:rFonts w:ascii="宋体" w:hAnsi="宋体" w:eastAsia="宋体" w:cs="宋体"/>
          <w:color w:val="000000"/>
          <w:sz w:val="20"/>
        </w:rPr>
        <w:t>支出增加原因：</w:t>
      </w:r>
      <w:r>
        <w:rPr>
          <w:rFonts w:hint="eastAsia" w:ascii="宋体" w:hAnsi="宋体" w:eastAsia="宋体" w:cs="宋体"/>
          <w:color w:val="000000"/>
          <w:sz w:val="20"/>
        </w:rPr>
        <w:t>（</w:t>
      </w:r>
      <w:r>
        <w:rPr>
          <w:rFonts w:ascii="宋体" w:hAnsi="宋体" w:eastAsia="宋体" w:cs="宋体"/>
          <w:color w:val="000000"/>
          <w:sz w:val="20"/>
        </w:rPr>
        <w:t>1</w:t>
      </w:r>
      <w:r>
        <w:rPr>
          <w:rFonts w:hint="eastAsia" w:ascii="宋体" w:hAnsi="宋体" w:eastAsia="宋体" w:cs="宋体"/>
          <w:color w:val="000000"/>
          <w:sz w:val="20"/>
        </w:rPr>
        <w:t>）</w:t>
      </w:r>
      <w:r>
        <w:rPr>
          <w:rFonts w:ascii="宋体" w:hAnsi="宋体" w:eastAsia="宋体" w:cs="宋体"/>
          <w:color w:val="000000"/>
          <w:sz w:val="20"/>
        </w:rPr>
        <w:t>2024年基本支出比上年增加</w:t>
      </w:r>
      <w:r>
        <w:rPr>
          <w:rFonts w:hint="eastAsia" w:ascii="宋体" w:hAnsi="宋体" w:eastAsia="宋体" w:cs="宋体"/>
          <w:color w:val="000000"/>
          <w:sz w:val="20"/>
          <w:lang w:val="en-US" w:eastAsia="zh-CN"/>
        </w:rPr>
        <w:t>8.63</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highlight w:val="none"/>
        </w:rPr>
        <w:t>主要是</w:t>
      </w:r>
      <w:r>
        <w:rPr>
          <w:rFonts w:hint="eastAsia" w:ascii="宋体" w:hAnsi="宋体" w:eastAsia="宋体" w:cs="宋体"/>
          <w:color w:val="000000"/>
          <w:sz w:val="20"/>
          <w:highlight w:val="none"/>
          <w:lang w:val="en-US" w:eastAsia="zh-CN"/>
        </w:rPr>
        <w:t>本年度人员经费增加导致预算支出的增加</w:t>
      </w:r>
      <w:r>
        <w:rPr>
          <w:rFonts w:hint="eastAsia" w:ascii="宋体" w:hAnsi="宋体" w:eastAsia="宋体" w:cs="宋体"/>
          <w:color w:val="000000"/>
          <w:sz w:val="20"/>
          <w:highlight w:val="none"/>
        </w:rPr>
        <w:t>；</w:t>
      </w:r>
    </w:p>
    <w:p>
      <w:pPr>
        <w:wordWrap w:val="0"/>
        <w:spacing w:line="620" w:lineRule="atLeast"/>
        <w:ind w:right="160" w:firstLine="560"/>
        <w:textAlignment w:val="baseline"/>
        <w:rPr>
          <w:rFonts w:hint="default" w:eastAsia="宋体"/>
          <w:sz w:val="20"/>
          <w:highlight w:val="yellow"/>
          <w:lang w:val="en-US" w:eastAsia="zh-CN"/>
        </w:rPr>
      </w:pPr>
      <w:r>
        <w:rPr>
          <w:rFonts w:hint="eastAsia" w:ascii="宋体" w:hAnsi="宋体" w:eastAsia="宋体" w:cs="宋体"/>
          <w:color w:val="000000"/>
          <w:sz w:val="20"/>
        </w:rPr>
        <w:t>（</w:t>
      </w:r>
      <w:r>
        <w:rPr>
          <w:rFonts w:ascii="宋体" w:hAnsi="宋体" w:eastAsia="宋体" w:cs="宋体"/>
          <w:color w:val="000000"/>
          <w:sz w:val="20"/>
        </w:rPr>
        <w:t>2</w:t>
      </w:r>
      <w:r>
        <w:rPr>
          <w:rFonts w:hint="eastAsia" w:ascii="宋体" w:hAnsi="宋体" w:eastAsia="宋体" w:cs="宋体"/>
          <w:color w:val="000000"/>
          <w:sz w:val="20"/>
        </w:rPr>
        <w:t>）</w:t>
      </w:r>
      <w:r>
        <w:rPr>
          <w:rFonts w:ascii="宋体" w:hAnsi="宋体" w:eastAsia="宋体" w:cs="宋体"/>
          <w:color w:val="000000"/>
          <w:sz w:val="20"/>
        </w:rPr>
        <w:t>2024年项目支出比上年</w:t>
      </w:r>
      <w:r>
        <w:rPr>
          <w:rFonts w:hint="eastAsia" w:ascii="宋体" w:hAnsi="宋体" w:eastAsia="宋体" w:cs="宋体"/>
          <w:color w:val="000000"/>
          <w:sz w:val="20"/>
          <w:lang w:val="en-US" w:eastAsia="zh-CN"/>
        </w:rPr>
        <w:t>减少2.03</w:t>
      </w:r>
      <w:r>
        <w:rPr>
          <w:rFonts w:ascii="宋体" w:hAnsi="宋体" w:eastAsia="宋体" w:cs="宋体"/>
          <w:color w:val="000000"/>
          <w:sz w:val="20"/>
        </w:rPr>
        <w:t>万元，</w:t>
      </w:r>
      <w:r>
        <w:rPr>
          <w:rFonts w:ascii="宋体" w:hAnsi="宋体" w:eastAsia="宋体" w:cs="宋体"/>
          <w:color w:val="000000"/>
          <w:sz w:val="20"/>
          <w:highlight w:val="none"/>
        </w:rPr>
        <w:t>主要</w:t>
      </w:r>
      <w:r>
        <w:rPr>
          <w:rFonts w:hint="eastAsia" w:ascii="宋体" w:hAnsi="宋体" w:eastAsia="宋体" w:cs="宋体"/>
          <w:color w:val="000000"/>
          <w:sz w:val="20"/>
          <w:highlight w:val="none"/>
          <w:lang w:val="en-US" w:eastAsia="zh-CN"/>
        </w:rPr>
        <w:t>减少</w:t>
      </w:r>
      <w:r>
        <w:rPr>
          <w:rFonts w:ascii="宋体" w:hAnsi="宋体" w:eastAsia="宋体" w:cs="宋体"/>
          <w:color w:val="000000"/>
          <w:sz w:val="20"/>
          <w:highlight w:val="none"/>
        </w:rPr>
        <w:t>原因为：</w:t>
      </w:r>
      <w:r>
        <w:rPr>
          <w:rFonts w:hint="eastAsia" w:ascii="宋体" w:hAnsi="宋体" w:eastAsia="宋体" w:cs="宋体"/>
          <w:color w:val="000000"/>
          <w:sz w:val="20"/>
          <w:highlight w:val="none"/>
          <w:lang w:val="en-US" w:eastAsia="zh-CN"/>
        </w:rPr>
        <w:t>严格控制支出。</w:t>
      </w:r>
    </w:p>
    <w:p>
      <w:pPr>
        <w:keepNext w:val="0"/>
        <w:keepLines w:val="0"/>
        <w:pageBreakBefore w:val="0"/>
        <w:widowControl w:val="0"/>
        <w:kinsoku/>
        <w:wordWrap w:val="0"/>
        <w:overflowPunct/>
        <w:topLinePunct w:val="0"/>
        <w:autoSpaceDE/>
        <w:autoSpaceDN/>
        <w:bidi w:val="0"/>
        <w:adjustRightInd/>
        <w:snapToGrid/>
        <w:spacing w:line="640" w:lineRule="atLeast"/>
        <w:ind w:left="0" w:leftChars="0" w:firstLine="600" w:firstLineChars="300"/>
        <w:textAlignment w:val="baseline"/>
        <w:rPr>
          <w:rFonts w:hint="eastAsia" w:eastAsia="宋体"/>
          <w:sz w:val="20"/>
          <w:lang w:eastAsia="zh-CN"/>
        </w:rPr>
      </w:pPr>
      <w:r>
        <w:rPr>
          <w:rFonts w:ascii="宋体" w:hAnsi="宋体" w:eastAsia="宋体" w:cs="宋体"/>
          <w:color w:val="000000"/>
          <w:sz w:val="20"/>
        </w:rPr>
        <w:t>3. 2024年无政府性基金预算支出，无举借政府债务的情况，与上年一致</w:t>
      </w:r>
      <w:r>
        <w:rPr>
          <w:rFonts w:hint="eastAsia" w:ascii="宋体" w:hAnsi="宋体" w:eastAsia="宋体" w:cs="宋体"/>
          <w:color w:val="000000"/>
          <w:sz w:val="20"/>
          <w:lang w:eastAsia="zh-CN"/>
        </w:rPr>
        <w:t>。</w:t>
      </w:r>
    </w:p>
    <w:p>
      <w:pPr>
        <w:pStyle w:val="2"/>
        <w:keepNext/>
        <w:keepLines/>
        <w:pageBreakBefore w:val="0"/>
        <w:widowControl w:val="0"/>
        <w:kinsoku/>
        <w:wordWrap/>
        <w:overflowPunct/>
        <w:topLinePunct w:val="0"/>
        <w:autoSpaceDE/>
        <w:autoSpaceDN/>
        <w:bidi w:val="0"/>
        <w:adjustRightInd/>
        <w:snapToGrid/>
        <w:spacing w:after="120"/>
        <w:textAlignment w:val="auto"/>
      </w:pPr>
      <w:r>
        <w:t>四、机关运行经费安排情况</w:t>
      </w:r>
    </w:p>
    <w:p>
      <w:pPr>
        <w:wordWrap w:val="0"/>
        <w:spacing w:line="700" w:lineRule="atLeast"/>
        <w:ind w:left="20" w:right="60" w:firstLine="440"/>
        <w:textAlignment w:val="baseline"/>
        <w:rPr>
          <w:sz w:val="20"/>
        </w:rPr>
      </w:pPr>
      <w:r>
        <w:rPr>
          <w:rFonts w:ascii="宋体" w:hAnsi="宋体" w:eastAsia="宋体" w:cs="宋体"/>
          <w:color w:val="000000"/>
          <w:sz w:val="20"/>
        </w:rPr>
        <w:t>2024年机关运行经费预算总额为</w:t>
      </w:r>
      <w:r>
        <w:rPr>
          <w:rFonts w:hint="eastAsia" w:ascii="宋体" w:hAnsi="宋体" w:eastAsia="宋体" w:cs="宋体"/>
          <w:color w:val="000000"/>
          <w:sz w:val="20"/>
          <w:lang w:val="en-US" w:eastAsia="zh-CN"/>
        </w:rPr>
        <w:t>6.00</w:t>
      </w:r>
      <w:r>
        <w:rPr>
          <w:rFonts w:ascii="宋体" w:hAnsi="宋体" w:eastAsia="宋体" w:cs="宋体"/>
          <w:color w:val="000000"/>
          <w:sz w:val="20"/>
        </w:rPr>
        <w:t>万元，与上年相比</w:t>
      </w:r>
      <w:r>
        <w:rPr>
          <w:rFonts w:hint="eastAsia" w:ascii="宋体" w:hAnsi="宋体" w:eastAsia="宋体" w:cs="宋体"/>
          <w:color w:val="000000"/>
          <w:sz w:val="20"/>
          <w:lang w:val="en-US" w:eastAsia="zh-CN"/>
        </w:rPr>
        <w:t>减少0.56</w:t>
      </w:r>
      <w:r>
        <w:rPr>
          <w:rFonts w:ascii="宋体" w:hAnsi="宋体" w:eastAsia="宋体" w:cs="宋体"/>
          <w:color w:val="000000"/>
          <w:sz w:val="20"/>
        </w:rPr>
        <w:t>万元，</w:t>
      </w:r>
      <w:r>
        <w:rPr>
          <w:rFonts w:hint="eastAsia" w:ascii="宋体" w:hAnsi="宋体" w:eastAsia="宋体" w:cs="宋体"/>
          <w:color w:val="000000"/>
          <w:sz w:val="20"/>
          <w:lang w:val="en-US" w:eastAsia="zh-CN"/>
        </w:rPr>
        <w:t>减少8.54</w:t>
      </w:r>
      <w:r>
        <w:rPr>
          <w:rFonts w:ascii="宋体" w:hAnsi="宋体" w:eastAsia="宋体" w:cs="宋体"/>
          <w:color w:val="000000"/>
          <w:sz w:val="20"/>
        </w:rPr>
        <w:t>%。增加原因主要是：一是</w:t>
      </w:r>
      <w:r>
        <w:rPr>
          <w:rFonts w:hint="eastAsia" w:ascii="宋体" w:hAnsi="宋体" w:eastAsia="宋体" w:cs="宋体"/>
          <w:color w:val="000000"/>
          <w:sz w:val="20"/>
          <w:lang w:val="en-US" w:eastAsia="zh-CN"/>
        </w:rPr>
        <w:t>依据机关运行实际情况</w:t>
      </w:r>
      <w:r>
        <w:rPr>
          <w:rFonts w:ascii="宋体" w:hAnsi="宋体" w:eastAsia="宋体" w:cs="宋体"/>
          <w:color w:val="000000"/>
          <w:sz w:val="20"/>
        </w:rPr>
        <w:t>；二是依据机关运行实际足额编列水电费、维修</w:t>
      </w:r>
      <w:r>
        <w:rPr>
          <w:rFonts w:hint="eastAsia" w:ascii="宋体" w:hAnsi="宋体" w:eastAsia="宋体" w:cs="宋体"/>
          <w:color w:val="000000"/>
          <w:sz w:val="20"/>
        </w:rPr>
        <w:t>（</w:t>
      </w:r>
      <w:r>
        <w:rPr>
          <w:rFonts w:ascii="宋体" w:hAnsi="宋体" w:eastAsia="宋体" w:cs="宋体"/>
          <w:color w:val="000000"/>
          <w:sz w:val="20"/>
        </w:rPr>
        <w:t>护</w:t>
      </w:r>
      <w:r>
        <w:rPr>
          <w:rFonts w:hint="eastAsia" w:ascii="宋体" w:hAnsi="宋体" w:eastAsia="宋体" w:cs="宋体"/>
          <w:color w:val="000000"/>
          <w:sz w:val="20"/>
        </w:rPr>
        <w:t>）</w:t>
      </w:r>
      <w:r>
        <w:rPr>
          <w:rFonts w:ascii="宋体" w:hAnsi="宋体" w:eastAsia="宋体" w:cs="宋体"/>
          <w:color w:val="000000"/>
          <w:sz w:val="20"/>
        </w:rPr>
        <w:t>费、委托业务费等。其中，办公费</w:t>
      </w:r>
      <w:r>
        <w:rPr>
          <w:rFonts w:hint="eastAsia" w:ascii="宋体" w:hAnsi="宋体" w:eastAsia="宋体" w:cs="宋体"/>
          <w:color w:val="000000"/>
          <w:sz w:val="20"/>
          <w:lang w:val="en-US" w:eastAsia="zh-CN"/>
        </w:rPr>
        <w:t>1</w:t>
      </w:r>
      <w:r>
        <w:rPr>
          <w:rFonts w:ascii="宋体" w:hAnsi="宋体" w:eastAsia="宋体" w:cs="宋体"/>
          <w:color w:val="000000"/>
          <w:sz w:val="20"/>
        </w:rPr>
        <w:t>万元，</w:t>
      </w:r>
      <w:r>
        <w:rPr>
          <w:rFonts w:hint="eastAsia" w:ascii="宋体" w:hAnsi="宋体" w:eastAsia="宋体" w:cs="宋体"/>
          <w:color w:val="000000"/>
          <w:sz w:val="20"/>
          <w:lang w:val="en-US" w:eastAsia="zh-CN"/>
        </w:rPr>
        <w:t>印刷费0.5万元，水费0.5万元，电费1万元，</w:t>
      </w:r>
      <w:r>
        <w:rPr>
          <w:rFonts w:ascii="宋体" w:hAnsi="宋体" w:eastAsia="宋体" w:cs="宋体"/>
          <w:color w:val="000000"/>
          <w:sz w:val="20"/>
        </w:rPr>
        <w:t>工会经费</w:t>
      </w:r>
      <w:r>
        <w:rPr>
          <w:rFonts w:hint="eastAsia" w:ascii="宋体" w:hAnsi="宋体" w:eastAsia="宋体" w:cs="宋体"/>
          <w:color w:val="000000"/>
          <w:sz w:val="20"/>
          <w:lang w:val="en-US" w:eastAsia="zh-CN"/>
        </w:rPr>
        <w:t>1.05</w:t>
      </w:r>
      <w:r>
        <w:rPr>
          <w:rFonts w:ascii="宋体" w:hAnsi="宋体" w:eastAsia="宋体" w:cs="宋体"/>
          <w:color w:val="000000"/>
          <w:sz w:val="20"/>
        </w:rPr>
        <w:t>万元, 福利费</w:t>
      </w:r>
      <w:r>
        <w:rPr>
          <w:rFonts w:hint="eastAsia" w:ascii="宋体" w:hAnsi="宋体" w:eastAsia="宋体" w:cs="宋体"/>
          <w:color w:val="000000"/>
          <w:sz w:val="20"/>
          <w:lang w:val="en-US" w:eastAsia="zh-CN"/>
        </w:rPr>
        <w:t>0.56</w:t>
      </w:r>
      <w:r>
        <w:rPr>
          <w:rFonts w:ascii="宋体" w:hAnsi="宋体" w:eastAsia="宋体" w:cs="宋体"/>
          <w:color w:val="000000"/>
          <w:sz w:val="20"/>
        </w:rPr>
        <w:t>万元</w:t>
      </w:r>
      <w:r>
        <w:rPr>
          <w:rFonts w:hint="eastAsia" w:ascii="宋体" w:hAnsi="宋体" w:eastAsia="宋体" w:cs="宋体"/>
          <w:color w:val="000000"/>
          <w:sz w:val="20"/>
        </w:rPr>
        <w:t>，</w:t>
      </w:r>
      <w:r>
        <w:rPr>
          <w:rFonts w:hint="eastAsia" w:ascii="宋体" w:hAnsi="宋体" w:eastAsia="宋体" w:cs="宋体"/>
          <w:color w:val="000000"/>
          <w:sz w:val="20"/>
          <w:lang w:val="en-US" w:eastAsia="zh-CN"/>
        </w:rPr>
        <w:t>其他商品和服务支出1.39</w:t>
      </w:r>
      <w:r>
        <w:rPr>
          <w:rFonts w:ascii="宋体" w:hAnsi="宋体" w:eastAsia="宋体" w:cs="宋体"/>
          <w:color w:val="000000"/>
          <w:sz w:val="20"/>
        </w:rPr>
        <w:t>万元</w:t>
      </w:r>
      <w:r>
        <w:rPr>
          <w:rFonts w:hint="eastAsia" w:ascii="宋体" w:hAnsi="宋体" w:eastAsia="宋体" w:cs="宋体"/>
          <w:color w:val="000000"/>
          <w:sz w:val="20"/>
          <w:lang w:eastAsia="zh-CN"/>
        </w:rPr>
        <w:t>。</w:t>
      </w:r>
    </w:p>
    <w:p>
      <w:pPr>
        <w:pStyle w:val="2"/>
        <w:keepNext/>
        <w:keepLines/>
        <w:pageBreakBefore w:val="0"/>
        <w:widowControl w:val="0"/>
        <w:kinsoku/>
        <w:wordWrap/>
        <w:overflowPunct/>
        <w:topLinePunct w:val="0"/>
        <w:autoSpaceDE/>
        <w:autoSpaceDN/>
        <w:bidi w:val="0"/>
        <w:adjustRightInd/>
        <w:snapToGrid/>
        <w:spacing w:after="120"/>
        <w:textAlignment w:val="auto"/>
      </w:pPr>
      <w:r>
        <w:t>五、一般公共预算“三公”经费及增减变化情况</w:t>
      </w:r>
    </w:p>
    <w:p>
      <w:pPr>
        <w:wordWrap w:val="0"/>
        <w:spacing w:line="540" w:lineRule="atLeast"/>
        <w:ind w:left="20" w:firstLine="400"/>
        <w:textAlignment w:val="baseline"/>
        <w:rPr>
          <w:sz w:val="20"/>
        </w:rPr>
      </w:pPr>
      <w:r>
        <w:rPr>
          <w:rFonts w:ascii="宋体" w:hAnsi="宋体" w:eastAsia="宋体" w:cs="宋体"/>
          <w:color w:val="000000"/>
          <w:sz w:val="20"/>
        </w:rPr>
        <w:t>2024年</w:t>
      </w:r>
      <w:r>
        <w:rPr>
          <w:rFonts w:hint="eastAsia" w:ascii="宋体" w:hAnsi="宋体" w:eastAsia="宋体" w:cs="宋体"/>
          <w:color w:val="000000"/>
          <w:sz w:val="20"/>
        </w:rPr>
        <w:t>“</w:t>
      </w:r>
      <w:r>
        <w:rPr>
          <w:rFonts w:ascii="宋体" w:hAnsi="宋体" w:eastAsia="宋体" w:cs="宋体"/>
          <w:color w:val="000000"/>
          <w:sz w:val="20"/>
        </w:rPr>
        <w:t>三公”经费一般公共预算总额</w:t>
      </w:r>
      <w:r>
        <w:rPr>
          <w:rFonts w:hint="eastAsia" w:ascii="宋体" w:hAnsi="宋体" w:eastAsia="宋体" w:cs="宋体"/>
          <w:color w:val="000000"/>
          <w:sz w:val="20"/>
          <w:lang w:val="en-US" w:eastAsia="zh-CN"/>
        </w:rPr>
        <w:t>0</w:t>
      </w:r>
      <w:r>
        <w:rPr>
          <w:rFonts w:ascii="宋体" w:hAnsi="宋体" w:eastAsia="宋体" w:cs="宋体"/>
          <w:color w:val="000000"/>
          <w:sz w:val="20"/>
        </w:rPr>
        <w:t>万元，比上年预算减少</w:t>
      </w:r>
      <w:r>
        <w:rPr>
          <w:rFonts w:hint="eastAsia" w:ascii="宋体" w:hAnsi="宋体" w:eastAsia="宋体" w:cs="宋体"/>
          <w:color w:val="000000"/>
          <w:sz w:val="20"/>
          <w:lang w:val="en-US" w:eastAsia="zh-CN"/>
        </w:rPr>
        <w:t>0</w:t>
      </w:r>
      <w:r>
        <w:rPr>
          <w:rFonts w:ascii="宋体" w:hAnsi="宋体" w:eastAsia="宋体" w:cs="宋体"/>
          <w:color w:val="000000"/>
          <w:sz w:val="20"/>
        </w:rPr>
        <w:t>万元，减少</w:t>
      </w:r>
      <w:r>
        <w:rPr>
          <w:rFonts w:hint="eastAsia" w:ascii="宋体" w:hAnsi="宋体" w:eastAsia="宋体" w:cs="宋体"/>
          <w:color w:val="000000"/>
          <w:sz w:val="20"/>
          <w:lang w:val="en-US" w:eastAsia="zh-CN"/>
        </w:rPr>
        <w:t>0</w:t>
      </w:r>
      <w:r>
        <w:rPr>
          <w:rFonts w:ascii="宋体" w:hAnsi="宋体" w:eastAsia="宋体" w:cs="宋体"/>
          <w:color w:val="000000"/>
          <w:sz w:val="20"/>
        </w:rPr>
        <w:t>%。主要是</w:t>
      </w:r>
      <w:r>
        <w:rPr>
          <w:rFonts w:hint="eastAsia" w:ascii="宋体" w:hAnsi="宋体" w:eastAsia="宋体" w:cs="宋体"/>
          <w:color w:val="000000"/>
          <w:sz w:val="20"/>
          <w:lang w:val="en-US" w:eastAsia="zh-CN"/>
        </w:rPr>
        <w:t>严控“三公”经费预算</w:t>
      </w:r>
      <w:r>
        <w:rPr>
          <w:rFonts w:ascii="宋体" w:hAnsi="宋体" w:eastAsia="宋体" w:cs="宋体"/>
          <w:color w:val="000000"/>
          <w:sz w:val="20"/>
        </w:rPr>
        <w:t>，分别如下：</w:t>
      </w:r>
    </w:p>
    <w:p>
      <w:pPr>
        <w:wordWrap w:val="0"/>
        <w:spacing w:line="540" w:lineRule="atLeast"/>
        <w:ind w:left="20" w:right="60" w:firstLine="380"/>
        <w:textAlignment w:val="baseline"/>
        <w:rPr>
          <w:sz w:val="20"/>
          <w:szCs w:val="20"/>
        </w:rPr>
      </w:pPr>
      <w:r>
        <w:rPr>
          <w:rFonts w:ascii="宋体" w:hAnsi="宋体" w:eastAsia="宋体" w:cs="宋体"/>
          <w:color w:val="000000"/>
          <w:sz w:val="20"/>
          <w:szCs w:val="20"/>
        </w:rPr>
        <w:t>1.公务接待费</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 比上年减少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 主要原因是</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我单位无公务接待任务安排</w:t>
      </w:r>
      <w:r>
        <w:rPr>
          <w:rFonts w:ascii="宋体" w:hAnsi="宋体" w:eastAsia="宋体" w:cs="宋体"/>
          <w:color w:val="000000"/>
          <w:sz w:val="20"/>
          <w:szCs w:val="20"/>
        </w:rPr>
        <w:t>。</w:t>
      </w:r>
    </w:p>
    <w:p>
      <w:pPr>
        <w:wordWrap w:val="0"/>
        <w:spacing w:line="540" w:lineRule="atLeast"/>
        <w:ind w:left="23" w:right="62" w:firstLine="380"/>
        <w:textAlignment w:val="baseline"/>
        <w:rPr>
          <w:rFonts w:ascii="宋体" w:hAnsi="宋体" w:eastAsia="宋体" w:cs="宋体"/>
          <w:color w:val="000000"/>
          <w:sz w:val="20"/>
          <w:szCs w:val="20"/>
        </w:rPr>
      </w:pPr>
      <w:r>
        <w:rPr>
          <w:rFonts w:ascii="宋体" w:hAnsi="宋体" w:eastAsia="宋体" w:cs="宋体"/>
          <w:color w:val="000000"/>
          <w:sz w:val="20"/>
          <w:szCs w:val="20"/>
        </w:rPr>
        <w:t>2.公务用车购置及运行费</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万元，比上年减少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%。其中</w:t>
      </w:r>
      <w:r>
        <w:rPr>
          <w:rFonts w:hint="eastAsia" w:ascii="宋体" w:hAnsi="宋体" w:eastAsia="宋体" w:cs="宋体"/>
          <w:color w:val="000000"/>
          <w:sz w:val="20"/>
          <w:szCs w:val="20"/>
        </w:rPr>
        <w:t>：</w:t>
      </w:r>
    </w:p>
    <w:p>
      <w:pPr>
        <w:wordWrap w:val="0"/>
        <w:spacing w:line="540" w:lineRule="atLeast"/>
        <w:ind w:left="23" w:right="62" w:firstLine="380"/>
        <w:textAlignment w:val="baseline"/>
        <w:rPr>
          <w:rFonts w:ascii="宋体" w:hAnsi="宋体" w:eastAsia="宋体" w:cs="宋体"/>
          <w:color w:val="000000"/>
          <w:sz w:val="20"/>
          <w:szCs w:val="20"/>
        </w:rPr>
      </w:pPr>
      <w:r>
        <w:rPr>
          <w:rFonts w:ascii="宋体" w:hAnsi="宋体" w:eastAsia="宋体" w:cs="宋体"/>
          <w:color w:val="000000"/>
          <w:sz w:val="20"/>
          <w:szCs w:val="20"/>
        </w:rPr>
        <w:t>公务用车购置费</w:t>
      </w:r>
      <w:r>
        <w:rPr>
          <w:rFonts w:hint="eastAsia" w:ascii="宋体" w:hAnsi="宋体" w:eastAsia="宋体" w:cs="宋体"/>
          <w:color w:val="000000"/>
          <w:sz w:val="20"/>
          <w:szCs w:val="20"/>
        </w:rPr>
        <w:t>0</w:t>
      </w:r>
      <w:r>
        <w:rPr>
          <w:rFonts w:ascii="宋体" w:hAnsi="宋体" w:eastAsia="宋体" w:cs="宋体"/>
          <w:color w:val="000000"/>
          <w:sz w:val="20"/>
          <w:szCs w:val="20"/>
        </w:rPr>
        <w:t>元，与上年持平</w:t>
      </w:r>
      <w:r>
        <w:rPr>
          <w:rFonts w:hint="eastAsia" w:ascii="宋体" w:hAnsi="宋体" w:eastAsia="宋体" w:cs="宋体"/>
          <w:color w:val="000000"/>
          <w:sz w:val="20"/>
          <w:szCs w:val="20"/>
        </w:rPr>
        <w:t>，主要原因是</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无公务用车购置计划</w:t>
      </w:r>
      <w:r>
        <w:rPr>
          <w:rFonts w:ascii="宋体" w:hAnsi="宋体" w:eastAsia="宋体" w:cs="宋体"/>
          <w:color w:val="000000"/>
          <w:sz w:val="20"/>
          <w:szCs w:val="20"/>
        </w:rPr>
        <w:t xml:space="preserve">； </w:t>
      </w:r>
    </w:p>
    <w:p>
      <w:pPr>
        <w:wordWrap w:val="0"/>
        <w:spacing w:line="540" w:lineRule="atLeast"/>
        <w:ind w:left="23" w:right="62" w:firstLine="380"/>
        <w:textAlignment w:val="baseline"/>
        <w:rPr>
          <w:sz w:val="20"/>
          <w:szCs w:val="20"/>
        </w:rPr>
      </w:pPr>
      <w:r>
        <w:rPr>
          <w:rFonts w:ascii="宋体" w:hAnsi="宋体" w:eastAsia="宋体" w:cs="宋体"/>
          <w:color w:val="000000"/>
          <w:sz w:val="20"/>
          <w:szCs w:val="20"/>
        </w:rPr>
        <w:t>公务用车</w:t>
      </w:r>
      <w:r>
        <w:rPr>
          <w:rFonts w:hint="eastAsia" w:ascii="宋体" w:hAnsi="宋体" w:eastAsia="宋体" w:cs="宋体"/>
          <w:color w:val="000000"/>
          <w:sz w:val="20"/>
          <w:szCs w:val="20"/>
        </w:rPr>
        <w:t>运行</w:t>
      </w:r>
      <w:r>
        <w:rPr>
          <w:rFonts w:ascii="宋体" w:hAnsi="宋体" w:eastAsia="宋体" w:cs="宋体"/>
          <w:color w:val="000000"/>
          <w:sz w:val="20"/>
          <w:szCs w:val="20"/>
        </w:rPr>
        <w:t>费</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万元，比上年减少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 主要原因是</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我单位无公务用车</w:t>
      </w:r>
      <w:r>
        <w:rPr>
          <w:rFonts w:ascii="宋体" w:hAnsi="宋体" w:eastAsia="宋体" w:cs="宋体"/>
          <w:color w:val="000000"/>
          <w:sz w:val="20"/>
          <w:szCs w:val="20"/>
        </w:rPr>
        <w:t>。</w:t>
      </w:r>
    </w:p>
    <w:p>
      <w:pPr>
        <w:wordWrap w:val="0"/>
        <w:spacing w:line="700" w:lineRule="atLeast"/>
        <w:ind w:left="20" w:right="80" w:firstLine="400"/>
        <w:textAlignment w:val="baseline"/>
      </w:pPr>
      <w:r>
        <w:rPr>
          <w:rFonts w:ascii="宋体" w:hAnsi="宋体" w:eastAsia="宋体" w:cs="宋体"/>
          <w:color w:val="000000"/>
          <w:sz w:val="20"/>
          <w:szCs w:val="20"/>
        </w:rPr>
        <w:t>3.</w:t>
      </w:r>
      <w:r>
        <w:rPr>
          <w:rFonts w:hint="eastAsia" w:ascii="宋体" w:hAnsi="宋体" w:eastAsia="宋体" w:cs="宋体"/>
          <w:color w:val="000000"/>
          <w:sz w:val="20"/>
          <w:szCs w:val="20"/>
        </w:rPr>
        <w:t xml:space="preserve"> 因公出国（境）</w:t>
      </w:r>
      <w:r>
        <w:rPr>
          <w:rFonts w:ascii="宋体" w:hAnsi="宋体" w:eastAsia="宋体" w:cs="宋体"/>
          <w:color w:val="000000"/>
          <w:sz w:val="20"/>
          <w:szCs w:val="20"/>
        </w:rPr>
        <w:t>费</w:t>
      </w:r>
      <w:r>
        <w:rPr>
          <w:rFonts w:hint="eastAsia" w:ascii="宋体" w:hAnsi="宋体" w:eastAsia="宋体" w:cs="宋体"/>
          <w:color w:val="000000"/>
          <w:sz w:val="20"/>
          <w:szCs w:val="20"/>
        </w:rPr>
        <w:t>0</w:t>
      </w:r>
      <w:r>
        <w:rPr>
          <w:rFonts w:ascii="宋体" w:hAnsi="宋体" w:eastAsia="宋体" w:cs="宋体"/>
          <w:color w:val="000000"/>
          <w:sz w:val="20"/>
          <w:szCs w:val="20"/>
        </w:rPr>
        <w:t>万元，与上年持平。主要</w:t>
      </w:r>
      <w:r>
        <w:rPr>
          <w:rFonts w:hint="eastAsia" w:ascii="宋体" w:hAnsi="宋体" w:eastAsia="宋体" w:cs="宋体"/>
          <w:color w:val="000000"/>
          <w:sz w:val="20"/>
          <w:szCs w:val="20"/>
          <w:lang w:val="en-US" w:eastAsia="zh-CN"/>
        </w:rPr>
        <w:t>原因</w:t>
      </w:r>
      <w:r>
        <w:rPr>
          <w:rFonts w:ascii="宋体" w:hAnsi="宋体" w:eastAsia="宋体" w:cs="宋体"/>
          <w:color w:val="000000"/>
          <w:sz w:val="20"/>
          <w:szCs w:val="20"/>
        </w:rPr>
        <w:t>是</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无因公出国（境）</w:t>
      </w:r>
      <w:r>
        <w:rPr>
          <w:rFonts w:hint="eastAsia" w:ascii="宋体" w:hAnsi="宋体" w:eastAsia="宋体" w:cs="宋体"/>
          <w:color w:val="000000"/>
          <w:sz w:val="20"/>
          <w:szCs w:val="20"/>
          <w:lang w:val="en-US" w:eastAsia="zh-CN"/>
        </w:rPr>
        <w:t>任务安排</w:t>
      </w:r>
      <w:r>
        <w:rPr>
          <w:rFonts w:ascii="宋体" w:hAnsi="宋体" w:eastAsia="宋体" w:cs="宋体"/>
          <w:color w:val="000000"/>
          <w:sz w:val="20"/>
          <w:szCs w:val="20"/>
        </w:rPr>
        <w:t>。</w:t>
      </w:r>
    </w:p>
    <w:p>
      <w:pPr>
        <w:pStyle w:val="2"/>
        <w:keepNext/>
        <w:keepLines/>
        <w:pageBreakBefore w:val="0"/>
        <w:widowControl w:val="0"/>
        <w:kinsoku/>
        <w:wordWrap/>
        <w:overflowPunct/>
        <w:topLinePunct w:val="0"/>
        <w:autoSpaceDE/>
        <w:autoSpaceDN/>
        <w:bidi w:val="0"/>
        <w:adjustRightInd/>
        <w:snapToGrid/>
        <w:spacing w:after="120"/>
        <w:textAlignment w:val="auto"/>
      </w:pPr>
      <w:r>
        <w:t>六、政府采购预算安排情况</w:t>
      </w:r>
    </w:p>
    <w:p>
      <w:pPr>
        <w:wordWrap w:val="0"/>
        <w:spacing w:line="500" w:lineRule="atLeast"/>
        <w:ind w:left="20" w:firstLine="420"/>
        <w:textAlignment w:val="baseline"/>
        <w:rPr>
          <w:rFonts w:hint="default" w:ascii="宋体" w:hAnsi="宋体" w:eastAsia="宋体" w:cs="宋体"/>
          <w:color w:val="000000"/>
          <w:sz w:val="20"/>
          <w:highlight w:val="none"/>
          <w:lang w:val="en-US" w:eastAsia="zh-CN"/>
        </w:rPr>
      </w:pPr>
      <w:r>
        <w:rPr>
          <w:rFonts w:ascii="宋体" w:hAnsi="宋体" w:eastAsia="宋体" w:cs="宋体"/>
          <w:color w:val="000000"/>
          <w:sz w:val="20"/>
          <w:highlight w:val="none"/>
        </w:rPr>
        <w:t>根据《湖北省政府集中采购目录及标准</w:t>
      </w:r>
      <w:r>
        <w:rPr>
          <w:rFonts w:hint="eastAsia" w:ascii="宋体" w:hAnsi="宋体" w:eastAsia="宋体" w:cs="宋体"/>
          <w:color w:val="000000"/>
          <w:sz w:val="20"/>
          <w:highlight w:val="none"/>
        </w:rPr>
        <w:t>（</w:t>
      </w:r>
      <w:r>
        <w:rPr>
          <w:rFonts w:ascii="宋体" w:hAnsi="宋体" w:eastAsia="宋体" w:cs="宋体"/>
          <w:color w:val="000000"/>
          <w:sz w:val="20"/>
          <w:highlight w:val="none"/>
        </w:rPr>
        <w:t>2021年</w:t>
      </w:r>
      <w:r>
        <w:rPr>
          <w:rFonts w:hint="eastAsia" w:ascii="宋体" w:hAnsi="宋体" w:eastAsia="宋体" w:cs="宋体"/>
          <w:color w:val="000000"/>
          <w:sz w:val="20"/>
          <w:highlight w:val="none"/>
        </w:rPr>
        <w:t>）》</w:t>
      </w:r>
      <w:r>
        <w:rPr>
          <w:rFonts w:ascii="宋体" w:hAnsi="宋体" w:eastAsia="宋体" w:cs="宋体"/>
          <w:color w:val="000000"/>
          <w:sz w:val="20"/>
          <w:highlight w:val="none"/>
        </w:rPr>
        <w:t>要求，2024 年编制政府采购预算</w:t>
      </w:r>
      <w:r>
        <w:rPr>
          <w:rFonts w:hint="eastAsia" w:ascii="宋体" w:hAnsi="宋体" w:eastAsia="宋体" w:cs="宋体"/>
          <w:color w:val="000000"/>
          <w:sz w:val="20"/>
          <w:highlight w:val="none"/>
          <w:lang w:val="en-US" w:eastAsia="zh-CN"/>
        </w:rPr>
        <w:t>0</w:t>
      </w:r>
      <w:r>
        <w:rPr>
          <w:rFonts w:ascii="宋体" w:hAnsi="宋体" w:eastAsia="宋体" w:cs="宋体"/>
          <w:color w:val="000000"/>
          <w:sz w:val="20"/>
          <w:highlight w:val="none"/>
        </w:rPr>
        <w:t>万元</w:t>
      </w:r>
      <w:r>
        <w:rPr>
          <w:rFonts w:hint="eastAsia" w:ascii="宋体" w:hAnsi="宋体" w:eastAsia="宋体" w:cs="宋体"/>
          <w:color w:val="000000"/>
          <w:sz w:val="20"/>
          <w:highlight w:val="none"/>
        </w:rPr>
        <w:t>，</w:t>
      </w:r>
      <w:r>
        <w:rPr>
          <w:rFonts w:ascii="宋体" w:hAnsi="宋体" w:eastAsia="宋体" w:cs="宋体"/>
          <w:color w:val="000000"/>
          <w:sz w:val="20"/>
          <w:highlight w:val="none"/>
        </w:rPr>
        <w:t>比上年度</w:t>
      </w:r>
      <w:r>
        <w:rPr>
          <w:rFonts w:hint="eastAsia" w:ascii="宋体" w:hAnsi="宋体" w:eastAsia="宋体" w:cs="宋体"/>
          <w:color w:val="000000"/>
          <w:sz w:val="20"/>
          <w:highlight w:val="none"/>
          <w:lang w:val="en-US" w:eastAsia="zh-CN"/>
        </w:rPr>
        <w:t>减少3.3</w:t>
      </w:r>
      <w:r>
        <w:rPr>
          <w:rFonts w:ascii="宋体" w:hAnsi="宋体" w:eastAsia="宋体" w:cs="宋体"/>
          <w:color w:val="000000"/>
          <w:sz w:val="20"/>
          <w:highlight w:val="none"/>
        </w:rPr>
        <w:t>万元</w:t>
      </w:r>
      <w:r>
        <w:rPr>
          <w:rFonts w:hint="eastAsia" w:ascii="宋体" w:hAnsi="宋体" w:eastAsia="宋体" w:cs="宋体"/>
          <w:color w:val="000000"/>
          <w:sz w:val="20"/>
          <w:highlight w:val="none"/>
        </w:rPr>
        <w:t>，</w:t>
      </w:r>
      <w:r>
        <w:rPr>
          <w:rFonts w:hint="eastAsia" w:ascii="宋体" w:hAnsi="宋体" w:eastAsia="宋体" w:cs="宋体"/>
          <w:color w:val="000000"/>
          <w:sz w:val="20"/>
          <w:highlight w:val="none"/>
          <w:lang w:val="en-US" w:eastAsia="zh-CN"/>
        </w:rPr>
        <w:t>减少了100</w:t>
      </w:r>
      <w:r>
        <w:rPr>
          <w:rFonts w:ascii="宋体" w:hAnsi="宋体" w:eastAsia="宋体" w:cs="宋体"/>
          <w:color w:val="000000"/>
          <w:sz w:val="20"/>
          <w:highlight w:val="none"/>
        </w:rPr>
        <w:t>%。</w:t>
      </w:r>
      <w:r>
        <w:rPr>
          <w:rFonts w:hint="eastAsia" w:ascii="宋体" w:hAnsi="宋体" w:eastAsia="宋体" w:cs="宋体"/>
          <w:color w:val="000000"/>
          <w:sz w:val="20"/>
          <w:highlight w:val="none"/>
          <w:lang w:val="en-US" w:eastAsia="zh-CN"/>
        </w:rPr>
        <w:t>减少</w:t>
      </w:r>
      <w:r>
        <w:rPr>
          <w:rFonts w:ascii="宋体" w:hAnsi="宋体" w:eastAsia="宋体" w:cs="宋体"/>
          <w:color w:val="000000"/>
          <w:sz w:val="20"/>
          <w:highlight w:val="none"/>
        </w:rPr>
        <w:t>的主要原因：</w:t>
      </w:r>
      <w:r>
        <w:rPr>
          <w:rFonts w:hint="eastAsia" w:ascii="宋体" w:hAnsi="宋体" w:eastAsia="宋体" w:cs="宋体"/>
          <w:color w:val="000000"/>
          <w:sz w:val="20"/>
          <w:highlight w:val="none"/>
          <w:lang w:val="en-US" w:eastAsia="zh-CN"/>
        </w:rPr>
        <w:t>严格控制支出，减少预算。</w:t>
      </w:r>
    </w:p>
    <w:p>
      <w:pPr>
        <w:pStyle w:val="2"/>
        <w:keepNext/>
        <w:keepLines/>
        <w:pageBreakBefore w:val="0"/>
        <w:widowControl w:val="0"/>
        <w:kinsoku/>
        <w:wordWrap/>
        <w:overflowPunct/>
        <w:topLinePunct w:val="0"/>
        <w:autoSpaceDE/>
        <w:autoSpaceDN/>
        <w:bidi w:val="0"/>
        <w:adjustRightInd/>
        <w:snapToGrid/>
        <w:spacing w:after="120"/>
        <w:textAlignment w:val="auto"/>
      </w:pPr>
      <w:r>
        <w:t>七、国有资产占用情况</w:t>
      </w:r>
    </w:p>
    <w:p>
      <w:pPr>
        <w:spacing w:line="540" w:lineRule="atLeast"/>
        <w:ind w:left="23" w:right="62" w:firstLine="380"/>
        <w:textAlignment w:val="baseline"/>
        <w:rPr>
          <w:sz w:val="20"/>
          <w:highlight w:val="none"/>
        </w:rPr>
      </w:pPr>
      <w:r>
        <w:rPr>
          <w:rFonts w:ascii="宋体" w:hAnsi="宋体" w:eastAsia="宋体" w:cs="宋体"/>
          <w:color w:val="000000"/>
          <w:sz w:val="20"/>
          <w:highlight w:val="none"/>
        </w:rPr>
        <w:t>2024年占有房屋面积</w:t>
      </w:r>
      <w:r>
        <w:rPr>
          <w:rFonts w:hint="eastAsia" w:ascii="宋体" w:hAnsi="宋体" w:eastAsia="宋体" w:cs="宋体"/>
          <w:color w:val="000000"/>
          <w:sz w:val="20"/>
          <w:highlight w:val="none"/>
          <w:lang w:val="en-US" w:eastAsia="zh-CN"/>
        </w:rPr>
        <w:t>50</w:t>
      </w:r>
      <w:r>
        <w:rPr>
          <w:rFonts w:ascii="宋体" w:hAnsi="宋体" w:eastAsia="宋体" w:cs="宋体"/>
          <w:color w:val="000000"/>
          <w:sz w:val="20"/>
          <w:highlight w:val="none"/>
        </w:rPr>
        <w:t>平方米，大型专用设备数量为</w:t>
      </w:r>
      <w:r>
        <w:rPr>
          <w:rFonts w:hint="eastAsia" w:ascii="宋体" w:hAnsi="宋体" w:eastAsia="宋体" w:cs="宋体"/>
          <w:color w:val="000000"/>
          <w:sz w:val="20"/>
          <w:highlight w:val="none"/>
          <w:lang w:val="en-US" w:eastAsia="zh-CN"/>
        </w:rPr>
        <w:t>0</w:t>
      </w:r>
      <w:r>
        <w:rPr>
          <w:rFonts w:ascii="宋体" w:hAnsi="宋体" w:eastAsia="宋体" w:cs="宋体"/>
          <w:color w:val="000000"/>
          <w:sz w:val="20"/>
          <w:highlight w:val="none"/>
        </w:rPr>
        <w:t>，现有公务用车</w:t>
      </w:r>
      <w:r>
        <w:rPr>
          <w:rFonts w:ascii="宋体" w:hAnsi="宋体" w:eastAsia="宋体" w:cs="宋体"/>
          <w:color w:val="000000"/>
          <w:sz w:val="20"/>
          <w:highlight w:val="none"/>
          <w:u w:val="single"/>
        </w:rPr>
        <w:t xml:space="preserve">                  </w:t>
      </w:r>
      <w:r>
        <w:rPr>
          <w:rFonts w:hint="eastAsia" w:ascii="宋体" w:hAnsi="宋体" w:eastAsia="宋体" w:cs="宋体"/>
          <w:color w:val="000000"/>
          <w:sz w:val="20"/>
          <w:highlight w:val="none"/>
          <w:u w:val="none"/>
          <w:lang w:val="en-US" w:eastAsia="zh-CN"/>
        </w:rPr>
        <w:t>1</w:t>
      </w:r>
      <w:r>
        <w:rPr>
          <w:rFonts w:ascii="宋体" w:hAnsi="宋体" w:eastAsia="宋体" w:cs="宋体"/>
          <w:color w:val="000000"/>
          <w:sz w:val="20"/>
          <w:highlight w:val="none"/>
        </w:rPr>
        <w:t>辆。</w:t>
      </w:r>
    </w:p>
    <w:p>
      <w:pPr>
        <w:spacing w:line="540" w:lineRule="atLeast"/>
        <w:ind w:left="23" w:right="62" w:firstLine="380"/>
        <w:textAlignment w:val="baseline"/>
        <w:rPr>
          <w:rFonts w:hint="default"/>
          <w:sz w:val="20"/>
          <w:szCs w:val="20"/>
          <w:highlight w:val="none"/>
          <w:lang w:val="en-US" w:eastAsia="zh-CN"/>
        </w:rPr>
      </w:pPr>
      <w:r>
        <w:rPr>
          <w:sz w:val="20"/>
          <w:szCs w:val="20"/>
          <w:highlight w:val="none"/>
        </w:rPr>
        <w:t>土地、房屋及构筑物</w:t>
      </w:r>
      <w:r>
        <w:rPr>
          <w:rFonts w:hint="eastAsia"/>
          <w:sz w:val="20"/>
          <w:szCs w:val="20"/>
          <w:highlight w:val="none"/>
        </w:rPr>
        <w:t>：</w:t>
      </w:r>
      <w:r>
        <w:rPr>
          <w:rFonts w:hint="eastAsia"/>
          <w:sz w:val="20"/>
          <w:szCs w:val="20"/>
          <w:highlight w:val="none"/>
          <w:lang w:val="en-US" w:eastAsia="zh-CN"/>
        </w:rPr>
        <w:t>1010平方，价值15..10万元；</w:t>
      </w:r>
    </w:p>
    <w:p>
      <w:pPr>
        <w:spacing w:line="540" w:lineRule="atLeast"/>
        <w:ind w:left="23" w:right="62" w:firstLine="380"/>
        <w:textAlignment w:val="baseline"/>
        <w:rPr>
          <w:rFonts w:hint="eastAsia" w:ascii="宋体" w:hAnsi="宋体" w:cs="宋体" w:eastAsiaTheme="minorEastAsia"/>
          <w:color w:val="000000"/>
          <w:sz w:val="20"/>
          <w:szCs w:val="20"/>
          <w:highlight w:val="none"/>
          <w:lang w:val="en-US" w:eastAsia="zh-CN"/>
        </w:rPr>
      </w:pPr>
      <w:r>
        <w:rPr>
          <w:sz w:val="20"/>
          <w:szCs w:val="20"/>
          <w:highlight w:val="none"/>
        </w:rPr>
        <w:t>通用设备</w:t>
      </w:r>
      <w:r>
        <w:rPr>
          <w:rFonts w:hint="eastAsia"/>
          <w:sz w:val="20"/>
          <w:szCs w:val="20"/>
          <w:highlight w:val="none"/>
        </w:rPr>
        <w:t>：通用设备</w:t>
      </w:r>
      <w:r>
        <w:rPr>
          <w:rFonts w:hint="eastAsia"/>
          <w:sz w:val="20"/>
          <w:szCs w:val="20"/>
          <w:highlight w:val="none"/>
          <w:lang w:val="en-US" w:eastAsia="zh-CN"/>
        </w:rPr>
        <w:t>50</w:t>
      </w:r>
      <w:r>
        <w:rPr>
          <w:rFonts w:hint="eastAsia"/>
          <w:sz w:val="20"/>
          <w:szCs w:val="20"/>
          <w:highlight w:val="none"/>
        </w:rPr>
        <w:t>（台/件），价值</w:t>
      </w:r>
      <w:r>
        <w:rPr>
          <w:rFonts w:hint="eastAsia"/>
          <w:sz w:val="20"/>
          <w:szCs w:val="20"/>
          <w:highlight w:val="none"/>
          <w:lang w:val="en-US" w:eastAsia="zh-CN"/>
        </w:rPr>
        <w:t>13..85</w:t>
      </w:r>
      <w:r>
        <w:rPr>
          <w:rFonts w:hint="eastAsia"/>
          <w:sz w:val="20"/>
          <w:szCs w:val="20"/>
          <w:highlight w:val="none"/>
        </w:rPr>
        <w:t xml:space="preserve"> 万元</w:t>
      </w:r>
      <w:r>
        <w:rPr>
          <w:rFonts w:hint="eastAsia"/>
          <w:sz w:val="20"/>
          <w:szCs w:val="20"/>
          <w:highlight w:val="none"/>
          <w:lang w:eastAsia="zh-CN"/>
        </w:rPr>
        <w:t>；</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专用设备</w:t>
      </w:r>
      <w:r>
        <w:rPr>
          <w:rFonts w:hint="eastAsia"/>
          <w:sz w:val="20"/>
          <w:szCs w:val="20"/>
          <w:highlight w:val="none"/>
        </w:rPr>
        <w:t>：</w:t>
      </w:r>
      <w:r>
        <w:rPr>
          <w:rFonts w:hint="eastAsia"/>
          <w:sz w:val="20"/>
          <w:szCs w:val="20"/>
          <w:highlight w:val="none"/>
          <w:lang w:val="en-US" w:eastAsia="zh-CN"/>
        </w:rPr>
        <w:t>无</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文物和陈列品</w:t>
      </w:r>
      <w:r>
        <w:rPr>
          <w:rFonts w:hint="eastAsia"/>
          <w:sz w:val="20"/>
          <w:szCs w:val="20"/>
          <w:highlight w:val="none"/>
        </w:rPr>
        <w:t>：</w:t>
      </w:r>
      <w:r>
        <w:rPr>
          <w:rFonts w:hint="eastAsia"/>
          <w:sz w:val="20"/>
          <w:szCs w:val="20"/>
          <w:highlight w:val="none"/>
          <w:lang w:val="en-US" w:eastAsia="zh-CN"/>
        </w:rPr>
        <w:t>无</w:t>
      </w:r>
    </w:p>
    <w:p>
      <w:pPr>
        <w:spacing w:line="540" w:lineRule="atLeast"/>
        <w:ind w:left="23" w:right="62" w:firstLine="380"/>
        <w:rPr>
          <w:rFonts w:hint="default" w:eastAsiaTheme="minorEastAsia"/>
          <w:sz w:val="20"/>
          <w:szCs w:val="20"/>
          <w:highlight w:val="none"/>
          <w:lang w:val="en-US" w:eastAsia="zh-CN"/>
        </w:rPr>
      </w:pPr>
      <w:r>
        <w:rPr>
          <w:rFonts w:hint="eastAsia"/>
          <w:sz w:val="20"/>
          <w:szCs w:val="20"/>
          <w:highlight w:val="none"/>
        </w:rPr>
        <w:t xml:space="preserve"> </w:t>
      </w:r>
      <w:r>
        <w:rPr>
          <w:sz w:val="20"/>
          <w:szCs w:val="20"/>
          <w:highlight w:val="none"/>
        </w:rPr>
        <w:t>图书、档案</w:t>
      </w:r>
      <w:r>
        <w:rPr>
          <w:rFonts w:hint="eastAsia"/>
          <w:sz w:val="20"/>
          <w:szCs w:val="20"/>
          <w:highlight w:val="none"/>
          <w:lang w:eastAsia="zh-CN"/>
        </w:rPr>
        <w:t>：</w:t>
      </w:r>
      <w:r>
        <w:rPr>
          <w:rFonts w:hint="eastAsia"/>
          <w:sz w:val="20"/>
          <w:szCs w:val="20"/>
          <w:highlight w:val="none"/>
          <w:lang w:val="en-US" w:eastAsia="zh-CN"/>
        </w:rPr>
        <w:t>无</w:t>
      </w:r>
    </w:p>
    <w:p>
      <w:pPr>
        <w:spacing w:line="540" w:lineRule="atLeast"/>
        <w:ind w:left="23" w:right="62" w:firstLine="380"/>
        <w:rPr>
          <w:sz w:val="20"/>
          <w:szCs w:val="20"/>
          <w:highlight w:val="none"/>
        </w:rPr>
      </w:pPr>
      <w:r>
        <w:rPr>
          <w:rFonts w:hint="eastAsia"/>
          <w:sz w:val="20"/>
          <w:szCs w:val="20"/>
          <w:highlight w:val="none"/>
        </w:rPr>
        <w:t xml:space="preserve"> </w:t>
      </w:r>
      <w:r>
        <w:rPr>
          <w:sz w:val="20"/>
          <w:szCs w:val="20"/>
          <w:highlight w:val="none"/>
        </w:rPr>
        <w:t>家具、用具、装具及动植物</w:t>
      </w:r>
      <w:r>
        <w:rPr>
          <w:rFonts w:hint="eastAsia"/>
          <w:sz w:val="20"/>
          <w:szCs w:val="20"/>
          <w:highlight w:val="none"/>
        </w:rPr>
        <w:t>：</w:t>
      </w:r>
      <w:r>
        <w:rPr>
          <w:rFonts w:hint="eastAsia"/>
          <w:sz w:val="20"/>
          <w:szCs w:val="20"/>
          <w:highlight w:val="none"/>
          <w:lang w:val="en-US" w:eastAsia="zh-CN"/>
        </w:rPr>
        <w:t>42</w:t>
      </w:r>
      <w:r>
        <w:rPr>
          <w:rFonts w:hint="eastAsia"/>
          <w:sz w:val="20"/>
          <w:szCs w:val="20"/>
          <w:highlight w:val="none"/>
        </w:rPr>
        <w:t xml:space="preserve"> （个/套），价值 </w:t>
      </w:r>
      <w:r>
        <w:rPr>
          <w:rFonts w:hint="eastAsia"/>
          <w:sz w:val="20"/>
          <w:szCs w:val="20"/>
          <w:highlight w:val="none"/>
          <w:lang w:val="en-US" w:eastAsia="zh-CN"/>
        </w:rPr>
        <w:t>2.86</w:t>
      </w:r>
      <w:r>
        <w:rPr>
          <w:rFonts w:hint="eastAsia"/>
          <w:sz w:val="20"/>
          <w:szCs w:val="20"/>
          <w:highlight w:val="none"/>
        </w:rPr>
        <w:t xml:space="preserve"> 万元</w:t>
      </w:r>
      <w:r>
        <w:rPr>
          <w:rFonts w:hint="eastAsia"/>
          <w:sz w:val="20"/>
          <w:szCs w:val="20"/>
          <w:highlight w:val="none"/>
          <w:lang w:val="en-US" w:eastAsia="zh-CN"/>
        </w:rPr>
        <w:t>。</w:t>
      </w:r>
    </w:p>
    <w:p>
      <w:pPr>
        <w:pStyle w:val="2"/>
        <w:keepNext/>
        <w:keepLines/>
        <w:pageBreakBefore w:val="0"/>
        <w:widowControl w:val="0"/>
        <w:kinsoku/>
        <w:wordWrap/>
        <w:overflowPunct/>
        <w:topLinePunct w:val="0"/>
        <w:autoSpaceDE/>
        <w:autoSpaceDN/>
        <w:bidi w:val="0"/>
        <w:adjustRightInd/>
        <w:snapToGrid/>
        <w:spacing w:after="120"/>
        <w:textAlignment w:val="auto"/>
      </w:pPr>
      <w:r>
        <w:rPr>
          <w:rFonts w:hint="eastAsia"/>
          <w:lang w:val="en-US" w:eastAsia="zh-CN"/>
        </w:rPr>
        <w:t>八、</w:t>
      </w:r>
      <w:r>
        <w:t>重点项目预算绩效情况</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1、“综合执法队工作经费”项目</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项目主要内容：提升本镇区城乡管理水平，加强城管队伍规范化、法制化、制度化建设。2024年预算安排98.88万元，资金来源为一般公共预算财政拨款。</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年度绩效目标：通过抓队伍、强管理、树形象，保障执法工作正常运转，有效打击各类违法行为。</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成本指标：项目资金总额=98.88万元；对社会发展无负面影响；对生态环境无负面影响。</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产出指标：拆除违建10起；清理规范流动商贩100起；执法人员培训3次/年；拆违整治工作目标考核≥90分；项目周期=1年。</w:t>
      </w:r>
    </w:p>
    <w:p>
      <w:pPr>
        <w:wordWrap w:val="0"/>
        <w:spacing w:line="640" w:lineRule="atLeast"/>
        <w:ind w:right="80" w:firstLine="420"/>
        <w:textAlignment w:val="baseline"/>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效益指标：有效促进城市管理优化升级；有效改善城市管理；有效改善生态环境卫生。</w:t>
      </w:r>
    </w:p>
    <w:p>
      <w:pPr>
        <w:wordWrap w:val="0"/>
        <w:spacing w:line="640" w:lineRule="atLeast"/>
        <w:ind w:right="80" w:firstLine="420"/>
        <w:textAlignment w:val="baseline"/>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满意度指标：群众满意度≥95%。</w:t>
      </w:r>
    </w:p>
    <w:p>
      <w:pPr>
        <w:pStyle w:val="2"/>
        <w:keepNext/>
        <w:keepLines/>
        <w:pageBreakBefore w:val="0"/>
        <w:widowControl w:val="0"/>
        <w:kinsoku/>
        <w:wordWrap/>
        <w:overflowPunct/>
        <w:topLinePunct w:val="0"/>
        <w:autoSpaceDE/>
        <w:autoSpaceDN/>
        <w:bidi w:val="0"/>
        <w:adjustRightInd/>
        <w:snapToGrid/>
        <w:spacing w:after="120"/>
        <w:textAlignment w:val="auto"/>
      </w:pPr>
      <w:r>
        <w:t>九、其他需要说明的情况</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（一） 对空表的说明：</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1．本单位无政府性基金收支情况，因此表格为空；</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2、本单位无三公经费支出，故表格为空；</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default"/>
          <w:sz w:val="20"/>
          <w:u w:val="none"/>
          <w:lang w:val="en-US" w:eastAsia="zh-CN"/>
        </w:rPr>
      </w:pPr>
      <w:r>
        <w:rPr>
          <w:rFonts w:hint="eastAsia"/>
          <w:sz w:val="20"/>
          <w:u w:val="none"/>
          <w:lang w:val="en-US" w:eastAsia="zh-CN"/>
        </w:rPr>
        <w:t>3、本单位无国有资本经营支出，故表格为空。</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（二）对其他情况的说明：</w:t>
      </w:r>
    </w:p>
    <w:p>
      <w:pPr>
        <w:wordWrap w:val="0"/>
        <w:spacing w:line="640" w:lineRule="atLeast"/>
        <w:ind w:right="80" w:firstLine="420"/>
        <w:textAlignment w:val="baseline"/>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无</w:t>
      </w:r>
    </w:p>
    <w:p>
      <w:pPr>
        <w:pStyle w:val="2"/>
        <w:keepNext/>
        <w:keepLines/>
        <w:pageBreakBefore w:val="0"/>
        <w:widowControl w:val="0"/>
        <w:kinsoku/>
        <w:wordWrap/>
        <w:overflowPunct/>
        <w:topLinePunct w:val="0"/>
        <w:autoSpaceDE/>
        <w:autoSpaceDN/>
        <w:bidi w:val="0"/>
        <w:adjustRightInd/>
        <w:snapToGrid/>
        <w:spacing w:before="460" w:after="90"/>
        <w:textAlignment w:val="auto"/>
      </w:pPr>
      <w:r>
        <w:t>十、专业名词解释</w:t>
      </w:r>
    </w:p>
    <w:p>
      <w:pPr>
        <w:wordWrap w:val="0"/>
        <w:spacing w:line="640" w:lineRule="atLeast"/>
        <w:ind w:right="80" w:firstLine="420"/>
        <w:textAlignment w:val="baseline"/>
        <w:rPr>
          <w:sz w:val="20"/>
          <w:szCs w:val="20"/>
        </w:rPr>
      </w:pPr>
      <w:r>
        <w:rPr>
          <w:rFonts w:ascii="宋体" w:hAnsi="宋体" w:eastAsia="宋体" w:cs="宋体"/>
          <w:color w:val="000000"/>
          <w:sz w:val="20"/>
          <w:szCs w:val="20"/>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pPr>
        <w:wordWrap w:val="0"/>
        <w:spacing w:line="640" w:lineRule="atLeast"/>
        <w:ind w:firstLine="400"/>
        <w:textAlignment w:val="baseline"/>
        <w:rPr>
          <w:sz w:val="20"/>
          <w:szCs w:val="20"/>
        </w:rPr>
      </w:pPr>
      <w:r>
        <w:rPr>
          <w:rFonts w:ascii="宋体" w:hAnsi="宋体" w:eastAsia="宋体" w:cs="宋体"/>
          <w:color w:val="000000"/>
          <w:sz w:val="20"/>
          <w:szCs w:val="20"/>
        </w:rPr>
        <w:t>2.“三公”经费：指使用一般公共预算财政拨款安排的因公出国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费、公务用车购置及运行维护费和公务接待费。其中，因公出国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费用反映单位公务出国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的国际旅费、国外城市间交通费、住宿费、伙食费、培训费、公杂费等支出； 公务用车购置及运行维护费反映单位公务用车车辆购置支出</w:t>
      </w:r>
      <w:r>
        <w:rPr>
          <w:rFonts w:hint="eastAsia" w:ascii="宋体" w:hAnsi="宋体" w:eastAsia="宋体" w:cs="宋体"/>
          <w:color w:val="000000"/>
          <w:sz w:val="20"/>
          <w:szCs w:val="20"/>
        </w:rPr>
        <w:t>（</w:t>
      </w:r>
      <w:r>
        <w:rPr>
          <w:rFonts w:ascii="宋体" w:hAnsi="宋体" w:eastAsia="宋体" w:cs="宋体"/>
          <w:color w:val="000000"/>
          <w:sz w:val="20"/>
          <w:szCs w:val="20"/>
        </w:rPr>
        <w:t>含车辆购置税、牌照费</w:t>
      </w:r>
      <w:r>
        <w:rPr>
          <w:rFonts w:hint="eastAsia" w:ascii="宋体" w:hAnsi="宋体" w:eastAsia="宋体" w:cs="宋体"/>
          <w:color w:val="000000"/>
          <w:sz w:val="20"/>
          <w:szCs w:val="20"/>
        </w:rPr>
        <w:t>）</w:t>
      </w:r>
      <w:r>
        <w:rPr>
          <w:rFonts w:ascii="宋体" w:hAnsi="宋体" w:eastAsia="宋体" w:cs="宋体"/>
          <w:color w:val="000000"/>
          <w:sz w:val="20"/>
          <w:szCs w:val="20"/>
        </w:rPr>
        <w:t>、燃料费、维修费、过桥过路费、保险费、安全奖励费用等支出；公务接待费反映单位按规定开支的各类公务接待</w:t>
      </w:r>
      <w:r>
        <w:rPr>
          <w:rFonts w:hint="eastAsia" w:ascii="宋体" w:hAnsi="宋体" w:eastAsia="宋体" w:cs="宋体"/>
          <w:color w:val="000000"/>
          <w:sz w:val="20"/>
          <w:szCs w:val="20"/>
        </w:rPr>
        <w:t>（</w:t>
      </w:r>
      <w:r>
        <w:rPr>
          <w:rFonts w:ascii="宋体" w:hAnsi="宋体" w:eastAsia="宋体" w:cs="宋体"/>
          <w:color w:val="000000"/>
          <w:sz w:val="20"/>
          <w:szCs w:val="20"/>
        </w:rPr>
        <w:t>含外宾接待</w:t>
      </w:r>
      <w:r>
        <w:rPr>
          <w:rFonts w:hint="eastAsia" w:ascii="宋体" w:hAnsi="宋体" w:eastAsia="宋体" w:cs="宋体"/>
          <w:color w:val="000000"/>
          <w:sz w:val="20"/>
          <w:szCs w:val="20"/>
        </w:rPr>
        <w:t>）</w:t>
      </w:r>
      <w:r>
        <w:rPr>
          <w:rFonts w:ascii="宋体" w:hAnsi="宋体" w:eastAsia="宋体" w:cs="宋体"/>
          <w:color w:val="000000"/>
          <w:sz w:val="20"/>
          <w:szCs w:val="20"/>
        </w:rPr>
        <w:t>费用。</w:t>
      </w:r>
    </w:p>
    <w:p>
      <w:pPr>
        <w:wordWrap w:val="0"/>
        <w:spacing w:line="640" w:lineRule="atLeast"/>
        <w:ind w:firstLine="400"/>
        <w:textAlignment w:val="baseline"/>
        <w:rPr>
          <w:rFonts w:ascii="宋体" w:hAnsi="宋体" w:eastAsia="宋体" w:cs="宋体"/>
          <w:color w:val="000000"/>
          <w:sz w:val="20"/>
          <w:szCs w:val="20"/>
        </w:rPr>
      </w:pPr>
      <w:r>
        <w:rPr>
          <w:rFonts w:ascii="宋体" w:hAnsi="宋体" w:eastAsia="宋体" w:cs="宋体"/>
          <w:color w:val="000000"/>
          <w:sz w:val="20"/>
          <w:szCs w:val="20"/>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ordWrap w:val="0"/>
        <w:spacing w:line="640" w:lineRule="atLeast"/>
        <w:ind w:firstLine="400"/>
        <w:textAlignment w:val="baseline"/>
        <w:rPr>
          <w:rFonts w:ascii="宋体" w:hAnsi="宋体" w:eastAsia="宋体" w:cs="宋体"/>
          <w:color w:val="000000"/>
          <w:sz w:val="20"/>
          <w:szCs w:val="20"/>
        </w:rPr>
      </w:pPr>
      <w:r>
        <w:rPr>
          <w:rFonts w:ascii="宋体" w:hAnsi="宋体" w:eastAsia="宋体" w:cs="宋体"/>
          <w:color w:val="000000"/>
          <w:sz w:val="20"/>
          <w:szCs w:val="20"/>
        </w:rPr>
        <w:t>4.财政拨款</w:t>
      </w:r>
      <w:r>
        <w:rPr>
          <w:rFonts w:hint="eastAsia" w:ascii="宋体" w:hAnsi="宋体" w:eastAsia="宋体" w:cs="宋体"/>
          <w:color w:val="000000"/>
          <w:sz w:val="20"/>
          <w:szCs w:val="20"/>
        </w:rPr>
        <w:t>（</w:t>
      </w:r>
      <w:r>
        <w:rPr>
          <w:rFonts w:ascii="宋体" w:hAnsi="宋体" w:eastAsia="宋体" w:cs="宋体"/>
          <w:color w:val="000000"/>
          <w:sz w:val="20"/>
          <w:szCs w:val="20"/>
        </w:rPr>
        <w:t>补助</w:t>
      </w:r>
      <w:r>
        <w:rPr>
          <w:rFonts w:hint="eastAsia" w:ascii="宋体" w:hAnsi="宋体" w:eastAsia="宋体" w:cs="宋体"/>
          <w:color w:val="000000"/>
          <w:sz w:val="20"/>
          <w:szCs w:val="20"/>
        </w:rPr>
        <w:t>）</w:t>
      </w:r>
      <w:r>
        <w:rPr>
          <w:rFonts w:ascii="宋体" w:hAnsi="宋体" w:eastAsia="宋体" w:cs="宋体"/>
          <w:color w:val="000000"/>
          <w:sz w:val="20"/>
          <w:szCs w:val="20"/>
        </w:rPr>
        <w:t>收入：指从同级财政部门取得的财政预算资金。</w:t>
      </w:r>
    </w:p>
    <w:p>
      <w:pPr>
        <w:wordWrap w:val="0"/>
        <w:spacing w:line="640" w:lineRule="atLeast"/>
        <w:ind w:firstLine="400"/>
        <w:textAlignment w:val="baseline"/>
        <w:rPr>
          <w:rFonts w:ascii="宋体" w:hAnsi="宋体" w:eastAsia="宋体" w:cs="宋体"/>
          <w:color w:val="000000"/>
          <w:sz w:val="20"/>
          <w:szCs w:val="20"/>
        </w:rPr>
      </w:pPr>
      <w:r>
        <w:rPr>
          <w:rFonts w:ascii="宋体" w:hAnsi="宋体" w:eastAsia="宋体" w:cs="宋体"/>
          <w:color w:val="000000"/>
          <w:sz w:val="20"/>
          <w:szCs w:val="20"/>
        </w:rPr>
        <w:t>5.其他收入：指除上述“财政拨款收入”以外任务相应安排的资金</w:t>
      </w:r>
    </w:p>
    <w:p>
      <w:pPr>
        <w:wordWrap w:val="0"/>
        <w:spacing w:line="640" w:lineRule="atLeast"/>
        <w:ind w:firstLine="400"/>
        <w:textAlignment w:val="baseline"/>
        <w:rPr>
          <w:rFonts w:ascii="宋体" w:hAnsi="宋体" w:eastAsia="宋体" w:cs="宋体"/>
          <w:color w:val="000000"/>
          <w:sz w:val="20"/>
          <w:szCs w:val="20"/>
        </w:rPr>
      </w:pPr>
      <w:r>
        <w:rPr>
          <w:rFonts w:ascii="宋体" w:hAnsi="宋体" w:eastAsia="宋体" w:cs="宋体"/>
          <w:color w:val="000000"/>
          <w:sz w:val="20"/>
          <w:szCs w:val="20"/>
        </w:rPr>
        <w:t>6.基本支出：指为保障机构正常运转、完成日常工作任务而发生的人员支出和公用支出。</w:t>
      </w:r>
    </w:p>
    <w:p>
      <w:pPr>
        <w:wordWrap w:val="0"/>
        <w:spacing w:line="640" w:lineRule="atLeast"/>
        <w:ind w:firstLine="400"/>
        <w:textAlignment w:val="baseline"/>
        <w:rPr>
          <w:rFonts w:hint="eastAsia" w:ascii="宋体" w:hAnsi="宋体" w:eastAsia="宋体" w:cs="宋体"/>
          <w:color w:val="000000"/>
          <w:sz w:val="20"/>
          <w:szCs w:val="20"/>
          <w:lang w:val="en-US" w:eastAsia="zh-CN"/>
        </w:rPr>
      </w:pPr>
      <w:r>
        <w:rPr>
          <w:rFonts w:ascii="宋体" w:hAnsi="宋体" w:eastAsia="宋体" w:cs="宋体"/>
          <w:color w:val="000000"/>
          <w:sz w:val="20"/>
          <w:szCs w:val="20"/>
        </w:rPr>
        <w:t>7.项目支出：指在基本支出之外为完成特定行政任务和事业发展目标所发生的支</w:t>
      </w:r>
      <w:r>
        <w:rPr>
          <w:rFonts w:hint="eastAsia" w:ascii="宋体" w:hAnsi="宋体" w:eastAsia="宋体" w:cs="宋体"/>
          <w:color w:val="000000"/>
          <w:sz w:val="20"/>
          <w:szCs w:val="20"/>
          <w:lang w:val="en-US" w:eastAsia="zh-CN"/>
        </w:rPr>
        <w:t>出。</w:t>
      </w:r>
    </w:p>
    <w:p>
      <w:pPr>
        <w:wordWrap w:val="0"/>
        <w:spacing w:line="640" w:lineRule="atLeast"/>
        <w:ind w:firstLine="400"/>
        <w:textAlignment w:val="baseline"/>
        <w:rPr>
          <w:rFonts w:hint="eastAsia" w:ascii="宋体" w:hAnsi="宋体" w:eastAsia="宋体" w:cs="宋体"/>
          <w:color w:val="000000"/>
          <w:sz w:val="20"/>
          <w:szCs w:val="20"/>
          <w:lang w:val="en-US" w:eastAsia="zh-CN"/>
        </w:rPr>
      </w:pPr>
    </w:p>
    <w:p>
      <w:pPr>
        <w:wordWrap w:val="0"/>
        <w:spacing w:line="640" w:lineRule="atLeast"/>
        <w:ind w:firstLine="400"/>
        <w:textAlignment w:val="baseline"/>
        <w:rPr>
          <w:rFonts w:hint="eastAsia" w:ascii="宋体" w:hAnsi="宋体" w:eastAsia="宋体" w:cs="宋体"/>
          <w:color w:val="000000"/>
          <w:sz w:val="20"/>
          <w:szCs w:val="20"/>
          <w:lang w:val="en-US" w:eastAsia="zh-CN"/>
        </w:rPr>
      </w:pPr>
    </w:p>
    <w:p>
      <w:pPr>
        <w:wordWrap w:val="0"/>
        <w:spacing w:line="640" w:lineRule="atLeast"/>
        <w:ind w:firstLine="400"/>
        <w:textAlignment w:val="baseline"/>
        <w:rPr>
          <w:rFonts w:hint="eastAsia" w:ascii="宋体" w:hAnsi="宋体" w:eastAsia="宋体" w:cs="宋体"/>
          <w:color w:val="000000"/>
          <w:sz w:val="20"/>
          <w:szCs w:val="20"/>
          <w:lang w:val="en-US" w:eastAsia="zh-CN"/>
        </w:rPr>
      </w:pPr>
    </w:p>
    <w:sectPr>
      <w:pgSz w:w="11900" w:h="16820"/>
      <w:pgMar w:top="1420" w:right="1780" w:bottom="1420" w:left="17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A53C"/>
    <w:multiLevelType w:val="singleLevel"/>
    <w:tmpl w:val="000FA5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26815"/>
    <w:rsid w:val="00136B63"/>
    <w:rsid w:val="001C28BC"/>
    <w:rsid w:val="00214E9B"/>
    <w:rsid w:val="00226FE1"/>
    <w:rsid w:val="002433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62567D"/>
    <w:rsid w:val="006450A0"/>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40F95"/>
    <w:rsid w:val="00860A94"/>
    <w:rsid w:val="00884DC1"/>
    <w:rsid w:val="008855DC"/>
    <w:rsid w:val="0089232D"/>
    <w:rsid w:val="008C3B72"/>
    <w:rsid w:val="008C5BDB"/>
    <w:rsid w:val="009004B3"/>
    <w:rsid w:val="00996E04"/>
    <w:rsid w:val="009B141A"/>
    <w:rsid w:val="009D0252"/>
    <w:rsid w:val="00A40A88"/>
    <w:rsid w:val="00A51F64"/>
    <w:rsid w:val="00A60649"/>
    <w:rsid w:val="00A60B70"/>
    <w:rsid w:val="00A815C4"/>
    <w:rsid w:val="00AA50CA"/>
    <w:rsid w:val="00AB0E39"/>
    <w:rsid w:val="00AE3722"/>
    <w:rsid w:val="00B25A97"/>
    <w:rsid w:val="00B56001"/>
    <w:rsid w:val="00B63DF2"/>
    <w:rsid w:val="00B63E76"/>
    <w:rsid w:val="00B920B9"/>
    <w:rsid w:val="00BC0352"/>
    <w:rsid w:val="00BF1951"/>
    <w:rsid w:val="00C12D45"/>
    <w:rsid w:val="00C15A65"/>
    <w:rsid w:val="00C2793F"/>
    <w:rsid w:val="00C34179"/>
    <w:rsid w:val="00C479CB"/>
    <w:rsid w:val="00C64A52"/>
    <w:rsid w:val="00CA6EF4"/>
    <w:rsid w:val="00CB7B08"/>
    <w:rsid w:val="00CC2FA0"/>
    <w:rsid w:val="00CE2E67"/>
    <w:rsid w:val="00D00274"/>
    <w:rsid w:val="00D67C62"/>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A637B"/>
    <w:rsid w:val="00FA7D96"/>
    <w:rsid w:val="00FE72D3"/>
    <w:rsid w:val="06096FB0"/>
    <w:rsid w:val="063524AA"/>
    <w:rsid w:val="07794267"/>
    <w:rsid w:val="097F7444"/>
    <w:rsid w:val="0AE00955"/>
    <w:rsid w:val="0CA82448"/>
    <w:rsid w:val="0F907BF0"/>
    <w:rsid w:val="12DC585B"/>
    <w:rsid w:val="19BE657D"/>
    <w:rsid w:val="1BAF4A2B"/>
    <w:rsid w:val="1BEE6D2B"/>
    <w:rsid w:val="21834242"/>
    <w:rsid w:val="25A363D4"/>
    <w:rsid w:val="280166A8"/>
    <w:rsid w:val="29666A14"/>
    <w:rsid w:val="2C052AD6"/>
    <w:rsid w:val="2C4E0265"/>
    <w:rsid w:val="2DB549B3"/>
    <w:rsid w:val="32A274C4"/>
    <w:rsid w:val="337B16DB"/>
    <w:rsid w:val="36D00928"/>
    <w:rsid w:val="37A87E65"/>
    <w:rsid w:val="38C5388B"/>
    <w:rsid w:val="3D884038"/>
    <w:rsid w:val="3F3348D1"/>
    <w:rsid w:val="429733C9"/>
    <w:rsid w:val="460E31CF"/>
    <w:rsid w:val="4A300EE9"/>
    <w:rsid w:val="4C2F4E4F"/>
    <w:rsid w:val="4D010FF8"/>
    <w:rsid w:val="519A1DF4"/>
    <w:rsid w:val="521D3A99"/>
    <w:rsid w:val="5312390A"/>
    <w:rsid w:val="53495424"/>
    <w:rsid w:val="566D0B6A"/>
    <w:rsid w:val="58F52A48"/>
    <w:rsid w:val="59172D44"/>
    <w:rsid w:val="5A4B333B"/>
    <w:rsid w:val="5AE82D41"/>
    <w:rsid w:val="5CF01565"/>
    <w:rsid w:val="5ECF623A"/>
    <w:rsid w:val="5FD2174D"/>
    <w:rsid w:val="62A861E3"/>
    <w:rsid w:val="63207B69"/>
    <w:rsid w:val="647C14FC"/>
    <w:rsid w:val="6A2577E4"/>
    <w:rsid w:val="6D8F7285"/>
    <w:rsid w:val="7BA334CE"/>
    <w:rsid w:val="7BA96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4" w:afterLines="14" w:line="520" w:lineRule="atLeast"/>
      <w:ind w:firstLine="562" w:firstLineChars="200"/>
      <w:jc w:val="both"/>
    </w:pPr>
    <w:rPr>
      <w:rFonts w:asciiTheme="minorAscii" w:hAnsiTheme="minorAscii" w:eastAsiaTheme="minorEastAsia" w:cstheme="minorBidi"/>
      <w:kern w:val="2"/>
      <w:sz w:val="21"/>
      <w:szCs w:val="22"/>
      <w:lang w:val="en-US" w:eastAsia="zh-CN" w:bidi="ar-SA"/>
      <w14:ligatures w14:val="standardContextual"/>
    </w:rPr>
  </w:style>
  <w:style w:type="paragraph" w:styleId="2">
    <w:name w:val="heading 1"/>
    <w:basedOn w:val="1"/>
    <w:next w:val="1"/>
    <w:autoRedefine/>
    <w:qFormat/>
    <w:uiPriority w:val="9"/>
    <w:pPr>
      <w:keepNext/>
      <w:keepLines/>
      <w:spacing w:before="340" w:beforeLines="0" w:beforeAutospacing="0" w:after="330" w:afterLines="0" w:afterAutospacing="0" w:line="280" w:lineRule="atLeast"/>
      <w:ind w:left="162" w:leftChars="77" w:firstLine="0" w:firstLineChars="0"/>
      <w:outlineLvl w:val="0"/>
    </w:pPr>
    <w:rPr>
      <w:b/>
      <w:kern w:val="44"/>
      <w:sz w:val="24"/>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2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895</Words>
  <Characters>5104</Characters>
  <Lines>42</Lines>
  <Paragraphs>11</Paragraphs>
  <TotalTime>0</TotalTime>
  <ScaleCrop>false</ScaleCrop>
  <LinksUpToDate>false</LinksUpToDate>
  <CharactersWithSpaces>5988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WPS_191001866</cp:lastModifiedBy>
  <dcterms:modified xsi:type="dcterms:W3CDTF">2024-01-25T03:16:08Z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15F6F95FB3334622ADF98E2951DFCB62</vt:lpwstr>
  </property>
</Properties>
</file>