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Times New Roman" w:eastAsia="方正小标宋简体" w:cs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部门整体绩效目标申报表</w:t>
      </w:r>
    </w:p>
    <w:p>
      <w:pPr>
        <w:widowControl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ascii="黑体" w:hAnsi="黑体" w:eastAsia="黑体" w:cs="黑体"/>
          <w:sz w:val="32"/>
          <w:szCs w:val="32"/>
        </w:rPr>
        <w:t>-1</w:t>
      </w:r>
    </w:p>
    <w:p>
      <w:pPr>
        <w:widowControl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填报日期：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2023</w:t>
      </w:r>
      <w:r>
        <w:rPr>
          <w:rFonts w:hint="eastAsia" w:ascii="楷体_GB2312" w:hAnsi="Times New Roman" w:eastAsia="楷体_GB2312" w:cs="楷体_GB2312"/>
          <w:sz w:val="28"/>
          <w:szCs w:val="28"/>
        </w:rPr>
        <w:t>年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Times New Roman" w:eastAsia="楷体_GB2312" w:cs="楷体_GB2312"/>
          <w:sz w:val="28"/>
          <w:szCs w:val="28"/>
        </w:rPr>
        <w:t>月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26</w:t>
      </w:r>
      <w:r>
        <w:rPr>
          <w:rFonts w:hint="eastAsia" w:ascii="楷体_GB2312" w:hAnsi="Times New Roman" w:eastAsia="楷体_GB2312" w:cs="楷体_GB2312"/>
          <w:sz w:val="28"/>
          <w:szCs w:val="28"/>
        </w:rPr>
        <w:t>日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   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 xml:space="preserve">    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      </w:t>
      </w:r>
      <w:r>
        <w:rPr>
          <w:rFonts w:hint="eastAsia" w:ascii="楷体_GB2312" w:hAnsi="Times New Roman" w:eastAsia="楷体_GB2312" w:cs="楷体_GB2312"/>
          <w:sz w:val="28"/>
          <w:szCs w:val="28"/>
        </w:rPr>
        <w:t>单位：万元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645"/>
        <w:gridCol w:w="1185"/>
        <w:gridCol w:w="1545"/>
        <w:gridCol w:w="1110"/>
        <w:gridCol w:w="1080"/>
        <w:gridCol w:w="975"/>
        <w:gridCol w:w="81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部门（单位）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名称</w:t>
            </w:r>
          </w:p>
        </w:tc>
        <w:tc>
          <w:tcPr>
            <w:tcW w:w="808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中共阳新县委统战部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填报人</w:t>
            </w:r>
          </w:p>
        </w:tc>
        <w:tc>
          <w:tcPr>
            <w:tcW w:w="183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李国铭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联系电话</w:t>
            </w:r>
          </w:p>
        </w:tc>
        <w:tc>
          <w:tcPr>
            <w:tcW w:w="4706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13797777705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部门职能概述</w:t>
            </w:r>
          </w:p>
        </w:tc>
        <w:tc>
          <w:tcPr>
            <w:tcW w:w="808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tbl>
            <w:tblPr>
              <w:tblStyle w:val="2"/>
              <w:tblW w:w="7660" w:type="dxa"/>
              <w:tblInd w:w="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66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1、贯彻执行统一战线工作的方针、政策。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2、联系全县民主党派和无党派人士。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3、督促检查有关民族和宗教工作重大方针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4、负责促进海外华侨统战工作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5、负责联系、培养党外知识分子和新阶层代表人物</w:t>
                  </w:r>
                </w:p>
              </w:tc>
            </w:tr>
          </w:tbl>
          <w:p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年度工作任务</w:t>
            </w:r>
          </w:p>
        </w:tc>
        <w:tc>
          <w:tcPr>
            <w:tcW w:w="808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tbl>
            <w:tblPr>
              <w:tblStyle w:val="2"/>
              <w:tblW w:w="7660" w:type="dxa"/>
              <w:tblInd w:w="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6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1、贯彻执行中央、省委、市委和县委关于统一战线工作的方针、政策，并对统一战线的理论和方针政策调查研究。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2、负责联系全县民主党派和无党派人士，及时通报情况，反映他们的意见和建议；研究、贯彻党领导的多党合作和政治协商制度以及对民主党派的方针、政策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3、检查相关宗教场所。负责调查研究、督促检查有关民族和宗教工作重大方针、政策的贯彻落实情况，联系少数民族和宗教界代表人物。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4、负责开展以祖国统一及促进我县经济发展为重点的海外统战工作，联系香港、澳门和海外有关社团及代表人士，宣传统战相关政策与开展学习。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kern w:val="0"/>
                      <w:lang w:val="en-US" w:eastAsia="zh-CN"/>
                    </w:rPr>
                    <w:t>5、走访慰问各界别统战对象。负责联系、培养党外知识分子和新的社会阶层人士；调查研究党外知识分子情况，反映意见，协调关系，提出政策建议。</w:t>
                  </w:r>
                </w:p>
              </w:tc>
            </w:tr>
          </w:tbl>
          <w:p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18"/>
                <w:szCs w:val="18"/>
              </w:rPr>
              <w:t>长期目标：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截止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)</w:t>
            </w:r>
          </w:p>
        </w:tc>
        <w:tc>
          <w:tcPr>
            <w:tcW w:w="808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贯彻执行中央、省委、市委和县委关于统一战线工作的方针、政策，并对统一战线的理论和方针政策调查研究，做好统战对象的发现、联系、培养工作，反映和协调解决统战对象生活中的实际困难。统一管理好全县民族宗教工作，贯彻落实档的民族宗教工作方针和政策，协调处理民族宗教工作中的重大问题，联系少数民族和宗教局代表人士。统一管理全县侨务工作，贯彻落实党的侨务工作方针政策，调查研究县内外侨情和侨务工作情况，指导推动涉侨宣传、文化交流，统筹协调涉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效指标</w:t>
            </w:r>
          </w:p>
        </w:tc>
        <w:tc>
          <w:tcPr>
            <w:tcW w:w="6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-1%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与政府战略匹配部门职能相符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工作计划明确，与部门职能和中长期规划相符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项目预算由保障，项目之间不存在交叉重复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设立依据充分按规定程序设立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政府采购执行率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非税收入预算完成率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事前绩效评估完成率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资产管理内部控制制度健全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资产保存完整、使用合规、配置合理、处置规范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财务管理制度合法、合规、完整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符合资金管理规定，资料真实、准确、完整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符合国家规定，手续齐全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联系统战工作对象，调研相关工作执行情况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100次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全县防范非法宗教场活动场所检查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50次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走访慰问困难侨胞侨属，反映代表人士意见与建议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150人次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调研统战相关工作是否得到显著效果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有利于统战对象政治思想的稳定得到显著效果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是否对民族宗教带来社会经济效益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经济效益效果明显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项目是否对生态环境效益带来负面影响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促进生态效益发展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统一战线思想建设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行政管理体制改革成效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机构、职能、权力、责任、程序法定化、明确事权责任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业务学习与培训完成率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干部队伍体系建设规划情况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人才队伍建设符合本单位发展要求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高学历、高层次人才储备率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1.1%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其他标准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情况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充分利用信息化手段提升工作效率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统战对象对部门的满意度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其他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年度目标：</w:t>
            </w:r>
          </w:p>
        </w:tc>
        <w:tc>
          <w:tcPr>
            <w:tcW w:w="808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贯彻执行中央、省委、市委和县委关于统一战线工作的方针、政策，并对统一战线的理论和方针政策调查研究，做好统战对象的发现、联系、培养工作，反映和协调解决统战对象生活中的实际困难。统一管理好全县民族宗教工作，贯彻落实档的民族宗教工作方针和政策，协调处理民族宗教工作中的重大问题，联系少数民族和宗教局代表人士。统一管理全县侨务工作，贯彻落实党的侨务工作方针政策，调查研究县内外侨情和侨务工作情况，指导推动涉侨宣传、文化交流，统筹协调涉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</w:t>
            </w: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5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31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指标值</w:t>
            </w: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73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近两年指标值</w:t>
            </w:r>
          </w:p>
        </w:tc>
        <w:tc>
          <w:tcPr>
            <w:tcW w:w="97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预期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实现值</w:t>
            </w: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  <w:t>2022年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97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1" w:type="dxa"/>
            <w:vMerge w:val="continue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-1.1%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-2%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-1%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96.2%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98%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98%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设置依据充分，符合客观实际，符合中长期规划和年度工作计划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制定资产配置、使用、处置制度，制定资产管理内部控制制度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制定资产配置、使用、处置制度，制定资产管理内部控制制度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制定资产配置、使用、处置制度，制定资产管理内部控制制度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资产保存完整、使用合规、配置合理、处置规范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资产保存完整、使用合规、配置合理、处置规范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资产保存完整、使用合规、配置合理、处置规范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财务管理制度合法、合规、完整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财务管理制度合法、合规、完整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财务管理制度合法、合规、完整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符合资金管理规定，资料真实、准确、完整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符合资金管理规定，资料真实、准确、完整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符合资金管理规定，资料真实、准确、完整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符合国家规定，手续齐全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符合国家规定，手续齐全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符合国家规定，手续齐全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联系统战工作对象，调研相关工作执行情况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20次/年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全县防范非法宗教场活动场所检查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10件/年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走访慰问困难侨胞侨属，反映代表人士意见与建议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30次/年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调研统战相关工作是否得到显著效果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诉求问题明显减少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诉求问题明显减少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诉求问题明显减少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是否对民族宗教带来社会经济效益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经济效益效果明显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经济效益效果明显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经济效益效果明显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项目是否对生态环境效益带来负面影响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促进生态效益发展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促进生态效益发展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促进生态效益发展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服务型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服务型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服务型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明确事权责任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明确事权责任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明确事权责任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业务学习与培训完成率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96%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干部队伍体系建设规划情况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人才队伍建设符合本单位发展要求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人才队伍建设符合本单位发展要求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人才队伍建设符合本单位发展要求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高学历、高层次人才储备率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1.1%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1.2%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1.4%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运用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情况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充分利用信息化手段提升工作效率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充分利用信息化手段提升工作效率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充分利用信息化手段提升工作效率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5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统战对象部门的满意度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10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97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8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其他</w:t>
            </w:r>
            <w:r>
              <w:rPr>
                <w:rFonts w:hint="eastAsia" w:ascii="仿宋_GB2312" w:hAnsi="宋体" w:eastAsia="仿宋_GB2312"/>
                <w:kern w:val="0"/>
              </w:rPr>
              <w:t>标准</w:t>
            </w:r>
          </w:p>
        </w:tc>
        <w:tc>
          <w:tcPr>
            <w:tcW w:w="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YzY2MmI4NzRiZmE3YjBjMTU1MWIzYTRiNDY1ZWYifQ=="/>
  </w:docVars>
  <w:rsids>
    <w:rsidRoot w:val="00000000"/>
    <w:rsid w:val="07437042"/>
    <w:rsid w:val="0A590BB2"/>
    <w:rsid w:val="16014F92"/>
    <w:rsid w:val="1A055CCF"/>
    <w:rsid w:val="1ACF0DE6"/>
    <w:rsid w:val="1AF97EC5"/>
    <w:rsid w:val="1BCA22BE"/>
    <w:rsid w:val="1F564AF4"/>
    <w:rsid w:val="2D745936"/>
    <w:rsid w:val="358C3338"/>
    <w:rsid w:val="3DC25FBC"/>
    <w:rsid w:val="473F53C5"/>
    <w:rsid w:val="4E213BD3"/>
    <w:rsid w:val="4F0C3FC5"/>
    <w:rsid w:val="4F717FEA"/>
    <w:rsid w:val="522307D5"/>
    <w:rsid w:val="544F5F37"/>
    <w:rsid w:val="552939A0"/>
    <w:rsid w:val="58851990"/>
    <w:rsid w:val="593B3A1B"/>
    <w:rsid w:val="5B4A61B8"/>
    <w:rsid w:val="5E8E4419"/>
    <w:rsid w:val="5F8D3BE4"/>
    <w:rsid w:val="60C662D6"/>
    <w:rsid w:val="61B67343"/>
    <w:rsid w:val="68BC456E"/>
    <w:rsid w:val="6B710B4B"/>
    <w:rsid w:val="6F0D5128"/>
    <w:rsid w:val="70C63B35"/>
    <w:rsid w:val="73A33476"/>
    <w:rsid w:val="765B4774"/>
    <w:rsid w:val="7EF56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3464</Words>
  <Characters>3598</Characters>
  <Lines>0</Lines>
  <Paragraphs>0</Paragraphs>
  <TotalTime>26</TotalTime>
  <ScaleCrop>false</ScaleCrop>
  <LinksUpToDate>false</LinksUpToDate>
  <CharactersWithSpaces>3624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2023-10-25T02:17:00Z</dcterms:created>
  <dc:creator>Administrator</dc:creator>
  <cp:lastModifiedBy>星晴</cp:lastModifiedBy>
  <cp:lastPrinted>2023-11-23T08:08:29Z</cp:lastPrinted>
  <dcterms:modified xsi:type="dcterms:W3CDTF">2023-11-23T08:34:17Z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8D6F7F1FD57842B188FA17AE0360829A_13</vt:lpwstr>
  </property>
</Properties>
</file>