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60" w:lineRule="exact"/>
        <w:ind w:firstLine="712" w:firstLineChars="200"/>
        <w:jc w:val="center"/>
        <w:rPr>
          <w:rFonts w:ascii="方正小标宋简体" w:hAnsi="等线" w:eastAsia="方正小标宋简体"/>
          <w:sz w:val="36"/>
          <w:szCs w:val="36"/>
        </w:rPr>
      </w:pPr>
      <w:r>
        <w:rPr>
          <w:rFonts w:hint="eastAsia" w:ascii="方正小标宋简体" w:hAnsi="等线" w:eastAsia="方正小标宋简体"/>
          <w:sz w:val="36"/>
          <w:szCs w:val="36"/>
          <w:lang w:val="en-US" w:eastAsia="zh-CN"/>
        </w:rPr>
        <w:t>阳新县</w:t>
      </w:r>
      <w:r>
        <w:rPr>
          <w:rFonts w:ascii="方正小标宋简体" w:hAnsi="等线" w:eastAsia="方正小标宋简体"/>
          <w:sz w:val="36"/>
          <w:szCs w:val="36"/>
        </w:rPr>
        <w:t>预算绩效评价报告</w:t>
      </w:r>
    </w:p>
    <w:p>
      <w:pPr>
        <w:pageBreakBefore w:val="0"/>
        <w:kinsoku/>
        <w:wordWrap/>
        <w:overflowPunct/>
        <w:topLinePunct w:val="0"/>
        <w:autoSpaceDE/>
        <w:autoSpaceDN/>
        <w:bidi w:val="0"/>
        <w:adjustRightInd/>
        <w:spacing w:line="560" w:lineRule="exact"/>
        <w:ind w:firstLine="712" w:firstLineChars="200"/>
        <w:jc w:val="center"/>
        <w:rPr>
          <w:rFonts w:ascii="方正小标宋简体" w:hAnsi="楷体" w:eastAsia="方正小标宋简体"/>
          <w:sz w:val="36"/>
          <w:szCs w:val="36"/>
        </w:rPr>
      </w:pPr>
      <w:r>
        <w:rPr>
          <w:rFonts w:ascii="方正小标宋简体" w:hAnsi="楷体" w:eastAsia="方正小标宋简体"/>
          <w:sz w:val="36"/>
          <w:szCs w:val="36"/>
        </w:rPr>
        <w:t>（</w:t>
      </w:r>
      <w:r>
        <w:rPr>
          <w:rFonts w:hint="eastAsia" w:ascii="方正小标宋简体" w:hAnsi="楷体" w:eastAsia="方正小标宋简体"/>
          <w:sz w:val="36"/>
          <w:szCs w:val="36"/>
        </w:rPr>
        <w:t>缩略</w:t>
      </w:r>
      <w:r>
        <w:rPr>
          <w:rFonts w:ascii="方正小标宋简体" w:hAnsi="楷体" w:eastAsia="方正小标宋简体"/>
          <w:sz w:val="36"/>
          <w:szCs w:val="36"/>
        </w:rPr>
        <w:t>版）</w:t>
      </w:r>
    </w:p>
    <w:p>
      <w:pPr>
        <w:pageBreakBefore w:val="0"/>
        <w:tabs>
          <w:tab w:val="left" w:pos="6355"/>
        </w:tabs>
        <w:kinsoku/>
        <w:wordWrap/>
        <w:overflowPunct/>
        <w:topLinePunct w:val="0"/>
        <w:autoSpaceDE/>
        <w:autoSpaceDN/>
        <w:bidi w:val="0"/>
        <w:adjustRightInd/>
        <w:spacing w:line="560" w:lineRule="exact"/>
        <w:ind w:firstLine="412" w:firstLineChars="200"/>
        <w:jc w:val="center"/>
        <w:rPr>
          <w:rFonts w:ascii="等线" w:hAnsi="等线" w:eastAsia="等线"/>
          <w:szCs w:val="22"/>
        </w:rPr>
      </w:pP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报告名称：</w:t>
      </w:r>
      <w:r>
        <w:rPr>
          <w:rFonts w:hint="eastAsia" w:ascii="Times New Roman" w:hAnsi="Times New Roman" w:eastAsia="黑体" w:cs="Times New Roman"/>
          <w:bCs/>
          <w:sz w:val="28"/>
          <w:szCs w:val="28"/>
          <w:highlight w:val="none"/>
        </w:rPr>
        <w:t>202</w:t>
      </w:r>
      <w:r>
        <w:rPr>
          <w:rFonts w:hint="eastAsia" w:ascii="Times New Roman" w:hAnsi="Times New Roman" w:eastAsia="黑体" w:cs="Times New Roman"/>
          <w:bCs/>
          <w:sz w:val="28"/>
          <w:szCs w:val="28"/>
          <w:highlight w:val="none"/>
          <w:lang w:val="en-US" w:eastAsia="zh-CN"/>
        </w:rPr>
        <w:t>3</w:t>
      </w:r>
      <w:r>
        <w:rPr>
          <w:rFonts w:hint="eastAsia" w:ascii="Times New Roman" w:hAnsi="Times New Roman" w:eastAsia="黑体" w:cs="Times New Roman"/>
          <w:bCs/>
          <w:sz w:val="28"/>
          <w:szCs w:val="28"/>
          <w:highlight w:val="none"/>
        </w:rPr>
        <w:t>年</w:t>
      </w:r>
      <w:r>
        <w:rPr>
          <w:rFonts w:hint="eastAsia" w:ascii="Times New Roman" w:hAnsi="Times New Roman" w:eastAsia="黑体" w:cs="Times New Roman"/>
          <w:bCs/>
          <w:sz w:val="28"/>
          <w:szCs w:val="28"/>
          <w:highlight w:val="none"/>
          <w:lang w:val="en-US" w:eastAsia="zh-CN"/>
        </w:rPr>
        <w:t>阳新县城市管理执法局整体支出</w:t>
      </w:r>
      <w:r>
        <w:rPr>
          <w:rFonts w:hint="eastAsia" w:ascii="Times New Roman" w:hAnsi="Times New Roman" w:eastAsia="黑体" w:cs="Times New Roman"/>
          <w:bCs/>
          <w:sz w:val="28"/>
          <w:szCs w:val="28"/>
          <w:highlight w:val="none"/>
        </w:rPr>
        <w:t>绩效评价报告</w:t>
      </w: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预算部门（单位）：</w:t>
      </w:r>
      <w:r>
        <w:rPr>
          <w:rFonts w:hint="eastAsia" w:ascii="Times New Roman" w:hAnsi="Times New Roman" w:eastAsia="黑体" w:cs="Times New Roman"/>
          <w:bCs/>
          <w:sz w:val="28"/>
          <w:szCs w:val="28"/>
          <w:highlight w:val="none"/>
          <w:lang w:val="en-US" w:eastAsia="zh-CN"/>
        </w:rPr>
        <w:t>阳新县城市管理执法局</w:t>
      </w:r>
      <w:r>
        <w:rPr>
          <w:rFonts w:ascii="Times New Roman" w:hAnsi="Times New Roman" w:eastAsia="黑体" w:cs="Times New Roman"/>
          <w:bCs/>
          <w:sz w:val="28"/>
          <w:szCs w:val="28"/>
          <w:highlight w:val="none"/>
        </w:rPr>
        <w:t xml:space="preserve">                                </w:t>
      </w: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预算年度：</w:t>
      </w:r>
      <w:r>
        <w:rPr>
          <w:rFonts w:hint="eastAsia" w:ascii="Times New Roman" w:hAnsi="Times New Roman" w:eastAsia="黑体" w:cs="Times New Roman"/>
          <w:bCs/>
          <w:sz w:val="28"/>
          <w:szCs w:val="28"/>
          <w:highlight w:val="none"/>
        </w:rPr>
        <w:t>2</w:t>
      </w:r>
      <w:r>
        <w:rPr>
          <w:rFonts w:ascii="Times New Roman" w:hAnsi="Times New Roman" w:eastAsia="黑体" w:cs="Times New Roman"/>
          <w:bCs/>
          <w:sz w:val="28"/>
          <w:szCs w:val="28"/>
          <w:highlight w:val="none"/>
        </w:rPr>
        <w:t>0</w:t>
      </w:r>
      <w:r>
        <w:rPr>
          <w:rFonts w:hint="eastAsia" w:ascii="Times New Roman" w:hAnsi="Times New Roman" w:eastAsia="黑体" w:cs="Times New Roman"/>
          <w:bCs/>
          <w:sz w:val="28"/>
          <w:szCs w:val="28"/>
          <w:highlight w:val="none"/>
        </w:rPr>
        <w:t>2</w:t>
      </w:r>
      <w:r>
        <w:rPr>
          <w:rFonts w:hint="eastAsia" w:ascii="Times New Roman" w:hAnsi="Times New Roman" w:eastAsia="黑体" w:cs="Times New Roman"/>
          <w:bCs/>
          <w:sz w:val="28"/>
          <w:szCs w:val="28"/>
          <w:highlight w:val="none"/>
          <w:lang w:val="en-US" w:eastAsia="zh-CN"/>
        </w:rPr>
        <w:t>3</w:t>
      </w:r>
      <w:r>
        <w:rPr>
          <w:rFonts w:ascii="Times New Roman" w:hAnsi="Times New Roman" w:eastAsia="黑体" w:cs="Times New Roman"/>
          <w:bCs/>
          <w:sz w:val="28"/>
          <w:szCs w:val="28"/>
          <w:highlight w:val="none"/>
        </w:rPr>
        <w:t xml:space="preserve">年                                       </w:t>
      </w: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评价类型：项目□</w:t>
      </w:r>
      <w:r>
        <w:rPr>
          <w:rFonts w:hint="eastAsia" w:ascii="Times New Roman" w:hAnsi="Times New Roman" w:eastAsia="黑体" w:cs="Times New Roman"/>
          <w:bCs/>
          <w:sz w:val="28"/>
          <w:szCs w:val="28"/>
          <w:highlight w:val="none"/>
        </w:rPr>
        <w:t xml:space="preserve">   </w:t>
      </w:r>
      <w:r>
        <w:rPr>
          <w:rFonts w:ascii="Times New Roman" w:hAnsi="Times New Roman" w:eastAsia="黑体" w:cs="Times New Roman"/>
          <w:bCs/>
          <w:sz w:val="28"/>
          <w:szCs w:val="28"/>
          <w:highlight w:val="none"/>
        </w:rPr>
        <w:t xml:space="preserve"> 政策□    部门整体</w:t>
      </w:r>
      <w:r>
        <w:rPr>
          <w:rFonts w:hint="eastAsia" w:ascii="Times New Roman" w:hAnsi="Times New Roman" w:eastAsia="黑体" w:cs="Times New Roman"/>
          <w:bCs/>
          <w:sz w:val="28"/>
          <w:szCs w:val="28"/>
          <w:highlight w:val="none"/>
        </w:rPr>
        <w:t>■</w:t>
      </w:r>
      <w:r>
        <w:rPr>
          <w:rFonts w:ascii="Times New Roman" w:hAnsi="Times New Roman" w:eastAsia="黑体" w:cs="Times New Roman"/>
          <w:bCs/>
          <w:sz w:val="28"/>
          <w:szCs w:val="28"/>
          <w:highlight w:val="none"/>
        </w:rPr>
        <w:t xml:space="preserve"> </w:t>
      </w:r>
    </w:p>
    <w:p>
      <w:pPr>
        <w:pageBreakBefore w:val="0"/>
        <w:kinsoku/>
        <w:wordWrap/>
        <w:overflowPunct/>
        <w:topLinePunct w:val="0"/>
        <w:autoSpaceDE/>
        <w:autoSpaceDN/>
        <w:bidi w:val="0"/>
        <w:adjustRightInd/>
        <w:spacing w:line="560" w:lineRule="exact"/>
        <w:ind w:firstLine="712" w:firstLineChars="200"/>
        <w:rPr>
          <w:rFonts w:ascii="方正小标宋简体" w:hAnsi="等线" w:eastAsia="方正小标宋简体"/>
          <w:sz w:val="36"/>
          <w:szCs w:val="36"/>
        </w:rPr>
      </w:pPr>
    </w:p>
    <w:p>
      <w:pPr>
        <w:pageBreakBefore w:val="0"/>
        <w:kinsoku/>
        <w:wordWrap/>
        <w:overflowPunct/>
        <w:topLinePunct w:val="0"/>
        <w:autoSpaceDE/>
        <w:autoSpaceDN/>
        <w:bidi w:val="0"/>
        <w:adjustRightInd/>
        <w:spacing w:line="560" w:lineRule="exact"/>
        <w:ind w:firstLine="712" w:firstLineChars="200"/>
        <w:rPr>
          <w:rFonts w:ascii="方正小标宋简体" w:hAnsi="等线" w:eastAsia="方正小标宋简体"/>
          <w:sz w:val="36"/>
          <w:szCs w:val="36"/>
        </w:rPr>
      </w:pPr>
    </w:p>
    <w:p>
      <w:pPr>
        <w:pageBreakBefore w:val="0"/>
        <w:kinsoku/>
        <w:wordWrap/>
        <w:overflowPunct/>
        <w:topLinePunct w:val="0"/>
        <w:autoSpaceDE/>
        <w:autoSpaceDN/>
        <w:bidi w:val="0"/>
        <w:adjustRightInd/>
        <w:spacing w:line="560" w:lineRule="exact"/>
        <w:ind w:firstLine="712" w:firstLineChars="200"/>
        <w:rPr>
          <w:rFonts w:ascii="方正小标宋简体" w:hAnsi="等线" w:eastAsia="方正小标宋简体"/>
          <w:sz w:val="36"/>
          <w:szCs w:val="36"/>
        </w:rPr>
      </w:pPr>
    </w:p>
    <w:p>
      <w:pPr>
        <w:pageBreakBefore w:val="0"/>
        <w:kinsoku/>
        <w:wordWrap/>
        <w:overflowPunct/>
        <w:topLinePunct w:val="0"/>
        <w:autoSpaceDE/>
        <w:autoSpaceDN/>
        <w:bidi w:val="0"/>
        <w:adjustRightInd/>
        <w:spacing w:line="560" w:lineRule="exact"/>
        <w:ind w:firstLine="712" w:firstLineChars="200"/>
        <w:rPr>
          <w:rFonts w:ascii="方正小标宋简体" w:hAnsi="等线" w:eastAsia="方正小标宋简体"/>
          <w:sz w:val="36"/>
          <w:szCs w:val="36"/>
        </w:rPr>
      </w:pPr>
    </w:p>
    <w:p>
      <w:pPr>
        <w:pageBreakBefore w:val="0"/>
        <w:kinsoku/>
        <w:wordWrap/>
        <w:overflowPunct/>
        <w:topLinePunct w:val="0"/>
        <w:autoSpaceDE/>
        <w:autoSpaceDN/>
        <w:bidi w:val="0"/>
        <w:adjustRightInd/>
        <w:spacing w:line="560" w:lineRule="exact"/>
        <w:ind w:firstLine="712" w:firstLineChars="200"/>
        <w:rPr>
          <w:rFonts w:ascii="方正小标宋简体" w:hAnsi="等线" w:eastAsia="方正小标宋简体"/>
          <w:sz w:val="36"/>
          <w:szCs w:val="36"/>
        </w:rPr>
      </w:pP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评价单位：</w:t>
      </w:r>
      <w:r>
        <w:rPr>
          <w:rFonts w:hint="eastAsia" w:ascii="Times New Roman" w:hAnsi="Times New Roman" w:eastAsia="黑体" w:cs="Times New Roman"/>
          <w:bCs/>
          <w:sz w:val="28"/>
          <w:szCs w:val="28"/>
          <w:highlight w:val="none"/>
          <w:lang w:val="en-US" w:eastAsia="zh-CN"/>
        </w:rPr>
        <w:t>阳新县恒泰会计事务服务有限公司</w:t>
      </w:r>
      <w:r>
        <w:rPr>
          <w:rFonts w:ascii="Times New Roman" w:hAnsi="Times New Roman" w:eastAsia="黑体" w:cs="Times New Roman"/>
          <w:bCs/>
          <w:sz w:val="28"/>
          <w:szCs w:val="28"/>
          <w:highlight w:val="none"/>
        </w:rPr>
        <w:t xml:space="preserve">                                      </w:t>
      </w: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 xml:space="preserve">主评人1：       </w:t>
      </w:r>
      <w:r>
        <w:rPr>
          <w:rFonts w:hint="eastAsia" w:ascii="Times New Roman" w:hAnsi="Times New Roman" w:eastAsia="黑体" w:cs="Times New Roman"/>
          <w:bCs/>
          <w:sz w:val="28"/>
          <w:szCs w:val="28"/>
          <w:highlight w:val="none"/>
          <w:lang w:val="en-US" w:eastAsia="zh-CN"/>
        </w:rPr>
        <w:t>李茂林</w:t>
      </w:r>
      <w:r>
        <w:rPr>
          <w:rFonts w:ascii="Times New Roman" w:hAnsi="Times New Roman" w:eastAsia="黑体" w:cs="Times New Roman"/>
          <w:bCs/>
          <w:sz w:val="28"/>
          <w:szCs w:val="28"/>
          <w:highlight w:val="none"/>
        </w:rPr>
        <w:t xml:space="preserve">                           </w:t>
      </w: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hint="default" w:ascii="Times New Roman" w:hAnsi="Times New Roman" w:eastAsia="黑体" w:cs="Times New Roman"/>
          <w:bCs/>
          <w:sz w:val="28"/>
          <w:szCs w:val="28"/>
          <w:highlight w:val="none"/>
          <w:lang w:val="en-US" w:eastAsia="zh-CN"/>
        </w:rPr>
      </w:pPr>
      <w:r>
        <w:rPr>
          <w:rFonts w:ascii="Times New Roman" w:hAnsi="Times New Roman" w:eastAsia="黑体" w:cs="Times New Roman"/>
          <w:bCs/>
          <w:sz w:val="28"/>
          <w:szCs w:val="28"/>
          <w:highlight w:val="none"/>
        </w:rPr>
        <w:t>主评人2：</w:t>
      </w:r>
      <w:r>
        <w:rPr>
          <w:rFonts w:hint="eastAsia" w:ascii="Times New Roman" w:hAnsi="Times New Roman" w:eastAsia="黑体" w:cs="Times New Roman"/>
          <w:bCs/>
          <w:sz w:val="28"/>
          <w:szCs w:val="28"/>
          <w:highlight w:val="none"/>
          <w:lang w:val="en-US" w:eastAsia="zh-CN"/>
        </w:rPr>
        <w:t xml:space="preserve">       张 慧</w:t>
      </w: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hint="default" w:ascii="Times New Roman" w:hAnsi="Times New Roman" w:eastAsia="黑体" w:cs="Times New Roman"/>
          <w:bCs/>
          <w:sz w:val="28"/>
          <w:szCs w:val="28"/>
          <w:highlight w:val="none"/>
          <w:lang w:val="en-US" w:eastAsia="zh-CN"/>
        </w:rPr>
      </w:pPr>
      <w:r>
        <w:rPr>
          <w:rFonts w:hint="eastAsia" w:ascii="Times New Roman" w:hAnsi="Times New Roman" w:eastAsia="黑体" w:cs="Times New Roman"/>
          <w:bCs/>
          <w:sz w:val="28"/>
          <w:szCs w:val="28"/>
          <w:highlight w:val="none"/>
        </w:rPr>
        <w:t>报告文号：</w:t>
      </w:r>
      <w:r>
        <w:rPr>
          <w:rFonts w:hint="eastAsia" w:ascii="Times New Roman" w:hAnsi="Times New Roman" w:eastAsia="黑体" w:cs="Times New Roman"/>
          <w:bCs/>
          <w:sz w:val="28"/>
          <w:szCs w:val="28"/>
          <w:highlight w:val="none"/>
          <w:lang w:val="en-US" w:eastAsia="zh-CN"/>
        </w:rPr>
        <w:t>恒泰绩后字[2024]06003号</w:t>
      </w: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ascii="Times New Roman" w:hAnsi="Times New Roman" w:eastAsia="黑体" w:cs="Times New Roman"/>
          <w:bCs/>
          <w:sz w:val="28"/>
          <w:szCs w:val="28"/>
          <w:highlight w:val="none"/>
        </w:rPr>
        <w:sectPr>
          <w:headerReference r:id="rId3" w:type="default"/>
          <w:pgSz w:w="11906" w:h="16838"/>
          <w:pgMar w:top="2098" w:right="1474" w:bottom="1984" w:left="1587" w:header="851" w:footer="992" w:gutter="0"/>
          <w:pgNumType w:fmt="numberInDash"/>
          <w:cols w:space="720" w:num="1"/>
          <w:docGrid w:type="linesAndChars" w:linePitch="579" w:charSpace="-1024"/>
        </w:sectPr>
      </w:pPr>
      <w:r>
        <w:rPr>
          <w:rFonts w:ascii="Times New Roman" w:hAnsi="Times New Roman" w:eastAsia="黑体" w:cs="Times New Roman"/>
          <w:bCs/>
          <w:sz w:val="28"/>
          <w:szCs w:val="28"/>
          <w:highlight w:val="none"/>
        </w:rPr>
        <w:t>正式提交日期：</w:t>
      </w:r>
      <w:r>
        <w:rPr>
          <w:rFonts w:hint="eastAsia" w:ascii="Times New Roman" w:hAnsi="Times New Roman" w:eastAsia="黑体" w:cs="Times New Roman"/>
          <w:bCs/>
          <w:sz w:val="28"/>
          <w:szCs w:val="28"/>
          <w:highlight w:val="none"/>
        </w:rPr>
        <w:t>二〇二</w:t>
      </w:r>
      <w:r>
        <w:rPr>
          <w:rFonts w:hint="eastAsia" w:ascii="Times New Roman" w:hAnsi="Times New Roman" w:eastAsia="黑体" w:cs="Times New Roman"/>
          <w:bCs/>
          <w:sz w:val="28"/>
          <w:szCs w:val="28"/>
          <w:highlight w:val="none"/>
          <w:lang w:val="en-US" w:eastAsia="zh-CN"/>
        </w:rPr>
        <w:t>四</w:t>
      </w:r>
      <w:r>
        <w:rPr>
          <w:rFonts w:hint="eastAsia" w:ascii="Times New Roman" w:hAnsi="Times New Roman" w:eastAsia="黑体" w:cs="Times New Roman"/>
          <w:bCs/>
          <w:sz w:val="28"/>
          <w:szCs w:val="28"/>
          <w:highlight w:val="none"/>
        </w:rPr>
        <w:t>年</w:t>
      </w:r>
      <w:r>
        <w:rPr>
          <w:rFonts w:hint="eastAsia" w:ascii="Times New Roman" w:hAnsi="Times New Roman" w:eastAsia="黑体" w:cs="Times New Roman"/>
          <w:bCs/>
          <w:sz w:val="28"/>
          <w:szCs w:val="28"/>
          <w:highlight w:val="none"/>
          <w:lang w:val="en-US" w:eastAsia="zh-CN"/>
        </w:rPr>
        <w:t>九</w:t>
      </w:r>
      <w:r>
        <w:rPr>
          <w:rFonts w:hint="eastAsia" w:ascii="Times New Roman" w:hAnsi="Times New Roman" w:eastAsia="黑体" w:cs="Times New Roman"/>
          <w:bCs/>
          <w:sz w:val="28"/>
          <w:szCs w:val="28"/>
          <w:highlight w:val="none"/>
        </w:rPr>
        <w:t>月三十日</w:t>
      </w:r>
    </w:p>
    <w:p>
      <w:pPr>
        <w:pageBreakBefore w:val="0"/>
        <w:kinsoku/>
        <w:wordWrap/>
        <w:overflowPunct/>
        <w:topLinePunct w:val="0"/>
        <w:autoSpaceDE/>
        <w:autoSpaceDN/>
        <w:bidi w:val="0"/>
        <w:adjustRightInd/>
        <w:spacing w:line="560" w:lineRule="exact"/>
        <w:ind w:firstLine="643" w:firstLineChars="200"/>
        <w:jc w:val="center"/>
        <w:rPr>
          <w:rFonts w:eastAsia="黑体"/>
          <w:sz w:val="32"/>
          <w:szCs w:val="32"/>
        </w:rPr>
      </w:pPr>
      <w:r>
        <w:rPr>
          <w:rFonts w:hint="eastAsia" w:ascii="黑体" w:hAnsi="黑体" w:eastAsia="黑体" w:cs="黑体"/>
          <w:b/>
          <w:bCs/>
          <w:sz w:val="32"/>
          <w:szCs w:val="32"/>
        </w:rPr>
        <w:t xml:space="preserve">目 </w:t>
      </w: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录</w:t>
      </w:r>
    </w:p>
    <w:p>
      <w:pPr>
        <w:pStyle w:val="13"/>
        <w:pageBreakBefore w:val="0"/>
        <w:tabs>
          <w:tab w:val="right" w:leader="dot" w:pos="8306"/>
        </w:tabs>
        <w:kinsoku/>
        <w:wordWrap/>
        <w:overflowPunct/>
        <w:topLinePunct w:val="0"/>
        <w:autoSpaceDE/>
        <w:autoSpaceDN/>
        <w:bidi w:val="0"/>
        <w:adjustRightInd/>
        <w:spacing w:line="560" w:lineRule="exact"/>
        <w:ind w:firstLine="800" w:firstLineChars="200"/>
        <w:rPr>
          <w:rFonts w:hint="eastAsia" w:eastAsia="仿宋"/>
          <w:sz w:val="28"/>
          <w:szCs w:val="36"/>
          <w:lang w:val="en-US" w:eastAsia="zh-CN"/>
        </w:rPr>
      </w:pPr>
      <w:r>
        <w:rPr>
          <w:rFonts w:hint="eastAsia" w:ascii="仿宋" w:hAnsi="仿宋" w:eastAsia="仿宋"/>
          <w:sz w:val="40"/>
          <w:szCs w:val="40"/>
        </w:rPr>
        <w:fldChar w:fldCharType="begin"/>
      </w:r>
      <w:r>
        <w:rPr>
          <w:rFonts w:hint="eastAsia" w:ascii="仿宋" w:hAnsi="仿宋" w:eastAsia="仿宋"/>
          <w:sz w:val="40"/>
          <w:szCs w:val="40"/>
        </w:rPr>
        <w:instrText xml:space="preserve">TOC \o "1-2" \h \u </w:instrText>
      </w:r>
      <w:r>
        <w:rPr>
          <w:rFonts w:hint="eastAsia" w:ascii="仿宋" w:hAnsi="仿宋" w:eastAsia="仿宋"/>
          <w:sz w:val="40"/>
          <w:szCs w:val="40"/>
        </w:rPr>
        <w:fldChar w:fldCharType="separate"/>
      </w:r>
      <w:r>
        <w:rPr>
          <w:rFonts w:hint="eastAsia" w:ascii="仿宋" w:hAnsi="仿宋" w:eastAsia="仿宋"/>
          <w:sz w:val="28"/>
          <w:szCs w:val="40"/>
        </w:rPr>
        <w:fldChar w:fldCharType="begin"/>
      </w:r>
      <w:r>
        <w:rPr>
          <w:rFonts w:hint="eastAsia" w:ascii="仿宋" w:hAnsi="仿宋" w:eastAsia="仿宋"/>
          <w:sz w:val="28"/>
          <w:szCs w:val="40"/>
        </w:rPr>
        <w:instrText xml:space="preserve"> HYPERLINK \l _Toc4322 </w:instrText>
      </w:r>
      <w:r>
        <w:rPr>
          <w:rFonts w:hint="eastAsia" w:ascii="仿宋" w:hAnsi="仿宋" w:eastAsia="仿宋"/>
          <w:sz w:val="28"/>
          <w:szCs w:val="40"/>
        </w:rPr>
        <w:fldChar w:fldCharType="separate"/>
      </w:r>
      <w:r>
        <w:rPr>
          <w:rFonts w:ascii="黑体" w:eastAsia="黑体" w:cs="黑体"/>
          <w:bCs w:val="0"/>
          <w:sz w:val="28"/>
          <w:szCs w:val="40"/>
        </w:rPr>
        <w:t>一、评</w:t>
      </w:r>
      <w:r>
        <w:rPr>
          <w:rFonts w:ascii="黑体" w:eastAsia="黑体" w:cs="黑体"/>
          <w:bCs w:val="0"/>
          <w:sz w:val="28"/>
          <w:szCs w:val="40"/>
          <w:highlight w:val="none"/>
        </w:rPr>
        <w:t>价结论</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1</w:t>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sz w:val="28"/>
          <w:szCs w:val="36"/>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_Toc29979 </w:instrText>
      </w:r>
      <w:r>
        <w:rPr>
          <w:rFonts w:hint="eastAsia" w:ascii="仿宋" w:hAnsi="仿宋" w:eastAsia="仿宋"/>
          <w:sz w:val="28"/>
          <w:szCs w:val="40"/>
        </w:rPr>
        <w:fldChar w:fldCharType="separate"/>
      </w:r>
      <w:r>
        <w:rPr>
          <w:rFonts w:ascii="楷体" w:hAnsi="楷体" w:eastAsia="楷体" w:cs="楷体"/>
          <w:bCs w:val="0"/>
          <w:kern w:val="2"/>
          <w:sz w:val="28"/>
          <w:szCs w:val="44"/>
          <w:highlight w:val="none"/>
        </w:rPr>
        <w:t>（一）绩效评价分数和等级</w:t>
      </w:r>
      <w:r>
        <w:rPr>
          <w:sz w:val="28"/>
          <w:szCs w:val="36"/>
        </w:rPr>
        <w:tab/>
      </w:r>
      <w:r>
        <w:rPr>
          <w:rFonts w:hint="eastAsia"/>
          <w:sz w:val="28"/>
          <w:szCs w:val="36"/>
          <w:lang w:val="en-US" w:eastAsia="zh-CN"/>
        </w:rPr>
        <w:t>1</w:t>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rFonts w:hint="eastAsia" w:ascii="仿宋" w:hAnsi="仿宋" w:eastAsia="仿宋"/>
          <w:sz w:val="28"/>
          <w:szCs w:val="40"/>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_Toc5750 </w:instrText>
      </w:r>
      <w:r>
        <w:rPr>
          <w:rFonts w:hint="eastAsia" w:ascii="仿宋" w:hAnsi="仿宋" w:eastAsia="仿宋"/>
          <w:sz w:val="28"/>
          <w:szCs w:val="40"/>
        </w:rPr>
        <w:fldChar w:fldCharType="separate"/>
      </w:r>
      <w:r>
        <w:rPr>
          <w:rFonts w:ascii="楷体" w:hAnsi="楷体" w:eastAsia="楷体" w:cs="楷体"/>
          <w:bCs w:val="0"/>
          <w:kern w:val="2"/>
          <w:sz w:val="28"/>
          <w:szCs w:val="44"/>
          <w:highlight w:val="none"/>
        </w:rPr>
        <w:t>（二）</w:t>
      </w:r>
      <w:r>
        <w:rPr>
          <w:rFonts w:hint="eastAsia" w:ascii="楷体" w:hAnsi="楷体" w:eastAsia="楷体" w:cs="楷体"/>
          <w:bCs w:val="0"/>
          <w:kern w:val="2"/>
          <w:sz w:val="28"/>
          <w:szCs w:val="44"/>
          <w:highlight w:val="none"/>
          <w:lang w:val="en-US" w:eastAsia="zh-CN"/>
        </w:rPr>
        <w:t>指标总体</w:t>
      </w:r>
      <w:r>
        <w:rPr>
          <w:rFonts w:ascii="楷体" w:hAnsi="楷体" w:eastAsia="楷体" w:cs="楷体"/>
          <w:bCs w:val="0"/>
          <w:kern w:val="2"/>
          <w:sz w:val="28"/>
          <w:szCs w:val="44"/>
          <w:highlight w:val="none"/>
        </w:rPr>
        <w:t>评价</w:t>
      </w:r>
      <w:r>
        <w:rPr>
          <w:rFonts w:hint="eastAsia" w:ascii="楷体" w:hAnsi="楷体" w:eastAsia="楷体" w:cs="楷体"/>
          <w:bCs w:val="0"/>
          <w:kern w:val="2"/>
          <w:sz w:val="28"/>
          <w:szCs w:val="44"/>
          <w:highlight w:val="none"/>
          <w:lang w:val="en-US" w:eastAsia="zh-CN"/>
        </w:rPr>
        <w:t>结论</w:t>
      </w:r>
      <w:r>
        <w:rPr>
          <w:sz w:val="28"/>
          <w:szCs w:val="36"/>
        </w:rPr>
        <w:tab/>
      </w:r>
      <w:r>
        <w:rPr>
          <w:rFonts w:hint="eastAsia"/>
          <w:sz w:val="28"/>
          <w:szCs w:val="36"/>
          <w:lang w:val="en-US" w:eastAsia="zh-CN"/>
        </w:rPr>
        <w:t>1</w:t>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rFonts w:hint="eastAsia" w:ascii="仿宋" w:hAnsi="仿宋" w:eastAsia="仿宋"/>
          <w:sz w:val="28"/>
          <w:szCs w:val="40"/>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_Toc5750 </w:instrText>
      </w:r>
      <w:r>
        <w:rPr>
          <w:rFonts w:hint="eastAsia" w:ascii="仿宋" w:hAnsi="仿宋" w:eastAsia="仿宋"/>
          <w:sz w:val="28"/>
          <w:szCs w:val="40"/>
        </w:rPr>
        <w:fldChar w:fldCharType="separate"/>
      </w:r>
      <w:r>
        <w:rPr>
          <w:rFonts w:ascii="楷体" w:hAnsi="楷体" w:eastAsia="楷体" w:cs="楷体"/>
          <w:bCs w:val="0"/>
          <w:kern w:val="2"/>
          <w:sz w:val="28"/>
          <w:szCs w:val="44"/>
          <w:highlight w:val="none"/>
        </w:rPr>
        <w:t>（</w:t>
      </w:r>
      <w:r>
        <w:rPr>
          <w:rFonts w:hint="eastAsia" w:ascii="楷体" w:hAnsi="楷体" w:eastAsia="楷体" w:cs="楷体"/>
          <w:bCs w:val="0"/>
          <w:kern w:val="2"/>
          <w:sz w:val="28"/>
          <w:szCs w:val="44"/>
          <w:highlight w:val="none"/>
          <w:lang w:val="en-US" w:eastAsia="zh-CN"/>
        </w:rPr>
        <w:t>三</w:t>
      </w:r>
      <w:r>
        <w:rPr>
          <w:rFonts w:ascii="楷体" w:hAnsi="楷体" w:eastAsia="楷体" w:cs="楷体"/>
          <w:bCs w:val="0"/>
          <w:kern w:val="2"/>
          <w:sz w:val="28"/>
          <w:szCs w:val="44"/>
          <w:highlight w:val="none"/>
        </w:rPr>
        <w:t>）</w:t>
      </w:r>
      <w:r>
        <w:rPr>
          <w:rFonts w:hint="eastAsia" w:ascii="楷体" w:hAnsi="楷体" w:eastAsia="楷体" w:cs="楷体"/>
          <w:bCs w:val="0"/>
          <w:kern w:val="2"/>
          <w:sz w:val="28"/>
          <w:szCs w:val="44"/>
          <w:highlight w:val="none"/>
          <w:lang w:val="en-US" w:eastAsia="zh-CN"/>
        </w:rPr>
        <w:t>绩效目标完成情况</w:t>
      </w:r>
      <w:r>
        <w:rPr>
          <w:sz w:val="28"/>
          <w:szCs w:val="36"/>
        </w:rPr>
        <w:tab/>
      </w:r>
      <w:r>
        <w:rPr>
          <w:rFonts w:hint="eastAsia"/>
          <w:sz w:val="28"/>
          <w:szCs w:val="36"/>
          <w:lang w:val="en-US" w:eastAsia="zh-CN"/>
        </w:rPr>
        <w:t>2</w:t>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sz w:val="28"/>
          <w:szCs w:val="36"/>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_Toc228 </w:instrText>
      </w:r>
      <w:r>
        <w:rPr>
          <w:rFonts w:hint="eastAsia" w:ascii="仿宋" w:hAnsi="仿宋" w:eastAsia="仿宋"/>
          <w:sz w:val="28"/>
          <w:szCs w:val="40"/>
        </w:rPr>
        <w:fldChar w:fldCharType="separate"/>
      </w:r>
      <w:r>
        <w:rPr>
          <w:rFonts w:ascii="黑体" w:eastAsia="黑体" w:cs="黑体"/>
          <w:bCs w:val="0"/>
          <w:sz w:val="28"/>
          <w:szCs w:val="40"/>
        </w:rPr>
        <w:t>二、预算绩效评价详细情况</w:t>
      </w:r>
      <w:r>
        <w:rPr>
          <w:sz w:val="28"/>
          <w:szCs w:val="36"/>
        </w:rPr>
        <w:tab/>
      </w:r>
      <w:r>
        <w:rPr>
          <w:rFonts w:hint="eastAsia"/>
          <w:sz w:val="28"/>
          <w:szCs w:val="36"/>
          <w:lang w:val="en-US" w:eastAsia="zh-CN"/>
        </w:rPr>
        <w:t>3</w:t>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sz w:val="28"/>
          <w:szCs w:val="36"/>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_Toc24723 </w:instrText>
      </w:r>
      <w:r>
        <w:rPr>
          <w:rFonts w:hint="eastAsia" w:ascii="仿宋" w:hAnsi="仿宋" w:eastAsia="仿宋"/>
          <w:sz w:val="28"/>
          <w:szCs w:val="40"/>
        </w:rPr>
        <w:fldChar w:fldCharType="separate"/>
      </w:r>
      <w:r>
        <w:rPr>
          <w:rFonts w:ascii="楷体" w:hAnsi="楷体" w:eastAsia="楷体" w:cs="楷体"/>
          <w:bCs w:val="0"/>
          <w:kern w:val="2"/>
          <w:sz w:val="28"/>
          <w:szCs w:val="44"/>
        </w:rPr>
        <w:t>（一）基本情况</w:t>
      </w:r>
      <w:r>
        <w:rPr>
          <w:sz w:val="28"/>
          <w:szCs w:val="36"/>
        </w:rPr>
        <w:tab/>
      </w:r>
      <w:r>
        <w:rPr>
          <w:rFonts w:hint="eastAsia"/>
          <w:sz w:val="28"/>
          <w:szCs w:val="36"/>
          <w:lang w:val="en-US" w:eastAsia="zh-CN"/>
        </w:rPr>
        <w:t>3</w:t>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sz w:val="28"/>
          <w:szCs w:val="36"/>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_Toc15462 </w:instrText>
      </w:r>
      <w:r>
        <w:rPr>
          <w:rFonts w:hint="eastAsia" w:ascii="仿宋" w:hAnsi="仿宋" w:eastAsia="仿宋"/>
          <w:sz w:val="28"/>
          <w:szCs w:val="40"/>
        </w:rPr>
        <w:fldChar w:fldCharType="separate"/>
      </w:r>
      <w:r>
        <w:rPr>
          <w:rFonts w:ascii="楷体" w:hAnsi="楷体" w:eastAsia="楷体" w:cs="楷体"/>
          <w:bCs w:val="0"/>
          <w:kern w:val="2"/>
          <w:sz w:val="28"/>
          <w:szCs w:val="44"/>
        </w:rPr>
        <w:t>（二）绩效评价工作情况</w:t>
      </w:r>
      <w:r>
        <w:rPr>
          <w:sz w:val="28"/>
          <w:szCs w:val="36"/>
        </w:rPr>
        <w:tab/>
      </w:r>
      <w:r>
        <w:rPr>
          <w:sz w:val="28"/>
          <w:szCs w:val="36"/>
        </w:rPr>
        <w:fldChar w:fldCharType="begin"/>
      </w:r>
      <w:r>
        <w:rPr>
          <w:sz w:val="28"/>
          <w:szCs w:val="36"/>
        </w:rPr>
        <w:instrText xml:space="preserve"> PAGEREF _Toc15462 \h </w:instrText>
      </w:r>
      <w:r>
        <w:rPr>
          <w:sz w:val="28"/>
          <w:szCs w:val="36"/>
        </w:rPr>
        <w:fldChar w:fldCharType="separate"/>
      </w:r>
      <w:r>
        <w:rPr>
          <w:sz w:val="28"/>
          <w:szCs w:val="36"/>
        </w:rPr>
        <w:t>4</w:t>
      </w:r>
      <w:r>
        <w:rPr>
          <w:sz w:val="28"/>
          <w:szCs w:val="36"/>
        </w:rPr>
        <w:fldChar w:fldCharType="end"/>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rFonts w:hint="eastAsia" w:ascii="仿宋" w:hAnsi="仿宋" w:eastAsia="仿宋"/>
          <w:sz w:val="28"/>
          <w:szCs w:val="40"/>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_Toc29175 </w:instrText>
      </w:r>
      <w:r>
        <w:rPr>
          <w:rFonts w:hint="eastAsia" w:ascii="仿宋" w:hAnsi="仿宋" w:eastAsia="仿宋"/>
          <w:sz w:val="28"/>
          <w:szCs w:val="40"/>
        </w:rPr>
        <w:fldChar w:fldCharType="separate"/>
      </w:r>
      <w:r>
        <w:rPr>
          <w:rFonts w:hint="eastAsia" w:ascii="黑体" w:eastAsia="黑体" w:cs="黑体"/>
          <w:bCs w:val="0"/>
          <w:sz w:val="28"/>
          <w:szCs w:val="40"/>
          <w:lang w:val="en-US" w:eastAsia="zh-CN"/>
        </w:rPr>
        <w:t>三、</w:t>
      </w:r>
      <w:r>
        <w:rPr>
          <w:rFonts w:hint="eastAsia" w:ascii="黑体" w:eastAsia="黑体" w:cs="黑体"/>
          <w:bCs w:val="0"/>
          <w:sz w:val="28"/>
          <w:szCs w:val="40"/>
        </w:rPr>
        <w:t>绩效评价指标完成情况分析</w:t>
      </w:r>
      <w:r>
        <w:rPr>
          <w:sz w:val="28"/>
          <w:szCs w:val="36"/>
        </w:rPr>
        <w:tab/>
      </w:r>
      <w:r>
        <w:rPr>
          <w:rFonts w:hint="eastAsia" w:ascii="仿宋" w:hAnsi="仿宋" w:eastAsia="仿宋"/>
          <w:sz w:val="28"/>
          <w:szCs w:val="40"/>
        </w:rPr>
        <w:fldChar w:fldCharType="begin"/>
      </w:r>
      <w:r>
        <w:rPr>
          <w:rFonts w:hint="eastAsia" w:ascii="仿宋" w:hAnsi="仿宋" w:eastAsia="仿宋"/>
          <w:sz w:val="28"/>
          <w:szCs w:val="40"/>
        </w:rPr>
        <w:instrText xml:space="preserve"> PAGEREF _Toc29175 \h </w:instrText>
      </w:r>
      <w:r>
        <w:rPr>
          <w:rFonts w:hint="eastAsia" w:ascii="仿宋" w:hAnsi="仿宋" w:eastAsia="仿宋"/>
          <w:sz w:val="28"/>
          <w:szCs w:val="40"/>
        </w:rPr>
        <w:fldChar w:fldCharType="separate"/>
      </w:r>
      <w:r>
        <w:rPr>
          <w:rFonts w:hint="eastAsia" w:ascii="仿宋" w:hAnsi="仿宋" w:eastAsia="仿宋"/>
          <w:sz w:val="28"/>
          <w:szCs w:val="40"/>
        </w:rPr>
        <w:t>5</w:t>
      </w:r>
      <w:r>
        <w:rPr>
          <w:rFonts w:hint="eastAsia" w:ascii="仿宋" w:hAnsi="仿宋" w:eastAsia="仿宋"/>
          <w:sz w:val="28"/>
          <w:szCs w:val="40"/>
        </w:rPr>
        <w:fldChar w:fldCharType="end"/>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sz w:val="28"/>
          <w:szCs w:val="36"/>
        </w:rPr>
      </w:pPr>
      <w:r>
        <w:rPr>
          <w:rFonts w:hint="eastAsia" w:ascii="仿宋" w:hAnsi="仿宋" w:eastAsia="仿宋"/>
          <w:sz w:val="28"/>
          <w:szCs w:val="40"/>
          <w:lang w:eastAsia="zh-CN"/>
        </w:rPr>
        <w:t>（</w:t>
      </w:r>
      <w:r>
        <w:rPr>
          <w:rFonts w:hint="eastAsia" w:ascii="仿宋" w:hAnsi="仿宋" w:eastAsia="仿宋"/>
          <w:sz w:val="28"/>
          <w:szCs w:val="40"/>
          <w:lang w:val="en-US" w:eastAsia="zh-CN"/>
        </w:rPr>
        <w:t>一</w:t>
      </w:r>
      <w:r>
        <w:rPr>
          <w:rFonts w:hint="eastAsia" w:ascii="仿宋" w:hAnsi="仿宋" w:eastAsia="仿宋"/>
          <w:sz w:val="28"/>
          <w:szCs w:val="40"/>
          <w:lang w:eastAsia="zh-CN"/>
        </w:rPr>
        <w:t>）</w:t>
      </w:r>
      <w:r>
        <w:rPr>
          <w:rFonts w:hint="eastAsia" w:ascii="仿宋" w:hAnsi="仿宋" w:eastAsia="仿宋"/>
          <w:sz w:val="28"/>
          <w:szCs w:val="40"/>
        </w:rPr>
        <w:fldChar w:fldCharType="begin"/>
      </w:r>
      <w:r>
        <w:rPr>
          <w:rFonts w:hint="eastAsia" w:ascii="仿宋" w:hAnsi="仿宋" w:eastAsia="仿宋"/>
          <w:sz w:val="28"/>
          <w:szCs w:val="40"/>
        </w:rPr>
        <w:instrText xml:space="preserve"> HYPERLINK \l _Toc24157 </w:instrText>
      </w:r>
      <w:r>
        <w:rPr>
          <w:rFonts w:hint="eastAsia" w:ascii="仿宋" w:hAnsi="仿宋" w:eastAsia="仿宋"/>
          <w:sz w:val="28"/>
          <w:szCs w:val="40"/>
        </w:rPr>
        <w:fldChar w:fldCharType="separate"/>
      </w:r>
      <w:r>
        <w:rPr>
          <w:rFonts w:ascii="仿宋" w:hAnsi="仿宋" w:eastAsia="仿宋" w:cs="仿宋"/>
          <w:kern w:val="2"/>
          <w:sz w:val="28"/>
          <w:szCs w:val="44"/>
        </w:rPr>
        <w:t>运行成本绩效指标完成情况分析</w:t>
      </w:r>
      <w:r>
        <w:rPr>
          <w:sz w:val="28"/>
          <w:szCs w:val="36"/>
        </w:rPr>
        <w:tab/>
      </w:r>
      <w:r>
        <w:rPr>
          <w:sz w:val="28"/>
          <w:szCs w:val="36"/>
        </w:rPr>
        <w:fldChar w:fldCharType="begin"/>
      </w:r>
      <w:r>
        <w:rPr>
          <w:sz w:val="28"/>
          <w:szCs w:val="36"/>
        </w:rPr>
        <w:instrText xml:space="preserve"> PAGEREF _Toc24157 \h </w:instrText>
      </w:r>
      <w:r>
        <w:rPr>
          <w:sz w:val="28"/>
          <w:szCs w:val="36"/>
        </w:rPr>
        <w:fldChar w:fldCharType="separate"/>
      </w:r>
      <w:r>
        <w:rPr>
          <w:sz w:val="28"/>
          <w:szCs w:val="36"/>
        </w:rPr>
        <w:t>5</w:t>
      </w:r>
      <w:r>
        <w:rPr>
          <w:sz w:val="28"/>
          <w:szCs w:val="36"/>
        </w:rPr>
        <w:fldChar w:fldCharType="end"/>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sz w:val="28"/>
          <w:szCs w:val="36"/>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_Toc29006 </w:instrText>
      </w:r>
      <w:r>
        <w:rPr>
          <w:rFonts w:hint="eastAsia" w:ascii="仿宋" w:hAnsi="仿宋" w:eastAsia="仿宋"/>
          <w:sz w:val="28"/>
          <w:szCs w:val="40"/>
        </w:rPr>
        <w:fldChar w:fldCharType="separate"/>
      </w:r>
      <w:r>
        <w:rPr>
          <w:rFonts w:hint="eastAsia" w:ascii="仿宋" w:hAnsi="仿宋" w:eastAsia="仿宋"/>
          <w:sz w:val="28"/>
          <w:szCs w:val="40"/>
          <w:lang w:eastAsia="zh-CN"/>
        </w:rPr>
        <w:t>（</w:t>
      </w:r>
      <w:r>
        <w:rPr>
          <w:rFonts w:hint="eastAsia" w:ascii="仿宋" w:hAnsi="仿宋" w:eastAsia="仿宋"/>
          <w:sz w:val="28"/>
          <w:szCs w:val="40"/>
          <w:lang w:val="en-US" w:eastAsia="zh-CN"/>
        </w:rPr>
        <w:t>二</w:t>
      </w:r>
      <w:r>
        <w:rPr>
          <w:rFonts w:hint="eastAsia" w:ascii="仿宋" w:hAnsi="仿宋" w:eastAsia="仿宋"/>
          <w:sz w:val="28"/>
          <w:szCs w:val="40"/>
          <w:lang w:eastAsia="zh-CN"/>
        </w:rPr>
        <w:t>）</w:t>
      </w:r>
      <w:r>
        <w:rPr>
          <w:rFonts w:hint="eastAsia" w:ascii="仿宋" w:hAnsi="仿宋" w:eastAsia="仿宋" w:cs="仿宋"/>
          <w:bCs/>
          <w:kern w:val="44"/>
          <w:sz w:val="28"/>
          <w:szCs w:val="44"/>
          <w:lang w:bidi="ar"/>
        </w:rPr>
        <w:t>管理效率绩效指标完成情况分析</w:t>
      </w:r>
      <w:r>
        <w:rPr>
          <w:sz w:val="28"/>
          <w:szCs w:val="36"/>
        </w:rPr>
        <w:tab/>
      </w:r>
      <w:r>
        <w:rPr>
          <w:sz w:val="28"/>
          <w:szCs w:val="36"/>
        </w:rPr>
        <w:fldChar w:fldCharType="begin"/>
      </w:r>
      <w:r>
        <w:rPr>
          <w:sz w:val="28"/>
          <w:szCs w:val="36"/>
        </w:rPr>
        <w:instrText xml:space="preserve"> PAGEREF _Toc29006 \h </w:instrText>
      </w:r>
      <w:r>
        <w:rPr>
          <w:sz w:val="28"/>
          <w:szCs w:val="36"/>
        </w:rPr>
        <w:fldChar w:fldCharType="separate"/>
      </w:r>
      <w:r>
        <w:rPr>
          <w:sz w:val="28"/>
          <w:szCs w:val="36"/>
        </w:rPr>
        <w:t>6</w:t>
      </w:r>
      <w:r>
        <w:rPr>
          <w:sz w:val="28"/>
          <w:szCs w:val="36"/>
        </w:rPr>
        <w:fldChar w:fldCharType="end"/>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rFonts w:hint="default" w:eastAsia="仿宋"/>
          <w:sz w:val="28"/>
          <w:szCs w:val="36"/>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_Toc29117 </w:instrText>
      </w:r>
      <w:r>
        <w:rPr>
          <w:rFonts w:hint="eastAsia" w:ascii="仿宋" w:hAnsi="仿宋" w:eastAsia="仿宋"/>
          <w:sz w:val="28"/>
          <w:szCs w:val="40"/>
        </w:rPr>
        <w:fldChar w:fldCharType="separate"/>
      </w:r>
      <w:r>
        <w:rPr>
          <w:rFonts w:hint="eastAsia" w:ascii="仿宋" w:hAnsi="仿宋" w:eastAsia="仿宋"/>
          <w:sz w:val="28"/>
          <w:szCs w:val="40"/>
          <w:lang w:eastAsia="zh-CN"/>
        </w:rPr>
        <w:t>（</w:t>
      </w:r>
      <w:r>
        <w:rPr>
          <w:rFonts w:hint="eastAsia" w:ascii="仿宋" w:hAnsi="仿宋" w:eastAsia="仿宋"/>
          <w:sz w:val="28"/>
          <w:szCs w:val="40"/>
          <w:lang w:val="en-US" w:eastAsia="zh-CN"/>
        </w:rPr>
        <w:t>三</w:t>
      </w:r>
      <w:r>
        <w:rPr>
          <w:rFonts w:hint="eastAsia" w:ascii="仿宋" w:hAnsi="仿宋" w:eastAsia="仿宋"/>
          <w:sz w:val="28"/>
          <w:szCs w:val="40"/>
          <w:lang w:eastAsia="zh-CN"/>
        </w:rPr>
        <w:t>）</w:t>
      </w:r>
      <w:r>
        <w:rPr>
          <w:rFonts w:hint="eastAsia" w:ascii="仿宋" w:hAnsi="仿宋" w:eastAsia="仿宋" w:cs="仿宋"/>
          <w:bCs/>
          <w:kern w:val="44"/>
          <w:sz w:val="28"/>
          <w:szCs w:val="44"/>
          <w:lang w:bidi="ar"/>
        </w:rPr>
        <w:t>履职效能绩效指标完成情况分析</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11</w:t>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rFonts w:hint="eastAsia" w:eastAsia="仿宋"/>
          <w:sz w:val="28"/>
          <w:szCs w:val="36"/>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_Toc16283 </w:instrText>
      </w:r>
      <w:r>
        <w:rPr>
          <w:rFonts w:hint="eastAsia" w:ascii="仿宋" w:hAnsi="仿宋" w:eastAsia="仿宋"/>
          <w:sz w:val="28"/>
          <w:szCs w:val="40"/>
        </w:rPr>
        <w:fldChar w:fldCharType="separate"/>
      </w:r>
      <w:r>
        <w:rPr>
          <w:rFonts w:hint="eastAsia" w:ascii="仿宋" w:hAnsi="仿宋" w:eastAsia="仿宋"/>
          <w:sz w:val="28"/>
          <w:szCs w:val="40"/>
          <w:lang w:eastAsia="zh-CN"/>
        </w:rPr>
        <w:t>（</w:t>
      </w:r>
      <w:r>
        <w:rPr>
          <w:rFonts w:hint="eastAsia" w:ascii="仿宋" w:hAnsi="仿宋" w:eastAsia="仿宋"/>
          <w:sz w:val="28"/>
          <w:szCs w:val="40"/>
          <w:lang w:val="en-US" w:eastAsia="zh-CN"/>
        </w:rPr>
        <w:t>四</w:t>
      </w:r>
      <w:r>
        <w:rPr>
          <w:rFonts w:hint="eastAsia" w:ascii="仿宋" w:hAnsi="仿宋" w:eastAsia="仿宋"/>
          <w:sz w:val="28"/>
          <w:szCs w:val="40"/>
          <w:lang w:eastAsia="zh-CN"/>
        </w:rPr>
        <w:t>）</w:t>
      </w:r>
      <w:r>
        <w:rPr>
          <w:rFonts w:hint="eastAsia" w:ascii="仿宋" w:hAnsi="仿宋" w:eastAsia="仿宋" w:cs="仿宋"/>
          <w:bCs/>
          <w:kern w:val="44"/>
          <w:sz w:val="28"/>
          <w:szCs w:val="44"/>
          <w:lang w:bidi="ar"/>
        </w:rPr>
        <w:t>社会效应绩效指标完成情况分析</w:t>
      </w:r>
      <w:r>
        <w:rPr>
          <w:sz w:val="28"/>
          <w:szCs w:val="36"/>
        </w:rPr>
        <w:tab/>
      </w:r>
      <w:r>
        <w:rPr>
          <w:sz w:val="28"/>
          <w:szCs w:val="36"/>
        </w:rPr>
        <w:fldChar w:fldCharType="begin"/>
      </w:r>
      <w:r>
        <w:rPr>
          <w:sz w:val="28"/>
          <w:szCs w:val="36"/>
        </w:rPr>
        <w:instrText xml:space="preserve"> PAGEREF _Toc16283 \h </w:instrText>
      </w:r>
      <w:r>
        <w:rPr>
          <w:sz w:val="28"/>
          <w:szCs w:val="36"/>
        </w:rPr>
        <w:fldChar w:fldCharType="separate"/>
      </w:r>
      <w:r>
        <w:rPr>
          <w:sz w:val="28"/>
          <w:szCs w:val="36"/>
        </w:rPr>
        <w:t>14</w:t>
      </w:r>
      <w:r>
        <w:rPr>
          <w:sz w:val="28"/>
          <w:szCs w:val="36"/>
        </w:rPr>
        <w:fldChar w:fldCharType="end"/>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rFonts w:hint="eastAsia" w:eastAsia="仿宋"/>
          <w:sz w:val="28"/>
          <w:szCs w:val="36"/>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_Toc14259 </w:instrText>
      </w:r>
      <w:r>
        <w:rPr>
          <w:rFonts w:hint="eastAsia" w:ascii="仿宋" w:hAnsi="仿宋" w:eastAsia="仿宋"/>
          <w:sz w:val="28"/>
          <w:szCs w:val="40"/>
        </w:rPr>
        <w:fldChar w:fldCharType="separate"/>
      </w:r>
      <w:r>
        <w:rPr>
          <w:rFonts w:hint="eastAsia" w:ascii="仿宋" w:hAnsi="仿宋" w:eastAsia="仿宋"/>
          <w:sz w:val="28"/>
          <w:szCs w:val="40"/>
          <w:lang w:eastAsia="zh-CN"/>
        </w:rPr>
        <w:t>（</w:t>
      </w:r>
      <w:r>
        <w:rPr>
          <w:rFonts w:hint="eastAsia" w:ascii="仿宋" w:hAnsi="仿宋" w:eastAsia="仿宋"/>
          <w:sz w:val="28"/>
          <w:szCs w:val="40"/>
          <w:lang w:val="en-US" w:eastAsia="zh-CN"/>
        </w:rPr>
        <w:t>五</w:t>
      </w:r>
      <w:r>
        <w:rPr>
          <w:rFonts w:hint="eastAsia" w:ascii="仿宋" w:hAnsi="仿宋" w:eastAsia="仿宋"/>
          <w:sz w:val="28"/>
          <w:szCs w:val="40"/>
          <w:lang w:eastAsia="zh-CN"/>
        </w:rPr>
        <w:t>）</w:t>
      </w:r>
      <w:r>
        <w:rPr>
          <w:rFonts w:hint="eastAsia" w:ascii="仿宋" w:hAnsi="仿宋" w:eastAsia="仿宋" w:cs="仿宋"/>
          <w:bCs/>
          <w:kern w:val="44"/>
          <w:sz w:val="28"/>
          <w:szCs w:val="44"/>
          <w:lang w:bidi="ar"/>
        </w:rPr>
        <w:t>可持续发展能力绩效指标完成情况分析</w:t>
      </w:r>
      <w:r>
        <w:rPr>
          <w:sz w:val="28"/>
          <w:szCs w:val="36"/>
        </w:rPr>
        <w:tab/>
      </w:r>
      <w:r>
        <w:rPr>
          <w:sz w:val="28"/>
          <w:szCs w:val="36"/>
        </w:rPr>
        <w:fldChar w:fldCharType="begin"/>
      </w:r>
      <w:r>
        <w:rPr>
          <w:sz w:val="28"/>
          <w:szCs w:val="36"/>
        </w:rPr>
        <w:instrText xml:space="preserve"> PAGEREF _Toc14259 \h </w:instrText>
      </w:r>
      <w:r>
        <w:rPr>
          <w:sz w:val="28"/>
          <w:szCs w:val="36"/>
        </w:rPr>
        <w:fldChar w:fldCharType="separate"/>
      </w:r>
      <w:r>
        <w:rPr>
          <w:sz w:val="28"/>
          <w:szCs w:val="36"/>
        </w:rPr>
        <w:t>16</w:t>
      </w:r>
      <w:r>
        <w:rPr>
          <w:sz w:val="28"/>
          <w:szCs w:val="36"/>
        </w:rPr>
        <w:fldChar w:fldCharType="end"/>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rFonts w:hint="eastAsia" w:eastAsia="仿宋"/>
          <w:sz w:val="28"/>
          <w:szCs w:val="36"/>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_Toc31939 </w:instrText>
      </w:r>
      <w:r>
        <w:rPr>
          <w:rFonts w:hint="eastAsia" w:ascii="仿宋" w:hAnsi="仿宋" w:eastAsia="仿宋"/>
          <w:sz w:val="28"/>
          <w:szCs w:val="40"/>
        </w:rPr>
        <w:fldChar w:fldCharType="separate"/>
      </w:r>
      <w:r>
        <w:rPr>
          <w:rFonts w:hint="eastAsia" w:ascii="仿宋" w:hAnsi="仿宋" w:eastAsia="仿宋"/>
          <w:sz w:val="28"/>
          <w:szCs w:val="40"/>
          <w:lang w:eastAsia="zh-CN"/>
        </w:rPr>
        <w:t>（</w:t>
      </w:r>
      <w:r>
        <w:rPr>
          <w:rFonts w:hint="eastAsia" w:ascii="仿宋" w:hAnsi="仿宋" w:eastAsia="仿宋"/>
          <w:sz w:val="28"/>
          <w:szCs w:val="40"/>
          <w:lang w:val="en-US" w:eastAsia="zh-CN"/>
        </w:rPr>
        <w:t>六</w:t>
      </w:r>
      <w:r>
        <w:rPr>
          <w:rFonts w:hint="eastAsia" w:ascii="仿宋" w:hAnsi="仿宋" w:eastAsia="仿宋"/>
          <w:sz w:val="28"/>
          <w:szCs w:val="40"/>
          <w:lang w:eastAsia="zh-CN"/>
        </w:rPr>
        <w:t>）</w:t>
      </w:r>
      <w:r>
        <w:rPr>
          <w:rFonts w:hint="eastAsia" w:ascii="仿宋" w:hAnsi="仿宋" w:eastAsia="仿宋" w:cs="仿宋"/>
          <w:bCs/>
          <w:kern w:val="44"/>
          <w:sz w:val="28"/>
          <w:szCs w:val="44"/>
          <w:lang w:bidi="ar"/>
        </w:rPr>
        <w:t>满意度绩效指标完成情况分析</w:t>
      </w:r>
      <w:r>
        <w:rPr>
          <w:sz w:val="28"/>
          <w:szCs w:val="36"/>
        </w:rPr>
        <w:tab/>
      </w:r>
      <w:r>
        <w:rPr>
          <w:sz w:val="28"/>
          <w:szCs w:val="36"/>
        </w:rPr>
        <w:fldChar w:fldCharType="begin"/>
      </w:r>
      <w:r>
        <w:rPr>
          <w:sz w:val="28"/>
          <w:szCs w:val="36"/>
        </w:rPr>
        <w:instrText xml:space="preserve"> PAGEREF _Toc31939 \h </w:instrText>
      </w:r>
      <w:r>
        <w:rPr>
          <w:sz w:val="28"/>
          <w:szCs w:val="36"/>
        </w:rPr>
        <w:fldChar w:fldCharType="separate"/>
      </w:r>
      <w:r>
        <w:rPr>
          <w:sz w:val="28"/>
          <w:szCs w:val="36"/>
        </w:rPr>
        <w:t>17</w:t>
      </w:r>
      <w:r>
        <w:rPr>
          <w:sz w:val="28"/>
          <w:szCs w:val="36"/>
        </w:rPr>
        <w:fldChar w:fldCharType="end"/>
      </w:r>
      <w:r>
        <w:rPr>
          <w:rFonts w:hint="eastAsia" w:ascii="仿宋" w:hAnsi="仿宋" w:eastAsia="仿宋"/>
          <w:sz w:val="28"/>
          <w:szCs w:val="40"/>
        </w:rPr>
        <w:fldChar w:fldCharType="end"/>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rFonts w:hint="eastAsia" w:ascii="黑体" w:eastAsia="黑体" w:cs="黑体"/>
          <w:bCs w:val="0"/>
          <w:sz w:val="28"/>
          <w:szCs w:val="40"/>
          <w:lang w:val="en-US" w:eastAsia="zh-CN"/>
        </w:rPr>
      </w:pPr>
      <w:r>
        <w:rPr>
          <w:rFonts w:hint="eastAsia" w:ascii="黑体" w:eastAsia="黑体" w:cs="黑体"/>
          <w:bCs w:val="0"/>
          <w:sz w:val="28"/>
          <w:szCs w:val="40"/>
          <w:lang w:val="en-US" w:eastAsia="zh-CN"/>
        </w:rPr>
        <w:fldChar w:fldCharType="begin"/>
      </w:r>
      <w:r>
        <w:rPr>
          <w:rFonts w:hint="eastAsia" w:ascii="黑体" w:eastAsia="黑体" w:cs="黑体"/>
          <w:bCs w:val="0"/>
          <w:sz w:val="28"/>
          <w:szCs w:val="40"/>
          <w:lang w:val="en-US" w:eastAsia="zh-CN"/>
        </w:rPr>
        <w:instrText xml:space="preserve"> HYPERLINK \l _Toc29175 </w:instrText>
      </w:r>
      <w:r>
        <w:rPr>
          <w:rFonts w:hint="eastAsia" w:ascii="黑体" w:eastAsia="黑体" w:cs="黑体"/>
          <w:bCs w:val="0"/>
          <w:sz w:val="28"/>
          <w:szCs w:val="40"/>
          <w:lang w:val="en-US" w:eastAsia="zh-CN"/>
        </w:rPr>
        <w:fldChar w:fldCharType="separate"/>
      </w:r>
      <w:r>
        <w:rPr>
          <w:rFonts w:hint="eastAsia" w:ascii="黑体" w:eastAsia="黑体" w:cs="黑体"/>
          <w:bCs w:val="0"/>
          <w:sz w:val="28"/>
          <w:szCs w:val="40"/>
          <w:lang w:val="en-US" w:eastAsia="zh-CN"/>
        </w:rPr>
        <w:t>四、存在的问题和建议</w:t>
      </w:r>
      <w:r>
        <w:rPr>
          <w:rFonts w:hint="eastAsia" w:ascii="黑体" w:eastAsia="黑体" w:cs="黑体"/>
          <w:bCs w:val="0"/>
          <w:sz w:val="28"/>
          <w:szCs w:val="40"/>
          <w:lang w:val="en-US" w:eastAsia="zh-CN"/>
        </w:rPr>
        <w:tab/>
      </w:r>
      <w:r>
        <w:rPr>
          <w:rFonts w:hint="eastAsia" w:ascii="黑体" w:eastAsia="黑体" w:cs="黑体"/>
          <w:bCs w:val="0"/>
          <w:sz w:val="28"/>
          <w:szCs w:val="40"/>
          <w:lang w:val="en-US" w:eastAsia="zh-CN"/>
        </w:rPr>
        <w:t>1</w:t>
      </w:r>
      <w:r>
        <w:rPr>
          <w:rFonts w:hint="eastAsia" w:ascii="黑体" w:eastAsia="黑体" w:cs="黑体"/>
          <w:bCs w:val="0"/>
          <w:sz w:val="28"/>
          <w:szCs w:val="40"/>
          <w:lang w:val="en-US" w:eastAsia="zh-CN"/>
        </w:rPr>
        <w:fldChar w:fldCharType="end"/>
      </w:r>
      <w:r>
        <w:rPr>
          <w:rFonts w:hint="eastAsia" w:ascii="黑体" w:eastAsia="黑体" w:cs="黑体"/>
          <w:bCs w:val="0"/>
          <w:sz w:val="28"/>
          <w:szCs w:val="40"/>
          <w:lang w:val="en-US" w:eastAsia="zh-CN"/>
        </w:rPr>
        <w:t>8</w:t>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rFonts w:hint="eastAsia" w:eastAsia="仿宋"/>
          <w:sz w:val="28"/>
          <w:szCs w:val="36"/>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_Toc1947 </w:instrText>
      </w:r>
      <w:r>
        <w:rPr>
          <w:rFonts w:hint="eastAsia" w:ascii="仿宋" w:hAnsi="仿宋" w:eastAsia="仿宋"/>
          <w:sz w:val="28"/>
          <w:szCs w:val="40"/>
        </w:rPr>
        <w:fldChar w:fldCharType="separate"/>
      </w:r>
      <w:r>
        <w:rPr>
          <w:rFonts w:ascii="仿宋" w:hAnsi="仿宋" w:eastAsia="仿宋" w:cs="仿宋"/>
          <w:kern w:val="2"/>
          <w:sz w:val="28"/>
          <w:szCs w:val="44"/>
        </w:rPr>
        <w:t>1.</w:t>
      </w:r>
      <w:r>
        <w:rPr>
          <w:rFonts w:hint="eastAsia" w:ascii="仿宋" w:hAnsi="仿宋" w:eastAsia="仿宋" w:cs="仿宋"/>
          <w:kern w:val="2"/>
          <w:sz w:val="28"/>
          <w:szCs w:val="44"/>
          <w:lang w:val="en-US" w:eastAsia="zh-CN"/>
        </w:rPr>
        <w:t>存在的问题</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8</w:t>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rFonts w:hint="eastAsia" w:ascii="仿宋" w:hAnsi="仿宋" w:eastAsia="仿宋"/>
          <w:sz w:val="28"/>
          <w:szCs w:val="40"/>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_Toc13497 </w:instrText>
      </w:r>
      <w:r>
        <w:rPr>
          <w:rFonts w:hint="eastAsia" w:ascii="仿宋" w:hAnsi="仿宋" w:eastAsia="仿宋"/>
          <w:sz w:val="28"/>
          <w:szCs w:val="40"/>
        </w:rPr>
        <w:fldChar w:fldCharType="separate"/>
      </w:r>
      <w:r>
        <w:rPr>
          <w:rFonts w:ascii="仿宋" w:hAnsi="仿宋" w:eastAsia="仿宋" w:cs="仿宋"/>
          <w:kern w:val="2"/>
          <w:sz w:val="28"/>
          <w:szCs w:val="44"/>
        </w:rPr>
        <w:t>2.</w:t>
      </w:r>
      <w:r>
        <w:rPr>
          <w:rFonts w:hint="eastAsia" w:ascii="仿宋" w:hAnsi="仿宋" w:eastAsia="仿宋"/>
          <w:sz w:val="28"/>
          <w:szCs w:val="40"/>
        </w:rPr>
        <w:fldChar w:fldCharType="end"/>
      </w:r>
      <w:r>
        <w:rPr>
          <w:rFonts w:hint="eastAsia" w:ascii="仿宋" w:hAnsi="仿宋" w:eastAsia="仿宋"/>
          <w:sz w:val="28"/>
          <w:szCs w:val="40"/>
        </w:rPr>
        <w:fldChar w:fldCharType="begin"/>
      </w:r>
      <w:r>
        <w:rPr>
          <w:rFonts w:hint="eastAsia" w:ascii="仿宋" w:hAnsi="仿宋" w:eastAsia="仿宋"/>
          <w:sz w:val="28"/>
          <w:szCs w:val="40"/>
        </w:rPr>
        <w:instrText xml:space="preserve"> HYPERLINK \l _Toc6524 </w:instrText>
      </w:r>
      <w:r>
        <w:rPr>
          <w:rFonts w:hint="eastAsia" w:ascii="仿宋" w:hAnsi="仿宋" w:eastAsia="仿宋"/>
          <w:sz w:val="28"/>
          <w:szCs w:val="40"/>
        </w:rPr>
        <w:fldChar w:fldCharType="separate"/>
      </w:r>
      <w:r>
        <w:rPr>
          <w:rFonts w:ascii="仿宋" w:hAnsi="仿宋" w:eastAsia="仿宋" w:cs="仿宋"/>
          <w:kern w:val="2"/>
          <w:sz w:val="28"/>
          <w:szCs w:val="44"/>
        </w:rPr>
        <w:t>相关整改建议</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20</w:t>
      </w:r>
    </w:p>
    <w:p>
      <w:pPr>
        <w:pStyle w:val="13"/>
        <w:pageBreakBefore w:val="0"/>
        <w:tabs>
          <w:tab w:val="right" w:leader="dot" w:pos="8306"/>
        </w:tabs>
        <w:kinsoku/>
        <w:wordWrap/>
        <w:overflowPunct/>
        <w:topLinePunct w:val="0"/>
        <w:autoSpaceDE/>
        <w:autoSpaceDN/>
        <w:bidi w:val="0"/>
        <w:adjustRightInd/>
        <w:spacing w:line="560" w:lineRule="exact"/>
        <w:ind w:firstLine="560" w:firstLineChars="200"/>
        <w:rPr>
          <w:rFonts w:hint="default" w:ascii="仿宋" w:hAnsi="仿宋" w:eastAsia="仿宋"/>
          <w:sz w:val="28"/>
          <w:szCs w:val="40"/>
          <w:lang w:val="en-US" w:eastAsia="zh-CN"/>
        </w:rPr>
      </w:pPr>
      <w:r>
        <w:rPr>
          <w:rFonts w:hint="eastAsia" w:ascii="黑体" w:eastAsia="黑体" w:cs="黑体"/>
          <w:bCs w:val="0"/>
          <w:sz w:val="28"/>
          <w:szCs w:val="40"/>
          <w:lang w:val="en-US" w:eastAsia="zh-CN"/>
        </w:rPr>
        <w:fldChar w:fldCharType="begin"/>
      </w:r>
      <w:r>
        <w:rPr>
          <w:rFonts w:hint="eastAsia" w:ascii="黑体" w:eastAsia="黑体" w:cs="黑体"/>
          <w:bCs w:val="0"/>
          <w:sz w:val="28"/>
          <w:szCs w:val="40"/>
          <w:lang w:val="en-US" w:eastAsia="zh-CN"/>
        </w:rPr>
        <w:instrText xml:space="preserve"> HYPERLINK \l _Toc29175 </w:instrText>
      </w:r>
      <w:r>
        <w:rPr>
          <w:rFonts w:hint="eastAsia" w:ascii="黑体" w:eastAsia="黑体" w:cs="黑体"/>
          <w:bCs w:val="0"/>
          <w:sz w:val="28"/>
          <w:szCs w:val="40"/>
          <w:lang w:val="en-US" w:eastAsia="zh-CN"/>
        </w:rPr>
        <w:fldChar w:fldCharType="separate"/>
      </w:r>
      <w:r>
        <w:rPr>
          <w:rFonts w:hint="eastAsia" w:ascii="黑体" w:eastAsia="黑体" w:cs="黑体"/>
          <w:bCs w:val="0"/>
          <w:sz w:val="28"/>
          <w:szCs w:val="40"/>
          <w:lang w:val="en-US" w:eastAsia="zh-CN"/>
        </w:rPr>
        <w:t>五、与报告内容相关的附件</w:t>
      </w:r>
      <w:r>
        <w:rPr>
          <w:sz w:val="28"/>
          <w:szCs w:val="36"/>
        </w:rPr>
        <w:tab/>
      </w:r>
      <w:r>
        <w:rPr>
          <w:rFonts w:hint="eastAsia" w:ascii="黑体" w:eastAsia="黑体" w:cs="黑体"/>
          <w:bCs w:val="0"/>
          <w:sz w:val="28"/>
          <w:szCs w:val="40"/>
          <w:lang w:val="en-US" w:eastAsia="zh-CN"/>
        </w:rPr>
        <w:fldChar w:fldCharType="end"/>
      </w:r>
      <w:r>
        <w:rPr>
          <w:rFonts w:hint="eastAsia" w:ascii="黑体" w:eastAsia="黑体" w:cs="黑体"/>
          <w:bCs w:val="0"/>
          <w:sz w:val="28"/>
          <w:szCs w:val="40"/>
          <w:lang w:val="en-US" w:eastAsia="zh-CN"/>
        </w:rPr>
        <w:t>21</w:t>
      </w:r>
    </w:p>
    <w:p>
      <w:pPr>
        <w:ind w:firstLine="420" w:firstLineChars="200"/>
        <w:rPr>
          <w:rFonts w:hint="default"/>
          <w:lang w:val="en-US" w:eastAsia="zh-CN"/>
        </w:rPr>
      </w:pPr>
    </w:p>
    <w:p>
      <w:pPr>
        <w:pStyle w:val="13"/>
        <w:pageBreakBefore w:val="0"/>
        <w:tabs>
          <w:tab w:val="right" w:leader="dot" w:pos="8296"/>
        </w:tabs>
        <w:kinsoku/>
        <w:wordWrap/>
        <w:overflowPunct/>
        <w:topLinePunct w:val="0"/>
        <w:autoSpaceDE/>
        <w:autoSpaceDN/>
        <w:bidi w:val="0"/>
        <w:adjustRightInd/>
        <w:spacing w:line="560" w:lineRule="exact"/>
        <w:ind w:firstLine="560" w:firstLineChars="200"/>
        <w:rPr>
          <w:rFonts w:ascii="黑体" w:hAnsi="黑体" w:eastAsia="黑体" w:cs="黑体"/>
          <w:spacing w:val="6"/>
          <w:sz w:val="36"/>
          <w:szCs w:val="36"/>
        </w:rPr>
        <w:sectPr>
          <w:footerReference r:id="rId4" w:type="default"/>
          <w:pgSz w:w="11906" w:h="16838"/>
          <w:pgMar w:top="1440" w:right="1800" w:bottom="1440" w:left="1800" w:header="851" w:footer="992" w:gutter="0"/>
          <w:pgNumType w:start="1"/>
          <w:cols w:space="720" w:num="1"/>
          <w:docGrid w:type="lines" w:linePitch="312" w:charSpace="0"/>
        </w:sectPr>
      </w:pPr>
      <w:r>
        <w:rPr>
          <w:rFonts w:hint="eastAsia" w:ascii="仿宋" w:hAnsi="仿宋" w:eastAsia="仿宋"/>
          <w:sz w:val="28"/>
          <w:szCs w:val="40"/>
        </w:rPr>
        <w:fldChar w:fldCharType="end"/>
      </w:r>
    </w:p>
    <w:p>
      <w:pPr>
        <w:keepNext w:val="0"/>
        <w:keepLines w:val="0"/>
        <w:pageBreakBefore w:val="0"/>
        <w:kinsoku/>
        <w:wordWrap/>
        <w:overflowPunct/>
        <w:topLinePunct w:val="0"/>
        <w:autoSpaceDE/>
        <w:autoSpaceDN/>
        <w:bidi w:val="0"/>
        <w:adjustRightInd/>
        <w:snapToGrid/>
        <w:spacing w:before="120" w:after="120" w:line="560" w:lineRule="exact"/>
        <w:ind w:firstLine="723" w:firstLineChars="200"/>
        <w:jc w:val="center"/>
        <w:textAlignment w:val="auto"/>
        <w:outlineLvl w:val="9"/>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pPr>
      <w:r>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t>2023年阳新县城市管理执法局部门</w:t>
      </w:r>
    </w:p>
    <w:p>
      <w:pPr>
        <w:keepNext w:val="0"/>
        <w:keepLines w:val="0"/>
        <w:pageBreakBefore w:val="0"/>
        <w:kinsoku/>
        <w:wordWrap/>
        <w:overflowPunct/>
        <w:topLinePunct w:val="0"/>
        <w:autoSpaceDE/>
        <w:autoSpaceDN/>
        <w:bidi w:val="0"/>
        <w:adjustRightInd/>
        <w:snapToGrid/>
        <w:spacing w:before="120" w:after="120" w:line="560" w:lineRule="exact"/>
        <w:ind w:firstLine="723" w:firstLineChars="200"/>
        <w:jc w:val="center"/>
        <w:textAlignment w:val="auto"/>
        <w:outlineLvl w:val="9"/>
        <w:rPr>
          <w:rFonts w:ascii="楷体" w:hAnsi="楷体" w:eastAsia="楷体" w:cs="楷体"/>
          <w:sz w:val="28"/>
          <w:szCs w:val="28"/>
        </w:rPr>
      </w:pPr>
      <w:r>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t>整体支出绩效评价报告</w:t>
      </w:r>
      <w:r>
        <w:rPr>
          <w:rFonts w:ascii="楷体" w:hAnsi="楷体" w:eastAsia="楷体" w:cs="楷体"/>
          <w:sz w:val="28"/>
          <w:szCs w:val="28"/>
        </w:rPr>
        <w:t>（缩略版）</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firstLine="643" w:firstLineChars="200"/>
        <w:rPr>
          <w:rFonts w:hint="default" w:ascii="仿宋" w:hAnsi="仿宋" w:eastAsia="黑体" w:cs="仿宋"/>
          <w:b/>
          <w:sz w:val="32"/>
          <w:szCs w:val="32"/>
          <w:highlight w:val="none"/>
          <w:lang w:val="en-US" w:eastAsia="zh-CN"/>
        </w:rPr>
      </w:pPr>
      <w:bookmarkStart w:id="0" w:name="_Toc108605913"/>
      <w:bookmarkStart w:id="1" w:name="_Toc4322"/>
      <w:r>
        <w:rPr>
          <w:rFonts w:hint="eastAsia" w:ascii="仿宋" w:hAnsi="仿宋" w:eastAsia="黑体" w:cs="仿宋"/>
          <w:b/>
          <w:sz w:val="32"/>
          <w:szCs w:val="32"/>
          <w:highlight w:val="none"/>
          <w:lang w:val="en-US" w:eastAsia="zh-CN"/>
        </w:rPr>
        <w:t>一、评价结论</w:t>
      </w:r>
      <w:bookmarkEnd w:id="0"/>
      <w:bookmarkEnd w:id="1"/>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bookmarkStart w:id="2" w:name="_Toc108605914"/>
      <w:bookmarkStart w:id="3" w:name="_Toc29979"/>
      <w:r>
        <w:rPr>
          <w:rFonts w:hint="eastAsia" w:ascii="Times New Roman" w:hAnsi="Times New Roman" w:eastAsia="楷体" w:cs="Times New Roman"/>
          <w:b/>
          <w:bCs/>
          <w:kern w:val="0"/>
          <w:sz w:val="32"/>
          <w:szCs w:val="28"/>
          <w:highlight w:val="none"/>
          <w:lang w:val="en-US" w:eastAsia="zh-CN" w:bidi="ar-SA"/>
        </w:rPr>
        <w:t>（一）</w:t>
      </w:r>
      <w:bookmarkEnd w:id="2"/>
      <w:bookmarkStart w:id="4" w:name="_Toc4283_WPSOffice_Level2"/>
      <w:bookmarkEnd w:id="4"/>
      <w:bookmarkStart w:id="5" w:name="_Toc8575217"/>
      <w:bookmarkEnd w:id="5"/>
      <w:bookmarkStart w:id="6" w:name="_Toc21014"/>
      <w:bookmarkEnd w:id="6"/>
      <w:bookmarkStart w:id="7" w:name="_Toc8929762"/>
      <w:bookmarkEnd w:id="7"/>
      <w:r>
        <w:rPr>
          <w:rFonts w:hint="eastAsia" w:ascii="Times New Roman" w:hAnsi="Times New Roman" w:eastAsia="楷体" w:cs="Times New Roman"/>
          <w:b/>
          <w:bCs/>
          <w:kern w:val="0"/>
          <w:sz w:val="32"/>
          <w:szCs w:val="28"/>
          <w:highlight w:val="none"/>
          <w:lang w:val="en-US" w:eastAsia="zh-CN" w:bidi="ar-SA"/>
        </w:rPr>
        <w:t>绩效评价分数和等级</w:t>
      </w:r>
      <w:bookmarkEnd w:id="3"/>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bookmarkStart w:id="8" w:name="_Toc51331927"/>
      <w:bookmarkStart w:id="9" w:name="_Toc29874"/>
      <w:bookmarkStart w:id="10" w:name="_Toc108605915"/>
      <w:bookmarkStart w:id="11" w:name="_Toc5750"/>
      <w:r>
        <w:rPr>
          <w:rFonts w:hint="eastAsia" w:ascii="仿宋" w:hAnsi="仿宋" w:eastAsia="仿宋" w:cs="仿宋"/>
          <w:kern w:val="2"/>
          <w:sz w:val="32"/>
          <w:szCs w:val="28"/>
          <w:highlight w:val="none"/>
          <w:lang w:val="en-US" w:eastAsia="zh-CN" w:bidi="ar-SA"/>
        </w:rPr>
        <w:t>本次绩效评价分别从运行成本、管理效率、履职效能、社会效应、可持续发展能力、满意度等6个维度进行评价，评价结果划分四个等级，满分 100，分别为：60分以下级为“差”；60-80 分级别为“一般”；80-90 分级别为“良”；≥90分级别为“优”</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（二）指标总体评价结论</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2023年度阳新县城市管理执法局（以下简称“城管局”）整体支出绩效评价得分75.85分，等级为“一般”。具体得分情况如下表所示：</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contextualSpacing/>
        <w:jc w:val="center"/>
        <w:textAlignment w:val="auto"/>
        <w:outlineLvl w:val="9"/>
        <w:rPr>
          <w:rStyle w:val="21"/>
          <w:rFonts w:hint="eastAsia" w:ascii="仿宋" w:hAnsi="仿宋" w:eastAsia="仿宋" w:cs="仿宋"/>
          <w:bCs/>
          <w:sz w:val="24"/>
        </w:rPr>
      </w:pPr>
      <w:r>
        <w:rPr>
          <w:rStyle w:val="21"/>
          <w:rFonts w:hint="eastAsia" w:ascii="仿宋" w:hAnsi="仿宋" w:eastAsia="仿宋" w:cs="仿宋"/>
          <w:bCs/>
          <w:sz w:val="24"/>
        </w:rPr>
        <w:t>202</w:t>
      </w:r>
      <w:r>
        <w:rPr>
          <w:rStyle w:val="21"/>
          <w:rFonts w:hint="eastAsia" w:ascii="仿宋" w:hAnsi="仿宋" w:eastAsia="仿宋" w:cs="仿宋"/>
          <w:bCs/>
          <w:sz w:val="24"/>
          <w:lang w:val="en-US" w:eastAsia="zh-CN"/>
        </w:rPr>
        <w:t>3</w:t>
      </w:r>
      <w:r>
        <w:rPr>
          <w:rStyle w:val="21"/>
          <w:rFonts w:hint="eastAsia" w:ascii="仿宋" w:hAnsi="仿宋" w:eastAsia="仿宋" w:cs="仿宋"/>
          <w:bCs/>
          <w:sz w:val="24"/>
        </w:rPr>
        <w:t>年</w:t>
      </w:r>
      <w:r>
        <w:rPr>
          <w:rStyle w:val="21"/>
          <w:rFonts w:hint="eastAsia" w:ascii="仿宋" w:hAnsi="仿宋" w:eastAsia="仿宋" w:cs="仿宋"/>
          <w:bCs/>
          <w:sz w:val="24"/>
          <w:lang w:val="en-US" w:eastAsia="zh-CN"/>
        </w:rPr>
        <w:t>城管局</w:t>
      </w:r>
      <w:r>
        <w:rPr>
          <w:rStyle w:val="21"/>
          <w:rFonts w:hint="eastAsia" w:ascii="仿宋" w:hAnsi="仿宋" w:eastAsia="仿宋" w:cs="仿宋"/>
          <w:bCs/>
          <w:sz w:val="24"/>
        </w:rPr>
        <w:t>整体支出评价总分情况表</w:t>
      </w:r>
    </w:p>
    <w:tbl>
      <w:tblPr>
        <w:tblStyle w:val="18"/>
        <w:tblW w:w="870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440"/>
        <w:gridCol w:w="1010"/>
        <w:gridCol w:w="1229"/>
        <w:gridCol w:w="1230"/>
        <w:gridCol w:w="1459"/>
        <w:gridCol w:w="13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2" w:firstLineChars="20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评价指标</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权重</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评级分值</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项目得分</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得分率</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绩效评价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运行成本绩效</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37.50%</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管理效率绩效</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23.07 </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62.35%</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履职效能绩效</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26.48</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88.27%</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社会效应绩效</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240" w:firstLineChars="10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100.00%</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可持续发展能力绩效</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91.67%</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满意度绩效</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2.31 </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76.87%</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9" w:hRule="atLeast"/>
        </w:trPr>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综合绩效</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75.85 </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75.85%</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560" w:lineRule="exact"/>
              <w:ind w:firstLine="480" w:firstLineChars="20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一般</w:t>
            </w:r>
          </w:p>
        </w:tc>
      </w:tr>
    </w:tbl>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（三）</w:t>
      </w:r>
      <w:bookmarkEnd w:id="8"/>
      <w:bookmarkEnd w:id="9"/>
      <w:bookmarkEnd w:id="10"/>
      <w:r>
        <w:rPr>
          <w:rFonts w:hint="eastAsia" w:ascii="Times New Roman" w:hAnsi="Times New Roman" w:eastAsia="楷体" w:cs="Times New Roman"/>
          <w:b/>
          <w:bCs/>
          <w:kern w:val="0"/>
          <w:sz w:val="32"/>
          <w:szCs w:val="28"/>
          <w:highlight w:val="none"/>
          <w:lang w:val="en-US" w:eastAsia="zh-CN" w:bidi="ar-SA"/>
        </w:rPr>
        <w:t>绩效目标完成情况</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（1）运行成本绩效</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基本运行绩效指标标准分值</w:t>
      </w:r>
      <w:r>
        <w:rPr>
          <w:rFonts w:hint="default" w:ascii="仿宋" w:hAnsi="仿宋" w:eastAsia="仿宋" w:cs="仿宋"/>
          <w:kern w:val="2"/>
          <w:sz w:val="32"/>
          <w:szCs w:val="28"/>
          <w:highlight w:val="none"/>
          <w:lang w:val="en-US" w:eastAsia="zh-CN" w:bidi="ar-SA"/>
        </w:rPr>
        <w:t>8</w:t>
      </w:r>
      <w:r>
        <w:rPr>
          <w:rFonts w:hint="eastAsia" w:ascii="仿宋" w:hAnsi="仿宋" w:eastAsia="仿宋" w:cs="仿宋"/>
          <w:kern w:val="2"/>
          <w:sz w:val="32"/>
          <w:szCs w:val="28"/>
          <w:highlight w:val="none"/>
          <w:lang w:val="en-US" w:eastAsia="zh-CN" w:bidi="ar-SA"/>
        </w:rPr>
        <w:t>分，评价得分3分，得分率为37.50%。</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具体情况为：公用经费控制率超支46.18%；在职人员控制率超过三定方案</w:t>
      </w:r>
      <w:r>
        <w:rPr>
          <w:rFonts w:hint="default" w:ascii="仿宋" w:hAnsi="仿宋" w:eastAsia="仿宋" w:cs="仿宋"/>
          <w:kern w:val="2"/>
          <w:sz w:val="32"/>
          <w:szCs w:val="28"/>
          <w:highlight w:val="none"/>
          <w:lang w:val="en-US" w:eastAsia="zh-CN" w:bidi="ar-SA"/>
        </w:rPr>
        <w:t>24.18%</w:t>
      </w:r>
      <w:r>
        <w:rPr>
          <w:rFonts w:hint="eastAsia" w:ascii="仿宋" w:hAnsi="仿宋" w:eastAsia="仿宋" w:cs="仿宋"/>
          <w:kern w:val="2"/>
          <w:sz w:val="32"/>
          <w:szCs w:val="28"/>
          <w:highlight w:val="none"/>
          <w:lang w:val="en-US" w:eastAsia="zh-CN" w:bidi="ar-SA"/>
        </w:rPr>
        <w:t>；会议费控制率34.13%；三公经费预算超支38.8%。</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（2）管理效率绩效</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管理效率绩效指标标准分值37分，评价得分23.07分，得分率62.35%。</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具体情况为：工作规划符合预期；内控管理制度较为健全。</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未完成的绩效目标扣13.93分，具体情况为：未按政策要求开展事前绩效评估；预算编制偏离目标超过100%以上；预算调整率4.58倍；政府采购执行率68.42%；绩效监控不力；未定期对现有资产进行盘点和对账等。</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（3）履职效能绩效</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履职效能绩效指标标准分值30分，评价得分26.48分，得分率为88.27%。</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未完成的绩效扣分3.52分，具体情况为：项目计划进度完成不及时，主要是口袋公园达成率80%；智慧化达成率37.02%；静脉园65.89%；</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（4）社会效应绩效</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部门综合绩效指标标准分值10分，评价得分10分，扣0分，得分率为100.00%。</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具体情况为：市容罚没收入较去年略有增加；四位一体城市管理模式进一步提升；城市绿化率和城市绿道服务半径覆盖率等绿化指标一直保持在园林城市标准线以上；</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（5）可持续发展能力绩效</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部门综合绩效指标标准分值12分，评价得分11分，扣分1，得分率为</w:t>
      </w:r>
      <w:r>
        <w:rPr>
          <w:rFonts w:hint="default" w:ascii="仿宋" w:hAnsi="仿宋" w:eastAsia="仿宋" w:cs="仿宋"/>
          <w:kern w:val="2"/>
          <w:sz w:val="32"/>
          <w:szCs w:val="28"/>
          <w:highlight w:val="none"/>
          <w:lang w:val="en-US" w:eastAsia="zh-CN" w:bidi="ar-SA"/>
        </w:rPr>
        <w:t>91</w:t>
      </w:r>
      <w:r>
        <w:rPr>
          <w:rFonts w:hint="eastAsia" w:ascii="仿宋" w:hAnsi="仿宋" w:eastAsia="仿宋" w:cs="仿宋"/>
          <w:kern w:val="2"/>
          <w:sz w:val="32"/>
          <w:szCs w:val="28"/>
          <w:highlight w:val="none"/>
          <w:lang w:val="en-US" w:eastAsia="zh-CN" w:bidi="ar-SA"/>
        </w:rPr>
        <w:t>.</w:t>
      </w:r>
      <w:r>
        <w:rPr>
          <w:rFonts w:hint="default" w:ascii="仿宋" w:hAnsi="仿宋" w:eastAsia="仿宋" w:cs="仿宋"/>
          <w:kern w:val="2"/>
          <w:sz w:val="32"/>
          <w:szCs w:val="28"/>
          <w:highlight w:val="none"/>
          <w:lang w:val="en-US" w:eastAsia="zh-CN" w:bidi="ar-SA"/>
        </w:rPr>
        <w:t>67</w:t>
      </w:r>
      <w:r>
        <w:rPr>
          <w:rFonts w:hint="eastAsia" w:ascii="仿宋" w:hAnsi="仿宋" w:eastAsia="仿宋" w:cs="仿宋"/>
          <w:kern w:val="2"/>
          <w:sz w:val="32"/>
          <w:szCs w:val="28"/>
          <w:highlight w:val="none"/>
          <w:lang w:val="en-US" w:eastAsia="zh-CN" w:bidi="ar-SA"/>
        </w:rPr>
        <w:t>%。</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完成的绩效目标得分11分，具体情况为：行政管理、服务体制改革成效显著；业务学习与培训能按时完成。</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未完成的绩效目标扣1分，具体情况为：高学历、高层次人才储备率偏低。</w:t>
      </w:r>
    </w:p>
    <w:p>
      <w:pPr>
        <w:pageBreakBefore w:val="0"/>
        <w:kinsoku/>
        <w:wordWrap/>
        <w:overflowPunct/>
        <w:topLinePunct w:val="0"/>
        <w:autoSpaceDE/>
        <w:autoSpaceDN/>
        <w:bidi w:val="0"/>
        <w:adjustRightInd/>
        <w:spacing w:line="560" w:lineRule="exact"/>
        <w:ind w:firstLine="640" w:firstLineChars="2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（6）满意度绩效</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部门综合绩效指标标准分值3分，评价得分2.31分，扣分</w:t>
      </w:r>
      <w:r>
        <w:rPr>
          <w:rFonts w:hint="default" w:ascii="仿宋" w:hAnsi="仿宋" w:eastAsia="仿宋" w:cs="仿宋"/>
          <w:kern w:val="2"/>
          <w:sz w:val="32"/>
          <w:szCs w:val="28"/>
          <w:highlight w:val="none"/>
          <w:lang w:val="en-US" w:eastAsia="zh-CN" w:bidi="ar-SA"/>
        </w:rPr>
        <w:t>0</w:t>
      </w:r>
      <w:r>
        <w:rPr>
          <w:rFonts w:hint="eastAsia" w:ascii="仿宋" w:hAnsi="仿宋" w:eastAsia="仿宋" w:cs="仿宋"/>
          <w:kern w:val="2"/>
          <w:sz w:val="32"/>
          <w:szCs w:val="28"/>
          <w:highlight w:val="none"/>
          <w:lang w:val="en-US" w:eastAsia="zh-CN" w:bidi="ar-SA"/>
        </w:rPr>
        <w:t>.69分，得分率为</w:t>
      </w:r>
      <w:r>
        <w:rPr>
          <w:rFonts w:hint="default" w:ascii="仿宋" w:hAnsi="仿宋" w:eastAsia="仿宋" w:cs="仿宋"/>
          <w:kern w:val="2"/>
          <w:sz w:val="32"/>
          <w:szCs w:val="28"/>
          <w:highlight w:val="none"/>
          <w:lang w:val="en-US" w:eastAsia="zh-CN" w:bidi="ar-SA"/>
        </w:rPr>
        <w:t>7</w:t>
      </w:r>
      <w:r>
        <w:rPr>
          <w:rFonts w:hint="eastAsia" w:ascii="仿宋" w:hAnsi="仿宋" w:eastAsia="仿宋" w:cs="仿宋"/>
          <w:kern w:val="2"/>
          <w:sz w:val="32"/>
          <w:szCs w:val="28"/>
          <w:highlight w:val="none"/>
          <w:lang w:val="en-US" w:eastAsia="zh-CN" w:bidi="ar-SA"/>
        </w:rPr>
        <w:t>6.87%。</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具体情况为：群众对城管局总体满意率76.87%。</w:t>
      </w:r>
    </w:p>
    <w:bookmarkEnd w:id="11"/>
    <w:p>
      <w:pPr>
        <w:pStyle w:val="2"/>
        <w:pageBreakBefore w:val="0"/>
        <w:widowControl/>
        <w:kinsoku/>
        <w:wordWrap/>
        <w:overflowPunct/>
        <w:topLinePunct w:val="0"/>
        <w:autoSpaceDE/>
        <w:autoSpaceDN/>
        <w:bidi w:val="0"/>
        <w:adjustRightInd/>
        <w:spacing w:beforeAutospacing="0" w:afterAutospacing="0" w:line="560" w:lineRule="exact"/>
        <w:ind w:firstLine="620" w:firstLineChars="200"/>
        <w:rPr>
          <w:rFonts w:hint="default"/>
          <w:sz w:val="24"/>
          <w:szCs w:val="24"/>
        </w:rPr>
      </w:pPr>
      <w:bookmarkStart w:id="12" w:name="_Toc108605918"/>
      <w:bookmarkStart w:id="13" w:name="_Toc228"/>
      <w:r>
        <w:rPr>
          <w:rFonts w:ascii="黑体" w:eastAsia="黑体" w:cs="黑体"/>
          <w:b w:val="0"/>
          <w:bCs w:val="0"/>
          <w:sz w:val="31"/>
          <w:szCs w:val="31"/>
        </w:rPr>
        <w:t>二、</w:t>
      </w:r>
      <w:bookmarkEnd w:id="12"/>
      <w:r>
        <w:rPr>
          <w:rFonts w:ascii="黑体" w:eastAsia="黑体" w:cs="黑体"/>
          <w:b w:val="0"/>
          <w:bCs w:val="0"/>
          <w:sz w:val="31"/>
          <w:szCs w:val="31"/>
        </w:rPr>
        <w:t>预算绩效评价详细情况</w:t>
      </w:r>
      <w:bookmarkEnd w:id="13"/>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bookmarkStart w:id="14" w:name="_Toc108605919"/>
      <w:bookmarkStart w:id="15" w:name="_Toc24723"/>
      <w:r>
        <w:rPr>
          <w:rFonts w:hint="eastAsia" w:ascii="Times New Roman" w:hAnsi="Times New Roman" w:eastAsia="楷体" w:cs="Times New Roman"/>
          <w:b/>
          <w:bCs/>
          <w:kern w:val="0"/>
          <w:sz w:val="32"/>
          <w:szCs w:val="28"/>
          <w:highlight w:val="none"/>
          <w:lang w:val="en-US" w:eastAsia="zh-CN" w:bidi="ar-SA"/>
        </w:rPr>
        <w:t>（一）基本情况</w:t>
      </w:r>
      <w:bookmarkEnd w:id="14"/>
      <w:bookmarkEnd w:id="15"/>
    </w:p>
    <w:p>
      <w:pPr>
        <w:pageBreakBefore w:val="0"/>
        <w:kinsoku/>
        <w:wordWrap/>
        <w:overflowPunct/>
        <w:topLinePunct w:val="0"/>
        <w:autoSpaceDE/>
        <w:autoSpaceDN/>
        <w:bidi w:val="0"/>
        <w:adjustRightInd/>
        <w:spacing w:line="560" w:lineRule="exact"/>
        <w:ind w:firstLine="643" w:firstLineChars="200"/>
        <w:outlineLvl w:val="0"/>
        <w:rPr>
          <w:rFonts w:ascii="仿宋" w:hAnsi="仿宋" w:eastAsia="仿宋" w:cs="仿宋"/>
          <w:b/>
          <w:bCs/>
          <w:sz w:val="32"/>
          <w:szCs w:val="32"/>
        </w:rPr>
      </w:pPr>
      <w:bookmarkStart w:id="16" w:name="_Toc108605920"/>
      <w:bookmarkStart w:id="17" w:name="_Toc5890"/>
      <w:r>
        <w:rPr>
          <w:rFonts w:hint="eastAsia" w:ascii="仿宋" w:hAnsi="仿宋" w:eastAsia="仿宋" w:cs="仿宋"/>
          <w:b/>
          <w:bCs/>
          <w:sz w:val="32"/>
          <w:szCs w:val="32"/>
        </w:rPr>
        <w:t>1</w:t>
      </w:r>
      <w:bookmarkEnd w:id="16"/>
      <w:r>
        <w:rPr>
          <w:rFonts w:hint="eastAsia" w:ascii="仿宋" w:hAnsi="仿宋" w:eastAsia="仿宋" w:cs="仿宋"/>
          <w:b/>
          <w:bCs/>
          <w:sz w:val="32"/>
          <w:szCs w:val="32"/>
        </w:rPr>
        <w:t>.部门支出情况</w:t>
      </w:r>
      <w:bookmarkEnd w:id="17"/>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bookmarkStart w:id="18" w:name="_Toc108605921"/>
      <w:bookmarkStart w:id="19" w:name="_Toc4016"/>
      <w:r>
        <w:rPr>
          <w:rFonts w:hint="eastAsia" w:ascii="仿宋" w:hAnsi="仿宋" w:eastAsia="仿宋" w:cs="仿宋"/>
          <w:kern w:val="2"/>
          <w:sz w:val="32"/>
          <w:szCs w:val="28"/>
          <w:highlight w:val="none"/>
          <w:lang w:val="en-US" w:eastAsia="zh-CN" w:bidi="ar-SA"/>
        </w:rPr>
        <w:t>城管局2023年整体财政拨款支出年初预算金额2,014.60万元，其中：基本支出1,730.40万元，项目支出281.2万元；指标总金额2,014.60万元；决算金额9,237.64万元，其中：基本支出2,866.13万元，项目支出6,371.51万元。资金执行率为458.53%。</w:t>
      </w:r>
    </w:p>
    <w:p>
      <w:pPr>
        <w:pageBreakBefore w:val="0"/>
        <w:kinsoku/>
        <w:wordWrap/>
        <w:overflowPunct/>
        <w:topLinePunct w:val="0"/>
        <w:autoSpaceDE/>
        <w:autoSpaceDN/>
        <w:bidi w:val="0"/>
        <w:adjustRightInd/>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2</w:t>
      </w:r>
      <w:bookmarkEnd w:id="18"/>
      <w:r>
        <w:rPr>
          <w:rFonts w:hint="eastAsia" w:ascii="仿宋" w:hAnsi="仿宋" w:eastAsia="仿宋" w:cs="仿宋"/>
          <w:b/>
          <w:bCs/>
          <w:sz w:val="32"/>
          <w:szCs w:val="32"/>
        </w:rPr>
        <w:t>.年度部门整体绩效目标</w:t>
      </w:r>
      <w:bookmarkEnd w:id="19"/>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bookmarkStart w:id="20" w:name="_Toc15462"/>
      <w:bookmarkStart w:id="21" w:name="_Toc108605925"/>
      <w:r>
        <w:rPr>
          <w:rFonts w:hint="eastAsia" w:ascii="仿宋" w:hAnsi="仿宋" w:eastAsia="仿宋" w:cs="仿宋"/>
          <w:kern w:val="2"/>
          <w:sz w:val="32"/>
          <w:szCs w:val="28"/>
          <w:highlight w:val="none"/>
          <w:lang w:val="en-US" w:eastAsia="zh-CN" w:bidi="ar-SA"/>
        </w:rPr>
        <w:t>（1）增强基层组织政治功能和组织功能为着力点，以高质量党建推进城管事业高质量发展；</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（2）强化执法队伍建设，提升执法队伍整体素质，为各项工作顺利开展提供坚强保障；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（3）强化违法建设、渣土污染、占道经营、城市秩序治理；</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（4）坚持以老旧小区改造、口袋公园、背街小巷提档升级等惠民项目为突破点，以点带面，全方位推进“双违”整治工作，为项目建设落实落地提供法治保障。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（5）开展农村生活垃圾分类工作深入创建国家园林城市，为提升城市形象建设“树标杆”。</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（二）绩效评价工作情况</w:t>
      </w:r>
      <w:bookmarkEnd w:id="20"/>
      <w:bookmarkEnd w:id="21"/>
    </w:p>
    <w:p>
      <w:pPr>
        <w:pageBreakBefore w:val="0"/>
        <w:kinsoku/>
        <w:wordWrap/>
        <w:overflowPunct/>
        <w:topLinePunct w:val="0"/>
        <w:autoSpaceDE/>
        <w:autoSpaceDN/>
        <w:bidi w:val="0"/>
        <w:adjustRightInd/>
        <w:spacing w:line="560" w:lineRule="exact"/>
        <w:ind w:firstLine="643" w:firstLineChars="200"/>
        <w:rPr>
          <w:rFonts w:ascii="仿宋" w:hAnsi="仿宋" w:eastAsia="仿宋" w:cs="仿宋"/>
          <w:b/>
          <w:bCs/>
          <w:sz w:val="32"/>
          <w:szCs w:val="32"/>
        </w:rPr>
      </w:pPr>
      <w:bookmarkStart w:id="22" w:name="_Toc108605927"/>
      <w:bookmarkStart w:id="23" w:name="_Toc27278"/>
      <w:bookmarkStart w:id="24" w:name="_Toc108605931"/>
      <w:r>
        <w:rPr>
          <w:rFonts w:hint="eastAsia" w:ascii="仿宋" w:hAnsi="仿宋" w:eastAsia="仿宋" w:cs="仿宋"/>
          <w:b/>
          <w:bCs/>
          <w:sz w:val="32"/>
          <w:szCs w:val="32"/>
        </w:rPr>
        <w:t>1.评价目的、对象和</w:t>
      </w:r>
      <w:bookmarkEnd w:id="22"/>
      <w:r>
        <w:rPr>
          <w:rFonts w:hint="eastAsia" w:ascii="仿宋" w:hAnsi="仿宋" w:eastAsia="仿宋" w:cs="仿宋"/>
          <w:b/>
          <w:bCs/>
          <w:sz w:val="32"/>
          <w:szCs w:val="32"/>
        </w:rPr>
        <w:t>范围</w:t>
      </w:r>
      <w:bookmarkEnd w:id="23"/>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bookmarkStart w:id="25" w:name="_Toc25315"/>
      <w:bookmarkStart w:id="26" w:name="_Toc108605928"/>
      <w:r>
        <w:rPr>
          <w:rFonts w:hint="eastAsia" w:ascii="仿宋" w:hAnsi="仿宋" w:eastAsia="仿宋" w:cs="仿宋"/>
          <w:kern w:val="2"/>
          <w:sz w:val="32"/>
          <w:szCs w:val="28"/>
          <w:highlight w:val="none"/>
          <w:lang w:val="en-US" w:eastAsia="zh-CN" w:bidi="ar-SA"/>
        </w:rPr>
        <w:t>评价工作由阳新县财政局部署，于</w:t>
      </w:r>
      <w:r>
        <w:rPr>
          <w:rFonts w:hint="default" w:ascii="仿宋" w:hAnsi="仿宋" w:eastAsia="仿宋" w:cs="仿宋"/>
          <w:kern w:val="2"/>
          <w:sz w:val="32"/>
          <w:szCs w:val="28"/>
          <w:highlight w:val="none"/>
          <w:lang w:val="en-US" w:eastAsia="zh-CN" w:bidi="ar-SA"/>
        </w:rPr>
        <w:t>202</w:t>
      </w:r>
      <w:r>
        <w:rPr>
          <w:rFonts w:hint="eastAsia" w:ascii="仿宋" w:hAnsi="仿宋" w:eastAsia="仿宋" w:cs="仿宋"/>
          <w:kern w:val="2"/>
          <w:sz w:val="32"/>
          <w:szCs w:val="28"/>
          <w:highlight w:val="none"/>
          <w:lang w:val="en-US" w:eastAsia="zh-CN" w:bidi="ar-SA"/>
        </w:rPr>
        <w:t>4年9月9日下发了《</w:t>
      </w:r>
      <w:r>
        <w:rPr>
          <w:rFonts w:hint="default" w:ascii="仿宋" w:hAnsi="仿宋" w:eastAsia="仿宋" w:cs="仿宋"/>
          <w:kern w:val="2"/>
          <w:sz w:val="32"/>
          <w:szCs w:val="28"/>
          <w:highlight w:val="none"/>
          <w:lang w:val="en-US" w:eastAsia="zh-CN" w:bidi="ar-SA"/>
        </w:rPr>
        <w:t>2023</w:t>
      </w:r>
      <w:r>
        <w:rPr>
          <w:rFonts w:hint="eastAsia" w:ascii="仿宋" w:hAnsi="仿宋" w:eastAsia="仿宋" w:cs="仿宋"/>
          <w:kern w:val="2"/>
          <w:sz w:val="32"/>
          <w:szCs w:val="28"/>
          <w:highlight w:val="none"/>
          <w:lang w:val="en-US" w:eastAsia="zh-CN" w:bidi="ar-SA"/>
        </w:rPr>
        <w:t>年阳新县城管执法局绩效财政评价任务清单》，由阳新县财政局预算科具体协调，由阳新县恒泰会计服务有限公司组成评价工作组实施评价。</w:t>
      </w:r>
    </w:p>
    <w:p>
      <w:pPr>
        <w:pageBreakBefore w:val="0"/>
        <w:kinsoku/>
        <w:wordWrap/>
        <w:overflowPunct/>
        <w:topLinePunct w:val="0"/>
        <w:autoSpaceDE/>
        <w:autoSpaceDN/>
        <w:bidi w:val="0"/>
        <w:adjustRightInd/>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2.评价方法</w:t>
      </w:r>
      <w:bookmarkEnd w:id="25"/>
      <w:bookmarkEnd w:id="26"/>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bookmarkStart w:id="27" w:name="_Toc599"/>
      <w:r>
        <w:rPr>
          <w:rFonts w:hint="eastAsia" w:ascii="仿宋" w:hAnsi="仿宋" w:eastAsia="仿宋" w:cs="仿宋"/>
          <w:kern w:val="2"/>
          <w:sz w:val="32"/>
          <w:szCs w:val="28"/>
          <w:highlight w:val="none"/>
          <w:lang w:val="en-US" w:eastAsia="zh-CN" w:bidi="ar-SA"/>
        </w:rPr>
        <w:t xml:space="preserve">绩效评价主要采取“一听、二看、三查、四评”的方式。“一听”主要指现场座谈，听取项目负责人对项目实施情况的介绍和建议；“二看”主要是指看项目现场实施情况；“三查”主要是指查阅项目实施档案和财务资料；“四评”主要是指根据听、看、查情况，遵循公平、公正、独立的原则，按照评价指标体系进行评分。评价主要采用比较法、公众评判法。  </w:t>
      </w:r>
    </w:p>
    <w:bookmarkEnd w:id="27"/>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rPr>
          <w:rFonts w:hint="default" w:ascii="仿宋" w:hAnsi="仿宋" w:eastAsia="黑体" w:cs="仿宋"/>
          <w:b/>
          <w:sz w:val="32"/>
          <w:szCs w:val="32"/>
          <w:highlight w:val="none"/>
          <w:lang w:val="en-US" w:eastAsia="zh-CN"/>
        </w:rPr>
      </w:pPr>
      <w:bookmarkStart w:id="28" w:name="_Toc29175"/>
      <w:r>
        <w:rPr>
          <w:rFonts w:hint="eastAsia" w:ascii="仿宋" w:hAnsi="仿宋" w:eastAsia="黑体" w:cs="仿宋"/>
          <w:b/>
          <w:sz w:val="32"/>
          <w:szCs w:val="32"/>
          <w:highlight w:val="none"/>
          <w:lang w:val="en-US" w:eastAsia="zh-CN"/>
        </w:rPr>
        <w:t>三、绩效评价指标完成情况分析</w:t>
      </w:r>
      <w:bookmarkEnd w:id="24"/>
      <w:bookmarkEnd w:id="28"/>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bookmarkStart w:id="29" w:name="_Toc108605932"/>
      <w:bookmarkStart w:id="30" w:name="_Toc24157"/>
      <w:r>
        <w:rPr>
          <w:rFonts w:hint="eastAsia" w:ascii="Times New Roman" w:hAnsi="Times New Roman" w:eastAsia="楷体" w:cs="Times New Roman"/>
          <w:b/>
          <w:bCs/>
          <w:kern w:val="0"/>
          <w:sz w:val="32"/>
          <w:szCs w:val="28"/>
          <w:highlight w:val="none"/>
          <w:lang w:val="en-US" w:eastAsia="zh-CN" w:bidi="ar-SA"/>
        </w:rPr>
        <w:t>（一）运行成本绩效指标完成情况分析</w:t>
      </w:r>
      <w:bookmarkEnd w:id="29"/>
      <w:bookmarkEnd w:id="30"/>
      <w:bookmarkStart w:id="31" w:name="_Toc108605933"/>
    </w:p>
    <w:p>
      <w:pPr>
        <w:pageBreakBefore w:val="0"/>
        <w:kinsoku/>
        <w:wordWrap/>
        <w:overflowPunct/>
        <w:topLinePunct w:val="0"/>
        <w:autoSpaceDE/>
        <w:autoSpaceDN/>
        <w:bidi w:val="0"/>
        <w:adjustRightInd/>
        <w:spacing w:line="560" w:lineRule="exact"/>
        <w:ind w:firstLine="640" w:firstLineChars="200"/>
        <w:contextualSpacing/>
        <w:rPr>
          <w:rFonts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eastAsia="zh-CN"/>
        </w:rPr>
        <w:t>.</w:t>
      </w:r>
      <w:r>
        <w:rPr>
          <w:rFonts w:hint="eastAsia" w:ascii="仿宋" w:hAnsi="仿宋" w:eastAsia="仿宋"/>
          <w:sz w:val="32"/>
          <w:szCs w:val="32"/>
          <w:lang w:val="en-US" w:eastAsia="zh-CN"/>
        </w:rPr>
        <w:t xml:space="preserve"> </w:t>
      </w:r>
      <w:r>
        <w:rPr>
          <w:rFonts w:hint="eastAsia" w:ascii="仿宋" w:hAnsi="仿宋" w:eastAsia="仿宋"/>
          <w:sz w:val="32"/>
          <w:szCs w:val="32"/>
        </w:rPr>
        <w:t>公用经费控制率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城管局2023年预算“公用经费”总额190.49万元，部门决算报表实际“公用经费”总额278.47万元，实际支出的“公用经费”总额超过预算87.98万元。公用经费控制率超支46.18%。</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本指标标准分值2分，实际得0分。</w:t>
      </w:r>
    </w:p>
    <w:p>
      <w:pPr>
        <w:pageBreakBefore w:val="0"/>
        <w:numPr>
          <w:ilvl w:val="0"/>
          <w:numId w:val="1"/>
        </w:numPr>
        <w:kinsoku/>
        <w:wordWrap/>
        <w:overflowPunct/>
        <w:topLinePunct w:val="0"/>
        <w:autoSpaceDE/>
        <w:autoSpaceDN/>
        <w:bidi w:val="0"/>
        <w:adjustRightInd/>
        <w:spacing w:line="560" w:lineRule="exact"/>
        <w:ind w:firstLine="640" w:firstLineChars="200"/>
        <w:contextualSpacing/>
        <w:rPr>
          <w:rFonts w:ascii="仿宋" w:hAnsi="仿宋" w:eastAsia="仿宋"/>
          <w:sz w:val="32"/>
          <w:szCs w:val="32"/>
        </w:rPr>
      </w:pPr>
      <w:r>
        <w:rPr>
          <w:rFonts w:hint="eastAsia" w:ascii="仿宋" w:hAnsi="仿宋" w:eastAsia="仿宋"/>
          <w:sz w:val="32"/>
          <w:szCs w:val="32"/>
        </w:rPr>
        <w:t>在职人员控制率</w:t>
      </w:r>
    </w:p>
    <w:p>
      <w:pPr>
        <w:pageBreakBefore w:val="0"/>
        <w:kinsoku/>
        <w:wordWrap/>
        <w:overflowPunct/>
        <w:topLinePunct w:val="0"/>
        <w:autoSpaceDE/>
        <w:autoSpaceDN/>
        <w:bidi w:val="0"/>
        <w:adjustRightInd/>
        <w:spacing w:line="560" w:lineRule="exact"/>
        <w:ind w:firstLine="640" w:firstLineChars="200"/>
        <w:rPr>
          <w:rFonts w:ascii="仿宋" w:hAnsi="仿宋" w:eastAsia="仿宋"/>
          <w:b/>
          <w:bCs/>
          <w:kern w:val="44"/>
          <w:sz w:val="32"/>
          <w:szCs w:val="32"/>
        </w:rPr>
      </w:pPr>
      <w:r>
        <w:rPr>
          <w:rFonts w:hint="eastAsia" w:ascii="仿宋" w:hAnsi="仿宋" w:eastAsia="仿宋" w:cs="仿宋"/>
          <w:kern w:val="2"/>
          <w:sz w:val="32"/>
          <w:szCs w:val="28"/>
          <w:highlight w:val="none"/>
          <w:lang w:val="en-US" w:eastAsia="zh-CN" w:bidi="ar-SA"/>
        </w:rPr>
        <w:t>根据《中共阳新县委机构编制委员会关于印发〈关于县城市管理执法局所属事业单位机构编制调整事项〉的通知》，城管局总编制人数270人；其中：经开区执法大队25人、城东新区执法大队40人、环境卫生事业服务中心32人、园林绿化服务中心30人、市政设施维护中心20人、数字化城市管理监督中心12人、城市生活垃圾费管理中心20人均不在本次城管局人员编制</w:t>
      </w:r>
      <w:r>
        <w:rPr>
          <w:rFonts w:hint="eastAsia" w:ascii="仿宋" w:hAnsi="仿宋" w:eastAsia="仿宋"/>
          <w:kern w:val="44"/>
          <w:sz w:val="32"/>
          <w:szCs w:val="32"/>
          <w:lang w:val="en-US" w:eastAsia="zh-CN"/>
        </w:rPr>
        <w:t>内核算，</w:t>
      </w:r>
      <w:r>
        <w:rPr>
          <w:rFonts w:hint="eastAsia" w:ascii="仿宋" w:hAnsi="仿宋" w:eastAsia="仿宋"/>
          <w:b/>
          <w:bCs/>
          <w:kern w:val="44"/>
          <w:sz w:val="32"/>
          <w:szCs w:val="32"/>
          <w:lang w:val="en-US" w:eastAsia="zh-CN"/>
        </w:rPr>
        <w:t>实际城管局三定总编制人数91人（兴国城区执法大队25人、高空管理执法大队30人，渣土管理执法大队25人），2023年12月城管局</w:t>
      </w:r>
      <w:r>
        <w:rPr>
          <w:rFonts w:hint="eastAsia" w:ascii="仿宋" w:hAnsi="仿宋" w:eastAsia="仿宋"/>
          <w:b/>
          <w:bCs/>
          <w:kern w:val="44"/>
          <w:sz w:val="32"/>
          <w:szCs w:val="32"/>
        </w:rPr>
        <w:t>年末实有在职人员</w:t>
      </w:r>
      <w:r>
        <w:rPr>
          <w:rFonts w:hint="eastAsia" w:ascii="Times New Roman" w:hAnsi="Times New Roman" w:eastAsia="仿宋"/>
          <w:b/>
          <w:bCs/>
          <w:kern w:val="44"/>
          <w:sz w:val="32"/>
          <w:szCs w:val="32"/>
          <w:lang w:val="en-US" w:eastAsia="zh-CN"/>
        </w:rPr>
        <w:t>113</w:t>
      </w:r>
      <w:r>
        <w:rPr>
          <w:rFonts w:hint="eastAsia" w:ascii="仿宋" w:hAnsi="仿宋" w:eastAsia="仿宋"/>
          <w:b/>
          <w:bCs/>
          <w:kern w:val="44"/>
          <w:sz w:val="32"/>
          <w:szCs w:val="32"/>
        </w:rPr>
        <w:t>人。在职人员控制率</w:t>
      </w:r>
      <w:r>
        <w:rPr>
          <w:rFonts w:hint="eastAsia" w:ascii="仿宋" w:hAnsi="仿宋" w:eastAsia="仿宋"/>
          <w:b/>
          <w:bCs/>
          <w:kern w:val="44"/>
          <w:sz w:val="32"/>
          <w:szCs w:val="32"/>
          <w:lang w:val="en-US" w:eastAsia="zh-CN"/>
        </w:rPr>
        <w:t>超支</w:t>
      </w:r>
      <w:r>
        <w:rPr>
          <w:rFonts w:hint="eastAsia" w:ascii="Times New Roman" w:hAnsi="Times New Roman" w:eastAsia="仿宋"/>
          <w:b/>
          <w:bCs/>
          <w:kern w:val="44"/>
          <w:sz w:val="32"/>
          <w:szCs w:val="32"/>
          <w:lang w:val="en-US" w:eastAsia="zh-CN"/>
        </w:rPr>
        <w:t>24.18</w:t>
      </w:r>
      <w:r>
        <w:rPr>
          <w:rFonts w:hint="eastAsia" w:ascii="仿宋" w:hAnsi="仿宋" w:eastAsia="仿宋"/>
          <w:b/>
          <w:bCs/>
          <w:kern w:val="44"/>
          <w:sz w:val="32"/>
          <w:szCs w:val="32"/>
        </w:rPr>
        <w:t>%。</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kern w:val="44"/>
          <w:sz w:val="32"/>
          <w:szCs w:val="32"/>
        </w:rPr>
        <w:t>本指标标准分值</w:t>
      </w:r>
      <w:r>
        <w:rPr>
          <w:rFonts w:ascii="Times New Roman" w:hAnsi="Times New Roman" w:eastAsia="仿宋"/>
          <w:kern w:val="44"/>
          <w:sz w:val="32"/>
          <w:szCs w:val="32"/>
        </w:rPr>
        <w:t>2</w:t>
      </w:r>
      <w:r>
        <w:rPr>
          <w:rFonts w:hint="eastAsia" w:ascii="仿宋" w:hAnsi="仿宋" w:eastAsia="仿宋"/>
          <w:kern w:val="44"/>
          <w:sz w:val="32"/>
          <w:szCs w:val="32"/>
        </w:rPr>
        <w:t>分，实际得</w:t>
      </w:r>
      <w:r>
        <w:rPr>
          <w:rFonts w:hint="eastAsia" w:ascii="Times New Roman" w:hAnsi="Times New Roman" w:eastAsia="仿宋"/>
          <w:kern w:val="44"/>
          <w:sz w:val="32"/>
          <w:szCs w:val="32"/>
          <w:lang w:val="en-US" w:eastAsia="zh-CN"/>
        </w:rPr>
        <w:t>1</w:t>
      </w:r>
      <w:r>
        <w:rPr>
          <w:rFonts w:hint="eastAsia" w:ascii="仿宋" w:hAnsi="仿宋" w:eastAsia="仿宋"/>
          <w:kern w:val="44"/>
          <w:sz w:val="32"/>
          <w:szCs w:val="32"/>
        </w:rPr>
        <w:t>分。</w:t>
      </w:r>
    </w:p>
    <w:p>
      <w:pPr>
        <w:pageBreakBefore w:val="0"/>
        <w:numPr>
          <w:ilvl w:val="0"/>
          <w:numId w:val="1"/>
        </w:numPr>
        <w:kinsoku/>
        <w:wordWrap/>
        <w:overflowPunct/>
        <w:topLinePunct w:val="0"/>
        <w:autoSpaceDE/>
        <w:autoSpaceDN/>
        <w:bidi w:val="0"/>
        <w:adjustRightInd/>
        <w:spacing w:line="560" w:lineRule="exact"/>
        <w:ind w:left="0" w:leftChars="0" w:firstLine="640" w:firstLineChars="200"/>
        <w:contextualSpacing/>
        <w:rPr>
          <w:rFonts w:ascii="仿宋" w:hAnsi="仿宋" w:eastAsia="仿宋"/>
          <w:sz w:val="32"/>
          <w:szCs w:val="32"/>
        </w:rPr>
      </w:pPr>
      <w:r>
        <w:rPr>
          <w:rFonts w:hint="eastAsia" w:ascii="仿宋" w:hAnsi="仿宋" w:eastAsia="仿宋"/>
          <w:sz w:val="32"/>
          <w:szCs w:val="32"/>
        </w:rPr>
        <w:t>会议费控制率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城管局年初预算会议费3万元，2023年决算报表会议费支出1.024万元，本年度会议费达成率34.13%。</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w:t>
      </w:r>
      <w:r>
        <w:rPr>
          <w:rFonts w:hint="default" w:ascii="仿宋" w:hAnsi="仿宋" w:eastAsia="仿宋" w:cs="仿宋"/>
          <w:kern w:val="2"/>
          <w:sz w:val="32"/>
          <w:szCs w:val="28"/>
          <w:highlight w:val="none"/>
          <w:lang w:val="en-US" w:eastAsia="zh-CN" w:bidi="ar-SA"/>
        </w:rPr>
        <w:t>2</w:t>
      </w:r>
      <w:r>
        <w:rPr>
          <w:rFonts w:hint="eastAsia" w:ascii="仿宋" w:hAnsi="仿宋" w:eastAsia="仿宋" w:cs="仿宋"/>
          <w:kern w:val="2"/>
          <w:sz w:val="32"/>
          <w:szCs w:val="28"/>
          <w:highlight w:val="none"/>
          <w:lang w:val="en-US" w:eastAsia="zh-CN" w:bidi="ar-SA"/>
        </w:rPr>
        <w:t>分。</w:t>
      </w:r>
    </w:p>
    <w:p>
      <w:pPr>
        <w:pageBreakBefore w:val="0"/>
        <w:kinsoku/>
        <w:wordWrap/>
        <w:overflowPunct/>
        <w:topLinePunct w:val="0"/>
        <w:autoSpaceDE/>
        <w:autoSpaceDN/>
        <w:bidi w:val="0"/>
        <w:adjustRightInd/>
        <w:spacing w:line="560" w:lineRule="exact"/>
        <w:ind w:firstLine="640" w:firstLineChars="200"/>
        <w:contextualSpacing/>
        <w:rPr>
          <w:rFonts w:ascii="仿宋" w:hAnsi="仿宋" w:eastAsia="仿宋"/>
          <w:sz w:val="32"/>
          <w:szCs w:val="32"/>
        </w:rPr>
      </w:pPr>
      <w:r>
        <w:rPr>
          <w:rFonts w:hint="eastAsia" w:ascii="仿宋" w:hAnsi="仿宋" w:eastAsia="仿宋"/>
          <w:sz w:val="32"/>
          <w:szCs w:val="32"/>
        </w:rPr>
        <w:t>4</w:t>
      </w:r>
      <w:r>
        <w:rPr>
          <w:rFonts w:hint="eastAsia" w:ascii="仿宋" w:hAnsi="仿宋" w:eastAsia="仿宋"/>
          <w:sz w:val="32"/>
          <w:szCs w:val="32"/>
          <w:lang w:eastAsia="zh-CN"/>
        </w:rPr>
        <w:t>.</w:t>
      </w:r>
      <w:r>
        <w:rPr>
          <w:rFonts w:hint="eastAsia" w:ascii="仿宋" w:hAnsi="仿宋" w:eastAsia="仿宋"/>
          <w:sz w:val="32"/>
          <w:szCs w:val="32"/>
          <w:lang w:val="en-US" w:eastAsia="zh-CN"/>
        </w:rPr>
        <w:t xml:space="preserve"> </w:t>
      </w:r>
      <w:r>
        <w:rPr>
          <w:rFonts w:hint="eastAsia" w:ascii="仿宋" w:hAnsi="仿宋" w:eastAsia="仿宋"/>
          <w:sz w:val="32"/>
          <w:szCs w:val="32"/>
        </w:rPr>
        <w:t>“三公经费”变动率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kern w:val="44"/>
          <w:sz w:val="32"/>
          <w:szCs w:val="32"/>
          <w:lang w:val="en-US" w:eastAsia="zh-CN"/>
        </w:rPr>
      </w:pPr>
      <w:bookmarkStart w:id="32" w:name="_Toc29006"/>
      <w:r>
        <w:rPr>
          <w:rFonts w:hint="eastAsia" w:ascii="仿宋" w:hAnsi="仿宋" w:eastAsia="仿宋" w:cs="仿宋"/>
          <w:kern w:val="2"/>
          <w:sz w:val="32"/>
          <w:szCs w:val="28"/>
          <w:highlight w:val="none"/>
          <w:lang w:val="en-US" w:eastAsia="zh-CN" w:bidi="ar-SA"/>
        </w:rPr>
        <w:t>城管局2023年度部门决算报表和决算分析报告，2022年度三公经费预算数51.5万元，实际执行数51.5万元；2023年度三</w:t>
      </w:r>
      <w:r>
        <w:rPr>
          <w:rFonts w:ascii="仿宋" w:hAnsi="仿宋" w:eastAsia="仿宋"/>
          <w:b/>
          <w:bCs/>
          <w:kern w:val="44"/>
          <w:sz w:val="32"/>
          <w:szCs w:val="32"/>
        </w:rPr>
        <w:t>公经费预算数</w:t>
      </w:r>
      <w:r>
        <w:rPr>
          <w:rFonts w:hint="eastAsia" w:ascii="仿宋" w:hAnsi="仿宋" w:eastAsia="仿宋"/>
          <w:b/>
          <w:bCs/>
          <w:kern w:val="44"/>
          <w:sz w:val="32"/>
          <w:szCs w:val="32"/>
          <w:lang w:val="en-US" w:eastAsia="zh-CN"/>
        </w:rPr>
        <w:t>46</w:t>
      </w:r>
      <w:r>
        <w:rPr>
          <w:rFonts w:ascii="仿宋" w:hAnsi="仿宋" w:eastAsia="仿宋"/>
          <w:b/>
          <w:bCs/>
          <w:kern w:val="44"/>
          <w:sz w:val="32"/>
          <w:szCs w:val="32"/>
        </w:rPr>
        <w:t>万，</w:t>
      </w:r>
      <w:r>
        <w:rPr>
          <w:rFonts w:hint="eastAsia" w:ascii="仿宋" w:hAnsi="仿宋" w:eastAsia="仿宋"/>
          <w:b/>
          <w:bCs/>
          <w:kern w:val="44"/>
          <w:sz w:val="32"/>
          <w:szCs w:val="32"/>
          <w:lang w:val="en-US" w:eastAsia="zh-CN"/>
        </w:rPr>
        <w:t>实际发生额71.48</w:t>
      </w:r>
      <w:r>
        <w:rPr>
          <w:rFonts w:ascii="仿宋" w:hAnsi="仿宋" w:eastAsia="仿宋"/>
          <w:b/>
          <w:bCs/>
          <w:kern w:val="44"/>
          <w:sz w:val="32"/>
          <w:szCs w:val="32"/>
        </w:rPr>
        <w:t>万。三公经费预算变动</w:t>
      </w:r>
      <w:r>
        <w:rPr>
          <w:rFonts w:hint="eastAsia" w:ascii="仿宋" w:hAnsi="仿宋" w:eastAsia="仿宋"/>
          <w:b/>
          <w:bCs/>
          <w:kern w:val="44"/>
          <w:sz w:val="32"/>
          <w:szCs w:val="32"/>
          <w:lang w:val="en-US" w:eastAsia="zh-CN"/>
        </w:rPr>
        <w:t>率超支38.80%</w:t>
      </w:r>
      <w:r>
        <w:rPr>
          <w:rFonts w:hint="eastAsia" w:ascii="仿宋" w:hAnsi="仿宋" w:eastAsia="仿宋"/>
          <w:kern w:val="44"/>
          <w:sz w:val="32"/>
          <w:szCs w:val="32"/>
          <w:lang w:val="en-US" w:eastAsia="zh-CN"/>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本指标标准分值2分，实际得0分。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（二）管理效率绩效指标完成情况分析</w:t>
      </w:r>
      <w:bookmarkEnd w:id="32"/>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44"/>
          <w:sz w:val="32"/>
          <w:szCs w:val="32"/>
          <w:lang w:val="en-US" w:eastAsia="zh-CN" w:bidi="ar"/>
        </w:rPr>
      </w:pPr>
      <w:r>
        <w:rPr>
          <w:rFonts w:hint="eastAsia" w:ascii="仿宋" w:hAnsi="仿宋" w:eastAsia="仿宋" w:cs="仿宋"/>
          <w:kern w:val="44"/>
          <w:sz w:val="32"/>
          <w:szCs w:val="32"/>
          <w:lang w:bidi="ar"/>
        </w:rPr>
        <w:t>1</w:t>
      </w: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 xml:space="preserve"> 战略管理分析</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lang w:bidi="ar"/>
        </w:rPr>
      </w:pPr>
      <w:r>
        <w:rPr>
          <w:rFonts w:hint="eastAsia" w:ascii="仿宋" w:hAnsi="仿宋" w:eastAsia="仿宋" w:cs="仿宋"/>
          <w:kern w:val="44"/>
          <w:sz w:val="32"/>
          <w:szCs w:val="32"/>
          <w:lang w:val="en-US" w:eastAsia="zh-CN" w:bidi="ar"/>
        </w:rPr>
        <w:t>（1）</w:t>
      </w:r>
      <w:r>
        <w:rPr>
          <w:rFonts w:hint="eastAsia" w:ascii="仿宋" w:hAnsi="仿宋" w:eastAsia="仿宋" w:cs="仿宋"/>
          <w:kern w:val="44"/>
          <w:sz w:val="32"/>
          <w:szCs w:val="32"/>
          <w:lang w:bidi="ar"/>
        </w:rPr>
        <w:t>中长期规划相符性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根据《城管局“十三五”工作总结及“十四五”工作安排》文件，服从县委、县政府统一部署，全面梳理“十三五”期间作为成效亮点，深入谋划未来五年的工作思路，依照“十三五”规划时期工作总结及“十四五”重点工作安排，部门规划与国家、县委县政府战略相匹配、与部门职能相符。</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w:t>
      </w:r>
      <w:r>
        <w:rPr>
          <w:rFonts w:hint="default" w:ascii="仿宋" w:hAnsi="仿宋" w:eastAsia="仿宋" w:cs="仿宋"/>
          <w:kern w:val="2"/>
          <w:sz w:val="32"/>
          <w:szCs w:val="28"/>
          <w:highlight w:val="none"/>
          <w:lang w:val="en-US" w:eastAsia="zh-CN" w:bidi="ar-SA"/>
        </w:rPr>
        <w:t>1</w:t>
      </w:r>
      <w:r>
        <w:rPr>
          <w:rFonts w:hint="eastAsia" w:ascii="仿宋" w:hAnsi="仿宋" w:eastAsia="仿宋" w:cs="仿宋"/>
          <w:kern w:val="2"/>
          <w:sz w:val="32"/>
          <w:szCs w:val="28"/>
          <w:highlight w:val="none"/>
          <w:lang w:val="en-US" w:eastAsia="zh-CN" w:bidi="ar-SA"/>
        </w:rPr>
        <w:t>分，实际得1分。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2</w:t>
      </w: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bidi="ar"/>
        </w:rPr>
        <w:t>工作计划健全性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根据《阳新县城管执法局2023年工作总结及2024年工作计划》，我县城管局年度有工作计划，有未来中长期规划，目标明确、可操作性强。</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w:t>
      </w:r>
      <w:r>
        <w:rPr>
          <w:rFonts w:hint="default" w:ascii="仿宋" w:hAnsi="仿宋" w:eastAsia="仿宋" w:cs="仿宋"/>
          <w:kern w:val="2"/>
          <w:sz w:val="32"/>
          <w:szCs w:val="28"/>
          <w:highlight w:val="none"/>
          <w:lang w:val="en-US" w:eastAsia="zh-CN" w:bidi="ar-SA"/>
        </w:rPr>
        <w:t>1</w:t>
      </w:r>
      <w:r>
        <w:rPr>
          <w:rFonts w:hint="eastAsia" w:ascii="仿宋" w:hAnsi="仿宋" w:eastAsia="仿宋" w:cs="仿宋"/>
          <w:kern w:val="2"/>
          <w:sz w:val="32"/>
          <w:szCs w:val="28"/>
          <w:highlight w:val="none"/>
          <w:lang w:val="en-US" w:eastAsia="zh-CN" w:bidi="ar-SA"/>
        </w:rPr>
        <w:t>分，实际得</w:t>
      </w:r>
      <w:r>
        <w:rPr>
          <w:rFonts w:hint="default" w:ascii="仿宋" w:hAnsi="仿宋" w:eastAsia="仿宋" w:cs="仿宋"/>
          <w:kern w:val="2"/>
          <w:sz w:val="32"/>
          <w:szCs w:val="28"/>
          <w:highlight w:val="none"/>
          <w:lang w:val="en-US" w:eastAsia="zh-CN" w:bidi="ar-SA"/>
        </w:rPr>
        <w:t>1</w:t>
      </w:r>
      <w:r>
        <w:rPr>
          <w:rFonts w:hint="eastAsia" w:ascii="仿宋" w:hAnsi="仿宋" w:eastAsia="仿宋" w:cs="仿宋"/>
          <w:kern w:val="2"/>
          <w:sz w:val="32"/>
          <w:szCs w:val="28"/>
          <w:highlight w:val="none"/>
          <w:lang w:val="en-US" w:eastAsia="zh-CN" w:bidi="ar-SA"/>
        </w:rPr>
        <w:t>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Times New Roman"/>
          <w:kern w:val="44"/>
          <w:sz w:val="32"/>
          <w:szCs w:val="32"/>
          <w:lang w:val="en-US" w:eastAsia="zh-CN"/>
        </w:rPr>
      </w:pPr>
      <w:r>
        <w:rPr>
          <w:rFonts w:hint="eastAsia" w:ascii="仿宋" w:hAnsi="仿宋" w:eastAsia="仿宋" w:cs="Times New Roman"/>
          <w:kern w:val="44"/>
          <w:sz w:val="32"/>
          <w:szCs w:val="32"/>
          <w:lang w:val="en-US" w:eastAsia="zh-CN"/>
        </w:rPr>
        <w:t>2. 预算编制分析</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lang w:bidi="ar"/>
        </w:rPr>
      </w:pP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1</w:t>
      </w: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bidi="ar"/>
        </w:rPr>
        <w:t>编制科学性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kern w:val="44"/>
          <w:sz w:val="32"/>
          <w:szCs w:val="32"/>
        </w:rPr>
      </w:pPr>
      <w:r>
        <w:rPr>
          <w:rFonts w:hint="eastAsia" w:ascii="仿宋" w:hAnsi="仿宋" w:eastAsia="仿宋" w:cs="仿宋"/>
          <w:kern w:val="2"/>
          <w:sz w:val="32"/>
          <w:szCs w:val="28"/>
          <w:highlight w:val="none"/>
          <w:lang w:val="en-US" w:eastAsia="zh-CN" w:bidi="ar-SA"/>
        </w:rPr>
        <w:t>通过核查单位预算和决算相关材料，2023年城管局预算2,014.60万元，实际决算金额9,237.64万元，偏离目标超过4.58</w:t>
      </w:r>
      <w:r>
        <w:rPr>
          <w:rFonts w:hint="eastAsia" w:ascii="仿宋" w:hAnsi="仿宋" w:eastAsia="仿宋"/>
          <w:kern w:val="44"/>
          <w:sz w:val="32"/>
          <w:szCs w:val="32"/>
          <w:lang w:val="en-US" w:eastAsia="zh-CN"/>
        </w:rPr>
        <w:t>倍，</w:t>
      </w:r>
      <w:r>
        <w:rPr>
          <w:rFonts w:hint="eastAsia" w:ascii="仿宋" w:hAnsi="仿宋" w:eastAsia="仿宋"/>
          <w:b/>
          <w:bCs/>
          <w:kern w:val="44"/>
          <w:sz w:val="32"/>
          <w:szCs w:val="32"/>
          <w:lang w:val="en-US" w:eastAsia="zh-CN"/>
        </w:rPr>
        <w:t>由于预算与实际支出相差甚远，预算年度内多次虚立项目用于单位的日常开支</w:t>
      </w:r>
      <w:r>
        <w:rPr>
          <w:rFonts w:hint="eastAsia" w:ascii="仿宋" w:hAnsi="仿宋" w:eastAsia="仿宋"/>
          <w:b/>
          <w:bCs/>
          <w:kern w:val="44"/>
          <w:sz w:val="32"/>
          <w:szCs w:val="32"/>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本指标分值2分，依据评分标准得分0分。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2</w:t>
      </w: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bidi="ar"/>
        </w:rPr>
        <w:t>预算编制合理性</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kern w:val="44"/>
          <w:sz w:val="32"/>
          <w:szCs w:val="32"/>
          <w:lang w:val="en-US"/>
        </w:rPr>
      </w:pPr>
      <w:r>
        <w:rPr>
          <w:rFonts w:hint="eastAsia" w:ascii="仿宋" w:hAnsi="仿宋" w:eastAsia="仿宋" w:cs="仿宋"/>
          <w:kern w:val="2"/>
          <w:sz w:val="32"/>
          <w:szCs w:val="28"/>
          <w:highlight w:val="none"/>
          <w:lang w:val="en-US" w:eastAsia="zh-CN" w:bidi="ar-SA"/>
        </w:rPr>
        <w:t>预算编制经过科学论证，预算内容项目内容相匹配，但2023年县执法局未能保证重点项目预算，且项目的指标与实际也偏离</w:t>
      </w:r>
      <w:r>
        <w:rPr>
          <w:rFonts w:hint="eastAsia" w:ascii="仿宋" w:hAnsi="仿宋" w:eastAsia="仿宋"/>
          <w:b/>
          <w:bCs/>
          <w:kern w:val="44"/>
          <w:sz w:val="32"/>
          <w:szCs w:val="32"/>
          <w:highlight w:val="none"/>
          <w:lang w:val="en-US" w:eastAsia="zh-CN"/>
        </w:rPr>
        <w:t>目标过高，如静脉产业园、智慧化升级等重点项目的资金需求及设定目标数欠缺</w:t>
      </w:r>
      <w:r>
        <w:rPr>
          <w:rFonts w:hint="eastAsia" w:ascii="仿宋" w:hAnsi="仿宋" w:eastAsia="仿宋"/>
          <w:kern w:val="44"/>
          <w:sz w:val="32"/>
          <w:szCs w:val="32"/>
          <w:highlight w:val="none"/>
          <w:lang w:val="en-US" w:eastAsia="zh-CN"/>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本指标分值2分，依据评分标准得分1分。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bidi="ar"/>
        </w:rPr>
        <w:t>（</w:t>
      </w:r>
      <w:r>
        <w:rPr>
          <w:rFonts w:hint="eastAsia" w:ascii="仿宋" w:hAnsi="仿宋" w:eastAsia="仿宋" w:cs="仿宋"/>
          <w:kern w:val="44"/>
          <w:sz w:val="32"/>
          <w:szCs w:val="32"/>
          <w:lang w:val="en-US" w:eastAsia="zh-CN" w:bidi="ar"/>
        </w:rPr>
        <w:t>3</w:t>
      </w:r>
      <w:r>
        <w:rPr>
          <w:rFonts w:hint="eastAsia" w:ascii="仿宋" w:hAnsi="仿宋" w:eastAsia="仿宋" w:cs="仿宋"/>
          <w:kern w:val="44"/>
          <w:sz w:val="32"/>
          <w:szCs w:val="32"/>
          <w:lang w:bidi="ar"/>
        </w:rPr>
        <w:t>）立项规范性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部分预算项目支出均经县财政局、县人大常委会批复预算资金，予以立项。按照规定的程序申请设立，各项目设立依据充分。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本指标分值</w:t>
      </w:r>
      <w:r>
        <w:rPr>
          <w:rFonts w:hint="default" w:ascii="仿宋" w:hAnsi="仿宋" w:eastAsia="仿宋" w:cs="仿宋"/>
          <w:kern w:val="2"/>
          <w:sz w:val="32"/>
          <w:szCs w:val="28"/>
          <w:highlight w:val="none"/>
          <w:lang w:val="en-US" w:eastAsia="zh-CN" w:bidi="ar-SA"/>
        </w:rPr>
        <w:t>1</w:t>
      </w:r>
      <w:r>
        <w:rPr>
          <w:rFonts w:hint="eastAsia" w:ascii="仿宋" w:hAnsi="仿宋" w:eastAsia="仿宋" w:cs="仿宋"/>
          <w:kern w:val="2"/>
          <w:sz w:val="32"/>
          <w:szCs w:val="28"/>
          <w:highlight w:val="none"/>
          <w:lang w:val="en-US" w:eastAsia="zh-CN" w:bidi="ar-SA"/>
        </w:rPr>
        <w:t>分，依据评分标准得分1分。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bidi="ar"/>
        </w:rPr>
        <w:t>（</w:t>
      </w:r>
      <w:r>
        <w:rPr>
          <w:rFonts w:hint="eastAsia" w:ascii="仿宋" w:hAnsi="仿宋" w:eastAsia="仿宋" w:cs="仿宋"/>
          <w:kern w:val="44"/>
          <w:sz w:val="32"/>
          <w:szCs w:val="32"/>
          <w:lang w:val="en-US" w:eastAsia="zh-CN" w:bidi="ar"/>
        </w:rPr>
        <w:t>4</w:t>
      </w:r>
      <w:r>
        <w:rPr>
          <w:rFonts w:hint="eastAsia" w:ascii="仿宋" w:hAnsi="仿宋" w:eastAsia="仿宋" w:cs="仿宋"/>
          <w:kern w:val="44"/>
          <w:sz w:val="32"/>
          <w:szCs w:val="32"/>
          <w:lang w:bidi="ar"/>
        </w:rPr>
        <w:t>）预算调整率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kern w:val="44"/>
          <w:sz w:val="32"/>
          <w:szCs w:val="32"/>
        </w:rPr>
      </w:pPr>
      <w:r>
        <w:rPr>
          <w:rFonts w:hint="eastAsia" w:ascii="仿宋" w:hAnsi="仿宋" w:eastAsia="仿宋" w:cs="仿宋"/>
          <w:kern w:val="2"/>
          <w:sz w:val="32"/>
          <w:szCs w:val="28"/>
          <w:highlight w:val="none"/>
          <w:lang w:val="en-US" w:eastAsia="zh-CN" w:bidi="ar-SA"/>
        </w:rPr>
        <w:t>根据城管局2023年度财政拨款收入支出决算总表，2023年</w:t>
      </w:r>
      <w:r>
        <w:rPr>
          <w:rFonts w:hint="eastAsia" w:ascii="仿宋" w:hAnsi="仿宋" w:eastAsia="仿宋"/>
          <w:kern w:val="44"/>
          <w:sz w:val="32"/>
          <w:szCs w:val="32"/>
        </w:rPr>
        <w:t>度</w:t>
      </w:r>
      <w:r>
        <w:rPr>
          <w:rFonts w:hint="eastAsia" w:ascii="仿宋" w:hAnsi="仿宋" w:eastAsia="仿宋"/>
          <w:kern w:val="44"/>
          <w:sz w:val="32"/>
          <w:szCs w:val="32"/>
          <w:lang w:val="en-US" w:eastAsia="zh-CN"/>
        </w:rPr>
        <w:t>城管局</w:t>
      </w:r>
      <w:r>
        <w:rPr>
          <w:rFonts w:hint="eastAsia" w:ascii="仿宋" w:hAnsi="仿宋" w:eastAsia="仿宋"/>
          <w:kern w:val="44"/>
          <w:sz w:val="32"/>
          <w:szCs w:val="32"/>
        </w:rPr>
        <w:t>预算金额</w:t>
      </w:r>
      <w:r>
        <w:rPr>
          <w:rFonts w:hint="eastAsia" w:ascii="仿宋" w:hAnsi="仿宋" w:eastAsia="仿宋"/>
          <w:kern w:val="44"/>
          <w:sz w:val="32"/>
          <w:szCs w:val="32"/>
          <w:lang w:val="en-US" w:eastAsia="zh-CN"/>
        </w:rPr>
        <w:t>预算2014.6，实际9237.64，</w:t>
      </w:r>
      <w:r>
        <w:rPr>
          <w:rFonts w:hint="eastAsia" w:ascii="仿宋" w:hAnsi="仿宋" w:eastAsia="仿宋"/>
          <w:b/>
          <w:bCs/>
          <w:kern w:val="44"/>
          <w:sz w:val="32"/>
          <w:szCs w:val="32"/>
          <w:lang w:val="en-US" w:eastAsia="zh-CN"/>
        </w:rPr>
        <w:t>预算调整率4.58倍，偏离目标过大</w:t>
      </w:r>
      <w:r>
        <w:rPr>
          <w:rFonts w:hint="eastAsia" w:ascii="仿宋" w:hAnsi="仿宋" w:eastAsia="仿宋"/>
          <w:kern w:val="44"/>
          <w:sz w:val="32"/>
          <w:szCs w:val="32"/>
        </w:rPr>
        <w:t>。</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kern w:val="44"/>
          <w:sz w:val="32"/>
          <w:szCs w:val="32"/>
        </w:rPr>
      </w:pPr>
      <w:r>
        <w:rPr>
          <w:rFonts w:hint="eastAsia" w:ascii="仿宋" w:hAnsi="仿宋" w:eastAsia="仿宋"/>
          <w:kern w:val="44"/>
          <w:sz w:val="32"/>
          <w:szCs w:val="32"/>
        </w:rPr>
        <w:t>本指标标准分值</w:t>
      </w:r>
      <w:r>
        <w:rPr>
          <w:rFonts w:ascii="Times New Roman" w:hAnsi="Times New Roman" w:eastAsia="仿宋"/>
          <w:kern w:val="44"/>
          <w:sz w:val="32"/>
          <w:szCs w:val="32"/>
        </w:rPr>
        <w:t>2</w:t>
      </w:r>
      <w:r>
        <w:rPr>
          <w:rFonts w:hint="eastAsia" w:ascii="仿宋" w:hAnsi="仿宋" w:eastAsia="仿宋"/>
          <w:kern w:val="44"/>
          <w:sz w:val="32"/>
          <w:szCs w:val="32"/>
        </w:rPr>
        <w:t>分，实际</w:t>
      </w:r>
      <w:r>
        <w:rPr>
          <w:rFonts w:hint="eastAsia" w:ascii="仿宋" w:hAnsi="仿宋" w:eastAsia="仿宋"/>
          <w:kern w:val="44"/>
          <w:sz w:val="32"/>
          <w:szCs w:val="32"/>
          <w:lang w:eastAsia="zh-CN"/>
        </w:rPr>
        <w:t>得</w:t>
      </w:r>
      <w:r>
        <w:rPr>
          <w:rFonts w:hint="eastAsia" w:ascii="Times New Roman" w:hAnsi="Times New Roman" w:eastAsia="仿宋"/>
          <w:kern w:val="44"/>
          <w:sz w:val="32"/>
          <w:szCs w:val="32"/>
          <w:lang w:val="en-US" w:eastAsia="zh-CN"/>
        </w:rPr>
        <w:t>0</w:t>
      </w:r>
      <w:r>
        <w:rPr>
          <w:rFonts w:hint="eastAsia" w:ascii="仿宋" w:hAnsi="仿宋" w:eastAsia="仿宋"/>
          <w:kern w:val="44"/>
          <w:sz w:val="32"/>
          <w:szCs w:val="32"/>
        </w:rPr>
        <w:t>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44"/>
          <w:sz w:val="32"/>
          <w:szCs w:val="32"/>
          <w:lang w:val="en-US" w:eastAsia="zh-CN" w:bidi="ar"/>
        </w:rPr>
      </w:pPr>
      <w:r>
        <w:rPr>
          <w:rFonts w:hint="eastAsia" w:ascii="仿宋" w:hAnsi="仿宋" w:eastAsia="仿宋" w:cs="仿宋"/>
          <w:kern w:val="44"/>
          <w:sz w:val="32"/>
          <w:szCs w:val="32"/>
          <w:lang w:val="en-US" w:eastAsia="zh-CN" w:bidi="ar"/>
        </w:rPr>
        <w:t xml:space="preserve">3. </w:t>
      </w:r>
      <w:r>
        <w:rPr>
          <w:rFonts w:hint="eastAsia" w:ascii="仿宋" w:hAnsi="仿宋" w:eastAsia="仿宋" w:cs="仿宋"/>
          <w:kern w:val="44"/>
          <w:sz w:val="32"/>
          <w:szCs w:val="32"/>
          <w:lang w:bidi="ar"/>
        </w:rPr>
        <w:t>预算执行</w:t>
      </w:r>
      <w:r>
        <w:rPr>
          <w:rFonts w:hint="eastAsia" w:ascii="仿宋" w:hAnsi="仿宋" w:eastAsia="仿宋" w:cs="仿宋"/>
          <w:kern w:val="44"/>
          <w:sz w:val="32"/>
          <w:szCs w:val="32"/>
          <w:lang w:val="en-US" w:eastAsia="zh-CN" w:bidi="ar"/>
        </w:rPr>
        <w:t>分析</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1</w:t>
      </w:r>
      <w:r>
        <w:rPr>
          <w:rFonts w:hint="eastAsia" w:ascii="仿宋" w:hAnsi="仿宋" w:eastAsia="仿宋" w:cs="仿宋"/>
          <w:kern w:val="44"/>
          <w:sz w:val="32"/>
          <w:szCs w:val="32"/>
          <w:lang w:eastAsia="zh-CN" w:bidi="ar"/>
        </w:rPr>
        <w:t>）</w:t>
      </w:r>
      <w:r>
        <w:rPr>
          <w:rFonts w:hint="eastAsia" w:ascii="仿宋" w:hAnsi="仿宋" w:eastAsia="仿宋" w:cs="仿宋"/>
          <w:kern w:val="44"/>
          <w:sz w:val="32"/>
          <w:szCs w:val="32"/>
          <w:lang w:val="en-US" w:eastAsia="zh-CN" w:bidi="ar"/>
        </w:rPr>
        <w:t>预算执行</w:t>
      </w:r>
      <w:r>
        <w:rPr>
          <w:rFonts w:hint="eastAsia" w:ascii="仿宋" w:hAnsi="仿宋" w:eastAsia="仿宋" w:cs="仿宋"/>
          <w:kern w:val="44"/>
          <w:sz w:val="32"/>
          <w:szCs w:val="32"/>
          <w:lang w:bidi="ar"/>
        </w:rPr>
        <w:t>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城管局2023年度决算实际支出</w:t>
      </w:r>
      <w:r>
        <w:rPr>
          <w:rFonts w:hint="default" w:ascii="仿宋" w:hAnsi="仿宋" w:eastAsia="仿宋" w:cs="仿宋"/>
          <w:kern w:val="2"/>
          <w:sz w:val="32"/>
          <w:szCs w:val="28"/>
          <w:highlight w:val="none"/>
          <w:lang w:val="en-US" w:eastAsia="zh-CN" w:bidi="ar-SA"/>
        </w:rPr>
        <w:t>9,237.64万元</w:t>
      </w:r>
      <w:r>
        <w:rPr>
          <w:rFonts w:hint="eastAsia" w:ascii="仿宋" w:hAnsi="仿宋" w:eastAsia="仿宋" w:cs="仿宋"/>
          <w:kern w:val="2"/>
          <w:sz w:val="32"/>
          <w:szCs w:val="28"/>
          <w:highlight w:val="none"/>
          <w:lang w:val="en-US" w:eastAsia="zh-CN" w:bidi="ar-SA"/>
        </w:rPr>
        <w:t>，其中：基本支出预算执行数</w:t>
      </w:r>
      <w:r>
        <w:rPr>
          <w:rFonts w:hint="default" w:ascii="仿宋" w:hAnsi="仿宋" w:eastAsia="仿宋" w:cs="仿宋"/>
          <w:kern w:val="2"/>
          <w:sz w:val="32"/>
          <w:szCs w:val="28"/>
          <w:highlight w:val="none"/>
          <w:lang w:val="en-US" w:eastAsia="zh-CN" w:bidi="ar-SA"/>
        </w:rPr>
        <w:t>2,866.13万元</w:t>
      </w:r>
      <w:r>
        <w:rPr>
          <w:rFonts w:hint="eastAsia" w:ascii="仿宋" w:hAnsi="仿宋" w:eastAsia="仿宋" w:cs="仿宋"/>
          <w:kern w:val="2"/>
          <w:sz w:val="32"/>
          <w:szCs w:val="28"/>
          <w:highlight w:val="none"/>
          <w:lang w:val="en-US" w:eastAsia="zh-CN" w:bidi="ar-SA"/>
        </w:rPr>
        <w:t>，基本支出预算执行率100%；项目支出预算执行数</w:t>
      </w:r>
      <w:r>
        <w:rPr>
          <w:rFonts w:hint="default" w:ascii="仿宋" w:hAnsi="仿宋" w:eastAsia="仿宋" w:cs="仿宋"/>
          <w:kern w:val="2"/>
          <w:sz w:val="32"/>
          <w:szCs w:val="28"/>
          <w:highlight w:val="none"/>
          <w:lang w:val="en-US" w:eastAsia="zh-CN" w:bidi="ar-SA"/>
        </w:rPr>
        <w:t>6,371.51万元</w:t>
      </w:r>
      <w:r>
        <w:rPr>
          <w:rFonts w:hint="eastAsia" w:ascii="仿宋" w:hAnsi="仿宋" w:eastAsia="仿宋" w:cs="仿宋"/>
          <w:kern w:val="2"/>
          <w:sz w:val="32"/>
          <w:szCs w:val="28"/>
          <w:highlight w:val="none"/>
          <w:lang w:val="en-US" w:eastAsia="zh-CN" w:bidi="ar-SA"/>
        </w:rPr>
        <w:t>，项目支出预算执行率100%。</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w:t>
      </w:r>
      <w:r>
        <w:rPr>
          <w:rFonts w:hint="default" w:ascii="仿宋" w:hAnsi="仿宋" w:eastAsia="仿宋" w:cs="仿宋"/>
          <w:kern w:val="2"/>
          <w:sz w:val="32"/>
          <w:szCs w:val="28"/>
          <w:highlight w:val="none"/>
          <w:lang w:val="en-US" w:eastAsia="zh-CN" w:bidi="ar-SA"/>
        </w:rPr>
        <w:t>2</w:t>
      </w:r>
      <w:r>
        <w:rPr>
          <w:rFonts w:hint="eastAsia" w:ascii="仿宋" w:hAnsi="仿宋" w:eastAsia="仿宋" w:cs="仿宋"/>
          <w:kern w:val="2"/>
          <w:sz w:val="32"/>
          <w:szCs w:val="28"/>
          <w:highlight w:val="none"/>
          <w:lang w:val="en-US" w:eastAsia="zh-CN" w:bidi="ar-SA"/>
        </w:rPr>
        <w:t>分，实际得2分。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bidi="ar"/>
        </w:rPr>
        <w:t>（</w:t>
      </w:r>
      <w:r>
        <w:rPr>
          <w:rFonts w:hint="eastAsia" w:ascii="仿宋" w:hAnsi="仿宋" w:eastAsia="仿宋" w:cs="仿宋"/>
          <w:kern w:val="44"/>
          <w:sz w:val="32"/>
          <w:szCs w:val="32"/>
          <w:lang w:val="en-US" w:eastAsia="zh-CN" w:bidi="ar"/>
        </w:rPr>
        <w:t>2</w:t>
      </w:r>
      <w:r>
        <w:rPr>
          <w:rFonts w:hint="eastAsia" w:ascii="仿宋" w:hAnsi="仿宋" w:eastAsia="仿宋" w:cs="仿宋"/>
          <w:kern w:val="44"/>
          <w:sz w:val="32"/>
          <w:szCs w:val="32"/>
          <w:lang w:bidi="ar"/>
        </w:rPr>
        <w:t>）结转结余率</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根据城管局2023年度决算报告分析，结转结余为0，结转结余率0%。</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lang w:bidi="ar"/>
        </w:rPr>
      </w:pPr>
      <w:r>
        <w:rPr>
          <w:rFonts w:hint="eastAsia" w:ascii="仿宋" w:hAnsi="仿宋" w:eastAsia="仿宋" w:cs="仿宋"/>
          <w:kern w:val="44"/>
          <w:sz w:val="32"/>
          <w:szCs w:val="32"/>
          <w:lang w:bidi="ar"/>
        </w:rPr>
        <w:t>（</w:t>
      </w:r>
      <w:r>
        <w:rPr>
          <w:rFonts w:hint="eastAsia" w:ascii="仿宋" w:hAnsi="仿宋" w:eastAsia="仿宋" w:cs="仿宋"/>
          <w:kern w:val="44"/>
          <w:sz w:val="32"/>
          <w:szCs w:val="32"/>
          <w:lang w:val="en-US" w:eastAsia="zh-CN" w:bidi="ar"/>
        </w:rPr>
        <w:t>3</w:t>
      </w:r>
      <w:r>
        <w:rPr>
          <w:rFonts w:hint="eastAsia" w:ascii="仿宋" w:hAnsi="仿宋" w:eastAsia="仿宋" w:cs="仿宋"/>
          <w:kern w:val="44"/>
          <w:sz w:val="32"/>
          <w:szCs w:val="32"/>
          <w:lang w:bidi="ar"/>
        </w:rPr>
        <w:t>）政府采购执行率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对比城管局2023年部门预算执行情况明细表和2023年度决算报表，政府采购预算金额</w:t>
      </w:r>
      <w:r>
        <w:rPr>
          <w:rFonts w:hint="default" w:ascii="仿宋" w:hAnsi="仿宋" w:eastAsia="仿宋" w:cs="仿宋"/>
          <w:kern w:val="2"/>
          <w:sz w:val="32"/>
          <w:szCs w:val="28"/>
          <w:highlight w:val="none"/>
          <w:lang w:val="en-US" w:eastAsia="zh-CN" w:bidi="ar-SA"/>
        </w:rPr>
        <w:t>14</w:t>
      </w:r>
      <w:r>
        <w:rPr>
          <w:rFonts w:hint="eastAsia" w:ascii="仿宋" w:hAnsi="仿宋" w:eastAsia="仿宋" w:cs="仿宋"/>
          <w:kern w:val="2"/>
          <w:sz w:val="32"/>
          <w:szCs w:val="28"/>
          <w:highlight w:val="none"/>
          <w:lang w:val="en-US" w:eastAsia="zh-CN" w:bidi="ar-SA"/>
        </w:rPr>
        <w:t>万元，实际政府采购金额9.58万元，政府采购执行率68.42%。</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本指标标准分值2分，实际得1.37分。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highlight w:val="none"/>
        </w:rPr>
      </w:pPr>
      <w:r>
        <w:rPr>
          <w:rFonts w:hint="eastAsia" w:ascii="仿宋" w:hAnsi="仿宋" w:eastAsia="仿宋" w:cs="仿宋"/>
          <w:kern w:val="44"/>
          <w:sz w:val="32"/>
          <w:szCs w:val="32"/>
          <w:highlight w:val="none"/>
          <w:lang w:bidi="ar"/>
        </w:rPr>
        <w:t>（</w:t>
      </w:r>
      <w:r>
        <w:rPr>
          <w:rFonts w:hint="eastAsia" w:ascii="仿宋" w:hAnsi="仿宋" w:eastAsia="仿宋" w:cs="仿宋"/>
          <w:kern w:val="44"/>
          <w:sz w:val="32"/>
          <w:szCs w:val="32"/>
          <w:highlight w:val="none"/>
          <w:lang w:val="en-US" w:eastAsia="zh-CN" w:bidi="ar"/>
        </w:rPr>
        <w:t>4</w:t>
      </w:r>
      <w:r>
        <w:rPr>
          <w:rFonts w:hint="eastAsia" w:ascii="仿宋" w:hAnsi="仿宋" w:eastAsia="仿宋" w:cs="仿宋"/>
          <w:kern w:val="44"/>
          <w:sz w:val="32"/>
          <w:szCs w:val="32"/>
          <w:highlight w:val="none"/>
          <w:lang w:bidi="ar"/>
        </w:rPr>
        <w:t>）非税收入预算完成率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依据城管局2023年度决算报表非税收入征缴情况表，实际非税收入决算金额625.84万元，预算编制非税收入金额57</w:t>
      </w:r>
      <w:r>
        <w:rPr>
          <w:rFonts w:hint="default" w:ascii="仿宋" w:hAnsi="仿宋" w:eastAsia="仿宋" w:cs="仿宋"/>
          <w:kern w:val="2"/>
          <w:sz w:val="32"/>
          <w:szCs w:val="28"/>
          <w:highlight w:val="none"/>
          <w:lang w:val="en-US" w:eastAsia="zh-CN" w:bidi="ar-SA"/>
        </w:rPr>
        <w:t>0</w:t>
      </w:r>
      <w:r>
        <w:rPr>
          <w:rFonts w:hint="eastAsia" w:ascii="仿宋" w:hAnsi="仿宋" w:eastAsia="仿宋" w:cs="仿宋"/>
          <w:kern w:val="2"/>
          <w:sz w:val="32"/>
          <w:szCs w:val="28"/>
          <w:highlight w:val="none"/>
          <w:lang w:val="en-US" w:eastAsia="zh-CN" w:bidi="ar-SA"/>
        </w:rPr>
        <w:t>万元，非税收入预算完成率109.80%，达成目标。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kern w:val="44"/>
          <w:sz w:val="32"/>
          <w:szCs w:val="32"/>
          <w:highlight w:val="none"/>
          <w:lang w:val="en-US" w:eastAsia="zh-CN"/>
        </w:rPr>
      </w:pPr>
      <w:r>
        <w:rPr>
          <w:rFonts w:hint="eastAsia" w:ascii="仿宋" w:hAnsi="仿宋" w:eastAsia="仿宋"/>
          <w:kern w:val="44"/>
          <w:sz w:val="32"/>
          <w:szCs w:val="32"/>
          <w:highlight w:val="none"/>
          <w:lang w:val="en-US" w:eastAsia="zh-CN"/>
        </w:rPr>
        <w:t>4. 绩效管理分析</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bidi="ar"/>
        </w:rPr>
        <w:t>（1）</w:t>
      </w:r>
      <w:r>
        <w:rPr>
          <w:rFonts w:hint="eastAsia" w:ascii="仿宋" w:hAnsi="仿宋" w:eastAsia="仿宋" w:cs="仿宋"/>
          <w:kern w:val="44"/>
          <w:sz w:val="32"/>
          <w:szCs w:val="32"/>
          <w:highlight w:val="none"/>
          <w:lang w:bidi="ar"/>
        </w:rPr>
        <w:t>事前绩效评估完成率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城管局</w:t>
      </w:r>
      <w:r>
        <w:rPr>
          <w:rFonts w:hint="default" w:ascii="仿宋" w:hAnsi="仿宋" w:eastAsia="仿宋" w:cs="仿宋"/>
          <w:kern w:val="2"/>
          <w:sz w:val="32"/>
          <w:szCs w:val="28"/>
          <w:highlight w:val="none"/>
          <w:lang w:val="en-US" w:eastAsia="zh-CN" w:bidi="ar-SA"/>
        </w:rPr>
        <w:t>202</w:t>
      </w:r>
      <w:r>
        <w:rPr>
          <w:rFonts w:hint="eastAsia" w:ascii="仿宋" w:hAnsi="仿宋" w:eastAsia="仿宋" w:cs="仿宋"/>
          <w:kern w:val="2"/>
          <w:sz w:val="32"/>
          <w:szCs w:val="28"/>
          <w:highlight w:val="none"/>
          <w:lang w:val="en-US" w:eastAsia="zh-CN" w:bidi="ar-SA"/>
        </w:rPr>
        <w:t>3年度预算项目中新增绿化养护费项目金额为883.27万元，超过200万元的项目，未开展事前绩效评估。</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本指标标准分值2分，实际得1分。</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cs="仿宋"/>
          <w:kern w:val="44"/>
          <w:sz w:val="32"/>
          <w:szCs w:val="32"/>
          <w:lang w:bidi="ar"/>
        </w:rPr>
        <w:t>（2）绩效目标合理性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城管局设置的绩效目标依据充分，符合客观实际，符合部门制定的中长期规划和年度工作计划，完整地反映部门工作计划和资金使用情况，但也存在劳务费和乡村振兴其他费用项目均未设置中期目标和年度目标。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本指标分值2分，依据评分标准得分1.</w:t>
      </w:r>
      <w:r>
        <w:rPr>
          <w:rFonts w:hint="default" w:ascii="仿宋" w:hAnsi="仿宋" w:eastAsia="仿宋" w:cs="仿宋"/>
          <w:kern w:val="2"/>
          <w:sz w:val="32"/>
          <w:szCs w:val="28"/>
          <w:highlight w:val="none"/>
          <w:lang w:val="en-US" w:eastAsia="zh-CN" w:bidi="ar-SA"/>
        </w:rPr>
        <w:t>5</w:t>
      </w:r>
      <w:r>
        <w:rPr>
          <w:rFonts w:hint="eastAsia" w:ascii="仿宋" w:hAnsi="仿宋" w:eastAsia="仿宋" w:cs="仿宋"/>
          <w:kern w:val="2"/>
          <w:sz w:val="32"/>
          <w:szCs w:val="28"/>
          <w:highlight w:val="none"/>
          <w:lang w:val="en-US" w:eastAsia="zh-CN" w:bidi="ar-SA"/>
        </w:rPr>
        <w:t>分。</w:t>
      </w:r>
    </w:p>
    <w:p>
      <w:pPr>
        <w:pageBreakBefore w:val="0"/>
        <w:kinsoku/>
        <w:wordWrap/>
        <w:overflowPunct/>
        <w:topLinePunct w:val="0"/>
        <w:autoSpaceDE/>
        <w:autoSpaceDN/>
        <w:bidi w:val="0"/>
        <w:adjustRightInd/>
        <w:spacing w:line="560" w:lineRule="exact"/>
        <w:ind w:firstLine="640" w:firstLineChars="200"/>
        <w:rPr>
          <w:rFonts w:ascii="仿宋" w:hAnsi="仿宋" w:eastAsia="仿宋" w:cs="楷体"/>
          <w:sz w:val="32"/>
          <w:szCs w:val="32"/>
        </w:rPr>
      </w:pPr>
      <w:r>
        <w:rPr>
          <w:rFonts w:hint="eastAsia" w:ascii="仿宋" w:hAnsi="仿宋" w:eastAsia="仿宋" w:cs="仿宋"/>
          <w:sz w:val="32"/>
          <w:szCs w:val="32"/>
          <w:lang w:bidi="ar"/>
        </w:rPr>
        <w:t>（3）</w:t>
      </w:r>
      <w:r>
        <w:rPr>
          <w:rFonts w:hint="eastAsia" w:ascii="仿宋" w:hAnsi="仿宋" w:eastAsia="仿宋" w:cs="仿宋"/>
          <w:sz w:val="32"/>
          <w:szCs w:val="32"/>
          <w:highlight w:val="none"/>
          <w:lang w:bidi="ar"/>
        </w:rPr>
        <w:t>绩效监控开展率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城管局2023年度绩效运行监控的范围未覆盖所有预算项目支出，未能按期完成绩效运行监控汇总分析工作并统计上报，比如智慧化升级项目无任何监控资料。</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本指标分值2分，依据评分标准得分0分。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（4）绩效评价覆盖率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依据绩效评价要求，所有县级预算一级项目和二级项目都需开展部门自评，城管局未开展2023年度预算项目支出绩效自评工作。</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本指标分值2分，依据评分标准得分1分。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（5）评价结果应用率</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核实</w:t>
      </w:r>
      <w:r>
        <w:rPr>
          <w:rFonts w:hint="default" w:ascii="仿宋" w:hAnsi="仿宋" w:eastAsia="仿宋" w:cs="仿宋"/>
          <w:kern w:val="2"/>
          <w:sz w:val="32"/>
          <w:szCs w:val="28"/>
          <w:highlight w:val="none"/>
          <w:lang w:val="en-US" w:eastAsia="zh-CN" w:bidi="ar-SA"/>
        </w:rPr>
        <w:t>202</w:t>
      </w:r>
      <w:r>
        <w:rPr>
          <w:rFonts w:hint="eastAsia" w:ascii="仿宋" w:hAnsi="仿宋" w:eastAsia="仿宋" w:cs="仿宋"/>
          <w:kern w:val="2"/>
          <w:sz w:val="32"/>
          <w:szCs w:val="28"/>
          <w:highlight w:val="none"/>
          <w:lang w:val="en-US" w:eastAsia="zh-CN" w:bidi="ar-SA"/>
        </w:rPr>
        <w:t>2年度、2023年度城管局整体支出绩效自评报告，上年度发现的问题未在本年度得到整改，2023年度编制预算时未能够有效利用</w:t>
      </w:r>
      <w:r>
        <w:rPr>
          <w:rFonts w:hint="default" w:ascii="仿宋" w:hAnsi="仿宋" w:eastAsia="仿宋" w:cs="仿宋"/>
          <w:kern w:val="2"/>
          <w:sz w:val="32"/>
          <w:szCs w:val="28"/>
          <w:highlight w:val="none"/>
          <w:lang w:val="en-US" w:eastAsia="zh-CN" w:bidi="ar-SA"/>
        </w:rPr>
        <w:t>202</w:t>
      </w:r>
      <w:r>
        <w:rPr>
          <w:rFonts w:hint="eastAsia" w:ascii="仿宋" w:hAnsi="仿宋" w:eastAsia="仿宋" w:cs="仿宋"/>
          <w:kern w:val="2"/>
          <w:sz w:val="32"/>
          <w:szCs w:val="28"/>
          <w:highlight w:val="none"/>
          <w:lang w:val="en-US" w:eastAsia="zh-CN" w:bidi="ar-SA"/>
        </w:rPr>
        <w:t>2年自评结果。</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本指标分值2分，依据评分标准得分0分。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kern w:val="44"/>
          <w:sz w:val="32"/>
          <w:szCs w:val="32"/>
          <w:lang w:val="en-US" w:eastAsia="zh-CN"/>
        </w:rPr>
      </w:pPr>
      <w:r>
        <w:rPr>
          <w:rFonts w:hint="eastAsia" w:ascii="仿宋" w:hAnsi="仿宋" w:eastAsia="仿宋"/>
          <w:kern w:val="44"/>
          <w:sz w:val="32"/>
          <w:szCs w:val="32"/>
          <w:lang w:val="en-US" w:eastAsia="zh-CN"/>
        </w:rPr>
        <w:t>5. 资产管理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（1）资产管理制度健全性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局为了加强资产管理、规范资产管理行为，制定了《国有资产管理制度》，其中包含固定资产预算管理、购置审批管理、使用和日常管理、处置管理、清查盘点管理，并参照《行政事业单位国有资产管理办法》执行。</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（2）资产管理规范性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经抽查城管局2023年度行政事业性国有资产报表、资产处置资料、资产清查表、资产入账凭证等资料，城管局的资产保存完整、使用合规、配置合理、处置规范、收入及时足额上缴，并按批复的预算配置资产，新购资产入库管理规范。</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但年末资产盘点和核对账务。</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本指标标准分值2分，实际得1.7分。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6. 财务管理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（1）财务管理制度健全性</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局为加强预算管理、规范财务行为，编制了《阳新县城市管理执法局财务管理制度（试行）》《阳新县城市管理执法局财务管理制度（试行）》相关管理制度，其中包含预决算管理、支出管理、结算方式、报销审批权限与程序等内容，已制定的各项管理制度符合法律法规的要求。但未编制现金及银行存款管理、政府采购管理、绩效管理等内控制度。</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w:t>
      </w:r>
      <w:r>
        <w:rPr>
          <w:rFonts w:hint="default" w:ascii="仿宋" w:hAnsi="仿宋" w:eastAsia="仿宋" w:cs="仿宋"/>
          <w:kern w:val="2"/>
          <w:sz w:val="32"/>
          <w:szCs w:val="28"/>
          <w:highlight w:val="none"/>
          <w:lang w:val="en-US" w:eastAsia="zh-CN" w:bidi="ar-SA"/>
        </w:rPr>
        <w:t>1</w:t>
      </w:r>
      <w:r>
        <w:rPr>
          <w:rFonts w:hint="eastAsia" w:ascii="仿宋" w:hAnsi="仿宋" w:eastAsia="仿宋" w:cs="仿宋"/>
          <w:kern w:val="2"/>
          <w:sz w:val="32"/>
          <w:szCs w:val="28"/>
          <w:highlight w:val="none"/>
          <w:lang w:val="en-US" w:eastAsia="zh-CN" w:bidi="ar-SA"/>
        </w:rPr>
        <w:t>分，实际得1.5分。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（2）会计核算规范性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单位的财务核算符合国家财经法规和财务管理制度及专项资金管理有关规定，具有完整的会计核算流程、清晰的内部控制管理制度，避免了各项经费混用的情况发生，日常落实会计核算责任制，将会计核算责任落实到人的身上，规范会计人员的行为，提高会计核算效率和质量。</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w:t>
      </w:r>
      <w:r>
        <w:rPr>
          <w:rFonts w:hint="default" w:ascii="仿宋" w:hAnsi="仿宋" w:eastAsia="仿宋" w:cs="仿宋"/>
          <w:kern w:val="2"/>
          <w:sz w:val="32"/>
          <w:szCs w:val="28"/>
          <w:highlight w:val="none"/>
          <w:lang w:val="en-US" w:eastAsia="zh-CN" w:bidi="ar-SA"/>
        </w:rPr>
        <w:t>1</w:t>
      </w:r>
      <w:r>
        <w:rPr>
          <w:rFonts w:hint="eastAsia" w:ascii="仿宋" w:hAnsi="仿宋" w:eastAsia="仿宋" w:cs="仿宋"/>
          <w:kern w:val="2"/>
          <w:sz w:val="32"/>
          <w:szCs w:val="28"/>
          <w:highlight w:val="none"/>
          <w:lang w:val="en-US" w:eastAsia="zh-CN" w:bidi="ar-SA"/>
        </w:rPr>
        <w:t>分，实际得1分。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（3）资金使用合规性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bookmarkStart w:id="33" w:name="_Toc29117"/>
      <w:r>
        <w:rPr>
          <w:rFonts w:hint="eastAsia" w:ascii="仿宋" w:hAnsi="仿宋" w:eastAsia="仿宋" w:cs="仿宋"/>
          <w:kern w:val="2"/>
          <w:sz w:val="32"/>
          <w:szCs w:val="28"/>
          <w:highlight w:val="none"/>
          <w:lang w:val="en-US" w:eastAsia="zh-CN" w:bidi="ar-SA"/>
        </w:rPr>
        <w:t>经抽查城管局本级决算报表、明细账、记账凭证等相关资料，各单位预算执行符合财务管理制度规定，按财政部门要求的时间节点编制并上报部门预算，预算资金专款专用、票据真实合法，政府采购程序执行到位，未发现截留、挤占、挪用、虚列支出等现象。</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（三）履职效能绩效指标完成情况分析</w:t>
      </w:r>
      <w:bookmarkEnd w:id="33"/>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44"/>
          <w:sz w:val="32"/>
          <w:szCs w:val="32"/>
          <w:highlight w:val="none"/>
          <w:lang w:val="en-US" w:eastAsia="zh-CN" w:bidi="ar"/>
        </w:rPr>
      </w:pPr>
      <w:r>
        <w:rPr>
          <w:rFonts w:hint="eastAsia" w:ascii="仿宋" w:hAnsi="仿宋" w:eastAsia="仿宋" w:cs="仿宋"/>
          <w:kern w:val="44"/>
          <w:sz w:val="32"/>
          <w:szCs w:val="32"/>
          <w:highlight w:val="none"/>
          <w:lang w:bidi="ar"/>
        </w:rPr>
        <w:t>1</w:t>
      </w:r>
      <w:r>
        <w:rPr>
          <w:rFonts w:hint="eastAsia" w:ascii="仿宋" w:hAnsi="仿宋" w:eastAsia="仿宋" w:cs="仿宋"/>
          <w:kern w:val="44"/>
          <w:sz w:val="32"/>
          <w:szCs w:val="32"/>
          <w:highlight w:val="none"/>
          <w:lang w:val="en-US" w:eastAsia="zh-CN" w:bidi="ar"/>
        </w:rPr>
        <w:t>. 履职任务分析</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val="en-US" w:eastAsia="zh-CN" w:bidi="ar"/>
        </w:rPr>
        <w:t>（1）</w:t>
      </w:r>
      <w:r>
        <w:rPr>
          <w:rFonts w:hint="eastAsia" w:ascii="仿宋" w:hAnsi="仿宋" w:eastAsia="仿宋" w:cs="仿宋"/>
          <w:kern w:val="44"/>
          <w:sz w:val="32"/>
          <w:szCs w:val="32"/>
          <w:highlight w:val="none"/>
          <w:lang w:bidi="ar"/>
        </w:rPr>
        <w:t>提升城乡环卫保洁质量</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2023年我县14座垃圾中转站每日转运和无害化处置污水160多吨，无害化收运处置生活垃圾15.8万吨（其中餐厨垃圾0.66万吨，一般生活垃圾15.14万吨），完成渗滤液处理48336吨，处理污水12万余吨。无害化处理率100%。 </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本指标标准分值3分，实际得3分。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44"/>
          <w:sz w:val="32"/>
          <w:szCs w:val="32"/>
          <w:highlight w:val="none"/>
          <w:lang w:val="en-US" w:eastAsia="zh-CN" w:bidi="ar"/>
        </w:rPr>
      </w:pPr>
      <w:r>
        <w:rPr>
          <w:rFonts w:hint="eastAsia" w:ascii="仿宋" w:hAnsi="仿宋" w:eastAsia="仿宋"/>
          <w:kern w:val="44"/>
          <w:sz w:val="32"/>
          <w:szCs w:val="32"/>
          <w:highlight w:val="none"/>
          <w:lang w:val="en-US" w:eastAsia="zh-CN"/>
        </w:rPr>
        <w:t>（2）</w:t>
      </w:r>
      <w:r>
        <w:rPr>
          <w:rFonts w:hint="eastAsia" w:ascii="仿宋" w:hAnsi="仿宋" w:eastAsia="仿宋" w:cs="仿宋"/>
          <w:kern w:val="44"/>
          <w:sz w:val="32"/>
          <w:szCs w:val="32"/>
          <w:highlight w:val="none"/>
          <w:lang w:val="en-US" w:eastAsia="zh-CN" w:bidi="ar"/>
        </w:rPr>
        <w:t>媒体宣传次数</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kern w:val="44"/>
          <w:sz w:val="32"/>
          <w:szCs w:val="32"/>
          <w:lang w:val="en-US" w:eastAsia="zh-CN"/>
        </w:rPr>
      </w:pPr>
      <w:r>
        <w:rPr>
          <w:rFonts w:hint="eastAsia" w:ascii="仿宋" w:hAnsi="仿宋" w:eastAsia="仿宋"/>
          <w:kern w:val="44"/>
          <w:sz w:val="32"/>
          <w:szCs w:val="32"/>
          <w:lang w:val="en-US" w:eastAsia="zh-CN"/>
        </w:rPr>
        <w:t>本年度城管局坚持在省、市、县主流媒体的报纸、电视、微信公众号、客户端发稿100余篇，“阳新城管”微信公众号编辑发稿200余篇；通过县委交办指示、自我监测发现等方式，及时消除负面舆情，共消除抖音、公众号、记者反馈等渠道的负面舆情10余件。</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kern w:val="44"/>
          <w:sz w:val="32"/>
          <w:szCs w:val="32"/>
        </w:rPr>
        <w:t>本指标标准分值</w:t>
      </w:r>
      <w:r>
        <w:rPr>
          <w:rFonts w:hint="eastAsia" w:ascii="Times New Roman" w:hAnsi="Times New Roman" w:eastAsia="仿宋"/>
          <w:kern w:val="44"/>
          <w:sz w:val="32"/>
          <w:szCs w:val="32"/>
          <w:lang w:val="en-US" w:eastAsia="zh-CN"/>
        </w:rPr>
        <w:t>3</w:t>
      </w:r>
      <w:r>
        <w:rPr>
          <w:rFonts w:hint="eastAsia" w:ascii="仿宋" w:hAnsi="仿宋" w:eastAsia="仿宋"/>
          <w:kern w:val="44"/>
          <w:sz w:val="32"/>
          <w:szCs w:val="32"/>
        </w:rPr>
        <w:t>分，实际得</w:t>
      </w:r>
      <w:r>
        <w:rPr>
          <w:rFonts w:hint="eastAsia" w:ascii="Times New Roman" w:hAnsi="Times New Roman" w:eastAsia="仿宋"/>
          <w:kern w:val="44"/>
          <w:sz w:val="32"/>
          <w:szCs w:val="32"/>
          <w:lang w:val="en-US" w:eastAsia="zh-CN"/>
        </w:rPr>
        <w:t>3</w:t>
      </w:r>
      <w:r>
        <w:rPr>
          <w:rFonts w:hint="eastAsia" w:ascii="仿宋" w:hAnsi="仿宋" w:eastAsia="仿宋"/>
          <w:kern w:val="44"/>
          <w:sz w:val="32"/>
          <w:szCs w:val="32"/>
        </w:rPr>
        <w:t>分。</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bidi="ar"/>
        </w:rPr>
        <w:t>（3）拆违拆广告次数</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城管局根据实际情况出台了《阳新县城区户外广告和门店招牌管理实施意见》，对兴国大道、龙港路、文化宫路、儒学路、枫林路等路段的户外广告，以及破损、无主、存在 安全隐患的店招、大型墙体广告、大型楼顶广告、巷口跨街广告共计拆除439处。目标值拆违拆广告次数≧30次/年。</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本指标标准分值3分，实际得3分。</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bidi="ar"/>
        </w:rPr>
        <w:t>（4）绿化带护栏更新</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 城管局本年度计划更新莲花湖大道富水管理局段、兴国大道段、迎宾大道段6418.3米护栏，实际更新6612.6米，达成率103.03%。</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 本指标标准分值3分，实际得3分。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bidi="ar"/>
        </w:rPr>
        <w:t>（</w:t>
      </w:r>
      <w:r>
        <w:rPr>
          <w:rFonts w:hint="eastAsia" w:ascii="仿宋" w:hAnsi="仿宋" w:eastAsia="仿宋" w:cs="仿宋"/>
          <w:kern w:val="44"/>
          <w:sz w:val="32"/>
          <w:szCs w:val="32"/>
          <w:highlight w:val="none"/>
          <w:lang w:val="en-US" w:eastAsia="zh-CN" w:bidi="ar"/>
        </w:rPr>
        <w:t>5</w:t>
      </w:r>
      <w:r>
        <w:rPr>
          <w:rFonts w:hint="eastAsia" w:ascii="仿宋" w:hAnsi="仿宋" w:eastAsia="仿宋" w:cs="仿宋"/>
          <w:kern w:val="44"/>
          <w:sz w:val="32"/>
          <w:szCs w:val="32"/>
          <w:highlight w:val="none"/>
          <w:lang w:bidi="ar"/>
        </w:rPr>
        <w:t>）口袋公园建设</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 我县2023年城市更新社区配套服务项目涉及10个口袋公园，施工总面积约 23541.87 平方米，目前8个公园已完工。民福路铁路旁口袋公园投资金额约148 万元，项目整体进度已完成 60%；城东管理区园博园社区口袋公园也已开工。</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本指标标准分值3分，按达成率80%，实际得2.4分。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bookmarkStart w:id="34" w:name="_Toc1476"/>
      <w:r>
        <w:rPr>
          <w:rFonts w:hint="eastAsia" w:ascii="仿宋" w:hAnsi="仿宋" w:eastAsia="仿宋" w:cs="仿宋"/>
          <w:kern w:val="2"/>
          <w:sz w:val="32"/>
          <w:szCs w:val="28"/>
          <w:highlight w:val="none"/>
          <w:lang w:val="en-US" w:eastAsia="zh-CN" w:bidi="ar-SA"/>
        </w:rPr>
        <w:t>（6）</w:t>
      </w:r>
      <w:bookmarkEnd w:id="34"/>
      <w:r>
        <w:rPr>
          <w:rFonts w:hint="eastAsia" w:ascii="仿宋" w:hAnsi="仿宋" w:eastAsia="仿宋" w:cs="仿宋"/>
          <w:kern w:val="2"/>
          <w:sz w:val="32"/>
          <w:szCs w:val="28"/>
          <w:highlight w:val="none"/>
          <w:lang w:val="en-US" w:eastAsia="zh-CN" w:bidi="ar-SA"/>
        </w:rPr>
        <w:t>智慧化升级二期项目建设</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我县本年度智慧化升级二期项目停车位扩位工程按规划应建设停车位8724个，已完成彭山大道、杨家湾路、银山大道、钟家湾路、清正路、铁铺路、经九路、阳新大道、阳新大道妇幼保健院路段、阳新综合大道等路段路侧停车泊位划线、编号、设备安装工作，总计已新增3230个路侧停车泊位，达成率37.02%。</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本指标标准分值3分，按达成率实际得1.11分。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bookmarkStart w:id="35" w:name="_Toc28690"/>
      <w:r>
        <w:rPr>
          <w:rFonts w:hint="eastAsia" w:ascii="仿宋" w:hAnsi="仿宋" w:eastAsia="仿宋" w:cs="仿宋"/>
          <w:kern w:val="2"/>
          <w:sz w:val="32"/>
          <w:szCs w:val="28"/>
          <w:highlight w:val="none"/>
          <w:lang w:val="en-US" w:eastAsia="zh-CN" w:bidi="ar-SA"/>
        </w:rPr>
        <w:t>（7）</w:t>
      </w:r>
      <w:bookmarkEnd w:id="35"/>
      <w:r>
        <w:rPr>
          <w:rFonts w:hint="eastAsia" w:ascii="仿宋" w:hAnsi="仿宋" w:eastAsia="仿宋" w:cs="仿宋"/>
          <w:kern w:val="2"/>
          <w:sz w:val="32"/>
          <w:szCs w:val="28"/>
          <w:highlight w:val="none"/>
          <w:lang w:val="en-US" w:eastAsia="zh-CN" w:bidi="ar-SA"/>
        </w:rPr>
        <w:t>静脉产业园项目</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静脉产业园项目总投资约6亿元，已完成项目建设运行，项目规划我县生活垃圾处理率规划21.72万吨，实际14.8万吨，达成率65.89%;餐厨/餐余垃圾处理率5.48%；地沟油和污泥达成率为零。</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本指标标准分值3分，依达成率实际得1.97分。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bookmarkStart w:id="36" w:name="_Toc29701"/>
      <w:r>
        <w:rPr>
          <w:rFonts w:hint="eastAsia" w:ascii="仿宋" w:hAnsi="仿宋" w:eastAsia="仿宋" w:cs="仿宋"/>
          <w:kern w:val="2"/>
          <w:sz w:val="32"/>
          <w:szCs w:val="28"/>
          <w:highlight w:val="none"/>
          <w:lang w:val="en-US" w:eastAsia="zh-CN" w:bidi="ar-SA"/>
        </w:rPr>
        <w:t>（8）</w:t>
      </w:r>
      <w:bookmarkEnd w:id="36"/>
      <w:r>
        <w:rPr>
          <w:rFonts w:hint="eastAsia" w:ascii="仿宋" w:hAnsi="仿宋" w:eastAsia="仿宋" w:cs="仿宋"/>
          <w:kern w:val="2"/>
          <w:sz w:val="32"/>
          <w:szCs w:val="28"/>
          <w:highlight w:val="none"/>
          <w:lang w:val="en-US" w:eastAsia="zh-CN" w:bidi="ar-SA"/>
        </w:rPr>
        <w:t>撤桶并点升级改造</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本年度我县城区31个社区完成186个四分类垃圾分类点改造升级工作，在城区主次干道合并点位168处，设置两分类不锈钢桶罩285组，实现垃圾分类全覆盖。</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本指标标准分值3分，实际得3分。 </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val="en-US" w:eastAsia="zh-CN" w:bidi="ar"/>
        </w:rPr>
        <w:t xml:space="preserve">2. </w:t>
      </w:r>
      <w:r>
        <w:rPr>
          <w:rFonts w:hint="eastAsia" w:ascii="仿宋" w:hAnsi="仿宋" w:eastAsia="仿宋" w:cs="仿宋"/>
          <w:b/>
          <w:bCs/>
          <w:kern w:val="44"/>
          <w:sz w:val="32"/>
          <w:szCs w:val="32"/>
          <w:highlight w:val="none"/>
          <w:lang w:bidi="ar"/>
        </w:rPr>
        <w:t>履职</w:t>
      </w:r>
      <w:r>
        <w:rPr>
          <w:rFonts w:hint="eastAsia" w:ascii="仿宋" w:hAnsi="仿宋" w:eastAsia="仿宋" w:cs="仿宋"/>
          <w:b/>
          <w:bCs/>
          <w:kern w:val="44"/>
          <w:sz w:val="32"/>
          <w:szCs w:val="32"/>
          <w:highlight w:val="none"/>
          <w:lang w:val="en-US" w:eastAsia="zh-CN" w:bidi="ar"/>
        </w:rPr>
        <w:t>质量</w:t>
      </w:r>
      <w:r>
        <w:rPr>
          <w:rFonts w:hint="eastAsia" w:ascii="仿宋" w:hAnsi="仿宋" w:eastAsia="仿宋" w:cs="仿宋"/>
          <w:b/>
          <w:bCs/>
          <w:kern w:val="44"/>
          <w:sz w:val="32"/>
          <w:szCs w:val="32"/>
          <w:highlight w:val="none"/>
          <w:lang w:bidi="ar"/>
        </w:rPr>
        <w:t>指标完成情况分析</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（1）提高行政审批效率</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本年度城管局已完成行政审批163，审批事项均已在政府网进行公示，行政审批时限提升到0.5个工作日。</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w:t>
      </w:r>
      <w:bookmarkStart w:id="37" w:name="_Toc16283"/>
      <w:r>
        <w:rPr>
          <w:rFonts w:hint="eastAsia" w:ascii="仿宋" w:hAnsi="仿宋" w:eastAsia="仿宋" w:cs="仿宋"/>
          <w:kern w:val="2"/>
          <w:sz w:val="32"/>
          <w:szCs w:val="28"/>
          <w:highlight w:val="none"/>
          <w:lang w:val="en-US" w:eastAsia="zh-CN" w:bidi="ar-SA"/>
        </w:rPr>
        <w:t>信访矛盾次数</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城管局本年度解决处理省信访局阳光信访平台转办件10件，来电来访19件，其他转办件7件，完成率为100%。</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（3）加大市容秩序整治城管局</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年度针对市容秩序，对出店经营下达《限期责令整改通知书》93份，立案12起，作出简易立案的《当场处罚决定书》563起，清理流动商贩11358人次，违规出店经营3093次，处理乱牵乱挂242处、劝导以车为市流动售卖539起。</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w:t>
      </w:r>
      <w:r>
        <w:rPr>
          <w:rFonts w:hint="default" w:ascii="仿宋" w:hAnsi="仿宋" w:eastAsia="仿宋" w:cs="仿宋"/>
          <w:kern w:val="2"/>
          <w:sz w:val="32"/>
          <w:szCs w:val="28"/>
          <w:highlight w:val="none"/>
          <w:lang w:val="en-US" w:eastAsia="zh-CN" w:bidi="ar-SA"/>
        </w:rPr>
        <w:t>2</w:t>
      </w:r>
      <w:r>
        <w:rPr>
          <w:rFonts w:hint="eastAsia" w:ascii="仿宋" w:hAnsi="仿宋" w:eastAsia="仿宋" w:cs="仿宋"/>
          <w:kern w:val="2"/>
          <w:sz w:val="32"/>
          <w:szCs w:val="28"/>
          <w:highlight w:val="none"/>
          <w:lang w:val="en-US" w:eastAsia="zh-CN" w:bidi="ar-SA"/>
        </w:rPr>
        <w:t>分，实际得2分。</w:t>
      </w:r>
    </w:p>
    <w:p>
      <w:pPr>
        <w:pageBreakBefore w:val="0"/>
        <w:kinsoku/>
        <w:wordWrap/>
        <w:overflowPunct/>
        <w:topLinePunct w:val="0"/>
        <w:autoSpaceDE/>
        <w:autoSpaceDN/>
        <w:bidi w:val="0"/>
        <w:adjustRightInd/>
        <w:spacing w:line="560" w:lineRule="exact"/>
        <w:ind w:firstLine="643" w:firstLineChars="200"/>
        <w:outlineLvl w:val="0"/>
        <w:rPr>
          <w:rFonts w:ascii="仿宋" w:hAnsi="仿宋" w:eastAsia="仿宋" w:cs="仿宋"/>
          <w:b/>
          <w:bCs/>
          <w:kern w:val="44"/>
          <w:sz w:val="32"/>
          <w:szCs w:val="32"/>
          <w:highlight w:val="none"/>
          <w:lang w:bidi="ar"/>
        </w:rPr>
      </w:pPr>
      <w:r>
        <w:rPr>
          <w:rFonts w:hint="eastAsia" w:ascii="仿宋" w:hAnsi="仿宋" w:eastAsia="仿宋" w:cs="仿宋"/>
          <w:b/>
          <w:bCs/>
          <w:kern w:val="44"/>
          <w:sz w:val="32"/>
          <w:szCs w:val="32"/>
          <w:highlight w:val="none"/>
          <w:lang w:val="en-US" w:eastAsia="zh-CN" w:bidi="ar"/>
        </w:rPr>
        <w:t>（四）</w:t>
      </w:r>
      <w:r>
        <w:rPr>
          <w:rFonts w:hint="eastAsia" w:ascii="仿宋" w:hAnsi="仿宋" w:eastAsia="仿宋" w:cs="仿宋"/>
          <w:b/>
          <w:bCs/>
          <w:kern w:val="44"/>
          <w:sz w:val="32"/>
          <w:szCs w:val="32"/>
          <w:highlight w:val="none"/>
          <w:lang w:bidi="ar"/>
        </w:rPr>
        <w:t>社会效应绩效指标完成情况分析</w:t>
      </w:r>
      <w:bookmarkEnd w:id="37"/>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 经济效益分析</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根据城管局提供的2022-2023年罚没收入明细表，经核实2022年罚没收入为536.78万元、2023年罚没收入为543.43万元，2023年比2022年增加为6.65万元。</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 社会效益分析</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（1）“四位一体”城市品质和治理水平提升</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 城管局在2023年下半年开始实施智慧化升级，项目将以物联网、大数据、云计算、人工智能、数据分析与挖掘等新一代信息技术为支撑，构建感知、分析、服务、指挥、监察“五位一体”智慧城管新模式，全面提升城市的管理能力和治理水平。</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（2）居民的安全水平、居住功能及生活环境</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我县城市管理在提升城乡环卫保洁质量上以“扫干净、码整齐、清通透”为标准，长效推动日常保洁和定期整治工作质量，生活垃圾无害化处理率100%，并深入开展打击违法建设，为维护城市良好秩序“强管控”，城市居民生活环境得到明显提档升级。</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 生态效益分析</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（1）市容秩序整洁和环境卫生清洁</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我县市容严格按照林荫路标准高起点规划，高标准设计，高质量建设城市新建道路，对老城区有条件的栽植双排或多排行道树，并及时补栽，对道路按照乔灌花草合理搭配的原则进行提档升级，城市林荫路覆盖率和城市道路达标率始终维护在80%以上。</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（2）力争创国家园林城市和国家文明城市</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我县城市绿化率和城市绿道服务半径覆盖率等绿化指标一直保持在园林城市标准线以上，新建居住区绿地率30%以上，旧区改建平均不低于25%。</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3" w:firstLineChars="200"/>
        <w:outlineLvl w:val="0"/>
        <w:rPr>
          <w:rFonts w:ascii="仿宋" w:hAnsi="仿宋" w:eastAsia="仿宋" w:cs="仿宋"/>
          <w:kern w:val="44"/>
          <w:sz w:val="32"/>
          <w:szCs w:val="32"/>
          <w:highlight w:val="none"/>
          <w:lang w:bidi="ar"/>
        </w:rPr>
      </w:pPr>
      <w:bookmarkStart w:id="38" w:name="_Toc14259"/>
      <w:r>
        <w:rPr>
          <w:rFonts w:hint="eastAsia" w:ascii="仿宋" w:hAnsi="仿宋" w:eastAsia="仿宋" w:cs="仿宋"/>
          <w:b/>
          <w:bCs/>
          <w:kern w:val="44"/>
          <w:sz w:val="32"/>
          <w:szCs w:val="32"/>
          <w:highlight w:val="none"/>
          <w:lang w:eastAsia="zh-CN" w:bidi="ar"/>
        </w:rPr>
        <w:t>（</w:t>
      </w:r>
      <w:r>
        <w:rPr>
          <w:rFonts w:hint="eastAsia" w:ascii="仿宋" w:hAnsi="仿宋" w:eastAsia="仿宋" w:cs="仿宋"/>
          <w:b/>
          <w:bCs/>
          <w:kern w:val="44"/>
          <w:sz w:val="32"/>
          <w:szCs w:val="32"/>
          <w:highlight w:val="none"/>
          <w:lang w:val="en-US" w:eastAsia="zh-CN" w:bidi="ar"/>
        </w:rPr>
        <w:t>五</w:t>
      </w:r>
      <w:r>
        <w:rPr>
          <w:rFonts w:hint="eastAsia" w:ascii="仿宋" w:hAnsi="仿宋" w:eastAsia="仿宋" w:cs="仿宋"/>
          <w:b/>
          <w:bCs/>
          <w:kern w:val="44"/>
          <w:sz w:val="32"/>
          <w:szCs w:val="32"/>
          <w:highlight w:val="none"/>
          <w:lang w:eastAsia="zh-CN" w:bidi="ar"/>
        </w:rPr>
        <w:t>）</w:t>
      </w:r>
      <w:r>
        <w:rPr>
          <w:rFonts w:hint="eastAsia" w:ascii="仿宋" w:hAnsi="仿宋" w:eastAsia="仿宋" w:cs="仿宋"/>
          <w:b/>
          <w:bCs/>
          <w:kern w:val="44"/>
          <w:sz w:val="32"/>
          <w:szCs w:val="32"/>
          <w:highlight w:val="none"/>
          <w:lang w:bidi="ar"/>
        </w:rPr>
        <w:t>可持续发展能力绩效指标完成情况分析</w:t>
      </w:r>
      <w:bookmarkEnd w:id="38"/>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44"/>
          <w:sz w:val="32"/>
          <w:szCs w:val="32"/>
          <w:highlight w:val="none"/>
          <w:lang w:val="en-US" w:eastAsia="zh-CN" w:bidi="ar"/>
        </w:rPr>
      </w:pPr>
      <w:r>
        <w:rPr>
          <w:rFonts w:hint="eastAsia" w:ascii="仿宋" w:hAnsi="仿宋" w:eastAsia="仿宋" w:cs="仿宋"/>
          <w:kern w:val="44"/>
          <w:sz w:val="32"/>
          <w:szCs w:val="32"/>
          <w:highlight w:val="none"/>
          <w:lang w:bidi="ar"/>
        </w:rPr>
        <w:t>1</w:t>
      </w:r>
      <w:r>
        <w:rPr>
          <w:rFonts w:hint="eastAsia" w:ascii="仿宋" w:hAnsi="仿宋" w:eastAsia="仿宋" w:cs="仿宋"/>
          <w:kern w:val="44"/>
          <w:sz w:val="32"/>
          <w:szCs w:val="32"/>
          <w:highlight w:val="none"/>
          <w:lang w:val="en-US" w:eastAsia="zh-CN" w:bidi="ar"/>
        </w:rPr>
        <w:t>. 体制机制改革</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eastAsia="zh-CN" w:bidi="ar"/>
        </w:rPr>
        <w:t>（</w:t>
      </w:r>
      <w:r>
        <w:rPr>
          <w:rFonts w:hint="eastAsia" w:ascii="仿宋" w:hAnsi="仿宋" w:eastAsia="仿宋" w:cs="仿宋"/>
          <w:kern w:val="44"/>
          <w:sz w:val="32"/>
          <w:szCs w:val="32"/>
          <w:highlight w:val="none"/>
          <w:lang w:val="en-US" w:eastAsia="zh-CN" w:bidi="ar"/>
        </w:rPr>
        <w:t>1</w:t>
      </w:r>
      <w:r>
        <w:rPr>
          <w:rFonts w:hint="eastAsia" w:ascii="仿宋" w:hAnsi="仿宋" w:eastAsia="仿宋" w:cs="仿宋"/>
          <w:kern w:val="44"/>
          <w:sz w:val="32"/>
          <w:szCs w:val="32"/>
          <w:highlight w:val="none"/>
          <w:lang w:eastAsia="zh-CN" w:bidi="ar"/>
        </w:rPr>
        <w:t>）</w:t>
      </w:r>
      <w:r>
        <w:rPr>
          <w:rFonts w:hint="eastAsia" w:ascii="仿宋" w:hAnsi="仿宋" w:eastAsia="仿宋" w:cs="仿宋"/>
          <w:kern w:val="44"/>
          <w:sz w:val="32"/>
          <w:szCs w:val="32"/>
          <w:highlight w:val="none"/>
          <w:lang w:bidi="ar"/>
        </w:rPr>
        <w:t>服务体制改革成效</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县城管局通过不断的努力，已逐步打造保障依法履职的培训体系和公正廉职的执法监督体系，工作方式从“以堵为主”向“以疏为主”转变。指导思想也在向“为民服务”转变。</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bidi="ar"/>
        </w:rPr>
        <w:t>（2）行政管理体制改革成效</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执法管理手段逐步实现区域化、网络化、长效化管理；城市管理的体制、机制正在形成以城管指挥部为标志的大城管机制的形成，以及属地化管理；四是队员素质在更新。组织纪律性明显增强、业务能力大幅提升、社会满意度不断提高</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default"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2. 人才支撑</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kern w:val="44"/>
          <w:sz w:val="32"/>
          <w:szCs w:val="32"/>
          <w:highlight w:val="none"/>
          <w:lang w:bidi="ar"/>
        </w:rPr>
      </w:pPr>
      <w:r>
        <w:rPr>
          <w:rFonts w:hint="eastAsia" w:ascii="仿宋" w:hAnsi="仿宋" w:eastAsia="仿宋" w:cs="仿宋"/>
          <w:kern w:val="44"/>
          <w:sz w:val="32"/>
          <w:szCs w:val="32"/>
          <w:highlight w:val="none"/>
          <w:lang w:bidi="ar"/>
        </w:rPr>
        <w:t>（</w:t>
      </w:r>
      <w:r>
        <w:rPr>
          <w:rFonts w:hint="eastAsia" w:ascii="仿宋" w:hAnsi="仿宋" w:eastAsia="仿宋" w:cs="仿宋"/>
          <w:kern w:val="44"/>
          <w:sz w:val="32"/>
          <w:szCs w:val="32"/>
          <w:highlight w:val="none"/>
          <w:lang w:val="en-US" w:eastAsia="zh-CN" w:bidi="ar"/>
        </w:rPr>
        <w:t>1</w:t>
      </w:r>
      <w:r>
        <w:rPr>
          <w:rFonts w:hint="eastAsia" w:ascii="仿宋" w:hAnsi="仿宋" w:eastAsia="仿宋" w:cs="仿宋"/>
          <w:kern w:val="44"/>
          <w:sz w:val="32"/>
          <w:szCs w:val="32"/>
          <w:highlight w:val="none"/>
          <w:lang w:bidi="ar"/>
        </w:rPr>
        <w:t>）业务学习与培训完成率</w:t>
      </w:r>
    </w:p>
    <w:p>
      <w:pPr>
        <w:pageBreakBefore w:val="0"/>
        <w:kinsoku/>
        <w:wordWrap/>
        <w:overflowPunct/>
        <w:topLinePunct w:val="0"/>
        <w:autoSpaceDE/>
        <w:autoSpaceDN/>
        <w:bidi w:val="0"/>
        <w:adjustRightInd/>
        <w:spacing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城管局2023年开展 “一月一法”培训工作，进行民法典宣传学习和网上学法等普法学法工作，组织学习人数达100人以上，学习次数为3次，并开展为期两天的“执法大练兵”培训。</w:t>
      </w:r>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本指标标准分值2分，实际得2分。</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（2）干部队伍体系建设规划情况</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城管局干部队伍在干部队伍建设有较为科学合理的制度支撑；其中：复员军人8人，占总人数7.27%，招考录用60人，占全员比54.55%，单位通过招考录用高学历、高标准，且符合现代化智慧管理的人员比率不断上升，优秀干部队伍科学体系逐渐提升</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本指标标准分值2分，实得2分。</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（3）高学历、高层次人才储备率</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default"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 xml:space="preserve">   阳新县城管局2023年期末在职总人员110人，其中研究生2人，占全员比1.82%；大学本科12人，占全员比10.91%；大学专科和专科学校74人，占全员比67.27%；专等专科/技工学校22人，占全员比20%，高段研究生只有2人，高级职称、硕士和博士人才储备低于40%，还需制定长远人才规划。</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本指标标准分值2分，实际得1分。</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3. 信息化建设情况</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bookmarkStart w:id="39" w:name="_Toc31939"/>
      <w:r>
        <w:rPr>
          <w:rFonts w:hint="eastAsia" w:ascii="仿宋" w:hAnsi="仿宋" w:eastAsia="仿宋" w:cs="Times New Roman"/>
          <w:kern w:val="44"/>
          <w:sz w:val="32"/>
          <w:szCs w:val="32"/>
          <w:highlight w:val="none"/>
          <w:lang w:val="en-US" w:eastAsia="zh-CN"/>
        </w:rPr>
        <w:t>我县城管局从2020年初开始申报智慧城管信息化管理模式，前期已完成无线数据采集、监督中心受理、协同工作、大屏幕监督指挥、基础数据资源管理、应用维护、综合评价、地理编码、数据交换等信息建设工作。</w:t>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本指标标准分值</w:t>
      </w:r>
      <w:r>
        <w:rPr>
          <w:rFonts w:hint="default" w:ascii="仿宋" w:hAnsi="仿宋" w:eastAsia="仿宋" w:cs="Times New Roman"/>
          <w:kern w:val="44"/>
          <w:sz w:val="32"/>
          <w:szCs w:val="32"/>
          <w:highlight w:val="none"/>
          <w:lang w:val="en-US" w:eastAsia="zh-CN"/>
        </w:rPr>
        <w:t>2</w:t>
      </w:r>
      <w:r>
        <w:rPr>
          <w:rFonts w:hint="eastAsia" w:ascii="仿宋" w:hAnsi="仿宋" w:eastAsia="仿宋" w:cs="Times New Roman"/>
          <w:kern w:val="44"/>
          <w:sz w:val="32"/>
          <w:szCs w:val="32"/>
          <w:highlight w:val="none"/>
          <w:lang w:val="en-US" w:eastAsia="zh-CN"/>
        </w:rPr>
        <w:t>分，实际得2分。</w:t>
      </w:r>
    </w:p>
    <w:p>
      <w:pPr>
        <w:pageBreakBefore w:val="0"/>
        <w:kinsoku/>
        <w:wordWrap/>
        <w:overflowPunct/>
        <w:topLinePunct w:val="0"/>
        <w:autoSpaceDE/>
        <w:autoSpaceDN/>
        <w:bidi w:val="0"/>
        <w:adjustRightInd/>
        <w:spacing w:line="560" w:lineRule="exact"/>
        <w:ind w:firstLine="643" w:firstLineChars="200"/>
        <w:outlineLvl w:val="0"/>
        <w:rPr>
          <w:rFonts w:ascii="仿宋" w:hAnsi="仿宋" w:eastAsia="仿宋" w:cs="仿宋"/>
          <w:b/>
          <w:bCs/>
          <w:kern w:val="44"/>
          <w:sz w:val="32"/>
          <w:szCs w:val="32"/>
          <w:highlight w:val="none"/>
          <w:lang w:bidi="ar"/>
        </w:rPr>
      </w:pPr>
      <w:r>
        <w:rPr>
          <w:rFonts w:hint="eastAsia" w:ascii="仿宋" w:hAnsi="仿宋" w:eastAsia="仿宋" w:cs="仿宋"/>
          <w:b/>
          <w:bCs/>
          <w:kern w:val="44"/>
          <w:sz w:val="32"/>
          <w:szCs w:val="32"/>
          <w:highlight w:val="none"/>
          <w:lang w:eastAsia="zh-CN" w:bidi="ar"/>
        </w:rPr>
        <w:t>（</w:t>
      </w:r>
      <w:r>
        <w:rPr>
          <w:rFonts w:hint="eastAsia" w:ascii="仿宋" w:hAnsi="仿宋" w:eastAsia="仿宋" w:cs="仿宋"/>
          <w:b/>
          <w:bCs/>
          <w:kern w:val="44"/>
          <w:sz w:val="32"/>
          <w:szCs w:val="32"/>
          <w:highlight w:val="none"/>
          <w:lang w:val="en-US" w:eastAsia="zh-CN" w:bidi="ar"/>
        </w:rPr>
        <w:t>六</w:t>
      </w:r>
      <w:r>
        <w:rPr>
          <w:rFonts w:hint="eastAsia" w:ascii="仿宋" w:hAnsi="仿宋" w:eastAsia="仿宋" w:cs="仿宋"/>
          <w:b/>
          <w:bCs/>
          <w:kern w:val="44"/>
          <w:sz w:val="32"/>
          <w:szCs w:val="32"/>
          <w:highlight w:val="none"/>
          <w:lang w:eastAsia="zh-CN" w:bidi="ar"/>
        </w:rPr>
        <w:t>）</w:t>
      </w:r>
      <w:r>
        <w:rPr>
          <w:rFonts w:hint="eastAsia" w:ascii="仿宋" w:hAnsi="仿宋" w:eastAsia="仿宋" w:cs="仿宋"/>
          <w:b/>
          <w:bCs/>
          <w:kern w:val="44"/>
          <w:sz w:val="32"/>
          <w:szCs w:val="32"/>
          <w:highlight w:val="none"/>
          <w:lang w:bidi="ar"/>
        </w:rPr>
        <w:t>满意度绩效指标完成情况分析</w:t>
      </w:r>
      <w:bookmarkEnd w:id="39"/>
    </w:p>
    <w:bookmarkEnd w:id="31"/>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bookmarkStart w:id="40" w:name="_Toc28212"/>
      <w:r>
        <w:rPr>
          <w:rFonts w:hint="eastAsia" w:ascii="仿宋" w:hAnsi="仿宋" w:eastAsia="仿宋" w:cs="Times New Roman"/>
          <w:kern w:val="44"/>
          <w:sz w:val="32"/>
          <w:szCs w:val="32"/>
          <w:highlight w:val="none"/>
          <w:lang w:val="en-US" w:eastAsia="zh-CN"/>
        </w:rPr>
        <w:t>通过问卷星发放有效问卷281份，对社会群众满意度调查分析，总体对我县城管局的满意度为76.87%，不满意及非常不满意占比2.84%，对城管执法人中贩专业素养评论非常高占65.48%，执法不严的点21.71%，态度生硬的11.03%，</w:t>
      </w: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spacing w:line="240" w:lineRule="auto"/>
        <w:ind w:firstLine="360" w:firstLineChars="200"/>
        <w:textAlignment w:val="auto"/>
      </w:pPr>
      <w:r>
        <w:drawing>
          <wp:inline distT="0" distB="0" distL="114300" distR="114300">
            <wp:extent cx="5612765" cy="2184400"/>
            <wp:effectExtent l="0" t="0" r="6985"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5612765" cy="2184400"/>
                    </a:xfrm>
                    <a:prstGeom prst="rect">
                      <a:avLst/>
                    </a:prstGeom>
                    <a:noFill/>
                    <a:ln>
                      <a:noFill/>
                    </a:ln>
                  </pic:spPr>
                </pic:pic>
              </a:graphicData>
            </a:graphic>
          </wp:inline>
        </w:drawing>
      </w: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spacing w:line="240" w:lineRule="auto"/>
        <w:ind w:firstLine="360" w:firstLineChars="200"/>
        <w:textAlignment w:val="auto"/>
        <w:rPr>
          <w:rFonts w:hint="eastAsia"/>
          <w:lang w:val="en-US" w:eastAsia="zh-CN"/>
        </w:rPr>
      </w:pPr>
      <w:r>
        <w:rPr>
          <w:rFonts w:hint="eastAsia"/>
          <w:lang w:val="en-US" w:eastAsia="zh-CN"/>
        </w:rPr>
        <w:t>在对我县城管执法局的工作存在的突出问题主要反映在执法不严占比21.71%，态度生硬11.03%，</w:t>
      </w:r>
    </w:p>
    <w:p>
      <w:pPr>
        <w:pStyle w:val="11"/>
        <w:keepNext w:val="0"/>
        <w:keepLines w:val="0"/>
        <w:pageBreakBefore w:val="0"/>
        <w:widowControl w:val="0"/>
        <w:tabs>
          <w:tab w:val="center" w:pos="4153"/>
          <w:tab w:val="right" w:pos="8306"/>
        </w:tabs>
        <w:kinsoku/>
        <w:wordWrap/>
        <w:overflowPunct/>
        <w:topLinePunct w:val="0"/>
        <w:autoSpaceDE/>
        <w:autoSpaceDN/>
        <w:bidi w:val="0"/>
        <w:adjustRightInd/>
        <w:snapToGrid/>
        <w:spacing w:line="240" w:lineRule="auto"/>
        <w:ind w:firstLine="360" w:firstLineChars="200"/>
        <w:textAlignment w:val="auto"/>
        <w:rPr>
          <w:rFonts w:hint="default"/>
          <w:lang w:val="en-US" w:eastAsia="zh-CN"/>
        </w:rPr>
      </w:pPr>
      <w:r>
        <w:drawing>
          <wp:inline distT="0" distB="0" distL="114300" distR="114300">
            <wp:extent cx="5486400" cy="25527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5486400" cy="2552700"/>
                    </a:xfrm>
                    <a:prstGeom prst="rect">
                      <a:avLst/>
                    </a:prstGeom>
                    <a:noFill/>
                    <a:ln>
                      <a:noFill/>
                    </a:ln>
                  </pic:spPr>
                </pic:pic>
              </a:graphicData>
            </a:graphic>
          </wp:inline>
        </w:drawing>
      </w:r>
    </w:p>
    <w:p>
      <w:pPr>
        <w:pStyle w:val="11"/>
        <w:keepNext w:val="0"/>
        <w:keepLines w:val="0"/>
        <w:pageBreakBefore w:val="0"/>
        <w:tabs>
          <w:tab w:val="center" w:pos="4153"/>
          <w:tab w:val="right" w:pos="8306"/>
        </w:tabs>
        <w:kinsoku/>
        <w:wordWrap/>
        <w:overflowPunct/>
        <w:topLinePunct w:val="0"/>
        <w:autoSpaceDE/>
        <w:autoSpaceDN/>
        <w:bidi w:val="0"/>
        <w:adjustRightInd/>
        <w:spacing w:line="560" w:lineRule="exact"/>
        <w:ind w:firstLine="640" w:firstLineChars="200"/>
        <w:textAlignment w:val="auto"/>
        <w:outlineLvl w:val="9"/>
        <w:rPr>
          <w:rFonts w:hint="eastAsia" w:ascii="仿宋" w:hAnsi="仿宋" w:eastAsia="仿宋" w:cs="Times New Roman"/>
          <w:kern w:val="44"/>
          <w:sz w:val="32"/>
          <w:szCs w:val="32"/>
          <w:highlight w:val="none"/>
          <w:lang w:val="en-US" w:eastAsia="zh-CN"/>
        </w:rPr>
      </w:pPr>
      <w:r>
        <w:rPr>
          <w:rFonts w:hint="eastAsia" w:ascii="仿宋" w:hAnsi="仿宋" w:eastAsia="仿宋" w:cs="Times New Roman"/>
          <w:kern w:val="44"/>
          <w:sz w:val="32"/>
          <w:szCs w:val="32"/>
          <w:highlight w:val="none"/>
          <w:lang w:val="en-US" w:eastAsia="zh-CN"/>
        </w:rPr>
        <w:t>本指标标准分值3分，实际得2.31分。</w:t>
      </w:r>
    </w:p>
    <w:bookmarkEnd w:id="40"/>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rPr>
          <w:rFonts w:hint="default" w:ascii="仿宋" w:hAnsi="仿宋" w:eastAsia="黑体" w:cs="仿宋"/>
          <w:b/>
          <w:sz w:val="32"/>
          <w:szCs w:val="32"/>
          <w:highlight w:val="none"/>
          <w:lang w:val="en-US" w:eastAsia="zh-CN"/>
        </w:rPr>
      </w:pPr>
      <w:bookmarkStart w:id="41" w:name="_Toc28871"/>
      <w:r>
        <w:rPr>
          <w:rFonts w:hint="eastAsia" w:ascii="仿宋" w:hAnsi="仿宋" w:eastAsia="黑体" w:cs="仿宋"/>
          <w:b/>
          <w:sz w:val="32"/>
          <w:szCs w:val="32"/>
          <w:highlight w:val="none"/>
          <w:lang w:val="en-US" w:eastAsia="zh-CN"/>
        </w:rPr>
        <w:t>四、存在的问题和建议</w:t>
      </w:r>
      <w:bookmarkEnd w:id="41"/>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bookmarkStart w:id="42" w:name="_Toc13497"/>
      <w:r>
        <w:rPr>
          <w:rFonts w:hint="eastAsia" w:ascii="Times New Roman" w:hAnsi="Times New Roman" w:eastAsia="楷体" w:cs="Times New Roman"/>
          <w:b/>
          <w:bCs/>
          <w:kern w:val="0"/>
          <w:sz w:val="32"/>
          <w:szCs w:val="28"/>
          <w:highlight w:val="none"/>
          <w:lang w:val="en-US" w:eastAsia="zh-CN" w:bidi="ar-SA"/>
        </w:rPr>
        <w:t>（一）存在的问题</w:t>
      </w:r>
      <w:bookmarkEnd w:id="42"/>
    </w:p>
    <w:p>
      <w:pPr>
        <w:pStyle w:val="14"/>
        <w:pageBreakBefore w:val="0"/>
        <w:widowControl/>
        <w:shd w:val="clear" w:color="auto" w:fill="FFFFFF"/>
        <w:kinsoku/>
        <w:wordWrap/>
        <w:overflowPunct/>
        <w:topLinePunct w:val="0"/>
        <w:autoSpaceDE/>
        <w:autoSpaceDN/>
        <w:bidi w:val="0"/>
        <w:adjustRightInd/>
        <w:spacing w:beforeAutospacing="0" w:afterAutospacing="0" w:line="560" w:lineRule="exact"/>
        <w:ind w:firstLine="643" w:firstLineChars="200"/>
        <w:rPr>
          <w:rFonts w:hint="eastAsia" w:ascii="仿宋" w:hAnsi="仿宋" w:eastAsia="仿宋" w:cs="Times New Roman"/>
          <w:kern w:val="44"/>
          <w:sz w:val="32"/>
          <w:szCs w:val="32"/>
          <w:highlight w:val="none"/>
          <w:lang w:val="en-US" w:eastAsia="zh-CN" w:bidi="ar-SA"/>
        </w:rPr>
      </w:pPr>
      <w:bookmarkStart w:id="43" w:name="_Toc6524"/>
      <w:r>
        <w:rPr>
          <w:rFonts w:hint="eastAsia" w:ascii="仿宋" w:hAnsi="仿宋" w:eastAsia="仿宋" w:cs="仿宋"/>
          <w:b/>
          <w:bCs/>
          <w:sz w:val="32"/>
          <w:szCs w:val="32"/>
          <w:lang w:val="en-US" w:eastAsia="zh-CN"/>
        </w:rPr>
        <w:t>1. 在职人员控制不到位。</w:t>
      </w:r>
      <w:r>
        <w:rPr>
          <w:rFonts w:hint="eastAsia" w:ascii="仿宋" w:hAnsi="仿宋" w:eastAsia="仿宋" w:cs="Times New Roman"/>
          <w:kern w:val="44"/>
          <w:sz w:val="32"/>
          <w:szCs w:val="32"/>
          <w:highlight w:val="none"/>
          <w:lang w:val="en-US" w:eastAsia="zh-CN" w:bidi="ar-SA"/>
        </w:rPr>
        <w:t>阳新县委编委会核定县城市管理执法局事业编制人员91人，2023年末实际在职人员113人，超出22人。超标率24.18%。</w:t>
      </w:r>
    </w:p>
    <w:p>
      <w:pPr>
        <w:pStyle w:val="14"/>
        <w:pageBreakBefore w:val="0"/>
        <w:widowControl/>
        <w:shd w:val="clear" w:color="auto" w:fill="FFFFFF"/>
        <w:kinsoku/>
        <w:wordWrap/>
        <w:overflowPunct/>
        <w:topLinePunct w:val="0"/>
        <w:autoSpaceDE/>
        <w:autoSpaceDN/>
        <w:bidi w:val="0"/>
        <w:adjustRightInd/>
        <w:spacing w:beforeAutospacing="0" w:afterAutospacing="0" w:line="560" w:lineRule="exact"/>
        <w:ind w:firstLine="643" w:firstLineChars="200"/>
        <w:rPr>
          <w:rFonts w:hint="default" w:ascii="仿宋" w:hAnsi="仿宋" w:eastAsia="仿宋"/>
          <w:b w:val="0"/>
          <w:bCs w:val="0"/>
          <w:kern w:val="44"/>
          <w:sz w:val="32"/>
          <w:szCs w:val="32"/>
          <w:lang w:val="en-US" w:eastAsia="zh-CN"/>
        </w:rPr>
      </w:pPr>
      <w:r>
        <w:rPr>
          <w:rFonts w:hint="eastAsia" w:ascii="仿宋" w:hAnsi="仿宋" w:eastAsia="仿宋"/>
          <w:b/>
          <w:bCs/>
          <w:kern w:val="44"/>
          <w:sz w:val="32"/>
          <w:szCs w:val="32"/>
          <w:lang w:val="en-US" w:eastAsia="zh-CN"/>
        </w:rPr>
        <w:t>2. 未开展事前绩效评估。</w:t>
      </w:r>
      <w:r>
        <w:rPr>
          <w:rFonts w:hint="eastAsia" w:ascii="仿宋" w:hAnsi="仿宋" w:eastAsia="仿宋" w:cs="Times New Roman"/>
          <w:kern w:val="44"/>
          <w:sz w:val="32"/>
          <w:szCs w:val="32"/>
          <w:highlight w:val="none"/>
          <w:lang w:val="en-US" w:eastAsia="zh-CN" w:bidi="ar-SA"/>
        </w:rPr>
        <w:t>新增绿化养护费项目金额为883.27万元未开展事前绩效评估。</w:t>
      </w:r>
    </w:p>
    <w:p>
      <w:pPr>
        <w:pStyle w:val="14"/>
        <w:pageBreakBefore w:val="0"/>
        <w:widowControl/>
        <w:shd w:val="clear" w:color="auto" w:fill="FFFFFF"/>
        <w:kinsoku/>
        <w:wordWrap/>
        <w:overflowPunct/>
        <w:topLinePunct w:val="0"/>
        <w:autoSpaceDE/>
        <w:autoSpaceDN/>
        <w:bidi w:val="0"/>
        <w:adjustRightInd/>
        <w:spacing w:beforeAutospacing="0" w:afterAutospacing="0" w:line="560" w:lineRule="exact"/>
        <w:ind w:firstLine="643" w:firstLineChars="200"/>
        <w:rPr>
          <w:rFonts w:hint="eastAsia" w:ascii="仿宋" w:hAnsi="仿宋" w:eastAsia="仿宋" w:cs="Times New Roman"/>
          <w:kern w:val="44"/>
          <w:sz w:val="32"/>
          <w:szCs w:val="32"/>
          <w:highlight w:val="none"/>
          <w:lang w:val="en-US" w:eastAsia="zh-CN" w:bidi="ar-SA"/>
        </w:rPr>
      </w:pPr>
      <w:r>
        <w:rPr>
          <w:rFonts w:hint="eastAsia" w:ascii="仿宋" w:hAnsi="仿宋" w:eastAsia="仿宋" w:cs="仿宋"/>
          <w:b/>
          <w:bCs/>
          <w:sz w:val="32"/>
          <w:szCs w:val="32"/>
          <w:lang w:val="en-US" w:eastAsia="zh-CN"/>
        </w:rPr>
        <w:t xml:space="preserve">3. </w:t>
      </w:r>
      <w:r>
        <w:rPr>
          <w:rFonts w:hint="eastAsia" w:ascii="仿宋" w:hAnsi="仿宋" w:eastAsia="仿宋" w:cs="仿宋"/>
          <w:b/>
          <w:bCs/>
          <w:sz w:val="32"/>
          <w:szCs w:val="32"/>
        </w:rPr>
        <w:t>绩效目标、绩效指标设置不规</w:t>
      </w:r>
      <w:r>
        <w:rPr>
          <w:rFonts w:hint="eastAsia" w:ascii="仿宋" w:hAnsi="仿宋" w:eastAsia="仿宋" w:cs="仿宋"/>
          <w:b/>
          <w:bCs/>
          <w:kern w:val="2"/>
          <w:sz w:val="32"/>
          <w:szCs w:val="32"/>
        </w:rPr>
        <w:t>范。</w:t>
      </w:r>
      <w:r>
        <w:rPr>
          <w:rFonts w:hint="eastAsia" w:ascii="仿宋" w:hAnsi="仿宋" w:eastAsia="仿宋" w:cs="仿宋"/>
          <w:kern w:val="2"/>
          <w:sz w:val="32"/>
          <w:szCs w:val="28"/>
          <w:highlight w:val="none"/>
          <w:lang w:val="en-US" w:eastAsia="zh-CN" w:bidi="ar-SA"/>
        </w:rPr>
        <w:t>劳务费和乡村振兴其他费用项目均未设置中期目标和年度目标，与《中共中央国务院关于全面实施预算绩效管理的意见》《阳新县预算绩效目标管理暂行办法》等文件中绩效目标指标的设置要求不相符。</w:t>
      </w:r>
    </w:p>
    <w:p>
      <w:pPr>
        <w:pageBreakBefore w:val="0"/>
        <w:kinsoku/>
        <w:wordWrap/>
        <w:overflowPunct/>
        <w:topLinePunct w:val="0"/>
        <w:autoSpaceDE/>
        <w:autoSpaceDN/>
        <w:bidi w:val="0"/>
        <w:adjustRightInd/>
        <w:spacing w:line="560" w:lineRule="exact"/>
        <w:ind w:firstLine="643" w:firstLineChars="200"/>
        <w:contextualSpacing/>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4. 未开展绩效监控和绩效评估。</w:t>
      </w:r>
      <w:r>
        <w:rPr>
          <w:rFonts w:hint="eastAsia" w:ascii="仿宋" w:hAnsi="仿宋" w:eastAsia="仿宋" w:cs="仿宋"/>
          <w:kern w:val="2"/>
          <w:sz w:val="32"/>
          <w:szCs w:val="28"/>
          <w:highlight w:val="none"/>
          <w:lang w:val="en-US" w:eastAsia="zh-CN" w:bidi="ar-SA"/>
        </w:rPr>
        <w:t>一是未按期完成绩效运行监控汇总分析工作；二是未对本部门整体开展部门自评。</w:t>
      </w:r>
    </w:p>
    <w:p>
      <w:pPr>
        <w:pageBreakBefore w:val="0"/>
        <w:kinsoku/>
        <w:wordWrap/>
        <w:overflowPunct/>
        <w:topLinePunct w:val="0"/>
        <w:autoSpaceDE/>
        <w:autoSpaceDN/>
        <w:bidi w:val="0"/>
        <w:adjustRightInd/>
        <w:spacing w:line="560" w:lineRule="exact"/>
        <w:ind w:firstLine="643" w:firstLineChars="200"/>
        <w:contextualSpacing/>
        <w:rPr>
          <w:rFonts w:hint="eastAsia" w:ascii="仿宋" w:hAnsi="仿宋" w:eastAsia="仿宋" w:cs="仿宋"/>
          <w:kern w:val="2"/>
          <w:sz w:val="32"/>
          <w:szCs w:val="28"/>
          <w:highlight w:val="none"/>
          <w:lang w:val="en-US" w:eastAsia="zh-CN" w:bidi="ar-SA"/>
        </w:rPr>
      </w:pPr>
      <w:r>
        <w:rPr>
          <w:rFonts w:hint="eastAsia" w:ascii="仿宋" w:hAnsi="仿宋" w:eastAsia="仿宋" w:cs="仿宋"/>
          <w:b/>
          <w:bCs/>
          <w:sz w:val="32"/>
          <w:szCs w:val="32"/>
          <w:lang w:val="en-US" w:eastAsia="zh-CN"/>
        </w:rPr>
        <w:t>5. 资产管理不到位。</w:t>
      </w:r>
      <w:r>
        <w:rPr>
          <w:rFonts w:hint="eastAsia" w:ascii="仿宋" w:hAnsi="仿宋" w:eastAsia="仿宋" w:cs="Times New Roman"/>
          <w:kern w:val="44"/>
          <w:sz w:val="32"/>
          <w:szCs w:val="32"/>
          <w:highlight w:val="none"/>
          <w:lang w:val="en-US" w:eastAsia="zh-CN" w:bidi="ar-SA"/>
        </w:rPr>
        <w:t>未</w:t>
      </w:r>
      <w:r>
        <w:rPr>
          <w:rFonts w:hint="eastAsia" w:ascii="仿宋" w:hAnsi="仿宋" w:eastAsia="仿宋" w:cs="仿宋"/>
          <w:kern w:val="2"/>
          <w:sz w:val="32"/>
          <w:szCs w:val="28"/>
          <w:highlight w:val="none"/>
          <w:lang w:val="en-US" w:eastAsia="zh-CN" w:bidi="ar-SA"/>
        </w:rPr>
        <w:t>定期对资产进行盘点和核对账务，不利于国有资产管理，与《国有资产管理制度》中的第十四条要求不相符。</w:t>
      </w:r>
    </w:p>
    <w:p>
      <w:pPr>
        <w:pageBreakBefore w:val="0"/>
        <w:kinsoku/>
        <w:wordWrap/>
        <w:overflowPunct/>
        <w:topLinePunct w:val="0"/>
        <w:autoSpaceDE/>
        <w:autoSpaceDN/>
        <w:bidi w:val="0"/>
        <w:adjustRightInd/>
        <w:spacing w:line="560" w:lineRule="exact"/>
        <w:ind w:firstLine="643" w:firstLineChars="200"/>
        <w:contextualSpacing/>
        <w:rPr>
          <w:rFonts w:hint="eastAsia" w:ascii="仿宋" w:hAnsi="仿宋" w:eastAsia="仿宋" w:cs="仿宋"/>
          <w:kern w:val="2"/>
          <w:sz w:val="32"/>
          <w:szCs w:val="28"/>
          <w:highlight w:val="none"/>
          <w:lang w:val="en-US" w:eastAsia="zh-CN" w:bidi="ar-SA"/>
        </w:rPr>
      </w:pPr>
      <w:r>
        <w:rPr>
          <w:rFonts w:hint="eastAsia" w:ascii="仿宋" w:hAnsi="仿宋" w:eastAsia="仿宋" w:cs="仿宋"/>
          <w:b/>
          <w:bCs/>
          <w:sz w:val="32"/>
          <w:szCs w:val="32"/>
          <w:lang w:val="en-US" w:eastAsia="zh-CN"/>
        </w:rPr>
        <w:t>6. 财务管理制度不健全。</w:t>
      </w:r>
      <w:r>
        <w:rPr>
          <w:rFonts w:hint="eastAsia" w:ascii="仿宋" w:hAnsi="仿宋" w:eastAsia="仿宋" w:cs="仿宋"/>
          <w:kern w:val="2"/>
          <w:sz w:val="32"/>
          <w:szCs w:val="28"/>
          <w:highlight w:val="none"/>
          <w:lang w:val="en-US" w:eastAsia="zh-CN" w:bidi="ar-SA"/>
        </w:rPr>
        <w:t>城管局编制的《阳新县城市管理执法局财务管理制度（试行）》《阳新县城市管理执法局财务管理制度（试行）》相关管理制度不健全，未编制现金及银行存款管理、政府采购管理、绩效管理等内控制度。</w:t>
      </w:r>
    </w:p>
    <w:p>
      <w:pPr>
        <w:pageBreakBefore w:val="0"/>
        <w:kinsoku/>
        <w:wordWrap/>
        <w:overflowPunct/>
        <w:topLinePunct w:val="0"/>
        <w:autoSpaceDE/>
        <w:autoSpaceDN/>
        <w:bidi w:val="0"/>
        <w:adjustRightInd/>
        <w:spacing w:line="560" w:lineRule="exact"/>
        <w:ind w:firstLine="643" w:firstLineChars="200"/>
        <w:contextualSpacing/>
        <w:rPr>
          <w:rFonts w:hint="eastAsia" w:ascii="仿宋" w:hAnsi="仿宋" w:eastAsia="仿宋" w:cs="仿宋"/>
          <w:kern w:val="2"/>
          <w:sz w:val="32"/>
          <w:szCs w:val="28"/>
          <w:highlight w:val="none"/>
          <w:lang w:val="en-US" w:eastAsia="zh-CN" w:bidi="ar-SA"/>
        </w:rPr>
      </w:pPr>
      <w:r>
        <w:rPr>
          <w:rFonts w:hint="eastAsia" w:ascii="仿宋" w:hAnsi="仿宋" w:eastAsia="仿宋" w:cs="仿宋"/>
          <w:b/>
          <w:bCs/>
          <w:sz w:val="32"/>
          <w:szCs w:val="32"/>
          <w:lang w:val="en-US" w:eastAsia="zh-CN"/>
        </w:rPr>
        <w:t>7. 预算编制不科学不合理。</w:t>
      </w:r>
      <w:r>
        <w:rPr>
          <w:rFonts w:hint="eastAsia" w:ascii="仿宋" w:hAnsi="仿宋" w:eastAsia="仿宋" w:cs="仿宋"/>
          <w:kern w:val="2"/>
          <w:sz w:val="32"/>
          <w:szCs w:val="28"/>
          <w:highlight w:val="none"/>
          <w:lang w:val="en-US" w:eastAsia="zh-CN" w:bidi="ar-SA"/>
        </w:rPr>
        <w:t>2023年城管局整体预算年初预算批复只占总实际发生额的21.81%，造成指标追加比例达358.53%。</w:t>
      </w:r>
    </w:p>
    <w:p>
      <w:pPr>
        <w:pageBreakBefore w:val="0"/>
        <w:kinsoku/>
        <w:wordWrap/>
        <w:overflowPunct/>
        <w:topLinePunct w:val="0"/>
        <w:autoSpaceDE/>
        <w:autoSpaceDN/>
        <w:bidi w:val="0"/>
        <w:adjustRightInd/>
        <w:spacing w:line="560" w:lineRule="exact"/>
        <w:ind w:firstLine="643"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b/>
          <w:bCs/>
          <w:sz w:val="32"/>
          <w:szCs w:val="32"/>
          <w:lang w:val="en-US" w:eastAsia="zh-CN"/>
        </w:rPr>
        <w:t>8. 重申请，轻绩效。</w:t>
      </w:r>
      <w:r>
        <w:rPr>
          <w:rFonts w:hint="eastAsia" w:ascii="仿宋" w:hAnsi="仿宋" w:eastAsia="仿宋" w:cs="仿宋"/>
          <w:kern w:val="2"/>
          <w:sz w:val="32"/>
          <w:szCs w:val="28"/>
          <w:highlight w:val="none"/>
          <w:lang w:val="en-US" w:eastAsia="zh-CN" w:bidi="ar-SA"/>
        </w:rPr>
        <w:t>主要是不按资金的预算用途进行运作，将专项资金作为日常经费的补充，预算不准，预算编制不够规范，分配不够合理</w:t>
      </w:r>
      <w:r>
        <w:rPr>
          <w:rFonts w:hint="default" w:ascii="仿宋" w:hAnsi="仿宋" w:eastAsia="仿宋" w:cs="仿宋"/>
          <w:kern w:val="2"/>
          <w:sz w:val="32"/>
          <w:szCs w:val="28"/>
          <w:highlight w:val="none"/>
          <w:lang w:val="en-US" w:eastAsia="zh-CN" w:bidi="ar-SA"/>
        </w:rPr>
        <w:t>。</w:t>
      </w:r>
    </w:p>
    <w:p>
      <w:pPr>
        <w:pageBreakBefore w:val="0"/>
        <w:kinsoku/>
        <w:wordWrap/>
        <w:overflowPunct/>
        <w:topLinePunct w:val="0"/>
        <w:autoSpaceDE/>
        <w:autoSpaceDN/>
        <w:bidi w:val="0"/>
        <w:adjustRightInd/>
        <w:spacing w:line="560" w:lineRule="exact"/>
        <w:ind w:firstLine="643" w:firstLineChars="200"/>
        <w:rPr>
          <w:rFonts w:hint="default"/>
          <w:lang w:val="en-US" w:eastAsia="zh-CN"/>
        </w:rPr>
      </w:pPr>
      <w:r>
        <w:rPr>
          <w:rFonts w:hint="eastAsia" w:ascii="仿宋" w:hAnsi="仿宋" w:eastAsia="仿宋" w:cs="仿宋"/>
          <w:b/>
          <w:bCs/>
          <w:sz w:val="32"/>
          <w:szCs w:val="32"/>
          <w:lang w:val="en-US" w:eastAsia="zh-CN"/>
        </w:rPr>
        <w:t>9. 会计处理不规范。</w:t>
      </w:r>
      <w:r>
        <w:rPr>
          <w:rFonts w:hint="eastAsia" w:ascii="仿宋" w:hAnsi="仿宋" w:eastAsia="仿宋" w:cs="仿宋"/>
          <w:kern w:val="2"/>
          <w:sz w:val="32"/>
          <w:szCs w:val="28"/>
          <w:highlight w:val="none"/>
          <w:lang w:val="en-US" w:eastAsia="zh-CN" w:bidi="ar-SA"/>
        </w:rPr>
        <w:t>比如计提的折旧费用记入“固定资产”科目而不是累计折旧科目，在建工程长期挂账。</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（二）相关整改建议</w:t>
      </w:r>
      <w:bookmarkEnd w:id="43"/>
    </w:p>
    <w:p>
      <w:pPr>
        <w:pageBreakBefore w:val="0"/>
        <w:kinsoku/>
        <w:wordWrap/>
        <w:overflowPunct/>
        <w:topLinePunct w:val="0"/>
        <w:autoSpaceDE/>
        <w:autoSpaceDN/>
        <w:bidi w:val="0"/>
        <w:adjustRightInd/>
        <w:spacing w:line="560" w:lineRule="exact"/>
        <w:ind w:firstLine="643" w:firstLineChars="200"/>
        <w:contextualSpacing/>
        <w:rPr>
          <w:rFonts w:hint="default" w:ascii="仿宋" w:hAnsi="仿宋" w:eastAsia="仿宋" w:cs="仿宋"/>
          <w:kern w:val="2"/>
          <w:sz w:val="32"/>
          <w:szCs w:val="28"/>
          <w:highlight w:val="none"/>
          <w:lang w:val="en-US" w:eastAsia="zh-CN" w:bidi="ar-SA"/>
        </w:rPr>
      </w:pPr>
      <w:bookmarkStart w:id="44" w:name="_Toc9228"/>
      <w:r>
        <w:rPr>
          <w:rFonts w:hint="eastAsia" w:ascii="仿宋" w:hAnsi="仿宋" w:eastAsia="仿宋" w:cs="仿宋"/>
          <w:b/>
          <w:bCs/>
          <w:sz w:val="32"/>
          <w:szCs w:val="32"/>
          <w:lang w:val="en-US" w:eastAsia="zh-CN"/>
        </w:rPr>
        <w:t>1. 优化人员结构，实施有效的人员绩效管理。</w:t>
      </w:r>
      <w:r>
        <w:rPr>
          <w:rFonts w:hint="eastAsia" w:ascii="仿宋" w:hAnsi="仿宋" w:eastAsia="仿宋" w:cs="仿宋"/>
          <w:kern w:val="2"/>
          <w:sz w:val="32"/>
          <w:szCs w:val="28"/>
          <w:highlight w:val="none"/>
          <w:lang w:val="en-US" w:eastAsia="zh-CN" w:bidi="ar-SA"/>
        </w:rPr>
        <w:t>一是确保在职人员符合岗位需求；二是确定合理的在职人员数量，根据岗位需求和预算制定明确的控制计划；三是设定明确的绩效指标，定期评估在职人员控制情况，分析原因，根据实际情况调整控制策略和措施。</w:t>
      </w:r>
    </w:p>
    <w:p>
      <w:pPr>
        <w:pageBreakBefore w:val="0"/>
        <w:kinsoku/>
        <w:wordWrap/>
        <w:overflowPunct/>
        <w:topLinePunct w:val="0"/>
        <w:autoSpaceDE/>
        <w:autoSpaceDN/>
        <w:bidi w:val="0"/>
        <w:adjustRightInd/>
        <w:spacing w:line="560" w:lineRule="exact"/>
        <w:ind w:firstLine="643" w:firstLineChars="200"/>
        <w:contextualSpacing/>
        <w:rPr>
          <w:rFonts w:hint="default" w:ascii="仿宋" w:hAnsi="仿宋" w:eastAsia="仿宋" w:cs="仿宋"/>
          <w:kern w:val="2"/>
          <w:sz w:val="32"/>
          <w:szCs w:val="28"/>
          <w:highlight w:val="none"/>
          <w:lang w:val="en-US" w:eastAsia="zh-CN" w:bidi="ar-SA"/>
        </w:rPr>
      </w:pPr>
      <w:r>
        <w:rPr>
          <w:rFonts w:hint="eastAsia" w:ascii="仿宋" w:hAnsi="仿宋" w:eastAsia="仿宋" w:cs="仿宋"/>
          <w:b/>
          <w:bCs/>
          <w:sz w:val="32"/>
          <w:szCs w:val="32"/>
          <w:lang w:val="en-US" w:eastAsia="zh-CN"/>
        </w:rPr>
        <w:t>2. 强化事前绩效评估 助力预算编制科学性。</w:t>
      </w:r>
      <w:r>
        <w:rPr>
          <w:rFonts w:hint="eastAsia" w:ascii="仿宋" w:hAnsi="仿宋" w:eastAsia="仿宋" w:cs="仿宋"/>
          <w:kern w:val="2"/>
          <w:sz w:val="32"/>
          <w:szCs w:val="28"/>
          <w:highlight w:val="none"/>
          <w:lang w:val="en-US" w:eastAsia="zh-CN" w:bidi="ar-SA"/>
        </w:rPr>
        <w:t>一是压实部门责任，提高事前绩效意识；二是优化审核流程，提高绩效评估质量；三是强化结果运用，提高资金使用效率。</w:t>
      </w:r>
    </w:p>
    <w:p>
      <w:pPr>
        <w:pageBreakBefore w:val="0"/>
        <w:kinsoku/>
        <w:wordWrap/>
        <w:overflowPunct/>
        <w:topLinePunct w:val="0"/>
        <w:autoSpaceDE/>
        <w:autoSpaceDN/>
        <w:bidi w:val="0"/>
        <w:adjustRightInd/>
        <w:spacing w:line="560" w:lineRule="exact"/>
        <w:ind w:firstLine="643" w:firstLineChars="200"/>
        <w:contextualSpacing/>
        <w:rPr>
          <w:rFonts w:hint="default" w:ascii="仿宋" w:hAnsi="仿宋" w:eastAsia="仿宋" w:cs="仿宋"/>
          <w:kern w:val="2"/>
          <w:sz w:val="32"/>
          <w:szCs w:val="28"/>
          <w:highlight w:val="none"/>
          <w:lang w:val="en-US" w:eastAsia="zh-CN" w:bidi="ar-SA"/>
        </w:rPr>
      </w:pPr>
      <w:r>
        <w:rPr>
          <w:rFonts w:hint="eastAsia" w:ascii="仿宋" w:hAnsi="仿宋" w:eastAsia="仿宋" w:cs="仿宋"/>
          <w:b/>
          <w:bCs/>
          <w:sz w:val="32"/>
          <w:szCs w:val="32"/>
          <w:lang w:val="en-US" w:eastAsia="zh-CN"/>
        </w:rPr>
        <w:t xml:space="preserve">3. </w:t>
      </w:r>
      <w:r>
        <w:rPr>
          <w:rFonts w:hint="eastAsia" w:ascii="仿宋" w:hAnsi="仿宋" w:eastAsia="仿宋" w:cs="仿宋"/>
          <w:b/>
          <w:bCs/>
          <w:sz w:val="32"/>
          <w:szCs w:val="32"/>
        </w:rPr>
        <w:t>完善</w:t>
      </w:r>
      <w:r>
        <w:rPr>
          <w:rFonts w:hint="eastAsia" w:ascii="仿宋" w:hAnsi="仿宋" w:eastAsia="仿宋" w:cs="仿宋"/>
          <w:b/>
          <w:bCs/>
          <w:sz w:val="32"/>
          <w:szCs w:val="32"/>
          <w:lang w:val="en-US" w:eastAsia="zh-CN"/>
        </w:rPr>
        <w:t>项目中期绩效目标和</w:t>
      </w:r>
      <w:r>
        <w:rPr>
          <w:rFonts w:hint="eastAsia" w:ascii="仿宋" w:hAnsi="仿宋" w:eastAsia="仿宋" w:cs="仿宋"/>
          <w:b/>
          <w:bCs/>
          <w:sz w:val="32"/>
          <w:szCs w:val="32"/>
        </w:rPr>
        <w:t>年度绩效目标。</w:t>
      </w:r>
      <w:r>
        <w:rPr>
          <w:rFonts w:hint="eastAsia" w:ascii="仿宋" w:hAnsi="仿宋" w:eastAsia="仿宋" w:cs="仿宋"/>
          <w:kern w:val="2"/>
          <w:sz w:val="32"/>
          <w:szCs w:val="28"/>
          <w:highlight w:val="none"/>
          <w:lang w:val="en-US" w:eastAsia="zh-CN" w:bidi="ar-SA"/>
        </w:rPr>
        <w:t>中期绩效目标和年度绩效目标应根据对应的中期和年度重点工作进行设置，与中期和年度实施内容预期产出及效益相关，全面完整反映项目的预期产出和效益，明确工作方向，提高工作效率。</w:t>
      </w:r>
    </w:p>
    <w:p>
      <w:pPr>
        <w:pageBreakBefore w:val="0"/>
        <w:kinsoku/>
        <w:wordWrap/>
        <w:overflowPunct/>
        <w:topLinePunct w:val="0"/>
        <w:autoSpaceDE/>
        <w:autoSpaceDN/>
        <w:bidi w:val="0"/>
        <w:adjustRightInd/>
        <w:spacing w:line="560" w:lineRule="exact"/>
        <w:ind w:firstLine="643" w:firstLineChars="200"/>
        <w:rPr>
          <w:rFonts w:hint="default" w:ascii="仿宋" w:hAnsi="仿宋" w:eastAsia="仿宋"/>
          <w:b w:val="0"/>
          <w:bCs w:val="0"/>
          <w:sz w:val="32"/>
          <w:szCs w:val="32"/>
          <w:lang w:val="en-US"/>
        </w:rPr>
      </w:pPr>
      <w:r>
        <w:rPr>
          <w:rFonts w:hint="eastAsia" w:ascii="仿宋" w:hAnsi="仿宋" w:eastAsia="仿宋" w:cs="仿宋"/>
          <w:b/>
          <w:bCs/>
          <w:sz w:val="32"/>
          <w:szCs w:val="32"/>
          <w:lang w:val="en-US" w:eastAsia="zh-CN"/>
        </w:rPr>
        <w:t>4. 强化组织开展绩效监控和绩效评估。</w:t>
      </w:r>
      <w:r>
        <w:rPr>
          <w:rFonts w:hint="eastAsia" w:ascii="仿宋" w:hAnsi="仿宋" w:eastAsia="仿宋" w:cs="仿宋"/>
          <w:kern w:val="2"/>
          <w:sz w:val="32"/>
          <w:szCs w:val="28"/>
          <w:highlight w:val="none"/>
          <w:lang w:val="en-US" w:eastAsia="zh-CN" w:bidi="ar-SA"/>
        </w:rPr>
        <w:t>一是提高意识和认识，通过讲解、培训等方式，增强各部门对绩效监控和评估重要性的认识；二是完善流程和制度，设计并实施一套完善的绩效监控和评估流程，确保工作的系统性和规范性。制定相应的制度和规范，明确各方职责和权益，保障绩效管理的有效实施。</w:t>
      </w:r>
    </w:p>
    <w:p>
      <w:pPr>
        <w:pageBreakBefore w:val="0"/>
        <w:kinsoku/>
        <w:wordWrap/>
        <w:overflowPunct/>
        <w:topLinePunct w:val="0"/>
        <w:autoSpaceDE/>
        <w:autoSpaceDN/>
        <w:bidi w:val="0"/>
        <w:adjustRightInd/>
        <w:spacing w:line="560" w:lineRule="exact"/>
        <w:ind w:firstLine="643" w:firstLineChars="200"/>
        <w:rPr>
          <w:rFonts w:ascii="仿宋" w:hAnsi="仿宋" w:eastAsia="仿宋"/>
          <w:sz w:val="32"/>
          <w:szCs w:val="32"/>
        </w:rPr>
      </w:pPr>
      <w:r>
        <w:rPr>
          <w:rFonts w:hint="eastAsia" w:ascii="仿宋" w:hAnsi="仿宋" w:eastAsia="仿宋"/>
          <w:b/>
          <w:bCs/>
          <w:sz w:val="32"/>
          <w:szCs w:val="32"/>
          <w:lang w:val="en-US" w:eastAsia="zh-CN"/>
        </w:rPr>
        <w:t>5. 加强</w:t>
      </w:r>
      <w:r>
        <w:rPr>
          <w:rFonts w:hint="eastAsia" w:ascii="仿宋" w:hAnsi="仿宋" w:eastAsia="仿宋"/>
          <w:b/>
          <w:bCs/>
          <w:sz w:val="32"/>
          <w:szCs w:val="32"/>
        </w:rPr>
        <w:t>资产管理</w:t>
      </w:r>
      <w:r>
        <w:rPr>
          <w:rFonts w:hint="eastAsia" w:ascii="仿宋" w:hAnsi="仿宋" w:eastAsia="仿宋"/>
          <w:b/>
          <w:bCs/>
          <w:sz w:val="32"/>
          <w:szCs w:val="32"/>
          <w:lang w:eastAsia="zh-CN"/>
        </w:rPr>
        <w:t>。</w:t>
      </w:r>
      <w:r>
        <w:rPr>
          <w:rFonts w:hint="eastAsia" w:ascii="仿宋" w:hAnsi="仿宋" w:eastAsia="仿宋" w:cs="仿宋"/>
          <w:kern w:val="2"/>
          <w:sz w:val="32"/>
          <w:szCs w:val="28"/>
          <w:highlight w:val="none"/>
          <w:lang w:val="en-US" w:eastAsia="zh-CN" w:bidi="ar-SA"/>
        </w:rPr>
        <w:t>定期对固定资产进行清查盘点，每年至少盘点一次，做好盘点清查底稿，全面掌握并真实反映固定资产的数量、价值和使用状况，确保账实相符。</w:t>
      </w:r>
    </w:p>
    <w:p>
      <w:pPr>
        <w:pageBreakBefore w:val="0"/>
        <w:kinsoku/>
        <w:wordWrap/>
        <w:overflowPunct/>
        <w:topLinePunct w:val="0"/>
        <w:autoSpaceDE/>
        <w:autoSpaceDN/>
        <w:bidi w:val="0"/>
        <w:adjustRightInd/>
        <w:spacing w:line="560" w:lineRule="exact"/>
        <w:ind w:firstLine="643" w:firstLineChars="200"/>
        <w:rPr>
          <w:rFonts w:hint="eastAsia" w:ascii="仿宋" w:hAnsi="仿宋" w:eastAsia="仿宋" w:cs="仿宋"/>
          <w:kern w:val="2"/>
          <w:sz w:val="32"/>
          <w:szCs w:val="28"/>
          <w:highlight w:val="none"/>
          <w:lang w:val="en-US" w:eastAsia="zh-CN" w:bidi="ar-SA"/>
        </w:rPr>
      </w:pPr>
      <w:r>
        <w:rPr>
          <w:rFonts w:hint="eastAsia" w:ascii="仿宋" w:hAnsi="仿宋" w:eastAsia="仿宋"/>
          <w:b/>
          <w:bCs/>
          <w:sz w:val="32"/>
          <w:szCs w:val="32"/>
          <w:lang w:val="en-US" w:eastAsia="zh-CN"/>
        </w:rPr>
        <w:t>6. 建立健全财务制度。</w:t>
      </w:r>
      <w:r>
        <w:rPr>
          <w:rFonts w:hint="eastAsia" w:ascii="仿宋" w:hAnsi="仿宋" w:eastAsia="仿宋" w:cs="仿宋"/>
          <w:kern w:val="2"/>
          <w:sz w:val="32"/>
          <w:szCs w:val="28"/>
          <w:highlight w:val="none"/>
          <w:lang w:val="en-US" w:eastAsia="zh-CN" w:bidi="ar-SA"/>
        </w:rPr>
        <w:t>一是完善财务管理制度，确保各项财务活动都有明确的规定和流程，使财务工作更加规范化、制度化；二是加强内部控制，明确各岗位职责，实行职责分离，避免权责不对等，确保财务管理风险降到最低。</w:t>
      </w:r>
    </w:p>
    <w:p>
      <w:pPr>
        <w:pageBreakBefore w:val="0"/>
        <w:kinsoku/>
        <w:wordWrap/>
        <w:overflowPunct/>
        <w:topLinePunct w:val="0"/>
        <w:autoSpaceDE/>
        <w:autoSpaceDN/>
        <w:bidi w:val="0"/>
        <w:adjustRightInd/>
        <w:spacing w:line="560" w:lineRule="exact"/>
        <w:ind w:firstLine="643" w:firstLineChars="200"/>
        <w:rPr>
          <w:rFonts w:hint="eastAsia" w:ascii="仿宋" w:hAnsi="仿宋" w:eastAsia="仿宋" w:cs="仿宋"/>
          <w:kern w:val="2"/>
          <w:sz w:val="32"/>
          <w:szCs w:val="28"/>
          <w:highlight w:val="none"/>
          <w:lang w:val="en-US" w:eastAsia="zh-CN" w:bidi="ar-SA"/>
        </w:rPr>
      </w:pPr>
      <w:r>
        <w:rPr>
          <w:rFonts w:hint="eastAsia" w:ascii="仿宋" w:hAnsi="仿宋" w:eastAsia="仿宋" w:cs="Times New Roman"/>
          <w:b/>
          <w:bCs/>
          <w:sz w:val="32"/>
          <w:szCs w:val="32"/>
          <w:lang w:val="en-US" w:eastAsia="zh-CN"/>
        </w:rPr>
        <w:t>7. 增强部门可持续发展能力。</w:t>
      </w:r>
      <w:r>
        <w:rPr>
          <w:rFonts w:hint="eastAsia" w:ascii="仿宋" w:hAnsi="仿宋" w:eastAsia="仿宋" w:cs="仿宋"/>
          <w:kern w:val="2"/>
          <w:sz w:val="32"/>
          <w:szCs w:val="28"/>
          <w:highlight w:val="none"/>
          <w:lang w:val="en-US" w:eastAsia="zh-CN" w:bidi="ar-SA"/>
        </w:rPr>
        <w:t>一是针对高层次人才培养和高学历人才储备，制定人才发展规划。二是加强单位信息化建设，在人员、机构、制度、经费等方面保障到位，提高单位信息化技术水平。</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rPr>
          <w:rFonts w:hint="default" w:ascii="仿宋" w:hAnsi="仿宋" w:eastAsia="黑体" w:cs="仿宋"/>
          <w:b/>
          <w:sz w:val="32"/>
          <w:szCs w:val="32"/>
          <w:highlight w:val="none"/>
          <w:lang w:val="en-US" w:eastAsia="zh-CN"/>
        </w:rPr>
      </w:pPr>
      <w:r>
        <w:rPr>
          <w:rFonts w:hint="eastAsia" w:ascii="仿宋" w:hAnsi="仿宋" w:eastAsia="黑体" w:cs="仿宋"/>
          <w:b/>
          <w:sz w:val="32"/>
          <w:szCs w:val="32"/>
          <w:highlight w:val="none"/>
          <w:lang w:val="en-US" w:eastAsia="zh-CN"/>
        </w:rPr>
        <w:t>五、与报告内容相关的附件</w:t>
      </w:r>
      <w:bookmarkEnd w:id="44"/>
    </w:p>
    <w:p>
      <w:pPr>
        <w:pageBreakBefore w:val="0"/>
        <w:kinsoku/>
        <w:wordWrap/>
        <w:overflowPunct/>
        <w:topLinePunct w:val="0"/>
        <w:autoSpaceDE/>
        <w:autoSpaceDN/>
        <w:bidi w:val="0"/>
        <w:adjustRightInd/>
        <w:spacing w:line="560" w:lineRule="exact"/>
        <w:ind w:firstLine="640" w:firstLineChars="200"/>
        <w:rPr>
          <w:rFonts w:hint="eastAsia" w:ascii="仿宋" w:hAnsi="仿宋" w:eastAsia="仿宋" w:cs="仿宋"/>
          <w:kern w:val="2"/>
          <w:sz w:val="32"/>
          <w:szCs w:val="28"/>
          <w:highlight w:val="none"/>
          <w:lang w:val="zh-CN" w:eastAsia="zh-CN" w:bidi="ar-SA"/>
        </w:rPr>
      </w:pPr>
      <w:r>
        <w:rPr>
          <w:rFonts w:hint="eastAsia" w:ascii="仿宋" w:hAnsi="仿宋" w:eastAsia="仿宋" w:cs="仿宋"/>
          <w:kern w:val="2"/>
          <w:sz w:val="32"/>
          <w:szCs w:val="28"/>
          <w:highlight w:val="none"/>
          <w:lang w:val="zh-CN" w:eastAsia="zh-CN" w:bidi="ar-SA"/>
        </w:rPr>
        <w:t>本报告专为委托方为本报告所列明的目的以及报送有关部门服务，绩效评价报告书的使用权归委托方所有，除依据法律规定需要公开的情形外，报告的全部或部分内容不得见诸媒体。</w:t>
      </w:r>
    </w:p>
    <w:p>
      <w:pPr>
        <w:pageBreakBefore w:val="0"/>
        <w:numPr>
          <w:ilvl w:val="0"/>
          <w:numId w:val="2"/>
        </w:numPr>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r>
        <w:rPr>
          <w:rFonts w:hint="eastAsia" w:ascii="仿宋" w:hAnsi="仿宋" w:eastAsia="仿宋"/>
          <w:kern w:val="44"/>
          <w:sz w:val="32"/>
          <w:szCs w:val="32"/>
        </w:rPr>
        <w:t>绩效评价指标体系及评分表</w:t>
      </w:r>
      <w:bookmarkStart w:id="45" w:name="_GoBack"/>
      <w:bookmarkEnd w:id="45"/>
    </w:p>
    <w:p>
      <w:pPr>
        <w:pageBreakBefore w:val="0"/>
        <w:numPr>
          <w:ilvl w:val="0"/>
          <w:numId w:val="2"/>
        </w:numPr>
        <w:kinsoku/>
        <w:wordWrap/>
        <w:overflowPunct/>
        <w:topLinePunct w:val="0"/>
        <w:autoSpaceDE/>
        <w:autoSpaceDN/>
        <w:bidi w:val="0"/>
        <w:adjustRightInd/>
        <w:spacing w:line="560" w:lineRule="exact"/>
        <w:ind w:left="0" w:leftChars="0" w:firstLine="640" w:firstLineChars="200"/>
        <w:rPr>
          <w:rFonts w:ascii="仿宋" w:hAnsi="仿宋" w:eastAsia="仿宋"/>
          <w:kern w:val="44"/>
          <w:sz w:val="32"/>
          <w:szCs w:val="32"/>
        </w:rPr>
      </w:pPr>
      <w:r>
        <w:rPr>
          <w:rFonts w:hint="eastAsia" w:ascii="仿宋" w:hAnsi="仿宋" w:eastAsia="仿宋"/>
          <w:kern w:val="44"/>
          <w:sz w:val="32"/>
          <w:szCs w:val="32"/>
        </w:rPr>
        <w:t>基础数据表</w:t>
      </w:r>
    </w:p>
    <w:p>
      <w:pPr>
        <w:pageBreakBefore w:val="0"/>
        <w:numPr>
          <w:ilvl w:val="0"/>
          <w:numId w:val="2"/>
        </w:numPr>
        <w:kinsoku/>
        <w:wordWrap/>
        <w:overflowPunct/>
        <w:topLinePunct w:val="0"/>
        <w:autoSpaceDE/>
        <w:autoSpaceDN/>
        <w:bidi w:val="0"/>
        <w:adjustRightInd/>
        <w:spacing w:line="560" w:lineRule="exact"/>
        <w:ind w:left="0" w:leftChars="0" w:firstLine="640" w:firstLineChars="200"/>
        <w:rPr>
          <w:rFonts w:ascii="仿宋" w:hAnsi="仿宋" w:eastAsia="仿宋"/>
          <w:kern w:val="44"/>
          <w:sz w:val="32"/>
          <w:szCs w:val="32"/>
        </w:rPr>
      </w:pPr>
      <w:r>
        <w:rPr>
          <w:rFonts w:hint="eastAsia" w:ascii="仿宋" w:hAnsi="仿宋" w:eastAsia="仿宋"/>
          <w:kern w:val="44"/>
          <w:sz w:val="32"/>
          <w:szCs w:val="32"/>
        </w:rPr>
        <w:t>调查问卷及结果统计表</w:t>
      </w:r>
    </w:p>
    <w:p>
      <w:pPr>
        <w:pageBreakBefore w:val="0"/>
        <w:kinsoku/>
        <w:wordWrap/>
        <w:overflowPunct/>
        <w:topLinePunct w:val="0"/>
        <w:autoSpaceDE/>
        <w:autoSpaceDN/>
        <w:bidi w:val="0"/>
        <w:adjustRightInd/>
        <w:spacing w:line="560" w:lineRule="exact"/>
        <w:ind w:firstLine="640" w:firstLineChars="200"/>
        <w:rPr>
          <w:rFonts w:ascii="仿宋" w:hAnsi="仿宋" w:eastAsia="仿宋"/>
          <w:kern w:val="44"/>
          <w:sz w:val="32"/>
          <w:szCs w:val="32"/>
        </w:rPr>
      </w:pPr>
    </w:p>
    <w:p>
      <w:pPr>
        <w:pStyle w:val="5"/>
        <w:pageBreakBefore w:val="0"/>
        <w:kinsoku/>
        <w:wordWrap/>
        <w:overflowPunct/>
        <w:topLinePunct w:val="0"/>
        <w:autoSpaceDE/>
        <w:autoSpaceDN/>
        <w:bidi w:val="0"/>
        <w:adjustRightInd/>
        <w:spacing w:line="560" w:lineRule="exact"/>
        <w:ind w:left="0" w:leftChars="0" w:firstLine="422" w:firstLineChars="200"/>
        <w:rPr>
          <w:rFonts w:hint="eastAsia" w:eastAsia="仿宋"/>
          <w:lang w:val="en-US" w:eastAsia="zh-CN"/>
        </w:rPr>
      </w:pPr>
      <w:r>
        <w:rPr>
          <w:rFonts w:hint="eastAsia" w:eastAsia="仿宋"/>
          <w:lang w:val="en-US" w:eastAsia="zh-CN"/>
        </w:rPr>
        <w:t xml:space="preserve">             </w:t>
      </w:r>
    </w:p>
    <w:p>
      <w:pPr>
        <w:pStyle w:val="5"/>
        <w:pageBreakBefore w:val="0"/>
        <w:kinsoku/>
        <w:wordWrap/>
        <w:overflowPunct/>
        <w:topLinePunct w:val="0"/>
        <w:autoSpaceDE/>
        <w:autoSpaceDN/>
        <w:bidi w:val="0"/>
        <w:adjustRightInd/>
        <w:spacing w:line="560" w:lineRule="exact"/>
        <w:ind w:left="0" w:leftChars="0" w:firstLine="422" w:firstLineChars="200"/>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rPr>
          <w:rFonts w:hint="eastAsia" w:eastAsia="仿宋"/>
          <w:lang w:val="en-US" w:eastAsia="zh-CN"/>
        </w:rPr>
      </w:pPr>
    </w:p>
    <w:p>
      <w:pPr>
        <w:pStyle w:val="5"/>
        <w:pageBreakBefore w:val="0"/>
        <w:kinsoku/>
        <w:wordWrap/>
        <w:overflowPunct/>
        <w:topLinePunct w:val="0"/>
        <w:autoSpaceDE/>
        <w:autoSpaceDN/>
        <w:bidi w:val="0"/>
        <w:adjustRightInd/>
        <w:spacing w:line="560" w:lineRule="exact"/>
        <w:ind w:left="0" w:leftChars="0" w:firstLine="422" w:firstLineChars="200"/>
        <w:rPr>
          <w:rFonts w:hint="eastAsia" w:eastAsia="仿宋"/>
          <w:b w:val="0"/>
          <w:bCs/>
          <w:sz w:val="32"/>
          <w:szCs w:val="32"/>
          <w:lang w:val="en-US" w:eastAsia="zh-CN"/>
        </w:rPr>
      </w:pPr>
      <w:r>
        <w:rPr>
          <w:rFonts w:hint="eastAsia" w:eastAsia="仿宋"/>
          <w:lang w:val="en-US" w:eastAsia="zh-CN"/>
        </w:rPr>
        <w:t xml:space="preserve">  </w:t>
      </w:r>
      <w:r>
        <w:rPr>
          <w:rFonts w:hint="eastAsia" w:eastAsia="仿宋"/>
          <w:b w:val="0"/>
          <w:bCs/>
          <w:sz w:val="32"/>
          <w:szCs w:val="32"/>
          <w:lang w:val="en-US" w:eastAsia="zh-CN"/>
        </w:rPr>
        <w:t xml:space="preserve"> （本页无正文）</w:t>
      </w:r>
    </w:p>
    <w:p>
      <w:pPr>
        <w:pageBreakBefore w:val="0"/>
        <w:kinsoku/>
        <w:wordWrap/>
        <w:overflowPunct/>
        <w:topLinePunct w:val="0"/>
        <w:autoSpaceDE/>
        <w:autoSpaceDN/>
        <w:bidi w:val="0"/>
        <w:adjustRightInd/>
        <w:spacing w:line="560" w:lineRule="exact"/>
        <w:ind w:firstLine="640" w:firstLineChars="200"/>
        <w:rPr>
          <w:rFonts w:hint="eastAsia" w:eastAsia="仿宋"/>
          <w:b w:val="0"/>
          <w:bCs/>
          <w:sz w:val="32"/>
          <w:szCs w:val="32"/>
          <w:lang w:val="en-US" w:eastAsia="zh-CN"/>
        </w:rPr>
      </w:pPr>
    </w:p>
    <w:p>
      <w:pPr>
        <w:pageBreakBefore w:val="0"/>
        <w:kinsoku/>
        <w:wordWrap/>
        <w:overflowPunct/>
        <w:topLinePunct w:val="0"/>
        <w:autoSpaceDE/>
        <w:autoSpaceDN/>
        <w:bidi w:val="0"/>
        <w:adjustRightInd/>
        <w:spacing w:line="560" w:lineRule="exact"/>
        <w:ind w:firstLine="640" w:firstLineChars="200"/>
        <w:rPr>
          <w:rFonts w:hint="eastAsia" w:eastAsia="仿宋"/>
          <w:b w:val="0"/>
          <w:bCs/>
          <w:sz w:val="32"/>
          <w:szCs w:val="32"/>
          <w:lang w:val="en-US" w:eastAsia="zh-CN"/>
        </w:rPr>
      </w:pPr>
    </w:p>
    <w:p>
      <w:pPr>
        <w:pageBreakBefore w:val="0"/>
        <w:kinsoku/>
        <w:wordWrap/>
        <w:overflowPunct/>
        <w:topLinePunct w:val="0"/>
        <w:autoSpaceDE/>
        <w:autoSpaceDN/>
        <w:bidi w:val="0"/>
        <w:adjustRightInd/>
        <w:spacing w:line="560" w:lineRule="exact"/>
        <w:ind w:firstLine="640" w:firstLineChars="200"/>
        <w:rPr>
          <w:rFonts w:hint="eastAsia" w:eastAsia="仿宋"/>
          <w:b w:val="0"/>
          <w:bCs/>
          <w:sz w:val="32"/>
          <w:szCs w:val="32"/>
          <w:lang w:val="en-US" w:eastAsia="zh-CN"/>
        </w:rPr>
      </w:pPr>
    </w:p>
    <w:p>
      <w:pPr>
        <w:pStyle w:val="4"/>
        <w:pageBreakBefore w:val="0"/>
        <w:kinsoku/>
        <w:wordWrap/>
        <w:overflowPunct/>
        <w:topLinePunct w:val="0"/>
        <w:autoSpaceDE/>
        <w:autoSpaceDN/>
        <w:bidi w:val="0"/>
        <w:adjustRightInd/>
        <w:spacing w:line="560" w:lineRule="exact"/>
        <w:ind w:firstLine="960" w:firstLineChars="300"/>
        <w:rPr>
          <w:rFonts w:hint="default" w:ascii="仿宋" w:hAnsi="仿宋" w:eastAsia="仿宋"/>
          <w:b w:val="0"/>
          <w:kern w:val="44"/>
          <w:szCs w:val="32"/>
          <w:lang w:val="en-US" w:eastAsia="zh-CN"/>
        </w:rPr>
      </w:pPr>
      <w:r>
        <w:rPr>
          <w:rFonts w:hint="eastAsia" w:ascii="仿宋" w:hAnsi="仿宋" w:eastAsia="仿宋"/>
          <w:b w:val="0"/>
          <w:kern w:val="44"/>
          <w:szCs w:val="32"/>
          <w:lang w:val="en-US" w:eastAsia="zh-CN"/>
        </w:rPr>
        <w:t>主评人：</w:t>
      </w:r>
    </w:p>
    <w:p>
      <w:pPr>
        <w:pStyle w:val="4"/>
        <w:pageBreakBefore w:val="0"/>
        <w:kinsoku/>
        <w:wordWrap/>
        <w:overflowPunct/>
        <w:topLinePunct w:val="0"/>
        <w:autoSpaceDE/>
        <w:autoSpaceDN/>
        <w:bidi w:val="0"/>
        <w:adjustRightInd/>
        <w:spacing w:line="560" w:lineRule="exact"/>
        <w:ind w:firstLine="960" w:firstLineChars="300"/>
        <w:rPr>
          <w:rFonts w:hint="eastAsia" w:ascii="仿宋" w:hAnsi="仿宋" w:eastAsia="仿宋"/>
          <w:b w:val="0"/>
          <w:kern w:val="44"/>
          <w:szCs w:val="32"/>
        </w:rPr>
      </w:pPr>
    </w:p>
    <w:p>
      <w:pPr>
        <w:pStyle w:val="4"/>
        <w:pageBreakBefore w:val="0"/>
        <w:kinsoku/>
        <w:wordWrap/>
        <w:overflowPunct/>
        <w:topLinePunct w:val="0"/>
        <w:autoSpaceDE/>
        <w:autoSpaceDN/>
        <w:bidi w:val="0"/>
        <w:adjustRightInd/>
        <w:spacing w:line="560" w:lineRule="exact"/>
        <w:ind w:firstLine="960" w:firstLineChars="300"/>
        <w:rPr>
          <w:rFonts w:ascii="仿宋" w:hAnsi="仿宋" w:eastAsia="仿宋"/>
          <w:kern w:val="44"/>
          <w:szCs w:val="32"/>
        </w:rPr>
      </w:pPr>
      <w:r>
        <w:rPr>
          <w:rFonts w:hint="eastAsia" w:ascii="仿宋" w:hAnsi="仿宋" w:eastAsia="仿宋"/>
          <w:b w:val="0"/>
          <w:kern w:val="44"/>
          <w:szCs w:val="32"/>
        </w:rPr>
        <w:t>主评人：</w:t>
      </w:r>
    </w:p>
    <w:p>
      <w:pPr>
        <w:pStyle w:val="5"/>
        <w:pageBreakBefore w:val="0"/>
        <w:kinsoku/>
        <w:wordWrap/>
        <w:overflowPunct/>
        <w:topLinePunct w:val="0"/>
        <w:autoSpaceDE/>
        <w:autoSpaceDN/>
        <w:bidi w:val="0"/>
        <w:adjustRightInd/>
        <w:spacing w:line="560" w:lineRule="exact"/>
        <w:ind w:firstLine="422" w:firstLineChars="200"/>
        <w:rPr>
          <w:rFonts w:hint="default"/>
          <w:lang w:val="en-US" w:eastAsia="zh-CN"/>
        </w:rPr>
      </w:pPr>
    </w:p>
    <w:p>
      <w:pPr>
        <w:pStyle w:val="5"/>
        <w:pageBreakBefore w:val="0"/>
        <w:kinsoku/>
        <w:wordWrap/>
        <w:overflowPunct/>
        <w:topLinePunct w:val="0"/>
        <w:autoSpaceDE/>
        <w:autoSpaceDN/>
        <w:bidi w:val="0"/>
        <w:adjustRightInd/>
        <w:spacing w:line="560" w:lineRule="exact"/>
        <w:ind w:firstLine="422" w:firstLineChars="200"/>
        <w:rPr>
          <w:rFonts w:hint="default"/>
          <w:lang w:val="en-US" w:eastAsia="zh-CN"/>
        </w:rPr>
      </w:pPr>
    </w:p>
    <w:p>
      <w:pPr>
        <w:pStyle w:val="4"/>
        <w:pageBreakBefore w:val="0"/>
        <w:kinsoku/>
        <w:wordWrap/>
        <w:overflowPunct/>
        <w:topLinePunct w:val="0"/>
        <w:autoSpaceDE/>
        <w:autoSpaceDN/>
        <w:bidi w:val="0"/>
        <w:adjustRightInd/>
        <w:spacing w:line="560" w:lineRule="exact"/>
        <w:ind w:firstLine="640" w:firstLineChars="200"/>
        <w:rPr>
          <w:rFonts w:hint="eastAsia" w:ascii="仿宋" w:hAnsi="仿宋" w:eastAsia="仿宋"/>
          <w:b w:val="0"/>
          <w:kern w:val="44"/>
          <w:szCs w:val="32"/>
          <w:lang w:val="en-US" w:eastAsia="zh-CN"/>
        </w:rPr>
      </w:pPr>
      <w:r>
        <w:rPr>
          <w:rFonts w:hint="eastAsia" w:ascii="仿宋" w:hAnsi="仿宋" w:eastAsia="仿宋"/>
          <w:b w:val="0"/>
          <w:kern w:val="44"/>
          <w:szCs w:val="32"/>
          <w:highlight w:val="none"/>
          <w:lang w:val="en-US" w:eastAsia="zh-CN"/>
        </w:rPr>
        <w:t xml:space="preserve">阳新县恒泰会计服务有限公司  </w:t>
      </w:r>
      <w:r>
        <w:rPr>
          <w:rFonts w:hint="eastAsia" w:ascii="仿宋" w:hAnsi="仿宋" w:eastAsia="仿宋"/>
          <w:b w:val="0"/>
          <w:kern w:val="44"/>
          <w:szCs w:val="32"/>
          <w:lang w:val="en-US" w:eastAsia="zh-CN"/>
        </w:rPr>
        <w:t xml:space="preserve">     </w:t>
      </w:r>
    </w:p>
    <w:p>
      <w:pPr>
        <w:pStyle w:val="4"/>
        <w:pageBreakBefore w:val="0"/>
        <w:kinsoku/>
        <w:wordWrap/>
        <w:overflowPunct/>
        <w:topLinePunct w:val="0"/>
        <w:autoSpaceDE/>
        <w:autoSpaceDN/>
        <w:bidi w:val="0"/>
        <w:adjustRightInd/>
        <w:spacing w:line="560" w:lineRule="exact"/>
        <w:ind w:firstLine="960" w:firstLineChars="300"/>
        <w:rPr>
          <w:rFonts w:ascii="仿宋" w:hAnsi="仿宋" w:eastAsia="仿宋"/>
          <w:kern w:val="44"/>
          <w:szCs w:val="32"/>
        </w:rPr>
      </w:pPr>
      <w:r>
        <w:rPr>
          <w:rFonts w:hint="eastAsia" w:ascii="仿宋" w:hAnsi="仿宋" w:eastAsia="仿宋"/>
          <w:b w:val="0"/>
          <w:kern w:val="44"/>
          <w:szCs w:val="32"/>
          <w:lang w:val="en-US" w:eastAsia="zh-CN"/>
        </w:rPr>
        <w:t xml:space="preserve">  </w:t>
      </w:r>
    </w:p>
    <w:p>
      <w:pPr>
        <w:pStyle w:val="4"/>
        <w:pageBreakBefore w:val="0"/>
        <w:kinsoku/>
        <w:wordWrap/>
        <w:overflowPunct/>
        <w:topLinePunct w:val="0"/>
        <w:autoSpaceDE/>
        <w:autoSpaceDN/>
        <w:bidi w:val="0"/>
        <w:adjustRightInd/>
        <w:spacing w:line="560" w:lineRule="exact"/>
        <w:ind w:firstLine="640" w:firstLineChars="200"/>
        <w:rPr>
          <w:rFonts w:hint="eastAsia" w:ascii="仿宋" w:hAnsi="仿宋" w:eastAsia="仿宋"/>
          <w:b w:val="0"/>
          <w:kern w:val="44"/>
          <w:szCs w:val="32"/>
        </w:rPr>
      </w:pPr>
      <w:r>
        <w:rPr>
          <w:rFonts w:hint="eastAsia" w:ascii="仿宋" w:hAnsi="仿宋" w:eastAsia="仿宋"/>
          <w:b w:val="0"/>
          <w:kern w:val="44"/>
          <w:szCs w:val="32"/>
        </w:rPr>
        <w:t xml:space="preserve">中国 </w:t>
      </w:r>
      <w:r>
        <w:rPr>
          <w:rFonts w:hint="eastAsia" w:ascii="仿宋" w:hAnsi="仿宋" w:eastAsia="仿宋"/>
          <w:b w:val="0"/>
          <w:kern w:val="44"/>
          <w:szCs w:val="32"/>
          <w:lang w:val="en-US" w:eastAsia="zh-CN"/>
        </w:rPr>
        <w:t>阳新</w:t>
      </w:r>
      <w:r>
        <w:rPr>
          <w:rFonts w:hint="eastAsia" w:ascii="仿宋" w:hAnsi="仿宋" w:eastAsia="仿宋"/>
          <w:b w:val="0"/>
          <w:kern w:val="44"/>
          <w:szCs w:val="32"/>
        </w:rPr>
        <w:t xml:space="preserve">    </w:t>
      </w:r>
      <w:r>
        <w:rPr>
          <w:rFonts w:hint="eastAsia" w:ascii="仿宋" w:hAnsi="仿宋" w:eastAsia="仿宋"/>
          <w:b w:val="0"/>
          <w:kern w:val="44"/>
          <w:szCs w:val="32"/>
          <w:lang w:val="en-US" w:eastAsia="zh-CN"/>
        </w:rPr>
        <w:t xml:space="preserve">            </w:t>
      </w:r>
      <w:r>
        <w:rPr>
          <w:rFonts w:hint="eastAsia" w:ascii="仿宋" w:hAnsi="仿宋" w:eastAsia="仿宋"/>
          <w:b w:val="0"/>
          <w:kern w:val="44"/>
          <w:szCs w:val="32"/>
        </w:rPr>
        <w:t>二〇二</w:t>
      </w:r>
      <w:r>
        <w:rPr>
          <w:rFonts w:hint="eastAsia" w:ascii="仿宋" w:hAnsi="仿宋" w:eastAsia="仿宋"/>
          <w:b w:val="0"/>
          <w:kern w:val="44"/>
          <w:szCs w:val="32"/>
          <w:lang w:val="en-US" w:eastAsia="zh-CN"/>
        </w:rPr>
        <w:t>四</w:t>
      </w:r>
      <w:r>
        <w:rPr>
          <w:rFonts w:hint="eastAsia" w:ascii="仿宋" w:hAnsi="仿宋" w:eastAsia="仿宋"/>
          <w:b w:val="0"/>
          <w:kern w:val="44"/>
          <w:szCs w:val="32"/>
        </w:rPr>
        <w:t>年</w:t>
      </w:r>
      <w:r>
        <w:rPr>
          <w:rFonts w:hint="eastAsia" w:ascii="仿宋" w:hAnsi="仿宋" w:eastAsia="仿宋"/>
          <w:b w:val="0"/>
          <w:kern w:val="44"/>
          <w:szCs w:val="32"/>
          <w:lang w:val="en-US" w:eastAsia="zh-CN"/>
        </w:rPr>
        <w:t>九</w:t>
      </w:r>
      <w:r>
        <w:rPr>
          <w:rFonts w:hint="eastAsia" w:ascii="仿宋" w:hAnsi="仿宋" w:eastAsia="仿宋"/>
          <w:b w:val="0"/>
          <w:kern w:val="44"/>
          <w:szCs w:val="32"/>
        </w:rPr>
        <w:t>月三十日</w:t>
      </w: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sectPr>
          <w:footerReference r:id="rId5" w:type="default"/>
          <w:pgSz w:w="11906" w:h="16838"/>
          <w:pgMar w:top="1814" w:right="1474" w:bottom="1984" w:left="1587" w:header="851" w:footer="992" w:gutter="0"/>
          <w:pgNumType w:start="1"/>
          <w:cols w:space="720" w:num="1"/>
          <w:docGrid w:type="lines" w:linePitch="312" w:charSpace="0"/>
        </w:sectPr>
      </w:pPr>
    </w:p>
    <w:tbl>
      <w:tblPr>
        <w:tblStyle w:val="18"/>
        <w:tblW w:w="14906" w:type="dxa"/>
        <w:tblInd w:w="-8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3"/>
        <w:gridCol w:w="675"/>
        <w:gridCol w:w="1088"/>
        <w:gridCol w:w="559"/>
        <w:gridCol w:w="1542"/>
        <w:gridCol w:w="734"/>
        <w:gridCol w:w="5677"/>
        <w:gridCol w:w="881"/>
        <w:gridCol w:w="28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181" w:firstLineChars="100"/>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一级</w:t>
            </w:r>
          </w:p>
          <w:p>
            <w:pPr>
              <w:keepNext w:val="0"/>
              <w:keepLines w:val="0"/>
              <w:widowControl/>
              <w:suppressLineNumbers w:val="0"/>
              <w:ind w:firstLine="181" w:firstLineChars="10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评价要点</w:t>
            </w: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扣分</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扣分原因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63"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ascii="MingLiU" w:hAnsi="MingLiU" w:eastAsia="MingLiU" w:cs="MingLiU"/>
                <w:i w:val="0"/>
                <w:iCs w:val="0"/>
                <w:color w:val="000000"/>
                <w:sz w:val="18"/>
                <w:szCs w:val="18"/>
                <w:u w:val="none"/>
              </w:rPr>
            </w:pPr>
            <w:r>
              <w:rPr>
                <w:rStyle w:val="36"/>
                <w:lang w:val="en-US" w:eastAsia="zh-CN" w:bidi="ar"/>
              </w:rPr>
              <w:t>运</w:t>
            </w:r>
            <w:r>
              <w:rPr>
                <w:rFonts w:hint="default" w:ascii="MingLiU" w:hAnsi="MingLiU" w:eastAsia="MingLiU" w:cs="MingLiU"/>
                <w:i w:val="0"/>
                <w:iCs w:val="0"/>
                <w:color w:val="000000"/>
                <w:kern w:val="0"/>
                <w:sz w:val="18"/>
                <w:szCs w:val="18"/>
                <w:u w:val="none"/>
                <w:lang w:val="en-US" w:eastAsia="zh-CN" w:bidi="ar"/>
              </w:rPr>
              <w:t>行成本</w:t>
            </w:r>
          </w:p>
        </w:tc>
        <w:tc>
          <w:tcPr>
            <w:tcW w:w="675" w:type="dxa"/>
            <w:vMerge w:val="restar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8</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公用</w:t>
            </w:r>
            <w:r>
              <w:rPr>
                <w:rStyle w:val="36"/>
                <w:lang w:val="en-US" w:eastAsia="zh-CN" w:bidi="ar"/>
              </w:rPr>
              <w:t>经费</w:t>
            </w:r>
            <w:r>
              <w:rPr>
                <w:rFonts w:hint="default" w:ascii="MingLiU" w:hAnsi="MingLiU" w:eastAsia="MingLiU" w:cs="MingLiU"/>
                <w:i w:val="0"/>
                <w:iCs w:val="0"/>
                <w:color w:val="000000"/>
                <w:kern w:val="0"/>
                <w:sz w:val="18"/>
                <w:szCs w:val="18"/>
                <w:u w:val="none"/>
                <w:lang w:val="en-US" w:eastAsia="zh-CN" w:bidi="ar"/>
              </w:rPr>
              <w:t>控制</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公用经费控制率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部门（单位）本年度实际支出的公用经费总额与预算安排的公用经费总额的比率。公用经费控制率=（实际支出公用经费总额/预算安排公用经费总额）*100%。比率＜100%,得满分；比率＞100%,不得分。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（278.47-190.49)/190.49=46.18%（超支率）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在</w:t>
            </w:r>
            <w:r>
              <w:rPr>
                <w:rStyle w:val="36"/>
                <w:lang w:val="en-US" w:eastAsia="zh-CN" w:bidi="ar"/>
              </w:rPr>
              <w:t>职</w:t>
            </w:r>
            <w:r>
              <w:rPr>
                <w:rFonts w:hint="default" w:ascii="MingLiU" w:hAnsi="MingLiU" w:eastAsia="MingLiU" w:cs="MingLiU"/>
                <w:i w:val="0"/>
                <w:iCs w:val="0"/>
                <w:color w:val="000000"/>
                <w:kern w:val="0"/>
                <w:sz w:val="18"/>
                <w:szCs w:val="18"/>
                <w:u w:val="none"/>
                <w:lang w:val="en-US" w:eastAsia="zh-CN" w:bidi="ar"/>
              </w:rPr>
              <w:t>人</w:t>
            </w:r>
            <w:r>
              <w:rPr>
                <w:rStyle w:val="36"/>
                <w:lang w:val="en-US" w:eastAsia="zh-CN" w:bidi="ar"/>
              </w:rPr>
              <w:t>员</w:t>
            </w:r>
            <w:r>
              <w:rPr>
                <w:rFonts w:hint="default" w:ascii="MingLiU" w:hAnsi="MingLiU" w:eastAsia="MingLiU" w:cs="MingLiU"/>
                <w:i w:val="0"/>
                <w:iCs w:val="0"/>
                <w:color w:val="000000"/>
                <w:kern w:val="0"/>
                <w:sz w:val="18"/>
                <w:szCs w:val="18"/>
                <w:u w:val="none"/>
                <w:lang w:val="en-US" w:eastAsia="zh-CN" w:bidi="ar"/>
              </w:rPr>
              <w:t>控制</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在职人员控制率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lang w:val="en-US" w:eastAsia="zh-CN" w:bidi="ar"/>
              </w:rPr>
              <w:t>部门（单位）本年度实际在职人员与核定编制数的比率。在职人员控制率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（在职人员数</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核定编制数）</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比率＜</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得满分；比率＞</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每增加10</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扣0.5分</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（113-91）/91=24.18%（超支率）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6"/>
                <w:lang w:val="en-US" w:eastAsia="zh-CN" w:bidi="ar"/>
              </w:rPr>
              <w:t>项</w:t>
            </w:r>
            <w:r>
              <w:rPr>
                <w:rFonts w:hint="default" w:ascii="MingLiU" w:hAnsi="MingLiU" w:eastAsia="MingLiU" w:cs="MingLiU"/>
                <w:i w:val="0"/>
                <w:iCs w:val="0"/>
                <w:color w:val="000000"/>
                <w:kern w:val="0"/>
                <w:sz w:val="18"/>
                <w:szCs w:val="18"/>
                <w:u w:val="none"/>
                <w:lang w:val="en-US" w:eastAsia="zh-CN" w:bidi="ar"/>
              </w:rPr>
              <w:t xml:space="preserve">目支出成本控制 </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会议费控制率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部门（单位）本年度会议费支出与相关支出标准的匹配程度。</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7"/>
                <w:rFonts w:eastAsia="宋体"/>
                <w:lang w:val="en-US" w:eastAsia="zh-CN" w:bidi="ar"/>
              </w:rPr>
              <w:t>1.024/3=34.13%</w:t>
            </w:r>
            <w:r>
              <w:rPr>
                <w:rStyle w:val="38"/>
                <w:lang w:val="en-US" w:eastAsia="zh-CN" w:bidi="ar"/>
              </w:rPr>
              <w:t>达成率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9"/>
                <w:rFonts w:eastAsia="宋体"/>
                <w:lang w:val="en-US" w:eastAsia="zh-CN" w:bidi="ar"/>
              </w:rPr>
              <w:t>“</w:t>
            </w:r>
            <w:r>
              <w:rPr>
                <w:rStyle w:val="36"/>
                <w:lang w:val="en-US" w:eastAsia="zh-CN" w:bidi="ar"/>
              </w:rPr>
              <w:t>三公经费</w:t>
            </w:r>
            <w:r>
              <w:rPr>
                <w:rStyle w:val="39"/>
                <w:rFonts w:eastAsia="宋体"/>
                <w:lang w:val="en-US" w:eastAsia="zh-CN" w:bidi="ar"/>
              </w:rPr>
              <w:t>”</w:t>
            </w:r>
            <w:r>
              <w:rPr>
                <w:rStyle w:val="36"/>
                <w:lang w:val="en-US" w:eastAsia="zh-CN" w:bidi="ar"/>
              </w:rPr>
              <w:t>变动率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6"/>
                <w:lang w:val="en-US" w:eastAsia="zh-CN" w:bidi="ar"/>
              </w:rPr>
              <w:t>部门（单位）本年度三公经费预算数与上年度</w:t>
            </w:r>
            <w:r>
              <w:rPr>
                <w:rStyle w:val="39"/>
                <w:rFonts w:eastAsia="宋体"/>
                <w:lang w:val="en-US" w:eastAsia="zh-CN" w:bidi="ar"/>
              </w:rPr>
              <w:t>“</w:t>
            </w:r>
            <w:r>
              <w:rPr>
                <w:rStyle w:val="36"/>
                <w:lang w:val="en-US" w:eastAsia="zh-CN" w:bidi="ar"/>
              </w:rPr>
              <w:t>三公经费</w:t>
            </w:r>
            <w:r>
              <w:rPr>
                <w:rStyle w:val="39"/>
                <w:rFonts w:eastAsia="宋体"/>
                <w:lang w:val="en-US" w:eastAsia="zh-CN" w:bidi="ar"/>
              </w:rPr>
              <w:t>”</w:t>
            </w:r>
            <w:r>
              <w:rPr>
                <w:rStyle w:val="36"/>
                <w:lang w:val="en-US" w:eastAsia="zh-CN" w:bidi="ar"/>
              </w:rPr>
              <w:t>预算的变动比率。</w:t>
            </w:r>
            <w:r>
              <w:rPr>
                <w:rStyle w:val="39"/>
                <w:rFonts w:eastAsia="宋体"/>
                <w:lang w:val="en-US" w:eastAsia="zh-CN" w:bidi="ar"/>
              </w:rPr>
              <w:t>“</w:t>
            </w:r>
            <w:r>
              <w:rPr>
                <w:rStyle w:val="36"/>
                <w:lang w:val="en-US" w:eastAsia="zh-CN" w:bidi="ar"/>
              </w:rPr>
              <w:t>三公经费</w:t>
            </w:r>
            <w:r>
              <w:rPr>
                <w:rStyle w:val="39"/>
                <w:rFonts w:eastAsia="宋体"/>
                <w:lang w:val="en-US" w:eastAsia="zh-CN" w:bidi="ar"/>
              </w:rPr>
              <w:t>”</w:t>
            </w:r>
            <w:r>
              <w:rPr>
                <w:rStyle w:val="36"/>
                <w:lang w:val="en-US" w:eastAsia="zh-CN" w:bidi="ar"/>
              </w:rPr>
              <w:t>变动率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［（本年度</w:t>
            </w:r>
            <w:r>
              <w:rPr>
                <w:rStyle w:val="39"/>
                <w:rFonts w:eastAsia="宋体"/>
                <w:lang w:val="en-US" w:eastAsia="zh-CN" w:bidi="ar"/>
              </w:rPr>
              <w:t>“</w:t>
            </w:r>
            <w:r>
              <w:rPr>
                <w:rStyle w:val="36"/>
                <w:lang w:val="en-US" w:eastAsia="zh-CN" w:bidi="ar"/>
              </w:rPr>
              <w:t>三公经费</w:t>
            </w:r>
            <w:r>
              <w:rPr>
                <w:rStyle w:val="39"/>
                <w:rFonts w:eastAsia="宋体"/>
                <w:lang w:val="en-US" w:eastAsia="zh-CN" w:bidi="ar"/>
              </w:rPr>
              <w:t>”</w:t>
            </w:r>
            <w:r>
              <w:rPr>
                <w:rStyle w:val="36"/>
                <w:lang w:val="en-US" w:eastAsia="zh-CN" w:bidi="ar"/>
              </w:rPr>
              <w:t>预算总额</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上年度</w:t>
            </w:r>
            <w:r>
              <w:rPr>
                <w:rStyle w:val="39"/>
                <w:rFonts w:eastAsia="宋体"/>
                <w:lang w:val="en-US" w:eastAsia="zh-CN" w:bidi="ar"/>
              </w:rPr>
              <w:t>“</w:t>
            </w:r>
            <w:r>
              <w:rPr>
                <w:rStyle w:val="36"/>
                <w:lang w:val="en-US" w:eastAsia="zh-CN" w:bidi="ar"/>
              </w:rPr>
              <w:t>三公经费</w:t>
            </w:r>
            <w:r>
              <w:rPr>
                <w:rStyle w:val="39"/>
                <w:rFonts w:eastAsia="宋体"/>
                <w:lang w:val="en-US" w:eastAsia="zh-CN" w:bidi="ar"/>
              </w:rPr>
              <w:t>”</w:t>
            </w:r>
            <w:r>
              <w:rPr>
                <w:rStyle w:val="36"/>
                <w:lang w:val="en-US" w:eastAsia="zh-CN" w:bidi="ar"/>
              </w:rPr>
              <w:t>预算总额）</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上年度</w:t>
            </w:r>
            <w:r>
              <w:rPr>
                <w:rStyle w:val="39"/>
                <w:rFonts w:eastAsia="宋体"/>
                <w:lang w:val="en-US" w:eastAsia="zh-CN" w:bidi="ar"/>
              </w:rPr>
              <w:t>“</w:t>
            </w:r>
            <w:r>
              <w:rPr>
                <w:rStyle w:val="36"/>
                <w:lang w:val="en-US" w:eastAsia="zh-CN" w:bidi="ar"/>
              </w:rPr>
              <w:t>三公经费</w:t>
            </w:r>
            <w:r>
              <w:rPr>
                <w:rStyle w:val="39"/>
                <w:rFonts w:eastAsia="宋体"/>
                <w:lang w:val="en-US" w:eastAsia="zh-CN" w:bidi="ar"/>
              </w:rPr>
              <w:t>”</w:t>
            </w:r>
            <w:r>
              <w:rPr>
                <w:rStyle w:val="36"/>
                <w:lang w:val="en-US" w:eastAsia="zh-CN" w:bidi="ar"/>
              </w:rPr>
              <w:t>预算总额］</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。比率＜</w:t>
            </w:r>
            <w:r>
              <w:rPr>
                <w:rFonts w:hint="default" w:ascii="MingLiU" w:hAnsi="MingLiU" w:eastAsia="MingLiU" w:cs="MingLiU"/>
                <w:i w:val="0"/>
                <w:iCs w:val="0"/>
                <w:color w:val="000000"/>
                <w:kern w:val="0"/>
                <w:sz w:val="18"/>
                <w:szCs w:val="18"/>
                <w:u w:val="none"/>
                <w:lang w:val="en-US" w:eastAsia="zh-CN" w:bidi="ar"/>
              </w:rPr>
              <w:t>0%,</w:t>
            </w:r>
            <w:r>
              <w:rPr>
                <w:rStyle w:val="36"/>
                <w:lang w:val="en-US" w:eastAsia="zh-CN" w:bidi="ar"/>
              </w:rPr>
              <w:t>得满分；比率＞</w:t>
            </w:r>
            <w:r>
              <w:rPr>
                <w:rFonts w:hint="default" w:ascii="MingLiU" w:hAnsi="MingLiU" w:eastAsia="MingLiU" w:cs="MingLiU"/>
                <w:i w:val="0"/>
                <w:iCs w:val="0"/>
                <w:color w:val="000000"/>
                <w:kern w:val="0"/>
                <w:sz w:val="18"/>
                <w:szCs w:val="18"/>
                <w:u w:val="none"/>
                <w:lang w:val="en-US" w:eastAsia="zh-CN" w:bidi="ar"/>
              </w:rPr>
              <w:t>0%,</w:t>
            </w:r>
            <w:r>
              <w:rPr>
                <w:rStyle w:val="36"/>
                <w:lang w:val="en-US" w:eastAsia="zh-CN" w:bidi="ar"/>
              </w:rPr>
              <w:t>不得分。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(15.5+55.98)/51.5=138.80%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6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管理效率</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37</w:t>
            </w: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6"/>
                <w:lang w:val="en-US" w:eastAsia="zh-CN" w:bidi="ar"/>
              </w:rPr>
              <w:t>战</w:t>
            </w:r>
            <w:r>
              <w:rPr>
                <w:rFonts w:hint="default" w:ascii="MingLiU" w:hAnsi="MingLiU" w:eastAsia="MingLiU" w:cs="MingLiU"/>
                <w:i w:val="0"/>
                <w:iCs w:val="0"/>
                <w:color w:val="000000"/>
                <w:kern w:val="0"/>
                <w:sz w:val="18"/>
                <w:szCs w:val="18"/>
                <w:u w:val="none"/>
                <w:lang w:val="en-US" w:eastAsia="zh-CN" w:bidi="ar"/>
              </w:rPr>
              <w:t>略管理</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1</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中长期规划相符性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部门规划与国家、省委省政府战略的匹配性、与部门职能的相符性得1分，否则不得分。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1</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工作计划健全性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部门年度工作计划制定是否明确、具体、可操作得0.5分，否则不得分；是否与部门职能和中长期规划相匹配得0.5分，否则不得分。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6"/>
                <w:lang w:val="en-US" w:eastAsia="zh-CN" w:bidi="ar"/>
              </w:rPr>
              <w:t>预</w:t>
            </w:r>
            <w:r>
              <w:rPr>
                <w:rFonts w:hint="default" w:ascii="MingLiU" w:hAnsi="MingLiU" w:eastAsia="MingLiU" w:cs="MingLiU"/>
                <w:i w:val="0"/>
                <w:iCs w:val="0"/>
                <w:color w:val="000000"/>
                <w:kern w:val="0"/>
                <w:sz w:val="18"/>
                <w:szCs w:val="18"/>
                <w:u w:val="none"/>
                <w:lang w:val="en-US" w:eastAsia="zh-CN" w:bidi="ar"/>
              </w:rPr>
              <w:t>算</w:t>
            </w:r>
            <w:r>
              <w:rPr>
                <w:rStyle w:val="36"/>
                <w:lang w:val="en-US" w:eastAsia="zh-CN" w:bidi="ar"/>
              </w:rPr>
              <w:t>编</w:t>
            </w:r>
            <w:r>
              <w:rPr>
                <w:rFonts w:hint="default" w:ascii="MingLiU" w:hAnsi="MingLiU" w:eastAsia="MingLiU" w:cs="MingLiU"/>
                <w:i w:val="0"/>
                <w:iCs w:val="0"/>
                <w:color w:val="000000"/>
                <w:kern w:val="0"/>
                <w:sz w:val="18"/>
                <w:szCs w:val="18"/>
                <w:u w:val="none"/>
                <w:lang w:val="en-US" w:eastAsia="zh-CN" w:bidi="ar"/>
              </w:rPr>
              <w:t>制</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7</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预算编制科学性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预算编制的基本信息内容是否真实、完整、准确，基本支出预算是否按照规定标准编制；项目预算测算依据是否充分，发现一起不符扣0.5分，扣完为止。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总预算偏离预算4倍，公用经费超过46.18%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预算编制合理性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lang w:val="en-US" w:eastAsia="zh-CN" w:bidi="ar"/>
              </w:rPr>
              <w:t>重点项目预算是否有保障；部门内部项目之间是否存在交叉重复，发现一起扣</w:t>
            </w:r>
            <w:r>
              <w:rPr>
                <w:rFonts w:hint="default" w:ascii="MingLiU" w:hAnsi="MingLiU" w:eastAsia="MingLiU" w:cs="MingLiU"/>
                <w:i w:val="0"/>
                <w:iCs w:val="0"/>
                <w:color w:val="000000"/>
                <w:kern w:val="0"/>
                <w:sz w:val="18"/>
                <w:szCs w:val="18"/>
                <w:u w:val="none"/>
                <w:lang w:val="en-US" w:eastAsia="zh-CN" w:bidi="ar"/>
              </w:rPr>
              <w:t>0.5</w:t>
            </w:r>
            <w:r>
              <w:rPr>
                <w:rStyle w:val="36"/>
                <w:lang w:val="en-US" w:eastAsia="zh-CN" w:bidi="ar"/>
              </w:rPr>
              <w:t>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静脉园重点项目预算不足；智慧化预算偏离目标过大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立项规范性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各项目设立依据是否充分，是否按照规定的程序申请设立，是否经过必要的可行性研究、专家论证、风险评估、绩效评估、集体决策等，发现一起不符扣0.5分，扣完为止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6"/>
                <w:lang w:val="en-US" w:eastAsia="zh-CN" w:bidi="ar"/>
              </w:rPr>
              <w:t>部门（单位）本年度预算调整数与预算数的比率。预算调整数为部门（单位）在本年度内涉及预算的追加、追减或结构调整的资金总和（因落实国家政策，发生不可抗力、上级部门或本级党委政府临时交办而产生的调整除外）。预算调整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（预算调整数</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预算数）</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比率</w:t>
            </w:r>
            <w:r>
              <w:rPr>
                <w:rFonts w:hint="default" w:ascii="MingLiU" w:hAnsi="MingLiU" w:eastAsia="MingLiU" w:cs="MingLiU"/>
                <w:i w:val="0"/>
                <w:iCs w:val="0"/>
                <w:color w:val="000000"/>
                <w:kern w:val="0"/>
                <w:sz w:val="18"/>
                <w:szCs w:val="18"/>
                <w:u w:val="none"/>
                <w:lang w:val="en-US" w:eastAsia="zh-CN" w:bidi="ar"/>
              </w:rPr>
              <w:t>=0,</w:t>
            </w:r>
            <w:r>
              <w:rPr>
                <w:rStyle w:val="36"/>
                <w:lang w:val="en-US" w:eastAsia="zh-CN" w:bidi="ar"/>
              </w:rPr>
              <w:t>得满分；比率＞</w:t>
            </w:r>
            <w:r>
              <w:rPr>
                <w:rFonts w:hint="default" w:ascii="MingLiU" w:hAnsi="MingLiU" w:eastAsia="MingLiU" w:cs="MingLiU"/>
                <w:i w:val="0"/>
                <w:iCs w:val="0"/>
                <w:color w:val="000000"/>
                <w:kern w:val="0"/>
                <w:sz w:val="18"/>
                <w:szCs w:val="18"/>
                <w:u w:val="none"/>
                <w:lang w:val="en-US" w:eastAsia="zh-CN" w:bidi="ar"/>
              </w:rPr>
              <w:t>0%,</w:t>
            </w:r>
            <w:r>
              <w:rPr>
                <w:rStyle w:val="36"/>
                <w:lang w:val="en-US" w:eastAsia="zh-CN" w:bidi="ar"/>
              </w:rPr>
              <w:t>每增加</w:t>
            </w:r>
            <w:r>
              <w:rPr>
                <w:rFonts w:hint="default" w:ascii="MingLiU" w:hAnsi="MingLiU" w:eastAsia="MingLiU" w:cs="MingLiU"/>
                <w:i w:val="0"/>
                <w:iCs w:val="0"/>
                <w:color w:val="000000"/>
                <w:kern w:val="0"/>
                <w:sz w:val="18"/>
                <w:szCs w:val="18"/>
                <w:u w:val="none"/>
                <w:lang w:val="en-US" w:eastAsia="zh-CN" w:bidi="ar"/>
              </w:rPr>
              <w:t>1%,</w:t>
            </w:r>
            <w:r>
              <w:rPr>
                <w:rStyle w:val="36"/>
                <w:lang w:val="en-US" w:eastAsia="zh-CN" w:bidi="ar"/>
              </w:rPr>
              <w:t>扣</w:t>
            </w:r>
            <w:r>
              <w:rPr>
                <w:rFonts w:hint="default" w:ascii="MingLiU" w:hAnsi="MingLiU" w:eastAsia="MingLiU" w:cs="MingLiU"/>
                <w:i w:val="0"/>
                <w:iCs w:val="0"/>
                <w:color w:val="000000"/>
                <w:kern w:val="0"/>
                <w:sz w:val="18"/>
                <w:szCs w:val="18"/>
                <w:u w:val="none"/>
                <w:lang w:val="en-US" w:eastAsia="zh-CN" w:bidi="ar"/>
              </w:rPr>
              <w:t>5%</w:t>
            </w:r>
            <w:r>
              <w:rPr>
                <w:rStyle w:val="36"/>
                <w:lang w:val="en-US" w:eastAsia="zh-CN" w:bidi="ar"/>
              </w:rPr>
              <w:t>权重分，扣完为止。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预算2014.6，实际9237.64，预算调整率4.58倍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6"/>
                <w:lang w:val="en-US" w:eastAsia="zh-CN" w:bidi="ar"/>
              </w:rPr>
              <w:t>预</w:t>
            </w:r>
            <w:r>
              <w:rPr>
                <w:rFonts w:hint="default" w:ascii="MingLiU" w:hAnsi="MingLiU" w:eastAsia="MingLiU" w:cs="MingLiU"/>
                <w:i w:val="0"/>
                <w:iCs w:val="0"/>
                <w:color w:val="000000"/>
                <w:kern w:val="0"/>
                <w:sz w:val="18"/>
                <w:szCs w:val="18"/>
                <w:u w:val="none"/>
                <w:lang w:val="en-US" w:eastAsia="zh-CN" w:bidi="ar"/>
              </w:rPr>
              <w:t>算</w:t>
            </w:r>
            <w:r>
              <w:rPr>
                <w:rStyle w:val="36"/>
                <w:lang w:val="en-US" w:eastAsia="zh-CN" w:bidi="ar"/>
              </w:rPr>
              <w:t>执</w:t>
            </w:r>
            <w:r>
              <w:rPr>
                <w:rFonts w:hint="default" w:ascii="MingLiU" w:hAnsi="MingLiU" w:eastAsia="MingLiU" w:cs="MingLiU"/>
                <w:i w:val="0"/>
                <w:iCs w:val="0"/>
                <w:color w:val="000000"/>
                <w:kern w:val="0"/>
                <w:sz w:val="18"/>
                <w:szCs w:val="18"/>
                <w:u w:val="none"/>
                <w:lang w:val="en-US" w:eastAsia="zh-CN" w:bidi="ar"/>
              </w:rPr>
              <w:t>行</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8</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lang w:val="en-US" w:eastAsia="zh-CN" w:bidi="ar"/>
              </w:rPr>
              <w:t>部门（单位）本年度预算完成数与调整预算数的比率。得分</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预算执行率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分值。①基本支出预算执行率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（基本支出预算执行数</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基本支出调整预算数）</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此项分值0.6分。①项目支出预算执行率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（项目支出预算执行数</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项目支出调整预算数）</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此项分值1.4分。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结转结余率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6"/>
                <w:lang w:val="en-US" w:eastAsia="zh-CN" w:bidi="ar"/>
              </w:rPr>
              <w:t>部门（单位）本年度结转结余总额与调整预算数的比率。结转结余率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结转结余总额</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调整预算数</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比率</w:t>
            </w:r>
            <w:r>
              <w:rPr>
                <w:rFonts w:hint="default" w:ascii="MingLiU" w:hAnsi="MingLiU" w:eastAsia="MingLiU" w:cs="MingLiU"/>
                <w:i w:val="0"/>
                <w:iCs w:val="0"/>
                <w:color w:val="000000"/>
                <w:kern w:val="0"/>
                <w:sz w:val="18"/>
                <w:szCs w:val="18"/>
                <w:u w:val="none"/>
                <w:lang w:val="en-US" w:eastAsia="zh-CN" w:bidi="ar"/>
              </w:rPr>
              <w:t>=0%,</w:t>
            </w:r>
            <w:r>
              <w:rPr>
                <w:rStyle w:val="36"/>
                <w:lang w:val="en-US" w:eastAsia="zh-CN" w:bidi="ar"/>
              </w:rPr>
              <w:t>得满分；比率＞</w:t>
            </w:r>
            <w:r>
              <w:rPr>
                <w:rFonts w:hint="default" w:ascii="MingLiU" w:hAnsi="MingLiU" w:eastAsia="MingLiU" w:cs="MingLiU"/>
                <w:i w:val="0"/>
                <w:iCs w:val="0"/>
                <w:color w:val="000000"/>
                <w:kern w:val="0"/>
                <w:sz w:val="18"/>
                <w:szCs w:val="18"/>
                <w:u w:val="none"/>
                <w:lang w:val="en-US" w:eastAsia="zh-CN" w:bidi="ar"/>
              </w:rPr>
              <w:t>0%,</w:t>
            </w:r>
            <w:r>
              <w:rPr>
                <w:rStyle w:val="36"/>
                <w:lang w:val="en-US" w:eastAsia="zh-CN" w:bidi="ar"/>
              </w:rPr>
              <w:t>每增加</w:t>
            </w:r>
            <w:r>
              <w:rPr>
                <w:rFonts w:hint="default" w:ascii="MingLiU" w:hAnsi="MingLiU" w:eastAsia="MingLiU" w:cs="MingLiU"/>
                <w:i w:val="0"/>
                <w:iCs w:val="0"/>
                <w:color w:val="000000"/>
                <w:kern w:val="0"/>
                <w:sz w:val="18"/>
                <w:szCs w:val="18"/>
                <w:u w:val="none"/>
                <w:lang w:val="en-US" w:eastAsia="zh-CN" w:bidi="ar"/>
              </w:rPr>
              <w:t>1%,</w:t>
            </w:r>
            <w:r>
              <w:rPr>
                <w:rStyle w:val="36"/>
                <w:lang w:val="en-US" w:eastAsia="zh-CN" w:bidi="ar"/>
              </w:rPr>
              <w:t>扣</w:t>
            </w:r>
            <w:r>
              <w:rPr>
                <w:rFonts w:hint="default" w:ascii="MingLiU" w:hAnsi="MingLiU" w:eastAsia="MingLiU" w:cs="MingLiU"/>
                <w:i w:val="0"/>
                <w:iCs w:val="0"/>
                <w:color w:val="000000"/>
                <w:kern w:val="0"/>
                <w:sz w:val="18"/>
                <w:szCs w:val="18"/>
                <w:u w:val="none"/>
                <w:lang w:val="en-US" w:eastAsia="zh-CN" w:bidi="ar"/>
              </w:rPr>
              <w:t>10%</w:t>
            </w:r>
            <w:r>
              <w:rPr>
                <w:rStyle w:val="36"/>
                <w:lang w:val="en-US" w:eastAsia="zh-CN" w:bidi="ar"/>
              </w:rPr>
              <w:t>的权重分，扣完为止。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政府采购执行率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1.37 </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6"/>
                <w:lang w:val="en-US" w:eastAsia="zh-CN" w:bidi="ar"/>
              </w:rPr>
              <w:t>部门（单位）本年度实际政府釆购金额与年初政府采购预算的比率。政府采购执行率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（实际政府釆购金额</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政府采购预算数）</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得分</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政府采购执行率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分值。</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0.63 </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FFFFFF"/>
                <w:sz w:val="20"/>
                <w:szCs w:val="20"/>
                <w:u w:val="none"/>
              </w:rPr>
            </w:pPr>
            <w:r>
              <w:rPr>
                <w:rFonts w:hint="eastAsia" w:ascii="宋体" w:hAnsi="宋体" w:eastAsia="宋体" w:cs="宋体"/>
                <w:i w:val="0"/>
                <w:iCs w:val="0"/>
                <w:color w:val="FFFFFF"/>
                <w:kern w:val="0"/>
                <w:sz w:val="20"/>
                <w:szCs w:val="20"/>
                <w:u w:val="none"/>
                <w:lang w:val="en-US" w:eastAsia="zh-CN" w:bidi="ar"/>
              </w:rPr>
              <w:t>68.42%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非税收入预算完成率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6"/>
                <w:lang w:val="en-US" w:eastAsia="zh-CN" w:bidi="ar"/>
              </w:rPr>
              <w:t>部门（单位）本年度实际非税收入完成数与年初非税收入预算数的比率。非税收入预算完成率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（非税收入实际完成数</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非税收入预算数）</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比率＞</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，得满分</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比率＜</w:t>
            </w:r>
            <w:r>
              <w:rPr>
                <w:rFonts w:hint="default" w:ascii="MingLiU" w:hAnsi="MingLiU" w:eastAsia="MingLiU" w:cs="MingLiU"/>
                <w:i w:val="0"/>
                <w:iCs w:val="0"/>
                <w:color w:val="000000"/>
                <w:kern w:val="0"/>
                <w:sz w:val="18"/>
                <w:szCs w:val="18"/>
                <w:u w:val="none"/>
                <w:lang w:val="en-US" w:eastAsia="zh-CN" w:bidi="ar"/>
              </w:rPr>
              <w:t>100%,</w:t>
            </w:r>
            <w:r>
              <w:rPr>
                <w:rStyle w:val="36"/>
                <w:lang w:val="en-US" w:eastAsia="zh-CN" w:bidi="ar"/>
              </w:rPr>
              <w:t>每减少</w:t>
            </w:r>
            <w:r>
              <w:rPr>
                <w:rFonts w:hint="default" w:ascii="MingLiU" w:hAnsi="MingLiU" w:eastAsia="MingLiU" w:cs="MingLiU"/>
                <w:i w:val="0"/>
                <w:iCs w:val="0"/>
                <w:color w:val="000000"/>
                <w:kern w:val="0"/>
                <w:sz w:val="18"/>
                <w:szCs w:val="18"/>
                <w:u w:val="none"/>
                <w:lang w:val="en-US" w:eastAsia="zh-CN" w:bidi="ar"/>
              </w:rPr>
              <w:t>1%,</w:t>
            </w:r>
            <w:r>
              <w:rPr>
                <w:rStyle w:val="36"/>
                <w:lang w:val="en-US" w:eastAsia="zh-CN" w:bidi="ar"/>
              </w:rPr>
              <w:t>扣</w:t>
            </w:r>
            <w:r>
              <w:rPr>
                <w:rFonts w:hint="default" w:ascii="MingLiU" w:hAnsi="MingLiU" w:eastAsia="MingLiU" w:cs="MingLiU"/>
                <w:i w:val="0"/>
                <w:iCs w:val="0"/>
                <w:color w:val="000000"/>
                <w:kern w:val="0"/>
                <w:sz w:val="18"/>
                <w:szCs w:val="18"/>
                <w:u w:val="none"/>
                <w:lang w:val="en-US" w:eastAsia="zh-CN" w:bidi="ar"/>
              </w:rPr>
              <w:t>2%</w:t>
            </w:r>
            <w:r>
              <w:rPr>
                <w:rStyle w:val="36"/>
                <w:lang w:val="en-US" w:eastAsia="zh-CN" w:bidi="ar"/>
              </w:rPr>
              <w:t>的权重分，扣完为止。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6"/>
                <w:lang w:val="en-US" w:eastAsia="zh-CN" w:bidi="ar"/>
              </w:rPr>
              <w:t>绩</w:t>
            </w:r>
            <w:r>
              <w:rPr>
                <w:rFonts w:hint="default" w:ascii="MingLiU" w:hAnsi="MingLiU" w:eastAsia="MingLiU" w:cs="MingLiU"/>
                <w:i w:val="0"/>
                <w:iCs w:val="0"/>
                <w:color w:val="000000"/>
                <w:kern w:val="0"/>
                <w:sz w:val="18"/>
                <w:szCs w:val="18"/>
                <w:u w:val="none"/>
                <w:lang w:val="en-US" w:eastAsia="zh-CN" w:bidi="ar"/>
              </w:rPr>
              <w:t>效管理</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10</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事前绩效评估完成率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本年度开展事前绩效评估数量与新出台的申请财政资金200万元以上的重大政策和项目数量的比率。事前绩效评估完成率=（本年度开展事前绩效评估数量/新出台的申请财政资金200万元以上的重大政策和项目数量）*100%得分=事前绩效评估完成率*分值。</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新增绿化养护费项目金额为883.27万元未开展事前绩效评估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绩效目标合理性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部门（单位）本年度项目支出（包括部门预算项目支出、省市直专项支出、省市对下转移支付、具有特定用途和具体使用目标的共同事权类一般性转移支付）是否设置绩效目标；是否设置部门整体绩效目标。②部门（单位）设置的绩效目标依据是否充分，是否符合客观实际，是否符合部门制定的中长期规划和年度工作计划。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劳务费和乡村振兴其它费用项目均未设置中期目标和年度目标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绩效监控开展率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部门（单位）本年度绩效运行监控的范围是否覆盖所管理的所有项目支出，包括部门预算项目（不含不可预见费）、省市直专项、省市对下转移支付、具有特定用途和具体使用目标的共同事权类一般性转移支付；是否按期完成绩效运行监控汇总分析工作，绩效监控开展率≥100%  </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8"/>
                <w:lang w:val="en-US" w:eastAsia="zh-CN" w:bidi="ar"/>
              </w:rPr>
              <w:t>未按期完成绩效运行监控汇总分析工作，绩效监控开展率为</w:t>
            </w:r>
            <w:r>
              <w:rPr>
                <w:rStyle w:val="37"/>
                <w:rFonts w:eastAsia="宋体"/>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绩效评价覆盖率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部门（单位）本年度是否对所管理的所有县级预算一级项目和二级项目开展部门自评，包括括部门预算项目（不含不可预见费）、省市直专项、省市对下转移支付、具有特定用途和具体使用目标的共同事权类一般性转移支付；是否对本部门整体开展部门自评。绩效评价覆盖率≥100% </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8"/>
                <w:lang w:val="en-US" w:eastAsia="zh-CN" w:bidi="ar"/>
              </w:rPr>
              <w:t>未对本部门整体开展部门自评，绩效评价覆盖率为</w:t>
            </w:r>
            <w:r>
              <w:rPr>
                <w:rStyle w:val="37"/>
                <w:rFonts w:eastAsia="宋体"/>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评价结果应用率  </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部门（单位）是否根据部门自评和财政评价结果进行整改，以前年度的评价结果是否在本年度编制预算时进行应用。评价结果应用率≥100% </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8"/>
                <w:lang w:val="en-US" w:eastAsia="zh-CN" w:bidi="ar"/>
              </w:rPr>
              <w:t>未根据部门自评和财政评价结果进行整改，以前年度的评价结果未在本年度编制预算时进行应用。评价结果应用率为</w:t>
            </w:r>
            <w:r>
              <w:rPr>
                <w:rStyle w:val="37"/>
                <w:rFonts w:eastAsia="宋体"/>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资产管理</w:t>
            </w:r>
            <w:r>
              <w:rPr>
                <w:rStyle w:val="40"/>
                <w:rFonts w:eastAsia="MingLiU"/>
                <w:lang w:val="en-US" w:eastAsia="zh-CN" w:bidi="ar"/>
              </w:rPr>
              <w:t>（2）</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4</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资产管理制度健全性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6"/>
                <w:lang w:val="en-US" w:eastAsia="zh-CN" w:bidi="ar"/>
              </w:rPr>
              <w:t>部门（单位）为加强资产管理、规范资产管理行为而制定的管理制度是否完善。①是否制定资产配置、使用、处置、收益等相关制度办法。此项</w:t>
            </w:r>
            <w:r>
              <w:rPr>
                <w:rFonts w:hint="default" w:ascii="MingLiU" w:hAnsi="MingLiU" w:eastAsia="MingLiU" w:cs="MingLiU"/>
                <w:i w:val="0"/>
                <w:iCs w:val="0"/>
                <w:color w:val="000000"/>
                <w:kern w:val="0"/>
                <w:sz w:val="18"/>
                <w:szCs w:val="18"/>
                <w:u w:val="none"/>
                <w:lang w:val="en-US" w:eastAsia="zh-CN" w:bidi="ar"/>
              </w:rPr>
              <w:t>0.5</w:t>
            </w:r>
            <w:r>
              <w:rPr>
                <w:rStyle w:val="36"/>
                <w:lang w:val="en-US" w:eastAsia="zh-CN" w:bidi="ar"/>
              </w:rPr>
              <w:t>分。②是否制定资产管理内部控制制度或操作规程。此项</w:t>
            </w:r>
            <w:r>
              <w:rPr>
                <w:rFonts w:hint="default" w:ascii="MingLiU" w:hAnsi="MingLiU" w:eastAsia="MingLiU" w:cs="MingLiU"/>
                <w:i w:val="0"/>
                <w:iCs w:val="0"/>
                <w:color w:val="000000"/>
                <w:kern w:val="0"/>
                <w:sz w:val="18"/>
                <w:szCs w:val="18"/>
                <w:u w:val="none"/>
                <w:lang w:val="en-US" w:eastAsia="zh-CN" w:bidi="ar"/>
              </w:rPr>
              <w:t>0.5</w:t>
            </w:r>
            <w:r>
              <w:rPr>
                <w:rStyle w:val="36"/>
                <w:lang w:val="en-US" w:eastAsia="zh-CN" w:bidi="ar"/>
              </w:rPr>
              <w:t>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资产管理规范性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lang w:val="en-US" w:eastAsia="zh-CN" w:bidi="ar"/>
              </w:rPr>
              <w:t>部门（单位）的资产是否保存完整、使用合规、配置合理、处置规范、收入及时足额上缴。①是否按批复的预算配置资产，新购资产入库管理是否规范（如编制采购计划、进行采购审核、验收等）。此项</w:t>
            </w:r>
            <w:r>
              <w:rPr>
                <w:rFonts w:hint="default" w:ascii="MingLiU" w:hAnsi="MingLiU" w:eastAsia="MingLiU" w:cs="MingLiU"/>
                <w:i w:val="0"/>
                <w:iCs w:val="0"/>
                <w:color w:val="000000"/>
                <w:kern w:val="0"/>
                <w:sz w:val="18"/>
                <w:szCs w:val="18"/>
                <w:u w:val="none"/>
                <w:lang w:val="en-US" w:eastAsia="zh-CN" w:bidi="ar"/>
              </w:rPr>
              <w:t>0.4</w:t>
            </w:r>
            <w:r>
              <w:rPr>
                <w:rStyle w:val="36"/>
                <w:lang w:val="en-US" w:eastAsia="zh-CN" w:bidi="ar"/>
              </w:rPr>
              <w:t>分。②是否定期对现有资产进行盘点、对账，是否账实相符。此项</w:t>
            </w:r>
            <w:r>
              <w:rPr>
                <w:rFonts w:hint="default" w:ascii="MingLiU" w:hAnsi="MingLiU" w:eastAsia="MingLiU" w:cs="MingLiU"/>
                <w:i w:val="0"/>
                <w:iCs w:val="0"/>
                <w:color w:val="000000"/>
                <w:kern w:val="0"/>
                <w:sz w:val="18"/>
                <w:szCs w:val="18"/>
                <w:u w:val="none"/>
                <w:lang w:val="en-US" w:eastAsia="zh-CN" w:bidi="ar"/>
              </w:rPr>
              <w:t>0.3</w:t>
            </w:r>
            <w:r>
              <w:rPr>
                <w:rStyle w:val="36"/>
                <w:lang w:val="en-US" w:eastAsia="zh-CN" w:bidi="ar"/>
              </w:rPr>
              <w:t>分。③资产有偿使用和资产处置是否规范（批复、公开等），所获收入是否及时足额上缴。此项</w:t>
            </w:r>
            <w:r>
              <w:rPr>
                <w:rFonts w:hint="default" w:ascii="MingLiU" w:hAnsi="MingLiU" w:eastAsia="MingLiU" w:cs="MingLiU"/>
                <w:i w:val="0"/>
                <w:iCs w:val="0"/>
                <w:color w:val="000000"/>
                <w:kern w:val="0"/>
                <w:sz w:val="18"/>
                <w:szCs w:val="18"/>
                <w:u w:val="none"/>
                <w:lang w:val="en-US" w:eastAsia="zh-CN" w:bidi="ar"/>
              </w:rPr>
              <w:t>0.3</w:t>
            </w:r>
            <w:r>
              <w:rPr>
                <w:rStyle w:val="36"/>
                <w:lang w:val="en-US" w:eastAsia="zh-CN" w:bidi="ar"/>
              </w:rPr>
              <w:t>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未定期对现有资产进行盘点，对账。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财务管理</w:t>
            </w:r>
            <w:r>
              <w:rPr>
                <w:rStyle w:val="40"/>
                <w:rFonts w:eastAsia="MingLiU"/>
                <w:lang w:val="en-US" w:eastAsia="zh-CN" w:bidi="ar"/>
              </w:rPr>
              <w:t>（3）</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6</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财务管理制度健全性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为加强财务管理、规范财务行为而制定的管理制度是否健全完整，是否已制定或具有相应的财务管理内控制度，包括收入与支出管理、往来资金结算管理、现金及银行存款管理、财务监督管理、政府采购管理、绩效管理等；财务管理制度是否合法、合规、完整。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无现金及银行存款管理、政府采购管理、绩效管理等内控制度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会计核算规范性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部门（单位）的财务核算是否符合国家财经法规和财务管理制度及专项资金管理有关规定；部门（单位）基础数据信息和会计信息资料是否真实、准确、完整。发现一起不符扣0.5分，扣完为止。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折旧扣减原值，财务资产与国资资产系统未核对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资金使用合规性</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使用预算资金是否符合国家财经法规和财务管理制度以及有关专项资金管理办法的规定；是否存在截留、挤占、挪用、虚列支出等情况；资金拨付是否有完整的审批程序和手续；公用经费是否存在超标准支出情况，项目支出与公用经费是否存在交叉重复。发现一起不符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63"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履职效能</w:t>
            </w:r>
          </w:p>
        </w:tc>
        <w:tc>
          <w:tcPr>
            <w:tcW w:w="675" w:type="dxa"/>
            <w:vMerge w:val="restar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30</w:t>
            </w:r>
          </w:p>
        </w:tc>
        <w:tc>
          <w:tcPr>
            <w:tcW w:w="1088"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履职任务</w:t>
            </w:r>
          </w:p>
        </w:tc>
        <w:tc>
          <w:tcPr>
            <w:tcW w:w="559" w:type="dxa"/>
            <w:vMerge w:val="restar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24</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提升城乡环卫保洁质量</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垃圾无害化处理率100%，每少5%扣0.1分，扣完为止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媒体宣传次数</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8"/>
                <w:lang w:val="en-US" w:eastAsia="zh-CN" w:bidi="ar"/>
              </w:rPr>
              <w:t>媒体宣传按新闻报道和采访次数</w:t>
            </w:r>
            <w:r>
              <w:rPr>
                <w:rStyle w:val="37"/>
                <w:rFonts w:eastAsia="宋体"/>
                <w:lang w:val="en-US" w:eastAsia="zh-CN" w:bidi="ar"/>
              </w:rPr>
              <w:t>≥</w:t>
            </w:r>
            <w:r>
              <w:rPr>
                <w:rStyle w:val="38"/>
                <w:lang w:val="en-US" w:eastAsia="zh-CN" w:bidi="ar"/>
              </w:rPr>
              <w:t>30次，发现少一次扣0.2分，扣完为止。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拆违拆广告次数</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拆违拆广告次数≧30次/年，发现一起未完成扣0.5分，扣完为止。</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绿化带护栏更新</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更新莲花湖大道富水管理局段、兴国大道段、迎宾大道段6418.3米护栏更新，每少更新1000米扣0.2分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口袋公园建设</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2023年建设10个口袋公园，按完成个数得0.2分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10个完成8个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智慧化升级项目</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1.11 </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停车位扩位工程按规划应建设停车位8724个，按达成率评分。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1.89 </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实际建设3230个，达成率37.02%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静脉产业园</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1.97 </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生活垃圾处理率规划21.72万吨/年</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规划21.72万吨，实际14.8万吨，达成率65.89%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撤桶并点升级改造</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垃圾分类覆盖率100%</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履</w:t>
            </w:r>
            <w:r>
              <w:rPr>
                <w:rStyle w:val="36"/>
                <w:lang w:val="en-US" w:eastAsia="zh-CN" w:bidi="ar"/>
              </w:rPr>
              <w:t>职质量</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6</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提高行政审批效率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提高行政事务审批时间压缩次0.5个工作日</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信访任务完成率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化解社会矛盾纠纷率100%</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加大市容秩序整治</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对影响市容市貌的违规行为进行了处理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63"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社会效应</w:t>
            </w:r>
          </w:p>
        </w:tc>
        <w:tc>
          <w:tcPr>
            <w:tcW w:w="675" w:type="dxa"/>
            <w:vMerge w:val="restar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6"/>
                <w:lang w:val="en-US" w:eastAsia="zh-CN" w:bidi="ar"/>
              </w:rPr>
              <w:t>经济</w:t>
            </w:r>
            <w:r>
              <w:rPr>
                <w:rFonts w:hint="default" w:ascii="MingLiU" w:hAnsi="MingLiU" w:eastAsia="MingLiU" w:cs="MingLiU"/>
                <w:i w:val="0"/>
                <w:iCs w:val="0"/>
                <w:color w:val="000000"/>
                <w:kern w:val="0"/>
                <w:sz w:val="18"/>
                <w:szCs w:val="18"/>
                <w:u w:val="none"/>
                <w:lang w:val="en-US" w:eastAsia="zh-CN" w:bidi="ar"/>
              </w:rPr>
              <w:t>效益</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市容罚没收入增加</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是否带动市容罚没收入增加，增加得2分，否则得0分。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4</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“四位一体”城市品质和治理水平提升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秩序、保洁、市政、绿化“四位一体”管理模式，城市品质和治理水平是否得到提升。 得到提升得2分，否则得0分。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居民的安全水平、居住功能及生活环境</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切实提升了居民的安全水平、居住功能及生活环境，提升得2分，否则得0分。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市容秩序整洁和环境卫生清洁</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常态化保持城市市容秩序整洁和环境卫生清洁，建设清爽、有序、安全城市是否落实到位。落实到位得2分，否则得0分。 </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力争创国家园林城市和国家文明城市</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力争创国家园林城市和国家文明城市是否有无负面影响。无负面影响得2分，有负面影响得0分。</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6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41"/>
                <w:lang w:val="en-US" w:eastAsia="zh-CN" w:bidi="ar"/>
              </w:rPr>
              <w:t>可持续发展能力</w:t>
            </w:r>
            <w:r>
              <w:rPr>
                <w:rFonts w:hint="default" w:ascii="MingLiU" w:hAnsi="MingLiU" w:eastAsia="MingLiU" w:cs="MingLiU"/>
                <w:i w:val="0"/>
                <w:iCs w:val="0"/>
                <w:color w:val="000000"/>
                <w:kern w:val="0"/>
                <w:sz w:val="18"/>
                <w:szCs w:val="18"/>
                <w:u w:val="none"/>
                <w:lang w:val="en-US" w:eastAsia="zh-CN" w:bidi="ar"/>
              </w:rPr>
              <w:t xml:space="preserve"> </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12</w:t>
            </w: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体制机制改革</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服务体制改革成效</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服务型政府建设情况，部门服务社会化、服务市场等情况。</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行政管理体制改革成效</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跨部门协作机制建立、执法力度和执法效果，执法队伍建设改革创新。</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人才支撑</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业务学习与培训完成率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lang w:val="en-US" w:eastAsia="zh-CN" w:bidi="ar"/>
              </w:rPr>
              <w:t>部门（单位）为履行职责而实际完成的业务学习与培训数与计划工作数的比率。业务学习与培训完成率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（实际完成的业务学习与培训数</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计划业务学习与培训数</w:t>
            </w:r>
            <w:r>
              <w:rPr>
                <w:rFonts w:hint="default" w:ascii="MingLiU" w:hAnsi="MingLiU" w:eastAsia="MingLiU" w:cs="MingLiU"/>
                <w:i w:val="0"/>
                <w:iCs w:val="0"/>
                <w:color w:val="000000"/>
                <w:kern w:val="0"/>
                <w:sz w:val="18"/>
                <w:szCs w:val="18"/>
                <w:u w:val="none"/>
                <w:lang w:val="en-US" w:eastAsia="zh-CN" w:bidi="ar"/>
              </w:rPr>
              <w:t>*98%.</w:t>
            </w:r>
            <w:r>
              <w:rPr>
                <w:rStyle w:val="36"/>
                <w:lang w:val="en-US" w:eastAsia="zh-CN" w:bidi="ar"/>
              </w:rPr>
              <w:t>得分</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业务学习与培训完成率</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分值。</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干部队伍体系建设规划情况</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部门（单位）干部队伍建设是否具备科学合理的制度支撑，人才储备规划是否符合本单位发展需求。</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高学历、高层次人才储备率</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lang w:val="en-US" w:eastAsia="zh-CN" w:bidi="ar"/>
              </w:rPr>
              <w:t>①高层次人才培养：高层次领军人才培养、创新团队建设工作开展情况和成效，是否符合人才发展规划的要求。②高学历人才储备：高级职称、硕士和博士人才数量及比率</w:t>
            </w:r>
            <w:r>
              <w:rPr>
                <w:rStyle w:val="42"/>
                <w:rFonts w:eastAsia="宋体"/>
                <w:lang w:val="en-US" w:eastAsia="zh-CN" w:bidi="ar"/>
              </w:rPr>
              <w:t>≥</w:t>
            </w:r>
            <w:r>
              <w:rPr>
                <w:rStyle w:val="36"/>
                <w:lang w:val="en-US" w:eastAsia="zh-CN" w:bidi="ar"/>
              </w:rPr>
              <w:t>40%</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研究生2人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MingLiU" w:hAnsi="MingLiU" w:eastAsia="MingLiU" w:cs="MingLiU"/>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6"/>
                <w:lang w:val="en-US" w:eastAsia="zh-CN" w:bidi="ar"/>
              </w:rPr>
              <w:t>科技支撑</w:t>
            </w:r>
            <w:r>
              <w:rPr>
                <w:rStyle w:val="38"/>
                <w:lang w:val="en-US" w:eastAsia="zh-CN" w:bidi="ar"/>
              </w:rPr>
              <w:t xml:space="preserve">   </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信息化建设情况</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部门（单位）是否充分运用信息化手段提升工作效率及管理效能。</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36"/>
                <w:lang w:val="en-US" w:eastAsia="zh-CN" w:bidi="ar"/>
              </w:rPr>
              <w:t>满</w:t>
            </w:r>
            <w:r>
              <w:rPr>
                <w:rFonts w:hint="default" w:ascii="MingLiU" w:hAnsi="MingLiU" w:eastAsia="MingLiU" w:cs="MingLiU"/>
                <w:i w:val="0"/>
                <w:iCs w:val="0"/>
                <w:color w:val="000000"/>
                <w:kern w:val="0"/>
                <w:sz w:val="18"/>
                <w:szCs w:val="18"/>
                <w:u w:val="none"/>
                <w:lang w:val="en-US" w:eastAsia="zh-CN" w:bidi="ar"/>
              </w:rPr>
              <w:t>意度</w:t>
            </w:r>
          </w:p>
        </w:tc>
        <w:tc>
          <w:tcPr>
            <w:tcW w:w="675"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3</w:t>
            </w:r>
          </w:p>
        </w:tc>
        <w:tc>
          <w:tcPr>
            <w:tcW w:w="1088"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6"/>
                <w:lang w:val="en-US" w:eastAsia="zh-CN" w:bidi="ar"/>
              </w:rPr>
              <w:t>服务对象满意度</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社会群众满意度</w:t>
            </w: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2.31 </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lang w:val="en-US" w:eastAsia="zh-CN" w:bidi="ar"/>
              </w:rPr>
              <w:t>社会群众满意度对部门履职效果的满意度</w:t>
            </w:r>
            <w:r>
              <w:rPr>
                <w:rStyle w:val="42"/>
                <w:rFonts w:eastAsia="宋体"/>
                <w:lang w:val="en-US" w:eastAsia="zh-CN" w:bidi="ar"/>
              </w:rPr>
              <w:t>≥</w:t>
            </w:r>
            <w:r>
              <w:rPr>
                <w:rStyle w:val="36"/>
                <w:lang w:val="en-US" w:eastAsia="zh-CN" w:bidi="ar"/>
              </w:rPr>
              <w:t>98%。得分</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满意度</w:t>
            </w:r>
            <w:r>
              <w:rPr>
                <w:rFonts w:hint="default" w:ascii="MingLiU" w:hAnsi="MingLiU" w:eastAsia="MingLiU" w:cs="MingLiU"/>
                <w:i w:val="0"/>
                <w:iCs w:val="0"/>
                <w:color w:val="000000"/>
                <w:kern w:val="0"/>
                <w:sz w:val="18"/>
                <w:szCs w:val="18"/>
                <w:u w:val="none"/>
                <w:lang w:val="en-US" w:eastAsia="zh-CN" w:bidi="ar"/>
              </w:rPr>
              <w:t>*</w:t>
            </w:r>
            <w:r>
              <w:rPr>
                <w:rStyle w:val="36"/>
                <w:lang w:val="en-US" w:eastAsia="zh-CN" w:bidi="ar"/>
              </w:rPr>
              <w:t>分值。</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0.69 </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满意度76.87%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Fonts w:hint="default" w:ascii="MingLiU" w:hAnsi="MingLiU" w:eastAsia="MingLiU" w:cs="MingLiU"/>
                <w:i w:val="0"/>
                <w:iCs w:val="0"/>
                <w:color w:val="000000"/>
                <w:kern w:val="0"/>
                <w:sz w:val="18"/>
                <w:szCs w:val="18"/>
                <w:u w:val="none"/>
                <w:lang w:val="en-US" w:eastAsia="zh-CN" w:bidi="ar"/>
              </w:rPr>
              <w:t>合计</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75.85 </w:t>
            </w:r>
          </w:p>
        </w:tc>
        <w:tc>
          <w:tcPr>
            <w:tcW w:w="5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24.15 </w:t>
            </w:r>
          </w:p>
        </w:tc>
        <w:tc>
          <w:tcPr>
            <w:tcW w:w="28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bl>
    <w:p>
      <w:pPr>
        <w:rPr>
          <w:rFonts w:hint="eastAsia" w:ascii="仿宋" w:hAnsi="仿宋" w:eastAsia="仿宋"/>
          <w:b w:val="0"/>
          <w:kern w:val="44"/>
          <w:szCs w:val="32"/>
        </w:rPr>
        <w:sectPr>
          <w:pgSz w:w="16838" w:h="11906" w:orient="landscape"/>
          <w:pgMar w:top="1587" w:right="1814" w:bottom="1474" w:left="1984" w:header="851" w:footer="992" w:gutter="0"/>
          <w:pgNumType w:start="1"/>
          <w:cols w:space="720" w:num="1"/>
          <w:docGrid w:type="lines" w:linePitch="312" w:charSpace="0"/>
        </w:sect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p>
      <w:pPr>
        <w:rPr>
          <w:rFonts w:hint="eastAsia" w:ascii="仿宋" w:hAnsi="仿宋" w:eastAsia="仿宋"/>
          <w:b w:val="0"/>
          <w:kern w:val="44"/>
          <w:szCs w:val="32"/>
        </w:rPr>
      </w:pPr>
    </w:p>
    <w:sectPr>
      <w:pgSz w:w="11906" w:h="16838"/>
      <w:pgMar w:top="181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F6B443E-3D96-4A6E-8E7B-C34441063815}"/>
  </w:font>
  <w:font w:name="黑体">
    <w:panose1 w:val="02010609060101010101"/>
    <w:charset w:val="86"/>
    <w:family w:val="auto"/>
    <w:pitch w:val="default"/>
    <w:sig w:usb0="800002BF" w:usb1="38CF7CFA" w:usb2="00000016" w:usb3="00000000" w:csb0="00040001" w:csb1="00000000"/>
    <w:embedRegular r:id="rId2" w:fontKey="{26CE1555-E093-4127-91ED-FB0FA9D3D1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FA37785C-3487-4FEB-BB6C-767097CB96D3}"/>
  </w:font>
  <w:font w:name="方正小标宋简体">
    <w:panose1 w:val="02000000000000000000"/>
    <w:charset w:val="86"/>
    <w:family w:val="script"/>
    <w:pitch w:val="default"/>
    <w:sig w:usb0="A00002BF" w:usb1="184F6CFA" w:usb2="00000012" w:usb3="00000000" w:csb0="00040001" w:csb1="00000000"/>
    <w:embedRegular r:id="rId4" w:fontKey="{99CE7EA1-AD5C-4FC1-87D6-E4FA4E984902}"/>
  </w:font>
  <w:font w:name="等线">
    <w:panose1 w:val="02010600030101010101"/>
    <w:charset w:val="86"/>
    <w:family w:val="auto"/>
    <w:pitch w:val="default"/>
    <w:sig w:usb0="A00002BF" w:usb1="38CF7CFA" w:usb2="00000016" w:usb3="00000000" w:csb0="0004000F" w:csb1="00000000"/>
    <w:embedRegular r:id="rId5" w:fontKey="{7227F1A2-DBBF-41E9-BEA1-567C4AD77DC2}"/>
  </w:font>
  <w:font w:name="楷体">
    <w:panose1 w:val="02010609060101010101"/>
    <w:charset w:val="86"/>
    <w:family w:val="modern"/>
    <w:pitch w:val="default"/>
    <w:sig w:usb0="800002BF" w:usb1="38CF7CFA" w:usb2="00000016" w:usb3="00000000" w:csb0="00040001" w:csb1="00000000"/>
    <w:embedRegular r:id="rId6" w:fontKey="{4FA74199-B518-4248-99BD-2D93170C25F3}"/>
  </w:font>
  <w:font w:name="方正仿宋_GB2312">
    <w:panose1 w:val="02000000000000000000"/>
    <w:charset w:val="86"/>
    <w:family w:val="auto"/>
    <w:pitch w:val="default"/>
    <w:sig w:usb0="A00002BF" w:usb1="184F6CFA" w:usb2="00000012" w:usb3="00000000" w:csb0="00040001" w:csb1="00000000"/>
    <w:embedRegular r:id="rId7" w:fontKey="{EB4D057D-4208-45F8-8B7E-4C3D2193F7D0}"/>
  </w:font>
  <w:font w:name="MingLiU">
    <w:altName w:val="Segoe Print"/>
    <w:panose1 w:val="00000000000000000000"/>
    <w:charset w:val="00"/>
    <w:family w:val="auto"/>
    <w:pitch w:val="default"/>
    <w:sig w:usb0="00000000" w:usb1="00000000" w:usb2="00000000" w:usb3="00000000" w:csb0="00000000" w:csb1="00000000"/>
    <w:embedRegular r:id="rId8" w:fontKey="{5541A711-E343-44E6-994E-CC5FDEF92A45}"/>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153"/>
        <w:tab w:val="right"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tabs>
                              <w:tab w:val="center" w:pos="4153"/>
                              <w:tab w:val="right" w:pos="8306"/>
                            </w:tabs>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JX3I8sBAACcAwAADgAAAGRycy9lMm9Eb2MueG1srVPNjtMwEL4j8Q6W&#10;79RpV4IqaroCVYuQECAtPIDr2I0l/8njNukLwBtw4sKd5+pzMHaSLiyXPXBJxjOTb77v82RzO1hD&#10;TjKC9q6hy0VFiXTCt9odGvrl892LNSWQuGu58U429CyB3m6fP9v0oZYr33nTykgQxEHdh4Z2KYWa&#10;MRCdtBwWPkiHReWj5QmP8cDayHtEt4atquol631sQ/RCAmB2NxbphBifAuiV0kLuvDha6dKIGqXh&#10;CSVBpwPQbWGrlBTpo1IgEzENRaWpPHEIxvv8ZNsNrw+Rh06LiQJ/CoVHmizXDodeoXY8cXKM+h8o&#10;q0X04FVaCG/ZKKQ4giqW1SNv7jseZNGCVkO4mg7/D1Z8OH2KRLe4CZQ4bvHCL9+/XX78uvz8Sm6q&#10;VzfZoT5AjY33AVvT8MYPuXvKAyaz8EFFm98oiWAd/T1f/ZVDIiJ/tF6t1xWWBNbmA+Kwh89DhPRW&#10;ekty0NCIF1h85af3kMbWuSVPc/5OG4N5Xhv3VwIxc4Zl7iPHHKVhP0zE9749o54e776hDledEvPO&#10;obV5TeYgzsF+Do4h6kOH1JaFF4TXx4QkCrc8YYSdBuOlFXXTguWt+PNcuh5+qu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CiV9yPLAQAAnAMAAA4AAAAAAAAAAQAgAAAAHgEAAGRycy9lMm9E&#10;b2MueG1sUEsFBgAAAAAGAAYAWQEAAFsFAAAAAA==&#10;">
              <v:fill on="f" focussize="0,0"/>
              <v:stroke on="f"/>
              <v:imagedata o:title=""/>
              <o:lock v:ext="edit" aspectratio="f"/>
              <v:textbox inset="0mm,0mm,0mm,0mm" style="mso-fit-shape-to-text:t;">
                <w:txbxContent>
                  <w:p>
                    <w:pPr>
                      <w:pStyle w:val="11"/>
                      <w:tabs>
                        <w:tab w:val="center" w:pos="4153"/>
                        <w:tab w:val="right" w:pos="8306"/>
                      </w:tabs>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6"/>
      </w:pBdr>
      <w:tabs>
        <w:tab w:val="right" w:pos="8820"/>
        <w:tab w:val="clear" w:pos="8306"/>
      </w:tabs>
      <w:ind w:right="25" w:right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0A1E3E"/>
    <w:multiLevelType w:val="singleLevel"/>
    <w:tmpl w:val="3F0A1E3E"/>
    <w:lvl w:ilvl="0" w:tentative="0">
      <w:start w:val="1"/>
      <w:numFmt w:val="decimal"/>
      <w:suff w:val="space"/>
      <w:lvlText w:val="%1."/>
      <w:lvlJc w:val="left"/>
    </w:lvl>
  </w:abstractNum>
  <w:abstractNum w:abstractNumId="1">
    <w:nsid w:val="7E2AAB55"/>
    <w:multiLevelType w:val="singleLevel"/>
    <w:tmpl w:val="7E2AAB55"/>
    <w:lvl w:ilvl="0" w:tentative="0">
      <w:start w:val="2"/>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xNjVhNGI1NzUyMmM1OTkyZjBkY2Y3ZmQ4NzkxY2IifQ=="/>
  </w:docVars>
  <w:rsids>
    <w:rsidRoot w:val="00172A27"/>
    <w:rsid w:val="0002117A"/>
    <w:rsid w:val="0008592E"/>
    <w:rsid w:val="000970BF"/>
    <w:rsid w:val="001105BD"/>
    <w:rsid w:val="00172A27"/>
    <w:rsid w:val="0017575C"/>
    <w:rsid w:val="0019128C"/>
    <w:rsid w:val="001B0B19"/>
    <w:rsid w:val="001F7979"/>
    <w:rsid w:val="00251F09"/>
    <w:rsid w:val="00332976"/>
    <w:rsid w:val="00385725"/>
    <w:rsid w:val="003A0914"/>
    <w:rsid w:val="004349DF"/>
    <w:rsid w:val="00434DAA"/>
    <w:rsid w:val="00442E0B"/>
    <w:rsid w:val="004474C2"/>
    <w:rsid w:val="004637C6"/>
    <w:rsid w:val="004F7331"/>
    <w:rsid w:val="00530D6C"/>
    <w:rsid w:val="00587416"/>
    <w:rsid w:val="00593CA9"/>
    <w:rsid w:val="005A305D"/>
    <w:rsid w:val="006638D4"/>
    <w:rsid w:val="00692433"/>
    <w:rsid w:val="00692B60"/>
    <w:rsid w:val="006E5A66"/>
    <w:rsid w:val="007072EE"/>
    <w:rsid w:val="007170A3"/>
    <w:rsid w:val="0072061F"/>
    <w:rsid w:val="00746628"/>
    <w:rsid w:val="007546AD"/>
    <w:rsid w:val="00765416"/>
    <w:rsid w:val="007A2665"/>
    <w:rsid w:val="007C5428"/>
    <w:rsid w:val="00800C42"/>
    <w:rsid w:val="00804382"/>
    <w:rsid w:val="008408FE"/>
    <w:rsid w:val="00885CE0"/>
    <w:rsid w:val="008D10FA"/>
    <w:rsid w:val="008D4A53"/>
    <w:rsid w:val="008F258E"/>
    <w:rsid w:val="00924289"/>
    <w:rsid w:val="0093318E"/>
    <w:rsid w:val="0098388D"/>
    <w:rsid w:val="009849C3"/>
    <w:rsid w:val="009A310D"/>
    <w:rsid w:val="00A36235"/>
    <w:rsid w:val="00B53A68"/>
    <w:rsid w:val="00B62113"/>
    <w:rsid w:val="00B80488"/>
    <w:rsid w:val="00BB3345"/>
    <w:rsid w:val="00BF76C2"/>
    <w:rsid w:val="00C23035"/>
    <w:rsid w:val="00C7062F"/>
    <w:rsid w:val="00C72AF5"/>
    <w:rsid w:val="00CD1F91"/>
    <w:rsid w:val="00D328F8"/>
    <w:rsid w:val="00D62CC9"/>
    <w:rsid w:val="00D70A3C"/>
    <w:rsid w:val="00D955CB"/>
    <w:rsid w:val="00DD5AF6"/>
    <w:rsid w:val="00F314D2"/>
    <w:rsid w:val="00F844EB"/>
    <w:rsid w:val="00FB5B6A"/>
    <w:rsid w:val="00FE3525"/>
    <w:rsid w:val="010F3B4F"/>
    <w:rsid w:val="011473B7"/>
    <w:rsid w:val="01303AC5"/>
    <w:rsid w:val="015F4817"/>
    <w:rsid w:val="01655E65"/>
    <w:rsid w:val="01675739"/>
    <w:rsid w:val="019B4A6A"/>
    <w:rsid w:val="01C33068"/>
    <w:rsid w:val="01CF4A64"/>
    <w:rsid w:val="0202799B"/>
    <w:rsid w:val="024B6E08"/>
    <w:rsid w:val="028B36A9"/>
    <w:rsid w:val="02A3150C"/>
    <w:rsid w:val="02AE55E9"/>
    <w:rsid w:val="02B20C36"/>
    <w:rsid w:val="02D84414"/>
    <w:rsid w:val="02ED4364"/>
    <w:rsid w:val="032A7EA8"/>
    <w:rsid w:val="034D4E02"/>
    <w:rsid w:val="03575C81"/>
    <w:rsid w:val="036F2FCB"/>
    <w:rsid w:val="03B30E76"/>
    <w:rsid w:val="03D45E6A"/>
    <w:rsid w:val="03DC592B"/>
    <w:rsid w:val="042A6EF2"/>
    <w:rsid w:val="044C142D"/>
    <w:rsid w:val="04694F7F"/>
    <w:rsid w:val="04731D7D"/>
    <w:rsid w:val="04830F51"/>
    <w:rsid w:val="04AE72CA"/>
    <w:rsid w:val="04D22A2E"/>
    <w:rsid w:val="04F44A0B"/>
    <w:rsid w:val="05A3301E"/>
    <w:rsid w:val="05A86320"/>
    <w:rsid w:val="062E1473"/>
    <w:rsid w:val="063302DF"/>
    <w:rsid w:val="064249C6"/>
    <w:rsid w:val="0681758E"/>
    <w:rsid w:val="06D73640"/>
    <w:rsid w:val="06DF76C9"/>
    <w:rsid w:val="06FC5AC4"/>
    <w:rsid w:val="070000D4"/>
    <w:rsid w:val="070659F4"/>
    <w:rsid w:val="071F2612"/>
    <w:rsid w:val="07230FC1"/>
    <w:rsid w:val="07274031"/>
    <w:rsid w:val="074309F6"/>
    <w:rsid w:val="076721B4"/>
    <w:rsid w:val="07A33243"/>
    <w:rsid w:val="07A505CF"/>
    <w:rsid w:val="07D17DB0"/>
    <w:rsid w:val="080D2DB2"/>
    <w:rsid w:val="082737A3"/>
    <w:rsid w:val="082A5712"/>
    <w:rsid w:val="08430CDB"/>
    <w:rsid w:val="08844425"/>
    <w:rsid w:val="089A2898"/>
    <w:rsid w:val="08A54D99"/>
    <w:rsid w:val="08A6123D"/>
    <w:rsid w:val="08E95403"/>
    <w:rsid w:val="090D12BC"/>
    <w:rsid w:val="092E1232"/>
    <w:rsid w:val="093F611F"/>
    <w:rsid w:val="09494049"/>
    <w:rsid w:val="096A32B1"/>
    <w:rsid w:val="09732581"/>
    <w:rsid w:val="09C87915"/>
    <w:rsid w:val="09CC40BF"/>
    <w:rsid w:val="09D43B87"/>
    <w:rsid w:val="0A06506E"/>
    <w:rsid w:val="0A1D552E"/>
    <w:rsid w:val="0A200B7B"/>
    <w:rsid w:val="0A212B2B"/>
    <w:rsid w:val="0A2F7010"/>
    <w:rsid w:val="0A544989"/>
    <w:rsid w:val="0A570314"/>
    <w:rsid w:val="0A5C46AC"/>
    <w:rsid w:val="0A7F4B92"/>
    <w:rsid w:val="0A9245AF"/>
    <w:rsid w:val="0A943317"/>
    <w:rsid w:val="0AB17F49"/>
    <w:rsid w:val="0AC43BFC"/>
    <w:rsid w:val="0B9C06D5"/>
    <w:rsid w:val="0BB07E02"/>
    <w:rsid w:val="0BC32F2F"/>
    <w:rsid w:val="0BFF54E7"/>
    <w:rsid w:val="0C6B5C82"/>
    <w:rsid w:val="0C8278CB"/>
    <w:rsid w:val="0CA35A93"/>
    <w:rsid w:val="0CF46EFC"/>
    <w:rsid w:val="0D09073C"/>
    <w:rsid w:val="0D091D9A"/>
    <w:rsid w:val="0D16203F"/>
    <w:rsid w:val="0D7A532C"/>
    <w:rsid w:val="0D817B82"/>
    <w:rsid w:val="0D8E49CE"/>
    <w:rsid w:val="0DF5231E"/>
    <w:rsid w:val="0E056049"/>
    <w:rsid w:val="0E316732"/>
    <w:rsid w:val="0E5A11BA"/>
    <w:rsid w:val="0E611762"/>
    <w:rsid w:val="0E695995"/>
    <w:rsid w:val="0E87566C"/>
    <w:rsid w:val="0E927B6D"/>
    <w:rsid w:val="0EE7435D"/>
    <w:rsid w:val="0EEC1973"/>
    <w:rsid w:val="0F3F7CF5"/>
    <w:rsid w:val="0F555695"/>
    <w:rsid w:val="0F5B0CA8"/>
    <w:rsid w:val="0F722A26"/>
    <w:rsid w:val="0F81030D"/>
    <w:rsid w:val="0F823E79"/>
    <w:rsid w:val="0FAB49D7"/>
    <w:rsid w:val="10061228"/>
    <w:rsid w:val="104D01F0"/>
    <w:rsid w:val="1079634A"/>
    <w:rsid w:val="10922CF0"/>
    <w:rsid w:val="10A36062"/>
    <w:rsid w:val="10A51DDA"/>
    <w:rsid w:val="10DC3632"/>
    <w:rsid w:val="10DD15B6"/>
    <w:rsid w:val="11045889"/>
    <w:rsid w:val="11405FA6"/>
    <w:rsid w:val="11844B5F"/>
    <w:rsid w:val="11C97B52"/>
    <w:rsid w:val="11CB5870"/>
    <w:rsid w:val="11D02E86"/>
    <w:rsid w:val="11E356A8"/>
    <w:rsid w:val="121216F1"/>
    <w:rsid w:val="123344C2"/>
    <w:rsid w:val="124E6D7F"/>
    <w:rsid w:val="125A4E46"/>
    <w:rsid w:val="12615F10"/>
    <w:rsid w:val="12950A7E"/>
    <w:rsid w:val="12B376DE"/>
    <w:rsid w:val="12BB771E"/>
    <w:rsid w:val="12C2162F"/>
    <w:rsid w:val="12E55C62"/>
    <w:rsid w:val="130D010A"/>
    <w:rsid w:val="130D2DA4"/>
    <w:rsid w:val="13315309"/>
    <w:rsid w:val="133C56A8"/>
    <w:rsid w:val="1356385F"/>
    <w:rsid w:val="13956735"/>
    <w:rsid w:val="13A00166"/>
    <w:rsid w:val="13B12F66"/>
    <w:rsid w:val="13CF1EE3"/>
    <w:rsid w:val="13D1738A"/>
    <w:rsid w:val="13DD6D53"/>
    <w:rsid w:val="13F43F10"/>
    <w:rsid w:val="13F96560"/>
    <w:rsid w:val="141573DC"/>
    <w:rsid w:val="14164D9C"/>
    <w:rsid w:val="14180B15"/>
    <w:rsid w:val="141B0593"/>
    <w:rsid w:val="143A2A9C"/>
    <w:rsid w:val="144631FF"/>
    <w:rsid w:val="145524D7"/>
    <w:rsid w:val="1464431F"/>
    <w:rsid w:val="14A03C83"/>
    <w:rsid w:val="14AA502E"/>
    <w:rsid w:val="14AB7BDB"/>
    <w:rsid w:val="14AD5701"/>
    <w:rsid w:val="14E530ED"/>
    <w:rsid w:val="14F47037"/>
    <w:rsid w:val="15A20820"/>
    <w:rsid w:val="15B605E5"/>
    <w:rsid w:val="15EE68EB"/>
    <w:rsid w:val="160550C9"/>
    <w:rsid w:val="162714E3"/>
    <w:rsid w:val="163F1B1C"/>
    <w:rsid w:val="16492D73"/>
    <w:rsid w:val="169C77DB"/>
    <w:rsid w:val="16A411B1"/>
    <w:rsid w:val="16A448E1"/>
    <w:rsid w:val="16C71FDF"/>
    <w:rsid w:val="16CF0844"/>
    <w:rsid w:val="16D205F0"/>
    <w:rsid w:val="16E80764"/>
    <w:rsid w:val="16F62496"/>
    <w:rsid w:val="16FC64CC"/>
    <w:rsid w:val="173E0EAF"/>
    <w:rsid w:val="174214AE"/>
    <w:rsid w:val="175A6092"/>
    <w:rsid w:val="175D340E"/>
    <w:rsid w:val="17742506"/>
    <w:rsid w:val="17763842"/>
    <w:rsid w:val="17830AB5"/>
    <w:rsid w:val="17935082"/>
    <w:rsid w:val="17A27073"/>
    <w:rsid w:val="17AF4221"/>
    <w:rsid w:val="17DE07C9"/>
    <w:rsid w:val="181D494B"/>
    <w:rsid w:val="18203493"/>
    <w:rsid w:val="182C1032"/>
    <w:rsid w:val="18420856"/>
    <w:rsid w:val="185A794E"/>
    <w:rsid w:val="187529D9"/>
    <w:rsid w:val="18857181"/>
    <w:rsid w:val="189D5A8C"/>
    <w:rsid w:val="19143FA0"/>
    <w:rsid w:val="19225537"/>
    <w:rsid w:val="1934019F"/>
    <w:rsid w:val="196A3BC0"/>
    <w:rsid w:val="198527A8"/>
    <w:rsid w:val="199926F8"/>
    <w:rsid w:val="19B17A41"/>
    <w:rsid w:val="19B829D1"/>
    <w:rsid w:val="19C5236C"/>
    <w:rsid w:val="19E83D12"/>
    <w:rsid w:val="1A074CB0"/>
    <w:rsid w:val="1A0C56B9"/>
    <w:rsid w:val="1A1B0030"/>
    <w:rsid w:val="1A2C70C8"/>
    <w:rsid w:val="1A635C3D"/>
    <w:rsid w:val="1A864A2A"/>
    <w:rsid w:val="1A9C249F"/>
    <w:rsid w:val="1AA2382E"/>
    <w:rsid w:val="1AC07E6D"/>
    <w:rsid w:val="1AD559B1"/>
    <w:rsid w:val="1AE94FB9"/>
    <w:rsid w:val="1AEB6F83"/>
    <w:rsid w:val="1AF851FC"/>
    <w:rsid w:val="1B033C5F"/>
    <w:rsid w:val="1B214753"/>
    <w:rsid w:val="1B3E77C2"/>
    <w:rsid w:val="1B5C578B"/>
    <w:rsid w:val="1B5E6DB2"/>
    <w:rsid w:val="1B77205A"/>
    <w:rsid w:val="1B99078D"/>
    <w:rsid w:val="1B9B2757"/>
    <w:rsid w:val="1B9E5382"/>
    <w:rsid w:val="1BB83309"/>
    <w:rsid w:val="1BF21E2B"/>
    <w:rsid w:val="1C3310EC"/>
    <w:rsid w:val="1C3A1F70"/>
    <w:rsid w:val="1C5E5533"/>
    <w:rsid w:val="1C6D1F48"/>
    <w:rsid w:val="1C931680"/>
    <w:rsid w:val="1CC47F67"/>
    <w:rsid w:val="1CFB5E77"/>
    <w:rsid w:val="1CFF02CB"/>
    <w:rsid w:val="1D083E1C"/>
    <w:rsid w:val="1D19735C"/>
    <w:rsid w:val="1D3671DD"/>
    <w:rsid w:val="1D41732E"/>
    <w:rsid w:val="1D595EE7"/>
    <w:rsid w:val="1D630D4A"/>
    <w:rsid w:val="1D9C6312"/>
    <w:rsid w:val="1DA653E3"/>
    <w:rsid w:val="1DB748E9"/>
    <w:rsid w:val="1E053C26"/>
    <w:rsid w:val="1E1C5081"/>
    <w:rsid w:val="1E214C75"/>
    <w:rsid w:val="1E320A25"/>
    <w:rsid w:val="1E3C4AAC"/>
    <w:rsid w:val="1E4C0F20"/>
    <w:rsid w:val="1E890C86"/>
    <w:rsid w:val="1E911BEF"/>
    <w:rsid w:val="1ECC70CB"/>
    <w:rsid w:val="1ED33FB6"/>
    <w:rsid w:val="1EDD4E34"/>
    <w:rsid w:val="1EDF0BAD"/>
    <w:rsid w:val="1EFA3FB6"/>
    <w:rsid w:val="1EFD3621"/>
    <w:rsid w:val="1EFF2FFD"/>
    <w:rsid w:val="1F0160F9"/>
    <w:rsid w:val="1F4E71EE"/>
    <w:rsid w:val="1FD40B49"/>
    <w:rsid w:val="1FFB2F12"/>
    <w:rsid w:val="20010739"/>
    <w:rsid w:val="200C3A49"/>
    <w:rsid w:val="204325FB"/>
    <w:rsid w:val="2047705D"/>
    <w:rsid w:val="20761FAC"/>
    <w:rsid w:val="20BD503D"/>
    <w:rsid w:val="20E919A9"/>
    <w:rsid w:val="20EC6A65"/>
    <w:rsid w:val="21352D06"/>
    <w:rsid w:val="21366A7E"/>
    <w:rsid w:val="21997739"/>
    <w:rsid w:val="21D41BB1"/>
    <w:rsid w:val="21E5167F"/>
    <w:rsid w:val="21E604A4"/>
    <w:rsid w:val="21E824A7"/>
    <w:rsid w:val="226C32AF"/>
    <w:rsid w:val="22AA3280"/>
    <w:rsid w:val="22B45EAC"/>
    <w:rsid w:val="22BB0CB3"/>
    <w:rsid w:val="22C37B88"/>
    <w:rsid w:val="22C548ED"/>
    <w:rsid w:val="22E66A75"/>
    <w:rsid w:val="22F34C27"/>
    <w:rsid w:val="230010F2"/>
    <w:rsid w:val="23605E80"/>
    <w:rsid w:val="237279BA"/>
    <w:rsid w:val="23B5012E"/>
    <w:rsid w:val="23C53683"/>
    <w:rsid w:val="23C6233B"/>
    <w:rsid w:val="241F170A"/>
    <w:rsid w:val="24672FC7"/>
    <w:rsid w:val="24AC6865"/>
    <w:rsid w:val="24B16B47"/>
    <w:rsid w:val="24B65CB1"/>
    <w:rsid w:val="24C06D8A"/>
    <w:rsid w:val="24FD3B3B"/>
    <w:rsid w:val="250023CA"/>
    <w:rsid w:val="251736C5"/>
    <w:rsid w:val="251B0465"/>
    <w:rsid w:val="25550FED"/>
    <w:rsid w:val="255838C6"/>
    <w:rsid w:val="25643BBA"/>
    <w:rsid w:val="25770437"/>
    <w:rsid w:val="259204A5"/>
    <w:rsid w:val="25954118"/>
    <w:rsid w:val="25AC730F"/>
    <w:rsid w:val="25AE140C"/>
    <w:rsid w:val="25B82157"/>
    <w:rsid w:val="25BA1A2C"/>
    <w:rsid w:val="25D9139E"/>
    <w:rsid w:val="25FF6527"/>
    <w:rsid w:val="260C4127"/>
    <w:rsid w:val="262670C1"/>
    <w:rsid w:val="26722306"/>
    <w:rsid w:val="26B26BA7"/>
    <w:rsid w:val="26BC28CE"/>
    <w:rsid w:val="26C234D6"/>
    <w:rsid w:val="26C75E14"/>
    <w:rsid w:val="26D83F48"/>
    <w:rsid w:val="26E72CF4"/>
    <w:rsid w:val="26E74AA2"/>
    <w:rsid w:val="273A72C8"/>
    <w:rsid w:val="274719E5"/>
    <w:rsid w:val="27516DB9"/>
    <w:rsid w:val="278C2070"/>
    <w:rsid w:val="27AC6781"/>
    <w:rsid w:val="280E605F"/>
    <w:rsid w:val="286B1703"/>
    <w:rsid w:val="28C52359"/>
    <w:rsid w:val="28D41056"/>
    <w:rsid w:val="28D64DCE"/>
    <w:rsid w:val="28E72E42"/>
    <w:rsid w:val="28E75B67"/>
    <w:rsid w:val="29012A6A"/>
    <w:rsid w:val="296543A4"/>
    <w:rsid w:val="29A25032"/>
    <w:rsid w:val="29A273A6"/>
    <w:rsid w:val="29A9603F"/>
    <w:rsid w:val="29AE18A7"/>
    <w:rsid w:val="29B411ED"/>
    <w:rsid w:val="29B7244D"/>
    <w:rsid w:val="29C76E0D"/>
    <w:rsid w:val="29D15596"/>
    <w:rsid w:val="29E31034"/>
    <w:rsid w:val="29F00C75"/>
    <w:rsid w:val="2A44220C"/>
    <w:rsid w:val="2A4B0CDB"/>
    <w:rsid w:val="2A8830E4"/>
    <w:rsid w:val="2A900D74"/>
    <w:rsid w:val="2A9F38E6"/>
    <w:rsid w:val="2AC33130"/>
    <w:rsid w:val="2AF21C68"/>
    <w:rsid w:val="2B0025D7"/>
    <w:rsid w:val="2B2E0BA9"/>
    <w:rsid w:val="2B3C0FC3"/>
    <w:rsid w:val="2B465B0F"/>
    <w:rsid w:val="2B561222"/>
    <w:rsid w:val="2B5A3C59"/>
    <w:rsid w:val="2B885195"/>
    <w:rsid w:val="2B9F3B9D"/>
    <w:rsid w:val="2BA02BA0"/>
    <w:rsid w:val="2BAA7346"/>
    <w:rsid w:val="2BB0591B"/>
    <w:rsid w:val="2BBF2930"/>
    <w:rsid w:val="2BC52ED8"/>
    <w:rsid w:val="2BDB26FC"/>
    <w:rsid w:val="2C29790B"/>
    <w:rsid w:val="2C2F4908"/>
    <w:rsid w:val="2C366AB3"/>
    <w:rsid w:val="2C370BC7"/>
    <w:rsid w:val="2C5A0756"/>
    <w:rsid w:val="2C844B41"/>
    <w:rsid w:val="2C8F472B"/>
    <w:rsid w:val="2CF33A75"/>
    <w:rsid w:val="2D0637A8"/>
    <w:rsid w:val="2D067C4C"/>
    <w:rsid w:val="2D7451CC"/>
    <w:rsid w:val="2D940DB4"/>
    <w:rsid w:val="2D9500FB"/>
    <w:rsid w:val="2DED6214"/>
    <w:rsid w:val="2E0D77F3"/>
    <w:rsid w:val="2E1F2D74"/>
    <w:rsid w:val="2E426A62"/>
    <w:rsid w:val="2E4936F0"/>
    <w:rsid w:val="2E4A5B2D"/>
    <w:rsid w:val="2E6252FE"/>
    <w:rsid w:val="2E670275"/>
    <w:rsid w:val="2EA86451"/>
    <w:rsid w:val="2EEC6A7E"/>
    <w:rsid w:val="2EEE59E3"/>
    <w:rsid w:val="2F1956D5"/>
    <w:rsid w:val="2F963509"/>
    <w:rsid w:val="2FA14099"/>
    <w:rsid w:val="2FA379D4"/>
    <w:rsid w:val="2FAF3D59"/>
    <w:rsid w:val="2FB76FDC"/>
    <w:rsid w:val="2FD302BA"/>
    <w:rsid w:val="2FEF4D3A"/>
    <w:rsid w:val="300F7A3E"/>
    <w:rsid w:val="30124C60"/>
    <w:rsid w:val="302400D4"/>
    <w:rsid w:val="303E3F98"/>
    <w:rsid w:val="30973E22"/>
    <w:rsid w:val="309E4A0C"/>
    <w:rsid w:val="30F32296"/>
    <w:rsid w:val="310D77FB"/>
    <w:rsid w:val="310F347C"/>
    <w:rsid w:val="315E31EF"/>
    <w:rsid w:val="31807FCD"/>
    <w:rsid w:val="31BE15D5"/>
    <w:rsid w:val="31E7004C"/>
    <w:rsid w:val="322272D6"/>
    <w:rsid w:val="323E5792"/>
    <w:rsid w:val="325066DE"/>
    <w:rsid w:val="326A2A2B"/>
    <w:rsid w:val="327D62BB"/>
    <w:rsid w:val="329976D8"/>
    <w:rsid w:val="32D169E0"/>
    <w:rsid w:val="331F2FCD"/>
    <w:rsid w:val="334E7C57"/>
    <w:rsid w:val="336134F5"/>
    <w:rsid w:val="338D6283"/>
    <w:rsid w:val="33B201E6"/>
    <w:rsid w:val="33B2468A"/>
    <w:rsid w:val="33E10ACB"/>
    <w:rsid w:val="341A21A9"/>
    <w:rsid w:val="34334BDF"/>
    <w:rsid w:val="347F62B4"/>
    <w:rsid w:val="34893285"/>
    <w:rsid w:val="348E47AF"/>
    <w:rsid w:val="34D6147B"/>
    <w:rsid w:val="34DA79F4"/>
    <w:rsid w:val="35011425"/>
    <w:rsid w:val="35020CF9"/>
    <w:rsid w:val="35316658"/>
    <w:rsid w:val="354B6B44"/>
    <w:rsid w:val="354D466A"/>
    <w:rsid w:val="355A28E3"/>
    <w:rsid w:val="358044B2"/>
    <w:rsid w:val="3592242B"/>
    <w:rsid w:val="35B8262E"/>
    <w:rsid w:val="35C16E06"/>
    <w:rsid w:val="35F9034E"/>
    <w:rsid w:val="36280C33"/>
    <w:rsid w:val="36540984"/>
    <w:rsid w:val="3660752C"/>
    <w:rsid w:val="366E2AEA"/>
    <w:rsid w:val="36B97ADD"/>
    <w:rsid w:val="36C3270A"/>
    <w:rsid w:val="36CD0A70"/>
    <w:rsid w:val="36E27034"/>
    <w:rsid w:val="37142E18"/>
    <w:rsid w:val="371C41C2"/>
    <w:rsid w:val="374970B3"/>
    <w:rsid w:val="375D66BB"/>
    <w:rsid w:val="37742B99"/>
    <w:rsid w:val="3787037C"/>
    <w:rsid w:val="37AC62AB"/>
    <w:rsid w:val="37B21E7F"/>
    <w:rsid w:val="37C52C3A"/>
    <w:rsid w:val="37EE143E"/>
    <w:rsid w:val="37F93E46"/>
    <w:rsid w:val="38156F95"/>
    <w:rsid w:val="38305B7D"/>
    <w:rsid w:val="38342737"/>
    <w:rsid w:val="38390ED6"/>
    <w:rsid w:val="38755E60"/>
    <w:rsid w:val="387939C8"/>
    <w:rsid w:val="38BC0BC2"/>
    <w:rsid w:val="392B6BC0"/>
    <w:rsid w:val="397B4B0D"/>
    <w:rsid w:val="398E34A3"/>
    <w:rsid w:val="39936F85"/>
    <w:rsid w:val="39A22AAB"/>
    <w:rsid w:val="39F8091D"/>
    <w:rsid w:val="3A057CE9"/>
    <w:rsid w:val="3A3000B7"/>
    <w:rsid w:val="3A3F02FA"/>
    <w:rsid w:val="3A4D0C68"/>
    <w:rsid w:val="3ADD2FE6"/>
    <w:rsid w:val="3B0E0EF1"/>
    <w:rsid w:val="3B11613A"/>
    <w:rsid w:val="3B14501B"/>
    <w:rsid w:val="3B225C51"/>
    <w:rsid w:val="3B4A51A8"/>
    <w:rsid w:val="3B4B54D3"/>
    <w:rsid w:val="3B542D41"/>
    <w:rsid w:val="3B561D9F"/>
    <w:rsid w:val="3B5A188F"/>
    <w:rsid w:val="3B7F12F6"/>
    <w:rsid w:val="3B810113"/>
    <w:rsid w:val="3B8C62D6"/>
    <w:rsid w:val="3BB865B6"/>
    <w:rsid w:val="3C2974B3"/>
    <w:rsid w:val="3C3F0A85"/>
    <w:rsid w:val="3C3F650A"/>
    <w:rsid w:val="3C54545E"/>
    <w:rsid w:val="3C5B7DA1"/>
    <w:rsid w:val="3C5E16A8"/>
    <w:rsid w:val="3C954D55"/>
    <w:rsid w:val="3C9A5473"/>
    <w:rsid w:val="3C9C5ED7"/>
    <w:rsid w:val="3CAD12EC"/>
    <w:rsid w:val="3CD967E3"/>
    <w:rsid w:val="3D1B0EB9"/>
    <w:rsid w:val="3D7520F1"/>
    <w:rsid w:val="3D7529B0"/>
    <w:rsid w:val="3D7C2FEC"/>
    <w:rsid w:val="3D7D1865"/>
    <w:rsid w:val="3DB65977"/>
    <w:rsid w:val="3DEE4511"/>
    <w:rsid w:val="3DF156C8"/>
    <w:rsid w:val="3E546A69"/>
    <w:rsid w:val="3EE13594"/>
    <w:rsid w:val="3EF67EB8"/>
    <w:rsid w:val="3F2A2EB3"/>
    <w:rsid w:val="3F6D76B7"/>
    <w:rsid w:val="3F850EA5"/>
    <w:rsid w:val="3FA3298B"/>
    <w:rsid w:val="3FAC4683"/>
    <w:rsid w:val="3FBA2F1A"/>
    <w:rsid w:val="3FBC53D0"/>
    <w:rsid w:val="3FCE63A8"/>
    <w:rsid w:val="3FE67937"/>
    <w:rsid w:val="3FF90245"/>
    <w:rsid w:val="401069C0"/>
    <w:rsid w:val="402661E4"/>
    <w:rsid w:val="403D31FE"/>
    <w:rsid w:val="40681CC4"/>
    <w:rsid w:val="40934C22"/>
    <w:rsid w:val="40956EC5"/>
    <w:rsid w:val="411B75F1"/>
    <w:rsid w:val="41344CBB"/>
    <w:rsid w:val="41365A64"/>
    <w:rsid w:val="41B617E9"/>
    <w:rsid w:val="41B732E1"/>
    <w:rsid w:val="41BB6E00"/>
    <w:rsid w:val="41BD21FD"/>
    <w:rsid w:val="41D373E7"/>
    <w:rsid w:val="420662CD"/>
    <w:rsid w:val="420B4097"/>
    <w:rsid w:val="420C765B"/>
    <w:rsid w:val="423665C8"/>
    <w:rsid w:val="42422D16"/>
    <w:rsid w:val="42A04F26"/>
    <w:rsid w:val="42A76C14"/>
    <w:rsid w:val="42CB4E20"/>
    <w:rsid w:val="43014CE6"/>
    <w:rsid w:val="431F35E4"/>
    <w:rsid w:val="43326C4D"/>
    <w:rsid w:val="43AD39B2"/>
    <w:rsid w:val="43AD45B5"/>
    <w:rsid w:val="43BB4E95"/>
    <w:rsid w:val="43D176AE"/>
    <w:rsid w:val="440C6FD6"/>
    <w:rsid w:val="44A616A1"/>
    <w:rsid w:val="44B32010"/>
    <w:rsid w:val="44E872A9"/>
    <w:rsid w:val="44F00B6E"/>
    <w:rsid w:val="45055D27"/>
    <w:rsid w:val="453A003B"/>
    <w:rsid w:val="454245ED"/>
    <w:rsid w:val="454C7865"/>
    <w:rsid w:val="455671E0"/>
    <w:rsid w:val="455821C7"/>
    <w:rsid w:val="45A04342"/>
    <w:rsid w:val="45D514DB"/>
    <w:rsid w:val="45E561F9"/>
    <w:rsid w:val="45EE77A4"/>
    <w:rsid w:val="45F55107"/>
    <w:rsid w:val="46496788"/>
    <w:rsid w:val="46737CA9"/>
    <w:rsid w:val="46814950"/>
    <w:rsid w:val="46961372"/>
    <w:rsid w:val="469D6AD4"/>
    <w:rsid w:val="46AA3B5A"/>
    <w:rsid w:val="46EB5A91"/>
    <w:rsid w:val="470A39C4"/>
    <w:rsid w:val="47351F28"/>
    <w:rsid w:val="474433F3"/>
    <w:rsid w:val="474B7389"/>
    <w:rsid w:val="476D4A6F"/>
    <w:rsid w:val="47C638E4"/>
    <w:rsid w:val="47F46BC7"/>
    <w:rsid w:val="480F3A01"/>
    <w:rsid w:val="481C3FDB"/>
    <w:rsid w:val="482B3223"/>
    <w:rsid w:val="483B59A8"/>
    <w:rsid w:val="48670C67"/>
    <w:rsid w:val="48CD6E00"/>
    <w:rsid w:val="48F52BF7"/>
    <w:rsid w:val="49101069"/>
    <w:rsid w:val="49257B7C"/>
    <w:rsid w:val="492A3D36"/>
    <w:rsid w:val="49310F9E"/>
    <w:rsid w:val="493354CD"/>
    <w:rsid w:val="49892776"/>
    <w:rsid w:val="49995C78"/>
    <w:rsid w:val="49A12900"/>
    <w:rsid w:val="49C31909"/>
    <w:rsid w:val="49D93D12"/>
    <w:rsid w:val="49E35145"/>
    <w:rsid w:val="49F73D09"/>
    <w:rsid w:val="4A0F1A96"/>
    <w:rsid w:val="4A3D2AA8"/>
    <w:rsid w:val="4A4B5855"/>
    <w:rsid w:val="4A5F328E"/>
    <w:rsid w:val="4A8E50B1"/>
    <w:rsid w:val="4AB12B4E"/>
    <w:rsid w:val="4AE6161A"/>
    <w:rsid w:val="4AEC627C"/>
    <w:rsid w:val="4B0B4954"/>
    <w:rsid w:val="4B1B26BD"/>
    <w:rsid w:val="4B410375"/>
    <w:rsid w:val="4B893ACB"/>
    <w:rsid w:val="4BAD3079"/>
    <w:rsid w:val="4BFB58E0"/>
    <w:rsid w:val="4BFF13CD"/>
    <w:rsid w:val="4C105765"/>
    <w:rsid w:val="4C3374A8"/>
    <w:rsid w:val="4C4A14AC"/>
    <w:rsid w:val="4CA512F5"/>
    <w:rsid w:val="4CB3411B"/>
    <w:rsid w:val="4CC22177"/>
    <w:rsid w:val="4CD9509C"/>
    <w:rsid w:val="4CE30FB8"/>
    <w:rsid w:val="4CE40C5A"/>
    <w:rsid w:val="4CF33B00"/>
    <w:rsid w:val="4CF65190"/>
    <w:rsid w:val="4D7A49A9"/>
    <w:rsid w:val="4D8C4113"/>
    <w:rsid w:val="4DAB53CD"/>
    <w:rsid w:val="4DC808DA"/>
    <w:rsid w:val="4E1E499E"/>
    <w:rsid w:val="4E232CAE"/>
    <w:rsid w:val="4E8547F9"/>
    <w:rsid w:val="4EAA7909"/>
    <w:rsid w:val="4EBE4208"/>
    <w:rsid w:val="4EC54E1A"/>
    <w:rsid w:val="4EF676C9"/>
    <w:rsid w:val="4EFB083B"/>
    <w:rsid w:val="4F075432"/>
    <w:rsid w:val="4F363F69"/>
    <w:rsid w:val="4F4E0A26"/>
    <w:rsid w:val="4F7B06C7"/>
    <w:rsid w:val="4FA71C96"/>
    <w:rsid w:val="4FD03A76"/>
    <w:rsid w:val="4FE90E87"/>
    <w:rsid w:val="4FEB2100"/>
    <w:rsid w:val="501C4E71"/>
    <w:rsid w:val="501E2A33"/>
    <w:rsid w:val="50770396"/>
    <w:rsid w:val="50956E70"/>
    <w:rsid w:val="50A53155"/>
    <w:rsid w:val="50D003F1"/>
    <w:rsid w:val="50E64F8A"/>
    <w:rsid w:val="51616410"/>
    <w:rsid w:val="518C60C3"/>
    <w:rsid w:val="51A46F68"/>
    <w:rsid w:val="51E1554A"/>
    <w:rsid w:val="51E62634"/>
    <w:rsid w:val="52974D1F"/>
    <w:rsid w:val="529A65BD"/>
    <w:rsid w:val="52A82BE3"/>
    <w:rsid w:val="52CF42E8"/>
    <w:rsid w:val="52EA4E4F"/>
    <w:rsid w:val="52EB59D1"/>
    <w:rsid w:val="52F83A10"/>
    <w:rsid w:val="53034162"/>
    <w:rsid w:val="531B14AC"/>
    <w:rsid w:val="5320237B"/>
    <w:rsid w:val="536F35A6"/>
    <w:rsid w:val="53AB0A82"/>
    <w:rsid w:val="53BB0D36"/>
    <w:rsid w:val="53F65A75"/>
    <w:rsid w:val="540C57EF"/>
    <w:rsid w:val="54453F2B"/>
    <w:rsid w:val="5467032C"/>
    <w:rsid w:val="54C622E6"/>
    <w:rsid w:val="54CF07A0"/>
    <w:rsid w:val="551F1D4C"/>
    <w:rsid w:val="5527238A"/>
    <w:rsid w:val="55577DBB"/>
    <w:rsid w:val="555B1325"/>
    <w:rsid w:val="558D0514"/>
    <w:rsid w:val="558F1CDD"/>
    <w:rsid w:val="55E86066"/>
    <w:rsid w:val="55F764CC"/>
    <w:rsid w:val="560D47C6"/>
    <w:rsid w:val="561225E1"/>
    <w:rsid w:val="561C5C67"/>
    <w:rsid w:val="563C1E65"/>
    <w:rsid w:val="5641747C"/>
    <w:rsid w:val="56463E1B"/>
    <w:rsid w:val="567333AD"/>
    <w:rsid w:val="567710EF"/>
    <w:rsid w:val="569752EE"/>
    <w:rsid w:val="56981066"/>
    <w:rsid w:val="56A025C8"/>
    <w:rsid w:val="56B80869"/>
    <w:rsid w:val="56BE7211"/>
    <w:rsid w:val="56E12A50"/>
    <w:rsid w:val="570F6B2B"/>
    <w:rsid w:val="57203535"/>
    <w:rsid w:val="57514294"/>
    <w:rsid w:val="57EC3417"/>
    <w:rsid w:val="580A2D72"/>
    <w:rsid w:val="583A2A5A"/>
    <w:rsid w:val="583B363E"/>
    <w:rsid w:val="58602F7F"/>
    <w:rsid w:val="58627B7D"/>
    <w:rsid w:val="58673CD3"/>
    <w:rsid w:val="58787EF6"/>
    <w:rsid w:val="589673C0"/>
    <w:rsid w:val="58BF6D7E"/>
    <w:rsid w:val="58DF2C00"/>
    <w:rsid w:val="58F91580"/>
    <w:rsid w:val="592F5CB1"/>
    <w:rsid w:val="594D7729"/>
    <w:rsid w:val="594E1447"/>
    <w:rsid w:val="595F579F"/>
    <w:rsid w:val="596671F9"/>
    <w:rsid w:val="597817D1"/>
    <w:rsid w:val="59CB6F88"/>
    <w:rsid w:val="59EE7ECF"/>
    <w:rsid w:val="59F6057D"/>
    <w:rsid w:val="5A274361"/>
    <w:rsid w:val="5A3966BC"/>
    <w:rsid w:val="5A623E64"/>
    <w:rsid w:val="5A6A303D"/>
    <w:rsid w:val="5A8042EB"/>
    <w:rsid w:val="5A941811"/>
    <w:rsid w:val="5A945082"/>
    <w:rsid w:val="5B0942E0"/>
    <w:rsid w:val="5B3435CC"/>
    <w:rsid w:val="5B4C321E"/>
    <w:rsid w:val="5B8D3687"/>
    <w:rsid w:val="5B9B5880"/>
    <w:rsid w:val="5BB26726"/>
    <w:rsid w:val="5BBD57F6"/>
    <w:rsid w:val="5BCF594D"/>
    <w:rsid w:val="5BF84B26"/>
    <w:rsid w:val="5C0D4B2D"/>
    <w:rsid w:val="5C1F17B5"/>
    <w:rsid w:val="5C643EC4"/>
    <w:rsid w:val="5C980EC6"/>
    <w:rsid w:val="5CB779A8"/>
    <w:rsid w:val="5CBC3D00"/>
    <w:rsid w:val="5CF76AE6"/>
    <w:rsid w:val="5CFC40FC"/>
    <w:rsid w:val="5D017965"/>
    <w:rsid w:val="5D191FA0"/>
    <w:rsid w:val="5D3970FE"/>
    <w:rsid w:val="5D5C19F4"/>
    <w:rsid w:val="5D83481E"/>
    <w:rsid w:val="5D8608A2"/>
    <w:rsid w:val="5DAF4A48"/>
    <w:rsid w:val="5DB447FB"/>
    <w:rsid w:val="5DCB3ACF"/>
    <w:rsid w:val="5DD221C2"/>
    <w:rsid w:val="5DD5494D"/>
    <w:rsid w:val="5DE115BB"/>
    <w:rsid w:val="5DE66B5A"/>
    <w:rsid w:val="5DFE5C52"/>
    <w:rsid w:val="5E2A0B22"/>
    <w:rsid w:val="5E435D5B"/>
    <w:rsid w:val="5E761C8C"/>
    <w:rsid w:val="5E7D4589"/>
    <w:rsid w:val="5EDD3F73"/>
    <w:rsid w:val="5EF06393"/>
    <w:rsid w:val="5F606CE0"/>
    <w:rsid w:val="5F9525E6"/>
    <w:rsid w:val="5F9767AF"/>
    <w:rsid w:val="5FDC6467"/>
    <w:rsid w:val="5FE570CA"/>
    <w:rsid w:val="5FEE0134"/>
    <w:rsid w:val="60114363"/>
    <w:rsid w:val="602E6D7A"/>
    <w:rsid w:val="602F09BF"/>
    <w:rsid w:val="604C0EF7"/>
    <w:rsid w:val="60593614"/>
    <w:rsid w:val="606D7C81"/>
    <w:rsid w:val="609B59DA"/>
    <w:rsid w:val="60AD570E"/>
    <w:rsid w:val="60C90799"/>
    <w:rsid w:val="60D31618"/>
    <w:rsid w:val="61227EAA"/>
    <w:rsid w:val="612960CC"/>
    <w:rsid w:val="61707D50"/>
    <w:rsid w:val="61824FF8"/>
    <w:rsid w:val="61905628"/>
    <w:rsid w:val="6191084A"/>
    <w:rsid w:val="61C06A2B"/>
    <w:rsid w:val="61FE7967"/>
    <w:rsid w:val="62117360"/>
    <w:rsid w:val="62252846"/>
    <w:rsid w:val="62642977"/>
    <w:rsid w:val="6280105E"/>
    <w:rsid w:val="62966EB6"/>
    <w:rsid w:val="63172DD0"/>
    <w:rsid w:val="632E0D88"/>
    <w:rsid w:val="63365E8E"/>
    <w:rsid w:val="63442359"/>
    <w:rsid w:val="63495BC1"/>
    <w:rsid w:val="634B193A"/>
    <w:rsid w:val="63B6408F"/>
    <w:rsid w:val="63C65464"/>
    <w:rsid w:val="63C96D02"/>
    <w:rsid w:val="64090F30"/>
    <w:rsid w:val="64306D81"/>
    <w:rsid w:val="643A0656"/>
    <w:rsid w:val="645962D8"/>
    <w:rsid w:val="6473153B"/>
    <w:rsid w:val="64760C38"/>
    <w:rsid w:val="649410BE"/>
    <w:rsid w:val="65071890"/>
    <w:rsid w:val="650C50F9"/>
    <w:rsid w:val="65202952"/>
    <w:rsid w:val="65476131"/>
    <w:rsid w:val="656C4C34"/>
    <w:rsid w:val="65717652"/>
    <w:rsid w:val="65953340"/>
    <w:rsid w:val="659F72AD"/>
    <w:rsid w:val="659F7E29"/>
    <w:rsid w:val="65BF660F"/>
    <w:rsid w:val="65C37EAD"/>
    <w:rsid w:val="65DF4A7E"/>
    <w:rsid w:val="65E46075"/>
    <w:rsid w:val="6655487D"/>
    <w:rsid w:val="66783F59"/>
    <w:rsid w:val="66911D59"/>
    <w:rsid w:val="66990C0E"/>
    <w:rsid w:val="66A01F9C"/>
    <w:rsid w:val="66A51361"/>
    <w:rsid w:val="66CC0FE3"/>
    <w:rsid w:val="66CC37D7"/>
    <w:rsid w:val="66D02156"/>
    <w:rsid w:val="66D17C84"/>
    <w:rsid w:val="66E24DBE"/>
    <w:rsid w:val="6723497B"/>
    <w:rsid w:val="673F1653"/>
    <w:rsid w:val="675E1F11"/>
    <w:rsid w:val="677E0D31"/>
    <w:rsid w:val="6793565D"/>
    <w:rsid w:val="67967D6E"/>
    <w:rsid w:val="67D363A2"/>
    <w:rsid w:val="67DF3FC4"/>
    <w:rsid w:val="68004FFF"/>
    <w:rsid w:val="682D4CF3"/>
    <w:rsid w:val="684921C0"/>
    <w:rsid w:val="68686A5B"/>
    <w:rsid w:val="6875280B"/>
    <w:rsid w:val="68E310EF"/>
    <w:rsid w:val="69012A9A"/>
    <w:rsid w:val="690F51B7"/>
    <w:rsid w:val="69132EFA"/>
    <w:rsid w:val="69196036"/>
    <w:rsid w:val="692D406A"/>
    <w:rsid w:val="69531548"/>
    <w:rsid w:val="6978328D"/>
    <w:rsid w:val="69971724"/>
    <w:rsid w:val="69B17AA6"/>
    <w:rsid w:val="69BE66F3"/>
    <w:rsid w:val="6A1A6AD6"/>
    <w:rsid w:val="6A220C3A"/>
    <w:rsid w:val="6A222CC8"/>
    <w:rsid w:val="6A257F8C"/>
    <w:rsid w:val="6A70612A"/>
    <w:rsid w:val="6A855EE0"/>
    <w:rsid w:val="6A883473"/>
    <w:rsid w:val="6ACA198E"/>
    <w:rsid w:val="6AF01018"/>
    <w:rsid w:val="6B180CA7"/>
    <w:rsid w:val="6B4B49A8"/>
    <w:rsid w:val="6B5C045C"/>
    <w:rsid w:val="6B80239C"/>
    <w:rsid w:val="6B854620"/>
    <w:rsid w:val="6B9320D0"/>
    <w:rsid w:val="6BBA1B4A"/>
    <w:rsid w:val="6BBD714D"/>
    <w:rsid w:val="6BD95BF8"/>
    <w:rsid w:val="6BF863D7"/>
    <w:rsid w:val="6BFF05CF"/>
    <w:rsid w:val="6C132E5F"/>
    <w:rsid w:val="6C4055CC"/>
    <w:rsid w:val="6C5569FB"/>
    <w:rsid w:val="6C9D0D2C"/>
    <w:rsid w:val="6CC60283"/>
    <w:rsid w:val="6CD718D0"/>
    <w:rsid w:val="6CDE411D"/>
    <w:rsid w:val="6CE348FB"/>
    <w:rsid w:val="6D033285"/>
    <w:rsid w:val="6D2531FB"/>
    <w:rsid w:val="6D390A55"/>
    <w:rsid w:val="6DF26D1E"/>
    <w:rsid w:val="6E104455"/>
    <w:rsid w:val="6E1F40EF"/>
    <w:rsid w:val="6E2039C3"/>
    <w:rsid w:val="6E2D7E2A"/>
    <w:rsid w:val="6E4A278A"/>
    <w:rsid w:val="6E5122D2"/>
    <w:rsid w:val="6E7322B5"/>
    <w:rsid w:val="6E8912E4"/>
    <w:rsid w:val="6E9A3775"/>
    <w:rsid w:val="6EBD1212"/>
    <w:rsid w:val="6EC631BF"/>
    <w:rsid w:val="6EEB3FD1"/>
    <w:rsid w:val="6EFF5CCE"/>
    <w:rsid w:val="6F0C3D55"/>
    <w:rsid w:val="6F0C7D4D"/>
    <w:rsid w:val="6F0F5F11"/>
    <w:rsid w:val="6F435BBB"/>
    <w:rsid w:val="6F460A9E"/>
    <w:rsid w:val="6F573414"/>
    <w:rsid w:val="6F8C7562"/>
    <w:rsid w:val="6FD33957"/>
    <w:rsid w:val="6FFF4B98"/>
    <w:rsid w:val="701E3050"/>
    <w:rsid w:val="70485CE6"/>
    <w:rsid w:val="708446DD"/>
    <w:rsid w:val="70C109DF"/>
    <w:rsid w:val="70DD3DED"/>
    <w:rsid w:val="70E26D27"/>
    <w:rsid w:val="710B44B6"/>
    <w:rsid w:val="712F7C44"/>
    <w:rsid w:val="71594B6E"/>
    <w:rsid w:val="716222BC"/>
    <w:rsid w:val="7197047A"/>
    <w:rsid w:val="71C01745"/>
    <w:rsid w:val="71CF3B70"/>
    <w:rsid w:val="71D50007"/>
    <w:rsid w:val="71DC7167"/>
    <w:rsid w:val="71F64540"/>
    <w:rsid w:val="72141AF4"/>
    <w:rsid w:val="72252C36"/>
    <w:rsid w:val="722717C4"/>
    <w:rsid w:val="72620A4E"/>
    <w:rsid w:val="72A42E14"/>
    <w:rsid w:val="72B62B48"/>
    <w:rsid w:val="72BB30EA"/>
    <w:rsid w:val="72BD3ED6"/>
    <w:rsid w:val="72D37256"/>
    <w:rsid w:val="72DB435C"/>
    <w:rsid w:val="730E64E0"/>
    <w:rsid w:val="73102258"/>
    <w:rsid w:val="73117D7E"/>
    <w:rsid w:val="73571C35"/>
    <w:rsid w:val="73753308"/>
    <w:rsid w:val="7384668B"/>
    <w:rsid w:val="73C11ECD"/>
    <w:rsid w:val="73E84F83"/>
    <w:rsid w:val="74097E36"/>
    <w:rsid w:val="741144D9"/>
    <w:rsid w:val="744C72C0"/>
    <w:rsid w:val="74CB6B3C"/>
    <w:rsid w:val="74E758D2"/>
    <w:rsid w:val="74EC65E1"/>
    <w:rsid w:val="74FD680C"/>
    <w:rsid w:val="750C6A4F"/>
    <w:rsid w:val="752A4C51"/>
    <w:rsid w:val="75563C1E"/>
    <w:rsid w:val="75CF1CD9"/>
    <w:rsid w:val="75EF29B6"/>
    <w:rsid w:val="761958C7"/>
    <w:rsid w:val="761B6DC9"/>
    <w:rsid w:val="762A4C16"/>
    <w:rsid w:val="76586DD6"/>
    <w:rsid w:val="76CA0970"/>
    <w:rsid w:val="76CF6212"/>
    <w:rsid w:val="76D57A40"/>
    <w:rsid w:val="76DB17CF"/>
    <w:rsid w:val="77087B85"/>
    <w:rsid w:val="77746D80"/>
    <w:rsid w:val="77804327"/>
    <w:rsid w:val="77901BB9"/>
    <w:rsid w:val="77AF64E3"/>
    <w:rsid w:val="77B07B65"/>
    <w:rsid w:val="77F37EF1"/>
    <w:rsid w:val="77F75794"/>
    <w:rsid w:val="784A7FBA"/>
    <w:rsid w:val="784B788E"/>
    <w:rsid w:val="786D45B7"/>
    <w:rsid w:val="78780A48"/>
    <w:rsid w:val="78801C2E"/>
    <w:rsid w:val="78931961"/>
    <w:rsid w:val="789B0A1D"/>
    <w:rsid w:val="78BE16CF"/>
    <w:rsid w:val="79022643"/>
    <w:rsid w:val="790A599B"/>
    <w:rsid w:val="79224A93"/>
    <w:rsid w:val="794A5B85"/>
    <w:rsid w:val="7951649B"/>
    <w:rsid w:val="797C0647"/>
    <w:rsid w:val="798049F2"/>
    <w:rsid w:val="79B06543"/>
    <w:rsid w:val="79B6025F"/>
    <w:rsid w:val="79CF33E4"/>
    <w:rsid w:val="7A4153ED"/>
    <w:rsid w:val="7A477706"/>
    <w:rsid w:val="7A5E1AFB"/>
    <w:rsid w:val="7AA36270"/>
    <w:rsid w:val="7AA86D11"/>
    <w:rsid w:val="7AD324E9"/>
    <w:rsid w:val="7AD922C8"/>
    <w:rsid w:val="7AE2097E"/>
    <w:rsid w:val="7AF11802"/>
    <w:rsid w:val="7B0546E5"/>
    <w:rsid w:val="7B187EFC"/>
    <w:rsid w:val="7B3D50DF"/>
    <w:rsid w:val="7B533629"/>
    <w:rsid w:val="7B8657AD"/>
    <w:rsid w:val="7B8C238D"/>
    <w:rsid w:val="7BA2010D"/>
    <w:rsid w:val="7BDA78A7"/>
    <w:rsid w:val="7BE60871"/>
    <w:rsid w:val="7BE71511"/>
    <w:rsid w:val="7BEC1388"/>
    <w:rsid w:val="7C1D1542"/>
    <w:rsid w:val="7C3945CD"/>
    <w:rsid w:val="7C442F72"/>
    <w:rsid w:val="7C773F28"/>
    <w:rsid w:val="7CD662C0"/>
    <w:rsid w:val="7CFA0D55"/>
    <w:rsid w:val="7D330D12"/>
    <w:rsid w:val="7D6733BC"/>
    <w:rsid w:val="7D80622C"/>
    <w:rsid w:val="7D910439"/>
    <w:rsid w:val="7DCF4ABD"/>
    <w:rsid w:val="7DD86068"/>
    <w:rsid w:val="7DDA6A2B"/>
    <w:rsid w:val="7E565507"/>
    <w:rsid w:val="7E6D4A6E"/>
    <w:rsid w:val="7E77762F"/>
    <w:rsid w:val="7E8358FE"/>
    <w:rsid w:val="7EDE76AE"/>
    <w:rsid w:val="7EEF6839"/>
    <w:rsid w:val="7F0B6CF2"/>
    <w:rsid w:val="7F370B6C"/>
    <w:rsid w:val="7F453289"/>
    <w:rsid w:val="7F511C2E"/>
    <w:rsid w:val="7F7D6EC7"/>
    <w:rsid w:val="7F857B2A"/>
    <w:rsid w:val="7F9E48BA"/>
    <w:rsid w:val="7FAA67E5"/>
    <w:rsid w:val="7FAD4448"/>
    <w:rsid w:val="7FB042D2"/>
    <w:rsid w:val="7FBB179D"/>
    <w:rsid w:val="7FC76394"/>
    <w:rsid w:val="7FEC7BA9"/>
    <w:rsid w:val="7FF750A2"/>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4"/>
    <w:autoRedefine/>
    <w:qFormat/>
    <w:uiPriority w:val="0"/>
    <w:pPr>
      <w:spacing w:beforeAutospacing="1" w:afterAutospacing="1"/>
      <w:jc w:val="left"/>
      <w:outlineLvl w:val="0"/>
    </w:pPr>
    <w:rPr>
      <w:rFonts w:hint="eastAsia" w:ascii="宋体" w:hAnsi="宋体"/>
      <w:b/>
      <w:bCs/>
      <w:kern w:val="44"/>
      <w:sz w:val="48"/>
      <w:szCs w:val="48"/>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b/>
      <w:bCs/>
      <w:kern w:val="0"/>
      <w:sz w:val="36"/>
      <w:szCs w:val="36"/>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4"/>
    <w:basedOn w:val="1"/>
    <w:next w:val="1"/>
    <w:autoRedefine/>
    <w:qFormat/>
    <w:uiPriority w:val="0"/>
    <w:pPr>
      <w:keepNext/>
      <w:keepLines/>
      <w:spacing w:line="372" w:lineRule="auto"/>
      <w:ind w:left="960" w:leftChars="400"/>
      <w:outlineLvl w:val="3"/>
    </w:pPr>
    <w:rPr>
      <w:rFonts w:ascii="Arial" w:hAnsi="Arial" w:eastAsia="黑体"/>
      <w:b/>
    </w:rPr>
  </w:style>
  <w:style w:type="character" w:default="1" w:styleId="20">
    <w:name w:val="Default Paragraph Font"/>
    <w:autoRedefine/>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rPr>
      <w:rFonts w:eastAsia="仿宋"/>
      <w:sz w:val="32"/>
    </w:rPr>
  </w:style>
  <w:style w:type="paragraph" w:styleId="7">
    <w:name w:val="annotation text"/>
    <w:basedOn w:val="1"/>
    <w:link w:val="29"/>
    <w:qFormat/>
    <w:uiPriority w:val="0"/>
    <w:pPr>
      <w:jc w:val="left"/>
    </w:pPr>
  </w:style>
  <w:style w:type="paragraph" w:styleId="8">
    <w:name w:val="Body Text"/>
    <w:basedOn w:val="1"/>
    <w:link w:val="25"/>
    <w:autoRedefine/>
    <w:qFormat/>
    <w:uiPriority w:val="0"/>
    <w:pPr>
      <w:widowControl/>
      <w:spacing w:before="100" w:beforeAutospacing="1" w:after="100" w:afterAutospacing="1"/>
      <w:jc w:val="left"/>
    </w:pPr>
    <w:rPr>
      <w:rFonts w:ascii="宋体" w:hAnsi="宋体" w:cs="宋体"/>
      <w:kern w:val="0"/>
      <w:sz w:val="24"/>
    </w:rPr>
  </w:style>
  <w:style w:type="paragraph" w:styleId="9">
    <w:name w:val="Body Text Indent"/>
    <w:basedOn w:val="1"/>
    <w:next w:val="6"/>
    <w:autoRedefine/>
    <w:qFormat/>
    <w:uiPriority w:val="0"/>
    <w:pPr>
      <w:ind w:left="420" w:leftChars="200"/>
    </w:pPr>
  </w:style>
  <w:style w:type="paragraph" w:styleId="10">
    <w:name w:val="Balloon Text"/>
    <w:basedOn w:val="1"/>
    <w:link w:val="26"/>
    <w:qFormat/>
    <w:uiPriority w:val="0"/>
    <w:rPr>
      <w:sz w:val="18"/>
      <w:szCs w:val="18"/>
    </w:rPr>
  </w:style>
  <w:style w:type="paragraph" w:styleId="11">
    <w:name w:val="footer"/>
    <w:basedOn w:val="1"/>
    <w:qFormat/>
    <w:uiPriority w:val="0"/>
    <w:pPr>
      <w:snapToGrid w:val="0"/>
      <w:jc w:val="left"/>
    </w:pPr>
    <w:rPr>
      <w:sz w:val="18"/>
      <w:szCs w:val="18"/>
    </w:rPr>
  </w:style>
  <w:style w:type="paragraph" w:styleId="12">
    <w:name w:val="header"/>
    <w:basedOn w:val="1"/>
    <w:link w:val="35"/>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style>
  <w:style w:type="paragraph" w:styleId="14">
    <w:name w:val="Normal (Web)"/>
    <w:basedOn w:val="1"/>
    <w:autoRedefine/>
    <w:qFormat/>
    <w:uiPriority w:val="0"/>
    <w:pPr>
      <w:spacing w:beforeAutospacing="1" w:afterAutospacing="1"/>
      <w:jc w:val="left"/>
    </w:pPr>
    <w:rPr>
      <w:kern w:val="0"/>
      <w:sz w:val="24"/>
    </w:rPr>
  </w:style>
  <w:style w:type="paragraph" w:styleId="15">
    <w:name w:val="annotation subject"/>
    <w:basedOn w:val="7"/>
    <w:next w:val="7"/>
    <w:link w:val="30"/>
    <w:autoRedefine/>
    <w:qFormat/>
    <w:uiPriority w:val="0"/>
    <w:rPr>
      <w:b/>
      <w:bCs/>
    </w:rPr>
  </w:style>
  <w:style w:type="paragraph" w:styleId="16">
    <w:name w:val="Body Text First Indent"/>
    <w:basedOn w:val="8"/>
    <w:link w:val="27"/>
    <w:qFormat/>
    <w:uiPriority w:val="0"/>
    <w:pPr>
      <w:widowControl w:val="0"/>
      <w:spacing w:before="0" w:beforeAutospacing="0" w:after="120" w:afterAutospacing="0"/>
      <w:ind w:firstLine="420" w:firstLineChars="100"/>
      <w:jc w:val="both"/>
    </w:pPr>
    <w:rPr>
      <w:rFonts w:ascii="Calibri" w:hAnsi="Calibri" w:cs="Times New Roman"/>
      <w:kern w:val="2"/>
      <w:sz w:val="21"/>
    </w:rPr>
  </w:style>
  <w:style w:type="paragraph" w:styleId="17">
    <w:name w:val="Body Text First Indent 2"/>
    <w:basedOn w:val="9"/>
    <w:next w:val="1"/>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character" w:styleId="22">
    <w:name w:val="Hyperlink"/>
    <w:basedOn w:val="20"/>
    <w:autoRedefine/>
    <w:unhideWhenUsed/>
    <w:qFormat/>
    <w:uiPriority w:val="99"/>
    <w:rPr>
      <w:color w:val="0563C1"/>
      <w:u w:val="single"/>
    </w:rPr>
  </w:style>
  <w:style w:type="character" w:styleId="23">
    <w:name w:val="annotation reference"/>
    <w:basedOn w:val="20"/>
    <w:autoRedefine/>
    <w:qFormat/>
    <w:uiPriority w:val="0"/>
    <w:rPr>
      <w:sz w:val="21"/>
      <w:szCs w:val="21"/>
    </w:rPr>
  </w:style>
  <w:style w:type="character" w:customStyle="1" w:styleId="24">
    <w:name w:val="标题 1 字符"/>
    <w:link w:val="2"/>
    <w:autoRedefine/>
    <w:qFormat/>
    <w:uiPriority w:val="0"/>
    <w:rPr>
      <w:rFonts w:hint="eastAsia" w:ascii="宋体" w:hAnsi="宋体" w:eastAsia="宋体" w:cs="Times New Roman"/>
      <w:b/>
      <w:bCs/>
      <w:kern w:val="44"/>
      <w:sz w:val="48"/>
      <w:szCs w:val="48"/>
    </w:rPr>
  </w:style>
  <w:style w:type="character" w:customStyle="1" w:styleId="25">
    <w:name w:val="正文文本 字符"/>
    <w:basedOn w:val="20"/>
    <w:link w:val="8"/>
    <w:autoRedefine/>
    <w:qFormat/>
    <w:uiPriority w:val="0"/>
    <w:rPr>
      <w:rFonts w:ascii="宋体" w:hAnsi="宋体" w:eastAsia="宋体" w:cs="宋体"/>
      <w:sz w:val="24"/>
      <w:szCs w:val="24"/>
    </w:rPr>
  </w:style>
  <w:style w:type="character" w:customStyle="1" w:styleId="26">
    <w:name w:val="批注框文本 字符"/>
    <w:basedOn w:val="20"/>
    <w:link w:val="10"/>
    <w:autoRedefine/>
    <w:qFormat/>
    <w:uiPriority w:val="0"/>
    <w:rPr>
      <w:rFonts w:ascii="Calibri" w:hAnsi="Calibri" w:eastAsia="宋体" w:cs="Times New Roman"/>
      <w:kern w:val="2"/>
      <w:sz w:val="18"/>
      <w:szCs w:val="18"/>
    </w:rPr>
  </w:style>
  <w:style w:type="character" w:customStyle="1" w:styleId="27">
    <w:name w:val="正文文本首行缩进 字符"/>
    <w:basedOn w:val="25"/>
    <w:link w:val="16"/>
    <w:autoRedefine/>
    <w:qFormat/>
    <w:uiPriority w:val="0"/>
    <w:rPr>
      <w:rFonts w:ascii="宋体" w:hAnsi="宋体" w:eastAsia="宋体" w:cs="宋体"/>
      <w:sz w:val="24"/>
      <w:szCs w:val="24"/>
    </w:rPr>
  </w:style>
  <w:style w:type="character" w:customStyle="1" w:styleId="28">
    <w:name w:val="font11"/>
    <w:basedOn w:val="20"/>
    <w:autoRedefine/>
    <w:qFormat/>
    <w:uiPriority w:val="0"/>
    <w:rPr>
      <w:rFonts w:hint="eastAsia" w:ascii="仿宋" w:hAnsi="仿宋" w:eastAsia="仿宋" w:cs="仿宋"/>
      <w:color w:val="000000"/>
      <w:sz w:val="28"/>
      <w:szCs w:val="28"/>
      <w:u w:val="none"/>
    </w:rPr>
  </w:style>
  <w:style w:type="character" w:customStyle="1" w:styleId="29">
    <w:name w:val="批注文字 字符"/>
    <w:basedOn w:val="20"/>
    <w:link w:val="7"/>
    <w:autoRedefine/>
    <w:qFormat/>
    <w:uiPriority w:val="0"/>
    <w:rPr>
      <w:rFonts w:ascii="Calibri" w:hAnsi="Calibri"/>
      <w:kern w:val="2"/>
      <w:sz w:val="21"/>
      <w:szCs w:val="24"/>
    </w:rPr>
  </w:style>
  <w:style w:type="character" w:customStyle="1" w:styleId="30">
    <w:name w:val="批注主题 字符"/>
    <w:basedOn w:val="29"/>
    <w:link w:val="15"/>
    <w:autoRedefine/>
    <w:qFormat/>
    <w:uiPriority w:val="0"/>
    <w:rPr>
      <w:rFonts w:ascii="Calibri" w:hAnsi="Calibri"/>
      <w:b/>
      <w:bCs/>
      <w:kern w:val="2"/>
      <w:sz w:val="21"/>
      <w:szCs w:val="24"/>
    </w:rPr>
  </w:style>
  <w:style w:type="paragraph" w:customStyle="1" w:styleId="31">
    <w:name w:val="修订1"/>
    <w:hidden/>
    <w:semiHidden/>
    <w:qFormat/>
    <w:uiPriority w:val="99"/>
    <w:rPr>
      <w:rFonts w:ascii="Calibri" w:hAnsi="Calibri" w:eastAsia="宋体" w:cs="Times New Roman"/>
      <w:kern w:val="2"/>
      <w:sz w:val="21"/>
      <w:szCs w:val="24"/>
      <w:lang w:val="en-US" w:eastAsia="zh-CN" w:bidi="ar-SA"/>
    </w:rPr>
  </w:style>
  <w:style w:type="character" w:customStyle="1" w:styleId="32">
    <w:name w:val="font21"/>
    <w:basedOn w:val="20"/>
    <w:autoRedefine/>
    <w:qFormat/>
    <w:uiPriority w:val="0"/>
    <w:rPr>
      <w:rFonts w:hint="eastAsia" w:ascii="仿宋" w:hAnsi="仿宋" w:eastAsia="仿宋" w:cs="仿宋"/>
      <w:color w:val="000000"/>
      <w:sz w:val="28"/>
      <w:szCs w:val="28"/>
      <w:u w:val="none"/>
    </w:rPr>
  </w:style>
  <w:style w:type="character" w:customStyle="1" w:styleId="33">
    <w:name w:val="font41"/>
    <w:basedOn w:val="20"/>
    <w:qFormat/>
    <w:uiPriority w:val="0"/>
    <w:rPr>
      <w:rFonts w:hint="eastAsia" w:ascii="宋体" w:hAnsi="宋体" w:eastAsia="宋体" w:cs="宋体"/>
      <w:color w:val="000000"/>
      <w:sz w:val="24"/>
      <w:szCs w:val="24"/>
      <w:u w:val="none"/>
    </w:rPr>
  </w:style>
  <w:style w:type="character" w:customStyle="1" w:styleId="34">
    <w:name w:val="font31"/>
    <w:basedOn w:val="20"/>
    <w:qFormat/>
    <w:uiPriority w:val="0"/>
    <w:rPr>
      <w:rFonts w:hint="eastAsia" w:ascii="宋体" w:hAnsi="宋体" w:eastAsia="宋体" w:cs="宋体"/>
      <w:color w:val="000000"/>
      <w:sz w:val="24"/>
      <w:szCs w:val="24"/>
      <w:u w:val="none"/>
    </w:rPr>
  </w:style>
  <w:style w:type="character" w:customStyle="1" w:styleId="35">
    <w:name w:val="页眉 字符"/>
    <w:link w:val="12"/>
    <w:qFormat/>
    <w:uiPriority w:val="99"/>
    <w:rPr>
      <w:rFonts w:ascii="Calibri" w:hAnsi="Calibri"/>
      <w:kern w:val="2"/>
      <w:sz w:val="18"/>
      <w:szCs w:val="24"/>
    </w:rPr>
  </w:style>
  <w:style w:type="character" w:customStyle="1" w:styleId="36">
    <w:name w:val="font61"/>
    <w:basedOn w:val="20"/>
    <w:qFormat/>
    <w:uiPriority w:val="0"/>
    <w:rPr>
      <w:rFonts w:hint="eastAsia" w:ascii="宋体" w:hAnsi="宋体" w:eastAsia="宋体" w:cs="宋体"/>
      <w:color w:val="000000"/>
      <w:sz w:val="18"/>
      <w:szCs w:val="18"/>
      <w:u w:val="none"/>
    </w:rPr>
  </w:style>
  <w:style w:type="character" w:customStyle="1" w:styleId="37">
    <w:name w:val="font01"/>
    <w:basedOn w:val="20"/>
    <w:uiPriority w:val="0"/>
    <w:rPr>
      <w:rFonts w:ascii="Arial" w:hAnsi="Arial" w:cs="Arial"/>
      <w:color w:val="000000"/>
      <w:sz w:val="20"/>
      <w:szCs w:val="20"/>
      <w:u w:val="none"/>
    </w:rPr>
  </w:style>
  <w:style w:type="character" w:customStyle="1" w:styleId="38">
    <w:name w:val="font71"/>
    <w:basedOn w:val="20"/>
    <w:qFormat/>
    <w:uiPriority w:val="0"/>
    <w:rPr>
      <w:rFonts w:hint="eastAsia" w:ascii="宋体" w:hAnsi="宋体" w:eastAsia="宋体" w:cs="宋体"/>
      <w:color w:val="000000"/>
      <w:sz w:val="20"/>
      <w:szCs w:val="20"/>
      <w:u w:val="none"/>
    </w:rPr>
  </w:style>
  <w:style w:type="character" w:customStyle="1" w:styleId="39">
    <w:name w:val="font112"/>
    <w:basedOn w:val="20"/>
    <w:qFormat/>
    <w:uiPriority w:val="0"/>
    <w:rPr>
      <w:rFonts w:hint="default" w:ascii="Times New Roman" w:hAnsi="Times New Roman" w:cs="Times New Roman"/>
      <w:color w:val="000000"/>
      <w:sz w:val="18"/>
      <w:szCs w:val="18"/>
      <w:u w:val="none"/>
    </w:rPr>
  </w:style>
  <w:style w:type="character" w:customStyle="1" w:styleId="40">
    <w:name w:val="font121"/>
    <w:basedOn w:val="20"/>
    <w:uiPriority w:val="0"/>
    <w:rPr>
      <w:rFonts w:hint="default" w:ascii="Times New Roman" w:hAnsi="Times New Roman" w:cs="Times New Roman"/>
      <w:color w:val="000000"/>
      <w:sz w:val="20"/>
      <w:szCs w:val="20"/>
      <w:u w:val="none"/>
    </w:rPr>
  </w:style>
  <w:style w:type="character" w:customStyle="1" w:styleId="41">
    <w:name w:val="font81"/>
    <w:basedOn w:val="20"/>
    <w:uiPriority w:val="0"/>
    <w:rPr>
      <w:rFonts w:hint="eastAsia" w:ascii="宋体" w:hAnsi="宋体" w:eastAsia="宋体" w:cs="宋体"/>
      <w:color w:val="000000"/>
      <w:sz w:val="18"/>
      <w:szCs w:val="18"/>
      <w:u w:val="none"/>
    </w:rPr>
  </w:style>
  <w:style w:type="character" w:customStyle="1" w:styleId="42">
    <w:name w:val="font131"/>
    <w:basedOn w:val="20"/>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FEB50D-C0D5-4437-BEA1-C4D727BE1ED3}">
  <ds:schemaRefs/>
</ds:datastoreItem>
</file>

<file path=docProps/app.xml><?xml version="1.0" encoding="utf-8"?>
<Properties xmlns="http://schemas.openxmlformats.org/officeDocument/2006/extended-properties" xmlns:vt="http://schemas.openxmlformats.org/officeDocument/2006/docPropsVTypes">
  <Template>Normal</Template>
  <Pages>33</Pages>
  <Words>12208</Words>
  <Characters>13408</Characters>
  <Lines>139</Lines>
  <Paragraphs>39</Paragraphs>
  <TotalTime>17</TotalTime>
  <ScaleCrop>false</ScaleCrop>
  <LinksUpToDate>false</LinksUpToDate>
  <CharactersWithSpaces>13718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2022-07-13T04:05:00Z</dcterms:created>
  <dc:creator>Administrator</dc:creator>
  <cp:lastModifiedBy>周玉洁</cp:lastModifiedBy>
  <cp:lastPrinted>2022-07-13T04:47:00Z</cp:lastPrinted>
  <dcterms:modified xsi:type="dcterms:W3CDTF">2024-10-31T01:21:02Z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D24BD00C28F44327A1A6620C3DB83A5C_13</vt:lpwstr>
  </property>
</Properties>
</file>