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
          <w:bCs w:val="0"/>
          <w:sz w:val="36"/>
          <w:szCs w:val="36"/>
          <w:highlight w:val="none"/>
          <w:lang w:val="en-US" w:eastAsia="zh-CN"/>
        </w:rPr>
      </w:pPr>
    </w:p>
    <w:p>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
          <w:bCs w:val="0"/>
          <w:sz w:val="36"/>
          <w:szCs w:val="36"/>
          <w:highlight w:val="none"/>
          <w:lang w:val="en-US" w:eastAsia="zh-CN"/>
        </w:rPr>
      </w:pPr>
      <w:r>
        <w:rPr>
          <w:rFonts w:hint="eastAsia" w:ascii="仿宋" w:hAnsi="仿宋" w:eastAsia="仿宋" w:cs="仿宋"/>
          <w:b/>
          <w:bCs w:val="0"/>
          <w:sz w:val="36"/>
          <w:szCs w:val="36"/>
          <w:highlight w:val="none"/>
          <w:lang w:val="en-US" w:eastAsia="zh-CN"/>
        </w:rPr>
        <w:t>阳新县城区市政设施智慧化升级利用</w:t>
      </w:r>
    </w:p>
    <w:p>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
          <w:bCs w:val="0"/>
          <w:sz w:val="36"/>
          <w:szCs w:val="36"/>
          <w:highlight w:val="none"/>
          <w:lang w:val="en-US" w:eastAsia="zh-CN"/>
        </w:rPr>
      </w:pPr>
    </w:p>
    <w:p>
      <w:pPr>
        <w:keepNext w:val="0"/>
        <w:keepLines w:val="0"/>
        <w:pageBreakBefore w:val="0"/>
        <w:kinsoku/>
        <w:wordWrap/>
        <w:overflowPunct/>
        <w:topLinePunct w:val="0"/>
        <w:autoSpaceDE/>
        <w:autoSpaceDN/>
        <w:bidi w:val="0"/>
        <w:adjustRightInd/>
        <w:snapToGrid/>
        <w:spacing w:line="560" w:lineRule="exact"/>
        <w:jc w:val="center"/>
        <w:rPr>
          <w:rFonts w:hint="eastAsia" w:ascii="仿宋" w:hAnsi="仿宋" w:eastAsia="仿宋" w:cs="仿宋"/>
          <w:b/>
          <w:sz w:val="36"/>
          <w:szCs w:val="36"/>
          <w:highlight w:val="none"/>
          <w:lang w:val="en-US" w:eastAsia="zh-CN"/>
        </w:rPr>
      </w:pPr>
      <w:r>
        <w:rPr>
          <w:rFonts w:hint="eastAsia" w:ascii="仿宋" w:hAnsi="仿宋" w:eastAsia="仿宋" w:cs="仿宋"/>
          <w:b/>
          <w:bCs w:val="0"/>
          <w:sz w:val="36"/>
          <w:szCs w:val="36"/>
          <w:highlight w:val="none"/>
          <w:lang w:val="en-US" w:eastAsia="zh-CN"/>
        </w:rPr>
        <w:t>建设项目</w:t>
      </w:r>
      <w:r>
        <w:rPr>
          <w:rFonts w:hint="eastAsia" w:ascii="仿宋" w:hAnsi="仿宋" w:eastAsia="仿宋" w:cs="仿宋"/>
          <w:b/>
          <w:sz w:val="36"/>
          <w:szCs w:val="36"/>
          <w:highlight w:val="none"/>
          <w:lang w:val="en-US" w:eastAsia="zh-CN"/>
        </w:rPr>
        <w:t>绩效评价报告</w:t>
      </w:r>
    </w:p>
    <w:p>
      <w:pPr>
        <w:pStyle w:val="5"/>
        <w:rPr>
          <w:rFonts w:hint="eastAsia" w:ascii="仿宋" w:hAnsi="仿宋" w:eastAsia="仿宋" w:cs="仿宋"/>
          <w:b/>
          <w:sz w:val="36"/>
          <w:szCs w:val="36"/>
          <w:highlight w:val="none"/>
          <w:lang w:val="en-US" w:eastAsia="zh-CN"/>
        </w:rPr>
      </w:pPr>
    </w:p>
    <w:p>
      <w:pPr>
        <w:pStyle w:val="5"/>
        <w:rPr>
          <w:rFonts w:hint="default"/>
          <w:lang w:val="en-US" w:eastAsia="zh-CN"/>
        </w:rPr>
      </w:pPr>
      <w:r>
        <w:rPr>
          <w:rFonts w:hint="eastAsia" w:ascii="仿宋" w:hAnsi="仿宋" w:eastAsia="仿宋" w:cs="仿宋"/>
          <w:b/>
          <w:sz w:val="36"/>
          <w:szCs w:val="36"/>
          <w:highlight w:val="none"/>
          <w:lang w:val="en-US" w:eastAsia="zh-CN"/>
        </w:rPr>
        <w:t>（简略版）</w:t>
      </w:r>
    </w:p>
    <w:p>
      <w:pPr>
        <w:pStyle w:val="5"/>
        <w:keepNext w:val="0"/>
        <w:keepLines w:val="0"/>
        <w:pageBreakBefore w:val="0"/>
        <w:kinsoku/>
        <w:wordWrap/>
        <w:overflowPunct/>
        <w:topLinePunct w:val="0"/>
        <w:autoSpaceDE/>
        <w:autoSpaceDN/>
        <w:bidi w:val="0"/>
        <w:adjustRightInd/>
        <w:snapToGrid/>
        <w:spacing w:line="560" w:lineRule="exact"/>
        <w:ind w:firstLine="632" w:firstLineChars="200"/>
        <w:rPr>
          <w:rFonts w:hint="eastAsia" w:ascii="仿宋" w:hAnsi="仿宋" w:eastAsia="仿宋" w:cs="仿宋"/>
          <w:b/>
          <w:sz w:val="32"/>
          <w:szCs w:val="32"/>
          <w:highlight w:val="none"/>
          <w:lang w:val="en-US" w:eastAsia="zh-CN"/>
        </w:rPr>
      </w:pPr>
    </w:p>
    <w:p>
      <w:pPr>
        <w:pStyle w:val="5"/>
        <w:keepNext w:val="0"/>
        <w:keepLines w:val="0"/>
        <w:pageBreakBefore w:val="0"/>
        <w:kinsoku/>
        <w:wordWrap/>
        <w:overflowPunct/>
        <w:topLinePunct w:val="0"/>
        <w:autoSpaceDE/>
        <w:autoSpaceDN/>
        <w:bidi w:val="0"/>
        <w:adjustRightInd/>
        <w:snapToGrid/>
        <w:spacing w:line="560" w:lineRule="exact"/>
        <w:ind w:firstLine="632" w:firstLineChars="200"/>
        <w:rPr>
          <w:rFonts w:hint="eastAsia" w:ascii="仿宋" w:hAnsi="仿宋" w:eastAsia="仿宋" w:cs="仿宋"/>
          <w:b/>
          <w:sz w:val="32"/>
          <w:szCs w:val="32"/>
          <w:highlight w:val="none"/>
          <w:lang w:val="en-US" w:eastAsia="zh-CN"/>
        </w:rPr>
      </w:pPr>
    </w:p>
    <w:p>
      <w:pPr>
        <w:pStyle w:val="5"/>
        <w:keepNext w:val="0"/>
        <w:keepLines w:val="0"/>
        <w:pageBreakBefore w:val="0"/>
        <w:kinsoku/>
        <w:wordWrap/>
        <w:overflowPunct/>
        <w:topLinePunct w:val="0"/>
        <w:autoSpaceDE/>
        <w:autoSpaceDN/>
        <w:bidi w:val="0"/>
        <w:adjustRightInd/>
        <w:snapToGrid/>
        <w:spacing w:line="560" w:lineRule="exact"/>
        <w:ind w:firstLine="632" w:firstLineChars="200"/>
        <w:rPr>
          <w:rFonts w:hint="eastAsia" w:ascii="仿宋" w:hAnsi="仿宋" w:eastAsia="仿宋" w:cs="仿宋"/>
          <w:b/>
          <w:sz w:val="32"/>
          <w:szCs w:val="32"/>
          <w:highlight w:val="none"/>
          <w:lang w:val="en-US" w:eastAsia="zh-CN"/>
        </w:rPr>
      </w:pPr>
    </w:p>
    <w:p>
      <w:pPr>
        <w:pStyle w:val="5"/>
        <w:keepNext w:val="0"/>
        <w:keepLines w:val="0"/>
        <w:pageBreakBefore w:val="0"/>
        <w:kinsoku/>
        <w:wordWrap/>
        <w:overflowPunct/>
        <w:topLinePunct w:val="0"/>
        <w:autoSpaceDE/>
        <w:autoSpaceDN/>
        <w:bidi w:val="0"/>
        <w:adjustRightInd/>
        <w:snapToGrid/>
        <w:spacing w:line="560" w:lineRule="exact"/>
        <w:ind w:firstLine="632" w:firstLineChars="200"/>
        <w:rPr>
          <w:rFonts w:hint="eastAsia" w:ascii="仿宋" w:hAnsi="仿宋" w:eastAsia="仿宋" w:cs="仿宋"/>
          <w:b/>
          <w:sz w:val="32"/>
          <w:szCs w:val="32"/>
          <w:highlight w:val="none"/>
          <w:lang w:val="en-US" w:eastAsia="zh-CN"/>
        </w:rPr>
      </w:pPr>
    </w:p>
    <w:p>
      <w:pPr>
        <w:pStyle w:val="5"/>
        <w:keepNext w:val="0"/>
        <w:keepLines w:val="0"/>
        <w:pageBreakBefore w:val="0"/>
        <w:kinsoku/>
        <w:wordWrap/>
        <w:overflowPunct/>
        <w:topLinePunct w:val="0"/>
        <w:autoSpaceDE/>
        <w:autoSpaceDN/>
        <w:bidi w:val="0"/>
        <w:adjustRightInd/>
        <w:snapToGrid/>
        <w:spacing w:line="560" w:lineRule="exact"/>
        <w:ind w:firstLine="632" w:firstLineChars="200"/>
        <w:rPr>
          <w:rFonts w:hint="eastAsia" w:ascii="仿宋" w:hAnsi="仿宋" w:eastAsia="仿宋" w:cs="仿宋"/>
          <w:b/>
          <w:sz w:val="32"/>
          <w:szCs w:val="32"/>
          <w:highlight w:val="none"/>
          <w:lang w:val="en-US" w:eastAsia="zh-CN"/>
        </w:rPr>
      </w:pPr>
    </w:p>
    <w:p>
      <w:pPr>
        <w:pStyle w:val="5"/>
        <w:keepNext w:val="0"/>
        <w:keepLines w:val="0"/>
        <w:pageBreakBefore w:val="0"/>
        <w:kinsoku/>
        <w:wordWrap/>
        <w:overflowPunct/>
        <w:topLinePunct w:val="0"/>
        <w:autoSpaceDE/>
        <w:autoSpaceDN/>
        <w:bidi w:val="0"/>
        <w:adjustRightInd/>
        <w:snapToGrid/>
        <w:spacing w:line="560" w:lineRule="exact"/>
        <w:ind w:firstLine="632" w:firstLineChars="200"/>
        <w:rPr>
          <w:rFonts w:hint="eastAsia" w:ascii="仿宋" w:hAnsi="仿宋" w:eastAsia="仿宋" w:cs="仿宋"/>
          <w:b/>
          <w:sz w:val="32"/>
          <w:szCs w:val="32"/>
          <w:highlight w:val="none"/>
          <w:lang w:val="en-US" w:eastAsia="zh-CN"/>
        </w:rPr>
      </w:pPr>
    </w:p>
    <w:p>
      <w:pPr>
        <w:pStyle w:val="5"/>
        <w:keepNext w:val="0"/>
        <w:keepLines w:val="0"/>
        <w:pageBreakBefore w:val="0"/>
        <w:kinsoku/>
        <w:wordWrap/>
        <w:overflowPunct/>
        <w:topLinePunct w:val="0"/>
        <w:autoSpaceDE/>
        <w:autoSpaceDN/>
        <w:bidi w:val="0"/>
        <w:adjustRightInd/>
        <w:snapToGrid/>
        <w:spacing w:line="560" w:lineRule="exact"/>
        <w:ind w:firstLine="632" w:firstLineChars="200"/>
        <w:rPr>
          <w:rFonts w:hint="eastAsia" w:ascii="仿宋" w:hAnsi="仿宋" w:eastAsia="仿宋" w:cs="仿宋"/>
          <w:b/>
          <w:sz w:val="32"/>
          <w:szCs w:val="32"/>
          <w:highlight w:val="none"/>
          <w:lang w:val="en-US" w:eastAsia="zh-CN"/>
        </w:rPr>
      </w:pP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pPr>
      <w:r>
        <w:rPr>
          <w:rFonts w:hint="eastAsia" w:ascii="Times New Roman" w:hAnsi="Times New Roman" w:eastAsia="黑体" w:cs="Times New Roman"/>
          <w:bCs/>
          <w:sz w:val="28"/>
          <w:szCs w:val="28"/>
          <w:highlight w:val="none"/>
          <w:lang w:val="en-US" w:eastAsia="zh-CN"/>
        </w:rPr>
        <w:t>委托</w:t>
      </w:r>
      <w:r>
        <w:rPr>
          <w:rFonts w:ascii="Times New Roman" w:hAnsi="Times New Roman" w:eastAsia="黑体" w:cs="Times New Roman"/>
          <w:bCs/>
          <w:sz w:val="28"/>
          <w:szCs w:val="28"/>
          <w:highlight w:val="none"/>
        </w:rPr>
        <w:t>部门（单位）：</w:t>
      </w:r>
      <w:r>
        <w:rPr>
          <w:rFonts w:hint="eastAsia" w:ascii="Times New Roman" w:hAnsi="Times New Roman" w:eastAsia="黑体" w:cs="Times New Roman"/>
          <w:bCs/>
          <w:sz w:val="28"/>
          <w:szCs w:val="28"/>
          <w:highlight w:val="none"/>
          <w:lang w:val="en-US" w:eastAsia="zh-CN"/>
        </w:rPr>
        <w:t>阳新县城市管理执法局</w:t>
      </w:r>
      <w:r>
        <w:rPr>
          <w:rFonts w:ascii="Times New Roman" w:hAnsi="Times New Roman" w:eastAsia="黑体" w:cs="Times New Roman"/>
          <w:bCs/>
          <w:sz w:val="28"/>
          <w:szCs w:val="28"/>
          <w:highlight w:val="none"/>
        </w:rPr>
        <w:t xml:space="preserve">                                </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评价类型：项目</w:t>
      </w:r>
      <w:r>
        <w:rPr>
          <w:rFonts w:hint="eastAsia" w:ascii="Times New Roman" w:hAnsi="Times New Roman" w:eastAsia="黑体" w:cs="Times New Roman"/>
          <w:bCs/>
          <w:sz w:val="28"/>
          <w:szCs w:val="28"/>
          <w:highlight w:val="none"/>
        </w:rPr>
        <w:t xml:space="preserve">■   </w:t>
      </w:r>
      <w:r>
        <w:rPr>
          <w:rFonts w:ascii="Times New Roman" w:hAnsi="Times New Roman" w:eastAsia="黑体" w:cs="Times New Roman"/>
          <w:bCs/>
          <w:sz w:val="28"/>
          <w:szCs w:val="28"/>
          <w:highlight w:val="none"/>
        </w:rPr>
        <w:t xml:space="preserve"> 政策□    部门整体</w:t>
      </w:r>
      <w:r>
        <w:rPr>
          <w:rFonts w:ascii="Times New Roman" w:hAnsi="Times New Roman" w:eastAsia="黑体" w:cs="Times New Roman"/>
          <w:bCs/>
          <w:sz w:val="30"/>
          <w:szCs w:val="30"/>
          <w:highlight w:val="none"/>
        </w:rPr>
        <w:t xml:space="preserve">□ </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ascii="Times New Roman" w:hAnsi="Times New Roman" w:eastAsia="黑体" w:cs="Times New Roman"/>
          <w:bCs/>
          <w:sz w:val="28"/>
          <w:szCs w:val="28"/>
          <w:highlight w:val="none"/>
        </w:rPr>
      </w:pPr>
      <w:r>
        <w:rPr>
          <w:rFonts w:ascii="Times New Roman" w:hAnsi="Times New Roman" w:eastAsia="黑体" w:cs="Times New Roman"/>
          <w:bCs/>
          <w:sz w:val="28"/>
          <w:szCs w:val="28"/>
          <w:highlight w:val="none"/>
        </w:rPr>
        <w:t>评价单位：</w:t>
      </w:r>
      <w:r>
        <w:rPr>
          <w:rFonts w:hint="eastAsia" w:ascii="Times New Roman" w:hAnsi="Times New Roman" w:eastAsia="黑体" w:cs="Times New Roman"/>
          <w:bCs/>
          <w:sz w:val="28"/>
          <w:szCs w:val="28"/>
          <w:highlight w:val="none"/>
          <w:lang w:val="en-US" w:eastAsia="zh-CN"/>
        </w:rPr>
        <w:t>阳新县恒泰会计事务服务有限公司</w:t>
      </w:r>
      <w:r>
        <w:rPr>
          <w:rFonts w:ascii="Times New Roman" w:hAnsi="Times New Roman" w:eastAsia="黑体" w:cs="Times New Roman"/>
          <w:bCs/>
          <w:sz w:val="28"/>
          <w:szCs w:val="28"/>
          <w:highlight w:val="none"/>
        </w:rPr>
        <w:t xml:space="preserve">                                      </w:t>
      </w:r>
    </w:p>
    <w:p>
      <w:pPr>
        <w:keepNext w:val="0"/>
        <w:keepLines w:val="0"/>
        <w:pageBreakBefore w:val="0"/>
        <w:kinsoku/>
        <w:wordWrap/>
        <w:overflowPunct/>
        <w:topLinePunct w:val="0"/>
        <w:autoSpaceDE/>
        <w:autoSpaceDN/>
        <w:bidi w:val="0"/>
        <w:adjustRightInd/>
        <w:snapToGrid/>
        <w:spacing w:before="120" w:after="120" w:line="560" w:lineRule="exact"/>
        <w:ind w:firstLine="552" w:firstLineChars="200"/>
        <w:jc w:val="both"/>
        <w:rPr>
          <w:rFonts w:hint="default" w:ascii="Times New Roman" w:hAnsi="Times New Roman" w:eastAsia="黑体" w:cs="Times New Roman"/>
          <w:bCs/>
          <w:sz w:val="28"/>
          <w:szCs w:val="28"/>
          <w:highlight w:val="none"/>
          <w:lang w:val="en-US" w:eastAsia="zh-CN"/>
        </w:rPr>
      </w:pPr>
      <w:r>
        <w:rPr>
          <w:rFonts w:hint="eastAsia" w:ascii="Times New Roman" w:hAnsi="Times New Roman" w:eastAsia="黑体" w:cs="Times New Roman"/>
          <w:bCs/>
          <w:sz w:val="28"/>
          <w:szCs w:val="28"/>
          <w:highlight w:val="none"/>
        </w:rPr>
        <w:t>报告文号：</w:t>
      </w:r>
      <w:r>
        <w:rPr>
          <w:rFonts w:hint="eastAsia" w:ascii="Times New Roman" w:hAnsi="Times New Roman" w:eastAsia="黑体" w:cs="Times New Roman"/>
          <w:bCs/>
          <w:sz w:val="28"/>
          <w:szCs w:val="28"/>
          <w:highlight w:val="none"/>
          <w:lang w:val="en-US" w:eastAsia="zh-CN"/>
        </w:rPr>
        <w:t>恒泰绩后字[2024]06003号</w:t>
      </w:r>
    </w:p>
    <w:p>
      <w:pPr>
        <w:keepNext w:val="0"/>
        <w:keepLines w:val="0"/>
        <w:pageBreakBefore w:val="0"/>
        <w:kinsoku/>
        <w:wordWrap/>
        <w:overflowPunct/>
        <w:topLinePunct w:val="0"/>
        <w:autoSpaceDE/>
        <w:autoSpaceDN/>
        <w:bidi w:val="0"/>
        <w:adjustRightInd/>
        <w:snapToGrid/>
        <w:spacing w:before="120" w:after="120" w:line="560" w:lineRule="exact"/>
        <w:ind w:firstLine="3312" w:firstLineChars="1200"/>
        <w:jc w:val="both"/>
        <w:rPr>
          <w:rFonts w:ascii="Times New Roman" w:hAnsi="Times New Roman" w:eastAsia="黑体" w:cs="Times New Roman"/>
          <w:bCs/>
          <w:sz w:val="28"/>
          <w:szCs w:val="28"/>
          <w:highlight w:val="none"/>
        </w:rPr>
      </w:pPr>
    </w:p>
    <w:p>
      <w:pPr>
        <w:keepNext w:val="0"/>
        <w:keepLines w:val="0"/>
        <w:pageBreakBefore w:val="0"/>
        <w:kinsoku/>
        <w:wordWrap/>
        <w:overflowPunct/>
        <w:topLinePunct w:val="0"/>
        <w:autoSpaceDE/>
        <w:autoSpaceDN/>
        <w:bidi w:val="0"/>
        <w:adjustRightInd/>
        <w:snapToGrid/>
        <w:spacing w:before="120" w:after="120" w:line="560" w:lineRule="exact"/>
        <w:ind w:firstLine="3588" w:firstLineChars="1300"/>
        <w:jc w:val="both"/>
        <w:rPr>
          <w:rFonts w:ascii="Times New Roman" w:hAnsi="Times New Roman" w:eastAsia="黑体" w:cs="Times New Roman"/>
          <w:bCs/>
          <w:sz w:val="28"/>
          <w:szCs w:val="28"/>
          <w:highlight w:val="none"/>
        </w:rPr>
        <w:sectPr>
          <w:headerReference r:id="rId3" w:type="default"/>
          <w:footerReference r:id="rId4" w:type="default"/>
          <w:pgSz w:w="11906" w:h="16838"/>
          <w:pgMar w:top="2098" w:right="1474" w:bottom="1984" w:left="1587" w:header="851" w:footer="992" w:gutter="0"/>
          <w:pgNumType w:fmt="decimal"/>
          <w:cols w:space="720" w:num="1"/>
          <w:docGrid w:type="linesAndChars" w:linePitch="579" w:charSpace="-1024"/>
        </w:sectPr>
      </w:pPr>
      <w:r>
        <w:rPr>
          <w:rFonts w:ascii="Times New Roman" w:hAnsi="Times New Roman" w:eastAsia="黑体" w:cs="Times New Roman"/>
          <w:bCs/>
          <w:sz w:val="28"/>
          <w:szCs w:val="28"/>
          <w:highlight w:val="none"/>
        </w:rPr>
        <w:t>正式提交日期：</w:t>
      </w:r>
      <w:r>
        <w:rPr>
          <w:rFonts w:hint="eastAsia" w:ascii="Times New Roman" w:hAnsi="Times New Roman" w:eastAsia="黑体" w:cs="Times New Roman"/>
          <w:bCs/>
          <w:sz w:val="28"/>
          <w:szCs w:val="28"/>
          <w:highlight w:val="none"/>
        </w:rPr>
        <w:t>二〇二</w:t>
      </w:r>
      <w:r>
        <w:rPr>
          <w:rFonts w:hint="eastAsia" w:ascii="Times New Roman" w:hAnsi="Times New Roman" w:eastAsia="黑体" w:cs="Times New Roman"/>
          <w:bCs/>
          <w:sz w:val="28"/>
          <w:szCs w:val="28"/>
          <w:highlight w:val="none"/>
          <w:lang w:val="en-US" w:eastAsia="zh-CN"/>
        </w:rPr>
        <w:t>四</w:t>
      </w:r>
      <w:r>
        <w:rPr>
          <w:rFonts w:hint="eastAsia" w:ascii="Times New Roman" w:hAnsi="Times New Roman" w:eastAsia="黑体" w:cs="Times New Roman"/>
          <w:bCs/>
          <w:sz w:val="28"/>
          <w:szCs w:val="28"/>
          <w:highlight w:val="none"/>
        </w:rPr>
        <w:t>年</w:t>
      </w:r>
      <w:r>
        <w:rPr>
          <w:rFonts w:hint="eastAsia" w:ascii="Times New Roman" w:hAnsi="Times New Roman" w:eastAsia="黑体" w:cs="Times New Roman"/>
          <w:bCs/>
          <w:sz w:val="28"/>
          <w:szCs w:val="28"/>
          <w:highlight w:val="none"/>
          <w:lang w:val="en-US" w:eastAsia="zh-CN"/>
        </w:rPr>
        <w:t>九</w:t>
      </w:r>
      <w:r>
        <w:rPr>
          <w:rFonts w:hint="eastAsia" w:ascii="Times New Roman" w:hAnsi="Times New Roman" w:eastAsia="黑体" w:cs="Times New Roman"/>
          <w:bCs/>
          <w:sz w:val="28"/>
          <w:szCs w:val="28"/>
          <w:highlight w:val="none"/>
        </w:rPr>
        <w:t>月三十日</w:t>
      </w:r>
    </w:p>
    <w:p>
      <w:pPr>
        <w:pageBreakBefore w:val="0"/>
        <w:kinsoku/>
        <w:wordWrap/>
        <w:overflowPunct/>
        <w:topLinePunct w:val="0"/>
        <w:autoSpaceDE/>
        <w:autoSpaceDN/>
        <w:bidi w:val="0"/>
        <w:adjustRightInd/>
        <w:spacing w:line="560" w:lineRule="exact"/>
        <w:ind w:firstLine="643" w:firstLineChars="200"/>
        <w:jc w:val="center"/>
        <w:rPr>
          <w:rFonts w:eastAsia="黑体"/>
          <w:sz w:val="32"/>
          <w:szCs w:val="32"/>
        </w:rPr>
      </w:pPr>
      <w:r>
        <w:rPr>
          <w:rFonts w:hint="eastAsia" w:ascii="黑体" w:hAnsi="黑体" w:eastAsia="黑体" w:cs="黑体"/>
          <w:b/>
          <w:bCs/>
          <w:sz w:val="32"/>
          <w:szCs w:val="32"/>
        </w:rPr>
        <w:t xml:space="preserve">目 </w:t>
      </w:r>
      <w:r>
        <w:rPr>
          <w:rFonts w:hint="eastAsia" w:ascii="黑体" w:hAnsi="黑体" w:eastAsia="黑体" w:cs="黑体"/>
          <w:b/>
          <w:bCs/>
          <w:sz w:val="32"/>
          <w:szCs w:val="32"/>
          <w:lang w:val="en-US" w:eastAsia="zh-CN"/>
        </w:rPr>
        <w:t xml:space="preserve"> </w:t>
      </w:r>
      <w:r>
        <w:rPr>
          <w:rFonts w:hint="eastAsia" w:ascii="黑体" w:hAnsi="黑体" w:eastAsia="黑体" w:cs="黑体"/>
          <w:b/>
          <w:bCs/>
          <w:sz w:val="32"/>
          <w:szCs w:val="32"/>
        </w:rPr>
        <w:t>录</w:t>
      </w:r>
    </w:p>
    <w:p>
      <w:pPr>
        <w:pStyle w:val="9"/>
        <w:pageBreakBefore w:val="0"/>
        <w:tabs>
          <w:tab w:val="right" w:leader="dot" w:pos="8306"/>
        </w:tabs>
        <w:kinsoku/>
        <w:wordWrap/>
        <w:overflowPunct/>
        <w:topLinePunct w:val="0"/>
        <w:autoSpaceDE/>
        <w:autoSpaceDN/>
        <w:bidi w:val="0"/>
        <w:adjustRightInd/>
        <w:spacing w:line="560" w:lineRule="exact"/>
        <w:ind w:firstLine="800" w:firstLineChars="200"/>
        <w:rPr>
          <w:rFonts w:hint="eastAsia" w:eastAsia="仿宋"/>
          <w:sz w:val="28"/>
          <w:szCs w:val="36"/>
          <w:lang w:val="en-US" w:eastAsia="zh-CN"/>
        </w:rPr>
      </w:pPr>
      <w:r>
        <w:rPr>
          <w:rFonts w:hint="eastAsia" w:ascii="仿宋" w:hAnsi="仿宋" w:eastAsia="仿宋"/>
          <w:sz w:val="40"/>
          <w:szCs w:val="40"/>
        </w:rPr>
        <w:fldChar w:fldCharType="begin"/>
      </w:r>
      <w:r>
        <w:rPr>
          <w:rFonts w:hint="eastAsia" w:ascii="仿宋" w:hAnsi="仿宋" w:eastAsia="仿宋"/>
          <w:sz w:val="40"/>
          <w:szCs w:val="40"/>
        </w:rPr>
        <w:instrText xml:space="preserve">TOC \o "1-2" \h \u </w:instrText>
      </w:r>
      <w:r>
        <w:rPr>
          <w:rFonts w:hint="eastAsia" w:ascii="仿宋" w:hAnsi="仿宋" w:eastAsia="仿宋"/>
          <w:sz w:val="40"/>
          <w:szCs w:val="40"/>
        </w:rPr>
        <w:fldChar w:fldCharType="separate"/>
      </w:r>
      <w:r>
        <w:rPr>
          <w:rFonts w:hint="eastAsia" w:ascii="仿宋" w:hAnsi="仿宋" w:eastAsia="仿宋"/>
          <w:sz w:val="28"/>
          <w:szCs w:val="40"/>
        </w:rPr>
        <w:fldChar w:fldCharType="begin"/>
      </w:r>
      <w:r>
        <w:rPr>
          <w:rFonts w:hint="eastAsia" w:ascii="仿宋" w:hAnsi="仿宋" w:eastAsia="仿宋"/>
          <w:sz w:val="28"/>
          <w:szCs w:val="40"/>
        </w:rPr>
        <w:instrText xml:space="preserve"> HYPERLINK \l _Toc4322 </w:instrText>
      </w:r>
      <w:r>
        <w:rPr>
          <w:rFonts w:hint="eastAsia" w:ascii="仿宋" w:hAnsi="仿宋" w:eastAsia="仿宋"/>
          <w:sz w:val="28"/>
          <w:szCs w:val="40"/>
        </w:rPr>
        <w:fldChar w:fldCharType="separate"/>
      </w:r>
      <w:r>
        <w:rPr>
          <w:rFonts w:ascii="黑体" w:eastAsia="黑体" w:cs="黑体"/>
          <w:bCs w:val="0"/>
          <w:sz w:val="28"/>
          <w:szCs w:val="40"/>
        </w:rPr>
        <w:t>一、评</w:t>
      </w:r>
      <w:r>
        <w:rPr>
          <w:rFonts w:ascii="黑体" w:eastAsia="黑体" w:cs="黑体"/>
          <w:bCs w:val="0"/>
          <w:sz w:val="28"/>
          <w:szCs w:val="40"/>
          <w:highlight w:val="none"/>
        </w:rPr>
        <w:t>价结论</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3</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default"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_Toc29979 </w:instrText>
      </w:r>
      <w:r>
        <w:rPr>
          <w:rFonts w:hint="eastAsia" w:ascii="仿宋" w:hAnsi="仿宋" w:eastAsia="仿宋"/>
          <w:sz w:val="28"/>
          <w:szCs w:val="40"/>
        </w:rPr>
        <w:fldChar w:fldCharType="separate"/>
      </w:r>
      <w:r>
        <w:rPr>
          <w:rFonts w:ascii="楷体" w:hAnsi="楷体" w:eastAsia="楷体" w:cs="楷体"/>
          <w:bCs w:val="0"/>
          <w:kern w:val="2"/>
          <w:sz w:val="28"/>
          <w:szCs w:val="44"/>
          <w:highlight w:val="none"/>
        </w:rPr>
        <w:t>（一）绩效评价分数和等级</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3</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eastAsia" w:ascii="仿宋" w:hAnsi="仿宋" w:eastAsia="仿宋"/>
          <w:sz w:val="28"/>
          <w:szCs w:val="40"/>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_Toc5750 </w:instrText>
      </w:r>
      <w:r>
        <w:rPr>
          <w:rFonts w:hint="eastAsia" w:ascii="仿宋" w:hAnsi="仿宋" w:eastAsia="仿宋"/>
          <w:sz w:val="28"/>
          <w:szCs w:val="40"/>
        </w:rPr>
        <w:fldChar w:fldCharType="separate"/>
      </w:r>
      <w:r>
        <w:rPr>
          <w:rFonts w:ascii="楷体" w:hAnsi="楷体" w:eastAsia="楷体" w:cs="楷体"/>
          <w:bCs w:val="0"/>
          <w:kern w:val="2"/>
          <w:sz w:val="28"/>
          <w:szCs w:val="44"/>
          <w:highlight w:val="none"/>
        </w:rPr>
        <w:t>（二）</w:t>
      </w:r>
      <w:r>
        <w:rPr>
          <w:rFonts w:hint="eastAsia" w:ascii="楷体" w:hAnsi="楷体" w:eastAsia="楷体" w:cs="楷体"/>
          <w:bCs w:val="0"/>
          <w:kern w:val="2"/>
          <w:sz w:val="28"/>
          <w:szCs w:val="44"/>
          <w:highlight w:val="none"/>
          <w:lang w:val="en-US" w:eastAsia="zh-CN"/>
        </w:rPr>
        <w:t>绩效评价指标情况</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3</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eastAsia"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_Toc228 </w:instrText>
      </w:r>
      <w:r>
        <w:rPr>
          <w:rFonts w:hint="eastAsia" w:ascii="仿宋" w:hAnsi="仿宋" w:eastAsia="仿宋"/>
          <w:sz w:val="28"/>
          <w:szCs w:val="40"/>
        </w:rPr>
        <w:fldChar w:fldCharType="separate"/>
      </w:r>
      <w:r>
        <w:rPr>
          <w:rFonts w:ascii="黑体" w:eastAsia="黑体" w:cs="黑体"/>
          <w:bCs w:val="0"/>
          <w:sz w:val="28"/>
          <w:szCs w:val="40"/>
        </w:rPr>
        <w:t>二、</w:t>
      </w:r>
      <w:r>
        <w:rPr>
          <w:rFonts w:hint="eastAsia" w:ascii="黑体" w:eastAsia="黑体" w:cs="黑体"/>
          <w:bCs w:val="0"/>
          <w:sz w:val="28"/>
          <w:szCs w:val="40"/>
          <w:lang w:val="en-US" w:eastAsia="zh-CN"/>
        </w:rPr>
        <w:t>项目存在的问题和原因</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4</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eastAsia"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_Toc24723 </w:instrText>
      </w:r>
      <w:r>
        <w:rPr>
          <w:rFonts w:hint="eastAsia" w:ascii="仿宋" w:hAnsi="仿宋" w:eastAsia="仿宋"/>
          <w:sz w:val="28"/>
          <w:szCs w:val="40"/>
        </w:rPr>
        <w:fldChar w:fldCharType="separate"/>
      </w:r>
      <w:r>
        <w:rPr>
          <w:rFonts w:ascii="楷体" w:hAnsi="楷体" w:eastAsia="楷体" w:cs="楷体"/>
          <w:bCs w:val="0"/>
          <w:kern w:val="2"/>
          <w:sz w:val="28"/>
          <w:szCs w:val="44"/>
        </w:rPr>
        <w:t>（一）</w:t>
      </w:r>
      <w:r>
        <w:rPr>
          <w:rFonts w:hint="eastAsia" w:ascii="楷体" w:hAnsi="楷体" w:eastAsia="楷体" w:cs="楷体"/>
          <w:bCs w:val="0"/>
          <w:kern w:val="2"/>
          <w:sz w:val="28"/>
          <w:szCs w:val="44"/>
          <w:lang w:val="en-US" w:eastAsia="zh-CN"/>
        </w:rPr>
        <w:t>项目存在的问题</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4</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sz w:val="28"/>
          <w:szCs w:val="36"/>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_Toc15462 </w:instrText>
      </w:r>
      <w:r>
        <w:rPr>
          <w:rFonts w:hint="eastAsia" w:ascii="仿宋" w:hAnsi="仿宋" w:eastAsia="仿宋"/>
          <w:sz w:val="28"/>
          <w:szCs w:val="40"/>
        </w:rPr>
        <w:fldChar w:fldCharType="separate"/>
      </w:r>
      <w:r>
        <w:rPr>
          <w:rFonts w:ascii="楷体" w:hAnsi="楷体" w:eastAsia="楷体" w:cs="楷体"/>
          <w:bCs w:val="0"/>
          <w:kern w:val="2"/>
          <w:sz w:val="28"/>
          <w:szCs w:val="44"/>
        </w:rPr>
        <w:t>（二）</w:t>
      </w:r>
      <w:r>
        <w:rPr>
          <w:rFonts w:hint="eastAsia" w:ascii="楷体" w:hAnsi="楷体" w:eastAsia="楷体" w:cs="楷体"/>
          <w:bCs w:val="0"/>
          <w:kern w:val="2"/>
          <w:sz w:val="28"/>
          <w:szCs w:val="44"/>
          <w:lang w:val="en-US" w:eastAsia="zh-CN"/>
        </w:rPr>
        <w:t>下一步工作建议</w:t>
      </w:r>
      <w:r>
        <w:rPr>
          <w:sz w:val="28"/>
          <w:szCs w:val="36"/>
        </w:rPr>
        <w:tab/>
      </w:r>
      <w:r>
        <w:rPr>
          <w:rFonts w:hint="eastAsia"/>
          <w:sz w:val="28"/>
          <w:szCs w:val="36"/>
          <w:lang w:val="en-US" w:eastAsia="zh-CN"/>
        </w:rPr>
        <w:t>7</w:t>
      </w:r>
      <w:r>
        <w:rPr>
          <w:rFonts w:hint="eastAsia" w:ascii="仿宋" w:hAnsi="仿宋" w:eastAsia="仿宋"/>
          <w:sz w:val="28"/>
          <w:szCs w:val="40"/>
        </w:rPr>
        <w:fldChar w:fldCharType="end"/>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eastAsia" w:ascii="仿宋" w:hAnsi="仿宋" w:eastAsia="仿宋"/>
          <w:sz w:val="28"/>
          <w:szCs w:val="40"/>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_Toc29175 </w:instrText>
      </w:r>
      <w:r>
        <w:rPr>
          <w:rFonts w:hint="eastAsia" w:ascii="仿宋" w:hAnsi="仿宋" w:eastAsia="仿宋"/>
          <w:sz w:val="28"/>
          <w:szCs w:val="40"/>
        </w:rPr>
        <w:fldChar w:fldCharType="separate"/>
      </w:r>
      <w:r>
        <w:rPr>
          <w:rFonts w:hint="eastAsia" w:ascii="黑体" w:eastAsia="黑体" w:cs="黑体"/>
          <w:bCs w:val="0"/>
          <w:sz w:val="28"/>
          <w:szCs w:val="40"/>
          <w:lang w:val="en-US" w:eastAsia="zh-CN"/>
        </w:rPr>
        <w:t>三、佐证材料</w:t>
      </w:r>
      <w:r>
        <w:rPr>
          <w:sz w:val="28"/>
          <w:szCs w:val="36"/>
        </w:rPr>
        <w:tab/>
      </w:r>
      <w:r>
        <w:rPr>
          <w:rFonts w:hint="eastAsia" w:ascii="仿宋" w:hAnsi="仿宋" w:eastAsia="仿宋"/>
          <w:sz w:val="28"/>
          <w:szCs w:val="40"/>
          <w:lang w:val="en-US" w:eastAsia="zh-CN"/>
        </w:rPr>
        <w:t>9</w:t>
      </w:r>
      <w:r>
        <w:rPr>
          <w:rFonts w:hint="eastAsia" w:ascii="仿宋" w:hAnsi="仿宋" w:eastAsia="仿宋"/>
          <w:sz w:val="28"/>
          <w:szCs w:val="40"/>
        </w:rPr>
        <w:fldChar w:fldCharType="end"/>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sz w:val="28"/>
          <w:szCs w:val="36"/>
        </w:rPr>
      </w:pPr>
      <w:r>
        <w:rPr>
          <w:rFonts w:hint="eastAsia" w:ascii="仿宋" w:hAnsi="仿宋" w:eastAsia="仿宋"/>
          <w:sz w:val="28"/>
          <w:szCs w:val="40"/>
          <w:lang w:eastAsia="zh-CN"/>
        </w:rPr>
        <w:t>（</w:t>
      </w:r>
      <w:r>
        <w:rPr>
          <w:rFonts w:hint="eastAsia" w:ascii="仿宋" w:hAnsi="仿宋" w:eastAsia="仿宋"/>
          <w:sz w:val="28"/>
          <w:szCs w:val="40"/>
          <w:lang w:val="en-US" w:eastAsia="zh-CN"/>
        </w:rPr>
        <w:t>一</w:t>
      </w:r>
      <w:r>
        <w:rPr>
          <w:rFonts w:hint="eastAsia" w:ascii="仿宋" w:hAnsi="仿宋" w:eastAsia="仿宋"/>
          <w:sz w:val="28"/>
          <w:szCs w:val="40"/>
          <w:lang w:eastAsia="zh-CN"/>
        </w:rPr>
        <w:t>）</w:t>
      </w:r>
      <w:r>
        <w:rPr>
          <w:rFonts w:hint="eastAsia" w:ascii="仿宋" w:hAnsi="仿宋" w:eastAsia="仿宋"/>
          <w:sz w:val="28"/>
          <w:szCs w:val="40"/>
        </w:rPr>
        <w:fldChar w:fldCharType="begin"/>
      </w:r>
      <w:r>
        <w:rPr>
          <w:rFonts w:hint="eastAsia" w:ascii="仿宋" w:hAnsi="仿宋" w:eastAsia="仿宋"/>
          <w:sz w:val="28"/>
          <w:szCs w:val="40"/>
        </w:rPr>
        <w:instrText xml:space="preserve"> HYPERLINK \l _Toc24157 </w:instrText>
      </w:r>
      <w:r>
        <w:rPr>
          <w:rFonts w:hint="eastAsia" w:ascii="仿宋" w:hAnsi="仿宋" w:eastAsia="仿宋"/>
          <w:sz w:val="28"/>
          <w:szCs w:val="40"/>
        </w:rPr>
        <w:fldChar w:fldCharType="separate"/>
      </w:r>
      <w:r>
        <w:rPr>
          <w:rFonts w:hint="eastAsia" w:ascii="仿宋" w:hAnsi="仿宋" w:eastAsia="仿宋" w:cs="仿宋"/>
          <w:kern w:val="2"/>
          <w:sz w:val="28"/>
          <w:szCs w:val="44"/>
          <w:lang w:val="en-US" w:eastAsia="zh-CN"/>
        </w:rPr>
        <w:t>项目基本情况</w:t>
      </w:r>
      <w:r>
        <w:rPr>
          <w:sz w:val="28"/>
          <w:szCs w:val="36"/>
        </w:rPr>
        <w:tab/>
      </w:r>
      <w:r>
        <w:rPr>
          <w:rFonts w:hint="eastAsia"/>
          <w:sz w:val="28"/>
          <w:szCs w:val="36"/>
          <w:lang w:val="en-US" w:eastAsia="zh-CN"/>
        </w:rPr>
        <w:t>9</w:t>
      </w:r>
      <w:r>
        <w:rPr>
          <w:rFonts w:hint="eastAsia" w:ascii="仿宋" w:hAnsi="仿宋" w:eastAsia="仿宋"/>
          <w:sz w:val="28"/>
          <w:szCs w:val="40"/>
        </w:rPr>
        <w:fldChar w:fldCharType="end"/>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eastAsia"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_Toc29006 </w:instrText>
      </w:r>
      <w:r>
        <w:rPr>
          <w:rFonts w:hint="eastAsia" w:ascii="仿宋" w:hAnsi="仿宋" w:eastAsia="仿宋"/>
          <w:sz w:val="28"/>
          <w:szCs w:val="40"/>
        </w:rPr>
        <w:fldChar w:fldCharType="separate"/>
      </w:r>
      <w:r>
        <w:rPr>
          <w:rFonts w:hint="eastAsia" w:ascii="仿宋" w:hAnsi="仿宋" w:eastAsia="仿宋"/>
          <w:sz w:val="28"/>
          <w:szCs w:val="40"/>
          <w:lang w:eastAsia="zh-CN"/>
        </w:rPr>
        <w:t>（</w:t>
      </w:r>
      <w:r>
        <w:rPr>
          <w:rFonts w:hint="eastAsia" w:ascii="仿宋" w:hAnsi="仿宋" w:eastAsia="仿宋"/>
          <w:sz w:val="28"/>
          <w:szCs w:val="40"/>
          <w:lang w:val="en-US" w:eastAsia="zh-CN"/>
        </w:rPr>
        <w:t>二</w:t>
      </w:r>
      <w:r>
        <w:rPr>
          <w:rFonts w:hint="eastAsia" w:ascii="仿宋" w:hAnsi="仿宋" w:eastAsia="仿宋"/>
          <w:sz w:val="28"/>
          <w:szCs w:val="40"/>
          <w:lang w:eastAsia="zh-CN"/>
        </w:rPr>
        <w:t>）</w:t>
      </w:r>
      <w:r>
        <w:rPr>
          <w:rFonts w:hint="eastAsia" w:ascii="仿宋" w:hAnsi="仿宋" w:eastAsia="仿宋"/>
          <w:sz w:val="28"/>
          <w:szCs w:val="40"/>
          <w:lang w:val="en-US" w:eastAsia="zh-CN"/>
        </w:rPr>
        <w:t>绩效评价工作开展</w:t>
      </w:r>
      <w:r>
        <w:rPr>
          <w:rFonts w:hint="eastAsia" w:ascii="仿宋" w:hAnsi="仿宋" w:eastAsia="仿宋" w:cs="仿宋"/>
          <w:bCs/>
          <w:kern w:val="44"/>
          <w:sz w:val="28"/>
          <w:szCs w:val="44"/>
          <w:lang w:bidi="ar"/>
        </w:rPr>
        <w:t>情况</w:t>
      </w:r>
      <w:r>
        <w:rPr>
          <w:sz w:val="28"/>
          <w:szCs w:val="36"/>
        </w:rPr>
        <w:tab/>
      </w:r>
      <w:r>
        <w:rPr>
          <w:rFonts w:hint="eastAsia"/>
          <w:sz w:val="28"/>
          <w:szCs w:val="36"/>
          <w:lang w:val="en-US" w:eastAsia="zh-CN"/>
        </w:rPr>
        <w:t>1</w:t>
      </w:r>
      <w:r>
        <w:rPr>
          <w:rFonts w:hint="eastAsia" w:ascii="仿宋" w:hAnsi="仿宋" w:eastAsia="仿宋"/>
          <w:sz w:val="28"/>
          <w:szCs w:val="40"/>
        </w:rPr>
        <w:fldChar w:fldCharType="end"/>
      </w:r>
      <w:r>
        <w:rPr>
          <w:rFonts w:hint="eastAsia" w:ascii="仿宋" w:hAnsi="仿宋" w:eastAsia="仿宋"/>
          <w:sz w:val="28"/>
          <w:szCs w:val="40"/>
          <w:lang w:val="en-US" w:eastAsia="zh-CN"/>
        </w:rPr>
        <w:t>0</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default" w:ascii="黑体" w:eastAsia="黑体" w:cs="黑体"/>
          <w:bCs w:val="0"/>
          <w:sz w:val="28"/>
          <w:szCs w:val="40"/>
          <w:lang w:val="en-US" w:eastAsia="zh-CN"/>
        </w:rPr>
      </w:pPr>
      <w:r>
        <w:rPr>
          <w:rFonts w:hint="eastAsia" w:ascii="黑体" w:eastAsia="黑体" w:cs="黑体"/>
          <w:bCs w:val="0"/>
          <w:sz w:val="28"/>
          <w:szCs w:val="40"/>
          <w:lang w:val="en-US" w:eastAsia="zh-CN"/>
        </w:rPr>
        <w:fldChar w:fldCharType="begin"/>
      </w:r>
      <w:r>
        <w:rPr>
          <w:rFonts w:hint="eastAsia" w:ascii="黑体" w:eastAsia="黑体" w:cs="黑体"/>
          <w:bCs w:val="0"/>
          <w:sz w:val="28"/>
          <w:szCs w:val="40"/>
          <w:lang w:val="en-US" w:eastAsia="zh-CN"/>
        </w:rPr>
        <w:instrText xml:space="preserve"> HYPERLINK \l _Toc29175 </w:instrText>
      </w:r>
      <w:r>
        <w:rPr>
          <w:rFonts w:hint="eastAsia" w:ascii="黑体" w:eastAsia="黑体" w:cs="黑体"/>
          <w:bCs w:val="0"/>
          <w:sz w:val="28"/>
          <w:szCs w:val="40"/>
          <w:lang w:val="en-US" w:eastAsia="zh-CN"/>
        </w:rPr>
        <w:fldChar w:fldCharType="separate"/>
      </w:r>
      <w:r>
        <w:rPr>
          <w:rFonts w:hint="eastAsia" w:ascii="黑体" w:eastAsia="黑体" w:cs="黑体"/>
          <w:bCs w:val="0"/>
          <w:sz w:val="28"/>
          <w:szCs w:val="40"/>
          <w:lang w:val="en-US" w:eastAsia="zh-CN"/>
        </w:rPr>
        <w:t>四、项目绩效指标完成情况分析</w:t>
      </w:r>
      <w:r>
        <w:rPr>
          <w:rFonts w:hint="eastAsia" w:ascii="仿宋" w:hAnsi="仿宋" w:eastAsia="仿宋"/>
          <w:sz w:val="28"/>
          <w:szCs w:val="40"/>
        </w:rPr>
        <w:fldChar w:fldCharType="begin"/>
      </w:r>
      <w:r>
        <w:rPr>
          <w:rFonts w:hint="eastAsia" w:ascii="仿宋" w:hAnsi="仿宋" w:eastAsia="仿宋"/>
          <w:sz w:val="28"/>
          <w:szCs w:val="40"/>
        </w:rPr>
        <w:instrText xml:space="preserve"> HYPERLINK \l _Toc4322 </w:instrText>
      </w:r>
      <w:r>
        <w:rPr>
          <w:rFonts w:hint="eastAsia" w:ascii="仿宋" w:hAnsi="仿宋" w:eastAsia="仿宋"/>
          <w:sz w:val="28"/>
          <w:szCs w:val="40"/>
        </w:rPr>
        <w:fldChar w:fldCharType="separate"/>
      </w:r>
      <w:r>
        <w:rPr>
          <w:sz w:val="28"/>
          <w:szCs w:val="36"/>
        </w:rPr>
        <w:tab/>
      </w:r>
      <w:r>
        <w:rPr>
          <w:rFonts w:hint="eastAsia" w:ascii="仿宋" w:hAnsi="仿宋" w:eastAsia="仿宋"/>
          <w:sz w:val="28"/>
          <w:szCs w:val="40"/>
        </w:rPr>
        <w:fldChar w:fldCharType="end"/>
      </w:r>
      <w:r>
        <w:rPr>
          <w:rFonts w:hint="eastAsia" w:ascii="黑体" w:eastAsia="黑体" w:cs="黑体"/>
          <w:bCs w:val="0"/>
          <w:sz w:val="28"/>
          <w:szCs w:val="40"/>
          <w:lang w:val="en-US" w:eastAsia="zh-CN"/>
        </w:rPr>
        <w:t>1</w:t>
      </w:r>
      <w:r>
        <w:rPr>
          <w:rFonts w:hint="eastAsia" w:ascii="黑体" w:eastAsia="黑体" w:cs="黑体"/>
          <w:bCs w:val="0"/>
          <w:sz w:val="28"/>
          <w:szCs w:val="40"/>
          <w:lang w:val="en-US" w:eastAsia="zh-CN"/>
        </w:rPr>
        <w:fldChar w:fldCharType="end"/>
      </w:r>
      <w:r>
        <w:rPr>
          <w:rFonts w:hint="eastAsia" w:ascii="黑体" w:eastAsia="黑体" w:cs="黑体"/>
          <w:bCs w:val="0"/>
          <w:sz w:val="28"/>
          <w:szCs w:val="40"/>
          <w:lang w:val="en-US" w:eastAsia="zh-CN"/>
        </w:rPr>
        <w:t>1</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default" w:eastAsia="仿宋"/>
          <w:sz w:val="28"/>
          <w:szCs w:val="36"/>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_Toc24723 </w:instrText>
      </w:r>
      <w:r>
        <w:rPr>
          <w:rFonts w:hint="eastAsia" w:ascii="仿宋" w:hAnsi="仿宋" w:eastAsia="仿宋"/>
          <w:sz w:val="28"/>
          <w:szCs w:val="40"/>
        </w:rPr>
        <w:fldChar w:fldCharType="separate"/>
      </w:r>
      <w:r>
        <w:rPr>
          <w:rFonts w:ascii="楷体" w:hAnsi="楷体" w:eastAsia="楷体" w:cs="楷体"/>
          <w:bCs w:val="0"/>
          <w:kern w:val="2"/>
          <w:sz w:val="28"/>
          <w:szCs w:val="44"/>
        </w:rPr>
        <w:t>（一）</w:t>
      </w:r>
      <w:r>
        <w:rPr>
          <w:rFonts w:hint="eastAsia" w:ascii="楷体" w:hAnsi="楷体" w:eastAsia="楷体" w:cs="楷体"/>
          <w:bCs w:val="0"/>
          <w:kern w:val="2"/>
          <w:sz w:val="28"/>
          <w:szCs w:val="44"/>
          <w:lang w:val="en-US" w:eastAsia="zh-CN"/>
        </w:rPr>
        <w:t>项目决策分析</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11</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default" w:ascii="仿宋" w:hAnsi="仿宋" w:eastAsia="仿宋"/>
          <w:sz w:val="28"/>
          <w:szCs w:val="40"/>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_Toc15462 </w:instrText>
      </w:r>
      <w:r>
        <w:rPr>
          <w:rFonts w:hint="eastAsia" w:ascii="仿宋" w:hAnsi="仿宋" w:eastAsia="仿宋"/>
          <w:sz w:val="28"/>
          <w:szCs w:val="40"/>
        </w:rPr>
        <w:fldChar w:fldCharType="separate"/>
      </w:r>
      <w:r>
        <w:rPr>
          <w:rFonts w:ascii="楷体" w:hAnsi="楷体" w:eastAsia="楷体" w:cs="楷体"/>
          <w:bCs w:val="0"/>
          <w:kern w:val="2"/>
          <w:sz w:val="28"/>
          <w:szCs w:val="44"/>
        </w:rPr>
        <w:t>（二）</w:t>
      </w:r>
      <w:r>
        <w:rPr>
          <w:rFonts w:hint="eastAsia" w:ascii="楷体" w:hAnsi="楷体" w:eastAsia="楷体" w:cs="楷体"/>
          <w:bCs w:val="0"/>
          <w:kern w:val="2"/>
          <w:sz w:val="28"/>
          <w:szCs w:val="44"/>
          <w:lang w:val="en-US" w:eastAsia="zh-CN"/>
        </w:rPr>
        <w:t>项目过程分析</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13</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default" w:ascii="黑体" w:eastAsia="黑体" w:cs="黑体"/>
          <w:bCs w:val="0"/>
          <w:sz w:val="28"/>
          <w:szCs w:val="40"/>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_Toc15462 </w:instrText>
      </w:r>
      <w:r>
        <w:rPr>
          <w:rFonts w:hint="eastAsia" w:ascii="仿宋" w:hAnsi="仿宋" w:eastAsia="仿宋"/>
          <w:sz w:val="28"/>
          <w:szCs w:val="40"/>
        </w:rPr>
        <w:fldChar w:fldCharType="separate"/>
      </w:r>
      <w:r>
        <w:rPr>
          <w:rFonts w:ascii="楷体" w:hAnsi="楷体" w:eastAsia="楷体" w:cs="楷体"/>
          <w:bCs w:val="0"/>
          <w:kern w:val="2"/>
          <w:sz w:val="28"/>
          <w:szCs w:val="44"/>
        </w:rPr>
        <w:t>（</w:t>
      </w:r>
      <w:r>
        <w:rPr>
          <w:rFonts w:hint="eastAsia" w:ascii="楷体" w:hAnsi="楷体" w:eastAsia="楷体" w:cs="楷体"/>
          <w:bCs w:val="0"/>
          <w:kern w:val="2"/>
          <w:sz w:val="28"/>
          <w:szCs w:val="44"/>
          <w:lang w:val="en-US" w:eastAsia="zh-CN"/>
        </w:rPr>
        <w:t>三</w:t>
      </w:r>
      <w:r>
        <w:rPr>
          <w:rFonts w:ascii="楷体" w:hAnsi="楷体" w:eastAsia="楷体" w:cs="楷体"/>
          <w:bCs w:val="0"/>
          <w:kern w:val="2"/>
          <w:sz w:val="28"/>
          <w:szCs w:val="44"/>
        </w:rPr>
        <w:t>）</w:t>
      </w:r>
      <w:r>
        <w:rPr>
          <w:rFonts w:hint="eastAsia" w:ascii="楷体" w:hAnsi="楷体" w:eastAsia="楷体" w:cs="楷体"/>
          <w:bCs w:val="0"/>
          <w:kern w:val="2"/>
          <w:sz w:val="28"/>
          <w:szCs w:val="44"/>
          <w:lang w:val="en-US" w:eastAsia="zh-CN"/>
        </w:rPr>
        <w:t>项目产出情况分析</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16</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eastAsia" w:ascii="仿宋" w:hAnsi="仿宋" w:eastAsia="仿宋"/>
          <w:sz w:val="28"/>
          <w:szCs w:val="40"/>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_Toc15462 </w:instrText>
      </w:r>
      <w:r>
        <w:rPr>
          <w:rFonts w:hint="eastAsia" w:ascii="仿宋" w:hAnsi="仿宋" w:eastAsia="仿宋"/>
          <w:sz w:val="28"/>
          <w:szCs w:val="40"/>
        </w:rPr>
        <w:fldChar w:fldCharType="separate"/>
      </w:r>
      <w:r>
        <w:rPr>
          <w:rFonts w:ascii="楷体" w:hAnsi="楷体" w:eastAsia="楷体" w:cs="楷体"/>
          <w:bCs w:val="0"/>
          <w:kern w:val="2"/>
          <w:sz w:val="28"/>
          <w:szCs w:val="44"/>
        </w:rPr>
        <w:t>（</w:t>
      </w:r>
      <w:r>
        <w:rPr>
          <w:rFonts w:hint="eastAsia" w:ascii="楷体" w:hAnsi="楷体" w:eastAsia="楷体" w:cs="楷体"/>
          <w:bCs w:val="0"/>
          <w:kern w:val="2"/>
          <w:sz w:val="28"/>
          <w:szCs w:val="44"/>
          <w:lang w:val="en-US" w:eastAsia="zh-CN"/>
        </w:rPr>
        <w:t>四</w:t>
      </w:r>
      <w:r>
        <w:rPr>
          <w:rFonts w:ascii="楷体" w:hAnsi="楷体" w:eastAsia="楷体" w:cs="楷体"/>
          <w:bCs w:val="0"/>
          <w:kern w:val="2"/>
          <w:sz w:val="28"/>
          <w:szCs w:val="44"/>
        </w:rPr>
        <w:t>）</w:t>
      </w:r>
      <w:r>
        <w:rPr>
          <w:rFonts w:hint="eastAsia" w:ascii="楷体" w:hAnsi="楷体" w:eastAsia="楷体" w:cs="楷体"/>
          <w:bCs w:val="0"/>
          <w:kern w:val="2"/>
          <w:sz w:val="28"/>
          <w:szCs w:val="44"/>
          <w:lang w:val="en-US" w:eastAsia="zh-CN"/>
        </w:rPr>
        <w:t>项目效益情况分析</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23</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default" w:ascii="仿宋" w:hAnsi="仿宋" w:eastAsia="仿宋"/>
          <w:sz w:val="28"/>
          <w:szCs w:val="40"/>
          <w:lang w:val="en-US" w:eastAsia="zh-CN"/>
        </w:rPr>
      </w:pPr>
      <w:r>
        <w:rPr>
          <w:rFonts w:hint="eastAsia" w:ascii="仿宋" w:hAnsi="仿宋" w:eastAsia="仿宋"/>
          <w:sz w:val="28"/>
          <w:szCs w:val="40"/>
        </w:rPr>
        <w:fldChar w:fldCharType="begin"/>
      </w:r>
      <w:r>
        <w:rPr>
          <w:rFonts w:hint="eastAsia" w:ascii="仿宋" w:hAnsi="仿宋" w:eastAsia="仿宋"/>
          <w:sz w:val="28"/>
          <w:szCs w:val="40"/>
        </w:rPr>
        <w:instrText xml:space="preserve"> HYPERLINK \l _Toc15462 </w:instrText>
      </w:r>
      <w:r>
        <w:rPr>
          <w:rFonts w:hint="eastAsia" w:ascii="仿宋" w:hAnsi="仿宋" w:eastAsia="仿宋"/>
          <w:sz w:val="28"/>
          <w:szCs w:val="40"/>
        </w:rPr>
        <w:fldChar w:fldCharType="separate"/>
      </w:r>
      <w:r>
        <w:rPr>
          <w:rFonts w:ascii="楷体" w:hAnsi="楷体" w:eastAsia="楷体" w:cs="楷体"/>
          <w:bCs w:val="0"/>
          <w:kern w:val="2"/>
          <w:sz w:val="28"/>
          <w:szCs w:val="44"/>
        </w:rPr>
        <w:t>（</w:t>
      </w:r>
      <w:r>
        <w:rPr>
          <w:rFonts w:hint="eastAsia" w:ascii="楷体" w:hAnsi="楷体" w:eastAsia="楷体" w:cs="楷体"/>
          <w:bCs w:val="0"/>
          <w:kern w:val="2"/>
          <w:sz w:val="28"/>
          <w:szCs w:val="44"/>
          <w:lang w:val="en-US" w:eastAsia="zh-CN"/>
        </w:rPr>
        <w:t>五</w:t>
      </w:r>
      <w:r>
        <w:rPr>
          <w:rFonts w:ascii="楷体" w:hAnsi="楷体" w:eastAsia="楷体" w:cs="楷体"/>
          <w:bCs w:val="0"/>
          <w:kern w:val="2"/>
          <w:sz w:val="28"/>
          <w:szCs w:val="44"/>
        </w:rPr>
        <w:t>）</w:t>
      </w:r>
      <w:r>
        <w:rPr>
          <w:rFonts w:hint="eastAsia" w:ascii="楷体" w:hAnsi="楷体" w:eastAsia="楷体" w:cs="楷体"/>
          <w:bCs w:val="0"/>
          <w:kern w:val="2"/>
          <w:sz w:val="28"/>
          <w:szCs w:val="44"/>
          <w:lang w:val="en-US" w:eastAsia="zh-CN"/>
        </w:rPr>
        <w:t>能力建设及可持续影响</w:t>
      </w:r>
      <w:r>
        <w:rPr>
          <w:sz w:val="28"/>
          <w:szCs w:val="36"/>
        </w:rPr>
        <w:tab/>
      </w:r>
      <w:r>
        <w:rPr>
          <w:rFonts w:hint="eastAsia" w:ascii="仿宋" w:hAnsi="仿宋" w:eastAsia="仿宋"/>
          <w:sz w:val="28"/>
          <w:szCs w:val="40"/>
        </w:rPr>
        <w:fldChar w:fldCharType="end"/>
      </w:r>
      <w:r>
        <w:rPr>
          <w:rFonts w:hint="eastAsia" w:ascii="仿宋" w:hAnsi="仿宋" w:eastAsia="仿宋"/>
          <w:sz w:val="28"/>
          <w:szCs w:val="40"/>
          <w:lang w:val="en-US" w:eastAsia="zh-CN"/>
        </w:rPr>
        <w:t>25</w:t>
      </w:r>
    </w:p>
    <w:p>
      <w:pPr>
        <w:pStyle w:val="9"/>
        <w:pageBreakBefore w:val="0"/>
        <w:tabs>
          <w:tab w:val="right" w:leader="dot" w:pos="8306"/>
        </w:tabs>
        <w:kinsoku/>
        <w:wordWrap/>
        <w:overflowPunct/>
        <w:topLinePunct w:val="0"/>
        <w:autoSpaceDE/>
        <w:autoSpaceDN/>
        <w:bidi w:val="0"/>
        <w:adjustRightInd/>
        <w:spacing w:line="560" w:lineRule="exact"/>
        <w:ind w:firstLine="840" w:firstLineChars="300"/>
        <w:rPr>
          <w:rFonts w:hint="default" w:ascii="仿宋" w:hAnsi="仿宋" w:eastAsia="仿宋"/>
          <w:sz w:val="28"/>
          <w:szCs w:val="40"/>
          <w:lang w:val="en-US" w:eastAsia="zh-CN"/>
        </w:rPr>
      </w:pPr>
      <w:r>
        <w:rPr>
          <w:rFonts w:hint="eastAsia" w:ascii="黑体" w:eastAsia="黑体" w:cs="黑体"/>
          <w:bCs w:val="0"/>
          <w:sz w:val="28"/>
          <w:szCs w:val="40"/>
          <w:lang w:val="en-US" w:eastAsia="zh-CN"/>
        </w:rPr>
        <w:fldChar w:fldCharType="begin"/>
      </w:r>
      <w:r>
        <w:rPr>
          <w:rFonts w:hint="eastAsia" w:ascii="黑体" w:eastAsia="黑体" w:cs="黑体"/>
          <w:bCs w:val="0"/>
          <w:sz w:val="28"/>
          <w:szCs w:val="40"/>
          <w:lang w:val="en-US" w:eastAsia="zh-CN"/>
        </w:rPr>
        <w:instrText xml:space="preserve"> HYPERLINK \l _Toc29175 </w:instrText>
      </w:r>
      <w:r>
        <w:rPr>
          <w:rFonts w:hint="eastAsia" w:ascii="黑体" w:eastAsia="黑体" w:cs="黑体"/>
          <w:bCs w:val="0"/>
          <w:sz w:val="28"/>
          <w:szCs w:val="40"/>
          <w:lang w:val="en-US" w:eastAsia="zh-CN"/>
        </w:rPr>
        <w:fldChar w:fldCharType="separate"/>
      </w:r>
      <w:r>
        <w:rPr>
          <w:rFonts w:hint="eastAsia" w:ascii="黑体" w:eastAsia="黑体" w:cs="黑体"/>
          <w:bCs w:val="0"/>
          <w:sz w:val="28"/>
          <w:szCs w:val="40"/>
          <w:lang w:val="en-US" w:eastAsia="zh-CN"/>
        </w:rPr>
        <w:t>五、其他</w:t>
      </w:r>
      <w:r>
        <w:rPr>
          <w:sz w:val="28"/>
          <w:szCs w:val="36"/>
        </w:rPr>
        <w:tab/>
      </w:r>
      <w:r>
        <w:rPr>
          <w:rFonts w:hint="eastAsia" w:ascii="黑体" w:eastAsia="黑体" w:cs="黑体"/>
          <w:bCs w:val="0"/>
          <w:sz w:val="28"/>
          <w:szCs w:val="40"/>
          <w:lang w:val="en-US" w:eastAsia="zh-CN"/>
        </w:rPr>
        <w:fldChar w:fldCharType="end"/>
      </w:r>
      <w:r>
        <w:rPr>
          <w:rFonts w:hint="eastAsia" w:ascii="黑体" w:eastAsia="黑体" w:cs="黑体"/>
          <w:bCs w:val="0"/>
          <w:sz w:val="28"/>
          <w:szCs w:val="40"/>
          <w:lang w:val="en-US" w:eastAsia="zh-CN"/>
        </w:rPr>
        <w:t>27</w:t>
      </w:r>
    </w:p>
    <w:p>
      <w:pPr>
        <w:ind w:firstLine="420" w:firstLineChars="200"/>
        <w:rPr>
          <w:rFonts w:hint="default"/>
          <w:lang w:val="en-US" w:eastAsia="zh-CN"/>
        </w:rPr>
      </w:pPr>
    </w:p>
    <w:p>
      <w:pPr>
        <w:pStyle w:val="9"/>
        <w:pageBreakBefore w:val="0"/>
        <w:tabs>
          <w:tab w:val="right" w:leader="dot" w:pos="8296"/>
        </w:tabs>
        <w:kinsoku/>
        <w:wordWrap/>
        <w:overflowPunct/>
        <w:topLinePunct w:val="0"/>
        <w:autoSpaceDE/>
        <w:autoSpaceDN/>
        <w:bidi w:val="0"/>
        <w:adjustRightInd/>
        <w:spacing w:line="560" w:lineRule="exact"/>
        <w:ind w:firstLine="560" w:firstLineChars="200"/>
        <w:rPr>
          <w:rFonts w:hint="eastAsia" w:ascii="仿宋" w:hAnsi="仿宋" w:eastAsia="仿宋"/>
          <w:sz w:val="28"/>
          <w:szCs w:val="40"/>
        </w:rPr>
      </w:pPr>
      <w:r>
        <w:rPr>
          <w:rFonts w:hint="eastAsia" w:ascii="仿宋" w:hAnsi="仿宋" w:eastAsia="仿宋"/>
          <w:sz w:val="28"/>
          <w:szCs w:val="40"/>
        </w:rPr>
        <w:fldChar w:fldCharType="end"/>
      </w:r>
    </w:p>
    <w:p>
      <w:pPr>
        <w:rPr>
          <w:rFonts w:hint="eastAsia" w:ascii="仿宋" w:hAnsi="仿宋" w:eastAsia="仿宋"/>
          <w:sz w:val="28"/>
          <w:szCs w:val="40"/>
        </w:rPr>
      </w:pPr>
    </w:p>
    <w:p>
      <w:pPr>
        <w:rPr>
          <w:rFonts w:hint="eastAsia" w:ascii="仿宋" w:hAnsi="仿宋" w:eastAsia="仿宋"/>
          <w:sz w:val="28"/>
          <w:szCs w:val="40"/>
        </w:rPr>
      </w:pPr>
    </w:p>
    <w:p>
      <w:pPr>
        <w:rPr>
          <w:rFonts w:hint="eastAsia" w:ascii="仿宋" w:hAnsi="仿宋" w:eastAsia="仿宋"/>
          <w:sz w:val="28"/>
          <w:szCs w:val="40"/>
        </w:rPr>
      </w:pPr>
    </w:p>
    <w:p>
      <w:pPr>
        <w:rPr>
          <w:rFonts w:hint="eastAsia" w:ascii="仿宋" w:hAnsi="仿宋" w:eastAsia="仿宋"/>
          <w:sz w:val="28"/>
          <w:szCs w:val="40"/>
        </w:rPr>
      </w:pPr>
    </w:p>
    <w:p>
      <w:pPr>
        <w:rPr>
          <w:rFonts w:hint="eastAsia" w:ascii="仿宋" w:hAnsi="仿宋" w:eastAsia="仿宋"/>
          <w:sz w:val="28"/>
          <w:szCs w:val="40"/>
        </w:rPr>
      </w:pPr>
    </w:p>
    <w:p>
      <w:pPr>
        <w:keepNext w:val="0"/>
        <w:keepLines w:val="0"/>
        <w:pageBreakBefore w:val="0"/>
        <w:kinsoku/>
        <w:wordWrap/>
        <w:overflowPunct/>
        <w:topLinePunct w:val="0"/>
        <w:autoSpaceDE/>
        <w:autoSpaceDN/>
        <w:bidi w:val="0"/>
        <w:adjustRightInd/>
        <w:snapToGrid/>
        <w:spacing w:before="120" w:after="120" w:line="560" w:lineRule="exact"/>
        <w:ind w:firstLine="723" w:firstLineChars="200"/>
        <w:jc w:val="center"/>
        <w:textAlignment w:val="auto"/>
        <w:outlineLvl w:val="9"/>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pPr>
      <w:r>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t>阳新县城区市政设施智慧化升级利用建设</w:t>
      </w:r>
    </w:p>
    <w:p>
      <w:pPr>
        <w:keepNext w:val="0"/>
        <w:keepLines w:val="0"/>
        <w:pageBreakBefore w:val="0"/>
        <w:kinsoku/>
        <w:wordWrap/>
        <w:overflowPunct/>
        <w:topLinePunct w:val="0"/>
        <w:autoSpaceDE/>
        <w:autoSpaceDN/>
        <w:bidi w:val="0"/>
        <w:adjustRightInd/>
        <w:snapToGrid/>
        <w:spacing w:before="120" w:after="120" w:line="560" w:lineRule="exact"/>
        <w:ind w:firstLine="723" w:firstLineChars="200"/>
        <w:jc w:val="center"/>
        <w:textAlignment w:val="auto"/>
        <w:outlineLvl w:val="9"/>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pPr>
      <w:r>
        <w:rPr>
          <w:rFonts w:hint="eastAsia" w:ascii="宋体" w:hAnsi="宋体" w:eastAsia="方正仿宋_GB2312" w:cs="宋体"/>
          <w:b/>
          <w:color w:val="000000" w:themeColor="text1"/>
          <w:kern w:val="0"/>
          <w:sz w:val="36"/>
          <w:szCs w:val="30"/>
          <w:highlight w:val="none"/>
          <w:lang w:val="en-US" w:eastAsia="zh-CN"/>
          <w14:textFill>
            <w14:solidFill>
              <w14:schemeClr w14:val="tx1"/>
            </w14:solidFill>
          </w14:textFill>
        </w:rPr>
        <w:t>项目绩效评价报告</w:t>
      </w:r>
    </w:p>
    <w:p>
      <w:pPr>
        <w:pStyle w:val="5"/>
        <w:keepNext w:val="0"/>
        <w:keepLines w:val="0"/>
        <w:pageBreakBefore w:val="0"/>
        <w:kinsoku/>
        <w:wordWrap/>
        <w:overflowPunct/>
        <w:topLinePunct w:val="0"/>
        <w:autoSpaceDE/>
        <w:autoSpaceDN/>
        <w:bidi w:val="0"/>
        <w:adjustRightInd/>
        <w:snapToGrid/>
        <w:spacing w:line="560" w:lineRule="exact"/>
        <w:ind w:firstLine="402" w:firstLineChars="200"/>
        <w:rPr>
          <w:rFonts w:hint="eastAsia" w:ascii="仿宋" w:hAnsi="仿宋" w:eastAsia="仿宋" w:cs="仿宋"/>
          <w:b/>
          <w:sz w:val="44"/>
          <w:szCs w:val="44"/>
          <w:highlight w:val="yellow"/>
          <w:lang w:val="en-US" w:eastAsia="zh-CN"/>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 xml:space="preserve">                                               恒泰</w:t>
      </w:r>
      <w:r>
        <w:rPr>
          <w:rFonts w:ascii="宋体" w:hAnsi="宋体" w:eastAsia="宋体" w:cs="宋体"/>
          <w:b/>
          <w:bCs/>
          <w:color w:val="000000" w:themeColor="text1"/>
          <w:sz w:val="20"/>
          <w:szCs w:val="20"/>
          <w:highlight w:val="none"/>
          <w14:textFill>
            <w14:solidFill>
              <w14:schemeClr w14:val="tx1"/>
            </w14:solidFill>
          </w14:textFill>
        </w:rPr>
        <w:t>绩评</w:t>
      </w:r>
      <w:r>
        <w:rPr>
          <w:rFonts w:hint="eastAsia" w:ascii="宋体" w:hAnsi="宋体" w:eastAsia="宋体" w:cs="宋体"/>
          <w:b/>
          <w:bCs/>
          <w:color w:val="000000" w:themeColor="text1"/>
          <w:sz w:val="20"/>
          <w:szCs w:val="20"/>
          <w:highlight w:val="none"/>
          <w:lang w:eastAsia="zh-CN"/>
          <w14:textFill>
            <w14:solidFill>
              <w14:schemeClr w14:val="tx1"/>
            </w14:solidFill>
          </w14:textFill>
        </w:rPr>
        <w:t>后</w:t>
      </w:r>
      <w:r>
        <w:rPr>
          <w:rFonts w:ascii="宋体" w:hAnsi="宋体" w:eastAsia="宋体" w:cs="宋体"/>
          <w:b/>
          <w:bCs/>
          <w:color w:val="000000" w:themeColor="text1"/>
          <w:sz w:val="20"/>
          <w:szCs w:val="20"/>
          <w:highlight w:val="none"/>
          <w14:textFill>
            <w14:solidFill>
              <w14:schemeClr w14:val="tx1"/>
            </w14:solidFill>
          </w14:textFill>
        </w:rPr>
        <w:t>字【</w:t>
      </w:r>
      <w:r>
        <w:rPr>
          <w:rFonts w:ascii="Times New Roman" w:hAnsi="Times New Roman" w:eastAsia="Times New Roman" w:cs="Times New Roman"/>
          <w:b/>
          <w:bCs/>
          <w:color w:val="000000" w:themeColor="text1"/>
          <w:sz w:val="20"/>
          <w:szCs w:val="20"/>
          <w:highlight w:val="none"/>
          <w14:textFill>
            <w14:solidFill>
              <w14:schemeClr w14:val="tx1"/>
            </w14:solidFill>
          </w14:textFill>
        </w:rPr>
        <w:t>202</w:t>
      </w:r>
      <w:r>
        <w:rPr>
          <w:rFonts w:hint="eastAsia" w:ascii="Times New Roman" w:hAnsi="Times New Roman" w:eastAsia="宋体" w:cs="Times New Roman"/>
          <w:b/>
          <w:bCs/>
          <w:color w:val="000000" w:themeColor="text1"/>
          <w:sz w:val="20"/>
          <w:szCs w:val="20"/>
          <w:highlight w:val="none"/>
          <w:lang w:val="en-US" w:eastAsia="zh-CN"/>
          <w14:textFill>
            <w14:solidFill>
              <w14:schemeClr w14:val="tx1"/>
            </w14:solidFill>
          </w14:textFill>
        </w:rPr>
        <w:t>4</w:t>
      </w:r>
      <w:r>
        <w:rPr>
          <w:rFonts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Q06</w:t>
      </w:r>
      <w:r>
        <w:rPr>
          <w:rFonts w:hint="eastAsia" w:ascii="宋体" w:hAnsi="宋体" w:cs="宋体"/>
          <w:b/>
          <w:bCs/>
          <w:color w:val="000000" w:themeColor="text1"/>
          <w:sz w:val="20"/>
          <w:szCs w:val="20"/>
          <w:highlight w:val="none"/>
          <w:lang w:val="en-US" w:eastAsia="zh-CN"/>
          <w14:textFill>
            <w14:solidFill>
              <w14:schemeClr w14:val="tx1"/>
            </w14:solidFill>
          </w14:textFill>
        </w:rPr>
        <w:t>0002</w:t>
      </w:r>
      <w:r>
        <w:rPr>
          <w:rFonts w:ascii="宋体" w:hAnsi="宋体" w:eastAsia="宋体" w:cs="宋体"/>
          <w:b/>
          <w:bCs/>
          <w:color w:val="000000" w:themeColor="text1"/>
          <w:sz w:val="20"/>
          <w:szCs w:val="20"/>
          <w:highlight w:val="none"/>
          <w14:textFill>
            <w14:solidFill>
              <w14:schemeClr w14:val="tx1"/>
            </w14:solidFill>
          </w14:textFill>
        </w:rPr>
        <w:t>号</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eastAsia" w:ascii="仿宋" w:hAnsi="仿宋" w:eastAsia="黑体" w:cs="仿宋"/>
          <w:b/>
          <w:sz w:val="32"/>
          <w:szCs w:val="32"/>
          <w:highlight w:val="none"/>
          <w:lang w:val="en-US" w:eastAsia="zh-CN"/>
        </w:rPr>
      </w:pPr>
      <w:r>
        <w:rPr>
          <w:rFonts w:hint="eastAsia" w:ascii="仿宋" w:hAnsi="仿宋" w:eastAsia="黑体" w:cs="仿宋"/>
          <w:b/>
          <w:sz w:val="32"/>
          <w:szCs w:val="32"/>
          <w:highlight w:val="none"/>
          <w:lang w:val="en-US" w:eastAsia="zh-CN"/>
        </w:rPr>
        <w:t>一、评价结论</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bookmarkStart w:id="0" w:name="_Toc12389"/>
      <w:bookmarkStart w:id="1" w:name="_Toc51331926"/>
      <w:r>
        <w:rPr>
          <w:rFonts w:hint="eastAsia" w:ascii="Times New Roman" w:hAnsi="Times New Roman" w:eastAsia="楷体" w:cs="Times New Roman"/>
          <w:b/>
          <w:bCs/>
          <w:kern w:val="0"/>
          <w:sz w:val="32"/>
          <w:szCs w:val="28"/>
          <w:highlight w:val="none"/>
          <w:lang w:val="en-US" w:eastAsia="zh-CN" w:bidi="ar-SA"/>
        </w:rPr>
        <w:t>（一）绩效评价分数和等级</w:t>
      </w:r>
      <w:bookmarkEnd w:id="0"/>
      <w:bookmarkEnd w:id="1"/>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 参照财政部《项目支出绩效评价管理办法》（财预〔</w:t>
      </w:r>
      <w:r>
        <w:rPr>
          <w:rFonts w:hint="default" w:ascii="仿宋" w:hAnsi="仿宋" w:eastAsia="仿宋" w:cs="仿宋"/>
          <w:kern w:val="2"/>
          <w:sz w:val="32"/>
          <w:szCs w:val="28"/>
          <w:highlight w:val="none"/>
          <w:lang w:val="en-US" w:eastAsia="zh-CN" w:bidi="ar-SA"/>
        </w:rPr>
        <w:t>2020</w:t>
      </w:r>
      <w:r>
        <w:rPr>
          <w:rFonts w:hint="eastAsia" w:ascii="仿宋" w:hAnsi="仿宋" w:eastAsia="仿宋" w:cs="仿宋"/>
          <w:kern w:val="2"/>
          <w:sz w:val="32"/>
          <w:szCs w:val="28"/>
          <w:highlight w:val="none"/>
          <w:lang w:val="en-US" w:eastAsia="zh-CN" w:bidi="ar-SA"/>
        </w:rPr>
        <w:t>〕</w:t>
      </w:r>
      <w:r>
        <w:rPr>
          <w:rFonts w:hint="default" w:ascii="仿宋" w:hAnsi="仿宋" w:eastAsia="仿宋" w:cs="仿宋"/>
          <w:kern w:val="2"/>
          <w:sz w:val="32"/>
          <w:szCs w:val="28"/>
          <w:highlight w:val="none"/>
          <w:lang w:val="en-US" w:eastAsia="zh-CN" w:bidi="ar-SA"/>
        </w:rPr>
        <w:t>10</w:t>
      </w:r>
      <w:r>
        <w:rPr>
          <w:rFonts w:hint="eastAsia" w:ascii="仿宋" w:hAnsi="仿宋" w:eastAsia="仿宋" w:cs="仿宋"/>
          <w:kern w:val="2"/>
          <w:sz w:val="32"/>
          <w:szCs w:val="28"/>
          <w:highlight w:val="none"/>
          <w:lang w:val="en-US" w:eastAsia="zh-CN" w:bidi="ar-SA"/>
        </w:rPr>
        <w:t>号）规定，绩效评价结果划分为四个等级，分别为：60 分以下级别为“差”；60-80 分级别为“一般”；80-90 分级别为“良”；≥90分级别为“优”。</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  阳新县城区市政设施智慧化升级利用建设项目按照项目决策、绩效过程、项目产出、项目效果等方面综合评价得分68.87分，评价等级为“一般”。</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bookmarkStart w:id="2" w:name="_Toc51331927"/>
      <w:bookmarkStart w:id="3" w:name="_Toc24741"/>
      <w:r>
        <w:rPr>
          <w:rFonts w:hint="eastAsia" w:ascii="Times New Roman" w:hAnsi="Times New Roman" w:eastAsia="楷体" w:cs="Times New Roman"/>
          <w:b/>
          <w:bCs/>
          <w:kern w:val="0"/>
          <w:sz w:val="32"/>
          <w:szCs w:val="28"/>
          <w:highlight w:val="none"/>
          <w:lang w:val="en-US" w:eastAsia="zh-CN" w:bidi="ar-SA"/>
        </w:rPr>
        <w:t>（二）绩效评价指标情况</w:t>
      </w:r>
      <w:bookmarkEnd w:id="2"/>
      <w:bookmarkEnd w:id="3"/>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 决策。决策权重12分，实得分6分。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智慧化升级项目决策立项符合政策要求，项目申报程序符合规定，主要扣分是停车位与可研规划相差50%以上；200万以上重大项目提前制定事前绩效指标。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 过程。过程权重13分，得分7.66分。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项目实施遵守了相关法律法规和项目管理规定；主要扣分是存在预算资金未到位和资金执行率偏低，项目监督不力。</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 产出。产出权重50分，得分34.43分。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智慧化升级项目中一、二期的软件和硬件及附属楼基本达到建设规划要求；主要扣分是一期EPC建设及二期停车场扩位建设与目标值偏离60%以上；项目未及时办理竣工验收或结算；年运行利润及收入指标偏离目标。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4. 效果。效果权重25分，得分20.78分。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智慧化升级项目有效缓解了交通拥堵，达到资源充分整合。主要扣分是经济效益解决就业及利润额偏离目标。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eastAsia" w:ascii="仿宋" w:hAnsi="仿宋" w:eastAsia="黑体" w:cs="仿宋"/>
          <w:b/>
          <w:sz w:val="32"/>
          <w:szCs w:val="32"/>
          <w:highlight w:val="none"/>
          <w:lang w:val="en-US" w:eastAsia="zh-CN"/>
        </w:rPr>
      </w:pPr>
      <w:bookmarkStart w:id="4" w:name="_Toc51331928"/>
      <w:bookmarkStart w:id="5" w:name="_Toc17821"/>
      <w:r>
        <w:rPr>
          <w:rFonts w:hint="eastAsia" w:ascii="仿宋" w:hAnsi="仿宋" w:eastAsia="黑体" w:cs="仿宋"/>
          <w:b/>
          <w:sz w:val="32"/>
          <w:szCs w:val="32"/>
          <w:highlight w:val="none"/>
          <w:lang w:val="en-US" w:eastAsia="zh-CN"/>
        </w:rPr>
        <w:t>二、项目存在的问题</w:t>
      </w:r>
      <w:bookmarkEnd w:id="4"/>
      <w:r>
        <w:rPr>
          <w:rFonts w:hint="eastAsia" w:ascii="仿宋" w:hAnsi="仿宋" w:eastAsia="黑体" w:cs="仿宋"/>
          <w:b/>
          <w:sz w:val="32"/>
          <w:szCs w:val="32"/>
          <w:highlight w:val="none"/>
          <w:lang w:val="en-US" w:eastAsia="zh-CN"/>
        </w:rPr>
        <w:t>和原因</w:t>
      </w:r>
      <w:bookmarkEnd w:id="5"/>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（一）项目存在的问题</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停车泊位建设偏离目标过大</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2"/>
          <w:sz w:val="32"/>
          <w:szCs w:val="28"/>
          <w:highlight w:val="none"/>
          <w:lang w:val="en-US" w:eastAsia="zh-CN" w:bidi="ar-SA"/>
        </w:rPr>
        <w:t>项目（一、二期）计划建路内停车位8136个，实际完成4533个；计划建封闭停车场泊位1458个，实际完成513个；计划新建停车位、物业小区停车位7962个，实际完成513个；计划建设道板停车位2000个和将已建设好的商业停</w:t>
      </w:r>
      <w:r>
        <w:rPr>
          <w:rFonts w:hint="eastAsia" w:ascii="仿宋" w:hAnsi="仿宋" w:eastAsia="仿宋" w:cs="仿宋"/>
          <w:kern w:val="0"/>
          <w:sz w:val="32"/>
          <w:szCs w:val="32"/>
          <w:highlight w:val="none"/>
          <w:lang w:val="en-US" w:eastAsia="zh-CN" w:bidi="ar-SA"/>
        </w:rPr>
        <w:t>车场泊位接入智慧化系统5300个还未实施；</w:t>
      </w:r>
      <w:r>
        <w:rPr>
          <w:rFonts w:hint="eastAsia" w:ascii="仿宋" w:hAnsi="仿宋" w:eastAsia="仿宋" w:cs="仿宋"/>
          <w:b/>
          <w:bCs/>
          <w:kern w:val="0"/>
          <w:sz w:val="32"/>
          <w:szCs w:val="32"/>
          <w:highlight w:val="none"/>
          <w:lang w:val="en-US" w:eastAsia="zh-CN" w:bidi="ar-SA"/>
        </w:rPr>
        <w:t>泊位建设与可研规划相差甚远</w:t>
      </w:r>
      <w:r>
        <w:rPr>
          <w:rFonts w:hint="eastAsia" w:ascii="仿宋" w:hAnsi="仿宋" w:eastAsia="仿宋" w:cs="仿宋"/>
          <w:kern w:val="0"/>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0"/>
          <w:sz w:val="32"/>
          <w:szCs w:val="32"/>
          <w:highlight w:val="none"/>
          <w:lang w:val="en-US" w:eastAsia="zh-CN" w:bidi="ar-SA"/>
        </w:rPr>
        <w:t xml:space="preserve">2. </w:t>
      </w:r>
      <w:r>
        <w:rPr>
          <w:rFonts w:hint="eastAsia" w:ascii="Times New Roman" w:hAnsi="Times New Roman" w:eastAsia="楷体" w:cs="Times New Roman"/>
          <w:b/>
          <w:bCs/>
          <w:kern w:val="0"/>
          <w:sz w:val="32"/>
          <w:szCs w:val="28"/>
          <w:highlight w:val="none"/>
          <w:lang w:val="en-US" w:eastAsia="zh-CN" w:bidi="ar-SA"/>
        </w:rPr>
        <w:t>营收与规划偏离目标</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2"/>
          <w:sz w:val="32"/>
          <w:szCs w:val="28"/>
          <w:highlight w:val="none"/>
          <w:lang w:val="en-US" w:eastAsia="zh-CN" w:bidi="ar-SA"/>
        </w:rPr>
        <w:t>项目规划运营收入2022年1289.58万元、2023年1418.53万元；实际2022年未运营，2023年运营收入537.47</w:t>
      </w:r>
      <w:r>
        <w:rPr>
          <w:rFonts w:hint="eastAsia" w:ascii="仿宋" w:hAnsi="仿宋" w:eastAsia="仿宋" w:cs="仿宋"/>
          <w:kern w:val="0"/>
          <w:sz w:val="32"/>
          <w:szCs w:val="32"/>
          <w:highlight w:val="none"/>
          <w:lang w:val="en-US" w:eastAsia="zh-CN" w:bidi="ar-SA"/>
        </w:rPr>
        <w:t>万元，2023年</w:t>
      </w:r>
      <w:r>
        <w:rPr>
          <w:rFonts w:hint="eastAsia" w:ascii="仿宋" w:hAnsi="仿宋" w:eastAsia="仿宋" w:cs="仿宋"/>
          <w:b/>
          <w:bCs/>
          <w:kern w:val="0"/>
          <w:sz w:val="32"/>
          <w:szCs w:val="32"/>
          <w:highlight w:val="none"/>
          <w:lang w:val="en-US" w:eastAsia="zh-CN" w:bidi="ar-SA"/>
        </w:rPr>
        <w:t>达成率37.96%</w:t>
      </w:r>
      <w:r>
        <w:rPr>
          <w:rFonts w:hint="eastAsia" w:ascii="仿宋" w:hAnsi="仿宋" w:eastAsia="仿宋" w:cs="仿宋"/>
          <w:kern w:val="0"/>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2"/>
          <w:sz w:val="32"/>
          <w:szCs w:val="28"/>
          <w:highlight w:val="none"/>
          <w:lang w:val="en-US" w:eastAsia="zh-CN" w:bidi="ar-SA"/>
        </w:rPr>
        <w:t>项目2022年计划利润额1289.58万元，2023年</w:t>
      </w:r>
      <w:r>
        <w:rPr>
          <w:rFonts w:hint="eastAsia" w:ascii="仿宋" w:hAnsi="仿宋" w:eastAsia="仿宋" w:cs="仿宋"/>
          <w:kern w:val="0"/>
          <w:sz w:val="32"/>
          <w:szCs w:val="32"/>
          <w:highlight w:val="none"/>
          <w:lang w:val="en-US" w:eastAsia="zh-CN" w:bidi="ar-SA"/>
        </w:rPr>
        <w:t>82.58万元；2023年实际利润额26.72万元，</w:t>
      </w:r>
      <w:r>
        <w:rPr>
          <w:rFonts w:hint="eastAsia" w:ascii="仿宋" w:hAnsi="仿宋" w:eastAsia="仿宋" w:cs="仿宋"/>
          <w:b/>
          <w:bCs/>
          <w:kern w:val="0"/>
          <w:sz w:val="32"/>
          <w:szCs w:val="32"/>
          <w:highlight w:val="none"/>
          <w:lang w:val="en-US" w:eastAsia="zh-CN" w:bidi="ar-SA"/>
        </w:rPr>
        <w:t>达成率32.36%</w:t>
      </w:r>
      <w:r>
        <w:rPr>
          <w:rFonts w:hint="eastAsia" w:ascii="仿宋" w:hAnsi="仿宋" w:eastAsia="仿宋" w:cs="仿宋"/>
          <w:kern w:val="0"/>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0"/>
          <w:sz w:val="32"/>
          <w:szCs w:val="32"/>
          <w:highlight w:val="none"/>
          <w:lang w:val="en-US" w:eastAsia="zh-CN" w:bidi="ar-SA"/>
        </w:rPr>
        <w:t xml:space="preserve">3. </w:t>
      </w:r>
      <w:r>
        <w:rPr>
          <w:rFonts w:hint="eastAsia" w:ascii="Times New Roman" w:hAnsi="Times New Roman" w:eastAsia="楷体" w:cs="Times New Roman"/>
          <w:b/>
          <w:bCs/>
          <w:kern w:val="0"/>
          <w:sz w:val="32"/>
          <w:szCs w:val="28"/>
          <w:highlight w:val="none"/>
          <w:lang w:val="en-US" w:eastAsia="zh-CN" w:bidi="ar-SA"/>
        </w:rPr>
        <w:t>合同执行不严谨，违反法律条款</w:t>
      </w:r>
    </w:p>
    <w:p>
      <w:pPr>
        <w:pStyle w:val="5"/>
        <w:ind w:firstLine="640" w:firstLineChars="200"/>
        <w:jc w:val="left"/>
        <w:rPr>
          <w:rFonts w:hint="eastAsia" w:ascii="仿宋" w:hAnsi="仿宋" w:eastAsia="仿宋" w:cs="仿宋"/>
          <w:b/>
          <w:bCs/>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一期EPC项目由宏发公司5071万元中标承建，但宏发实际只完成土建工程量1900万元，停车场工程量1100万元（因未办理竣工结算，数据为暂估），在该工程还未办理竣工验收情况下，剩余工程城发公司又转包给深圳智优停公司，</w:t>
      </w:r>
      <w:r>
        <w:rPr>
          <w:rFonts w:hint="eastAsia" w:ascii="仿宋" w:hAnsi="仿宋" w:eastAsia="仿宋" w:cs="仿宋"/>
          <w:b/>
          <w:bCs/>
          <w:kern w:val="0"/>
          <w:sz w:val="32"/>
          <w:szCs w:val="32"/>
          <w:highlight w:val="none"/>
          <w:lang w:val="en-US" w:eastAsia="zh-CN" w:bidi="ar-SA"/>
        </w:rPr>
        <w:t>此行为违反《中华人民共和国建筑法》第二十八条：禁止承包单位将其承包的工程转包给他人，宏发公司一期EPC尚未完工办理竣工验收的情况下，如无技术、无能力、无条件是如何中标的，同时智优停公司到底做了哪些工程量目前也没有资料，存在项目规划不严谨，程序违规。</w:t>
      </w:r>
    </w:p>
    <w:p>
      <w:pPr>
        <w:pStyle w:val="5"/>
        <w:ind w:firstLine="643" w:firstLineChars="200"/>
        <w:jc w:val="left"/>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4. 未完成事前绩效申报</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《湖北省财政厅关于印发全面实施预算绩效管理系列制度的通知》</w:t>
      </w:r>
      <w:r>
        <w:rPr>
          <w:rFonts w:hint="eastAsia" w:ascii="仿宋" w:hAnsi="仿宋" w:eastAsia="仿宋" w:cs="仿宋"/>
          <w:b/>
          <w:bCs/>
          <w:kern w:val="0"/>
          <w:sz w:val="32"/>
          <w:szCs w:val="32"/>
          <w:highlight w:val="none"/>
          <w:lang w:val="en-US" w:eastAsia="zh-CN" w:bidi="ar-SA"/>
        </w:rPr>
        <w:t>鄂财绩发〔2020〕3号文件要求，200万元以上重大建设项目须进行事前绩效评定工作。本项目未见事前绩效目标，无从对比分析目标完成情况</w:t>
      </w:r>
      <w:r>
        <w:rPr>
          <w:rFonts w:hint="eastAsia" w:ascii="仿宋" w:hAnsi="仿宋" w:eastAsia="仿宋" w:cs="仿宋"/>
          <w:kern w:val="0"/>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0"/>
          <w:sz w:val="32"/>
          <w:szCs w:val="32"/>
          <w:highlight w:val="none"/>
          <w:lang w:val="en-US" w:eastAsia="zh-CN" w:bidi="ar-SA"/>
        </w:rPr>
        <w:t xml:space="preserve">5. </w:t>
      </w:r>
      <w:r>
        <w:rPr>
          <w:rFonts w:hint="eastAsia" w:ascii="Times New Roman" w:hAnsi="Times New Roman" w:eastAsia="楷体" w:cs="Times New Roman"/>
          <w:b/>
          <w:bCs/>
          <w:kern w:val="0"/>
          <w:sz w:val="32"/>
          <w:szCs w:val="28"/>
          <w:highlight w:val="none"/>
          <w:lang w:val="en-US" w:eastAsia="zh-CN" w:bidi="ar-SA"/>
        </w:rPr>
        <w:t>新能源车充电桩不足</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随着新能源车逐步增多，停车场内停车位应建设相应的充电桩，目前已建成的部分停车场有部分无充电桩，亦未铺设地下电缆线，预留充电桩口，已建成的停车场也存在充电桩位过少，可能造成工程完工后就跟不上新能源车的发展步伐。</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6. </w:t>
      </w:r>
      <w:r>
        <w:rPr>
          <w:rFonts w:hint="eastAsia" w:ascii="Times New Roman" w:hAnsi="Times New Roman" w:eastAsia="楷体" w:cs="Times New Roman"/>
          <w:b/>
          <w:bCs/>
          <w:kern w:val="0"/>
          <w:sz w:val="32"/>
          <w:szCs w:val="28"/>
          <w:highlight w:val="none"/>
          <w:lang w:val="en-US" w:eastAsia="zh-CN" w:bidi="ar-SA"/>
        </w:rPr>
        <w:t>未及时办理工程竣工结算</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宏发公司承建EPC设施项目于2023年2月已完工，宏发承建的二期停车扩位工程也已完工，但报告截止日止还 未办理项目竣工结算。</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default"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7. </w:t>
      </w:r>
      <w:r>
        <w:rPr>
          <w:rFonts w:hint="eastAsia" w:ascii="Times New Roman" w:hAnsi="Times New Roman" w:eastAsia="楷体" w:cs="Times New Roman"/>
          <w:b/>
          <w:bCs/>
          <w:kern w:val="0"/>
          <w:sz w:val="32"/>
          <w:szCs w:val="28"/>
          <w:highlight w:val="none"/>
          <w:lang w:val="en-US" w:eastAsia="zh-CN" w:bidi="ar-SA"/>
        </w:rPr>
        <w:t>中标金额偏高</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二期扩位工程在唱标金额中，湖北顺安水利水电安装制作工程有限公司报价10,876,751.98，阳新县恒达建筑有限公司报价10,956,235.99元，</w:t>
      </w:r>
      <w:r>
        <w:rPr>
          <w:rFonts w:hint="eastAsia" w:ascii="仿宋" w:hAnsi="仿宋" w:eastAsia="仿宋" w:cs="仿宋"/>
          <w:b/>
          <w:bCs/>
          <w:kern w:val="0"/>
          <w:sz w:val="32"/>
          <w:szCs w:val="32"/>
          <w:highlight w:val="none"/>
          <w:lang w:val="en-US" w:eastAsia="zh-CN"/>
        </w:rPr>
        <w:t>都要低于阳新县宏发建筑有限公司的10,977,748.68元</w:t>
      </w:r>
      <w:r>
        <w:rPr>
          <w:rFonts w:hint="eastAsia" w:ascii="仿宋" w:hAnsi="仿宋" w:eastAsia="仿宋" w:cs="仿宋"/>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0"/>
          <w:sz w:val="32"/>
          <w:szCs w:val="32"/>
          <w:highlight w:val="none"/>
          <w:lang w:val="en-US" w:eastAsia="zh-CN"/>
        </w:rPr>
        <w:t xml:space="preserve">8. </w:t>
      </w:r>
      <w:r>
        <w:rPr>
          <w:rFonts w:hint="eastAsia" w:ascii="Times New Roman" w:hAnsi="Times New Roman" w:eastAsia="楷体" w:cs="Times New Roman"/>
          <w:b/>
          <w:bCs/>
          <w:kern w:val="0"/>
          <w:sz w:val="32"/>
          <w:szCs w:val="28"/>
          <w:highlight w:val="none"/>
          <w:lang w:val="en-US" w:eastAsia="zh-CN" w:bidi="ar-SA"/>
        </w:rPr>
        <w:t>路侧停车欠费严重</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kern w:val="0"/>
          <w:sz w:val="32"/>
          <w:szCs w:val="32"/>
          <w:highlight w:val="none"/>
          <w:lang w:val="en-US" w:eastAsia="zh-CN"/>
        </w:rPr>
      </w:pPr>
      <w:r>
        <w:rPr>
          <w:rFonts w:hint="eastAsia" w:ascii="仿宋" w:hAnsi="仿宋" w:eastAsia="仿宋" w:cs="仿宋"/>
          <w:kern w:val="2"/>
          <w:sz w:val="32"/>
          <w:szCs w:val="28"/>
          <w:highlight w:val="none"/>
          <w:lang w:val="en-US" w:eastAsia="zh-CN" w:bidi="ar-SA"/>
        </w:rPr>
        <w:t>2023年项目应收538.47万元，实际收款443.99万元，尚有94.47万元欠款；2024年1-6月应收366.75万元，实</w:t>
      </w:r>
      <w:r>
        <w:rPr>
          <w:rFonts w:hint="eastAsia" w:ascii="仿宋" w:hAnsi="仿宋" w:eastAsia="仿宋" w:cs="仿宋"/>
          <w:kern w:val="0"/>
          <w:sz w:val="32"/>
          <w:szCs w:val="32"/>
          <w:highlight w:val="none"/>
          <w:lang w:val="en-US" w:eastAsia="zh-CN"/>
        </w:rPr>
        <w:t>收284.41万元，尚有欠款23.08万元，原因主要系</w:t>
      </w:r>
      <w:r>
        <w:rPr>
          <w:rFonts w:hint="eastAsia" w:ascii="仿宋" w:hAnsi="仿宋" w:eastAsia="仿宋" w:cs="仿宋"/>
          <w:b/>
          <w:bCs/>
          <w:kern w:val="0"/>
          <w:sz w:val="32"/>
          <w:szCs w:val="32"/>
          <w:highlight w:val="none"/>
          <w:lang w:val="en-US" w:eastAsia="zh-CN"/>
        </w:rPr>
        <w:t>路侧停车场为场外停车，不便于监督，存在偷逃费现象</w:t>
      </w:r>
      <w:r>
        <w:rPr>
          <w:rFonts w:hint="eastAsia" w:ascii="仿宋" w:hAnsi="仿宋" w:eastAsia="仿宋" w:cs="仿宋"/>
          <w:kern w:val="0"/>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0"/>
          <w:sz w:val="32"/>
          <w:szCs w:val="32"/>
          <w:highlight w:val="none"/>
          <w:lang w:val="en-US" w:eastAsia="zh-CN"/>
        </w:rPr>
        <w:t xml:space="preserve">9. </w:t>
      </w:r>
      <w:r>
        <w:rPr>
          <w:rFonts w:hint="eastAsia" w:ascii="Times New Roman" w:hAnsi="Times New Roman" w:eastAsia="楷体" w:cs="Times New Roman"/>
          <w:b/>
          <w:bCs/>
          <w:kern w:val="0"/>
          <w:sz w:val="32"/>
          <w:szCs w:val="28"/>
          <w:highlight w:val="none"/>
          <w:lang w:val="en-US" w:eastAsia="zh-CN" w:bidi="ar-SA"/>
        </w:rPr>
        <w:t>中标单位建设内容超出其经营特性范围</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both"/>
        <w:textAlignment w:val="auto"/>
        <w:rPr>
          <w:rFonts w:hint="eastAsia" w:ascii="仿宋" w:hAnsi="仿宋" w:eastAsia="仿宋" w:cs="仿宋"/>
          <w:kern w:val="0"/>
          <w:sz w:val="32"/>
          <w:szCs w:val="32"/>
          <w:highlight w:val="none"/>
          <w:lang w:val="en-US" w:eastAsia="zh-CN"/>
        </w:rPr>
      </w:pPr>
      <w:r>
        <w:rPr>
          <w:rFonts w:hint="eastAsia" w:ascii="仿宋" w:hAnsi="仿宋" w:eastAsia="仿宋" w:cs="仿宋"/>
          <w:b/>
          <w:bCs/>
          <w:kern w:val="0"/>
          <w:sz w:val="32"/>
          <w:szCs w:val="32"/>
          <w:highlight w:val="none"/>
          <w:lang w:val="en-US" w:eastAsia="zh-CN"/>
        </w:rPr>
        <w:t>溢丰数字科技作为信息产业公司并无装修业务经营范围和资质，而该工程项目包含装修、装饰工程，</w:t>
      </w:r>
      <w:r>
        <w:rPr>
          <w:rFonts w:hint="eastAsia" w:ascii="仿宋" w:hAnsi="仿宋" w:eastAsia="仿宋" w:cs="仿宋"/>
          <w:kern w:val="0"/>
          <w:sz w:val="32"/>
          <w:szCs w:val="32"/>
          <w:highlight w:val="none"/>
          <w:lang w:val="en-US" w:eastAsia="zh-CN"/>
        </w:rPr>
        <w:t>比如：吊顶龙骨、地面瓷砖、墙面刮白，窗帘，软水机等，不适合电信经营商的经营范围。</w:t>
      </w:r>
    </w:p>
    <w:p>
      <w:pPr>
        <w:keepNext w:val="0"/>
        <w:keepLines w:val="0"/>
        <w:pageBreakBefore w:val="0"/>
        <w:widowControl/>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0"/>
          <w:sz w:val="32"/>
          <w:szCs w:val="32"/>
          <w:highlight w:val="none"/>
          <w:lang w:val="en-US" w:eastAsia="zh-CN"/>
        </w:rPr>
        <w:t xml:space="preserve">10. </w:t>
      </w:r>
      <w:r>
        <w:rPr>
          <w:rFonts w:hint="eastAsia" w:ascii="Times New Roman" w:hAnsi="Times New Roman" w:eastAsia="楷体" w:cs="Times New Roman"/>
          <w:b/>
          <w:bCs/>
          <w:kern w:val="0"/>
          <w:sz w:val="32"/>
          <w:szCs w:val="28"/>
          <w:highlight w:val="none"/>
          <w:lang w:val="en-US" w:eastAsia="zh-CN" w:bidi="ar-SA"/>
        </w:rPr>
        <w:t>设备检验时间较长</w:t>
      </w:r>
    </w:p>
    <w:p>
      <w:pPr>
        <w:keepNext w:val="0"/>
        <w:keepLines w:val="0"/>
        <w:pageBreakBefore w:val="0"/>
        <w:kinsoku/>
        <w:wordWrap/>
        <w:overflowPunct/>
        <w:topLinePunct w:val="0"/>
        <w:bidi w:val="0"/>
        <w:adjustRightInd/>
        <w:snapToGrid w:val="0"/>
        <w:spacing w:line="360" w:lineRule="auto"/>
        <w:ind w:firstLine="640" w:firstLineChars="200"/>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电子产品软硬件更新率都比较快，设备长时间存放过久会影响电子产品的品质，智慧化升级硬件工程项目承包商</w:t>
      </w:r>
      <w:r>
        <w:rPr>
          <w:rFonts w:hint="eastAsia" w:ascii="仿宋" w:hAnsi="仿宋" w:eastAsia="仿宋" w:cs="仿宋"/>
          <w:b/>
          <w:bCs/>
          <w:kern w:val="2"/>
          <w:sz w:val="32"/>
          <w:szCs w:val="28"/>
          <w:highlight w:val="none"/>
          <w:lang w:val="en-US" w:eastAsia="zh-CN" w:bidi="ar-SA"/>
        </w:rPr>
        <w:t>（溢丰）提供的部分设备的检验日期时间超过5年</w:t>
      </w:r>
      <w:r>
        <w:rPr>
          <w:rFonts w:hint="eastAsia" w:ascii="仿宋" w:hAnsi="仿宋" w:eastAsia="仿宋" w:cs="仿宋"/>
          <w:kern w:val="2"/>
          <w:sz w:val="32"/>
          <w:szCs w:val="28"/>
          <w:highlight w:val="none"/>
          <w:lang w:val="en-US" w:eastAsia="zh-CN" w:bidi="ar-SA"/>
        </w:rPr>
        <w:t>。</w:t>
      </w:r>
    </w:p>
    <w:p>
      <w:pPr>
        <w:keepNext w:val="0"/>
        <w:keepLines w:val="0"/>
        <w:pageBreakBefore w:val="0"/>
        <w:kinsoku/>
        <w:wordWrap/>
        <w:overflowPunct/>
        <w:topLinePunct w:val="0"/>
        <w:bidi w:val="0"/>
        <w:adjustRightInd/>
        <w:snapToGrid w:val="0"/>
        <w:spacing w:line="360" w:lineRule="auto"/>
        <w:ind w:firstLine="640" w:firstLineChars="200"/>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11. </w:t>
      </w:r>
      <w:r>
        <w:rPr>
          <w:rFonts w:hint="eastAsia" w:ascii="Times New Roman" w:hAnsi="Times New Roman" w:eastAsia="楷体" w:cs="Times New Roman"/>
          <w:b/>
          <w:bCs/>
          <w:kern w:val="0"/>
          <w:sz w:val="32"/>
          <w:szCs w:val="28"/>
          <w:highlight w:val="none"/>
          <w:lang w:val="en-US" w:eastAsia="zh-CN" w:bidi="ar-SA"/>
        </w:rPr>
        <w:t>项目监督缺失</w:t>
      </w:r>
    </w:p>
    <w:p>
      <w:pPr>
        <w:pStyle w:val="3"/>
        <w:numPr>
          <w:ilvl w:val="3"/>
          <w:numId w:val="0"/>
        </w:numPr>
        <w:ind w:leftChars="0" w:firstLine="640" w:firstLineChars="200"/>
        <w:rPr>
          <w:rFonts w:hint="eastAsia" w:ascii="仿宋" w:hAnsi="仿宋" w:eastAsia="仿宋" w:cstheme="minorBidi"/>
          <w:kern w:val="2"/>
          <w:sz w:val="32"/>
          <w:szCs w:val="32"/>
          <w:highlight w:val="none"/>
          <w:lang w:val="en-US" w:eastAsia="zh-CN" w:bidi="ar-SA"/>
        </w:rPr>
      </w:pPr>
      <w:r>
        <w:rPr>
          <w:rFonts w:hint="eastAsia" w:ascii="仿宋" w:hAnsi="仿宋" w:eastAsia="仿宋" w:cstheme="minorBidi"/>
          <w:kern w:val="2"/>
          <w:sz w:val="32"/>
          <w:szCs w:val="32"/>
          <w:highlight w:val="none"/>
          <w:lang w:val="en-US" w:eastAsia="zh-CN" w:bidi="ar-SA"/>
        </w:rPr>
        <w:t>城管执法局作为业主未发挥好监督职能，执法局</w:t>
      </w:r>
      <w:r>
        <w:rPr>
          <w:rFonts w:hint="eastAsia" w:ascii="仿宋" w:hAnsi="仿宋" w:eastAsia="仿宋" w:cstheme="minorBidi"/>
          <w:b/>
          <w:bCs w:val="0"/>
          <w:kern w:val="2"/>
          <w:sz w:val="32"/>
          <w:szCs w:val="32"/>
          <w:highlight w:val="none"/>
          <w:lang w:val="en-US" w:eastAsia="zh-CN" w:bidi="ar-SA"/>
        </w:rPr>
        <w:t>无任何项目运行后的监督表格及项目总结报告和项目问题整改措施，缺少相应的项目监督管理制度</w:t>
      </w:r>
      <w:r>
        <w:rPr>
          <w:rFonts w:hint="eastAsia" w:ascii="仿宋" w:hAnsi="仿宋" w:eastAsia="仿宋" w:cstheme="minorBidi"/>
          <w:kern w:val="2"/>
          <w:sz w:val="32"/>
          <w:szCs w:val="32"/>
          <w:highlight w:val="none"/>
          <w:lang w:val="en-US" w:eastAsia="zh-CN" w:bidi="ar-SA"/>
        </w:rPr>
        <w:t>。</w:t>
      </w:r>
    </w:p>
    <w:p>
      <w:pPr>
        <w:pStyle w:val="3"/>
        <w:numPr>
          <w:ilvl w:val="3"/>
          <w:numId w:val="0"/>
        </w:numPr>
        <w:ind w:leftChars="0" w:firstLine="640" w:firstLineChars="200"/>
        <w:rPr>
          <w:rFonts w:hint="default" w:ascii="Times New Roman" w:hAnsi="Times New Roman" w:eastAsia="楷体" w:cs="Times New Roman"/>
          <w:b/>
          <w:bCs/>
          <w:kern w:val="0"/>
          <w:sz w:val="32"/>
          <w:szCs w:val="28"/>
          <w:highlight w:val="none"/>
          <w:lang w:val="en-US" w:eastAsia="zh-CN" w:bidi="ar-SA"/>
        </w:rPr>
      </w:pPr>
      <w:r>
        <w:rPr>
          <w:rFonts w:hint="eastAsia" w:ascii="仿宋" w:hAnsi="仿宋" w:eastAsia="仿宋" w:cstheme="minorBidi"/>
          <w:kern w:val="2"/>
          <w:sz w:val="32"/>
          <w:szCs w:val="32"/>
          <w:highlight w:val="none"/>
          <w:lang w:val="en-US" w:eastAsia="zh-CN" w:bidi="ar-SA"/>
        </w:rPr>
        <w:t xml:space="preserve">12. </w:t>
      </w:r>
      <w:r>
        <w:rPr>
          <w:rFonts w:hint="eastAsia" w:ascii="Times New Roman" w:hAnsi="Times New Roman" w:eastAsia="楷体" w:cs="Times New Roman"/>
          <w:b/>
          <w:bCs/>
          <w:kern w:val="0"/>
          <w:sz w:val="32"/>
          <w:szCs w:val="28"/>
          <w:highlight w:val="none"/>
          <w:lang w:val="en-US" w:eastAsia="zh-CN" w:bidi="ar-SA"/>
        </w:rPr>
        <w:t>验收资料手续不严谨</w:t>
      </w:r>
    </w:p>
    <w:p>
      <w:pPr>
        <w:pStyle w:val="3"/>
        <w:numPr>
          <w:ilvl w:val="3"/>
          <w:numId w:val="0"/>
        </w:numPr>
        <w:ind w:leftChars="0" w:firstLine="640" w:firstLineChars="200"/>
        <w:rPr>
          <w:rFonts w:hint="default" w:ascii="仿宋" w:hAnsi="仿宋" w:eastAsia="仿宋" w:cstheme="minorBidi"/>
          <w:kern w:val="2"/>
          <w:sz w:val="32"/>
          <w:szCs w:val="32"/>
          <w:highlight w:val="none"/>
          <w:lang w:val="en-US" w:eastAsia="zh-CN" w:bidi="ar-SA"/>
        </w:rPr>
      </w:pPr>
      <w:r>
        <w:rPr>
          <w:rFonts w:hint="eastAsia" w:ascii="仿宋" w:hAnsi="仿宋" w:eastAsia="仿宋" w:cstheme="minorBidi"/>
          <w:kern w:val="2"/>
          <w:sz w:val="32"/>
          <w:szCs w:val="32"/>
          <w:highlight w:val="none"/>
          <w:lang w:val="en-US" w:eastAsia="zh-CN" w:bidi="ar-SA"/>
        </w:rPr>
        <w:t>验收方案日期封面2021年10月，验收时间安排2020年11月，</w:t>
      </w:r>
      <w:r>
        <w:rPr>
          <w:rFonts w:hint="eastAsia" w:ascii="仿宋" w:hAnsi="仿宋" w:eastAsia="仿宋" w:cstheme="minorBidi"/>
          <w:b/>
          <w:bCs w:val="0"/>
          <w:kern w:val="2"/>
          <w:sz w:val="32"/>
          <w:szCs w:val="32"/>
          <w:highlight w:val="none"/>
          <w:lang w:val="en-US" w:eastAsia="zh-CN" w:bidi="ar-SA"/>
        </w:rPr>
        <w:t>流程审核程序不规范。</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（二）下一步工作建议</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加速停车场（位）建设</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加快停车场建设，在学校、医院、商场等车流较多的地区新规划建设若干停车场；根据我们现场查看情况，道路停车位建设完成进度还稍显滞后，已建成的停车位部分未划线或者划线还未安装路牙监控，应加快建设进度。</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2. </w:t>
      </w:r>
      <w:r>
        <w:rPr>
          <w:rFonts w:hint="eastAsia" w:ascii="Times New Roman" w:hAnsi="Times New Roman" w:eastAsia="楷体" w:cs="Times New Roman"/>
          <w:b/>
          <w:bCs/>
          <w:kern w:val="0"/>
          <w:sz w:val="32"/>
          <w:szCs w:val="28"/>
          <w:highlight w:val="none"/>
          <w:lang w:val="en-US" w:eastAsia="zh-CN" w:bidi="ar-SA"/>
        </w:rPr>
        <w:t>更合理地优化布局停车场（位）</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在现有基础上，梳理、优化布局，在个别停车需求矛盾突出的地段再新修建若干停车位，同时也须加大电车充电桩建设，利用数据互通信息提高现有充电桩的使用效率，为新能源车发展提供服务保障。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3. </w:t>
      </w:r>
      <w:r>
        <w:rPr>
          <w:rFonts w:hint="eastAsia" w:ascii="Times New Roman" w:hAnsi="Times New Roman" w:eastAsia="楷体" w:cs="Times New Roman"/>
          <w:b/>
          <w:bCs/>
          <w:kern w:val="0"/>
          <w:sz w:val="32"/>
          <w:szCs w:val="28"/>
          <w:highlight w:val="none"/>
          <w:lang w:val="en-US" w:eastAsia="zh-CN" w:bidi="ar-SA"/>
        </w:rPr>
        <w:t>加强工程项目管理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及时跟进工程进度，加强工程监理，督促施工单位按设计要求施工，项目完工后及时办理竣工验收及工程结算。</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4. </w:t>
      </w:r>
      <w:r>
        <w:rPr>
          <w:rFonts w:hint="eastAsia" w:ascii="Times New Roman" w:hAnsi="Times New Roman" w:eastAsia="楷体" w:cs="Times New Roman"/>
          <w:b/>
          <w:bCs/>
          <w:kern w:val="0"/>
          <w:sz w:val="32"/>
          <w:szCs w:val="28"/>
          <w:highlight w:val="none"/>
          <w:lang w:val="en-US" w:eastAsia="zh-CN" w:bidi="ar-SA"/>
        </w:rPr>
        <w:t>优化利用现有建设成果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智慧交通项目各平台项目均已完工，但部分建设成果未得到最大化的利用。如商业停车场还未按规划统一纳入智慧化系统，部分路侧停车场还未安装路牙监控器，建议进一步查漏补缺。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3"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5. 多部门合力加强城市管理和交通管制</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建议加强城管综合执法，清理整顿电动车、三轮车乱停乱放、临街商铺业主和居民堆放杂物违规占用公用汽车车位，以及“僵尸车”长期占用公共停车位的状况，并同时合理划定非机动车停车位。</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6. </w:t>
      </w:r>
      <w:r>
        <w:rPr>
          <w:rFonts w:hint="eastAsia" w:ascii="Times New Roman" w:hAnsi="Times New Roman" w:eastAsia="楷体" w:cs="Times New Roman"/>
          <w:b/>
          <w:bCs/>
          <w:kern w:val="0"/>
          <w:sz w:val="32"/>
          <w:szCs w:val="28"/>
          <w:highlight w:val="none"/>
          <w:lang w:val="en-US" w:eastAsia="zh-CN" w:bidi="ar-SA"/>
        </w:rPr>
        <w:t>主动依法公开预算及执行情况</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按照《中华人民共和国预算法》、《中华人民共和国政府信息公开条例》的规定，将预算及执行情况以及绩效评价结果及时在政府门户网站公开，主动接受社会公众监督，而不是隐瞒或拒绝提供相关数据</w:t>
      </w:r>
      <w:bookmarkStart w:id="6" w:name="_Toc14244"/>
      <w:bookmarkStart w:id="7" w:name="_Toc51331930"/>
      <w:r>
        <w:rPr>
          <w:rFonts w:hint="eastAsia" w:ascii="仿宋" w:hAnsi="仿宋" w:eastAsia="仿宋" w:cs="仿宋"/>
          <w:kern w:val="2"/>
          <w:sz w:val="32"/>
          <w:szCs w:val="28"/>
          <w:highlight w:val="none"/>
          <w:lang w:val="en-US" w:eastAsia="zh-CN" w:bidi="ar-SA"/>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7. </w:t>
      </w:r>
      <w:r>
        <w:rPr>
          <w:rFonts w:hint="eastAsia" w:ascii="Times New Roman" w:hAnsi="Times New Roman" w:eastAsia="楷体" w:cs="Times New Roman"/>
          <w:b/>
          <w:bCs/>
          <w:kern w:val="0"/>
          <w:sz w:val="32"/>
          <w:szCs w:val="28"/>
          <w:highlight w:val="none"/>
          <w:lang w:val="en-US" w:eastAsia="zh-CN" w:bidi="ar-SA"/>
        </w:rPr>
        <w:t>做好事前绩效申报</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项目事前可研报告指标关系项目的成败，要保证项目前期在充分了解、调查和数据对比分析的基础上，保证各项指标的客观公正，逻辑清晰，并随着项目状况的变化及时更新调整指标。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8. </w:t>
      </w:r>
      <w:r>
        <w:rPr>
          <w:rFonts w:hint="eastAsia" w:ascii="Times New Roman" w:hAnsi="Times New Roman" w:eastAsia="楷体" w:cs="Times New Roman"/>
          <w:b/>
          <w:bCs/>
          <w:kern w:val="0"/>
          <w:sz w:val="32"/>
          <w:szCs w:val="28"/>
          <w:highlight w:val="none"/>
          <w:lang w:val="en-US" w:eastAsia="zh-CN" w:bidi="ar-SA"/>
        </w:rPr>
        <w:t>严格执行招标投标法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严格按照《中华人民共和国招标投标法》规定，按照项目的建设要求，选择有技术、有能力、有资质的承建商。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9. </w:t>
      </w:r>
      <w:r>
        <w:rPr>
          <w:rFonts w:hint="eastAsia" w:ascii="Times New Roman" w:hAnsi="Times New Roman" w:eastAsia="楷体" w:cs="Times New Roman"/>
          <w:b/>
          <w:bCs/>
          <w:kern w:val="0"/>
          <w:sz w:val="32"/>
          <w:szCs w:val="28"/>
          <w:highlight w:val="none"/>
          <w:lang w:val="en-US" w:eastAsia="zh-CN" w:bidi="ar-SA"/>
        </w:rPr>
        <w:t>监控机制的完善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业主单位作为政府执法机关，要充分发挥监督作用，确保项目的顺利进行和项目的利益最大化，同时，针对问题制定合理的激励措施，促进运营方提升服务品质。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eastAsia" w:ascii="仿宋" w:hAnsi="仿宋" w:eastAsia="黑体" w:cs="仿宋"/>
          <w:b/>
          <w:sz w:val="32"/>
          <w:szCs w:val="32"/>
          <w:highlight w:val="none"/>
          <w:lang w:val="en-US" w:eastAsia="zh-CN"/>
        </w:rPr>
      </w:pPr>
      <w:r>
        <w:rPr>
          <w:rFonts w:hint="eastAsia" w:ascii="仿宋" w:hAnsi="仿宋" w:eastAsia="黑体" w:cs="仿宋"/>
          <w:b/>
          <w:sz w:val="32"/>
          <w:szCs w:val="32"/>
          <w:highlight w:val="none"/>
          <w:lang w:val="en-US" w:eastAsia="zh-CN"/>
        </w:rPr>
        <w:t>三、佐证材料</w:t>
      </w:r>
      <w:bookmarkEnd w:id="6"/>
      <w:bookmarkEnd w:id="7"/>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bookmarkStart w:id="8" w:name="_Toc26816"/>
      <w:bookmarkStart w:id="9" w:name="_Toc419294944"/>
      <w:bookmarkStart w:id="10" w:name="_Toc528336034"/>
      <w:bookmarkStart w:id="11" w:name="_Toc51331932"/>
      <w:r>
        <w:rPr>
          <w:rFonts w:hint="eastAsia" w:ascii="Times New Roman" w:hAnsi="Times New Roman" w:eastAsia="楷体" w:cs="Times New Roman"/>
          <w:b/>
          <w:bCs/>
          <w:kern w:val="0"/>
          <w:sz w:val="32"/>
          <w:szCs w:val="28"/>
          <w:highlight w:val="none"/>
          <w:lang w:val="en-US" w:eastAsia="zh-CN" w:bidi="ar-SA"/>
        </w:rPr>
        <w:t>（一）项目基本情况</w:t>
      </w:r>
      <w:bookmarkEnd w:id="8"/>
      <w:bookmarkEnd w:id="9"/>
      <w:bookmarkEnd w:id="10"/>
      <w:bookmarkEnd w:id="11"/>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项目立项目的</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随着城区人口日益密集，现有公共停车场位根本无法满足停车，加之城市汽车增长速度已经大大超出现有停车资源可以承受限度，而现有停车资源的建设还存在着规划不清、目标不明、现状不清、定位不准等问题，迫切需要对现有的停车资源进行摸底，并建立一个有效追踪和实时反馈城市停车现状的体系。</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 项目绩效目标</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以智慧停车管理平台为中心，引入先进的技术和智能化系统，将移动互联网、物联网、大数据、5G、区块链等先进信息技术与城市管理应用有机融合，形成停车产业化，带动停车产业发展，为城市发展创新增长点。</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（2）项目区域范围为兴国镇建成区，其中一期总面积为18平方公里，二期拓展建设城东新区、经济开发区、城南新区，合计约46平方公里。</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（3）项目一期共涉及阳新县路内停车泊位智能化改造3400个、新建停车泊位2000个、改造封闭停车场 16 处、接入平台商业综合体车场19个，及新老城区加工业园区，48个物业小区7000个停车位；二期智慧升级扩位工程新建路侧停车泊位4316个，道板停车位2090个，封闭停车场停车位1258个，封闭新建停车场962个。</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3. 项目资金情况</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项目计划总投入16913.59万元，其中：一期总投资6458.09万元（拟申请债券资金3000万元），二期总投入6257.5万元（拟申请债券资金3000万元），三期预计将继续投入4198万元（拟申请债券资金2000万元），其他资金由项目后续运营资金拨付。</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（二）绩效评价工作开展情况</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评价工作组织实施</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评价工作由阳新县财政局委托，于2024年5月26日下发了针对阳新县城管执法局的《关于开展2023年度财政资金项目支出第三方绩效评价工作的通知》，由阳新县恒泰会计事务服务有限公司组成评价工作组实施评价。</w:t>
      </w:r>
    </w:p>
    <w:p>
      <w:pPr>
        <w:keepNext w:val="0"/>
        <w:keepLines w:val="0"/>
        <w:pageBreakBefore w:val="0"/>
        <w:numPr>
          <w:ilvl w:val="0"/>
          <w:numId w:val="2"/>
        </w:numPr>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bookmarkStart w:id="12" w:name="_Toc24495"/>
      <w:r>
        <w:rPr>
          <w:rFonts w:hint="eastAsia" w:ascii="Times New Roman" w:hAnsi="Times New Roman" w:eastAsia="楷体" w:cs="Times New Roman"/>
          <w:b/>
          <w:bCs/>
          <w:kern w:val="0"/>
          <w:sz w:val="32"/>
          <w:szCs w:val="28"/>
          <w:highlight w:val="none"/>
          <w:lang w:val="en-US" w:eastAsia="zh-CN" w:bidi="ar-SA"/>
        </w:rPr>
        <w:t>评价目的、对象和内容</w:t>
      </w:r>
      <w:bookmarkEnd w:id="12"/>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通过开展绩效评价，了解项目资金使用绩效情况，为今后单位加强、改进管理，提高财政资金使用效益提供参考依据。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评价对象为阳新县城区市政设施智慧化升级建设利用项目，评价内容包括决策、过程、产出、效果等四个方面绩效指标完成情况。</w:t>
      </w:r>
    </w:p>
    <w:p>
      <w:pPr>
        <w:keepNext w:val="0"/>
        <w:keepLines w:val="0"/>
        <w:pageBreakBefore w:val="0"/>
        <w:numPr>
          <w:ilvl w:val="0"/>
          <w:numId w:val="3"/>
        </w:numPr>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bookmarkStart w:id="13" w:name="_Toc51331938"/>
      <w:bookmarkStart w:id="14" w:name="_Toc11590"/>
      <w:bookmarkStart w:id="15" w:name="_Toc528336043"/>
      <w:r>
        <w:rPr>
          <w:rFonts w:hint="eastAsia" w:ascii="Times New Roman" w:hAnsi="Times New Roman" w:eastAsia="楷体" w:cs="Times New Roman"/>
          <w:b/>
          <w:bCs/>
          <w:kern w:val="0"/>
          <w:sz w:val="32"/>
          <w:szCs w:val="28"/>
          <w:highlight w:val="none"/>
          <w:lang w:val="en-US" w:eastAsia="zh-CN" w:bidi="ar-SA"/>
        </w:rPr>
        <w:t>评价方法</w:t>
      </w:r>
      <w:bookmarkEnd w:id="13"/>
      <w:bookmarkEnd w:id="14"/>
      <w:bookmarkEnd w:id="15"/>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绩效评价主要采取“一听、二看、三查、四评”的方式。“一听”主要指现场座谈，听取项目负责人对项目实施情况的介绍和建议；“二看”主要是指看项目现场实施情况；“三查”主要是指查阅项目实施档案和财务资料；“四评”主要是指根据听、看、查情况，遵循公平、公正、独立的原则，按照评价指标体系进行评分。</w:t>
      </w:r>
    </w:p>
    <w:p>
      <w:pPr>
        <w:keepNext w:val="0"/>
        <w:keepLines w:val="0"/>
        <w:pageBreakBefore w:val="0"/>
        <w:numPr>
          <w:ilvl w:val="0"/>
          <w:numId w:val="4"/>
        </w:numPr>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撰写绩效评价报告</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120" w:afterAutospacing="0" w:line="560" w:lineRule="exact"/>
        <w:ind w:left="0" w:right="0" w:firstLine="640" w:firstLineChars="200"/>
        <w:jc w:val="both"/>
        <w:textAlignment w:val="auto"/>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征询阳新县城市管理执法局的意见，对征求意见稿进行修改，完成“ 阳新县静脉产业园项目</w:t>
      </w:r>
      <w:r>
        <w:rPr>
          <w:rFonts w:hint="eastAsia" w:ascii="仿宋" w:hAnsi="仿宋" w:eastAsia="仿宋" w:cs="仿宋"/>
          <w:kern w:val="2"/>
          <w:sz w:val="32"/>
          <w:szCs w:val="28"/>
          <w:highlight w:val="none"/>
          <w:lang w:val="zh-CN" w:eastAsia="zh-CN" w:bidi="ar-SA"/>
        </w:rPr>
        <w:t>绩</w:t>
      </w:r>
      <w:r>
        <w:rPr>
          <w:rFonts w:hint="eastAsia" w:ascii="仿宋" w:hAnsi="仿宋" w:eastAsia="仿宋" w:cs="仿宋"/>
          <w:kern w:val="2"/>
          <w:sz w:val="32"/>
          <w:szCs w:val="28"/>
          <w:highlight w:val="none"/>
          <w:lang w:val="en-US" w:eastAsia="zh-CN" w:bidi="ar-SA"/>
        </w:rPr>
        <w:t>效评价报告”。</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120" w:afterAutospacing="0" w:line="560" w:lineRule="exact"/>
        <w:ind w:right="0"/>
        <w:rPr>
          <w:rFonts w:hint="eastAsia" w:ascii="仿宋" w:hAnsi="仿宋" w:eastAsia="黑体" w:cs="仿宋"/>
          <w:b/>
          <w:sz w:val="32"/>
          <w:szCs w:val="32"/>
          <w:highlight w:val="none"/>
          <w:lang w:val="en-US" w:eastAsia="zh-CN"/>
        </w:rPr>
      </w:pPr>
      <w:r>
        <w:rPr>
          <w:rFonts w:hint="eastAsia" w:ascii="仿宋" w:hAnsi="仿宋" w:eastAsia="黑体" w:cs="仿宋"/>
          <w:b/>
          <w:sz w:val="32"/>
          <w:szCs w:val="32"/>
          <w:highlight w:val="none"/>
          <w:lang w:val="en-US" w:eastAsia="zh-CN"/>
        </w:rPr>
        <w:t>三、项目绩效指标完成情况分析</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（一）项目决策分析</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决策过程分析</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（1）项目决策依据</w:t>
      </w:r>
    </w:p>
    <w:p>
      <w:pPr>
        <w:pageBreakBefore w:val="0"/>
        <w:kinsoku/>
        <w:wordWrap/>
        <w:overflowPunct/>
        <w:topLinePunct w:val="0"/>
        <w:bidi w:val="0"/>
        <w:spacing w:line="560" w:lineRule="exact"/>
        <w:ind w:firstLine="56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2020年3月13日，阳新县发改局《关于阳新县城区市政设施智慧化升级利用建设项目可行性研究报告的批复》（阳发改审批〔2020〕15号），原则上同意项目申请，2020年11月16日阳新县发改局对“《关于阳新县城区市政设施智慧化升级利用建设项目初步设计的批复》（阳发改审批〔2020〕360号）”项目正式立项。</w:t>
      </w:r>
    </w:p>
    <w:p>
      <w:pPr>
        <w:pageBreakBefore w:val="0"/>
        <w:kinsoku/>
        <w:wordWrap/>
        <w:overflowPunct/>
        <w:topLinePunct w:val="0"/>
        <w:bidi w:val="0"/>
        <w:spacing w:line="560" w:lineRule="exact"/>
        <w:ind w:firstLine="56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经评价，本指标应得2分，实际得2分。</w:t>
      </w:r>
    </w:p>
    <w:p>
      <w:pPr>
        <w:pageBreakBefore w:val="0"/>
        <w:kinsoku/>
        <w:wordWrap/>
        <w:overflowPunct/>
        <w:topLinePunct w:val="0"/>
        <w:bidi w:val="0"/>
        <w:spacing w:line="560" w:lineRule="exact"/>
        <w:ind w:firstLine="560"/>
        <w:rPr>
          <w:rFonts w:hint="eastAsia" w:ascii="Times New Roman" w:hAnsi="Times New Roman" w:eastAsia="楷体" w:cs="Times New Roman"/>
          <w:b/>
          <w:bCs/>
          <w:kern w:val="0"/>
          <w:sz w:val="32"/>
          <w:szCs w:val="28"/>
          <w:highlight w:val="none"/>
          <w:lang w:val="en-US" w:eastAsia="zh-CN" w:bidi="ar-SA"/>
        </w:rPr>
      </w:pPr>
      <w:r>
        <w:rPr>
          <w:rFonts w:hint="eastAsia" w:ascii="仿宋" w:hAnsi="仿宋" w:eastAsia="仿宋" w:cs="仿宋"/>
          <w:kern w:val="2"/>
          <w:sz w:val="32"/>
          <w:szCs w:val="28"/>
          <w:highlight w:val="none"/>
          <w:lang w:val="en-US" w:eastAsia="zh-CN" w:bidi="ar-SA"/>
        </w:rPr>
        <w:t>（2）</w:t>
      </w:r>
      <w:r>
        <w:rPr>
          <w:rFonts w:hint="eastAsia" w:ascii="Times New Roman" w:hAnsi="Times New Roman" w:eastAsia="楷体" w:cs="Times New Roman"/>
          <w:b/>
          <w:bCs/>
          <w:kern w:val="0"/>
          <w:sz w:val="32"/>
          <w:szCs w:val="28"/>
          <w:highlight w:val="none"/>
          <w:lang w:val="en-US" w:eastAsia="zh-CN" w:bidi="ar-SA"/>
        </w:rPr>
        <w:t>项目决策程序规范性</w:t>
      </w:r>
    </w:p>
    <w:p>
      <w:pPr>
        <w:pageBreakBefore w:val="0"/>
        <w:kinsoku/>
        <w:wordWrap/>
        <w:overflowPunct/>
        <w:topLinePunct w:val="0"/>
        <w:bidi w:val="0"/>
        <w:spacing w:line="560" w:lineRule="exact"/>
        <w:ind w:firstLine="56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《阳新县城区市政设施智慧化升级利用建设项目建设可行性报告》由武汉实为信息技术股份</w:t>
      </w:r>
      <w:r>
        <w:rPr>
          <w:rFonts w:hint="default" w:ascii="仿宋" w:hAnsi="仿宋" w:eastAsia="仿宋" w:cs="仿宋"/>
          <w:kern w:val="2"/>
          <w:sz w:val="32"/>
          <w:szCs w:val="28"/>
          <w:highlight w:val="none"/>
          <w:lang w:val="en-US" w:eastAsia="zh-CN" w:bidi="ar-SA"/>
        </w:rPr>
        <w:t>有限公司</w:t>
      </w:r>
      <w:r>
        <w:rPr>
          <w:rFonts w:hint="eastAsia" w:ascii="仿宋" w:hAnsi="仿宋" w:eastAsia="仿宋" w:cs="仿宋"/>
          <w:kern w:val="2"/>
          <w:sz w:val="32"/>
          <w:szCs w:val="28"/>
          <w:highlight w:val="none"/>
          <w:lang w:val="en-US" w:eastAsia="zh-CN" w:bidi="ar-SA"/>
        </w:rPr>
        <w:t>于2020年1月编制。</w:t>
      </w:r>
    </w:p>
    <w:p>
      <w:pPr>
        <w:pageBreakBefore w:val="0"/>
        <w:kinsoku/>
        <w:wordWrap/>
        <w:overflowPunct/>
        <w:topLinePunct w:val="0"/>
        <w:bidi w:val="0"/>
        <w:spacing w:line="560" w:lineRule="exact"/>
        <w:ind w:firstLine="560"/>
        <w:rPr>
          <w:rFonts w:hint="default" w:ascii="仿宋" w:hAnsi="仿宋" w:eastAsia="仿宋" w:cs="仿宋"/>
          <w:b/>
          <w:bCs/>
          <w:kern w:val="2"/>
          <w:sz w:val="32"/>
          <w:szCs w:val="28"/>
          <w:highlight w:val="none"/>
          <w:lang w:val="en-US" w:eastAsia="zh-CN" w:bidi="ar-SA"/>
        </w:rPr>
      </w:pPr>
      <w:r>
        <w:rPr>
          <w:rFonts w:hint="eastAsia" w:ascii="仿宋" w:hAnsi="仿宋" w:eastAsia="仿宋" w:cs="仿宋"/>
          <w:b/>
          <w:bCs/>
          <w:kern w:val="2"/>
          <w:sz w:val="32"/>
          <w:szCs w:val="28"/>
          <w:highlight w:val="none"/>
          <w:lang w:val="en-US" w:eastAsia="zh-CN" w:bidi="ar-SA"/>
        </w:rPr>
        <w:t>在本次评估中，我们发现已经完工的项目一期和项目二期实际车位与可研报告设定的目标偏离差异超过50%（一期停车位达成率48.51%；二期停车位达成率42.17%）；运营指标中收入与利润总额也偏离目标达50%以上（23年收入达成率37.96%，年利润达成率32%。</w:t>
      </w:r>
    </w:p>
    <w:p>
      <w:pPr>
        <w:pageBreakBefore w:val="0"/>
        <w:kinsoku/>
        <w:wordWrap/>
        <w:overflowPunct/>
        <w:topLinePunct w:val="0"/>
        <w:bidi w:val="0"/>
        <w:spacing w:line="560" w:lineRule="exact"/>
        <w:ind w:firstLine="560"/>
        <w:rPr>
          <w:rFonts w:hint="default" w:ascii="仿宋" w:hAnsi="仿宋" w:eastAsia="仿宋" w:cs="仿宋"/>
          <w:b/>
          <w:bCs/>
          <w:kern w:val="2"/>
          <w:sz w:val="32"/>
          <w:szCs w:val="28"/>
          <w:highlight w:val="none"/>
          <w:lang w:val="en-US" w:eastAsia="zh-CN" w:bidi="ar-SA"/>
        </w:rPr>
      </w:pPr>
      <w:r>
        <w:rPr>
          <w:rFonts w:hint="eastAsia" w:ascii="仿宋" w:hAnsi="仿宋" w:eastAsia="仿宋" w:cs="仿宋"/>
          <w:b/>
          <w:bCs/>
          <w:kern w:val="2"/>
          <w:sz w:val="32"/>
          <w:szCs w:val="28"/>
          <w:highlight w:val="none"/>
          <w:lang w:val="en-US" w:eastAsia="zh-CN" w:bidi="ar-SA"/>
        </w:rPr>
        <w:t>该项目指标应得分数2分，但可研报告与实际偏离基准目标过大可能对项目的整体进度、成本和质量产生深远影响，实际评价分数1分。</w:t>
      </w:r>
    </w:p>
    <w:p>
      <w:pPr>
        <w:keepNext w:val="0"/>
        <w:keepLines w:val="0"/>
        <w:pageBreakBefore w:val="0"/>
        <w:numPr>
          <w:ilvl w:val="0"/>
          <w:numId w:val="0"/>
        </w:numPr>
        <w:kinsoku/>
        <w:wordWrap/>
        <w:overflowPunct/>
        <w:topLinePunct w:val="0"/>
        <w:autoSpaceDE/>
        <w:autoSpaceDN/>
        <w:bidi w:val="0"/>
        <w:spacing w:before="120" w:after="120" w:line="560" w:lineRule="exact"/>
        <w:ind w:left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 xml:space="preserve"> 2. 绩效目标分析</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b/>
          <w:bCs/>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根据湖北省财政厅文件《湖北省财政厅关于印发全面实施预算绩效管理系列制度的通知》</w:t>
      </w:r>
      <w:r>
        <w:rPr>
          <w:rFonts w:hint="eastAsia" w:ascii="仿宋" w:hAnsi="仿宋" w:eastAsia="仿宋" w:cs="仿宋"/>
          <w:b/>
          <w:bCs/>
          <w:kern w:val="2"/>
          <w:sz w:val="32"/>
          <w:szCs w:val="28"/>
          <w:highlight w:val="none"/>
          <w:lang w:val="en-US" w:eastAsia="zh-CN" w:bidi="ar-SA"/>
        </w:rPr>
        <w:t>鄂财绩发〔2020〕3号文要求</w:t>
      </w:r>
      <w:r>
        <w:rPr>
          <w:rFonts w:hint="eastAsia" w:ascii="仿宋" w:hAnsi="仿宋" w:eastAsia="仿宋" w:cs="仿宋"/>
          <w:kern w:val="2"/>
          <w:sz w:val="32"/>
          <w:szCs w:val="28"/>
          <w:highlight w:val="none"/>
          <w:lang w:val="en-US" w:eastAsia="zh-CN" w:bidi="ar-SA"/>
        </w:rPr>
        <w:t>，</w:t>
      </w:r>
      <w:r>
        <w:rPr>
          <w:rFonts w:hint="eastAsia" w:ascii="仿宋" w:hAnsi="仿宋" w:eastAsia="仿宋" w:cs="仿宋"/>
          <w:b/>
          <w:bCs/>
          <w:kern w:val="2"/>
          <w:sz w:val="32"/>
          <w:szCs w:val="28"/>
          <w:highlight w:val="none"/>
          <w:lang w:val="en-US" w:eastAsia="zh-CN" w:bidi="ar-SA"/>
        </w:rPr>
        <w:t>200万元以上重大建设项目要进行事前绩效评定工作。</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b/>
          <w:bCs/>
          <w:kern w:val="2"/>
          <w:sz w:val="32"/>
          <w:szCs w:val="28"/>
          <w:highlight w:val="none"/>
          <w:lang w:val="en-US" w:eastAsia="zh-CN" w:bidi="ar-SA"/>
        </w:rPr>
        <w:t>“智慧化升级”项目立项时没有按照要求提前制定和提供项目绩效目标，且实际建设后多项指标与可研报告规划数据相差50%以上</w:t>
      </w:r>
      <w:r>
        <w:rPr>
          <w:rFonts w:hint="eastAsia" w:ascii="仿宋" w:hAnsi="仿宋" w:eastAsia="仿宋" w:cs="仿宋"/>
          <w:kern w:val="2"/>
          <w:sz w:val="32"/>
          <w:szCs w:val="28"/>
          <w:highlight w:val="none"/>
          <w:lang w:val="en-US" w:eastAsia="zh-CN" w:bidi="ar-SA"/>
        </w:rPr>
        <w:t>。</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仿宋" w:hAnsi="仿宋" w:eastAsia="仿宋" w:cs="仿宋"/>
          <w:color w:val="FF0000"/>
          <w:kern w:val="2"/>
          <w:sz w:val="32"/>
          <w:szCs w:val="28"/>
          <w:highlight w:val="none"/>
          <w:lang w:val="en-US" w:eastAsia="zh-CN" w:bidi="ar-SA"/>
        </w:rPr>
      </w:pPr>
      <w:r>
        <w:rPr>
          <w:rFonts w:hint="eastAsia" w:ascii="仿宋" w:hAnsi="仿宋" w:eastAsia="仿宋" w:cs="仿宋"/>
          <w:b/>
          <w:bCs/>
          <w:color w:val="000000" w:themeColor="text1"/>
          <w:kern w:val="2"/>
          <w:sz w:val="32"/>
          <w:szCs w:val="28"/>
          <w:highlight w:val="none"/>
          <w:lang w:val="en-US" w:eastAsia="zh-CN" w:bidi="ar-SA"/>
          <w14:textFill>
            <w14:solidFill>
              <w14:schemeClr w14:val="tx1"/>
            </w14:solidFill>
          </w14:textFill>
        </w:rPr>
        <w:t>该项目指标应得分数4分，因项目方未提前建立事前绩效项目库，实际得分0分</w:t>
      </w:r>
      <w:r>
        <w:rPr>
          <w:rFonts w:hint="eastAsia" w:ascii="仿宋" w:hAnsi="仿宋" w:eastAsia="仿宋" w:cs="仿宋"/>
          <w:color w:val="FF0000"/>
          <w:kern w:val="2"/>
          <w:sz w:val="32"/>
          <w:szCs w:val="28"/>
          <w:highlight w:val="none"/>
          <w:lang w:val="en-US" w:eastAsia="zh-CN" w:bidi="ar-SA"/>
        </w:rPr>
        <w:t>。</w:t>
      </w:r>
    </w:p>
    <w:p>
      <w:pPr>
        <w:keepNext w:val="0"/>
        <w:keepLines w:val="0"/>
        <w:pageBreakBefore w:val="0"/>
        <w:numPr>
          <w:ilvl w:val="0"/>
          <w:numId w:val="0"/>
        </w:numPr>
        <w:kinsoku/>
        <w:wordWrap/>
        <w:overflowPunct/>
        <w:topLinePunct w:val="0"/>
        <w:autoSpaceDE/>
        <w:autoSpaceDN/>
        <w:bidi w:val="0"/>
        <w:spacing w:before="120" w:after="120" w:line="560" w:lineRule="exact"/>
        <w:ind w:left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3. 资金分配合理性</w:t>
      </w:r>
    </w:p>
    <w:p>
      <w:pPr>
        <w:keepNext w:val="0"/>
        <w:keepLines w:val="0"/>
        <w:pageBreakBefore w:val="0"/>
        <w:numPr>
          <w:ilvl w:val="0"/>
          <w:numId w:val="0"/>
        </w:numPr>
        <w:kinsoku/>
        <w:wordWrap/>
        <w:overflowPunct/>
        <w:topLinePunct w:val="0"/>
        <w:autoSpaceDE/>
        <w:autoSpaceDN/>
        <w:bidi w:val="0"/>
        <w:spacing w:before="120" w:after="120" w:line="560" w:lineRule="exact"/>
        <w:ind w:left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（1）可研预算编制科学性</w:t>
      </w:r>
    </w:p>
    <w:p>
      <w:pPr>
        <w:pStyle w:val="11"/>
        <w:rPr>
          <w:rFonts w:hint="eastAsia" w:ascii="仿宋" w:hAnsi="仿宋" w:eastAsia="仿宋" w:cs="仿宋"/>
          <w:kern w:val="2"/>
          <w:sz w:val="32"/>
          <w:szCs w:val="28"/>
          <w:highlight w:val="none"/>
          <w:lang w:val="en-US" w:eastAsia="zh-CN" w:bidi="ar-SA"/>
        </w:rPr>
      </w:pPr>
      <w:r>
        <w:rPr>
          <w:rFonts w:hint="default" w:ascii="仿宋" w:hAnsi="仿宋" w:eastAsia="仿宋" w:cs="仿宋"/>
          <w:kern w:val="2"/>
          <w:sz w:val="32"/>
          <w:szCs w:val="28"/>
          <w:highlight w:val="none"/>
          <w:lang w:val="en-US" w:eastAsia="zh-CN" w:bidi="ar-SA"/>
        </w:rPr>
        <w:t>预算</w:t>
      </w:r>
      <w:r>
        <w:rPr>
          <w:rFonts w:hint="eastAsia" w:ascii="仿宋" w:hAnsi="仿宋" w:eastAsia="仿宋" w:cs="仿宋"/>
          <w:kern w:val="2"/>
          <w:sz w:val="32"/>
          <w:szCs w:val="28"/>
          <w:highlight w:val="none"/>
          <w:lang w:val="en-US" w:eastAsia="zh-CN" w:bidi="ar-SA"/>
        </w:rPr>
        <w:t>编制科学性是保证项目朝着既定战略方向发展的重要指导依据，对项目后续建设起作重要的作用，如果项目建设与可行性研究报告不符，那么实际项目实施过程中将会存在很大的不确定性，会导致项目无法按照预期完成或者无法达到预期的效果，甚至会导致项目失败。</w:t>
      </w:r>
    </w:p>
    <w:p>
      <w:pPr>
        <w:pStyle w:val="11"/>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经评价，该项指标应得2分，因多项指标偏离目标50%以上，总投资成本一直没有做竣工结算，无法测算成本达成率，实得1分。</w:t>
      </w:r>
    </w:p>
    <w:p>
      <w:pPr>
        <w:keepNext w:val="0"/>
        <w:keepLines w:val="0"/>
        <w:pageBreakBefore w:val="0"/>
        <w:numPr>
          <w:ilvl w:val="0"/>
          <w:numId w:val="0"/>
        </w:numPr>
        <w:kinsoku/>
        <w:wordWrap/>
        <w:overflowPunct/>
        <w:topLinePunct w:val="0"/>
        <w:autoSpaceDE/>
        <w:autoSpaceDN/>
        <w:bidi w:val="0"/>
        <w:spacing w:before="120" w:after="120" w:line="560" w:lineRule="exact"/>
        <w:ind w:left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（2）可研规划资金合理性</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olor w:val="000000" w:themeColor="text1"/>
          <w:sz w:val="32"/>
          <w:szCs w:val="32"/>
          <w:highlight w:val="none"/>
          <w:lang w:val="en-US" w:eastAsia="zh-CN"/>
          <w14:textFill>
            <w14:solidFill>
              <w14:schemeClr w14:val="tx1"/>
            </w14:solidFill>
          </w14:textFill>
        </w:rPr>
        <w:t>智慧化项目资金依据完成情况及合同约定条款支付给项</w:t>
      </w:r>
      <w:r>
        <w:rPr>
          <w:rFonts w:hint="eastAsia" w:ascii="仿宋" w:hAnsi="仿宋" w:eastAsia="仿宋" w:cs="仿宋"/>
          <w:kern w:val="2"/>
          <w:sz w:val="32"/>
          <w:szCs w:val="28"/>
          <w:highlight w:val="none"/>
          <w:lang w:val="en-US" w:eastAsia="zh-CN" w:bidi="ar-SA"/>
        </w:rPr>
        <w:t>目承包方，按年初预算进行分配，资金分配额度合理，与项目实施单位实际需求相适应，项目资金严格按文件规定用于智慧化项目支出，项目资金使用符合管理要求。</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经评价，该指标应得分2分，得2分。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（二）项目过程分析</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资金管理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（1）预算资金到位率</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截至2024年6月“智慧化升级”项目一、二期已完成建设，总投资12715.5万元，其中政府专项债券资金6000万元，占总投资的47.19%，智慧化停车费收入支付6715.5万元，占总投资的52.81%。目前政府专项债券资金已实际申请5000万元，到位4432万元，债券资金到位率88.64%（4432/5000）。</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default" w:ascii="仿宋" w:hAnsi="仿宋" w:eastAsia="仿宋" w:cs="仿宋"/>
          <w:kern w:val="2"/>
          <w:sz w:val="32"/>
          <w:szCs w:val="28"/>
          <w:highlight w:val="none"/>
          <w:lang w:val="en-US" w:eastAsia="zh-CN" w:bidi="ar-SA"/>
        </w:rPr>
        <w:t>经评价，</w:t>
      </w:r>
      <w:r>
        <w:rPr>
          <w:rFonts w:hint="eastAsia" w:ascii="仿宋" w:hAnsi="仿宋" w:eastAsia="仿宋" w:cs="仿宋"/>
          <w:kern w:val="2"/>
          <w:sz w:val="32"/>
          <w:szCs w:val="28"/>
          <w:highlight w:val="none"/>
          <w:lang w:val="en-US" w:eastAsia="zh-CN" w:bidi="ar-SA"/>
        </w:rPr>
        <w:t>本项目按资金到位率未达到要求，按</w:t>
      </w:r>
      <w:r>
        <w:rPr>
          <w:rFonts w:hint="default" w:ascii="仿宋" w:hAnsi="仿宋" w:eastAsia="仿宋" w:cs="仿宋"/>
          <w:kern w:val="2"/>
          <w:sz w:val="32"/>
          <w:szCs w:val="28"/>
          <w:highlight w:val="none"/>
          <w:lang w:val="en-US" w:eastAsia="zh-CN" w:bidi="ar-SA"/>
        </w:rPr>
        <w:t>实际</w:t>
      </w:r>
      <w:r>
        <w:rPr>
          <w:rFonts w:hint="eastAsia" w:ascii="仿宋" w:hAnsi="仿宋" w:eastAsia="仿宋" w:cs="仿宋"/>
          <w:kern w:val="2"/>
          <w:sz w:val="32"/>
          <w:szCs w:val="28"/>
          <w:highlight w:val="none"/>
          <w:lang w:val="en-US" w:eastAsia="zh-CN" w:bidi="ar-SA"/>
        </w:rPr>
        <w:t>比率</w:t>
      </w:r>
      <w:r>
        <w:rPr>
          <w:rFonts w:hint="default" w:ascii="仿宋" w:hAnsi="仿宋" w:eastAsia="仿宋" w:cs="仿宋"/>
          <w:kern w:val="2"/>
          <w:sz w:val="32"/>
          <w:szCs w:val="28"/>
          <w:highlight w:val="none"/>
          <w:lang w:val="en-US" w:eastAsia="zh-CN" w:bidi="ar-SA"/>
        </w:rPr>
        <w:t>得</w:t>
      </w:r>
      <w:r>
        <w:rPr>
          <w:rFonts w:hint="eastAsia" w:ascii="仿宋" w:hAnsi="仿宋" w:eastAsia="仿宋" w:cs="仿宋"/>
          <w:kern w:val="2"/>
          <w:sz w:val="32"/>
          <w:szCs w:val="28"/>
          <w:highlight w:val="none"/>
          <w:lang w:val="en-US" w:eastAsia="zh-CN" w:bidi="ar-SA"/>
        </w:rPr>
        <w:t>2.66</w:t>
      </w:r>
      <w:r>
        <w:rPr>
          <w:rFonts w:hint="default" w:ascii="仿宋" w:hAnsi="仿宋" w:eastAsia="仿宋" w:cs="仿宋"/>
          <w:kern w:val="2"/>
          <w:sz w:val="32"/>
          <w:szCs w:val="28"/>
          <w:highlight w:val="none"/>
          <w:lang w:val="en-US" w:eastAsia="zh-CN" w:bidi="ar-SA"/>
        </w:rPr>
        <w:t>分</w:t>
      </w:r>
      <w:r>
        <w:rPr>
          <w:rFonts w:hint="eastAsia" w:ascii="仿宋" w:hAnsi="仿宋" w:eastAsia="仿宋" w:cs="仿宋"/>
          <w:kern w:val="2"/>
          <w:sz w:val="32"/>
          <w:szCs w:val="28"/>
          <w:highlight w:val="none"/>
          <w:lang w:val="en-US" w:eastAsia="zh-CN" w:bidi="ar-SA"/>
        </w:rPr>
        <w:t>（3分*88.64%）</w:t>
      </w:r>
      <w:r>
        <w:rPr>
          <w:rFonts w:hint="default" w:ascii="仿宋" w:hAnsi="仿宋" w:eastAsia="仿宋" w:cs="仿宋"/>
          <w:kern w:val="2"/>
          <w:sz w:val="32"/>
          <w:szCs w:val="28"/>
          <w:highlight w:val="none"/>
          <w:lang w:val="en-US" w:eastAsia="zh-CN" w:bidi="ar-SA"/>
        </w:rPr>
        <w:t>。</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w:t>
      </w:r>
      <w:bookmarkStart w:id="16" w:name="_Toc14688"/>
      <w:r>
        <w:rPr>
          <w:rFonts w:hint="eastAsia" w:ascii="Times New Roman" w:hAnsi="Times New Roman" w:eastAsia="楷体" w:cs="Times New Roman"/>
          <w:b/>
          <w:bCs/>
          <w:kern w:val="0"/>
          <w:sz w:val="32"/>
          <w:szCs w:val="28"/>
          <w:highlight w:val="none"/>
          <w:lang w:val="en-US" w:eastAsia="zh-CN" w:bidi="ar-SA"/>
        </w:rPr>
        <w:t>预算执行率</w:t>
      </w:r>
      <w:bookmarkEnd w:id="16"/>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经查询和了解“智慧化升级利用”项目一、二期已完工，项目财政专项债券资金4432万元已拨付项目建设方；剩余资金应由智慧化停车费收入支付，但截至报告日 止项目运营方尚欠项目工程款8283.59万元。</w:t>
      </w:r>
    </w:p>
    <w:tbl>
      <w:tblPr>
        <w:tblStyle w:val="12"/>
        <w:tblW w:w="86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3"/>
        <w:gridCol w:w="3507"/>
        <w:gridCol w:w="1987"/>
        <w:gridCol w:w="22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3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FF0000"/>
                <w:sz w:val="22"/>
                <w:szCs w:val="22"/>
                <w:u w:val="none"/>
                <w:lang w:val="en-US" w:eastAsia="zh-CN"/>
              </w:rPr>
            </w:pPr>
            <w:r>
              <w:rPr>
                <w:rFonts w:hint="eastAsia" w:ascii="宋体" w:hAnsi="宋体" w:cs="宋体"/>
                <w:i w:val="0"/>
                <w:iCs w:val="0"/>
                <w:color w:val="000000" w:themeColor="text1"/>
                <w:sz w:val="22"/>
                <w:szCs w:val="22"/>
                <w:u w:val="none"/>
                <w:lang w:val="en-US" w:eastAsia="zh-CN"/>
                <w14:textFill>
                  <w14:solidFill>
                    <w14:schemeClr w14:val="tx1"/>
                  </w14:solidFill>
                </w14:textFill>
              </w:rPr>
              <w:t>建设单位名称</w:t>
            </w:r>
          </w:p>
        </w:tc>
        <w:tc>
          <w:tcPr>
            <w:tcW w:w="19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预算金额 （万元） </w:t>
            </w:r>
          </w:p>
        </w:tc>
        <w:tc>
          <w:tcPr>
            <w:tcW w:w="22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已支付工程款（万元）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阳新县宏发建筑有限公司</w:t>
            </w:r>
          </w:p>
        </w:tc>
        <w:tc>
          <w:tcPr>
            <w:tcW w:w="19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5,071.00 </w:t>
            </w:r>
          </w:p>
        </w:tc>
        <w:tc>
          <w:tcPr>
            <w:tcW w:w="22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湖北锐航建设工程有限公司</w:t>
            </w:r>
          </w:p>
        </w:tc>
        <w:tc>
          <w:tcPr>
            <w:tcW w:w="19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95.90 </w:t>
            </w:r>
          </w:p>
        </w:tc>
        <w:tc>
          <w:tcPr>
            <w:tcW w:w="22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94.95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湖北溢丰数字科技股份有限公司</w:t>
            </w:r>
          </w:p>
        </w:tc>
        <w:tc>
          <w:tcPr>
            <w:tcW w:w="19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399.95 </w:t>
            </w:r>
          </w:p>
        </w:tc>
        <w:tc>
          <w:tcPr>
            <w:tcW w:w="22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407.44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03"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中国移动通信集团湖北有限公司（黄石）分公司</w:t>
            </w:r>
          </w:p>
        </w:tc>
        <w:tc>
          <w:tcPr>
            <w:tcW w:w="1987"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523.80 </w:t>
            </w:r>
          </w:p>
        </w:tc>
        <w:tc>
          <w:tcPr>
            <w:tcW w:w="2231"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497.61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阳新县宏发建筑有限公司</w:t>
            </w:r>
          </w:p>
        </w:tc>
        <w:tc>
          <w:tcPr>
            <w:tcW w:w="19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1,097.77 </w:t>
            </w:r>
          </w:p>
        </w:tc>
        <w:tc>
          <w:tcPr>
            <w:tcW w:w="22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932.00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50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湖北亿城数据科技发展有限公司</w:t>
            </w:r>
          </w:p>
        </w:tc>
        <w:tc>
          <w:tcPr>
            <w:tcW w:w="19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4,169.68 </w:t>
            </w:r>
          </w:p>
        </w:tc>
        <w:tc>
          <w:tcPr>
            <w:tcW w:w="22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41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firstLine="2400" w:firstLineChars="1500"/>
              <w:jc w:val="left"/>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合    计</w:t>
            </w:r>
          </w:p>
        </w:tc>
        <w:tc>
          <w:tcPr>
            <w:tcW w:w="19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11,358.10</w:t>
            </w:r>
          </w:p>
        </w:tc>
        <w:tc>
          <w:tcPr>
            <w:tcW w:w="223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4,432.00</w:t>
            </w:r>
          </w:p>
        </w:tc>
      </w:tr>
    </w:tbl>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theme="minorBidi"/>
          <w:kern w:val="2"/>
          <w:sz w:val="32"/>
          <w:szCs w:val="32"/>
          <w:highlight w:val="none"/>
          <w:lang w:val="en-US" w:eastAsia="zh-CN" w:bidi="ar-SA"/>
        </w:rPr>
      </w:pPr>
      <w:r>
        <w:rPr>
          <w:rFonts w:hint="eastAsia" w:ascii="仿宋" w:hAnsi="仿宋" w:eastAsia="仿宋" w:cstheme="minorBidi"/>
          <w:kern w:val="2"/>
          <w:sz w:val="32"/>
          <w:szCs w:val="32"/>
          <w:highlight w:val="none"/>
          <w:lang w:val="en-US" w:eastAsia="zh-CN" w:bidi="ar-SA"/>
        </w:rPr>
        <w:t>本指标分值2分，依据评分标准得分1分。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bookmarkStart w:id="17" w:name="_Toc26760"/>
      <w:r>
        <w:rPr>
          <w:rFonts w:hint="eastAsia" w:ascii="Times New Roman" w:hAnsi="Times New Roman" w:eastAsia="楷体" w:cs="Times New Roman"/>
          <w:b/>
          <w:bCs/>
          <w:kern w:val="0"/>
          <w:sz w:val="32"/>
          <w:szCs w:val="28"/>
          <w:highlight w:val="none"/>
          <w:lang w:val="en-US" w:eastAsia="zh-CN" w:bidi="ar-SA"/>
        </w:rPr>
        <w:t>（3）资金使用合规性</w:t>
      </w:r>
      <w:bookmarkEnd w:id="17"/>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项目按照《中央预算内直接投资项目概算管理暂行办法》（国家发展改革委发改投资〔</w:t>
      </w:r>
      <w:r>
        <w:rPr>
          <w:rFonts w:hint="default" w:ascii="仿宋" w:hAnsi="仿宋" w:eastAsia="仿宋" w:cs="仿宋"/>
          <w:kern w:val="2"/>
          <w:sz w:val="32"/>
          <w:szCs w:val="28"/>
          <w:highlight w:val="none"/>
          <w:lang w:val="en-US" w:eastAsia="zh-CN" w:bidi="ar-SA"/>
        </w:rPr>
        <w:t>2015</w:t>
      </w:r>
      <w:r>
        <w:rPr>
          <w:rFonts w:hint="eastAsia" w:ascii="仿宋" w:hAnsi="仿宋" w:eastAsia="仿宋" w:cs="仿宋"/>
          <w:kern w:val="2"/>
          <w:sz w:val="32"/>
          <w:szCs w:val="28"/>
          <w:highlight w:val="none"/>
          <w:lang w:val="en-US" w:eastAsia="zh-CN" w:bidi="ar-SA"/>
        </w:rPr>
        <w:t>〕482号）有关要求，坚持量力而行，向湖北省人民政府申请发行2020年湖北省政府专项债券”3000万元，后续的投资资金以项目覆盖范围内机动车停放服务收费收入偿还，不增加财政债务负担。</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该项目指标应得分数2分，但</w:t>
      </w:r>
      <w:r>
        <w:rPr>
          <w:rFonts w:hint="eastAsia" w:ascii="仿宋" w:hAnsi="仿宋" w:eastAsia="仿宋" w:cs="仿宋"/>
          <w:b/>
          <w:bCs/>
          <w:kern w:val="2"/>
          <w:sz w:val="32"/>
          <w:szCs w:val="28"/>
          <w:highlight w:val="none"/>
          <w:lang w:val="en-US" w:eastAsia="zh-CN" w:bidi="ar-SA"/>
        </w:rPr>
        <w:t>本应由宏发公司招标承建部分工程款却由城发公司用实物或者城发公司自行完成，涉嫌违规</w:t>
      </w:r>
      <w:r>
        <w:rPr>
          <w:rFonts w:hint="eastAsia" w:ascii="仿宋" w:hAnsi="仿宋" w:eastAsia="仿宋" w:cs="仿宋"/>
          <w:kern w:val="2"/>
          <w:sz w:val="32"/>
          <w:szCs w:val="28"/>
          <w:highlight w:val="none"/>
          <w:lang w:val="en-US" w:eastAsia="zh-CN" w:bidi="ar-SA"/>
        </w:rPr>
        <w:t>，实际评价分数1分。</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 项目组织保险管理分析</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（1）管理制度健全性</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为了确保“智慧化升级利用系统治理”项目工作顺利开展，我县2020年11月26日由县长明进华召开县政府第八十七次常务会议，会议明确县城管执法局为项目业主。县城管执法局为规范项目的管理和监督，制定了“建设项目管理制度”“阳新县城市管理执法局财务管理制度”等规范制度。</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该项目指标应得分数2分，实际评价分数2分。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（2）项目监督</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按政策规定，项目法人方需进行不定期的检查收费、经营及收费资金的使用情况是否用于城市交通管理和停车收费设施的维护与升级以及项目正常运营的人力成本和运维成本，以保证项目资金使用合理、合法。</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但城管执法局作为本项目监督方无任何项目运行数据和监督表格及项目的总结报告及项目整改措施，并缺少相应的项目监督管理制度。</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该指标评价标准仅得分2分，但该项目在执行过程中，存在监督缺失，该指标实际得分0分。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（3）制度执行有效</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阳新县城管执法局遵守了相关法律法规；安排专人负责项目日常巡查、数据统计、平台受理等工作，资金支付过程中，严格审批流程，要求凭证手续合规齐全，不存在大额现金支付、不合规票据支出等违规现象；对凭证手续齐全的，及时进行了支付，不存在拖欠工程款的现象。</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经评价，项目执行有按制度执行，但项目管理方制定的财务制度中关于专项资金管理条款过于简单，可操作性差，且拖欠工程款较大，实得1分。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（三）项目产出情况分析</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数量指标</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智慧化升级项目建设面积</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化升级项目建设区域范围为城市建成区，其中一期总面积为18平方公里，二期在原有老城区18平方公里的基础上拓展建设城东新区、经济开发区、城南新区，合计约46平方公里，截至本报告日止，智慧化升级项目建设区域已达到预定的建设面积。</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（2）一期智慧化项目软件、数据普查及链路运营工程</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一期智慧化升级软件、数据普查及链路运营工程项目主要以数字管理平台升级开发、包括基础数据建设、支撑体系建设、应用系统建设、专项拓展数据平台、智慧执法监督平台等44个子模块，以及移动云等建设内容，此项目于2021年8月系统完成并上线试运行。</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（3）一期智慧化硬件设备、指挥中心电气装修工程</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 智慧化硬件项目主要为配合数据软件信息化技术综合利用而建设所需的硬件设施，包含车载GPS设备、视频识别设备、无人机、通信指挥车，语音交换、显示屏、摄像机等硬件通信设备，该工程由湖北溢丰数字科技股份有限公司通过招采程序取得，项目于2021年11月23日已通过验收。</w:t>
      </w:r>
    </w:p>
    <w:p>
      <w:pPr>
        <w:pStyle w:val="15"/>
        <w:pageBreakBefore w:val="0"/>
        <w:kinsoku/>
        <w:wordWrap/>
        <w:overflowPunct/>
        <w:topLinePunct w:val="0"/>
        <w:bidi w:val="0"/>
        <w:spacing w:line="560" w:lineRule="exact"/>
        <w:ind w:firstLine="480"/>
        <w:rPr>
          <w:rFonts w:hint="default"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附：二期硬件设备、指挥中心电气装修主要明细</w:t>
      </w:r>
    </w:p>
    <w:tbl>
      <w:tblPr>
        <w:tblStyle w:val="12"/>
        <w:tblW w:w="856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24"/>
        <w:gridCol w:w="47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82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pacing w:before="0" w:beforeAutospacing="0" w:after="0" w:afterAutospacing="0" w:line="560" w:lineRule="exact"/>
              <w:ind w:left="0" w:right="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二期硬件设备、指挥中心电气装修</w:t>
            </w:r>
          </w:p>
        </w:tc>
        <w:tc>
          <w:tcPr>
            <w:tcW w:w="47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pacing w:before="0" w:beforeAutospacing="0" w:after="0" w:afterAutospacing="0" w:line="56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智能终端设备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8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suppressLineNumbers w:val="0"/>
              <w:kinsoku/>
              <w:wordWrap/>
              <w:overflowPunct/>
              <w:topLinePunct w:val="0"/>
              <w:bidi w:val="0"/>
              <w:spacing w:before="0" w:beforeAutospacing="0" w:after="0" w:afterAutospacing="0" w:line="560" w:lineRule="exact"/>
              <w:ind w:left="0" w:right="0"/>
              <w:jc w:val="center"/>
              <w:rPr>
                <w:rFonts w:hint="eastAsia" w:ascii="宋体" w:hAnsi="宋体" w:eastAsia="宋体" w:cs="宋体"/>
                <w:i w:val="0"/>
                <w:iCs w:val="0"/>
                <w:color w:val="000000"/>
                <w:sz w:val="22"/>
                <w:szCs w:val="22"/>
                <w:u w:val="none"/>
              </w:rPr>
            </w:pPr>
          </w:p>
        </w:tc>
        <w:tc>
          <w:tcPr>
            <w:tcW w:w="47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pacing w:before="0" w:beforeAutospacing="0" w:after="0" w:afterAutospacing="0" w:line="56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执法终端设备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8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suppressLineNumbers w:val="0"/>
              <w:kinsoku/>
              <w:wordWrap/>
              <w:overflowPunct/>
              <w:topLinePunct w:val="0"/>
              <w:bidi w:val="0"/>
              <w:spacing w:before="0" w:beforeAutospacing="0" w:after="0" w:afterAutospacing="0" w:line="560" w:lineRule="exact"/>
              <w:ind w:left="0" w:right="0"/>
              <w:jc w:val="center"/>
              <w:rPr>
                <w:rFonts w:hint="eastAsia" w:ascii="宋体" w:hAnsi="宋体" w:eastAsia="宋体" w:cs="宋体"/>
                <w:i w:val="0"/>
                <w:iCs w:val="0"/>
                <w:color w:val="000000"/>
                <w:sz w:val="22"/>
                <w:szCs w:val="22"/>
                <w:u w:val="none"/>
              </w:rPr>
            </w:pPr>
          </w:p>
        </w:tc>
        <w:tc>
          <w:tcPr>
            <w:tcW w:w="47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pacing w:before="0" w:beforeAutospacing="0" w:after="0" w:afterAutospacing="0" w:line="56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移动指挥调度平台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8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suppressLineNumbers w:val="0"/>
              <w:kinsoku/>
              <w:wordWrap/>
              <w:overflowPunct/>
              <w:topLinePunct w:val="0"/>
              <w:bidi w:val="0"/>
              <w:spacing w:before="0" w:beforeAutospacing="0" w:after="0" w:afterAutospacing="0" w:line="560" w:lineRule="exact"/>
              <w:ind w:left="0" w:right="0"/>
              <w:jc w:val="center"/>
              <w:rPr>
                <w:rFonts w:hint="eastAsia" w:ascii="宋体" w:hAnsi="宋体" w:eastAsia="宋体" w:cs="宋体"/>
                <w:i w:val="0"/>
                <w:iCs w:val="0"/>
                <w:color w:val="000000"/>
                <w:sz w:val="22"/>
                <w:szCs w:val="22"/>
                <w:u w:val="none"/>
              </w:rPr>
            </w:pPr>
          </w:p>
        </w:tc>
        <w:tc>
          <w:tcPr>
            <w:tcW w:w="47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pacing w:before="0" w:beforeAutospacing="0" w:after="0" w:afterAutospacing="0" w:line="56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视频监控系统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8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suppressLineNumbers w:val="0"/>
              <w:kinsoku/>
              <w:wordWrap/>
              <w:overflowPunct/>
              <w:topLinePunct w:val="0"/>
              <w:bidi w:val="0"/>
              <w:spacing w:before="0" w:beforeAutospacing="0" w:after="0" w:afterAutospacing="0" w:line="560" w:lineRule="exact"/>
              <w:ind w:left="0" w:right="0"/>
              <w:jc w:val="center"/>
              <w:rPr>
                <w:rFonts w:hint="eastAsia" w:ascii="宋体" w:hAnsi="宋体" w:eastAsia="宋体" w:cs="宋体"/>
                <w:i w:val="0"/>
                <w:iCs w:val="0"/>
                <w:color w:val="000000"/>
                <w:sz w:val="22"/>
                <w:szCs w:val="22"/>
                <w:u w:val="none"/>
              </w:rPr>
            </w:pPr>
          </w:p>
        </w:tc>
        <w:tc>
          <w:tcPr>
            <w:tcW w:w="47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pacing w:before="0" w:beforeAutospacing="0" w:after="0" w:afterAutospacing="0" w:line="56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监督指挥中心会计室大屏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8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suppressLineNumbers w:val="0"/>
              <w:kinsoku/>
              <w:wordWrap/>
              <w:overflowPunct/>
              <w:topLinePunct w:val="0"/>
              <w:bidi w:val="0"/>
              <w:spacing w:before="0" w:beforeAutospacing="0" w:after="0" w:afterAutospacing="0" w:line="560" w:lineRule="exact"/>
              <w:ind w:left="0" w:right="0"/>
              <w:jc w:val="center"/>
              <w:rPr>
                <w:rFonts w:hint="eastAsia" w:ascii="宋体" w:hAnsi="宋体" w:eastAsia="宋体" w:cs="宋体"/>
                <w:i w:val="0"/>
                <w:iCs w:val="0"/>
                <w:color w:val="000000"/>
                <w:sz w:val="22"/>
                <w:szCs w:val="22"/>
                <w:u w:val="none"/>
              </w:rPr>
            </w:pPr>
          </w:p>
        </w:tc>
        <w:tc>
          <w:tcPr>
            <w:tcW w:w="47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pacing w:before="0" w:beforeAutospacing="0" w:after="0" w:afterAutospacing="0" w:line="56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呼叫中心设备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8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suppressLineNumbers w:val="0"/>
              <w:kinsoku/>
              <w:wordWrap/>
              <w:overflowPunct/>
              <w:topLinePunct w:val="0"/>
              <w:bidi w:val="0"/>
              <w:spacing w:before="0" w:beforeAutospacing="0" w:after="0" w:afterAutospacing="0" w:line="560" w:lineRule="exact"/>
              <w:ind w:left="0" w:right="0"/>
              <w:jc w:val="center"/>
              <w:rPr>
                <w:rFonts w:hint="eastAsia" w:ascii="宋体" w:hAnsi="宋体" w:eastAsia="宋体" w:cs="宋体"/>
                <w:i w:val="0"/>
                <w:iCs w:val="0"/>
                <w:color w:val="000000"/>
                <w:sz w:val="22"/>
                <w:szCs w:val="22"/>
                <w:u w:val="none"/>
              </w:rPr>
            </w:pPr>
          </w:p>
        </w:tc>
        <w:tc>
          <w:tcPr>
            <w:tcW w:w="47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pacing w:before="0" w:beforeAutospacing="0" w:after="0" w:afterAutospacing="0" w:line="56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监督指挥中心设备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382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suppressLineNumbers w:val="0"/>
              <w:kinsoku/>
              <w:wordWrap/>
              <w:overflowPunct/>
              <w:topLinePunct w:val="0"/>
              <w:bidi w:val="0"/>
              <w:spacing w:before="0" w:beforeAutospacing="0" w:after="0" w:afterAutospacing="0" w:line="560" w:lineRule="exact"/>
              <w:ind w:left="0" w:right="0"/>
              <w:jc w:val="center"/>
              <w:rPr>
                <w:rFonts w:hint="eastAsia" w:ascii="宋体" w:hAnsi="宋体" w:eastAsia="宋体" w:cs="宋体"/>
                <w:i w:val="0"/>
                <w:iCs w:val="0"/>
                <w:color w:val="000000"/>
                <w:sz w:val="22"/>
                <w:szCs w:val="22"/>
                <w:u w:val="none"/>
              </w:rPr>
            </w:pPr>
          </w:p>
        </w:tc>
        <w:tc>
          <w:tcPr>
            <w:tcW w:w="47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bidi w:val="0"/>
              <w:spacing w:before="0" w:beforeAutospacing="0" w:after="0" w:afterAutospacing="0" w:line="560" w:lineRule="exact"/>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小会计室</w:t>
            </w:r>
          </w:p>
        </w:tc>
      </w:tr>
    </w:tbl>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（4）一期智慧化升级EPC智慧停车场建设</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一期智慧化升级EPC建设工程于2022年4月10日由阳新县宏发建筑有限公司承建，于2023年完工，项目规划路内停车泊位3400个、新建路内停车泊位2000个、封闭停车场智能化改造1400个、商业停车场接入平台5930个、新老城区加工业园区物业小区共48个停车场停车位7000个，目前共计已完成停车位建设1795个，扣除三期规划车位数及未接入智慧化系统车位，车位达成率51.29%。其中经二十一路离红绿灯较近、民福路快速路，此两处不适合划车位，双港大道规划后期规划。</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（5）一期智慧化项目附属楼工程</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智慧化升级利用建设项目附属楼工程于2021年1月26日由湖北锐航建设工程有限公司通过招标采购流程中标，该工程已经完工并投入使用。</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（6）二期智慧化停车扩位工程</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二期智慧化升级利用停车扩位工程2023年12月28日由湖阳新县宏发建筑有限公司通过招标采购流程中标承建， 截至2024年6月底目前项目已经竣工使用，项目规划路内停车泊位共计8724个，实际建设3679个，达成率42.17%。</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（7）二期智慧化（静态交通及指挥中心）工程</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二期智慧化升级利用建设静态交通及指挥中心建设工程于2024年1月24日由湖北亿诚数据科技发展有限公司通过招标采购流程中标，截至报告日止工程已经竣工投入使用。</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（8）项目运行指标分析</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智慧化升级项目规划2022年实现停车运营收入1289.58万元，2023年1418.53万元，实际项目2023年正式运营，2023年实际收入538.47万元，达成率19.88%（538.47/（1418.53+1289.58））。</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b/>
          <w:bCs/>
          <w:kern w:val="2"/>
          <w:sz w:val="32"/>
          <w:szCs w:val="28"/>
          <w:highlight w:val="none"/>
          <w:lang w:val="en-US" w:eastAsia="zh-CN" w:bidi="ar-SA"/>
        </w:rPr>
        <w:t>综合以上指标分析内容，</w:t>
      </w:r>
      <w:r>
        <w:rPr>
          <w:rFonts w:hint="eastAsia" w:ascii="仿宋" w:hAnsi="仿宋" w:eastAsia="仿宋" w:cs="仿宋"/>
          <w:kern w:val="2"/>
          <w:sz w:val="32"/>
          <w:szCs w:val="28"/>
          <w:highlight w:val="none"/>
          <w:lang w:val="en-US" w:eastAsia="zh-CN" w:bidi="ar-SA"/>
        </w:rPr>
        <w:t>智慧化升级一期软件、数据普查及链路运营；硬件设备、指挥中心电气装修；附属楼三个项目已达成目标；EPC智慧化停车位工程按规划老城区及新建路内停车泊位3500个，实际完成1896个，达成率54.17%；计划将已建好运行的商业接入智慧化升级指挥中心5300个，实际未接入；计划完成封闭停车场智能化改造200个，实际完成47个；计划新建新老城区加工业园区，物业小区停车位7000个，实际完成612个；</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化二期主要分为静态交通及指挥中心和智慧化停车扩位工程二个建设项目，停车位扩位工程按规划应建设停车位8724个，实际完成3679个，达成率42.17%，静态交通及指挥中心已完成中心信息化建设、停车场监控和通闸、路牙设施建设及非机动车划线工作，只剩数字化软件还在建设测试中，县执法局正在组织后续的验收及竣工结算。</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经评估，一期EPC停车位达成率51.29%，二期停车扩位工程42.17%，项目实际运行指标中，收入达成率、利润达成率与规划相差较大，本项目应得22分，实际得11.16分。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 质量指标</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（1）一期智慧化软件、数据普查及链路运营合格率</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一期智慧化升级项目软件、数据普查及链路运营采购工程于2021年10月正式验收，工程已稳定运行二年以上。</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但验收方案日期封面2021年10月，验收时间安排2020年11月，验收方案与验收时间时隔一年以上，流程审核程序有问题。</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（2）一期硬件设备、指挥中心电气装修合格率</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一期智慧化升级硬件设备、指挥中心电气装修于2021年11月经监理方与项目业主县执法局联合完成验收，项目承包商提供的部分设备的检验日期时间超过5年以上，比如：车载动态的取证系统送检日期2017年10月19日；网络存储服务器送检日期2016年12月20日；LED控制器送检日期2017年10月12日；视频综合平台送检日期2018年6月22日；DS-B21型视频综合平台送检日期2016年5月11日，以太网交换机送检日期2016年10月14日；LCD显示单元送检日期2017年9月15至9月20日；胜杰通华呼叫中心平台系统软件送检日期2014年7月22日至7月29日；</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从电子产品的特性分析，电子产品的软硬件更新率都比较快，设备长时间存放过久会影响电子产品的品质，也会因软件升级更新速度而失去功能的先进性。</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同时，溢丰数字科技作为信息产业公司并无装修业务的经营范围和资质，而该工程项目包含的装修、装饰工程，比如：吊顶龙骨、地面瓷砖、墙面刮白，窗帘，软水机等，不适合电信经营商的经营范围。</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（3）智慧化项目附属楼合格率</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智慧化升级项目附属楼建设标段于2021年6月完成建设任务，目前项目已经完工验收。</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（4）一期智慧化升级EPC智慧停车场建设工程合格率</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一期智慧化升级EPC智慧停车场建设工程2023年10月10日期前完成，目前项目已经完工验收。</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（5）二期智慧化停车扩位工程合格率</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智慧化二期项目都已完成建设任务，县执法局正在组织后续的验收及竣工结算。</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综合以上指标，经评估，一期EPC和附属楼项目虽已完工，但还没有验收适当扣分；二期停车位扩位和静态交通和指挥中心工程是在2024年6月才完成建设任务，不在此次评价分析范围内，本项目应得分数8分，实际得5.5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3. 时效指标</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智慧化升级（一期）软件、数据普查及链路运营采购项目于2021年2月23日发布开工令，合同约定施工期90天，项目于2021年7月26日完成建设，2021年8月1日开始上线试运行，实际完工日期与合同约定日期基本相符。</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（2）智慧化升级（一期）硬件设备、指挥中心电气装修合同签订时间为2020年12月29日至2021年3月28日，合同约定施工期90天，实际开工日2021年1月8日，完工验收日期2021年11月23日，晚于合同约定期220天。</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（3）智慧化升级（一期）EPC停车场建设项目于2022年4月10日开工，预计施工时间为540天，实际该工程已完成，但还没有办理竣工结算和验收工作。</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Times New Roman" w:hAnsi="Times New Roman" w:eastAsia="仿宋_GB2312" w:cs="Times New Roman"/>
          <w:kern w:val="0"/>
          <w:sz w:val="28"/>
          <w:szCs w:val="28"/>
          <w:highlight w:val="none"/>
          <w:lang w:val="en-US" w:eastAsia="zh-CN" w:bidi="ar-SA"/>
        </w:rPr>
      </w:pPr>
      <w:r>
        <w:rPr>
          <w:rFonts w:hint="eastAsia" w:ascii="仿宋" w:hAnsi="仿宋" w:eastAsia="仿宋" w:cs="仿宋"/>
          <w:kern w:val="2"/>
          <w:sz w:val="32"/>
          <w:szCs w:val="28"/>
          <w:highlight w:val="none"/>
          <w:lang w:val="en-US" w:eastAsia="zh-CN" w:bidi="ar-SA"/>
        </w:rPr>
        <w:t>（4）智慧化升级附属楼项目合同签订时间于2021年3月1日开工，2023年10月10日完成验收，晚于合同约定期，未达到规定时</w:t>
      </w:r>
      <w:r>
        <w:rPr>
          <w:rFonts w:hint="eastAsia" w:ascii="Times New Roman" w:hAnsi="Times New Roman" w:eastAsia="仿宋_GB2312" w:cs="Times New Roman"/>
          <w:kern w:val="0"/>
          <w:sz w:val="28"/>
          <w:szCs w:val="28"/>
          <w:highlight w:val="none"/>
          <w:lang w:val="en-US" w:eastAsia="zh-CN" w:bidi="ar-SA"/>
        </w:rPr>
        <w:t>间。</w:t>
      </w:r>
    </w:p>
    <w:tbl>
      <w:tblPr>
        <w:tblStyle w:val="12"/>
        <w:tblW w:w="87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40"/>
        <w:gridCol w:w="2980"/>
        <w:gridCol w:w="3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64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29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指标评审要求</w:t>
            </w:r>
          </w:p>
        </w:tc>
        <w:tc>
          <w:tcPr>
            <w:tcW w:w="31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一期智慧化升级项目软件、数据普查及链路运营采购工程</w:t>
            </w:r>
          </w:p>
        </w:tc>
        <w:tc>
          <w:tcPr>
            <w:tcW w:w="2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2021年2月10日-2024年2月9日</w:t>
            </w:r>
          </w:p>
        </w:tc>
        <w:tc>
          <w:tcPr>
            <w:tcW w:w="31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20</w:t>
            </w:r>
            <w:r>
              <w:rPr>
                <w:rFonts w:hint="eastAsia" w:ascii="宋体" w:hAnsi="宋体" w:eastAsia="宋体" w:cs="宋体"/>
                <w:i w:val="0"/>
                <w:iCs w:val="0"/>
                <w:color w:val="000000"/>
                <w:kern w:val="0"/>
                <w:sz w:val="18"/>
                <w:szCs w:val="18"/>
                <w:u w:val="none"/>
                <w:lang w:val="en-US" w:eastAsia="zh-CN" w:bidi="ar"/>
              </w:rPr>
              <w:t>21年2月23日开工，</w:t>
            </w:r>
            <w:r>
              <w:rPr>
                <w:rFonts w:hint="eastAsia" w:ascii="宋体" w:hAnsi="宋体" w:cs="宋体"/>
                <w:i w:val="0"/>
                <w:iCs w:val="0"/>
                <w:color w:val="000000"/>
                <w:kern w:val="0"/>
                <w:sz w:val="18"/>
                <w:szCs w:val="18"/>
                <w:u w:val="none"/>
                <w:lang w:val="en-US" w:eastAsia="zh-CN" w:bidi="ar"/>
              </w:rPr>
              <w:t>20</w:t>
            </w:r>
            <w:r>
              <w:rPr>
                <w:rFonts w:hint="eastAsia" w:ascii="宋体" w:hAnsi="宋体" w:eastAsia="宋体" w:cs="宋体"/>
                <w:i w:val="0"/>
                <w:iCs w:val="0"/>
                <w:color w:val="000000"/>
                <w:kern w:val="0"/>
                <w:sz w:val="18"/>
                <w:szCs w:val="18"/>
                <w:u w:val="none"/>
                <w:lang w:val="en-US" w:eastAsia="zh-CN" w:bidi="ar"/>
              </w:rPr>
              <w:t>21年11月验收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一期智慧化升级硬件设备、指挥中心电气装修工程</w:t>
            </w:r>
          </w:p>
        </w:tc>
        <w:tc>
          <w:tcPr>
            <w:tcW w:w="2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2020年12月29日至2021年3月28日（90天）</w:t>
            </w:r>
          </w:p>
        </w:tc>
        <w:tc>
          <w:tcPr>
            <w:tcW w:w="31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2021年11月23日专家验收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一期智慧化升级EPC智慧停车场建设工程</w:t>
            </w:r>
          </w:p>
        </w:tc>
        <w:tc>
          <w:tcPr>
            <w:tcW w:w="2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2022年4月10-2023年10月10日（540天）</w:t>
            </w:r>
          </w:p>
        </w:tc>
        <w:tc>
          <w:tcPr>
            <w:tcW w:w="31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2023年2月1日验收EPC；</w:t>
            </w:r>
            <w:r>
              <w:rPr>
                <w:rFonts w:hint="eastAsia" w:ascii="宋体" w:hAnsi="宋体" w:cs="宋体"/>
                <w:i w:val="0"/>
                <w:iCs w:val="0"/>
                <w:color w:val="000000"/>
                <w:kern w:val="0"/>
                <w:sz w:val="18"/>
                <w:szCs w:val="18"/>
                <w:u w:val="none"/>
                <w:lang w:val="en-US" w:eastAsia="zh-CN" w:bidi="ar"/>
              </w:rPr>
              <w:t>20</w:t>
            </w:r>
            <w:r>
              <w:rPr>
                <w:rFonts w:hint="eastAsia" w:ascii="宋体" w:hAnsi="宋体" w:eastAsia="宋体" w:cs="宋体"/>
                <w:i w:val="0"/>
                <w:iCs w:val="0"/>
                <w:color w:val="000000"/>
                <w:kern w:val="0"/>
                <w:sz w:val="18"/>
                <w:szCs w:val="18"/>
                <w:u w:val="none"/>
                <w:lang w:val="en-US" w:eastAsia="zh-CN" w:bidi="ar"/>
              </w:rPr>
              <w:t>23年10月10日验收业务用房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9" w:hRule="atLeast"/>
        </w:trPr>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一期项目附属楼</w:t>
            </w:r>
          </w:p>
        </w:tc>
        <w:tc>
          <w:tcPr>
            <w:tcW w:w="2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2021年3月1日至2021年6月2日共计90天</w:t>
            </w:r>
          </w:p>
        </w:tc>
        <w:tc>
          <w:tcPr>
            <w:tcW w:w="31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2021年3月1日开工，</w:t>
            </w:r>
            <w:r>
              <w:rPr>
                <w:rFonts w:hint="eastAsia" w:ascii="宋体" w:hAnsi="宋体" w:cs="宋体"/>
                <w:i w:val="0"/>
                <w:iCs w:val="0"/>
                <w:color w:val="000000"/>
                <w:kern w:val="0"/>
                <w:sz w:val="18"/>
                <w:szCs w:val="18"/>
                <w:u w:val="none"/>
                <w:lang w:val="en-US" w:eastAsia="zh-CN" w:bidi="ar"/>
              </w:rPr>
              <w:t>2021年10月经天马盛鼎审核金额为99.95万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（二期）智慧化停车扩位静态交通及指挥中心升级工程</w:t>
            </w:r>
          </w:p>
        </w:tc>
        <w:tc>
          <w:tcPr>
            <w:tcW w:w="2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2024年1月24日至2024年6月23日</w:t>
            </w:r>
          </w:p>
        </w:tc>
        <w:tc>
          <w:tcPr>
            <w:tcW w:w="31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2024年6月已完成，还未验收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（二期）智慧化停车扩位工程</w:t>
            </w:r>
          </w:p>
        </w:tc>
        <w:tc>
          <w:tcPr>
            <w:tcW w:w="29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2023年12月30日至2024年5月30日</w:t>
            </w:r>
          </w:p>
        </w:tc>
        <w:tc>
          <w:tcPr>
            <w:tcW w:w="31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2024年6月已完成，还未验收</w:t>
            </w:r>
          </w:p>
        </w:tc>
      </w:tr>
    </w:tbl>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该项指标（二期）硬件设备、指挥中心电气装修项目时间超过预期220天以上，EPC智慧停车费场建设项目及项目附属楼项目已完工还没有结算，应得10分，实得8分。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4. 成本指标分析</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（1）智慧化升级（一期）软件、数据普查及链路运营计划总投资523.80万元，实际结算523.8万元，与规划一致。</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（2）智慧化升级（一期）软硬件设备、指挥中心电气装修工程计划总投资399.95万元，实际结算431.09万元，超过计划31.14万元，成本上升7.79%。</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智慧化升级（一期）EPC智慧停车场建设工程计划总投资5071万元，该项工程目前还未办理竣工结算，无法确认具体投资数据，但据了解，该项目宏发工程投资量只有3000万元左右（财政资金已拨付2000万元），剩余工程由城发转包给深圳智优停科技有限公司承建，该项工程已经完工，但还未办理竣工结算，无法评估成本增减。</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（4）智慧化升级（一期）附属楼计划总投资95.9万元实际总投资99.95万元；超过预算35.19万元，成本上升比率5.78%。</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（5）智慧化升级（二期）停车扩位工程合同约定价1097.77万元，项目截至报告日止已完工，并支付工程投资款932万元，暂未办理竣工结算，成本无法评估。</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6）智慧化升级（二期）静态交通及指挥中心升级工程合同约定价4169.68万元，工程于2024年6月已完成信息化、停车场监控、通閘、路牙监控设施和非机动车划线工作，数字化软件工程还在建设中，本次不参与评估；</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综上所述，该项指标应得分12分，实际按成本升降比率得9.76分。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（四）项目效益情况分析</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经济效益</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（1）运营效益</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根据项目可研报告调研规划数据，项目运营后预计2022年营业利润134.02万元；2023年82.58万元；实际项目2022年还在建设中，2023年运营后年利润26.72万元，利润率4.96%，达成率32.36%，2024年1-6月总运营利润7.88万元，利润率2.15%。</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该项指标应得分3分，实际依达成比率得0.97分（32.36%*3分）。</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根据我县智慧化建设规模，建成后需要收费员、服务中心人员、运维人员等增加当地就业岗位达94人，增加就业人员收入300余万元，实际项目解决就业人员35人，为就业人员带来效益收入126万元，达成率37%，与预期偏离50%以上。</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该项指标应得分3分，实际依达成率得1.11分（37%*3分）。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 社会效益</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（1）缓解交通拥堵：建设智慧化停车通过大数据运营管理平台，优化停车流程，方便车主停车，缓解停车难、乱停放、停车纠纷和因停车导致交通拥堵问题。</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 xml:space="preserve">（2）资源整合：智慧化升级项目通过大数据实现城市停车资源的全面整合，实现城市执法和管理精细化，提高车位周转率、车位利用率和场地管理效率。    </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该项指标应得分4分，实际得分4分。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3. 生态环境效益</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智升级升级项目通过人工智能和数据的整合，减少无效交通，改善交通秩序，减少尾气排放，节约能源消耗，响应了绿色出行，提升道路服务水平，达到节能减排，节约资源的效果。</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该项指标应得分3分，实际得分3分。</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（五）能力建设及可持续影响</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 可持续影响分析</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（1）长效机制建设</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依项目计划，智慧化升级项目完工后要移交给阳新县城市建设开发有限公司（以下简称城发公司）管理和运营，城发公司在2021年12月20日成立阳新县城发智慧城市运营管理有限公司，负责智慧化升级项目的管理，2022年6月23日城发公司将智慧化项目承包给“深圳智优停科技有限公司”管理，该公司作为智慧化专业管理公司拥有较为全面的管理能力，加上项目配置有先进的信息技术和智能化管理手段，可保证项目发挥积极作用。</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该类项目满分3分，评价得分3分，得分率为100%。</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（2）人力资源对项目可持续影响</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深圳市智优停慧科技有限公司作为智慧化专业设备技术开发公司，对项目日常运营有专业的项目管理人才及人员常态化安全培训和专业技术培训机制，配备有专业管护人员，有安排相关管理经费用于项目后期养护，可以保证项目的人力资源保持可持续性。</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该类项目满分2分，评价得分2分，得分率为100%</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（3）硬件条件对项目发展作用</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深圳市智优停科技有限公司作为专业智慧化企业，配备有养护所需的设备来运作和质量保证，配置有专业的智慧化项目软硬件设施维护人员和管理人员，保证入口道闸、出口道闸、车牌识别系统、停车位引导牌、升降柱、数据信息系统及平台等设备的维护和保养，保障智慧停车场硬件保持能够在提高效率的同时，创造更大的社会和经济价值。</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该类项目满分2分，评价得分2分，得分率为100%</w:t>
      </w:r>
    </w:p>
    <w:p>
      <w:pPr>
        <w:keepNext w:val="0"/>
        <w:keepLines w:val="0"/>
        <w:pageBreakBefore w:val="0"/>
        <w:kinsoku/>
        <w:wordWrap/>
        <w:overflowPunct/>
        <w:topLinePunct w:val="0"/>
        <w:autoSpaceDE/>
        <w:autoSpaceDN/>
        <w:bidi w:val="0"/>
        <w:spacing w:before="120" w:after="120" w:line="560" w:lineRule="exact"/>
        <w:ind w:firstLine="643" w:firstLineChars="200"/>
        <w:rPr>
          <w:rFonts w:hint="eastAsia"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2. 受益群众满意度</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为全面了解智慧化升级系统的实施对当地服务对象的满意度，评价组通过微信“问卷星”程序，独立向社会公众发放调查问卷，共回收有效问卷76份，其中男性29人，女性47人占总问卷人数的61.84%，经统计总体满意度85%，反馈结果主要归纳如下：</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（1）本次调查人群使用智慧化停车场的人群60人，占总调查人群80%。</w:t>
      </w:r>
    </w:p>
    <w:p>
      <w:pPr>
        <w:keepNext w:val="0"/>
        <w:keepLines w:val="0"/>
        <w:pageBreakBefore w:val="0"/>
        <w:kinsoku/>
        <w:wordWrap/>
        <w:overflowPunct/>
        <w:topLinePunct w:val="0"/>
        <w:autoSpaceDE/>
        <w:autoSpaceDN/>
        <w:bidi w:val="0"/>
        <w:spacing w:before="120" w:after="120" w:line="560" w:lineRule="exact"/>
        <w:ind w:firstLine="640" w:firstLineChars="200"/>
        <w:rPr>
          <w:rFonts w:hint="default"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（2）约81.33</w:t>
      </w:r>
      <w:r>
        <w:rPr>
          <w:rFonts w:hint="default" w:ascii="仿宋" w:hAnsi="仿宋" w:eastAsia="仿宋" w:cs="仿宋"/>
          <w:kern w:val="2"/>
          <w:sz w:val="32"/>
          <w:szCs w:val="28"/>
          <w:highlight w:val="none"/>
          <w:lang w:val="en-US" w:eastAsia="zh-CN" w:bidi="ar-SA"/>
        </w:rPr>
        <w:t>%</w:t>
      </w:r>
      <w:r>
        <w:rPr>
          <w:rFonts w:hint="eastAsia" w:ascii="仿宋" w:hAnsi="仿宋" w:eastAsia="仿宋" w:cs="仿宋"/>
          <w:kern w:val="2"/>
          <w:sz w:val="32"/>
          <w:szCs w:val="28"/>
          <w:highlight w:val="none"/>
          <w:lang w:val="en-US" w:eastAsia="zh-CN" w:bidi="ar-SA"/>
        </w:rPr>
        <w:t>的人认为项目对我县交通状况“有改善”，约4%认为还是比较拥堵，反映项目实施的确对我县交通状况有改善。</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（3）约78.67</w:t>
      </w:r>
      <w:r>
        <w:rPr>
          <w:rFonts w:hint="default" w:ascii="仿宋" w:hAnsi="仿宋" w:eastAsia="仿宋" w:cs="仿宋"/>
          <w:kern w:val="2"/>
          <w:sz w:val="32"/>
          <w:szCs w:val="28"/>
          <w:highlight w:val="none"/>
          <w:lang w:val="en-US" w:eastAsia="zh-CN" w:bidi="ar-SA"/>
        </w:rPr>
        <w:t>%</w:t>
      </w:r>
      <w:r>
        <w:rPr>
          <w:rFonts w:hint="eastAsia" w:ascii="仿宋" w:hAnsi="仿宋" w:eastAsia="仿宋" w:cs="仿宋"/>
          <w:kern w:val="2"/>
          <w:sz w:val="32"/>
          <w:szCs w:val="28"/>
          <w:highlight w:val="none"/>
          <w:lang w:val="en-US" w:eastAsia="zh-CN" w:bidi="ar-SA"/>
        </w:rPr>
        <w:t>的人认为项目实施后县城内停车状况“方便”，认为不方便的占有2.67%。</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（4）约74.67</w:t>
      </w:r>
      <w:r>
        <w:rPr>
          <w:rFonts w:hint="default" w:ascii="仿宋" w:hAnsi="仿宋" w:eastAsia="仿宋" w:cs="仿宋"/>
          <w:kern w:val="2"/>
          <w:sz w:val="32"/>
          <w:szCs w:val="28"/>
          <w:highlight w:val="none"/>
          <w:lang w:val="en-US" w:eastAsia="zh-CN" w:bidi="ar-SA"/>
        </w:rPr>
        <w:t>%</w:t>
      </w:r>
      <w:r>
        <w:rPr>
          <w:rFonts w:hint="eastAsia" w:ascii="仿宋" w:hAnsi="仿宋" w:eastAsia="仿宋" w:cs="仿宋"/>
          <w:kern w:val="2"/>
          <w:sz w:val="32"/>
          <w:szCs w:val="28"/>
          <w:highlight w:val="none"/>
          <w:lang w:val="en-US" w:eastAsia="zh-CN" w:bidi="ar-SA"/>
        </w:rPr>
        <w:t>的人认为停车位充足，56</w:t>
      </w:r>
      <w:r>
        <w:rPr>
          <w:rFonts w:hint="default" w:ascii="仿宋" w:hAnsi="仿宋" w:eastAsia="仿宋" w:cs="仿宋"/>
          <w:kern w:val="2"/>
          <w:sz w:val="32"/>
          <w:szCs w:val="28"/>
          <w:highlight w:val="none"/>
          <w:lang w:val="en-US" w:eastAsia="zh-CN" w:bidi="ar-SA"/>
        </w:rPr>
        <w:t>%</w:t>
      </w:r>
      <w:r>
        <w:rPr>
          <w:rFonts w:hint="eastAsia" w:ascii="仿宋" w:hAnsi="仿宋" w:eastAsia="仿宋" w:cs="仿宋"/>
          <w:kern w:val="2"/>
          <w:sz w:val="32"/>
          <w:szCs w:val="28"/>
          <w:highlight w:val="none"/>
          <w:lang w:val="en-US" w:eastAsia="zh-CN" w:bidi="ar-SA"/>
        </w:rPr>
        <w:t>的人群认为停车场布局合理，60%人群认为监督系统清晰；</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项目对企业的长期影响及相关建议，主要集中在：</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（1）老城区道路狭窄，停车位少，很多车停在人行家门口台阶上，导致行走不便，且不安全，建议加快道路停车位建设；</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（2）希望对电动车、三轮车乱停乱放、违规占用停车位、以及“僵尸车”长期占用公共停车位的状况加强管制和清理；</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w:t>
      </w:r>
      <w:r>
        <w:rPr>
          <w:rFonts w:hint="default" w:ascii="仿宋" w:hAnsi="仿宋" w:eastAsia="仿宋" w:cs="仿宋"/>
          <w:kern w:val="2"/>
          <w:sz w:val="32"/>
          <w:szCs w:val="28"/>
          <w:highlight w:val="none"/>
          <w:lang w:val="en-US" w:eastAsia="zh-CN" w:bidi="ar-SA"/>
        </w:rPr>
        <w:t>3</w:t>
      </w:r>
      <w:r>
        <w:rPr>
          <w:rFonts w:hint="eastAsia" w:ascii="仿宋" w:hAnsi="仿宋" w:eastAsia="仿宋" w:cs="仿宋"/>
          <w:kern w:val="2"/>
          <w:sz w:val="32"/>
          <w:szCs w:val="28"/>
          <w:highlight w:val="none"/>
          <w:lang w:val="en-US" w:eastAsia="zh-CN" w:bidi="ar-SA"/>
        </w:rPr>
        <w:t>）科学调整红绿灯，多使用绿波车道，减少停车时间，降低尾气排放；</w:t>
      </w: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r>
        <w:rPr>
          <w:rFonts w:hint="eastAsia" w:ascii="仿宋" w:hAnsi="仿宋" w:eastAsia="仿宋" w:cs="仿宋"/>
          <w:kern w:val="2"/>
          <w:sz w:val="32"/>
          <w:szCs w:val="28"/>
          <w:highlight w:val="none"/>
          <w:lang w:val="en-US" w:eastAsia="zh-CN" w:bidi="ar-SA"/>
        </w:rPr>
        <w:t>该类项目满分5分，按满意度比率评价得分4.7分，得分率为94%。</w:t>
      </w:r>
    </w:p>
    <w:p>
      <w:pPr>
        <w:keepNext w:val="0"/>
        <w:keepLines w:val="0"/>
        <w:pageBreakBefore w:val="0"/>
        <w:kinsoku/>
        <w:wordWrap/>
        <w:overflowPunct/>
        <w:topLinePunct w:val="0"/>
        <w:autoSpaceDE/>
        <w:autoSpaceDN/>
        <w:bidi w:val="0"/>
        <w:spacing w:before="120" w:after="120" w:line="560" w:lineRule="exact"/>
        <w:ind w:firstLine="643" w:firstLineChars="200"/>
        <w:rPr>
          <w:rFonts w:hint="default" w:ascii="Times New Roman" w:hAnsi="Times New Roman" w:eastAsia="楷体" w:cs="Times New Roman"/>
          <w:b/>
          <w:bCs/>
          <w:kern w:val="0"/>
          <w:sz w:val="32"/>
          <w:szCs w:val="28"/>
          <w:highlight w:val="none"/>
          <w:lang w:val="en-US" w:eastAsia="zh-CN" w:bidi="ar-SA"/>
        </w:rPr>
      </w:pPr>
      <w:r>
        <w:rPr>
          <w:rFonts w:hint="eastAsia" w:ascii="Times New Roman" w:hAnsi="Times New Roman" w:eastAsia="楷体" w:cs="Times New Roman"/>
          <w:b/>
          <w:bCs/>
          <w:kern w:val="0"/>
          <w:sz w:val="32"/>
          <w:szCs w:val="28"/>
          <w:highlight w:val="none"/>
          <w:lang w:val="en-US" w:eastAsia="zh-CN" w:bidi="ar-SA"/>
        </w:rPr>
        <w:t xml:space="preserve">（四）其他     </w:t>
      </w:r>
    </w:p>
    <w:p>
      <w:pPr>
        <w:pStyle w:val="14"/>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kern w:val="0"/>
          <w:sz w:val="32"/>
          <w:szCs w:val="32"/>
          <w:highlight w:val="none"/>
          <w:lang w:val="en-US" w:eastAsia="zh-CN" w:bidi="ar-SA"/>
        </w:rPr>
      </w:pPr>
      <w:r>
        <w:rPr>
          <w:rFonts w:hint="default" w:ascii="仿宋" w:hAnsi="仿宋" w:eastAsia="仿宋" w:cs="仿宋"/>
          <w:kern w:val="0"/>
          <w:sz w:val="32"/>
          <w:szCs w:val="32"/>
          <w:highlight w:val="none"/>
          <w:lang w:val="en-US" w:eastAsia="zh-CN" w:bidi="ar-SA"/>
        </w:rPr>
        <w:t>本报告专为委托方为本报告所列明的目的以及报送有关部门</w:t>
      </w:r>
      <w:r>
        <w:rPr>
          <w:rFonts w:hint="eastAsia" w:ascii="仿宋" w:hAnsi="仿宋" w:eastAsia="仿宋" w:cs="仿宋"/>
          <w:kern w:val="0"/>
          <w:sz w:val="32"/>
          <w:szCs w:val="32"/>
          <w:highlight w:val="none"/>
          <w:lang w:val="en-US" w:eastAsia="zh-CN" w:bidi="ar-SA"/>
        </w:rPr>
        <w:t>服务，</w:t>
      </w:r>
      <w:r>
        <w:rPr>
          <w:rFonts w:hint="default" w:ascii="仿宋" w:hAnsi="仿宋" w:eastAsia="仿宋" w:cs="仿宋"/>
          <w:kern w:val="0"/>
          <w:sz w:val="32"/>
          <w:szCs w:val="32"/>
          <w:highlight w:val="none"/>
          <w:lang w:val="en-US" w:eastAsia="zh-CN" w:bidi="ar-SA"/>
        </w:rPr>
        <w:t>绩效评价报告书的使用权归委托方所有，除依据法律规定需要公开的情形外，报告的全部或部分内容不得见诸于媒体</w:t>
      </w:r>
      <w:r>
        <w:rPr>
          <w:rFonts w:hint="eastAsia" w:ascii="仿宋" w:hAnsi="仿宋" w:eastAsia="仿宋" w:cs="仿宋"/>
          <w:kern w:val="0"/>
          <w:sz w:val="32"/>
          <w:szCs w:val="32"/>
          <w:highlight w:val="none"/>
          <w:lang w:val="en-US" w:eastAsia="zh-CN" w:bidi="ar-SA"/>
        </w:rPr>
        <w:t>。</w:t>
      </w:r>
    </w:p>
    <w:p>
      <w:pPr>
        <w:pStyle w:val="14"/>
        <w:pageBreakBefore w:val="0"/>
        <w:kinsoku/>
        <w:wordWrap/>
        <w:overflowPunct/>
        <w:topLinePunct w:val="0"/>
        <w:bidi w:val="0"/>
        <w:adjustRightInd w:val="0"/>
        <w:snapToGrid w:val="0"/>
        <w:spacing w:line="560" w:lineRule="exact"/>
        <w:ind w:firstLine="560"/>
        <w:rPr>
          <w:rFonts w:hint="eastAsia" w:ascii="仿宋" w:hAnsi="仿宋" w:eastAsia="仿宋" w:cs="仿宋"/>
          <w:kern w:val="0"/>
          <w:sz w:val="32"/>
          <w:szCs w:val="32"/>
          <w:highlight w:val="none"/>
          <w:lang w:val="en-US" w:eastAsia="zh-CN" w:bidi="ar-SA"/>
        </w:rPr>
      </w:pPr>
    </w:p>
    <w:p>
      <w:pPr>
        <w:pageBreakBefore w:val="0"/>
        <w:kinsoku/>
        <w:wordWrap/>
        <w:overflowPunct/>
        <w:topLinePunct w:val="0"/>
        <w:bidi w:val="0"/>
        <w:spacing w:line="560" w:lineRule="exact"/>
        <w:ind w:firstLine="560"/>
        <w:rPr>
          <w:rFonts w:hint="eastAsia" w:ascii="Times New Roman" w:hAnsi="Times New Roman" w:eastAsia="仿宋_GB2312" w:cs="Times New Roman"/>
          <w:kern w:val="0"/>
          <w:sz w:val="28"/>
          <w:szCs w:val="28"/>
          <w:highlight w:val="yellow"/>
          <w:lang w:val="en-US" w:eastAsia="zh-CN" w:bidi="ar-SA"/>
        </w:rPr>
      </w:pPr>
    </w:p>
    <w:p>
      <w:pPr>
        <w:pageBreakBefore w:val="0"/>
        <w:kinsoku/>
        <w:wordWrap/>
        <w:overflowPunct/>
        <w:topLinePunct w:val="0"/>
        <w:bidi w:val="0"/>
        <w:spacing w:line="560" w:lineRule="exact"/>
        <w:ind w:firstLine="560"/>
        <w:rPr>
          <w:rFonts w:hint="eastAsia" w:ascii="Times New Roman" w:hAnsi="Times New Roman" w:eastAsia="仿宋_GB2312" w:cs="Times New Roman"/>
          <w:kern w:val="0"/>
          <w:sz w:val="28"/>
          <w:szCs w:val="28"/>
          <w:highlight w:val="none"/>
          <w:lang w:val="en-US" w:eastAsia="zh-CN" w:bidi="ar-SA"/>
        </w:rPr>
      </w:pPr>
      <w:r>
        <w:rPr>
          <w:rFonts w:hint="eastAsia" w:ascii="Times New Roman" w:hAnsi="Times New Roman" w:eastAsia="仿宋_GB2312" w:cs="Times New Roman"/>
          <w:kern w:val="0"/>
          <w:sz w:val="28"/>
          <w:szCs w:val="28"/>
          <w:highlight w:val="none"/>
          <w:lang w:val="en-US" w:eastAsia="zh-CN" w:bidi="ar-SA"/>
        </w:rPr>
        <w:t xml:space="preserve">组长：                     </w:t>
      </w:r>
    </w:p>
    <w:p>
      <w:pPr>
        <w:pageBreakBefore w:val="0"/>
        <w:kinsoku/>
        <w:wordWrap/>
        <w:overflowPunct/>
        <w:topLinePunct w:val="0"/>
        <w:bidi w:val="0"/>
        <w:spacing w:line="560" w:lineRule="exact"/>
        <w:ind w:firstLine="560"/>
        <w:rPr>
          <w:rFonts w:hint="eastAsia" w:ascii="Times New Roman" w:hAnsi="Times New Roman" w:eastAsia="仿宋_GB2312" w:cs="Times New Roman"/>
          <w:kern w:val="0"/>
          <w:sz w:val="28"/>
          <w:szCs w:val="28"/>
          <w:highlight w:val="none"/>
          <w:lang w:val="en-US" w:eastAsia="zh-CN" w:bidi="ar-SA"/>
        </w:rPr>
      </w:pPr>
    </w:p>
    <w:p>
      <w:pPr>
        <w:keepNext w:val="0"/>
        <w:keepLines w:val="0"/>
        <w:pageBreakBefore w:val="0"/>
        <w:kinsoku/>
        <w:wordWrap/>
        <w:overflowPunct/>
        <w:topLinePunct w:val="0"/>
        <w:autoSpaceDE/>
        <w:autoSpaceDN/>
        <w:bidi w:val="0"/>
        <w:spacing w:before="120" w:after="120" w:line="560" w:lineRule="exact"/>
        <w:ind w:firstLine="640" w:firstLineChars="200"/>
        <w:rPr>
          <w:rFonts w:hint="eastAsia" w:ascii="仿宋" w:hAnsi="仿宋" w:eastAsia="仿宋" w:cs="仿宋"/>
          <w:kern w:val="2"/>
          <w:sz w:val="32"/>
          <w:szCs w:val="28"/>
          <w:highlight w:val="none"/>
          <w:lang w:val="en-US" w:eastAsia="zh-CN" w:bidi="ar-SA"/>
        </w:rPr>
      </w:pPr>
    </w:p>
    <w:p>
      <w:pPr>
        <w:pageBreakBefore w:val="0"/>
        <w:kinsoku/>
        <w:wordWrap/>
        <w:overflowPunct/>
        <w:topLinePunct w:val="0"/>
        <w:bidi w:val="0"/>
        <w:spacing w:line="560" w:lineRule="exact"/>
        <w:ind w:firstLine="560"/>
        <w:rPr>
          <w:rFonts w:hint="eastAsia" w:ascii="Times New Roman" w:hAnsi="Times New Roman" w:eastAsia="仿宋_GB2312" w:cs="Times New Roman"/>
          <w:kern w:val="0"/>
          <w:sz w:val="28"/>
          <w:szCs w:val="28"/>
          <w:highlight w:val="none"/>
          <w:lang w:val="en-US" w:eastAsia="zh-CN" w:bidi="ar-SA"/>
        </w:rPr>
      </w:pPr>
    </w:p>
    <w:p>
      <w:pPr>
        <w:pageBreakBefore w:val="0"/>
        <w:kinsoku/>
        <w:wordWrap/>
        <w:overflowPunct/>
        <w:topLinePunct w:val="0"/>
        <w:bidi w:val="0"/>
        <w:spacing w:line="560" w:lineRule="exact"/>
        <w:ind w:firstLine="560"/>
      </w:pPr>
      <w:r>
        <w:rPr>
          <w:rFonts w:hint="eastAsia" w:ascii="Times New Roman" w:hAnsi="Times New Roman" w:eastAsia="仿宋_GB2312" w:cs="Times New Roman"/>
          <w:kern w:val="0"/>
          <w:sz w:val="28"/>
          <w:szCs w:val="28"/>
          <w:highlight w:val="none"/>
          <w:lang w:val="en-US" w:eastAsia="zh-CN" w:bidi="ar-SA"/>
        </w:rPr>
        <w:t>成员：</w:t>
      </w:r>
    </w:p>
    <w:p>
      <w:pPr>
        <w:keepNext w:val="0"/>
        <w:keepLines w:val="0"/>
        <w:pageBreakBefore w:val="0"/>
        <w:kinsoku/>
        <w:wordWrap/>
        <w:overflowPunct/>
        <w:topLinePunct w:val="0"/>
        <w:autoSpaceDE/>
        <w:autoSpaceDN/>
        <w:bidi w:val="0"/>
        <w:spacing w:before="120" w:after="120" w:line="560" w:lineRule="exact"/>
        <w:ind w:firstLine="420" w:firstLineChars="200"/>
        <w:rPr>
          <w:rFonts w:hint="eastAsia"/>
          <w:highlight w:val="yellow"/>
          <w:lang w:val="en-US" w:eastAsia="zh-CN"/>
        </w:rPr>
      </w:pPr>
    </w:p>
    <w:p>
      <w:pPr>
        <w:keepNext w:val="0"/>
        <w:keepLines w:val="0"/>
        <w:pageBreakBefore w:val="0"/>
        <w:kinsoku/>
        <w:wordWrap/>
        <w:overflowPunct/>
        <w:topLinePunct w:val="0"/>
        <w:autoSpaceDE/>
        <w:autoSpaceDN/>
        <w:bidi w:val="0"/>
        <w:spacing w:before="120" w:after="120" w:line="560" w:lineRule="exact"/>
        <w:ind w:firstLine="420" w:firstLineChars="200"/>
        <w:rPr>
          <w:rFonts w:hint="eastAsia"/>
          <w:highlight w:val="yellow"/>
          <w:lang w:val="en-US" w:eastAsia="zh-CN"/>
        </w:rPr>
      </w:pPr>
    </w:p>
    <w:p>
      <w:pPr>
        <w:keepNext w:val="0"/>
        <w:keepLines w:val="0"/>
        <w:pageBreakBefore w:val="0"/>
        <w:kinsoku/>
        <w:wordWrap/>
        <w:overflowPunct/>
        <w:topLinePunct w:val="0"/>
        <w:autoSpaceDE/>
        <w:autoSpaceDN/>
        <w:bidi w:val="0"/>
        <w:spacing w:before="120" w:after="120" w:line="560" w:lineRule="exact"/>
        <w:ind w:firstLine="420" w:firstLineChars="200"/>
        <w:rPr>
          <w:rFonts w:hint="eastAsia"/>
          <w:highlight w:val="yellow"/>
          <w:lang w:val="en-US" w:eastAsia="zh-CN"/>
        </w:rPr>
      </w:pPr>
    </w:p>
    <w:p>
      <w:pPr>
        <w:keepNext w:val="0"/>
        <w:keepLines w:val="0"/>
        <w:pageBreakBefore w:val="0"/>
        <w:kinsoku/>
        <w:wordWrap/>
        <w:overflowPunct/>
        <w:topLinePunct w:val="0"/>
        <w:autoSpaceDE/>
        <w:autoSpaceDN/>
        <w:bidi w:val="0"/>
        <w:spacing w:before="120" w:after="120" w:line="560" w:lineRule="exact"/>
        <w:ind w:firstLine="420" w:firstLineChars="200"/>
        <w:rPr>
          <w:rFonts w:hint="eastAsia"/>
          <w:highlight w:val="yellow"/>
          <w:lang w:val="en-US" w:eastAsia="zh-CN"/>
        </w:rPr>
        <w:sectPr>
          <w:footerReference r:id="rId5" w:type="default"/>
          <w:pgSz w:w="11906" w:h="16838"/>
          <w:pgMar w:top="1440" w:right="1474" w:bottom="1984" w:left="1587" w:header="851" w:footer="992" w:gutter="0"/>
          <w:pgNumType w:fmt="decimal"/>
          <w:cols w:space="425" w:num="1"/>
          <w:docGrid w:type="lines" w:linePitch="312" w:charSpace="0"/>
        </w:sectPr>
      </w:pPr>
    </w:p>
    <w:p/>
    <w:tbl>
      <w:tblPr>
        <w:tblStyle w:val="12"/>
        <w:tblW w:w="152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4"/>
        <w:gridCol w:w="1125"/>
        <w:gridCol w:w="1245"/>
        <w:gridCol w:w="2640"/>
        <w:gridCol w:w="871"/>
        <w:gridCol w:w="2700"/>
        <w:gridCol w:w="2205"/>
        <w:gridCol w:w="945"/>
        <w:gridCol w:w="2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指标分</w:t>
            </w:r>
          </w:p>
        </w:tc>
        <w:tc>
          <w:tcPr>
            <w:tcW w:w="27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指标评审要求</w:t>
            </w:r>
          </w:p>
        </w:tc>
        <w:tc>
          <w:tcPr>
            <w:tcW w:w="22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实际数据</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实得分</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部分完成或未完成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项目决策12分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决策过程</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决策依据充分性</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①项目立项是否符合国家法律法规、国民经济发展规划和相关政策；</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②项目立项是否符合行业发展规划和政策要求；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③项目立项是否与部门职责范围相符，属于部门履职所需；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④项目是否属于公共财政支持范围，是否符合中央、地方事权支出责任划分原则；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⑤项目是否与相关部门同类项目或部门内部相关项目重复。</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0"/>
                <w:szCs w:val="20"/>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决策程序规范性</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①项目是否按照规定的程序申请设立；</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②审批文件、材料是否符合相关要求；</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③事前是否已经过必要的可行性研究、专家论证、风险评估、绩效评估、集体决策。</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停车位及运营数据达成率差异大于50%，成本指标还未办理竣工结算报告，偏离目标过大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绩效目标</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绩效目标合理性</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①项目是否有绩效目标；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②项目绩效目标与实际工作内容是否具有相关性；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③项目预期产出效益和效果是否符合正常的业绩水平；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④是否与预算确定的项目投资额或资金量相匹配。</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1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未见项目绩效目标，无从评价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0"/>
                <w:szCs w:val="20"/>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绩效指标明确性</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①是否将项目绩效目标细化分解为具体的绩效指标；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②是否通过清晰、可衡量的指标值予以体现；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③是否与项目目标任务数或计划数相对应。</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1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资金分配</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可研预算编制科学性</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①预算编制是否经过科学论证；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②预算内容与项目内容是否匹配；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③预算额度测算依据是否充分，是否按照标准编制；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④预算确定的项目投资额或资金量是否与工作任务相匹配。</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FF0000"/>
                <w:sz w:val="18"/>
                <w:szCs w:val="18"/>
                <w:u w:val="none"/>
              </w:rPr>
            </w:pPr>
            <w:r>
              <w:rPr>
                <w:rFonts w:hint="eastAsia" w:ascii="宋体" w:hAnsi="宋体" w:eastAsia="宋体" w:cs="宋体"/>
                <w:i w:val="0"/>
                <w:iCs w:val="0"/>
                <w:color w:val="FF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建设项目投资概算超过经批准的可行性研究报告提出的投资估算10%的，项目单位应当向投资主管部门或者其他有关部门报告，投资主管部门或者其他有关部门可以要求项目单位重新报送可行性研究报告。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0"/>
                <w:szCs w:val="20"/>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可研规划资金合理性</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①预算资金分配依据是否充分；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②资金分配额度是否合理，与项目单位或地方实际是否相适应。</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可研与实际差异过大，自筹资金还一直未支付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项目过程13分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资金管理</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预算资金到位率</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FF0000"/>
                <w:sz w:val="18"/>
                <w:szCs w:val="18"/>
                <w:u w:val="none"/>
              </w:rPr>
            </w:pPr>
            <w:r>
              <w:rPr>
                <w:rFonts w:hint="eastAsia" w:ascii="宋体" w:hAnsi="宋体" w:eastAsia="宋体" w:cs="宋体"/>
                <w:i w:val="0"/>
                <w:iCs w:val="0"/>
                <w:color w:val="FF0000"/>
                <w:kern w:val="0"/>
                <w:sz w:val="18"/>
                <w:szCs w:val="18"/>
                <w:u w:val="none"/>
                <w:lang w:val="en-US" w:eastAsia="zh-CN" w:bidi="ar"/>
              </w:rPr>
              <w:t>5000万元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FF0000"/>
                <w:sz w:val="18"/>
                <w:szCs w:val="18"/>
                <w:u w:val="none"/>
              </w:rPr>
            </w:pPr>
            <w:r>
              <w:rPr>
                <w:rFonts w:hint="eastAsia" w:ascii="宋体" w:hAnsi="宋体" w:eastAsia="宋体" w:cs="宋体"/>
                <w:i w:val="0"/>
                <w:iCs w:val="0"/>
                <w:color w:val="FF0000"/>
                <w:kern w:val="0"/>
                <w:sz w:val="18"/>
                <w:szCs w:val="18"/>
                <w:u w:val="none"/>
                <w:lang w:val="en-US" w:eastAsia="zh-CN" w:bidi="ar"/>
              </w:rPr>
              <w:t>4432</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2.66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FF0000"/>
                <w:sz w:val="18"/>
                <w:szCs w:val="18"/>
                <w:u w:val="none"/>
              </w:rPr>
            </w:pPr>
            <w:r>
              <w:rPr>
                <w:rFonts w:hint="eastAsia" w:ascii="宋体" w:hAnsi="宋体" w:eastAsia="宋体" w:cs="宋体"/>
                <w:i w:val="0"/>
                <w:iCs w:val="0"/>
                <w:color w:val="FF0000"/>
                <w:kern w:val="0"/>
                <w:sz w:val="18"/>
                <w:szCs w:val="18"/>
                <w:u w:val="none"/>
                <w:lang w:val="en-US" w:eastAsia="zh-CN" w:bidi="ar"/>
              </w:rPr>
              <w:t>实际到位4432万元，到位率88.64%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0"/>
                <w:szCs w:val="20"/>
                <w:u w:val="none"/>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预算执行率</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政府专项债券执行率</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预算执行率=（实际支出资金/实际到位资金）×100%。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实际支出资金：一定时期（本年度或项目期）内项目实际拨付的资金。</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D0D0D"/>
                <w:sz w:val="20"/>
                <w:szCs w:val="20"/>
                <w:u w:val="none"/>
              </w:rPr>
            </w:pP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停车费收入执行率</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0.00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按规划，项目投资资金超出财政专用债券6000万以外由项目收费支付，实际未支付。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0"/>
                <w:szCs w:val="20"/>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资金使用合规性</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①是否符合国家财经法规和财务管理制度以及有关专项资金管理办法的规定；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②资金的拨付是否有完整的审批程序和手续；</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③是否符合项目预算批复或合同规定的用途；</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④是否存在截留、挤占、挪用、虚列支出等情况。</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宏发公司招标承建的部分工程款却由城发公司用实物或者城发公司自行完成，涉嫌违规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333333"/>
                <w:sz w:val="20"/>
                <w:szCs w:val="20"/>
                <w:u w:val="none"/>
              </w:rPr>
            </w:pPr>
            <w:r>
              <w:rPr>
                <w:rFonts w:hint="eastAsia" w:ascii="宋体" w:hAnsi="宋体" w:eastAsia="宋体" w:cs="宋体"/>
                <w:i w:val="0"/>
                <w:iCs w:val="0"/>
                <w:color w:val="333333"/>
                <w:kern w:val="0"/>
                <w:sz w:val="20"/>
                <w:szCs w:val="20"/>
                <w:u w:val="none"/>
                <w:lang w:val="en-US" w:eastAsia="zh-CN" w:bidi="ar"/>
              </w:rPr>
              <w:t>组织保障</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管理制度健全性</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①是否已制定或具有相应的业务管理制度；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②业务管理制度是否合法、合规、完整。</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0"/>
                <w:szCs w:val="20"/>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项目监督</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①建设检查制度；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②有专项检查；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③对检查的问题有及时整改并落实；</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④及时对日常工作进行总结和检查。</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基本无监督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333333"/>
                <w:sz w:val="20"/>
                <w:szCs w:val="20"/>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制度执行有效性</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①是否遵守相关法律法规和相关管理规定；</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②项目调整及支出调整手续是否完备；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③项目合同书、审计、验收报告、技术鉴定等资料是否齐全并及时归档；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④项目实施的人员条件、场地设备、信息支撑等是否落实到位。</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项目管理法人只有财务制定中的专项资金管理条款，可操作性差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                                                                                                                                                                 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出                                                                                                                  45                                                                                                          分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一期智慧化升级项目软件、数据普查及链路运营采购工程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数据基础设施、支撑体系、应用系统，智慧平台等44个支撑体系</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nil"/>
              <w:left w:val="nil"/>
              <w:bottom w:val="nil"/>
              <w:right w:val="nil"/>
            </w:tcBorders>
            <w:shd w:val="clear" w:color="auto" w:fill="FFFFFF"/>
            <w:noWrap/>
            <w:vAlign w:val="bottom"/>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一期智慧化升级硬件设备、指挥中心电气装修工程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智能、执法终端；视频监控系统；监督中心设备等</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nil"/>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一期智慧化升级EPC智慧停车场建设工程</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老城区及新建路内停车泊位</w:t>
            </w: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3500个</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1896</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0.64 </w:t>
            </w:r>
          </w:p>
        </w:tc>
        <w:tc>
          <w:tcPr>
            <w:tcW w:w="2715" w:type="dxa"/>
            <w:vMerge w:val="restart"/>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达成率15.97%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封闭停车场智能化改造</w:t>
            </w: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200个</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71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商业停车场接入19个/5300个泊位</w:t>
            </w: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5300个</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71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新老城区加工业园区，物业小区停车位</w:t>
            </w: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7000个</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612</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71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（二期）智慧化停车扩位工程</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新建路侧停车泊位</w:t>
            </w:r>
          </w:p>
        </w:tc>
        <w:tc>
          <w:tcPr>
            <w:tcW w:w="87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4956个</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3176</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1.73 </w:t>
            </w:r>
          </w:p>
        </w:tc>
        <w:tc>
          <w:tcPr>
            <w:tcW w:w="2715" w:type="dxa"/>
            <w:vMerge w:val="restart"/>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达成率43.28%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道板停车位</w:t>
            </w: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2090个</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71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封闭停车场</w:t>
            </w: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1258个</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466</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71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新建停车场</w:t>
            </w:r>
          </w:p>
        </w:tc>
        <w:tc>
          <w:tcPr>
            <w:tcW w:w="87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962个</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368</w:t>
            </w: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71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二期静态交通及指挥中心</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静态交通及指挥中心系统</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nil"/>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一期项目附属楼</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1幢</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nil"/>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项目运行指标</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年平均营业收入</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22年1289.58万元2023年1418.53万元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22年0万元2023年538.47万元</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0.80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r>
              <w:rPr>
                <w:rFonts w:hint="eastAsia" w:ascii="宋体" w:hAnsi="宋体" w:cs="宋体"/>
                <w:i w:val="0"/>
                <w:iCs w:val="0"/>
                <w:color w:val="000000"/>
                <w:kern w:val="0"/>
                <w:sz w:val="18"/>
                <w:szCs w:val="18"/>
                <w:u w:val="none"/>
                <w:lang w:val="en-US" w:eastAsia="zh-CN" w:bidi="ar"/>
              </w:rPr>
              <w:t>收入</w:t>
            </w:r>
            <w:r>
              <w:rPr>
                <w:rFonts w:hint="eastAsia" w:ascii="宋体" w:hAnsi="宋体" w:eastAsia="宋体" w:cs="宋体"/>
                <w:i w:val="0"/>
                <w:iCs w:val="0"/>
                <w:color w:val="000000"/>
                <w:kern w:val="0"/>
                <w:sz w:val="18"/>
                <w:szCs w:val="18"/>
                <w:u w:val="none"/>
                <w:lang w:val="en-US" w:eastAsia="zh-CN" w:bidi="ar"/>
              </w:rPr>
              <w:t>15367.82-运营成本及税费11043.95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restart"/>
            <w:tcBorders>
              <w:top w:val="single" w:color="000000" w:sz="4" w:space="0"/>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验收质量达标率</w:t>
            </w:r>
          </w:p>
        </w:tc>
        <w:tc>
          <w:tcPr>
            <w:tcW w:w="264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一期智慧化升级项目软件、数据普查及链路运营采购工程验收合格率</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2021年10月申请验收，但验收报告和试运行报告日期都是2020年11月</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已验收</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1.50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验收方案日期2021年10月，验收时间2020年11月，流程审核程序有问题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一期智慧化升级硬件设备、指挥中心电气装修工程验收合格率</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2021年11月完成验收合格</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已验收</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许多送检设备日期长达五年以上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一期智慧化升级EPC智慧停车场建设工程合格率</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已完工，但未验收</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完工未验收</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1.00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签订合同</w:t>
            </w:r>
            <w:r>
              <w:rPr>
                <w:rFonts w:hint="eastAsia" w:ascii="宋体" w:hAnsi="宋体" w:eastAsia="宋体" w:cs="宋体"/>
                <w:i w:val="0"/>
                <w:iCs w:val="0"/>
                <w:color w:val="000000"/>
                <w:kern w:val="0"/>
                <w:sz w:val="18"/>
                <w:szCs w:val="18"/>
                <w:u w:val="none"/>
                <w:lang w:val="en-US" w:eastAsia="zh-CN" w:bidi="ar"/>
              </w:rPr>
              <w:t>方与实际建设方不符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一期智慧化项目附属楼</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已完工验收</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已验收</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2.00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restart"/>
            <w:tcBorders>
              <w:top w:val="single" w:color="000000" w:sz="4" w:space="0"/>
              <w:left w:val="nil"/>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45" w:type="dxa"/>
            <w:vMerge w:val="restart"/>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项目施工时间</w:t>
            </w: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一期智慧化升级项目软件、数据普查及链路运营采购工程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2021年2月10日-2024年2月9日</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2021年2月23日开工，2021年11月验收</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一期智慧化升级硬件设备、指挥中心电气装修工程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2020年12月29日至2021年3月28日（90天）</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2021年1月8日完工-2021年11月23日专家验收</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验收日期超约定220天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一期智慧化升级EPC智慧停车场建设工程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2022年4月10-2023年10月10日（540天）</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2023年2月1日验收EPC；</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2022年1月完成，预计2020年7月完成环保审批；及用地规划、工程规划 和施工许可；2020年7月工程招标；预计2020年8月开工，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一期项目附属楼</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2021年3月1日至2021年6月2日共计90天</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2021年3月1日开工令，已完工，23年10月10日验收业务用房</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（二期）智慧化停车扩位静态交通及指挥中心升级工程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2024年1月24日至2024年6月23日</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2024年6月已完成，还未验收</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路牙机、停车场监控180天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nil"/>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（二期）智慧化停车扩位工程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2023年12月30日至2024年5月30日</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2024年6月已完成，还未验收</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restart"/>
            <w:tcBorders>
              <w:top w:val="single" w:color="000000" w:sz="4"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45"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经济成本指标</w:t>
            </w: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一期智慧化升级项目软件、数据普查及链路运营采购工程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≤523.8</w:t>
            </w:r>
            <w:r>
              <w:rPr>
                <w:rFonts w:hint="eastAsia" w:ascii="宋体" w:hAnsi="宋体" w:eastAsia="宋体" w:cs="宋体"/>
                <w:i w:val="0"/>
                <w:iCs w:val="0"/>
                <w:color w:val="000000"/>
                <w:kern w:val="0"/>
                <w:sz w:val="18"/>
                <w:szCs w:val="18"/>
                <w:u w:val="none"/>
                <w:lang w:val="en-US" w:eastAsia="zh-CN" w:bidi="ar"/>
              </w:rPr>
              <w:t>万元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523.80 </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建设项目预算总额6613.64万元，其中自筹3613.64万元，占总投资54.64%，3000万元省级专项债券资金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D0D0D"/>
                <w:sz w:val="20"/>
                <w:szCs w:val="20"/>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一期智慧化升级硬件设备、指挥中心电气装修工程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≤399.95</w:t>
            </w:r>
            <w:r>
              <w:rPr>
                <w:rFonts w:hint="eastAsia" w:ascii="宋体" w:hAnsi="宋体" w:eastAsia="宋体" w:cs="宋体"/>
                <w:i w:val="0"/>
                <w:iCs w:val="0"/>
                <w:color w:val="000000"/>
                <w:kern w:val="0"/>
                <w:sz w:val="18"/>
                <w:szCs w:val="18"/>
                <w:u w:val="none"/>
                <w:lang w:val="en-US" w:eastAsia="zh-CN" w:bidi="ar"/>
              </w:rPr>
              <w:t>万元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431.0919</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1.84</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项目年度内无调整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D0D0D"/>
                <w:sz w:val="20"/>
                <w:szCs w:val="20"/>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一期智慧化升级EPC智慧停车场建设工程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≤5071</w:t>
            </w:r>
            <w:r>
              <w:rPr>
                <w:rFonts w:hint="eastAsia" w:ascii="宋体" w:hAnsi="宋体" w:eastAsia="宋体" w:cs="宋体"/>
                <w:i w:val="0"/>
                <w:iCs w:val="0"/>
                <w:color w:val="000000"/>
                <w:kern w:val="0"/>
                <w:sz w:val="18"/>
                <w:szCs w:val="18"/>
                <w:u w:val="none"/>
                <w:lang w:val="en-US" w:eastAsia="zh-CN" w:bidi="ar"/>
              </w:rPr>
              <w:t>万元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3000.00 </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目前EPC土建成本预计1900万元，停车场建设1100万元；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D0D0D"/>
                <w:sz w:val="20"/>
                <w:szCs w:val="20"/>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一期项目附属楼</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≤95.9</w:t>
            </w:r>
            <w:r>
              <w:rPr>
                <w:rFonts w:hint="eastAsia" w:ascii="宋体" w:hAnsi="宋体" w:eastAsia="宋体" w:cs="宋体"/>
                <w:i w:val="0"/>
                <w:iCs w:val="0"/>
                <w:color w:val="000000"/>
                <w:kern w:val="0"/>
                <w:sz w:val="18"/>
                <w:szCs w:val="18"/>
                <w:u w:val="none"/>
                <w:lang w:val="en-US" w:eastAsia="zh-CN" w:bidi="ar"/>
              </w:rPr>
              <w:t>万元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99.95</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D0D0D"/>
                <w:sz w:val="20"/>
                <w:szCs w:val="20"/>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（二期）智慧化停车扩位静态交通及指挥中心升级工程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≤4169.68</w:t>
            </w:r>
            <w:r>
              <w:rPr>
                <w:rFonts w:hint="eastAsia" w:ascii="宋体" w:hAnsi="宋体" w:eastAsia="宋体" w:cs="宋体"/>
                <w:i w:val="0"/>
                <w:iCs w:val="0"/>
                <w:color w:val="000000"/>
                <w:kern w:val="0"/>
                <w:sz w:val="18"/>
                <w:szCs w:val="18"/>
                <w:u w:val="none"/>
                <w:lang w:val="en-US" w:eastAsia="zh-CN" w:bidi="ar"/>
              </w:rPr>
              <w:t>万元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已基本完工，未结算</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nil"/>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D0D0D"/>
                <w:sz w:val="20"/>
                <w:szCs w:val="20"/>
                <w:u w:val="none"/>
              </w:rPr>
            </w:pPr>
          </w:p>
        </w:tc>
        <w:tc>
          <w:tcPr>
            <w:tcW w:w="2640"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（二期）智慧化停车扩位工程</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≤1097.7748</w:t>
            </w:r>
            <w:r>
              <w:rPr>
                <w:rFonts w:hint="eastAsia" w:ascii="宋体" w:hAnsi="宋体" w:eastAsia="宋体" w:cs="宋体"/>
                <w:i w:val="0"/>
                <w:iCs w:val="0"/>
                <w:color w:val="000000"/>
                <w:kern w:val="0"/>
                <w:sz w:val="18"/>
                <w:szCs w:val="18"/>
                <w:u w:val="none"/>
                <w:lang w:val="en-US" w:eastAsia="zh-CN" w:bidi="ar"/>
              </w:rPr>
              <w:t>万元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已完工，未结算</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项目效益13分</w:t>
            </w:r>
          </w:p>
        </w:tc>
        <w:tc>
          <w:tcPr>
            <w:tcW w:w="1125" w:type="dxa"/>
            <w:vMerge w:val="restart"/>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w:t>
            </w: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运营效益</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项目建设期内实现利润额</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2023年82.58万元/利润率5.82%</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23年26.72万元/4.96%</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0.97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22年1289.58万元2023年1418.53万元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nil"/>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解决城市就业</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解决就业机会</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94人/300万元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实际35人/126</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缓解交通拥堵率</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可以保障</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建设智能停车大数据运营管理平台，方便车主停车，疏导交通、缓解停车难、乱停放、停车纠纷和因停车导致交通拥堵问题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节能减排，节约资源</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有效改善生态环境</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能有效保护</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减少无效交通，改善交通秩序，减少尾气排放，节约能源消耗，响应绿色出行。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能力建设12分</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影响指标</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长效机制建设</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考察项目后续运行及成效发挥的可持续影响情况,以及项目工程后期管护情况</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达到目标</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人力资源对项目可持续影响</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项目实施后人力资源水平改善</w:t>
            </w:r>
            <w:bookmarkStart w:id="18" w:name="_GoBack"/>
            <w:bookmarkEnd w:id="18"/>
            <w:r>
              <w:rPr>
                <w:rFonts w:hint="eastAsia" w:ascii="宋体" w:hAnsi="宋体" w:eastAsia="宋体" w:cs="宋体"/>
                <w:i w:val="0"/>
                <w:iCs w:val="0"/>
                <w:color w:val="000000"/>
                <w:kern w:val="0"/>
                <w:sz w:val="18"/>
                <w:szCs w:val="18"/>
                <w:u w:val="none"/>
                <w:lang w:val="en-US" w:eastAsia="zh-CN" w:bidi="ar"/>
              </w:rPr>
              <w:t>状况对项目及单位可持续发展的影响</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有专业团队维护</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硬件条件对项目发展作用</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项目实施过程中设备条件的改善对项目及单位可持续发展的意义</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有硬件设备支持</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88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D0D0D"/>
                <w:sz w:val="20"/>
                <w:szCs w:val="20"/>
                <w:u w:val="none"/>
              </w:rPr>
            </w:pPr>
            <w:r>
              <w:rPr>
                <w:rFonts w:hint="eastAsia" w:ascii="宋体" w:hAnsi="宋体" w:eastAsia="宋体" w:cs="宋体"/>
                <w:i w:val="0"/>
                <w:iCs w:val="0"/>
                <w:color w:val="0D0D0D"/>
                <w:kern w:val="0"/>
                <w:sz w:val="20"/>
                <w:szCs w:val="20"/>
                <w:u w:val="none"/>
                <w:lang w:val="en-US" w:eastAsia="zh-CN" w:bidi="ar"/>
              </w:rPr>
              <w:t>项目受益群众满意度</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2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绩效总得分</w:t>
            </w:r>
          </w:p>
        </w:tc>
        <w:tc>
          <w:tcPr>
            <w:tcW w:w="87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2"/>
                <w:szCs w:val="22"/>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68.87 </w:t>
            </w:r>
          </w:p>
        </w:tc>
        <w:tc>
          <w:tcPr>
            <w:tcW w:w="27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2"/>
                <w:szCs w:val="22"/>
                <w:u w:val="none"/>
              </w:rPr>
            </w:pPr>
          </w:p>
        </w:tc>
      </w:tr>
    </w:tbl>
    <w:p/>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1C5A93-8AD8-4324-8CD9-77884A1236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1456922-08CB-453B-950E-F795BCF73DC7}"/>
  </w:font>
  <w:font w:name="华文新魏">
    <w:altName w:val="宋体"/>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embedRegular r:id="rId3" w:fontKey="{9BE2663C-C77D-46DD-9EC4-087B1B05B51A}"/>
  </w:font>
  <w:font w:name="仿宋">
    <w:panose1 w:val="02010609060101010101"/>
    <w:charset w:val="86"/>
    <w:family w:val="modern"/>
    <w:pitch w:val="default"/>
    <w:sig w:usb0="800002BF" w:usb1="38CF7CFA" w:usb2="00000016" w:usb3="00000000" w:csb0="00040001" w:csb1="00000000"/>
    <w:embedRegular r:id="rId4" w:fontKey="{F3765D85-14E5-459A-BF60-D58507EEDB97}"/>
  </w:font>
  <w:font w:name="方正仿宋_GB2312">
    <w:panose1 w:val="02000000000000000000"/>
    <w:charset w:val="86"/>
    <w:family w:val="auto"/>
    <w:pitch w:val="default"/>
    <w:sig w:usb0="A00002BF" w:usb1="184F6CFA" w:usb2="00000012" w:usb3="00000000" w:csb0="00040001" w:csb1="00000000"/>
    <w:embedRegular r:id="rId5" w:fontKey="{D315A871-2A75-4E43-A569-20E1751E636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46</w:t>
                    </w:r>
                    <w:r>
                      <w:rPr>
                        <w:rFonts w:hint="eastAsia"/>
                        <w:lang w:eastAsia="zh-CN"/>
                      </w:rPr>
                      <w:fldChar w:fldCharType="end"/>
                    </w:r>
                  </w:p>
                </w:txbxContent>
              </v:textbox>
            </v:shape>
          </w:pict>
        </mc:Fallback>
      </mc:AlternateContent>
    </w:r>
  </w:p>
  <w:p>
    <w:pPr>
      <w:pStyle w:val="7"/>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6"/>
      </w:pBdr>
      <w:tabs>
        <w:tab w:val="right" w:pos="8820"/>
        <w:tab w:val="clear" w:pos="8306"/>
      </w:tabs>
      <w:ind w:right="25" w:right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kinsoku/>
      <w:wordWrap/>
      <w:overflowPunct/>
      <w:topLinePunct w:val="0"/>
      <w:autoSpaceDE/>
      <w:autoSpaceDN/>
      <w:bidi w:val="0"/>
      <w:adjustRightInd/>
      <w:snapToGrid/>
      <w:spacing w:line="240" w:lineRule="auto"/>
      <w:jc w:val="both"/>
      <w:textAlignment w:val="auto"/>
      <w:outlineLvl w:val="9"/>
      <w:rPr>
        <w:rFonts w:hint="default"/>
        <w:b/>
        <w:bCs/>
        <w:color w:val="auto"/>
        <w:sz w:val="15"/>
        <w:szCs w:val="15"/>
        <w:lang w:val="en-US" w:eastAsia="zh-CN"/>
      </w:rPr>
    </w:pPr>
    <w:r>
      <w:rPr>
        <w:rFonts w:hint="eastAsia"/>
        <w:b/>
        <w:bCs/>
        <w:color w:val="auto"/>
        <w:sz w:val="15"/>
        <w:szCs w:val="15"/>
        <w:lang w:val="en-US" w:eastAsia="zh-CN"/>
      </w:rPr>
      <w:t>阳新县恒泰会计事务服务有限公司                            阳新县城区市政设施智慧化升级利用建设项目绩效评价报告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7A6A5"/>
    <w:multiLevelType w:val="singleLevel"/>
    <w:tmpl w:val="8BC7A6A5"/>
    <w:lvl w:ilvl="0" w:tentative="0">
      <w:start w:val="4"/>
      <w:numFmt w:val="decimal"/>
      <w:suff w:val="space"/>
      <w:lvlText w:val="%1."/>
      <w:lvlJc w:val="left"/>
    </w:lvl>
  </w:abstractNum>
  <w:abstractNum w:abstractNumId="1">
    <w:nsid w:val="D99EAF00"/>
    <w:multiLevelType w:val="singleLevel"/>
    <w:tmpl w:val="D99EAF00"/>
    <w:lvl w:ilvl="0" w:tentative="0">
      <w:start w:val="2"/>
      <w:numFmt w:val="decimal"/>
      <w:suff w:val="space"/>
      <w:lvlText w:val="%1."/>
      <w:lvlJc w:val="left"/>
    </w:lvl>
  </w:abstractNum>
  <w:abstractNum w:abstractNumId="2">
    <w:nsid w:val="5EAB0034"/>
    <w:multiLevelType w:val="multilevel"/>
    <w:tmpl w:val="5EAB0034"/>
    <w:lvl w:ilvl="0" w:tentative="0">
      <w:start w:val="1"/>
      <w:numFmt w:val="decimal"/>
      <w:suff w:val="space"/>
      <w:lvlText w:val="%1 "/>
      <w:lvlJc w:val="left"/>
      <w:pPr>
        <w:ind w:left="0" w:firstLine="0"/>
      </w:pPr>
      <w:rPr>
        <w:lang w:eastAsia="zh-CN"/>
      </w:rPr>
    </w:lvl>
    <w:lvl w:ilvl="1" w:tentative="0">
      <w:start w:val="1"/>
      <w:numFmt w:val="decimal"/>
      <w:suff w:val="space"/>
      <w:lvlText w:val="%1.%2"/>
      <w:lvlJc w:val="left"/>
      <w:pPr>
        <w:ind w:left="0" w:firstLine="0"/>
      </w:pPr>
    </w:lvl>
    <w:lvl w:ilvl="2" w:tentative="0">
      <w:start w:val="1"/>
      <w:numFmt w:val="decimal"/>
      <w:suff w:val="space"/>
      <w:lvlText w:val="%1.%2.%3"/>
      <w:lvlJc w:val="left"/>
      <w:pPr>
        <w:ind w:left="0" w:firstLine="0"/>
      </w:pPr>
      <w:rPr>
        <w:rFonts w:hint="eastAsia"/>
      </w:rPr>
    </w:lvl>
    <w:lvl w:ilvl="3" w:tentative="0">
      <w:start w:val="1"/>
      <w:numFmt w:val="decimal"/>
      <w:pStyle w:val="3"/>
      <w:suff w:val="space"/>
      <w:lvlText w:val="%1.%2.%3.%4"/>
      <w:lvlJc w:val="left"/>
      <w:pPr>
        <w:ind w:left="0" w:firstLine="0"/>
      </w:p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39772A"/>
    <w:multiLevelType w:val="singleLevel"/>
    <w:tmpl w:val="6739772A"/>
    <w:lvl w:ilvl="0" w:tentative="0">
      <w:start w:val="3"/>
      <w:numFmt w:val="decimal"/>
      <w:suff w:val="space"/>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xNjVhNGI1NzUyMmM1OTkyZjBkY2Y3ZmQ4NzkxY2IifQ=="/>
  </w:docVars>
  <w:rsids>
    <w:rsidRoot w:val="00000000"/>
    <w:rsid w:val="00082FA0"/>
    <w:rsid w:val="036E619C"/>
    <w:rsid w:val="058D72CB"/>
    <w:rsid w:val="06753856"/>
    <w:rsid w:val="11056682"/>
    <w:rsid w:val="15C60ACB"/>
    <w:rsid w:val="191A68F1"/>
    <w:rsid w:val="193124DF"/>
    <w:rsid w:val="1A0C4001"/>
    <w:rsid w:val="1BE03147"/>
    <w:rsid w:val="1FF33471"/>
    <w:rsid w:val="23055A87"/>
    <w:rsid w:val="2980024E"/>
    <w:rsid w:val="33372D9B"/>
    <w:rsid w:val="35733ACD"/>
    <w:rsid w:val="36EA1932"/>
    <w:rsid w:val="396810C9"/>
    <w:rsid w:val="3D4A2AFC"/>
    <w:rsid w:val="4881541E"/>
    <w:rsid w:val="4C31580C"/>
    <w:rsid w:val="536C0AC1"/>
    <w:rsid w:val="568B7AB8"/>
    <w:rsid w:val="65253D9E"/>
    <w:rsid w:val="6D6E4547"/>
    <w:rsid w:val="743E0992"/>
    <w:rsid w:val="77156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qFormat/>
    <w:uiPriority w:val="9"/>
    <w:pPr>
      <w:keepNext/>
      <w:keepLines/>
      <w:numPr>
        <w:ilvl w:val="3"/>
        <w:numId w:val="1"/>
      </w:numPr>
      <w:ind w:firstLineChars="0"/>
      <w:outlineLvl w:val="3"/>
    </w:pPr>
    <w:rPr>
      <w:rFonts w:eastAsia="黑体"/>
      <w:bCs/>
      <w:szCs w:val="28"/>
    </w:rPr>
  </w:style>
  <w:style w:type="character" w:default="1" w:styleId="13">
    <w:name w:val="Default Paragraph Font"/>
    <w:autoRedefine/>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630"/>
    </w:pPr>
    <w:rPr>
      <w:rFonts w:ascii="Times New Roman" w:hAnsi="Times New Roman" w:eastAsia="仿宋_GB2312" w:cs="Times New Roman"/>
      <w:sz w:val="32"/>
      <w:szCs w:val="20"/>
    </w:rPr>
  </w:style>
  <w:style w:type="paragraph" w:styleId="5">
    <w:name w:val="Body Text"/>
    <w:basedOn w:val="1"/>
    <w:next w:val="3"/>
    <w:qFormat/>
    <w:uiPriority w:val="99"/>
    <w:pPr>
      <w:jc w:val="center"/>
    </w:pPr>
    <w:rPr>
      <w:rFonts w:eastAsia="华文新魏"/>
      <w:sz w:val="72"/>
    </w:rPr>
  </w:style>
  <w:style w:type="paragraph" w:styleId="6">
    <w:name w:val="Body Text Indent"/>
    <w:basedOn w:val="1"/>
    <w:next w:val="4"/>
    <w:qFormat/>
    <w:uiPriority w:val="99"/>
    <w:pPr>
      <w:ind w:firstLine="560" w:firstLineChars="200"/>
    </w:pPr>
    <w:rPr>
      <w:rFonts w:ascii="宋体" w:hAnsi="宋体" w:eastAsia="宋体" w:cs="宋体"/>
      <w:sz w:val="28"/>
      <w:szCs w:val="2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autoRedefine/>
    <w:qFormat/>
    <w:uiPriority w:val="39"/>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1">
    <w:name w:val="Body Text First Indent 2"/>
    <w:basedOn w:val="6"/>
    <w:autoRedefine/>
    <w:qFormat/>
    <w:uiPriority w:val="99"/>
    <w:pPr>
      <w:spacing w:after="120"/>
      <w:ind w:left="420" w:leftChars="200" w:firstLine="420"/>
    </w:pPr>
    <w:rPr>
      <w:rFonts w:asciiTheme="minorHAnsi" w:hAnsiTheme="minorHAnsi" w:eastAsiaTheme="minorEastAsia" w:cstheme="minorBidi"/>
      <w:sz w:val="21"/>
      <w:szCs w:val="24"/>
    </w:rPr>
  </w:style>
  <w:style w:type="paragraph" w:customStyle="1" w:styleId="14">
    <w:name w:val="闻政正文"/>
    <w:basedOn w:val="1"/>
    <w:qFormat/>
    <w:uiPriority w:val="3"/>
    <w:pPr>
      <w:spacing w:line="500" w:lineRule="exact"/>
      <w:ind w:firstLine="200" w:firstLineChars="200"/>
    </w:pPr>
    <w:rPr>
      <w:rFonts w:ascii="Times New Roman" w:hAnsi="Times New Roman" w:eastAsia="仿宋_GB2312"/>
      <w:kern w:val="0"/>
      <w:sz w:val="28"/>
      <w:szCs w:val="28"/>
      <w:lang w:val="zh-CN"/>
    </w:rPr>
  </w:style>
  <w:style w:type="paragraph" w:customStyle="1" w:styleId="15">
    <w:name w:val="正文样式"/>
    <w:basedOn w:val="1"/>
    <w:qFormat/>
    <w:uiPriority w:val="0"/>
    <w:pPr>
      <w:spacing w:line="360" w:lineRule="auto"/>
      <w:ind w:firstLine="200" w:firstLineChars="200"/>
    </w:pPr>
    <w:rPr>
      <w:kern w:val="0"/>
      <w:sz w:val="24"/>
      <w:szCs w:val="24"/>
    </w:rPr>
  </w:style>
  <w:style w:type="character" w:customStyle="1" w:styleId="16">
    <w:name w:val="font101"/>
    <w:basedOn w:val="13"/>
    <w:autoRedefine/>
    <w:qFormat/>
    <w:uiPriority w:val="0"/>
    <w:rPr>
      <w:rFonts w:hint="default" w:ascii="Times New Roman" w:hAnsi="Times New Roman" w:cs="Times New Roman"/>
      <w:b/>
      <w:bCs/>
      <w:color w:val="000000"/>
      <w:sz w:val="20"/>
      <w:szCs w:val="20"/>
      <w:u w:val="none"/>
    </w:rPr>
  </w:style>
  <w:style w:type="character" w:customStyle="1" w:styleId="17">
    <w:name w:val="font31"/>
    <w:basedOn w:val="13"/>
    <w:qFormat/>
    <w:uiPriority w:val="0"/>
    <w:rPr>
      <w:rFonts w:hint="eastAsia" w:ascii="楷体" w:hAnsi="楷体" w:eastAsia="楷体" w:cs="楷体"/>
      <w:color w:val="000000"/>
      <w:sz w:val="18"/>
      <w:szCs w:val="18"/>
      <w:u w:val="none"/>
    </w:rPr>
  </w:style>
  <w:style w:type="character" w:customStyle="1" w:styleId="18">
    <w:name w:val="font21"/>
    <w:basedOn w:val="13"/>
    <w:qFormat/>
    <w:uiPriority w:val="0"/>
    <w:rPr>
      <w:rFonts w:hint="eastAsia" w:ascii="宋体" w:hAnsi="宋体" w:eastAsia="宋体" w:cs="宋体"/>
      <w:color w:val="000000"/>
      <w:sz w:val="18"/>
      <w:szCs w:val="18"/>
      <w:u w:val="none"/>
    </w:rPr>
  </w:style>
  <w:style w:type="character" w:customStyle="1" w:styleId="19">
    <w:name w:val="font91"/>
    <w:basedOn w:val="13"/>
    <w:qFormat/>
    <w:uiPriority w:val="0"/>
    <w:rPr>
      <w:rFonts w:hint="eastAsia" w:ascii="楷体" w:hAnsi="楷体" w:eastAsia="楷体" w:cs="楷体"/>
      <w:color w:val="000000"/>
      <w:sz w:val="18"/>
      <w:szCs w:val="18"/>
      <w:u w:val="none"/>
    </w:rPr>
  </w:style>
  <w:style w:type="character" w:customStyle="1" w:styleId="20">
    <w:name w:val="font11"/>
    <w:basedOn w:val="1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11317</Words>
  <Characters>12524</Characters>
  <Lines>0</Lines>
  <Paragraphs>0</Paragraphs>
  <TotalTime>15</TotalTime>
  <ScaleCrop>false</ScaleCrop>
  <LinksUpToDate>false</LinksUpToDate>
  <CharactersWithSpaces>12788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2024-09-20T13:03:00Z</dcterms:created>
  <dc:creator>Administrator</dc:creator>
  <cp:lastModifiedBy>周玉洁</cp:lastModifiedBy>
  <cp:lastPrinted>2024-10-09T13:49:00Z</cp:lastPrinted>
  <dcterms:modified xsi:type="dcterms:W3CDTF">2024-10-31T01:33:22Z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D15F7CBA64284F4BB985414F0077170E_13</vt:lpwstr>
  </property>
</Properties>
</file>