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FA100">
      <w:pPr>
        <w:pStyle w:val="2"/>
        <w:pageBreakBefore w:val="0"/>
        <w:kinsoku/>
        <w:overflowPunct/>
        <w:topLinePunct w:val="0"/>
        <w:autoSpaceDE/>
        <w:autoSpaceDN/>
        <w:bidi w:val="0"/>
        <w:adjustRightInd/>
        <w:snapToGrid/>
        <w:spacing w:before="157" w:beforeLines="50" w:after="157" w:afterLines="50" w:line="560" w:lineRule="exact"/>
        <w:rPr>
          <w:rFonts w:hint="eastAsia"/>
          <w:lang w:val="en-US" w:eastAsia="zh-CN"/>
        </w:rPr>
      </w:pPr>
    </w:p>
    <w:p w14:paraId="47980A6B">
      <w:pPr>
        <w:pStyle w:val="2"/>
        <w:pageBreakBefore w:val="0"/>
        <w:kinsoku/>
        <w:overflowPunct/>
        <w:topLinePunct w:val="0"/>
        <w:autoSpaceDE/>
        <w:autoSpaceDN/>
        <w:bidi w:val="0"/>
        <w:adjustRightInd/>
        <w:snapToGrid/>
        <w:spacing w:before="157" w:beforeLines="50" w:after="157" w:afterLines="50" w:line="560" w:lineRule="exact"/>
        <w:rPr>
          <w:rFonts w:hint="eastAsia"/>
          <w:lang w:val="en-US" w:eastAsia="zh-CN"/>
        </w:rPr>
      </w:pPr>
    </w:p>
    <w:p w14:paraId="527D7331">
      <w:pPr>
        <w:pStyle w:val="2"/>
        <w:pageBreakBefore w:val="0"/>
        <w:kinsoku/>
        <w:overflowPunct/>
        <w:topLinePunct w:val="0"/>
        <w:autoSpaceDE/>
        <w:autoSpaceDN/>
        <w:bidi w:val="0"/>
        <w:adjustRightInd/>
        <w:snapToGrid/>
        <w:spacing w:before="157" w:beforeLines="50" w:after="157" w:afterLines="50" w:line="560" w:lineRule="exact"/>
        <w:rPr>
          <w:rFonts w:hint="eastAsia"/>
        </w:rPr>
      </w:pPr>
      <w:r>
        <w:rPr>
          <w:rFonts w:hint="eastAsia"/>
          <w:lang w:val="en-US" w:eastAsia="zh-CN"/>
        </w:rPr>
        <w:t>阳新</w:t>
      </w:r>
      <w:r>
        <w:rPr>
          <w:rFonts w:hint="eastAsia"/>
        </w:rPr>
        <w:t>县202</w:t>
      </w:r>
      <w:r>
        <w:rPr>
          <w:rFonts w:hint="eastAsia"/>
          <w:lang w:val="en-US" w:eastAsia="zh-CN"/>
        </w:rPr>
        <w:t>4</w:t>
      </w:r>
      <w:r>
        <w:rPr>
          <w:rFonts w:hint="eastAsia"/>
        </w:rPr>
        <w:t>年城乡居民养老保险基金</w:t>
      </w:r>
    </w:p>
    <w:p w14:paraId="4A2F54B0">
      <w:pPr>
        <w:pStyle w:val="2"/>
        <w:pageBreakBefore w:val="0"/>
        <w:kinsoku/>
        <w:overflowPunct/>
        <w:topLinePunct w:val="0"/>
        <w:autoSpaceDE/>
        <w:autoSpaceDN/>
        <w:bidi w:val="0"/>
        <w:adjustRightInd/>
        <w:snapToGrid/>
        <w:spacing w:before="157" w:beforeLines="50" w:after="157" w:afterLines="50" w:line="560" w:lineRule="exact"/>
        <w:rPr>
          <w:rFonts w:hint="eastAsia"/>
        </w:rPr>
      </w:pPr>
      <w:r>
        <w:rPr>
          <w:rFonts w:hint="eastAsia"/>
        </w:rPr>
        <w:t>项目绩效评价报告</w:t>
      </w:r>
      <w:bookmarkStart w:id="0" w:name="_GoBack"/>
      <w:bookmarkEnd w:id="0"/>
    </w:p>
    <w:p w14:paraId="339A1680">
      <w:pPr>
        <w:pageBreakBefore w:val="0"/>
        <w:kinsoku/>
        <w:overflowPunct/>
        <w:topLinePunct w:val="0"/>
        <w:autoSpaceDE/>
        <w:autoSpaceDN/>
        <w:bidi w:val="0"/>
        <w:adjustRightInd/>
        <w:snapToGrid/>
        <w:spacing w:before="157" w:beforeLines="50" w:after="157" w:afterLines="50" w:line="560" w:lineRule="exact"/>
        <w:rPr>
          <w:rFonts w:hint="eastAsia"/>
        </w:rPr>
      </w:pPr>
      <w:r>
        <w:rPr>
          <w:rFonts w:hint="eastAsia" w:asciiTheme="majorEastAsia" w:hAnsiTheme="majorEastAsia" w:eastAsiaTheme="majorEastAsia" w:cstheme="majorEastAsia"/>
          <w:b/>
          <w:bCs/>
        </w:rPr>
        <w:t>项目单位：</w:t>
      </w:r>
      <w:r>
        <w:rPr>
          <w:rFonts w:hint="eastAsia"/>
          <w:lang w:val="en-US" w:eastAsia="zh-CN"/>
        </w:rPr>
        <w:t>阳新县城乡居民社会养老保险服务中心</w:t>
      </w:r>
    </w:p>
    <w:p w14:paraId="0051650E">
      <w:pPr>
        <w:pageBreakBefore w:val="0"/>
        <w:kinsoku/>
        <w:overflowPunct/>
        <w:topLinePunct w:val="0"/>
        <w:autoSpaceDE/>
        <w:autoSpaceDN/>
        <w:bidi w:val="0"/>
        <w:adjustRightInd/>
        <w:snapToGrid/>
        <w:spacing w:before="157" w:beforeLines="50" w:after="157" w:afterLines="50" w:line="560" w:lineRule="exact"/>
        <w:rPr>
          <w:rFonts w:hint="eastAsia"/>
        </w:rPr>
      </w:pPr>
      <w:r>
        <w:rPr>
          <w:rFonts w:hint="eastAsia" w:asciiTheme="majorEastAsia" w:hAnsiTheme="majorEastAsia" w:eastAsiaTheme="majorEastAsia" w:cstheme="majorEastAsia"/>
          <w:b/>
          <w:bCs/>
        </w:rPr>
        <w:t>委托单位：</w:t>
      </w:r>
      <w:r>
        <w:rPr>
          <w:rFonts w:hint="eastAsia"/>
          <w:lang w:val="en-US" w:eastAsia="zh-CN"/>
        </w:rPr>
        <w:t>阳新</w:t>
      </w:r>
      <w:r>
        <w:rPr>
          <w:rFonts w:hint="eastAsia"/>
        </w:rPr>
        <w:t>县财政局</w:t>
      </w:r>
    </w:p>
    <w:p w14:paraId="0FF6F7B0">
      <w:pPr>
        <w:pageBreakBefore w:val="0"/>
        <w:kinsoku/>
        <w:overflowPunct/>
        <w:topLinePunct w:val="0"/>
        <w:autoSpaceDE/>
        <w:autoSpaceDN/>
        <w:bidi w:val="0"/>
        <w:adjustRightInd/>
        <w:snapToGrid/>
        <w:spacing w:before="157" w:beforeLines="50" w:after="157" w:afterLines="50" w:line="560" w:lineRule="exact"/>
        <w:rPr>
          <w:rFonts w:hint="default" w:eastAsiaTheme="majorEastAsia"/>
          <w:lang w:val="en-US" w:eastAsia="zh-CN"/>
        </w:rPr>
      </w:pPr>
      <w:r>
        <w:rPr>
          <w:rFonts w:hint="eastAsia" w:asciiTheme="majorEastAsia" w:hAnsiTheme="majorEastAsia" w:eastAsiaTheme="majorEastAsia" w:cstheme="majorEastAsia"/>
          <w:b/>
          <w:bCs/>
        </w:rPr>
        <w:t>评价机构：</w:t>
      </w:r>
      <w:r>
        <w:rPr>
          <w:rFonts w:hint="eastAsia" w:eastAsiaTheme="majorEastAsia"/>
          <w:lang w:val="en-US" w:eastAsia="zh-CN"/>
        </w:rPr>
        <w:t>湖北晓智财务咨询有限公司</w:t>
      </w:r>
    </w:p>
    <w:p w14:paraId="691793C9">
      <w:pPr>
        <w:pageBreakBefore w:val="0"/>
        <w:kinsoku/>
        <w:overflowPunct/>
        <w:topLinePunct w:val="0"/>
        <w:autoSpaceDE/>
        <w:autoSpaceDN/>
        <w:bidi w:val="0"/>
        <w:adjustRightInd/>
        <w:snapToGrid/>
        <w:spacing w:before="157" w:beforeLines="50" w:after="157" w:afterLines="50" w:line="560" w:lineRule="exact"/>
        <w:rPr>
          <w:rFonts w:hint="default"/>
          <w:lang w:val="en-US"/>
        </w:rPr>
      </w:pPr>
      <w:r>
        <w:rPr>
          <w:rFonts w:hint="eastAsia" w:asciiTheme="majorEastAsia" w:hAnsiTheme="majorEastAsia" w:eastAsiaTheme="majorEastAsia" w:cstheme="majorEastAsia"/>
          <w:b/>
          <w:bCs/>
          <w:lang w:val="en-US" w:eastAsia="zh-CN"/>
        </w:rPr>
        <w:t>评价日期</w:t>
      </w:r>
      <w:r>
        <w:rPr>
          <w:rFonts w:hint="eastAsia" w:asciiTheme="majorEastAsia" w:hAnsiTheme="majorEastAsia" w:eastAsiaTheme="majorEastAsia" w:cstheme="majorEastAsia"/>
          <w:b/>
          <w:bCs/>
        </w:rPr>
        <w:t>：</w:t>
      </w:r>
      <w:r>
        <w:rPr>
          <w:rFonts w:hint="eastAsia"/>
          <w:lang w:val="en-US" w:eastAsia="zh-CN"/>
        </w:rPr>
        <w:t>阳新</w:t>
      </w:r>
      <w:r>
        <w:rPr>
          <w:rFonts w:hint="eastAsia"/>
        </w:rPr>
        <w:t>县 202</w:t>
      </w:r>
      <w:r>
        <w:rPr>
          <w:rFonts w:hint="eastAsia"/>
          <w:lang w:val="en-US" w:eastAsia="zh-CN"/>
        </w:rPr>
        <w:t>5</w:t>
      </w:r>
      <w:r>
        <w:rPr>
          <w:rFonts w:hint="eastAsia"/>
        </w:rPr>
        <w:t>年</w:t>
      </w:r>
      <w:r>
        <w:rPr>
          <w:rFonts w:hint="eastAsia"/>
          <w:lang w:val="en-US" w:eastAsia="zh-CN"/>
        </w:rPr>
        <w:t>8月6日至2025年10月15日</w:t>
      </w:r>
    </w:p>
    <w:p w14:paraId="497A8B8D">
      <w:pPr>
        <w:pStyle w:val="2"/>
        <w:pageBreakBefore w:val="0"/>
        <w:kinsoku/>
        <w:overflowPunct/>
        <w:topLinePunct w:val="0"/>
        <w:autoSpaceDE/>
        <w:autoSpaceDN/>
        <w:bidi w:val="0"/>
        <w:adjustRightInd/>
        <w:snapToGrid/>
        <w:spacing w:before="157" w:beforeLines="50" w:after="157" w:afterLines="50" w:line="560" w:lineRule="exact"/>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前 言</w:t>
      </w:r>
    </w:p>
    <w:p w14:paraId="45CC1316">
      <w:pPr>
        <w:pageBreakBefore w:val="0"/>
        <w:kinsoku/>
        <w:overflowPunct/>
        <w:topLinePunct w:val="0"/>
        <w:autoSpaceDE/>
        <w:autoSpaceDN/>
        <w:bidi w:val="0"/>
        <w:adjustRightInd/>
        <w:snapToGrid/>
        <w:spacing w:before="157" w:beforeLines="50" w:after="157" w:afterLines="50" w:line="560" w:lineRule="exact"/>
        <w:rPr>
          <w:rFonts w:hint="eastAsia"/>
          <w:lang w:val="en-US" w:eastAsia="zh-CN"/>
        </w:rPr>
      </w:pPr>
      <w:r>
        <w:rPr>
          <w:rFonts w:hint="eastAsia"/>
          <w:lang w:val="en-US" w:eastAsia="zh-CN"/>
        </w:rPr>
        <w:t>阳新县财政局：</w:t>
      </w:r>
    </w:p>
    <w:p w14:paraId="6E8F8537">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lang w:val="en-US" w:eastAsia="zh-CN"/>
        </w:rPr>
      </w:pPr>
      <w:r>
        <w:rPr>
          <w:rFonts w:hint="eastAsia"/>
          <w:lang w:val="en-US" w:eastAsia="zh-CN"/>
        </w:rPr>
        <w:t>我们接受委托，根据中央关于全面实施预算绩效管理的要求，《阳新县人民政府办公室关于进一步加强全县预算绩效管理工作的通知》（阳政办发〔2013〕112号）和《阳新县县级财政项目资金绩效评价实施暂行办法》（阳财绩〔2015〕2号）文件要求，为规范财政专项资金管理，强化项目单位的绩效和责任意识，切实提高专项资金使用效益，根据阳新县财政局绩效评价工作通知，湖北晓智财务有限公司受阳新县财政局委托，本着独立、客观、公正原则，组成了3人绩效评价小组，对“阳新县2024年城乡居民养老保险基金项目”支出和成果及部门整体效益实施绩效评价。</w:t>
      </w:r>
    </w:p>
    <w:p w14:paraId="51041B71">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lang w:val="en-US" w:eastAsia="zh-CN"/>
        </w:rPr>
      </w:pPr>
      <w:r>
        <w:rPr>
          <w:rFonts w:hint="eastAsia"/>
          <w:lang w:val="en-US" w:eastAsia="zh-CN"/>
        </w:rPr>
        <w:t>湖北晓智财务有限公司在数据分析、问卷调查、访谈、座谈等工作的基础上形成绩效评价报告。本报告通过深度调研，采用定量分析与质性研究相结合的方法，全面审视项目从政策设计到基层落地的全流程效能，旨在揭示制度运行的内在逻辑与现实张力，为构建更可持续、更具温度的社会保障体系提供实证支撑，为部门职责履行、职能实现和后续管理提供参考和借鉴。评价结果作为安排政府预算、完善政策和改进管理的重要依据。</w:t>
      </w:r>
    </w:p>
    <w:p w14:paraId="33E8D055">
      <w:pPr>
        <w:pageBreakBefore w:val="0"/>
        <w:kinsoku/>
        <w:overflowPunct/>
        <w:topLinePunct w:val="0"/>
        <w:autoSpaceDE/>
        <w:autoSpaceDN/>
        <w:bidi w:val="0"/>
        <w:adjustRightInd/>
        <w:snapToGrid/>
        <w:spacing w:before="157" w:beforeLines="50" w:after="157" w:afterLines="50" w:line="560" w:lineRule="exact"/>
        <w:jc w:val="center"/>
        <w:rPr>
          <w:rFonts w:hint="eastAsia"/>
          <w:lang w:val="en-US" w:eastAsia="zh-CN"/>
        </w:rPr>
      </w:pPr>
    </w:p>
    <w:p w14:paraId="1A80BCCA">
      <w:pPr>
        <w:pageBreakBefore w:val="0"/>
        <w:kinsoku/>
        <w:overflowPunct/>
        <w:topLinePunct w:val="0"/>
        <w:autoSpaceDE/>
        <w:autoSpaceDN/>
        <w:bidi w:val="0"/>
        <w:adjustRightInd/>
        <w:snapToGrid/>
        <w:spacing w:before="157" w:beforeLines="50" w:after="157" w:afterLines="50" w:line="560" w:lineRule="exact"/>
        <w:jc w:val="center"/>
        <w:rPr>
          <w:rFonts w:hint="eastAsia"/>
          <w:lang w:val="en-US" w:eastAsia="zh-CN"/>
        </w:rPr>
      </w:pPr>
    </w:p>
    <w:p w14:paraId="326EBD72">
      <w:pPr>
        <w:pageBreakBefore w:val="0"/>
        <w:kinsoku/>
        <w:overflowPunct/>
        <w:topLinePunct w:val="0"/>
        <w:autoSpaceDE/>
        <w:autoSpaceDN/>
        <w:bidi w:val="0"/>
        <w:adjustRightInd/>
        <w:snapToGrid/>
        <w:spacing w:before="157" w:beforeLines="50" w:after="157" w:afterLines="50" w:line="560" w:lineRule="exact"/>
        <w:jc w:val="center"/>
        <w:rPr>
          <w:rFonts w:hint="eastAsia"/>
          <w:lang w:val="en-US" w:eastAsia="zh-CN"/>
        </w:rPr>
      </w:pPr>
    </w:p>
    <w:p w14:paraId="04C66F0D">
      <w:pPr>
        <w:pageBreakBefore w:val="0"/>
        <w:kinsoku/>
        <w:overflowPunct/>
        <w:topLinePunct w:val="0"/>
        <w:autoSpaceDE/>
        <w:autoSpaceDN/>
        <w:bidi w:val="0"/>
        <w:adjustRightInd/>
        <w:snapToGrid/>
        <w:spacing w:before="157" w:beforeLines="50" w:after="157" w:afterLines="50" w:line="560" w:lineRule="exact"/>
        <w:jc w:val="center"/>
        <w:rPr>
          <w:rFonts w:hint="eastAsia" w:ascii="方正小标宋_GBK" w:hAnsi="方正小标宋_GBK" w:eastAsia="方正小标宋_GBK" w:cs="方正小标宋_GBK"/>
          <w:sz w:val="32"/>
          <w:szCs w:val="32"/>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14:paraId="484C42FE">
      <w:pPr>
        <w:pageBreakBefore w:val="0"/>
        <w:kinsoku/>
        <w:overflowPunct/>
        <w:topLinePunct w:val="0"/>
        <w:autoSpaceDE/>
        <w:autoSpaceDN/>
        <w:bidi w:val="0"/>
        <w:adjustRightInd/>
        <w:snapToGrid/>
        <w:spacing w:before="157" w:beforeLines="50" w:after="157" w:afterLines="50" w:line="560" w:lineRule="exact"/>
        <w:jc w:val="center"/>
        <w:rPr>
          <w:rFonts w:hint="eastAsia" w:ascii="方正公文小标宋" w:hAnsi="方正公文小标宋" w:eastAsia="方正公文小标宋" w:cs="方正公文小标宋"/>
          <w:b w:val="0"/>
          <w:bCs w:val="0"/>
          <w:sz w:val="36"/>
          <w:szCs w:val="28"/>
          <w:lang w:val="en-US" w:eastAsia="zh-CN"/>
        </w:rPr>
      </w:pPr>
      <w:r>
        <w:rPr>
          <w:rFonts w:hint="eastAsia" w:ascii="方正公文小标宋" w:hAnsi="方正公文小标宋" w:eastAsia="方正公文小标宋" w:cs="方正公文小标宋"/>
          <w:b w:val="0"/>
          <w:bCs w:val="0"/>
          <w:sz w:val="36"/>
          <w:szCs w:val="28"/>
          <w:lang w:val="en-US" w:eastAsia="zh-CN"/>
        </w:rPr>
        <w:t>阳新县2024年城乡居民养老保险基金项目</w:t>
      </w:r>
    </w:p>
    <w:p w14:paraId="00F9E2F0">
      <w:pPr>
        <w:pageBreakBefore w:val="0"/>
        <w:kinsoku/>
        <w:overflowPunct/>
        <w:topLinePunct w:val="0"/>
        <w:autoSpaceDE/>
        <w:autoSpaceDN/>
        <w:bidi w:val="0"/>
        <w:adjustRightInd/>
        <w:snapToGrid/>
        <w:spacing w:before="157" w:beforeLines="50" w:after="157" w:afterLines="50" w:line="560" w:lineRule="exact"/>
        <w:jc w:val="center"/>
        <w:rPr>
          <w:rFonts w:hint="eastAsia" w:ascii="方正公文小标宋" w:hAnsi="方正公文小标宋" w:eastAsia="方正公文小标宋" w:cs="方正公文小标宋"/>
          <w:b w:val="0"/>
          <w:bCs w:val="0"/>
          <w:sz w:val="36"/>
          <w:szCs w:val="28"/>
          <w:lang w:val="en-US" w:eastAsia="zh-CN"/>
        </w:rPr>
      </w:pPr>
      <w:r>
        <w:rPr>
          <w:rFonts w:hint="eastAsia" w:ascii="方正公文小标宋" w:hAnsi="方正公文小标宋" w:eastAsia="方正公文小标宋" w:cs="方正公文小标宋"/>
          <w:b w:val="0"/>
          <w:bCs w:val="0"/>
          <w:sz w:val="36"/>
          <w:szCs w:val="28"/>
          <w:lang w:val="en-US" w:eastAsia="zh-CN"/>
        </w:rPr>
        <w:t>绩效评价报告</w:t>
      </w:r>
    </w:p>
    <w:p w14:paraId="7F74C68C">
      <w:pPr>
        <w:pageBreakBefore w:val="0"/>
        <w:kinsoku/>
        <w:overflowPunct/>
        <w:topLinePunct w:val="0"/>
        <w:autoSpaceDE/>
        <w:autoSpaceDN/>
        <w:bidi w:val="0"/>
        <w:adjustRightInd/>
        <w:snapToGrid/>
        <w:spacing w:before="157" w:beforeLines="50" w:after="157" w:afterLines="50" w:line="560" w:lineRule="exact"/>
        <w:rPr>
          <w:rFonts w:hint="eastAsia" w:ascii="黑体" w:hAnsi="黑体" w:eastAsia="黑体" w:cs="黑体"/>
          <w:lang w:val="en-US" w:eastAsia="zh-CN"/>
        </w:rPr>
      </w:pPr>
      <w:r>
        <w:rPr>
          <w:rFonts w:hint="eastAsia" w:ascii="黑体" w:hAnsi="黑体" w:eastAsia="黑体" w:cs="黑体"/>
          <w:lang w:val="en-US" w:eastAsia="zh-CN"/>
        </w:rPr>
        <w:t>一、项目基本情况</w:t>
      </w:r>
    </w:p>
    <w:p w14:paraId="0554F591">
      <w:pPr>
        <w:pageBreakBefore w:val="0"/>
        <w:kinsoku/>
        <w:overflowPunct/>
        <w:topLinePunct w:val="0"/>
        <w:autoSpaceDE/>
        <w:autoSpaceDN/>
        <w:bidi w:val="0"/>
        <w:adjustRightInd/>
        <w:snapToGrid/>
        <w:spacing w:before="157" w:beforeLines="50" w:after="157" w:afterLines="50" w:line="560" w:lineRule="exact"/>
        <w:ind w:firstLine="640"/>
        <w:rPr>
          <w:rFonts w:hint="eastAsia" w:ascii="楷体" w:hAnsi="楷体" w:eastAsia="楷体" w:cs="楷体"/>
          <w:lang w:val="en-US" w:eastAsia="zh-CN"/>
        </w:rPr>
      </w:pPr>
      <w:r>
        <w:rPr>
          <w:rFonts w:hint="eastAsia" w:ascii="楷体" w:hAnsi="楷体" w:eastAsia="楷体" w:cs="楷体"/>
          <w:lang w:val="en-US" w:eastAsia="zh-CN"/>
        </w:rPr>
        <w:t>（一）项目背景</w:t>
      </w:r>
    </w:p>
    <w:p w14:paraId="649E8CA1">
      <w:pPr>
        <w:pageBreakBefore w:val="0"/>
        <w:kinsoku/>
        <w:overflowPunct/>
        <w:topLinePunct w:val="0"/>
        <w:autoSpaceDE/>
        <w:autoSpaceDN/>
        <w:bidi w:val="0"/>
        <w:adjustRightInd/>
        <w:snapToGrid/>
        <w:spacing w:before="157" w:beforeLines="50" w:after="157" w:afterLines="50" w:line="560" w:lineRule="exact"/>
        <w:ind w:firstLine="640"/>
        <w:rPr>
          <w:rFonts w:hint="default"/>
          <w:lang w:val="en-US" w:eastAsia="zh-CN"/>
        </w:rPr>
      </w:pPr>
      <w:r>
        <w:rPr>
          <w:rFonts w:hint="default"/>
          <w:lang w:val="en-US" w:eastAsia="zh-CN"/>
        </w:rPr>
        <w:t>在人口老龄化进程加速与乡村振兴战略深度融合的时代背景下，城乡居民养老保险作为社会保障体系的重要支柱，承载着维系千万家庭福祉的重任。阳新县作为湖北省东北部的农业大县，以习近平新时代中国特色社会主义思想为指导， 深入贯相落实党的二十大精神和习近平总书记关于社会保障的重要指示批示精神，紧紧围绕</w:t>
      </w:r>
      <w:r>
        <w:rPr>
          <w:rFonts w:hint="eastAsia"/>
          <w:lang w:val="en-US" w:eastAsia="zh-CN"/>
        </w:rPr>
        <w:t>中央、</w:t>
      </w:r>
      <w:r>
        <w:rPr>
          <w:rFonts w:hint="default"/>
          <w:lang w:val="en-US" w:eastAsia="zh-CN"/>
        </w:rPr>
        <w:t>省、市工作部署，聚集维护广大群众根本利益，以维护基金安全、规范待遇发放和提升服务质量为核心，着重推进各项职能目标的达成。</w:t>
      </w:r>
    </w:p>
    <w:p w14:paraId="3702BF75">
      <w:pPr>
        <w:pageBreakBefore w:val="0"/>
        <w:kinsoku/>
        <w:overflowPunct/>
        <w:topLinePunct w:val="0"/>
        <w:autoSpaceDE/>
        <w:autoSpaceDN/>
        <w:bidi w:val="0"/>
        <w:adjustRightInd/>
        <w:snapToGrid/>
        <w:spacing w:before="157" w:beforeLines="50" w:after="157" w:afterLines="50" w:line="560" w:lineRule="exact"/>
        <w:ind w:firstLine="640"/>
        <w:rPr>
          <w:rFonts w:hint="default"/>
          <w:lang w:val="en-US" w:eastAsia="zh-CN"/>
        </w:rPr>
      </w:pPr>
      <w:r>
        <w:rPr>
          <w:rFonts w:hint="default"/>
          <w:lang w:val="en-US" w:eastAsia="zh-CN"/>
        </w:rPr>
        <w:t>通过严格认证核查、规范待遇发放、强化基金管理、加强信息维护与稽核工作机制，切实保障了基金的安全运行与养老金的按时发放，稳步提高了城乡居民养老保险的管理水平和覆盖成效</w:t>
      </w:r>
      <w:r>
        <w:rPr>
          <w:rFonts w:hint="eastAsia"/>
          <w:lang w:val="en-US" w:eastAsia="zh-CN"/>
        </w:rPr>
        <w:t>，</w:t>
      </w:r>
      <w:r>
        <w:rPr>
          <w:rFonts w:hint="default"/>
          <w:lang w:val="en-US" w:eastAsia="zh-CN"/>
        </w:rPr>
        <w:t>进一步夯实城乡居民基本养老保险经办基础、完善管理制度、拓展服务内容、提升服务效能， 全力打造经办规范，流程统一、管理高效、服务优质、群众满意的县、乡镇(街道)、村(社区)城乡居民基本养老保险优质服务品牌</w:t>
      </w:r>
      <w:r>
        <w:rPr>
          <w:rFonts w:hint="eastAsia"/>
          <w:lang w:val="en-US" w:eastAsia="zh-CN"/>
        </w:rPr>
        <w:t>，</w:t>
      </w:r>
      <w:r>
        <w:rPr>
          <w:rFonts w:hint="default"/>
          <w:lang w:val="en-US" w:eastAsia="zh-CN"/>
        </w:rPr>
        <w:t>推动城乡居民基本养老保险工作健康可持续发展。</w:t>
      </w:r>
    </w:p>
    <w:p w14:paraId="502809D7">
      <w:pPr>
        <w:pageBreakBefore w:val="0"/>
        <w:kinsoku/>
        <w:overflowPunct/>
        <w:topLinePunct w:val="0"/>
        <w:autoSpaceDE/>
        <w:autoSpaceDN/>
        <w:bidi w:val="0"/>
        <w:adjustRightInd/>
        <w:snapToGrid/>
        <w:spacing w:before="157" w:beforeLines="50" w:after="157" w:afterLines="50" w:line="560" w:lineRule="exact"/>
        <w:ind w:firstLine="640"/>
        <w:rPr>
          <w:rFonts w:hint="eastAsia" w:ascii="楷体" w:hAnsi="楷体" w:eastAsia="楷体" w:cs="楷体"/>
          <w:lang w:val="en-US" w:eastAsia="zh-CN"/>
        </w:rPr>
      </w:pPr>
      <w:r>
        <w:rPr>
          <w:rFonts w:hint="eastAsia" w:ascii="楷体" w:hAnsi="楷体" w:eastAsia="楷体" w:cs="楷体"/>
          <w:lang w:val="en-US" w:eastAsia="zh-CN"/>
        </w:rPr>
        <w:t>（二）项目绩效目标</w:t>
      </w:r>
    </w:p>
    <w:p w14:paraId="6B940971">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lang w:val="en-US" w:eastAsia="zh-CN"/>
        </w:rPr>
      </w:pPr>
      <w:r>
        <w:rPr>
          <w:rFonts w:hint="eastAsia"/>
          <w:lang w:val="en-US" w:eastAsia="zh-CN"/>
        </w:rPr>
        <w:t>坚持和完善社会统筹与个人账户相结合的制度模式，巩固和拓宽个人缴费、集体补助、政府补贴相结合的资金筹集渠道，完善基础养老金和个人账户养老金相结 合的待遇支付政策，强化长缴多得、多缴多得等制度的激励机制，建立基础养老金正常调整机制，健全服务网络，提高管理水平，为参保居民提供方便快捷的服务。“十二五”末，在全国基本实现新农保和城居保制度合并实施，并与职工基本养老保险制度相衔接，全面建成公平、统一、规范的城乡居民养老保险制度，与社会救助、社会福利等其他社会保障政策相配套，充分发挥家庭养老等传统保障方式的积极作用，更好保障参保城乡居民的老年基本生活。</w:t>
      </w:r>
    </w:p>
    <w:p w14:paraId="6D4A12F8">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lang w:val="en-US" w:eastAsia="zh-CN"/>
        </w:rPr>
      </w:pPr>
      <w:r>
        <w:rPr>
          <w:rFonts w:hint="eastAsia"/>
          <w:lang w:val="en-US" w:eastAsia="zh-CN"/>
        </w:rPr>
        <w:t>根据相关政策文件精神，城乡居民基本养老保险基金项目主要目标为加强城乡居民基本养老保险经办管理服务机构建设、制度建设、风险防控建设、基金安全管理、经办业务工作和信息系统应用等方面为主要内容，以实现县经办机构“八化建设”即：机构设置合理化、制度建设标准化、风险防控制度化、基金管理规范化、业务经办程序化、系统应用高效化、扩面缴费常规化、培训工作常态化；乡(镇)经 办机构“四好建设”即：阵地建设好、制度执行好、经办服务好、政策宣传好；村 (社区)“三有建设”即：有协办人员、有工作台账、有服务意识为目标， 不断推动全县城乡居民基本养老保险工作质量、管理水平、服务效能取得新突破、实现大提升， 确保参加城乡居民基本养老保险的参保人员按时足额享受到政府补贴资金，保障城乡居民老有所养，切实提高人民群众的获得感、幸福感和满意度，提高全县城乡居民生活水平，减少社会矛盾，维护社会的稳定。</w:t>
      </w:r>
    </w:p>
    <w:p w14:paraId="2340F281">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lang w:val="en-US" w:eastAsia="zh-CN"/>
        </w:rPr>
      </w:pPr>
      <w:r>
        <w:rPr>
          <w:rFonts w:hint="eastAsia" w:ascii="楷体" w:hAnsi="楷体" w:eastAsia="楷体" w:cs="楷体"/>
          <w:lang w:val="en-US" w:eastAsia="zh-CN"/>
        </w:rPr>
        <w:t>（三</w:t>
      </w:r>
      <w:r>
        <w:rPr>
          <w:rFonts w:hint="eastAsia" w:cs="仿宋"/>
          <w:lang w:val="en-US" w:eastAsia="zh-CN"/>
        </w:rPr>
        <w:t>〕项</w:t>
      </w:r>
      <w:r>
        <w:rPr>
          <w:rFonts w:hint="eastAsia" w:ascii="楷体" w:hAnsi="楷体" w:eastAsia="楷体" w:cs="楷体"/>
          <w:lang w:val="en-US" w:eastAsia="zh-CN"/>
        </w:rPr>
        <w:t>目简介及实施情况</w:t>
      </w:r>
    </w:p>
    <w:p w14:paraId="2DDCDC13">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lang w:val="en-US" w:eastAsia="zh-CN"/>
        </w:rPr>
      </w:pPr>
      <w:r>
        <w:rPr>
          <w:rFonts w:hint="eastAsia" w:cs="仿宋"/>
          <w:b/>
          <w:bCs/>
          <w:lang w:val="en-US" w:eastAsia="zh-CN"/>
        </w:rPr>
        <w:t>1.项目简介</w:t>
      </w:r>
    </w:p>
    <w:p w14:paraId="6596033B">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随着社会不断发展，我国人口老龄化不断加剧，养老已成为我国民生建设的头等大事之一。而养老既是牵动亿万家庭的“家事”，更是关乎“国之大者”的大事。养老保险制度的完善在建立健全的社会保障体系中不可或缺。习近平总书记关于完善覆盖全民的社会保障体系重要讲话中指出，社会保障是保障和改善民生、维护社会公平、增进人民福祉的基本制度保障，是促进经济社会发展、实现广大人民群众共享改革发展成果的重要制度安排，是治国安邦的大问题。</w:t>
      </w:r>
    </w:p>
    <w:p w14:paraId="5682E121">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根据</w:t>
      </w:r>
      <w:r>
        <w:rPr>
          <w:rFonts w:hint="eastAsia" w:cs="仿宋"/>
          <w:lang w:val="en-US" w:eastAsia="zh-CN"/>
        </w:rPr>
        <w:t>《</w:t>
      </w:r>
      <w:r>
        <w:rPr>
          <w:rFonts w:hint="default" w:cs="仿宋"/>
          <w:lang w:val="en-US" w:eastAsia="zh-CN"/>
        </w:rPr>
        <w:t>省人民政府关于实施城乡居民社会养老保险制度的意见》（鄂政发〔2011〕40号）、《省人民政府关于完善城乡居民基本养老保险制度的意见》（鄂政发〔2015〕41号）、《湖北省人力资源和社会保障厅湖北省财政厅国家税务总局湖北省税务局关于调整城乡居民基本养老保险缴费有关政策的通知》（鄂人社发〔2023〕3号）、《阳新县人民政府办公室关于印发阳新县城乡居民基本养老保险实施办法的通知》（阳政发〔2015〕46号）</w:t>
      </w:r>
      <w:r>
        <w:rPr>
          <w:rFonts w:hint="eastAsia" w:cs="仿宋"/>
          <w:lang w:val="en-US" w:eastAsia="zh-CN"/>
        </w:rPr>
        <w:t>等相关文件</w:t>
      </w:r>
      <w:r>
        <w:rPr>
          <w:rFonts w:hint="default" w:cs="仿宋"/>
          <w:lang w:val="en-US" w:eastAsia="zh-CN"/>
        </w:rPr>
        <w:t>中规定年满 16 周岁以上（不含在校学生）、 未满 60 周岁不符合参加城镇职工基本养老保险条件的城乡非从业居民应按照规定缴纳养老保险费。正常参保缴费人员缴费标准目前设为每年400元、500元、600元、700元、800元、900元、1000元、1100元至5000元(此段缴费档次设置以100的整数信递增)等47个档次，参保人员自主选择其中一个缴费档次进行缴费，多缴多得，长缴多得。参保人按照规定缴费后，省和地方政府对参保人员缴费给予补贴，补缴年限不享受政府的缴费补贴。省级确定的缴费补贴标准分六档：一档45元，二档81元，三档138元，四档180元，五档285元，六档402元，缴费补贴由省和地方政府按2:1负担。省级确定的缴费补贴对应的缴费标准将跟随缴费区间的变化动态调整，由省人力资源和社会保障厅、省财政厅适时公布。</w:t>
      </w:r>
    </w:p>
    <w:p w14:paraId="2026DDD6">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城乡居民基本养老保险待遇由基础养老金和个人账户养老金组成，支付终身。已年满 60周岁及以上人员，未享受国家规定的基本养老保险待遇的有户籍的老年人不用缴费，可以按月领取城乡居民基本养老保险基础养老金。政府为符合领取城乡居民基本养老保险待遇条件的参保人员全额支付基础养老金。</w:t>
      </w:r>
    </w:p>
    <w:p w14:paraId="08CCC770">
      <w:pPr>
        <w:pageBreakBefore w:val="0"/>
        <w:kinsoku/>
        <w:overflowPunct/>
        <w:topLinePunct w:val="0"/>
        <w:autoSpaceDE/>
        <w:autoSpaceDN/>
        <w:bidi w:val="0"/>
        <w:adjustRightInd/>
        <w:snapToGrid/>
        <w:spacing w:before="157" w:beforeLines="50" w:after="157" w:afterLines="50" w:line="560" w:lineRule="exact"/>
        <w:ind w:firstLine="643" w:firstLineChars="200"/>
        <w:rPr>
          <w:rFonts w:hint="eastAsia" w:cs="仿宋"/>
          <w:b/>
          <w:bCs/>
          <w:lang w:val="en-US" w:eastAsia="zh-CN"/>
        </w:rPr>
      </w:pPr>
      <w:r>
        <w:rPr>
          <w:rFonts w:hint="eastAsia" w:cs="仿宋"/>
          <w:b/>
          <w:bCs/>
          <w:lang w:val="en-US" w:eastAsia="zh-CN"/>
        </w:rPr>
        <w:t>2.项目单位情况</w:t>
      </w:r>
    </w:p>
    <w:p w14:paraId="5B12549D">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highlight w:val="none"/>
          <w:lang w:val="en-US" w:eastAsia="zh-CN"/>
        </w:rPr>
      </w:pPr>
      <w:r>
        <w:rPr>
          <w:rFonts w:hint="default" w:cs="仿宋"/>
          <w:highlight w:val="none"/>
          <w:lang w:val="en-US" w:eastAsia="zh-CN"/>
        </w:rPr>
        <w:t>阳新县城乡居民社会养老保险服务中心（本级）为阳新县人力资源和社会保障局部门的二级预算单位，由1个公益类事业单位合并编制报表。内设办公室、基金核定股、信息管理股、待遇支付股、财会统计股、稽核股等6个股室。公益一类事业单位1个。为：阳新县城乡居民社会养老保险服务中心。</w:t>
      </w:r>
    </w:p>
    <w:p w14:paraId="78390DAC">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eastAsia="仿宋" w:cs="仿宋"/>
          <w:highlight w:val="none"/>
          <w:lang w:val="en-US" w:eastAsia="zh-CN"/>
        </w:rPr>
      </w:pPr>
      <w:r>
        <w:t>工作职责为负责全县城乡居民养老保险政策的贯彻实施，做好政策的衔接和解释工作；对乡镇和社区上报的参保资格进行复审、认定，对受益人的条件进行审查，并办理结算手续；做好城乡居民养老保险基金的筹集、收缴、发放和存储等日常管理工作；管理城乡居民养老保险基金收缴台账、发放台账及参保人员档案资料；管理城乡居民人口动态信息，对参保、发放情况进行预测、分析，及时报送统计和财务报表；定期与财政部门对基层基金收缴专户和发放专户进行督查检查，确保账证、账表、账款相符，并对全县城乡居民基金的筹集、收缴、发放等相关业务进行指导；编制城乡居民基金财务会计报告，年度基金决算报告和下年度基金预算报告；承办上级业务主管部门交办的其他工作</w:t>
      </w:r>
      <w:r>
        <w:rPr>
          <w:rFonts w:hint="eastAsia"/>
          <w:lang w:eastAsia="zh-CN"/>
        </w:rPr>
        <w:t>。</w:t>
      </w:r>
    </w:p>
    <w:p w14:paraId="79F98B58">
      <w:pPr>
        <w:pageBreakBefore w:val="0"/>
        <w:kinsoku/>
        <w:overflowPunct/>
        <w:topLinePunct w:val="0"/>
        <w:autoSpaceDE/>
        <w:autoSpaceDN/>
        <w:bidi w:val="0"/>
        <w:adjustRightInd/>
        <w:snapToGrid/>
        <w:spacing w:before="157" w:beforeLines="50" w:after="157" w:afterLines="50" w:line="560" w:lineRule="exact"/>
        <w:ind w:firstLine="643" w:firstLineChars="200"/>
        <w:rPr>
          <w:rFonts w:hint="eastAsia" w:cs="仿宋"/>
          <w:b/>
          <w:bCs/>
          <w:lang w:val="en-US" w:eastAsia="zh-CN"/>
        </w:rPr>
      </w:pPr>
      <w:r>
        <w:rPr>
          <w:rFonts w:hint="eastAsia" w:cs="仿宋"/>
          <w:b/>
          <w:bCs/>
          <w:lang w:val="en-US" w:eastAsia="zh-CN"/>
        </w:rPr>
        <w:t>3.项目完成情况</w:t>
      </w:r>
    </w:p>
    <w:p w14:paraId="11AAD303">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1、养老金待遇发放情况：2024年共发放养老金2.78亿元（基础养老金2.04亿元，个人账户养老金支出6863.8万元，丧葬费549.8万元</w:t>
      </w:r>
      <w:r>
        <w:rPr>
          <w:rFonts w:hint="eastAsia" w:cs="仿宋"/>
          <w:lang w:val="en-US" w:eastAsia="zh-CN"/>
        </w:rPr>
        <w:t>，转移支出22.54万元，其他支出37.89万元</w:t>
      </w:r>
      <w:r>
        <w:rPr>
          <w:rFonts w:hint="default" w:cs="仿宋"/>
          <w:lang w:val="en-US" w:eastAsia="zh-CN"/>
        </w:rPr>
        <w:t>），覆盖城乡居民总计10.</w:t>
      </w:r>
      <w:r>
        <w:rPr>
          <w:rFonts w:hint="eastAsia" w:cs="仿宋"/>
          <w:lang w:val="en-US" w:eastAsia="zh-CN"/>
        </w:rPr>
        <w:t>68</w:t>
      </w:r>
      <w:r>
        <w:rPr>
          <w:rFonts w:hint="default" w:cs="仿宋"/>
          <w:lang w:val="en-US" w:eastAsia="zh-CN"/>
        </w:rPr>
        <w:t>万人次，2024年新增享待8938人，系统发放率达100%；</w:t>
      </w:r>
    </w:p>
    <w:p w14:paraId="412D43DC">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2、享待人员资格认证情况：全年累计完成102709名享受待遇人员资格生存认证工作，认证通过率100％；</w:t>
      </w:r>
    </w:p>
    <w:p w14:paraId="7B9648AF">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3、社保扶贫情况：</w:t>
      </w:r>
      <w:r>
        <w:rPr>
          <w:rFonts w:hint="eastAsia" w:cs="仿宋"/>
          <w:lang w:val="en-US" w:eastAsia="zh-CN"/>
        </w:rPr>
        <w:t>截至目前</w:t>
      </w:r>
      <w:r>
        <w:rPr>
          <w:rFonts w:hint="default" w:cs="仿宋"/>
          <w:lang w:val="en-US" w:eastAsia="zh-CN"/>
        </w:rPr>
        <w:t>困难群体完成代缴人数2373</w:t>
      </w:r>
      <w:r>
        <w:rPr>
          <w:rFonts w:hint="eastAsia" w:cs="仿宋"/>
          <w:lang w:val="en-US" w:eastAsia="zh-CN"/>
        </w:rPr>
        <w:t>2</w:t>
      </w:r>
      <w:r>
        <w:rPr>
          <w:rFonts w:hint="default" w:cs="仿宋"/>
          <w:lang w:val="en-US" w:eastAsia="zh-CN"/>
        </w:rPr>
        <w:t>人，金额237.31万。其中，阳新代缴21731人，代缴金额217.31万，代缴2000人，金额为20.00万；困难群体享待627人，目前已全部办理。</w:t>
      </w:r>
    </w:p>
    <w:p w14:paraId="12A0C55F">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4、退捕渔民养老保险情况：全县参加城乡居民养老保险的退捕渔民共计376人（其中一次性享受30人），目前正常缴费314人名单已下发到相关镇区，缴费补贴继续实行“按年补贴，先缴后补”。</w:t>
      </w:r>
    </w:p>
    <w:p w14:paraId="15F38F21">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cs="仿宋"/>
          <w:lang w:val="en-US" w:eastAsia="zh-CN"/>
        </w:rPr>
      </w:pPr>
      <w:r>
        <w:rPr>
          <w:rFonts w:hint="eastAsia" w:cs="仿宋"/>
          <w:lang w:val="en-US" w:eastAsia="zh-CN"/>
        </w:rPr>
        <w:t>5、待遇暂停发放情况：2024年通过筛查大额支付、重复领取等异常数据，暂停发放可疑待遇4941 人次（目标值 5369 人次，已核定待遇人员暂停发放率 92.03%），经认证后恢复4941 人，有效压缩冒领空间，近年冒领资金追回率达100%，未出现因处置滞后导致的资金流失；</w:t>
      </w:r>
    </w:p>
    <w:p w14:paraId="6879C190">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6、丧葬金补助发放情况：2024年丧葬金补助支出 549.80万元（目标值582万元，丧葬金补助支出完成率 94.47%）</w:t>
      </w:r>
    </w:p>
    <w:p w14:paraId="72EEBF6E">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b w:val="0"/>
          <w:bCs w:val="0"/>
          <w:lang w:val="en-US" w:eastAsia="zh-CN"/>
        </w:rPr>
      </w:pPr>
      <w:r>
        <w:rPr>
          <w:rFonts w:hint="eastAsia" w:ascii="楷体" w:hAnsi="楷体" w:eastAsia="楷体" w:cs="楷体"/>
          <w:b w:val="0"/>
          <w:bCs w:val="0"/>
          <w:lang w:val="en-US" w:eastAsia="zh-CN"/>
        </w:rPr>
        <w:t>（五）资金收入及使用情况</w:t>
      </w:r>
    </w:p>
    <w:p w14:paraId="68863355">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cs="仿宋"/>
          <w:lang w:val="en-US" w:eastAsia="zh-CN"/>
        </w:rPr>
      </w:pPr>
      <w:r>
        <w:rPr>
          <w:rFonts w:hint="eastAsia" w:cs="仿宋"/>
          <w:lang w:val="en-US" w:eastAsia="zh-CN"/>
        </w:rPr>
        <w:t>1、收入方面</w:t>
      </w:r>
    </w:p>
    <w:p w14:paraId="0F3A782B">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根据2024年度城乡居民基本养老保险基金收支决算数据，阳新县本年基金收入总额为40422</w:t>
      </w:r>
      <w:r>
        <w:rPr>
          <w:rFonts w:hint="eastAsia" w:cs="仿宋"/>
          <w:lang w:val="en-US" w:eastAsia="zh-CN"/>
        </w:rPr>
        <w:t>万</w:t>
      </w:r>
      <w:r>
        <w:rPr>
          <w:rFonts w:hint="default" w:cs="仿宋"/>
          <w:lang w:val="en-US" w:eastAsia="zh-CN"/>
        </w:rPr>
        <w:t>元，主要来源于财政补贴</w:t>
      </w:r>
      <w:r>
        <w:rPr>
          <w:rFonts w:hint="eastAsia" w:cs="仿宋"/>
          <w:lang w:val="en-US" w:eastAsia="zh-CN"/>
        </w:rPr>
        <w:t>收入</w:t>
      </w:r>
      <w:r>
        <w:rPr>
          <w:rFonts w:hint="default" w:cs="仿宋"/>
          <w:lang w:val="en-US" w:eastAsia="zh-CN"/>
        </w:rPr>
        <w:t>19548</w:t>
      </w:r>
      <w:r>
        <w:rPr>
          <w:rFonts w:hint="eastAsia" w:cs="仿宋"/>
          <w:lang w:val="en-US" w:eastAsia="zh-CN"/>
        </w:rPr>
        <w:t>.</w:t>
      </w:r>
      <w:r>
        <w:rPr>
          <w:rFonts w:hint="default" w:cs="仿宋"/>
          <w:lang w:val="en-US" w:eastAsia="zh-CN"/>
        </w:rPr>
        <w:t>5</w:t>
      </w:r>
      <w:r>
        <w:rPr>
          <w:rFonts w:hint="eastAsia" w:cs="仿宋"/>
          <w:lang w:val="en-US" w:eastAsia="zh-CN"/>
        </w:rPr>
        <w:t>万</w:t>
      </w:r>
      <w:r>
        <w:rPr>
          <w:rFonts w:hint="default" w:cs="仿宋"/>
          <w:lang w:val="en-US" w:eastAsia="zh-CN"/>
        </w:rPr>
        <w:t>元</w:t>
      </w:r>
      <w:r>
        <w:rPr>
          <w:rFonts w:hint="eastAsia" w:cs="仿宋"/>
          <w:lang w:val="en-US" w:eastAsia="zh-CN"/>
        </w:rPr>
        <w:t>（其中上级财政补助16509万元，本级财政补助3039.5万元）</w:t>
      </w:r>
      <w:r>
        <w:rPr>
          <w:rFonts w:hint="default" w:cs="仿宋"/>
          <w:lang w:val="en-US" w:eastAsia="zh-CN"/>
        </w:rPr>
        <w:t>，个人缴费</w:t>
      </w:r>
      <w:r>
        <w:rPr>
          <w:rFonts w:hint="eastAsia" w:cs="仿宋"/>
          <w:lang w:val="en-US" w:eastAsia="zh-CN"/>
        </w:rPr>
        <w:t>收入</w:t>
      </w:r>
      <w:r>
        <w:rPr>
          <w:rFonts w:hint="default" w:cs="仿宋"/>
          <w:lang w:val="en-US" w:eastAsia="zh-CN"/>
        </w:rPr>
        <w:t>14498</w:t>
      </w:r>
      <w:r>
        <w:rPr>
          <w:rFonts w:hint="eastAsia" w:cs="仿宋"/>
          <w:lang w:val="en-US" w:eastAsia="zh-CN"/>
        </w:rPr>
        <w:t>.</w:t>
      </w:r>
      <w:r>
        <w:rPr>
          <w:rFonts w:hint="default" w:cs="仿宋"/>
          <w:lang w:val="en-US" w:eastAsia="zh-CN"/>
        </w:rPr>
        <w:t>31</w:t>
      </w:r>
      <w:r>
        <w:rPr>
          <w:rFonts w:hint="eastAsia" w:cs="仿宋"/>
          <w:lang w:val="en-US" w:eastAsia="zh-CN"/>
        </w:rPr>
        <w:t>万</w:t>
      </w:r>
      <w:r>
        <w:rPr>
          <w:rFonts w:hint="default" w:cs="仿宋"/>
          <w:lang w:val="en-US" w:eastAsia="zh-CN"/>
        </w:rPr>
        <w:t>元</w:t>
      </w:r>
      <w:r>
        <w:rPr>
          <w:rFonts w:hint="eastAsia" w:cs="仿宋"/>
          <w:lang w:val="en-US" w:eastAsia="zh-CN"/>
        </w:rPr>
        <w:t>（其中居民个人缴费收入12325.46万元，被征地农民缴费补贴收入1935.53万元，财政为缴费困难群体代缴收入237.32万元）</w:t>
      </w:r>
      <w:r>
        <w:rPr>
          <w:rFonts w:hint="default" w:cs="仿宋"/>
          <w:lang w:val="en-US" w:eastAsia="zh-CN"/>
        </w:rPr>
        <w:t>，利息收入1567</w:t>
      </w:r>
      <w:r>
        <w:rPr>
          <w:rFonts w:hint="eastAsia" w:cs="仿宋"/>
          <w:lang w:val="en-US" w:eastAsia="zh-CN"/>
        </w:rPr>
        <w:t>.</w:t>
      </w:r>
      <w:r>
        <w:rPr>
          <w:rFonts w:hint="default" w:cs="仿宋"/>
          <w:lang w:val="en-US" w:eastAsia="zh-CN"/>
        </w:rPr>
        <w:t>26</w:t>
      </w:r>
      <w:r>
        <w:rPr>
          <w:rFonts w:hint="eastAsia" w:cs="仿宋"/>
          <w:lang w:val="en-US" w:eastAsia="zh-CN"/>
        </w:rPr>
        <w:t>万</w:t>
      </w:r>
      <w:r>
        <w:rPr>
          <w:rFonts w:hint="default" w:cs="仿宋"/>
          <w:lang w:val="en-US" w:eastAsia="zh-CN"/>
        </w:rPr>
        <w:t>元</w:t>
      </w:r>
      <w:r>
        <w:rPr>
          <w:rFonts w:hint="eastAsia" w:cs="仿宋"/>
          <w:lang w:val="en-US" w:eastAsia="zh-CN"/>
        </w:rPr>
        <w:t>，</w:t>
      </w:r>
      <w:r>
        <w:rPr>
          <w:rFonts w:hint="default" w:cs="仿宋"/>
          <w:lang w:val="en-US" w:eastAsia="zh-CN"/>
        </w:rPr>
        <w:t>委托投资收益4578</w:t>
      </w:r>
      <w:r>
        <w:rPr>
          <w:rFonts w:hint="eastAsia" w:cs="仿宋"/>
          <w:lang w:val="en-US" w:eastAsia="zh-CN"/>
        </w:rPr>
        <w:t>.</w:t>
      </w:r>
      <w:r>
        <w:rPr>
          <w:rFonts w:hint="default" w:cs="仿宋"/>
          <w:lang w:val="en-US" w:eastAsia="zh-CN"/>
        </w:rPr>
        <w:t>51</w:t>
      </w:r>
      <w:r>
        <w:rPr>
          <w:rFonts w:hint="eastAsia" w:cs="仿宋"/>
          <w:lang w:val="en-US" w:eastAsia="zh-CN"/>
        </w:rPr>
        <w:t>万</w:t>
      </w:r>
      <w:r>
        <w:rPr>
          <w:rFonts w:hint="default" w:cs="仿宋"/>
          <w:lang w:val="en-US" w:eastAsia="zh-CN"/>
        </w:rPr>
        <w:t>元，集体补助</w:t>
      </w:r>
      <w:r>
        <w:rPr>
          <w:rFonts w:hint="eastAsia" w:cs="仿宋"/>
          <w:lang w:val="en-US" w:eastAsia="zh-CN"/>
        </w:rPr>
        <w:t>收入32.76万元，转移收入22.06万元，其他收入174.59万元</w:t>
      </w:r>
      <w:r>
        <w:rPr>
          <w:rFonts w:hint="default" w:cs="仿宋"/>
          <w:lang w:val="en-US" w:eastAsia="zh-CN"/>
        </w:rPr>
        <w:t>。</w:t>
      </w:r>
    </w:p>
    <w:p w14:paraId="086758D2">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lang w:val="en-US" w:eastAsia="zh-CN"/>
        </w:rPr>
      </w:pPr>
      <w:r>
        <w:rPr>
          <w:rFonts w:hint="eastAsia" w:cs="仿宋"/>
          <w:b/>
          <w:bCs/>
          <w:lang w:val="en-US" w:eastAsia="zh-CN"/>
        </w:rPr>
        <w:t>2、</w:t>
      </w:r>
      <w:r>
        <w:rPr>
          <w:rFonts w:hint="default" w:cs="仿宋"/>
          <w:b/>
          <w:bCs/>
          <w:lang w:val="en-US" w:eastAsia="zh-CN"/>
        </w:rPr>
        <w:t>支出方面</w:t>
      </w:r>
    </w:p>
    <w:p w14:paraId="443F8160">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本年合计支出27853</w:t>
      </w:r>
      <w:r>
        <w:rPr>
          <w:rFonts w:hint="eastAsia" w:cs="仿宋"/>
          <w:lang w:val="en-US" w:eastAsia="zh-CN"/>
        </w:rPr>
        <w:t>.</w:t>
      </w:r>
      <w:r>
        <w:rPr>
          <w:rFonts w:hint="default" w:cs="仿宋"/>
          <w:lang w:val="en-US" w:eastAsia="zh-CN"/>
        </w:rPr>
        <w:t>4</w:t>
      </w:r>
      <w:r>
        <w:rPr>
          <w:rFonts w:hint="eastAsia" w:cs="仿宋"/>
          <w:lang w:val="en-US" w:eastAsia="zh-CN"/>
        </w:rPr>
        <w:t>8万</w:t>
      </w:r>
      <w:r>
        <w:rPr>
          <w:rFonts w:hint="default" w:cs="仿宋"/>
          <w:lang w:val="en-US" w:eastAsia="zh-CN"/>
        </w:rPr>
        <w:t>元，其中基础养老金支出20379</w:t>
      </w:r>
      <w:r>
        <w:rPr>
          <w:rFonts w:hint="eastAsia" w:cs="仿宋"/>
          <w:lang w:val="en-US" w:eastAsia="zh-CN"/>
        </w:rPr>
        <w:t>.</w:t>
      </w:r>
      <w:r>
        <w:rPr>
          <w:rFonts w:hint="default" w:cs="仿宋"/>
          <w:lang w:val="en-US" w:eastAsia="zh-CN"/>
        </w:rPr>
        <w:t>44</w:t>
      </w:r>
      <w:r>
        <w:rPr>
          <w:rFonts w:hint="eastAsia" w:cs="仿宋"/>
          <w:lang w:val="en-US" w:eastAsia="zh-CN"/>
        </w:rPr>
        <w:t>万</w:t>
      </w:r>
      <w:r>
        <w:rPr>
          <w:rFonts w:hint="default" w:cs="仿宋"/>
          <w:lang w:val="en-US" w:eastAsia="zh-CN"/>
        </w:rPr>
        <w:t>元，其次为个人账户养老金支出6863</w:t>
      </w:r>
      <w:r>
        <w:rPr>
          <w:rFonts w:hint="eastAsia" w:cs="仿宋"/>
          <w:lang w:val="en-US" w:eastAsia="zh-CN"/>
        </w:rPr>
        <w:t>.8万</w:t>
      </w:r>
      <w:r>
        <w:rPr>
          <w:rFonts w:hint="default" w:cs="仿宋"/>
          <w:lang w:val="en-US" w:eastAsia="zh-CN"/>
        </w:rPr>
        <w:t>元，丧葬补助金</w:t>
      </w:r>
      <w:r>
        <w:rPr>
          <w:rFonts w:hint="eastAsia" w:cs="仿宋"/>
          <w:lang w:val="en-US" w:eastAsia="zh-CN"/>
        </w:rPr>
        <w:t>支出549.8万元，转移支出22.54万元，</w:t>
      </w:r>
      <w:r>
        <w:rPr>
          <w:rFonts w:hint="default" w:cs="仿宋"/>
          <w:lang w:val="en-US" w:eastAsia="zh-CN"/>
        </w:rPr>
        <w:t>其他支出37</w:t>
      </w:r>
      <w:r>
        <w:rPr>
          <w:rFonts w:hint="eastAsia" w:cs="仿宋"/>
          <w:lang w:val="en-US" w:eastAsia="zh-CN"/>
        </w:rPr>
        <w:t>.</w:t>
      </w:r>
      <w:r>
        <w:rPr>
          <w:rFonts w:hint="default" w:cs="仿宋"/>
          <w:lang w:val="en-US" w:eastAsia="zh-CN"/>
        </w:rPr>
        <w:t>89</w:t>
      </w:r>
      <w:r>
        <w:rPr>
          <w:rFonts w:hint="eastAsia" w:cs="仿宋"/>
          <w:lang w:val="en-US" w:eastAsia="zh-CN"/>
        </w:rPr>
        <w:t>万元</w:t>
      </w:r>
      <w:r>
        <w:rPr>
          <w:rFonts w:hint="default" w:cs="仿宋"/>
          <w:lang w:val="en-US" w:eastAsia="zh-CN"/>
        </w:rPr>
        <w:t>。</w:t>
      </w:r>
    </w:p>
    <w:p w14:paraId="177A318D">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收入与支出相抵后，本年基金实现结余12568</w:t>
      </w:r>
      <w:r>
        <w:rPr>
          <w:rFonts w:hint="eastAsia" w:cs="仿宋"/>
          <w:lang w:val="en-US" w:eastAsia="zh-CN"/>
        </w:rPr>
        <w:t>.</w:t>
      </w:r>
      <w:r>
        <w:rPr>
          <w:rFonts w:hint="default" w:cs="仿宋"/>
          <w:lang w:val="en-US" w:eastAsia="zh-CN"/>
        </w:rPr>
        <w:t>52</w:t>
      </w:r>
      <w:r>
        <w:rPr>
          <w:rFonts w:hint="eastAsia" w:cs="仿宋"/>
          <w:lang w:val="en-US" w:eastAsia="zh-CN"/>
        </w:rPr>
        <w:t>万</w:t>
      </w:r>
      <w:r>
        <w:rPr>
          <w:rFonts w:hint="default" w:cs="仿宋"/>
          <w:lang w:val="en-US" w:eastAsia="zh-CN"/>
        </w:rPr>
        <w:t>元。结合上年度滚存结余113366</w:t>
      </w:r>
      <w:r>
        <w:rPr>
          <w:rFonts w:hint="eastAsia" w:cs="仿宋"/>
          <w:lang w:val="en-US" w:eastAsia="zh-CN"/>
        </w:rPr>
        <w:t>.</w:t>
      </w:r>
      <w:r>
        <w:rPr>
          <w:rFonts w:hint="default" w:cs="仿宋"/>
          <w:lang w:val="en-US" w:eastAsia="zh-CN"/>
        </w:rPr>
        <w:t>41</w:t>
      </w:r>
      <w:r>
        <w:rPr>
          <w:rFonts w:hint="eastAsia" w:cs="仿宋"/>
          <w:lang w:val="en-US" w:eastAsia="zh-CN"/>
        </w:rPr>
        <w:t>万</w:t>
      </w:r>
      <w:r>
        <w:rPr>
          <w:rFonts w:hint="default" w:cs="仿宋"/>
          <w:lang w:val="en-US" w:eastAsia="zh-CN"/>
        </w:rPr>
        <w:t>元，年末基金滚存结余达到125934</w:t>
      </w:r>
      <w:r>
        <w:rPr>
          <w:rFonts w:hint="eastAsia" w:cs="仿宋"/>
          <w:lang w:val="en-US" w:eastAsia="zh-CN"/>
        </w:rPr>
        <w:t>.</w:t>
      </w:r>
      <w:r>
        <w:rPr>
          <w:rFonts w:hint="default" w:cs="仿宋"/>
          <w:lang w:val="en-US" w:eastAsia="zh-CN"/>
        </w:rPr>
        <w:t>9</w:t>
      </w:r>
      <w:r>
        <w:rPr>
          <w:rFonts w:hint="eastAsia" w:cs="仿宋"/>
          <w:lang w:val="en-US" w:eastAsia="zh-CN"/>
        </w:rPr>
        <w:t>4万</w:t>
      </w:r>
      <w:r>
        <w:rPr>
          <w:rFonts w:hint="default" w:cs="仿宋"/>
          <w:lang w:val="en-US" w:eastAsia="zh-CN"/>
        </w:rPr>
        <w:t>元，整体基金运行健康稳健。</w:t>
      </w:r>
    </w:p>
    <w:p w14:paraId="1F8E747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Arial" w:hAnsi="Arial" w:cs="Arial"/>
          <w:color w:val="000000"/>
          <w:sz w:val="21"/>
          <w:szCs w:val="21"/>
        </w:rPr>
      </w:pPr>
      <w:r>
        <w:rPr>
          <w:rFonts w:hint="eastAsia" w:ascii="宋体" w:hAnsi="宋体" w:eastAsia="宋体" w:cs="宋体"/>
          <w:b/>
          <w:bCs/>
          <w:i w:val="0"/>
          <w:iCs w:val="0"/>
          <w:caps w:val="0"/>
          <w:color w:val="000000"/>
          <w:spacing w:val="-4"/>
          <w:sz w:val="28"/>
          <w:szCs w:val="28"/>
          <w:shd w:val="clear" w:fill="FFFFFF"/>
          <w:vertAlign w:val="baseline"/>
          <w:lang w:val="en-US" w:eastAsia="zh-CN"/>
        </w:rPr>
        <w:t>2024年阳新县城乡居民养老保险基金</w:t>
      </w:r>
      <w:r>
        <w:rPr>
          <w:rFonts w:hint="eastAsia" w:ascii="宋体" w:hAnsi="宋体" w:eastAsia="宋体" w:cs="宋体"/>
          <w:b/>
          <w:bCs/>
          <w:i w:val="0"/>
          <w:iCs w:val="0"/>
          <w:caps w:val="0"/>
          <w:color w:val="000000"/>
          <w:spacing w:val="-4"/>
          <w:sz w:val="28"/>
          <w:szCs w:val="28"/>
          <w:shd w:val="clear" w:fill="FFFFFF"/>
          <w:vertAlign w:val="baseline"/>
        </w:rPr>
        <w:t>收支表</w:t>
      </w:r>
    </w:p>
    <w:tbl>
      <w:tblPr>
        <w:tblStyle w:val="12"/>
        <w:tblW w:w="5043" w:type="pct"/>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995"/>
        <w:gridCol w:w="1945"/>
        <w:gridCol w:w="2787"/>
        <w:gridCol w:w="2667"/>
      </w:tblGrid>
      <w:tr w14:paraId="336AE86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4874CB" w:themeColor="accent1" w:sz="6" w:space="0"/>
              <w:left w:val="single" w:color="4874CB" w:themeColor="accent1"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294F809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287" w:right="0"/>
              <w:jc w:val="both"/>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pacing w:val="-2"/>
                <w:sz w:val="21"/>
                <w:szCs w:val="21"/>
                <w:vertAlign w:val="baseline"/>
              </w:rPr>
              <w:t>序号</w:t>
            </w:r>
          </w:p>
        </w:tc>
        <w:tc>
          <w:tcPr>
            <w:tcW w:w="1158" w:type="pct"/>
            <w:tcBorders>
              <w:top w:val="single" w:color="4874CB" w:themeColor="accent1" w:sz="6" w:space="0"/>
              <w:left w:val="single" w:color="4874CB" w:themeColor="accent1"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00B58777">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pacing w:val="-3"/>
                <w:sz w:val="21"/>
                <w:szCs w:val="21"/>
                <w:vertAlign w:val="baseline"/>
              </w:rPr>
              <w:t>收入/支出</w:t>
            </w:r>
          </w:p>
        </w:tc>
        <w:tc>
          <w:tcPr>
            <w:tcW w:w="1660" w:type="pct"/>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4E6877A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pacing w:val="-2"/>
                <w:sz w:val="21"/>
                <w:szCs w:val="21"/>
                <w:vertAlign w:val="baseline"/>
              </w:rPr>
              <w:t>用途</w:t>
            </w:r>
          </w:p>
        </w:tc>
        <w:tc>
          <w:tcPr>
            <w:tcW w:w="1588" w:type="pct"/>
            <w:tcBorders>
              <w:top w:val="single" w:color="4874CB" w:themeColor="accent1" w:sz="6" w:space="0"/>
              <w:left w:val="single" w:color="B5C7EA" w:themeColor="accent1" w:themeTint="66" w:sz="6" w:space="0"/>
              <w:bottom w:val="single" w:color="4874CB" w:themeColor="accent1" w:sz="6" w:space="0"/>
              <w:right w:val="single" w:color="4874CB" w:themeColor="accent1" w:sz="6" w:space="0"/>
            </w:tcBorders>
            <w:shd w:val="clear" w:color="auto" w:fill="4874CB" w:themeFill="accent1"/>
            <w:tcMar>
              <w:top w:w="0" w:type="dxa"/>
              <w:left w:w="0" w:type="dxa"/>
              <w:bottom w:w="0" w:type="dxa"/>
              <w:right w:w="0" w:type="dxa"/>
            </w:tcMar>
            <w:vAlign w:val="top"/>
          </w:tcPr>
          <w:p w14:paraId="6E15AB6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i w:val="0"/>
                <w:color w:val="FFFFFF"/>
                <w:sz w:val="21"/>
                <w:szCs w:val="21"/>
                <w:lang w:eastAsia="zh-CN"/>
              </w:rPr>
            </w:pPr>
            <w:r>
              <w:rPr>
                <w:rFonts w:hint="eastAsia" w:ascii="宋体" w:hAnsi="宋体" w:eastAsia="宋体" w:cs="宋体"/>
                <w:b/>
                <w:i w:val="0"/>
                <w:color w:val="FFFFFF"/>
                <w:spacing w:val="-2"/>
                <w:sz w:val="21"/>
                <w:szCs w:val="21"/>
                <w:vertAlign w:val="baseline"/>
              </w:rPr>
              <w:t>金额</w:t>
            </w:r>
            <w:r>
              <w:rPr>
                <w:rFonts w:hint="eastAsia" w:ascii="宋体" w:hAnsi="宋体" w:eastAsia="宋体" w:cs="宋体"/>
                <w:b/>
                <w:i w:val="0"/>
                <w:color w:val="FFFFFF"/>
                <w:spacing w:val="-2"/>
                <w:sz w:val="21"/>
                <w:szCs w:val="21"/>
                <w:vertAlign w:val="baseline"/>
                <w:lang w:eastAsia="zh-CN"/>
              </w:rPr>
              <w:t>（</w:t>
            </w:r>
            <w:r>
              <w:rPr>
                <w:rFonts w:hint="eastAsia" w:ascii="宋体" w:hAnsi="宋体" w:eastAsia="宋体" w:cs="宋体"/>
                <w:b/>
                <w:i w:val="0"/>
                <w:color w:val="FFFFFF"/>
                <w:spacing w:val="-2"/>
                <w:sz w:val="21"/>
                <w:szCs w:val="21"/>
                <w:vertAlign w:val="baseline"/>
                <w:lang w:val="en-US" w:eastAsia="zh-CN"/>
              </w:rPr>
              <w:t>元</w:t>
            </w:r>
            <w:r>
              <w:rPr>
                <w:rFonts w:hint="eastAsia" w:ascii="宋体" w:hAnsi="宋体" w:eastAsia="宋体" w:cs="宋体"/>
                <w:b/>
                <w:i w:val="0"/>
                <w:color w:val="FFFFFF"/>
                <w:spacing w:val="-2"/>
                <w:sz w:val="21"/>
                <w:szCs w:val="21"/>
                <w:vertAlign w:val="baseline"/>
                <w:lang w:eastAsia="zh-CN"/>
              </w:rPr>
              <w:t>）</w:t>
            </w:r>
          </w:p>
        </w:tc>
      </w:tr>
      <w:tr w14:paraId="5ACC94B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077443B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62"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vertAlign w:val="baseline"/>
              </w:rPr>
              <w:t>1</w:t>
            </w:r>
          </w:p>
        </w:tc>
        <w:tc>
          <w:tcPr>
            <w:tcW w:w="1158" w:type="pct"/>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614EF2E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9"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4"/>
                <w:sz w:val="21"/>
                <w:szCs w:val="21"/>
                <w:vertAlign w:val="baseline"/>
              </w:rPr>
              <w:t>收入</w:t>
            </w:r>
          </w:p>
        </w:tc>
        <w:tc>
          <w:tcPr>
            <w:tcW w:w="1660" w:type="pct"/>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145AFA8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1"/>
                <w:szCs w:val="21"/>
                <w:vertAlign w:val="baseline"/>
              </w:rPr>
              <w:t>上年结转</w:t>
            </w:r>
          </w:p>
        </w:tc>
        <w:tc>
          <w:tcPr>
            <w:tcW w:w="1588" w:type="pct"/>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37CCCB9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1"/>
                <w:sz w:val="21"/>
                <w:szCs w:val="21"/>
                <w:vertAlign w:val="baseline"/>
              </w:rPr>
              <w:t>1133664135.49</w:t>
            </w:r>
          </w:p>
        </w:tc>
      </w:tr>
      <w:tr w14:paraId="190A3FD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4AFAD1B1">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49"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vertAlign w:val="baseline"/>
              </w:rPr>
              <w:t>2</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163DB9AF">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9"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4"/>
                <w:sz w:val="21"/>
                <w:szCs w:val="21"/>
                <w:vertAlign w:val="baseline"/>
              </w:rPr>
              <w:t>收入</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4429A2EC">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1"/>
                <w:sz w:val="21"/>
                <w:szCs w:val="21"/>
                <w:vertAlign w:val="baseline"/>
              </w:rPr>
              <w:t>财政补贴收入</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2D7B950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rPr>
              <w:t>195485000.00</w:t>
            </w:r>
          </w:p>
        </w:tc>
      </w:tr>
      <w:tr w14:paraId="594EDF6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3A06796F">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51"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vertAlign w:val="baseline"/>
              </w:rPr>
              <w:t>3</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4D5C4CF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9"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4"/>
                <w:sz w:val="21"/>
                <w:szCs w:val="21"/>
                <w:vertAlign w:val="baseline"/>
              </w:rPr>
              <w:t>收入</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174B59A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1"/>
                <w:sz w:val="21"/>
                <w:szCs w:val="21"/>
                <w:vertAlign w:val="baseline"/>
              </w:rPr>
              <w:t>个人缴费收入</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61BD8BD3">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z w:val="21"/>
                <w:szCs w:val="21"/>
              </w:rPr>
              <w:t>144983133</w:t>
            </w:r>
            <w:r>
              <w:rPr>
                <w:rFonts w:hint="eastAsia" w:ascii="宋体" w:hAnsi="宋体" w:eastAsia="宋体" w:cs="宋体"/>
                <w:b w:val="0"/>
                <w:i w:val="0"/>
                <w:color w:val="000000"/>
                <w:sz w:val="21"/>
                <w:szCs w:val="21"/>
                <w:lang w:eastAsia="zh-CN"/>
              </w:rPr>
              <w:t>.</w:t>
            </w:r>
            <w:r>
              <w:rPr>
                <w:rFonts w:hint="eastAsia" w:ascii="宋体" w:hAnsi="宋体" w:eastAsia="宋体" w:cs="宋体"/>
                <w:b w:val="0"/>
                <w:i w:val="0"/>
                <w:color w:val="000000"/>
                <w:sz w:val="21"/>
                <w:szCs w:val="21"/>
                <w:lang w:val="en-US" w:eastAsia="zh-CN"/>
              </w:rPr>
              <w:t>00</w:t>
            </w:r>
          </w:p>
        </w:tc>
      </w:tr>
      <w:tr w14:paraId="7115EC4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00F7E3F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46"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vertAlign w:val="baseline"/>
              </w:rPr>
              <w:t>4</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201A4CDD">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9"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4"/>
                <w:sz w:val="21"/>
                <w:szCs w:val="21"/>
                <w:vertAlign w:val="baseline"/>
              </w:rPr>
              <w:t>收入</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7C4970B3">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pacing w:val="-2"/>
                <w:sz w:val="21"/>
                <w:szCs w:val="21"/>
                <w:vertAlign w:val="baseline"/>
                <w:lang w:val="en-US" w:eastAsia="zh-CN"/>
              </w:rPr>
              <w:t>集体补助收入</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6F48AAE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rPr>
              <w:t>327600</w:t>
            </w:r>
          </w:p>
        </w:tc>
      </w:tr>
      <w:tr w14:paraId="5F74D32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30FE9C46">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51"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vertAlign w:val="baseline"/>
              </w:rPr>
              <w:t>5</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57555807">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9"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4"/>
                <w:sz w:val="21"/>
                <w:szCs w:val="21"/>
                <w:vertAlign w:val="baseline"/>
              </w:rPr>
              <w:t>收入</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586C04C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lang w:eastAsia="zh-CN"/>
              </w:rPr>
            </w:pPr>
            <w:r>
              <w:rPr>
                <w:rFonts w:hint="eastAsia" w:ascii="宋体" w:hAnsi="宋体" w:eastAsia="宋体" w:cs="宋体"/>
                <w:b w:val="0"/>
                <w:i w:val="0"/>
                <w:color w:val="000000"/>
                <w:spacing w:val="-2"/>
                <w:sz w:val="21"/>
                <w:szCs w:val="21"/>
                <w:vertAlign w:val="baseline"/>
                <w:lang w:val="en-US" w:eastAsia="zh-CN"/>
              </w:rPr>
              <w:t>利息收入</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5E666502">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rPr>
              <w:t>15672632.68</w:t>
            </w:r>
          </w:p>
        </w:tc>
      </w:tr>
      <w:tr w14:paraId="30FACDF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53788EE1">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48"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vertAlign w:val="baseline"/>
              </w:rPr>
              <w:t>6</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7CD2CAA3">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9"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4"/>
                <w:sz w:val="21"/>
                <w:szCs w:val="21"/>
                <w:vertAlign w:val="baseline"/>
              </w:rPr>
              <w:t>收入</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05A59C7D">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pacing w:val="-1"/>
                <w:sz w:val="21"/>
                <w:szCs w:val="21"/>
                <w:vertAlign w:val="baseline"/>
                <w:lang w:val="en-US" w:eastAsia="zh-CN"/>
              </w:rPr>
              <w:t>委托投资收益</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281418AD">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lang w:eastAsia="zh-CN"/>
              </w:rPr>
            </w:pPr>
            <w:r>
              <w:rPr>
                <w:rFonts w:hint="eastAsia" w:ascii="宋体" w:hAnsi="宋体" w:eastAsia="宋体" w:cs="宋体"/>
                <w:b w:val="0"/>
                <w:i w:val="0"/>
                <w:color w:val="000000"/>
                <w:sz w:val="21"/>
                <w:szCs w:val="21"/>
              </w:rPr>
              <w:t>45785071.87</w:t>
            </w:r>
          </w:p>
        </w:tc>
      </w:tr>
      <w:tr w14:paraId="53209D2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78EF08E6">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52"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vertAlign w:val="baseline"/>
              </w:rPr>
              <w:t>7</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2A0B623C">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9"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4"/>
                <w:sz w:val="21"/>
                <w:szCs w:val="21"/>
                <w:vertAlign w:val="baseline"/>
              </w:rPr>
              <w:t>收入</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7B3B5E61">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1"/>
                <w:szCs w:val="21"/>
                <w:vertAlign w:val="baseline"/>
              </w:rPr>
              <w:t>转移收入</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0D45519D">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rPr>
              <w:t>220643.51</w:t>
            </w:r>
          </w:p>
        </w:tc>
      </w:tr>
      <w:tr w14:paraId="6DE50C3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60B1983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52" w:right="0"/>
              <w:jc w:val="both"/>
              <w:textAlignment w:val="baseline"/>
              <w:rPr>
                <w:rFonts w:hint="eastAsia" w:ascii="宋体" w:hAnsi="宋体" w:eastAsia="宋体" w:cs="宋体"/>
                <w:b w:val="0"/>
                <w:i w:val="0"/>
                <w:color w:val="000000"/>
                <w:sz w:val="21"/>
                <w:szCs w:val="21"/>
                <w:vertAlign w:val="baseline"/>
                <w:lang w:val="en-US" w:eastAsia="zh-CN"/>
              </w:rPr>
            </w:pPr>
            <w:r>
              <w:rPr>
                <w:rFonts w:hint="eastAsia" w:ascii="宋体" w:hAnsi="宋体" w:eastAsia="宋体" w:cs="宋体"/>
                <w:b w:val="0"/>
                <w:i w:val="0"/>
                <w:color w:val="000000"/>
                <w:sz w:val="21"/>
                <w:szCs w:val="21"/>
                <w:vertAlign w:val="baseline"/>
                <w:lang w:val="en-US" w:eastAsia="zh-CN"/>
              </w:rPr>
              <w:t>8</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2031B9CF">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9" w:right="0"/>
              <w:jc w:val="both"/>
              <w:textAlignment w:val="baseline"/>
              <w:rPr>
                <w:rFonts w:hint="eastAsia" w:ascii="宋体" w:hAnsi="宋体" w:eastAsia="宋体" w:cs="宋体"/>
                <w:b w:val="0"/>
                <w:i w:val="0"/>
                <w:color w:val="000000"/>
                <w:spacing w:val="-4"/>
                <w:sz w:val="21"/>
                <w:szCs w:val="21"/>
                <w:vertAlign w:val="baseline"/>
                <w:lang w:val="en-US" w:eastAsia="zh-CN"/>
              </w:rPr>
            </w:pPr>
            <w:r>
              <w:rPr>
                <w:rFonts w:hint="eastAsia" w:ascii="宋体" w:hAnsi="宋体" w:eastAsia="宋体" w:cs="宋体"/>
                <w:b w:val="0"/>
                <w:i w:val="0"/>
                <w:color w:val="000000"/>
                <w:spacing w:val="-4"/>
                <w:sz w:val="21"/>
                <w:szCs w:val="21"/>
                <w:vertAlign w:val="baseline"/>
                <w:lang w:val="en-US" w:eastAsia="zh-CN"/>
              </w:rPr>
              <w:t>收入</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54CC0E86">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pacing w:val="-2"/>
                <w:sz w:val="21"/>
                <w:szCs w:val="21"/>
                <w:vertAlign w:val="baseline"/>
                <w:lang w:val="en-US" w:eastAsia="zh-CN"/>
              </w:rPr>
            </w:pPr>
            <w:r>
              <w:rPr>
                <w:rFonts w:hint="eastAsia" w:ascii="宋体" w:hAnsi="宋体" w:eastAsia="宋体" w:cs="宋体"/>
                <w:b w:val="0"/>
                <w:i w:val="0"/>
                <w:color w:val="000000"/>
                <w:spacing w:val="-2"/>
                <w:sz w:val="21"/>
                <w:szCs w:val="21"/>
                <w:vertAlign w:val="baseline"/>
                <w:lang w:val="en-US" w:eastAsia="zh-CN"/>
              </w:rPr>
              <w:t>其他收入</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2E4FB717">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rPr>
              <w:t>1745899.56</w:t>
            </w:r>
          </w:p>
        </w:tc>
      </w:tr>
      <w:tr w14:paraId="7D50F3C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0D926E2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48" w:right="0"/>
              <w:jc w:val="both"/>
              <w:textAlignment w:val="baseline"/>
              <w:rPr>
                <w:rFonts w:hint="eastAsia" w:ascii="宋体" w:hAnsi="宋体" w:eastAsia="宋体" w:cs="宋体"/>
                <w:b w:val="0"/>
                <w:i w:val="0"/>
                <w:color w:val="000000"/>
                <w:sz w:val="21"/>
                <w:szCs w:val="21"/>
                <w:lang w:eastAsia="zh-CN"/>
              </w:rPr>
            </w:pPr>
            <w:r>
              <w:rPr>
                <w:rFonts w:hint="eastAsia" w:ascii="宋体" w:hAnsi="宋体" w:eastAsia="宋体" w:cs="宋体"/>
                <w:b w:val="0"/>
                <w:i w:val="0"/>
                <w:color w:val="000000"/>
                <w:sz w:val="21"/>
                <w:szCs w:val="21"/>
                <w:vertAlign w:val="baseline"/>
                <w:lang w:val="en-US" w:eastAsia="zh-CN"/>
              </w:rPr>
              <w:t>9</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1A0E9FA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2"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1"/>
                <w:szCs w:val="21"/>
                <w:vertAlign w:val="baseline"/>
              </w:rPr>
              <w:t>支出</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280408F6">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pacing w:val="-1"/>
                <w:sz w:val="21"/>
                <w:szCs w:val="21"/>
                <w:vertAlign w:val="baseline"/>
                <w:lang w:val="en-US" w:eastAsia="zh-CN"/>
              </w:rPr>
              <w:t>基础养老金支出</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5F3BE896">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rPr>
              <w:t>203794433.76</w:t>
            </w:r>
          </w:p>
        </w:tc>
      </w:tr>
      <w:tr w14:paraId="0248191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2092FC1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z w:val="21"/>
                <w:szCs w:val="21"/>
                <w:vertAlign w:val="baseline"/>
                <w:lang w:val="en-US" w:eastAsia="zh-CN"/>
              </w:rPr>
              <w:t>10</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2BB42338">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2"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1"/>
                <w:szCs w:val="21"/>
                <w:vertAlign w:val="baseline"/>
              </w:rPr>
              <w:t>支出</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4D44225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pacing w:val="-2"/>
                <w:sz w:val="21"/>
                <w:szCs w:val="21"/>
                <w:vertAlign w:val="baseline"/>
                <w:lang w:val="en-US" w:eastAsia="zh-CN"/>
              </w:rPr>
              <w:t>个人账户养老金支出</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7CB88DFD">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rPr>
              <w:t>68637973.56</w:t>
            </w:r>
          </w:p>
        </w:tc>
      </w:tr>
      <w:tr w14:paraId="5F86FF2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712B169D">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pacing w:val="-6"/>
                <w:sz w:val="21"/>
                <w:szCs w:val="21"/>
                <w:vertAlign w:val="baseline"/>
                <w:lang w:val="en-US" w:eastAsia="zh-CN"/>
              </w:rPr>
              <w:t>11</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5E9F4952">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2" w:right="0"/>
              <w:jc w:val="both"/>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1"/>
                <w:szCs w:val="21"/>
                <w:vertAlign w:val="baseline"/>
                <w:lang w:val="en-US" w:eastAsia="zh-CN"/>
              </w:rPr>
              <w:t>支出</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5B883062">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1"/>
                <w:szCs w:val="21"/>
                <w:vertAlign w:val="baseline"/>
                <w:lang w:val="en-US" w:eastAsia="zh-CN"/>
              </w:rPr>
              <w:t>丧葬补助金支出</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7CF98B2F">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rPr>
              <w:t>5498004.93</w:t>
            </w:r>
          </w:p>
        </w:tc>
      </w:tr>
      <w:tr w14:paraId="1271652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0F7FF338">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pacing w:val="-6"/>
                <w:sz w:val="21"/>
                <w:szCs w:val="21"/>
                <w:vertAlign w:val="baseline"/>
                <w:lang w:val="en-US" w:eastAsia="zh-CN"/>
              </w:rPr>
            </w:pPr>
            <w:r>
              <w:rPr>
                <w:rFonts w:hint="eastAsia" w:ascii="宋体" w:hAnsi="宋体" w:eastAsia="宋体" w:cs="宋体"/>
                <w:b w:val="0"/>
                <w:i w:val="0"/>
                <w:color w:val="000000"/>
                <w:spacing w:val="-6"/>
                <w:sz w:val="21"/>
                <w:szCs w:val="21"/>
                <w:vertAlign w:val="baseline"/>
                <w:lang w:val="en-US" w:eastAsia="zh-CN"/>
              </w:rPr>
              <w:t>12</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487BCF1C">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2" w:right="0"/>
              <w:jc w:val="both"/>
              <w:textAlignment w:val="baseline"/>
              <w:rPr>
                <w:rFonts w:hint="eastAsia" w:ascii="宋体" w:hAnsi="宋体" w:eastAsia="宋体" w:cs="宋体"/>
                <w:b w:val="0"/>
                <w:i w:val="0"/>
                <w:color w:val="000000"/>
                <w:spacing w:val="-2"/>
                <w:sz w:val="21"/>
                <w:szCs w:val="21"/>
                <w:vertAlign w:val="baseline"/>
                <w:lang w:val="en-US" w:eastAsia="zh-CN"/>
              </w:rPr>
            </w:pPr>
            <w:r>
              <w:rPr>
                <w:rFonts w:hint="eastAsia" w:ascii="宋体" w:hAnsi="宋体" w:eastAsia="宋体" w:cs="宋体"/>
                <w:b w:val="0"/>
                <w:i w:val="0"/>
                <w:color w:val="000000"/>
                <w:spacing w:val="-2"/>
                <w:sz w:val="21"/>
                <w:szCs w:val="21"/>
                <w:vertAlign w:val="baseline"/>
                <w:lang w:val="en-US" w:eastAsia="zh-CN"/>
              </w:rPr>
              <w:t>支出</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0020075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pacing w:val="-2"/>
                <w:sz w:val="21"/>
                <w:szCs w:val="21"/>
                <w:vertAlign w:val="baseline"/>
                <w:lang w:val="en-US" w:eastAsia="zh-CN"/>
              </w:rPr>
            </w:pPr>
            <w:r>
              <w:rPr>
                <w:rFonts w:hint="eastAsia" w:ascii="宋体" w:hAnsi="宋体" w:eastAsia="宋体" w:cs="宋体"/>
                <w:b w:val="0"/>
                <w:i w:val="0"/>
                <w:color w:val="000000"/>
                <w:spacing w:val="-2"/>
                <w:sz w:val="21"/>
                <w:szCs w:val="21"/>
                <w:vertAlign w:val="baseline"/>
                <w:lang w:val="en-US" w:eastAsia="zh-CN"/>
              </w:rPr>
              <w:t>转移支出</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740C657C">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rPr>
              <w:t>225408.39</w:t>
            </w:r>
          </w:p>
        </w:tc>
      </w:tr>
      <w:tr w14:paraId="04C82CD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54631DB8">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pacing w:val="-6"/>
                <w:sz w:val="21"/>
                <w:szCs w:val="21"/>
                <w:vertAlign w:val="baseline"/>
                <w:lang w:val="en-US" w:eastAsia="zh-CN"/>
              </w:rPr>
            </w:pPr>
            <w:r>
              <w:rPr>
                <w:rFonts w:hint="eastAsia" w:ascii="宋体" w:hAnsi="宋体" w:eastAsia="宋体" w:cs="宋体"/>
                <w:b w:val="0"/>
                <w:i w:val="0"/>
                <w:color w:val="000000"/>
                <w:spacing w:val="-6"/>
                <w:sz w:val="21"/>
                <w:szCs w:val="21"/>
                <w:vertAlign w:val="baseline"/>
                <w:lang w:val="en-US" w:eastAsia="zh-CN"/>
              </w:rPr>
              <w:t>13</w:t>
            </w:r>
          </w:p>
        </w:tc>
        <w:tc>
          <w:tcPr>
            <w:tcW w:w="115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11E337E0">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2" w:right="0"/>
              <w:jc w:val="both"/>
              <w:textAlignment w:val="baseline"/>
              <w:rPr>
                <w:rFonts w:hint="eastAsia" w:ascii="宋体" w:hAnsi="宋体" w:eastAsia="宋体" w:cs="宋体"/>
                <w:b w:val="0"/>
                <w:i w:val="0"/>
                <w:color w:val="000000"/>
                <w:spacing w:val="-2"/>
                <w:sz w:val="21"/>
                <w:szCs w:val="21"/>
                <w:vertAlign w:val="baseline"/>
                <w:lang w:val="en-US" w:eastAsia="zh-CN"/>
              </w:rPr>
            </w:pPr>
            <w:r>
              <w:rPr>
                <w:rFonts w:hint="eastAsia" w:ascii="宋体" w:hAnsi="宋体" w:eastAsia="宋体" w:cs="宋体"/>
                <w:b w:val="0"/>
                <w:i w:val="0"/>
                <w:color w:val="000000"/>
                <w:spacing w:val="-2"/>
                <w:sz w:val="21"/>
                <w:szCs w:val="21"/>
                <w:vertAlign w:val="baseline"/>
                <w:lang w:val="en-US" w:eastAsia="zh-CN"/>
              </w:rPr>
              <w:t>支出</w:t>
            </w:r>
          </w:p>
        </w:tc>
        <w:tc>
          <w:tcPr>
            <w:tcW w:w="1660"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61B914D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pacing w:val="-2"/>
                <w:sz w:val="21"/>
                <w:szCs w:val="21"/>
                <w:vertAlign w:val="baseline"/>
                <w:lang w:val="en-US" w:eastAsia="zh-CN"/>
              </w:rPr>
            </w:pPr>
            <w:r>
              <w:rPr>
                <w:rFonts w:hint="eastAsia" w:ascii="宋体" w:hAnsi="宋体" w:eastAsia="宋体" w:cs="宋体"/>
                <w:b w:val="0"/>
                <w:i w:val="0"/>
                <w:color w:val="000000"/>
                <w:spacing w:val="-2"/>
                <w:sz w:val="21"/>
                <w:szCs w:val="21"/>
                <w:vertAlign w:val="baseline"/>
                <w:lang w:val="en-US" w:eastAsia="zh-CN"/>
              </w:rPr>
              <w:t>其他支出</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1D5EFE1A">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z w:val="21"/>
                <w:szCs w:val="21"/>
              </w:rPr>
              <w:t>378934.89</w:t>
            </w:r>
          </w:p>
        </w:tc>
      </w:tr>
      <w:tr w14:paraId="7517123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58607AC8">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pacing w:val="-6"/>
                <w:sz w:val="21"/>
                <w:szCs w:val="21"/>
                <w:vertAlign w:val="baseline"/>
                <w:lang w:val="en-US" w:eastAsia="zh-CN"/>
              </w:rPr>
            </w:pPr>
            <w:r>
              <w:rPr>
                <w:rFonts w:hint="eastAsia" w:ascii="宋体" w:hAnsi="宋体" w:eastAsia="宋体" w:cs="宋体"/>
                <w:b w:val="0"/>
                <w:i w:val="0"/>
                <w:color w:val="000000"/>
                <w:spacing w:val="-6"/>
                <w:sz w:val="21"/>
                <w:szCs w:val="21"/>
                <w:vertAlign w:val="baseline"/>
              </w:rPr>
              <w:t>1</w:t>
            </w:r>
            <w:r>
              <w:rPr>
                <w:rFonts w:hint="eastAsia" w:ascii="宋体" w:hAnsi="宋体" w:eastAsia="宋体" w:cs="宋体"/>
                <w:b w:val="0"/>
                <w:i w:val="0"/>
                <w:color w:val="000000"/>
                <w:spacing w:val="-6"/>
                <w:sz w:val="21"/>
                <w:szCs w:val="21"/>
                <w:vertAlign w:val="baseline"/>
                <w:lang w:val="en-US" w:eastAsia="zh-CN"/>
              </w:rPr>
              <w:t>4</w:t>
            </w:r>
          </w:p>
        </w:tc>
        <w:tc>
          <w:tcPr>
            <w:tcW w:w="2818" w:type="pct"/>
            <w:gridSpan w:val="2"/>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4E1C9361">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pacing w:val="-2"/>
                <w:sz w:val="21"/>
                <w:szCs w:val="21"/>
                <w:vertAlign w:val="baseline"/>
                <w:lang w:val="en-US" w:eastAsia="zh-CN"/>
              </w:rPr>
            </w:pPr>
            <w:r>
              <w:rPr>
                <w:rFonts w:hint="eastAsia" w:ascii="宋体" w:hAnsi="宋体" w:eastAsia="宋体" w:cs="宋体"/>
                <w:b w:val="0"/>
                <w:i w:val="0"/>
                <w:color w:val="000000"/>
                <w:spacing w:val="-2"/>
                <w:sz w:val="21"/>
                <w:szCs w:val="21"/>
                <w:vertAlign w:val="baseline"/>
                <w:lang w:val="en-US" w:eastAsia="zh-CN"/>
              </w:rPr>
              <w:t>收入</w:t>
            </w:r>
            <w:r>
              <w:rPr>
                <w:rFonts w:hint="eastAsia" w:ascii="宋体" w:hAnsi="宋体" w:eastAsia="宋体" w:cs="宋体"/>
                <w:b w:val="0"/>
                <w:i w:val="0"/>
                <w:color w:val="000000"/>
                <w:spacing w:val="-2"/>
                <w:sz w:val="21"/>
                <w:szCs w:val="21"/>
                <w:vertAlign w:val="baseline"/>
              </w:rPr>
              <w:t>合计</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72855AC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default" w:cs="仿宋"/>
                <w:lang w:val="en-US" w:eastAsia="zh-CN"/>
              </w:rPr>
              <w:t>404219980.62</w:t>
            </w:r>
          </w:p>
        </w:tc>
      </w:tr>
      <w:tr w14:paraId="46D9006B">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737CFBA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lang w:eastAsia="zh-CN"/>
              </w:rPr>
            </w:pPr>
            <w:r>
              <w:rPr>
                <w:rFonts w:hint="eastAsia" w:ascii="宋体" w:hAnsi="宋体" w:eastAsia="宋体" w:cs="宋体"/>
                <w:b w:val="0"/>
                <w:i w:val="0"/>
                <w:color w:val="000000"/>
                <w:spacing w:val="-6"/>
                <w:sz w:val="21"/>
                <w:szCs w:val="21"/>
                <w:vertAlign w:val="baseline"/>
                <w:lang w:val="en-US" w:eastAsia="zh-CN"/>
              </w:rPr>
              <w:t>15</w:t>
            </w:r>
          </w:p>
        </w:tc>
        <w:tc>
          <w:tcPr>
            <w:tcW w:w="2818" w:type="pct"/>
            <w:gridSpan w:val="2"/>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11B2C3CF">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1"/>
                <w:szCs w:val="21"/>
                <w:vertAlign w:val="baseline"/>
                <w:lang w:val="en-US" w:eastAsia="zh-CN"/>
              </w:rPr>
              <w:t>支出合计</w:t>
            </w:r>
          </w:p>
        </w:tc>
        <w:tc>
          <w:tcPr>
            <w:tcW w:w="1588" w:type="pct"/>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629A12A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default" w:cs="仿宋"/>
                <w:lang w:val="en-US" w:eastAsia="zh-CN"/>
              </w:rPr>
              <w:t>278534755.53</w:t>
            </w:r>
          </w:p>
        </w:tc>
      </w:tr>
      <w:tr w14:paraId="601B41E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0" w:hRule="atLeast"/>
          <w:jc w:val="center"/>
        </w:trPr>
        <w:tc>
          <w:tcPr>
            <w:tcW w:w="593" w:type="pct"/>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59BA6D77">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default" w:ascii="宋体" w:hAnsi="宋体" w:eastAsia="宋体" w:cs="宋体"/>
                <w:b w:val="0"/>
                <w:i w:val="0"/>
                <w:color w:val="000000"/>
                <w:spacing w:val="-6"/>
                <w:sz w:val="21"/>
                <w:szCs w:val="21"/>
                <w:vertAlign w:val="baseline"/>
                <w:lang w:val="en-US" w:eastAsia="zh-CN"/>
              </w:rPr>
            </w:pPr>
            <w:r>
              <w:rPr>
                <w:rFonts w:hint="eastAsia" w:ascii="宋体" w:hAnsi="宋体" w:eastAsia="宋体" w:cs="宋体"/>
                <w:b w:val="0"/>
                <w:i w:val="0"/>
                <w:color w:val="000000"/>
                <w:spacing w:val="-6"/>
                <w:sz w:val="21"/>
                <w:szCs w:val="21"/>
                <w:vertAlign w:val="baseline"/>
              </w:rPr>
              <w:t>1</w:t>
            </w:r>
            <w:r>
              <w:rPr>
                <w:rFonts w:hint="eastAsia" w:ascii="宋体" w:hAnsi="宋体" w:eastAsia="宋体" w:cs="宋体"/>
                <w:b w:val="0"/>
                <w:i w:val="0"/>
                <w:color w:val="000000"/>
                <w:spacing w:val="-6"/>
                <w:sz w:val="21"/>
                <w:szCs w:val="21"/>
                <w:vertAlign w:val="baseline"/>
                <w:lang w:val="en-US" w:eastAsia="zh-CN"/>
              </w:rPr>
              <w:t>6</w:t>
            </w:r>
          </w:p>
        </w:tc>
        <w:tc>
          <w:tcPr>
            <w:tcW w:w="2818" w:type="pct"/>
            <w:gridSpan w:val="2"/>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4800BAD8">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pacing w:val="-2"/>
                <w:sz w:val="21"/>
                <w:szCs w:val="21"/>
                <w:vertAlign w:val="baseline"/>
                <w:lang w:val="en-US" w:eastAsia="zh-CN"/>
              </w:rPr>
            </w:pPr>
            <w:r>
              <w:rPr>
                <w:rFonts w:hint="eastAsia" w:ascii="宋体" w:hAnsi="宋体" w:eastAsia="宋体" w:cs="宋体"/>
                <w:b w:val="0"/>
                <w:i w:val="0"/>
                <w:color w:val="000000"/>
                <w:spacing w:val="-3"/>
                <w:sz w:val="21"/>
                <w:szCs w:val="21"/>
                <w:vertAlign w:val="baseline"/>
              </w:rPr>
              <w:t>结余资金</w:t>
            </w:r>
          </w:p>
        </w:tc>
        <w:tc>
          <w:tcPr>
            <w:tcW w:w="1588" w:type="pct"/>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cBorders>
            <w:shd w:val="clear" w:color="auto" w:fill="FFFFFF"/>
            <w:tcMar>
              <w:top w:w="0" w:type="dxa"/>
              <w:left w:w="0" w:type="dxa"/>
              <w:bottom w:w="0" w:type="dxa"/>
              <w:right w:w="0" w:type="dxa"/>
            </w:tcMar>
            <w:vAlign w:val="top"/>
          </w:tcPr>
          <w:p w14:paraId="28A03830">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cs="仿宋"/>
                <w:lang w:val="en-US" w:eastAsia="zh-CN"/>
              </w:rPr>
              <w:t>125685225.09</w:t>
            </w:r>
          </w:p>
        </w:tc>
      </w:tr>
    </w:tbl>
    <w:p w14:paraId="2BB09CE0">
      <w:pPr>
        <w:pageBreakBefore w:val="0"/>
        <w:kinsoku/>
        <w:overflowPunct/>
        <w:topLinePunct w:val="0"/>
        <w:autoSpaceDE/>
        <w:autoSpaceDN/>
        <w:bidi w:val="0"/>
        <w:adjustRightInd/>
        <w:snapToGrid/>
        <w:spacing w:before="157" w:beforeLines="50" w:after="157" w:afterLines="50" w:line="560" w:lineRule="exact"/>
        <w:rPr>
          <w:rFonts w:hint="eastAsia" w:ascii="黑体" w:hAnsi="黑体" w:eastAsia="黑体" w:cs="黑体"/>
          <w:lang w:val="en-US" w:eastAsia="zh-CN"/>
        </w:rPr>
      </w:pPr>
      <w:r>
        <w:rPr>
          <w:rFonts w:hint="eastAsia" w:ascii="黑体" w:hAnsi="黑体" w:eastAsia="黑体" w:cs="黑体"/>
          <w:lang w:val="en-US" w:eastAsia="zh-CN"/>
        </w:rPr>
        <w:t>二、绩效评价工作情况</w:t>
      </w:r>
    </w:p>
    <w:p w14:paraId="354A84E1">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lang w:val="en-US" w:eastAsia="zh-CN"/>
        </w:rPr>
      </w:pPr>
      <w:r>
        <w:rPr>
          <w:rFonts w:hint="eastAsia" w:ascii="楷体" w:hAnsi="楷体" w:eastAsia="楷体" w:cs="楷体"/>
          <w:lang w:val="en-US" w:eastAsia="zh-CN"/>
        </w:rPr>
        <w:t>(一)评价依据</w:t>
      </w:r>
    </w:p>
    <w:p w14:paraId="47BB6A79">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1.《中华人民共和国预算法》；</w:t>
      </w:r>
    </w:p>
    <w:p w14:paraId="4DD96EC6">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2.</w:t>
      </w:r>
      <w:r>
        <w:rPr>
          <w:rFonts w:hint="default" w:cs="仿宋"/>
          <w:lang w:val="en-US" w:eastAsia="zh-CN"/>
        </w:rPr>
        <w:t>财政部《关于印发〈项目支出绩效评价管理办法〉的通知》（财预〔2020〕10号）；</w:t>
      </w:r>
    </w:p>
    <w:p w14:paraId="2CC85245">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3.</w:t>
      </w:r>
      <w:r>
        <w:rPr>
          <w:rFonts w:hint="default" w:cs="仿宋"/>
          <w:lang w:val="en-US" w:eastAsia="zh-CN"/>
        </w:rPr>
        <w:t>中共中央、国务院《关于全面实施预算绩效管理的意见》（中发〔2018〕34号）；</w:t>
      </w:r>
    </w:p>
    <w:p w14:paraId="1CC7F359">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4.</w:t>
      </w:r>
      <w:r>
        <w:rPr>
          <w:rFonts w:hint="default" w:cs="仿宋"/>
          <w:lang w:val="en-US" w:eastAsia="zh-CN"/>
        </w:rPr>
        <w:t>财政部《关于贯彻落实</w:t>
      </w:r>
      <w:r>
        <w:rPr>
          <w:rFonts w:hint="eastAsia" w:cs="仿宋"/>
          <w:lang w:val="en-US" w:eastAsia="zh-CN"/>
        </w:rPr>
        <w:t>&lt;</w:t>
      </w:r>
      <w:r>
        <w:rPr>
          <w:rFonts w:hint="default" w:cs="仿宋"/>
          <w:lang w:val="en-US" w:eastAsia="zh-CN"/>
        </w:rPr>
        <w:t>中共中央国务院关于全面实施预算绩效管理的意见</w:t>
      </w:r>
      <w:r>
        <w:rPr>
          <w:rFonts w:hint="eastAsia" w:cs="仿宋"/>
          <w:lang w:val="en-US" w:eastAsia="zh-CN"/>
        </w:rPr>
        <w:t>&gt;</w:t>
      </w:r>
      <w:r>
        <w:rPr>
          <w:rFonts w:hint="default" w:cs="仿宋"/>
          <w:lang w:val="en-US" w:eastAsia="zh-CN"/>
        </w:rPr>
        <w:t>的通知》（财预〔2018〕167号）；</w:t>
      </w:r>
    </w:p>
    <w:p w14:paraId="064A0303">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5.</w:t>
      </w:r>
      <w:r>
        <w:rPr>
          <w:rFonts w:hint="default" w:cs="仿宋"/>
          <w:lang w:val="en-US" w:eastAsia="zh-CN"/>
        </w:rPr>
        <w:t>财政部《关于印发〈预算绩效评价共性指标体系框架〉的通知》（财预〔2013〕53号）；</w:t>
      </w:r>
    </w:p>
    <w:p w14:paraId="6F225262">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6</w:t>
      </w:r>
      <w:r>
        <w:rPr>
          <w:rFonts w:hint="default" w:cs="仿宋"/>
          <w:lang w:val="en-US" w:eastAsia="zh-CN"/>
        </w:rPr>
        <w:t>.《国务院关于开展新型农村社会养老保险试点的指导意见》（国发〔2009〕32号）；</w:t>
      </w:r>
    </w:p>
    <w:p w14:paraId="540D62B8">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7</w:t>
      </w:r>
      <w:r>
        <w:rPr>
          <w:rFonts w:hint="default" w:cs="仿宋"/>
          <w:lang w:val="en-US" w:eastAsia="zh-CN"/>
        </w:rPr>
        <w:t>.《国务院关于建立统一的城乡居民基本养老保险制度的意见》（国发〔2014〕8号）；</w:t>
      </w:r>
    </w:p>
    <w:p w14:paraId="58822F8D">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8</w:t>
      </w:r>
      <w:r>
        <w:rPr>
          <w:rFonts w:hint="default" w:cs="仿宋"/>
          <w:lang w:val="en-US" w:eastAsia="zh-CN"/>
        </w:rPr>
        <w:t>.《财务部人力资源社会保障部国家卫生计生委关于印发&lt;社会保险基金财务制度&gt;的通知》（财社〔2017〕144号）；</w:t>
      </w:r>
    </w:p>
    <w:p w14:paraId="10797E03">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9</w:t>
      </w:r>
      <w:r>
        <w:rPr>
          <w:rFonts w:hint="default" w:cs="仿宋"/>
          <w:lang w:val="en-US" w:eastAsia="zh-CN"/>
        </w:rPr>
        <w:t>.《省人民政府关于实施城乡居民社会养老保险制度的意见》（鄂政发〔2011〕40号）；</w:t>
      </w:r>
    </w:p>
    <w:p w14:paraId="6F218610">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10</w:t>
      </w:r>
      <w:r>
        <w:rPr>
          <w:rFonts w:hint="default" w:cs="仿宋"/>
          <w:lang w:val="en-US" w:eastAsia="zh-CN"/>
        </w:rPr>
        <w:t>.《省人民政府关于完善城乡居民基本养老保险制度的意见》（鄂政发〔2015〕41号）；</w:t>
      </w:r>
    </w:p>
    <w:p w14:paraId="6ACF479A">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11</w:t>
      </w:r>
      <w:r>
        <w:rPr>
          <w:rFonts w:hint="default" w:cs="仿宋"/>
          <w:lang w:val="en-US" w:eastAsia="zh-CN"/>
        </w:rPr>
        <w:t>.《湖北省人力资源和社会保障厅湖北省财政厅国家税务总局湖北省税务局关于调整城乡居民基本养老保险缴费有关政策的通知》（鄂人社发〔2023〕3号）；</w:t>
      </w:r>
    </w:p>
    <w:p w14:paraId="65AF91A7">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12</w:t>
      </w:r>
      <w:r>
        <w:rPr>
          <w:rFonts w:hint="default" w:cs="仿宋"/>
          <w:lang w:val="en-US" w:eastAsia="zh-CN"/>
        </w:rPr>
        <w:t>.《阳新县人民政府办公室关于印发阳新县城乡居民基本养老保险实施办法的通知》（阳政发〔2015〕46号）；</w:t>
      </w:r>
    </w:p>
    <w:p w14:paraId="4F4236D1">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13.</w:t>
      </w:r>
      <w:r>
        <w:rPr>
          <w:rFonts w:hint="default" w:cs="仿宋"/>
          <w:lang w:val="en-US" w:eastAsia="zh-CN"/>
        </w:rPr>
        <w:t>项目单位财务管理制度、管理办法、资金到位凭证、资金支出凭证及手续；</w:t>
      </w:r>
    </w:p>
    <w:p w14:paraId="214AC30C">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14.</w:t>
      </w:r>
      <w:r>
        <w:rPr>
          <w:rFonts w:hint="default" w:cs="仿宋"/>
          <w:lang w:val="en-US" w:eastAsia="zh-CN"/>
        </w:rPr>
        <w:t>项目实施计划、总结、绩效自评报告等；</w:t>
      </w:r>
    </w:p>
    <w:p w14:paraId="3828C98D">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15.</w:t>
      </w:r>
      <w:r>
        <w:rPr>
          <w:rFonts w:hint="default" w:cs="仿宋"/>
          <w:lang w:val="en-US" w:eastAsia="zh-CN"/>
        </w:rPr>
        <w:t>其他有关的依据。</w:t>
      </w:r>
    </w:p>
    <w:p w14:paraId="59C4849D">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lang w:val="en-US" w:eastAsia="zh-CN"/>
        </w:rPr>
      </w:pPr>
      <w:r>
        <w:rPr>
          <w:rFonts w:hint="eastAsia" w:ascii="楷体" w:hAnsi="楷体" w:eastAsia="楷体" w:cs="楷体"/>
          <w:lang w:val="en-US" w:eastAsia="zh-CN"/>
        </w:rPr>
        <w:t>(二)评价目的</w:t>
      </w:r>
    </w:p>
    <w:p w14:paraId="114F13CA">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按照政府主导、统筹城乡、各方联动、有序推进的工作思路，城乡居民基本养老保险制度以“全覆盖、保基本、有弹性、可持续”为基本方针，坚持政府主导与城乡居民参保相结合、权利与义务相对应、保障水平与</w:t>
      </w:r>
      <w:r>
        <w:rPr>
          <w:rFonts w:hint="eastAsia" w:cs="仿宋"/>
          <w:lang w:val="en-US" w:eastAsia="zh-CN"/>
        </w:rPr>
        <w:t>地方</w:t>
      </w:r>
      <w:r>
        <w:rPr>
          <w:rFonts w:hint="default" w:cs="仿宋"/>
          <w:lang w:val="en-US" w:eastAsia="zh-CN"/>
        </w:rPr>
        <w:t>经济发展水平相适应， 坚持以人民为中心的发展思想，按照兜底线、织密网、建机制的要求，建立激励约束有效、筹资权责清晰、保障水平适度的城乡居民基本养老保险待遇确定和基础养老金正常调整机制，推动城乡居民基本养老保险待遇水平随经济发展而逐步提高， 促进城乡居民基本养老保险制度健康发展，确保参保居民共享改革发展成果， 切实提高参保城乡居民的获得感、幸福感。</w:t>
      </w:r>
    </w:p>
    <w:p w14:paraId="436E0E8E">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lang w:val="en-US" w:eastAsia="zh-CN"/>
        </w:rPr>
      </w:pPr>
      <w:r>
        <w:rPr>
          <w:rFonts w:hint="eastAsia" w:ascii="楷体" w:hAnsi="楷体" w:eastAsia="楷体" w:cs="楷体"/>
          <w:lang w:val="en-US" w:eastAsia="zh-CN"/>
        </w:rPr>
        <w:t>(三)评价原则</w:t>
      </w:r>
    </w:p>
    <w:p w14:paraId="16093268">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本次绩效评价工作遵循“科学规范、公开公正、分级分类、绩效相关”的原则。</w:t>
      </w:r>
    </w:p>
    <w:p w14:paraId="1B0D2F3D">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lang w:val="en-US" w:eastAsia="zh-CN"/>
        </w:rPr>
      </w:pPr>
      <w:r>
        <w:rPr>
          <w:rFonts w:hint="eastAsia" w:ascii="楷体" w:hAnsi="楷体" w:eastAsia="楷体" w:cs="楷体"/>
          <w:lang w:val="en-US" w:eastAsia="zh-CN"/>
        </w:rPr>
        <w:t>(四)评价对象</w:t>
      </w:r>
    </w:p>
    <w:p w14:paraId="5A43D773">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阳新</w:t>
      </w:r>
      <w:r>
        <w:rPr>
          <w:rFonts w:hint="default" w:cs="仿宋"/>
          <w:lang w:val="en-US" w:eastAsia="zh-CN"/>
        </w:rPr>
        <w:t>县 202</w:t>
      </w:r>
      <w:r>
        <w:rPr>
          <w:rFonts w:hint="eastAsia" w:cs="仿宋"/>
          <w:lang w:val="en-US" w:eastAsia="zh-CN"/>
        </w:rPr>
        <w:t>4</w:t>
      </w:r>
      <w:r>
        <w:rPr>
          <w:rFonts w:hint="default" w:cs="仿宋"/>
          <w:lang w:val="en-US" w:eastAsia="zh-CN"/>
        </w:rPr>
        <w:t> 年城乡居民养老保险基金项目。</w:t>
      </w:r>
    </w:p>
    <w:p w14:paraId="4616A3B8">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lang w:val="en-US" w:eastAsia="zh-CN"/>
        </w:rPr>
      </w:pPr>
      <w:r>
        <w:rPr>
          <w:rFonts w:hint="eastAsia" w:ascii="楷体" w:hAnsi="楷体" w:eastAsia="楷体" w:cs="楷体"/>
          <w:lang w:val="en-US" w:eastAsia="zh-CN"/>
        </w:rPr>
        <w:t>(五)评价方法</w:t>
      </w:r>
    </w:p>
    <w:p w14:paraId="0FB5C29A">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我们采用资料检查、问卷调查等多种方式取得基础数据，在核实数据的基础上，评价小组进行充分的分析讨论，综合评价资金项目完成情况实现的绩效。</w:t>
      </w:r>
    </w:p>
    <w:p w14:paraId="71744677">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lang w:val="en-US" w:eastAsia="zh-CN"/>
        </w:rPr>
      </w:pPr>
      <w:r>
        <w:rPr>
          <w:rFonts w:hint="eastAsia" w:ascii="楷体" w:hAnsi="楷体" w:eastAsia="楷体" w:cs="楷体"/>
          <w:lang w:val="en-US" w:eastAsia="zh-CN"/>
        </w:rPr>
        <w:t>(六)评价过程</w:t>
      </w:r>
    </w:p>
    <w:p w14:paraId="40F8D6EF">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lang w:val="en-US" w:eastAsia="zh-CN"/>
        </w:rPr>
      </w:pPr>
      <w:r>
        <w:rPr>
          <w:rFonts w:hint="default" w:cs="仿宋"/>
          <w:b/>
          <w:bCs/>
          <w:lang w:val="en-US" w:eastAsia="zh-CN"/>
        </w:rPr>
        <w:t>1.前期准备</w:t>
      </w:r>
    </w:p>
    <w:p w14:paraId="28400456">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根据</w:t>
      </w:r>
      <w:r>
        <w:rPr>
          <w:rFonts w:hint="eastAsia" w:cs="仿宋"/>
          <w:lang w:val="en-US" w:eastAsia="zh-CN"/>
        </w:rPr>
        <w:t>阳新</w:t>
      </w:r>
      <w:r>
        <w:rPr>
          <w:rFonts w:hint="default" w:cs="仿宋"/>
          <w:lang w:val="en-US" w:eastAsia="zh-CN"/>
        </w:rPr>
        <w:t>县财政局对本次评价工作的内容和要求，于202</w:t>
      </w:r>
      <w:r>
        <w:rPr>
          <w:rFonts w:hint="eastAsia" w:cs="仿宋"/>
          <w:lang w:val="en-US" w:eastAsia="zh-CN"/>
        </w:rPr>
        <w:t>5</w:t>
      </w:r>
      <w:r>
        <w:rPr>
          <w:rFonts w:hint="default" w:cs="仿宋"/>
          <w:lang w:val="en-US" w:eastAsia="zh-CN"/>
        </w:rPr>
        <w:t>年</w:t>
      </w:r>
      <w:r>
        <w:rPr>
          <w:rFonts w:hint="eastAsia" w:cs="仿宋"/>
          <w:lang w:val="en-US" w:eastAsia="zh-CN"/>
        </w:rPr>
        <w:t>8</w:t>
      </w:r>
      <w:r>
        <w:rPr>
          <w:rFonts w:hint="default" w:cs="仿宋"/>
          <w:lang w:val="en-US" w:eastAsia="zh-CN"/>
        </w:rPr>
        <w:t>月</w:t>
      </w:r>
      <w:r>
        <w:rPr>
          <w:rFonts w:hint="eastAsia" w:cs="仿宋"/>
          <w:lang w:val="en-US" w:eastAsia="zh-CN"/>
        </w:rPr>
        <w:t>6</w:t>
      </w:r>
      <w:r>
        <w:rPr>
          <w:rFonts w:hint="default" w:cs="仿宋"/>
          <w:lang w:val="en-US" w:eastAsia="zh-CN"/>
        </w:rPr>
        <w:t>日成立了绩效评价工作组，</w:t>
      </w:r>
      <w:r>
        <w:rPr>
          <w:rFonts w:hint="eastAsia" w:cs="仿宋"/>
          <w:lang w:val="en-US" w:eastAsia="zh-CN"/>
        </w:rPr>
        <w:t>共3人次去项目方子</w:t>
      </w:r>
      <w:r>
        <w:rPr>
          <w:rFonts w:hint="default" w:cs="仿宋"/>
          <w:lang w:val="en-US" w:eastAsia="zh-CN"/>
        </w:rPr>
        <w:t>解</w:t>
      </w:r>
      <w:r>
        <w:rPr>
          <w:rFonts w:hint="eastAsia" w:cs="仿宋"/>
          <w:lang w:val="en-US" w:eastAsia="zh-CN"/>
        </w:rPr>
        <w:t>阳新</w:t>
      </w:r>
      <w:r>
        <w:rPr>
          <w:rFonts w:hint="default" w:cs="仿宋"/>
          <w:lang w:val="en-US" w:eastAsia="zh-CN"/>
        </w:rPr>
        <w:t>县 202</w:t>
      </w:r>
      <w:r>
        <w:rPr>
          <w:rFonts w:hint="eastAsia" w:cs="仿宋"/>
          <w:lang w:val="en-US" w:eastAsia="zh-CN"/>
        </w:rPr>
        <w:t>4</w:t>
      </w:r>
      <w:r>
        <w:rPr>
          <w:rFonts w:hint="default" w:cs="仿宋"/>
          <w:lang w:val="en-US" w:eastAsia="zh-CN"/>
        </w:rPr>
        <w:t>年城乡居民养老保险基金项目评价内容及要求， 确定了评价目的、方法以及评价原则，根据项目内容和特征修正并确定所需资料清单、社会效益调查问卷。</w:t>
      </w:r>
    </w:p>
    <w:p w14:paraId="2D785D5B">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lang w:val="en-US" w:eastAsia="zh-CN"/>
        </w:rPr>
      </w:pPr>
      <w:r>
        <w:rPr>
          <w:rFonts w:hint="default" w:cs="仿宋"/>
          <w:b/>
          <w:bCs/>
          <w:lang w:val="en-US" w:eastAsia="zh-CN"/>
        </w:rPr>
        <w:t>2.资料收集</w:t>
      </w:r>
    </w:p>
    <w:p w14:paraId="3EF8CD17">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根据项目评价组的安排部署和绩效评价需求，保质保量地完成绩效评价工作，梳理并列出本次绩效评价所需的佐证资料清单。在评价过程中大部分文本形式的资料，采用资料清单的形式，进行资料收集。</w:t>
      </w:r>
    </w:p>
    <w:p w14:paraId="5165E82E">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lang w:val="en-US" w:eastAsia="zh-CN"/>
        </w:rPr>
      </w:pPr>
      <w:r>
        <w:rPr>
          <w:rFonts w:hint="default" w:cs="仿宋"/>
          <w:b/>
          <w:bCs/>
          <w:lang w:val="en-US" w:eastAsia="zh-CN"/>
        </w:rPr>
        <w:t>3.开展现场评价</w:t>
      </w:r>
    </w:p>
    <w:p w14:paraId="5B7080B2">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eastAsia" w:cs="仿宋"/>
          <w:lang w:val="en-US" w:eastAsia="zh-CN"/>
        </w:rPr>
        <w:t>8</w:t>
      </w:r>
      <w:r>
        <w:rPr>
          <w:rFonts w:hint="default" w:cs="仿宋"/>
          <w:lang w:val="en-US" w:eastAsia="zh-CN"/>
        </w:rPr>
        <w:t> 月</w:t>
      </w:r>
      <w:r>
        <w:rPr>
          <w:rFonts w:hint="eastAsia" w:cs="仿宋"/>
          <w:lang w:val="en-US" w:eastAsia="zh-CN"/>
        </w:rPr>
        <w:t>12</w:t>
      </w:r>
      <w:r>
        <w:rPr>
          <w:rFonts w:hint="default" w:cs="仿宋"/>
          <w:lang w:val="en-US" w:eastAsia="zh-CN"/>
        </w:rPr>
        <w:t>日至</w:t>
      </w:r>
      <w:r>
        <w:rPr>
          <w:rFonts w:hint="eastAsia" w:cs="仿宋"/>
          <w:lang w:val="en-US" w:eastAsia="zh-CN"/>
        </w:rPr>
        <w:t>8</w:t>
      </w:r>
      <w:r>
        <w:rPr>
          <w:rFonts w:hint="default" w:cs="仿宋"/>
          <w:lang w:val="en-US" w:eastAsia="zh-CN"/>
        </w:rPr>
        <w:t> 月</w:t>
      </w:r>
      <w:r>
        <w:rPr>
          <w:rFonts w:hint="eastAsia" w:cs="仿宋"/>
          <w:lang w:val="en-US" w:eastAsia="zh-CN"/>
        </w:rPr>
        <w:t>20</w:t>
      </w:r>
      <w:r>
        <w:rPr>
          <w:rFonts w:hint="default" w:cs="仿宋"/>
          <w:lang w:val="en-US" w:eastAsia="zh-CN"/>
        </w:rPr>
        <w:t>日，评价小组开展现场评价。评价工作采取听取汇报、查阅资料、现场查看、询问以及调查问卷的形式。评价的内容包括资金的绩效目标设定和完成、资金投入和管理、项目实施及资金绩效等情况，并有选择地对服务对象进行问卷调查，累计完成调查问卷</w:t>
      </w:r>
      <w:r>
        <w:rPr>
          <w:rFonts w:hint="eastAsia" w:cs="仿宋"/>
          <w:highlight w:val="none"/>
          <w:lang w:val="en-US" w:eastAsia="zh-CN"/>
        </w:rPr>
        <w:t>50</w:t>
      </w:r>
      <w:r>
        <w:rPr>
          <w:rFonts w:hint="default" w:cs="仿宋"/>
          <w:lang w:val="en-US" w:eastAsia="zh-CN"/>
        </w:rPr>
        <w:t>份。</w:t>
      </w:r>
    </w:p>
    <w:p w14:paraId="75FAF2A5">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lang w:val="en-US" w:eastAsia="zh-CN"/>
        </w:rPr>
      </w:pPr>
      <w:r>
        <w:rPr>
          <w:rFonts w:hint="default" w:cs="仿宋"/>
          <w:b/>
          <w:bCs/>
          <w:lang w:val="en-US" w:eastAsia="zh-CN"/>
        </w:rPr>
        <w:t>4.数据分析</w:t>
      </w:r>
    </w:p>
    <w:p w14:paraId="5137E0CC">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项目评价组通过前期从</w:t>
      </w:r>
      <w:r>
        <w:rPr>
          <w:rFonts w:hint="eastAsia" w:cs="仿宋"/>
          <w:lang w:val="en-US" w:eastAsia="zh-CN"/>
        </w:rPr>
        <w:t>阳新县城乡居民社会养老保险服务中心</w:t>
      </w:r>
      <w:r>
        <w:rPr>
          <w:rFonts w:hint="default" w:cs="仿宋"/>
          <w:lang w:val="en-US" w:eastAsia="zh-CN"/>
        </w:rPr>
        <w:t>收集的资料，根据指标体系的对应指标对资料进行分类梳理，利用统计分析的方法，对收集整理的资料进行分析，提取绩效评价所需的信息，形成分析结论</w:t>
      </w:r>
      <w:r>
        <w:rPr>
          <w:rFonts w:hint="eastAsia" w:cs="仿宋"/>
          <w:lang w:val="en-US" w:eastAsia="zh-CN"/>
        </w:rPr>
        <w:t>。</w:t>
      </w:r>
    </w:p>
    <w:p w14:paraId="1E489823">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lang w:val="en-US" w:eastAsia="zh-CN"/>
        </w:rPr>
      </w:pPr>
      <w:r>
        <w:rPr>
          <w:rFonts w:hint="default" w:cs="仿宋"/>
          <w:b/>
          <w:bCs/>
          <w:lang w:val="en-US" w:eastAsia="zh-CN"/>
        </w:rPr>
        <w:t>5.得出评价结论</w:t>
      </w:r>
    </w:p>
    <w:p w14:paraId="30DE4D24">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绩效评价工作组在逐一查阅项目资料的基础上，按照项目资金特点，制定相应 的评价指标量化评价表。同时，按照预设的指标内容，对绩效目标进行综合量化分析，得出结论，并撰写绩效评价报告。</w:t>
      </w:r>
    </w:p>
    <w:p w14:paraId="4B0661F9">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评价工作组对绩效评价结果，按照《阳新县县级财政项目资金绩效评价实施暂行办法》（阳财绩〔2015〕2号）采取评分和评级相结合的方式，具体分值和等级可根据不同评价内容设定。总分设置为100分， 分值和对应等级一般划分为四档：90（含）—100 分为“优”、80（含）—90分为“良”、60（含）—80分为“中”、60分以下为“差”。</w:t>
      </w:r>
    </w:p>
    <w:tbl>
      <w:tblPr>
        <w:tblStyle w:val="12"/>
        <w:tblW w:w="8211"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562"/>
        <w:gridCol w:w="1775"/>
        <w:gridCol w:w="1655"/>
        <w:gridCol w:w="1655"/>
        <w:gridCol w:w="1564"/>
      </w:tblGrid>
      <w:tr w14:paraId="56FF9BA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75" w:hRule="atLeast"/>
        </w:trPr>
        <w:tc>
          <w:tcPr>
            <w:tcW w:w="1562"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160D74E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pacing w:val="-3"/>
                <w:sz w:val="24"/>
                <w:szCs w:val="24"/>
                <w:vertAlign w:val="baseline"/>
              </w:rPr>
              <w:t>档次</w:t>
            </w:r>
          </w:p>
        </w:tc>
        <w:tc>
          <w:tcPr>
            <w:tcW w:w="1775"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4A1048A7">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z w:val="24"/>
                <w:szCs w:val="24"/>
                <w:vertAlign w:val="baseline"/>
              </w:rPr>
              <w:t>优</w:t>
            </w:r>
          </w:p>
        </w:tc>
        <w:tc>
          <w:tcPr>
            <w:tcW w:w="1655"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5559F5C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z w:val="24"/>
                <w:szCs w:val="24"/>
                <w:vertAlign w:val="baseline"/>
              </w:rPr>
              <w:t>良</w:t>
            </w:r>
          </w:p>
        </w:tc>
        <w:tc>
          <w:tcPr>
            <w:tcW w:w="1655"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43D6E7BC">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z w:val="24"/>
                <w:szCs w:val="24"/>
                <w:vertAlign w:val="baseline"/>
              </w:rPr>
              <w:t>中</w:t>
            </w:r>
          </w:p>
        </w:tc>
        <w:tc>
          <w:tcPr>
            <w:tcW w:w="1564"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cBorders>
            <w:shd w:val="clear" w:color="auto" w:fill="4874CB" w:themeFill="accent1"/>
            <w:tcMar>
              <w:top w:w="0" w:type="dxa"/>
              <w:left w:w="0" w:type="dxa"/>
              <w:bottom w:w="0" w:type="dxa"/>
              <w:right w:w="0" w:type="dxa"/>
            </w:tcMar>
            <w:vAlign w:val="top"/>
          </w:tcPr>
          <w:p w14:paraId="307A04B8">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z w:val="24"/>
                <w:szCs w:val="24"/>
                <w:vertAlign w:val="baseline"/>
              </w:rPr>
              <w:t>差</w:t>
            </w:r>
          </w:p>
        </w:tc>
      </w:tr>
      <w:tr w14:paraId="3918772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75" w:hRule="atLeast"/>
        </w:trPr>
        <w:tc>
          <w:tcPr>
            <w:tcW w:w="1562"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472B1DED">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3"/>
                <w:sz w:val="24"/>
                <w:szCs w:val="24"/>
                <w:vertAlign w:val="baseline"/>
              </w:rPr>
              <w:t>分值(F)</w:t>
            </w:r>
          </w:p>
        </w:tc>
        <w:tc>
          <w:tcPr>
            <w:tcW w:w="1775"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1E2FA9BC">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4"/>
                <w:szCs w:val="24"/>
                <w:vertAlign w:val="baseline"/>
              </w:rPr>
              <w:t>90≤F&lt;100</w:t>
            </w:r>
          </w:p>
        </w:tc>
        <w:tc>
          <w:tcPr>
            <w:tcW w:w="1655"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73A01B01">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4"/>
                <w:szCs w:val="24"/>
                <w:vertAlign w:val="baseline"/>
              </w:rPr>
              <w:t>80≤F&lt;90</w:t>
            </w:r>
          </w:p>
        </w:tc>
        <w:tc>
          <w:tcPr>
            <w:tcW w:w="1655"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48BFFEBD">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4"/>
                <w:szCs w:val="24"/>
                <w:vertAlign w:val="baseline"/>
              </w:rPr>
              <w:t>60≤F&lt;80</w:t>
            </w:r>
          </w:p>
        </w:tc>
        <w:tc>
          <w:tcPr>
            <w:tcW w:w="1564"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cBorders>
            <w:shd w:val="clear" w:color="auto" w:fill="FFFFFF"/>
            <w:tcMar>
              <w:top w:w="0" w:type="dxa"/>
              <w:left w:w="0" w:type="dxa"/>
              <w:bottom w:w="0" w:type="dxa"/>
              <w:right w:w="0" w:type="dxa"/>
            </w:tcMar>
            <w:vAlign w:val="top"/>
          </w:tcPr>
          <w:p w14:paraId="7E777248">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right="0"/>
              <w:jc w:val="center"/>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4"/>
                <w:szCs w:val="24"/>
                <w:vertAlign w:val="baseline"/>
              </w:rPr>
              <w:t>F&lt;60</w:t>
            </w:r>
          </w:p>
        </w:tc>
      </w:tr>
    </w:tbl>
    <w:p w14:paraId="3EA3B9DB">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lang w:val="en-US" w:eastAsia="zh-CN"/>
        </w:rPr>
      </w:pPr>
      <w:r>
        <w:rPr>
          <w:rFonts w:hint="default" w:cs="仿宋"/>
          <w:b/>
          <w:bCs/>
          <w:lang w:val="en-US" w:eastAsia="zh-CN"/>
        </w:rPr>
        <w:t>(七)指标设置</w:t>
      </w:r>
    </w:p>
    <w:p w14:paraId="54B37DC2">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我们参照《阳新县县级财政项目资金绩效评价实施暂行办法》（阳财绩〔2015〕2号），对该项目资金中期绩效评价内容分设了三级指标，其中： 一、二级指标为《项目支出绩效评价管理办法》通用指标，一级指标4个，分别为项目决策、项目过程、 项目产出、项目效益，二级指标12个，下设项目立项、绩效目标、资金投入</w:t>
      </w:r>
      <w:r>
        <w:rPr>
          <w:rFonts w:hint="eastAsia" w:cs="仿宋"/>
          <w:lang w:val="en-US" w:eastAsia="zh-CN"/>
        </w:rPr>
        <w:t>、</w:t>
      </w:r>
      <w:r>
        <w:rPr>
          <w:rFonts w:hint="default" w:cs="仿宋"/>
          <w:lang w:val="en-US" w:eastAsia="zh-CN"/>
        </w:rPr>
        <w:t>项目产出</w:t>
      </w:r>
      <w:r>
        <w:rPr>
          <w:rFonts w:hint="eastAsia" w:cs="仿宋"/>
          <w:lang w:val="en-US" w:eastAsia="zh-CN"/>
        </w:rPr>
        <w:t>、</w:t>
      </w:r>
      <w:r>
        <w:rPr>
          <w:rFonts w:hint="default" w:cs="仿宋"/>
          <w:lang w:val="en-US" w:eastAsia="zh-CN"/>
        </w:rPr>
        <w:t>项目效益指、可持续性、满意度三个二级指标。</w:t>
      </w:r>
    </w:p>
    <w:p w14:paraId="6760FFDD">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黑体" w:hAnsi="黑体" w:eastAsia="黑体" w:cs="黑体"/>
          <w:lang w:val="en-US" w:eastAsia="zh-CN"/>
        </w:rPr>
      </w:pPr>
      <w:r>
        <w:rPr>
          <w:rFonts w:hint="eastAsia" w:ascii="黑体" w:hAnsi="黑体" w:eastAsia="黑体" w:cs="黑体"/>
          <w:lang w:val="en-US" w:eastAsia="zh-CN"/>
        </w:rPr>
        <w:t>三、评价分析</w:t>
      </w:r>
    </w:p>
    <w:p w14:paraId="7626DA82">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lang w:val="en-US" w:eastAsia="zh-CN"/>
        </w:rPr>
      </w:pPr>
      <w:r>
        <w:rPr>
          <w:rFonts w:hint="default" w:cs="仿宋"/>
          <w:lang w:val="en-US" w:eastAsia="zh-CN"/>
        </w:rPr>
        <w:t>(一)绩效评价综合结论</w:t>
      </w:r>
    </w:p>
    <w:p w14:paraId="24AE2635">
      <w:pPr>
        <w:pStyle w:val="14"/>
        <w:pageBreakBefore w:val="0"/>
        <w:kinsoku/>
        <w:overflowPunct/>
        <w:topLinePunct w:val="0"/>
        <w:autoSpaceDE/>
        <w:autoSpaceDN/>
        <w:bidi w:val="0"/>
        <w:adjustRightInd/>
        <w:snapToGrid/>
        <w:spacing w:before="157" w:beforeLines="50" w:after="157" w:afterLines="50" w:line="560" w:lineRule="exact"/>
        <w:rPr>
          <w:rFonts w:hint="default" w:cs="仿宋"/>
          <w:highlight w:val="yellow"/>
          <w:lang w:val="en-US" w:eastAsia="zh-CN"/>
        </w:rPr>
      </w:pPr>
      <w:r>
        <w:rPr>
          <w:rFonts w:hint="default" w:ascii="仿宋" w:hAnsi="仿宋" w:eastAsia="仿宋" w:cs="仿宋"/>
          <w:kern w:val="2"/>
          <w:sz w:val="32"/>
          <w:szCs w:val="24"/>
          <w:lang w:val="en-US" w:eastAsia="zh-CN" w:bidi="ar-SA"/>
        </w:rPr>
        <w:t>通过阳新县 2024 年城乡居民养老保险基金项目的实施，在项目决策、过程管理、产出成果及效益发挥方面均取得较好成效，有效保障了城乡居民养老保险基金的安全运行和养老金的按时足额发放，切实提高了参保居民的获得感和幸福感。但在评价过程中也发现，存在财政缴费补贴人数未达目标、其他支出占基金支出比重超标准、对个人缴费补贴标准未达目标、基金静态可支付月数不足等问题。依据《阳新县县级财政项目资金绩效评价实施暂行办法》（阳财绩〔2015〕2 号）文件精神，我们经过定量和定性分析，2024年阳新县城乡居民养老保险基金项目整体绩效评价得分为9</w:t>
      </w:r>
      <w:r>
        <w:rPr>
          <w:rFonts w:hint="eastAsia" w:ascii="仿宋" w:hAnsi="仿宋" w:eastAsia="仿宋" w:cs="仿宋"/>
          <w:kern w:val="2"/>
          <w:sz w:val="32"/>
          <w:szCs w:val="24"/>
          <w:lang w:val="en-US" w:eastAsia="zh-CN" w:bidi="ar-SA"/>
        </w:rPr>
        <w:t>2.6</w:t>
      </w:r>
      <w:r>
        <w:rPr>
          <w:rFonts w:hint="default" w:ascii="仿宋" w:hAnsi="仿宋" w:eastAsia="仿宋" w:cs="仿宋"/>
          <w:kern w:val="2"/>
          <w:sz w:val="32"/>
          <w:szCs w:val="24"/>
          <w:lang w:val="en-US" w:eastAsia="zh-CN" w:bidi="ar-SA"/>
        </w:rPr>
        <w:t>分，等级为 “优”，评分详见下表。</w:t>
      </w:r>
    </w:p>
    <w:tbl>
      <w:tblPr>
        <w:tblStyle w:val="12"/>
        <w:tblW w:w="8223"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1276"/>
        <w:gridCol w:w="1418"/>
        <w:gridCol w:w="1507"/>
        <w:gridCol w:w="1389"/>
        <w:gridCol w:w="1643"/>
        <w:gridCol w:w="990"/>
      </w:tblGrid>
      <w:tr w14:paraId="1A6CA0C8">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71" w:hRule="atLeast"/>
        </w:trPr>
        <w:tc>
          <w:tcPr>
            <w:tcW w:w="1276" w:type="dxa"/>
            <w:tcBorders>
              <w:top w:val="single" w:color="4874CB" w:themeColor="accent1" w:sz="6" w:space="0"/>
              <w:left w:val="single" w:color="4874CB" w:themeColor="accent1"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557D575A">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126" w:right="0"/>
              <w:jc w:val="left"/>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pacing w:val="-3"/>
                <w:sz w:val="22"/>
                <w:szCs w:val="22"/>
                <w:vertAlign w:val="baseline"/>
              </w:rPr>
              <w:t>名称</w:t>
            </w:r>
          </w:p>
        </w:tc>
        <w:tc>
          <w:tcPr>
            <w:tcW w:w="1418"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29BC267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276" w:right="0"/>
              <w:jc w:val="left"/>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pacing w:val="-2"/>
                <w:sz w:val="22"/>
                <w:szCs w:val="22"/>
                <w:vertAlign w:val="baseline"/>
              </w:rPr>
              <w:t>项目决策</w:t>
            </w:r>
          </w:p>
        </w:tc>
        <w:tc>
          <w:tcPr>
            <w:tcW w:w="1507"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44BF967F">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323" w:right="0"/>
              <w:jc w:val="left"/>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pacing w:val="-3"/>
                <w:sz w:val="22"/>
                <w:szCs w:val="22"/>
                <w:vertAlign w:val="baseline"/>
              </w:rPr>
              <w:t>项目过程</w:t>
            </w:r>
          </w:p>
        </w:tc>
        <w:tc>
          <w:tcPr>
            <w:tcW w:w="1389"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57FE86F2">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263" w:right="0"/>
              <w:jc w:val="left"/>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pacing w:val="-3"/>
                <w:sz w:val="22"/>
                <w:szCs w:val="22"/>
                <w:vertAlign w:val="baseline"/>
              </w:rPr>
              <w:t>项目产出</w:t>
            </w:r>
          </w:p>
        </w:tc>
        <w:tc>
          <w:tcPr>
            <w:tcW w:w="1643" w:type="dxa"/>
            <w:tcBorders>
              <w:top w:val="single" w:color="4874CB" w:themeColor="accent1" w:sz="6" w:space="0"/>
              <w:left w:val="single" w:color="B5C7EA" w:themeColor="accent1" w:themeTint="66" w:sz="6" w:space="0"/>
              <w:bottom w:val="single" w:color="4874CB" w:themeColor="accent1" w:sz="6" w:space="0"/>
              <w:right w:val="single" w:color="B5C7EA" w:themeColor="accent1" w:themeTint="66" w:sz="6" w:space="0"/>
            </w:tcBorders>
            <w:shd w:val="clear" w:color="auto" w:fill="4874CB" w:themeFill="accent1"/>
            <w:tcMar>
              <w:top w:w="0" w:type="dxa"/>
              <w:left w:w="0" w:type="dxa"/>
              <w:bottom w:w="0" w:type="dxa"/>
              <w:right w:w="0" w:type="dxa"/>
            </w:tcMar>
            <w:vAlign w:val="top"/>
          </w:tcPr>
          <w:p w14:paraId="7CC6E80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389" w:right="0"/>
              <w:jc w:val="left"/>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pacing w:val="-3"/>
                <w:sz w:val="22"/>
                <w:szCs w:val="22"/>
                <w:vertAlign w:val="baseline"/>
              </w:rPr>
              <w:t>项目效益</w:t>
            </w:r>
          </w:p>
        </w:tc>
        <w:tc>
          <w:tcPr>
            <w:tcW w:w="990" w:type="dxa"/>
            <w:tcBorders>
              <w:top w:val="single" w:color="4874CB" w:themeColor="accent1" w:sz="6" w:space="0"/>
              <w:left w:val="single" w:color="B5C7EA" w:themeColor="accent1" w:themeTint="66" w:sz="6" w:space="0"/>
              <w:bottom w:val="single" w:color="4874CB" w:themeColor="accent1" w:sz="6" w:space="0"/>
              <w:right w:val="single" w:color="4874CB" w:themeColor="accent1" w:sz="6" w:space="0"/>
            </w:tcBorders>
            <w:shd w:val="clear" w:color="auto" w:fill="4874CB" w:themeFill="accent1"/>
            <w:tcMar>
              <w:top w:w="0" w:type="dxa"/>
              <w:left w:w="0" w:type="dxa"/>
              <w:bottom w:w="0" w:type="dxa"/>
              <w:right w:w="0" w:type="dxa"/>
            </w:tcMar>
            <w:vAlign w:val="top"/>
          </w:tcPr>
          <w:p w14:paraId="74EC50A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126" w:right="0"/>
              <w:jc w:val="left"/>
              <w:textAlignment w:val="baseline"/>
              <w:rPr>
                <w:rFonts w:hint="eastAsia" w:ascii="宋体" w:hAnsi="宋体" w:eastAsia="宋体" w:cs="宋体"/>
                <w:b/>
                <w:i w:val="0"/>
                <w:color w:val="FFFFFF"/>
                <w:sz w:val="21"/>
                <w:szCs w:val="21"/>
              </w:rPr>
            </w:pPr>
            <w:r>
              <w:rPr>
                <w:rFonts w:hint="eastAsia" w:ascii="宋体" w:hAnsi="宋体" w:eastAsia="宋体" w:cs="宋体"/>
                <w:b/>
                <w:i w:val="0"/>
                <w:color w:val="FFFFFF"/>
                <w:spacing w:val="-2"/>
                <w:sz w:val="22"/>
                <w:szCs w:val="22"/>
                <w:vertAlign w:val="baseline"/>
              </w:rPr>
              <w:t>合计</w:t>
            </w:r>
          </w:p>
        </w:tc>
      </w:tr>
      <w:tr w14:paraId="6FABAA5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69" w:hRule="atLeast"/>
        </w:trPr>
        <w:tc>
          <w:tcPr>
            <w:tcW w:w="1276" w:type="dxa"/>
            <w:tcBorders>
              <w:top w:val="single" w:color="4874CB" w:themeColor="accent1" w:sz="6" w:space="0"/>
              <w:left w:val="single" w:color="4874CB" w:themeColor="accent1"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5458E357">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165" w:right="0"/>
              <w:jc w:val="left"/>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11"/>
                <w:sz w:val="22"/>
                <w:szCs w:val="22"/>
                <w:vertAlign w:val="baseline"/>
              </w:rPr>
              <w:t>目标值</w:t>
            </w:r>
          </w:p>
        </w:tc>
        <w:tc>
          <w:tcPr>
            <w:tcW w:w="1418"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416F45F6">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618" w:right="0"/>
              <w:jc w:val="left"/>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7"/>
                <w:sz w:val="22"/>
                <w:szCs w:val="22"/>
                <w:vertAlign w:val="baseline"/>
              </w:rPr>
              <w:t>15</w:t>
            </w:r>
          </w:p>
        </w:tc>
        <w:tc>
          <w:tcPr>
            <w:tcW w:w="1507"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347F762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651" w:right="0"/>
              <w:jc w:val="left"/>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pacing w:val="-6"/>
                <w:sz w:val="22"/>
                <w:szCs w:val="22"/>
                <w:vertAlign w:val="baseline"/>
                <w:lang w:val="en-US" w:eastAsia="zh-CN"/>
              </w:rPr>
              <w:t>15</w:t>
            </w:r>
          </w:p>
        </w:tc>
        <w:tc>
          <w:tcPr>
            <w:tcW w:w="1389"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36A301E0">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593" w:right="0"/>
              <w:jc w:val="left"/>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pacing w:val="-7"/>
                <w:sz w:val="22"/>
                <w:szCs w:val="22"/>
                <w:vertAlign w:val="baseline"/>
                <w:lang w:val="en-US" w:eastAsia="zh-CN"/>
              </w:rPr>
              <w:t>50</w:t>
            </w:r>
          </w:p>
        </w:tc>
        <w:tc>
          <w:tcPr>
            <w:tcW w:w="1643" w:type="dxa"/>
            <w:tcBorders>
              <w:top w:val="single" w:color="4874CB" w:themeColor="accent1"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FFFFFF"/>
            <w:tcMar>
              <w:top w:w="0" w:type="dxa"/>
              <w:left w:w="0" w:type="dxa"/>
              <w:bottom w:w="0" w:type="dxa"/>
              <w:right w:w="0" w:type="dxa"/>
            </w:tcMar>
            <w:vAlign w:val="top"/>
          </w:tcPr>
          <w:p w14:paraId="030DC956">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9" w:right="0"/>
              <w:jc w:val="left"/>
              <w:textAlignment w:val="baseline"/>
              <w:rPr>
                <w:rFonts w:hint="eastAsia" w:ascii="宋体" w:hAnsi="宋体" w:eastAsia="宋体" w:cs="宋体"/>
                <w:b w:val="0"/>
                <w:i w:val="0"/>
                <w:color w:val="000000"/>
                <w:sz w:val="21"/>
                <w:szCs w:val="21"/>
                <w:lang w:eastAsia="zh-CN"/>
              </w:rPr>
            </w:pPr>
            <w:r>
              <w:rPr>
                <w:rFonts w:hint="eastAsia" w:ascii="宋体" w:hAnsi="宋体" w:eastAsia="宋体" w:cs="宋体"/>
                <w:b w:val="0"/>
                <w:i w:val="0"/>
                <w:color w:val="000000"/>
                <w:spacing w:val="-3"/>
                <w:sz w:val="22"/>
                <w:szCs w:val="22"/>
                <w:vertAlign w:val="baseline"/>
              </w:rPr>
              <w:t>2</w:t>
            </w:r>
            <w:r>
              <w:rPr>
                <w:rFonts w:hint="eastAsia" w:ascii="宋体" w:hAnsi="宋体" w:eastAsia="宋体" w:cs="宋体"/>
                <w:b w:val="0"/>
                <w:i w:val="0"/>
                <w:color w:val="000000"/>
                <w:spacing w:val="-3"/>
                <w:sz w:val="22"/>
                <w:szCs w:val="22"/>
                <w:vertAlign w:val="baseline"/>
                <w:lang w:val="en-US" w:eastAsia="zh-CN"/>
              </w:rPr>
              <w:t>0</w:t>
            </w:r>
          </w:p>
        </w:tc>
        <w:tc>
          <w:tcPr>
            <w:tcW w:w="990" w:type="dxa"/>
            <w:tcBorders>
              <w:top w:val="single" w:color="4874CB" w:themeColor="accent1" w:sz="6" w:space="0"/>
              <w:left w:val="single" w:color="B5C7EA" w:themeColor="accent1" w:themeTint="66" w:sz="6" w:space="0"/>
              <w:bottom w:val="single" w:color="B5C7EA" w:themeColor="accent1" w:themeTint="66" w:sz="6" w:space="0"/>
              <w:right w:val="single" w:color="4874CB" w:themeColor="accent1" w:sz="6" w:space="0"/>
            </w:tcBorders>
            <w:shd w:val="clear" w:color="auto" w:fill="FFFFFF"/>
            <w:tcMar>
              <w:top w:w="0" w:type="dxa"/>
              <w:left w:w="0" w:type="dxa"/>
              <w:bottom w:w="0" w:type="dxa"/>
              <w:right w:w="0" w:type="dxa"/>
            </w:tcMar>
            <w:vAlign w:val="top"/>
          </w:tcPr>
          <w:p w14:paraId="371AA8C3">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350" w:right="0"/>
              <w:jc w:val="left"/>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6"/>
                <w:sz w:val="22"/>
                <w:szCs w:val="22"/>
                <w:vertAlign w:val="baseline"/>
              </w:rPr>
              <w:t>100</w:t>
            </w:r>
          </w:p>
        </w:tc>
      </w:tr>
      <w:tr w14:paraId="20346E4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66" w:hRule="atLeast"/>
        </w:trPr>
        <w:tc>
          <w:tcPr>
            <w:tcW w:w="1276" w:type="dxa"/>
            <w:tcBorders>
              <w:top w:val="single" w:color="B5C7EA" w:themeColor="accent1" w:themeTint="66" w:sz="6" w:space="0"/>
              <w:left w:val="single" w:color="4874CB" w:themeColor="accent1" w:sz="6" w:space="0"/>
              <w:bottom w:val="single" w:color="B5C7EA" w:themeColor="accent1" w:themeTint="66" w:sz="6" w:space="0"/>
              <w:right w:val="single" w:color="B5C7EA" w:themeColor="accent1" w:themeTint="66" w:sz="6" w:space="0"/>
            </w:tcBorders>
            <w:shd w:val="clear" w:color="auto" w:fill="EDF1F9" w:themeFill="accent1" w:themeFillTint="19"/>
            <w:tcMar>
              <w:top w:w="0" w:type="dxa"/>
              <w:left w:w="0" w:type="dxa"/>
              <w:bottom w:w="0" w:type="dxa"/>
              <w:right w:w="0" w:type="dxa"/>
            </w:tcMar>
            <w:vAlign w:val="top"/>
          </w:tcPr>
          <w:p w14:paraId="3ED3F0CB">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122" w:right="0"/>
              <w:jc w:val="left"/>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2"/>
                <w:szCs w:val="22"/>
                <w:vertAlign w:val="baseline"/>
              </w:rPr>
              <w:t>业绩值</w:t>
            </w:r>
          </w:p>
        </w:tc>
        <w:tc>
          <w:tcPr>
            <w:tcW w:w="1418"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EDF1F9" w:themeFill="accent1" w:themeFillTint="19"/>
            <w:tcMar>
              <w:top w:w="0" w:type="dxa"/>
              <w:left w:w="0" w:type="dxa"/>
              <w:bottom w:w="0" w:type="dxa"/>
              <w:right w:w="0" w:type="dxa"/>
            </w:tcMar>
            <w:vAlign w:val="top"/>
          </w:tcPr>
          <w:p w14:paraId="447D385E">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618" w:right="0"/>
              <w:jc w:val="left"/>
              <w:textAlignment w:val="baseline"/>
              <w:rPr>
                <w:rFonts w:hint="eastAsia" w:ascii="宋体" w:hAnsi="宋体" w:eastAsia="宋体" w:cs="宋体"/>
                <w:b w:val="0"/>
                <w:i w:val="0"/>
                <w:color w:val="000000"/>
                <w:sz w:val="21"/>
                <w:szCs w:val="21"/>
                <w:lang w:eastAsia="zh-CN"/>
              </w:rPr>
            </w:pPr>
            <w:r>
              <w:rPr>
                <w:rFonts w:hint="eastAsia" w:ascii="宋体" w:hAnsi="宋体" w:eastAsia="宋体" w:cs="宋体"/>
                <w:b w:val="0"/>
                <w:i w:val="0"/>
                <w:color w:val="000000"/>
                <w:spacing w:val="-7"/>
                <w:sz w:val="22"/>
                <w:szCs w:val="22"/>
                <w:vertAlign w:val="baseline"/>
              </w:rPr>
              <w:t>1</w:t>
            </w:r>
            <w:r>
              <w:rPr>
                <w:rFonts w:hint="eastAsia" w:ascii="宋体" w:hAnsi="宋体" w:eastAsia="宋体" w:cs="宋体"/>
                <w:b w:val="0"/>
                <w:i w:val="0"/>
                <w:color w:val="000000"/>
                <w:spacing w:val="-7"/>
                <w:sz w:val="22"/>
                <w:szCs w:val="22"/>
                <w:vertAlign w:val="baseline"/>
                <w:lang w:val="en-US" w:eastAsia="zh-CN"/>
              </w:rPr>
              <w:t>5</w:t>
            </w:r>
          </w:p>
        </w:tc>
        <w:tc>
          <w:tcPr>
            <w:tcW w:w="1507"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EDF1F9" w:themeFill="accent1" w:themeFillTint="19"/>
            <w:tcMar>
              <w:top w:w="0" w:type="dxa"/>
              <w:left w:w="0" w:type="dxa"/>
              <w:bottom w:w="0" w:type="dxa"/>
              <w:right w:w="0" w:type="dxa"/>
            </w:tcMar>
            <w:vAlign w:val="top"/>
          </w:tcPr>
          <w:p w14:paraId="7BBAEC4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664" w:right="0"/>
              <w:jc w:val="left"/>
              <w:textAlignment w:val="baseline"/>
              <w:rPr>
                <w:rFonts w:hint="eastAsia" w:ascii="宋体" w:hAnsi="宋体" w:eastAsia="宋体" w:cs="宋体"/>
                <w:b w:val="0"/>
                <w:i w:val="0"/>
                <w:color w:val="000000"/>
                <w:sz w:val="21"/>
                <w:szCs w:val="21"/>
                <w:lang w:eastAsia="zh-CN"/>
              </w:rPr>
            </w:pPr>
            <w:r>
              <w:rPr>
                <w:rFonts w:hint="eastAsia" w:ascii="宋体" w:hAnsi="宋体" w:eastAsia="宋体" w:cs="宋体"/>
                <w:b w:val="0"/>
                <w:i w:val="0"/>
                <w:color w:val="000000"/>
                <w:spacing w:val="-7"/>
                <w:sz w:val="22"/>
                <w:szCs w:val="22"/>
                <w:vertAlign w:val="baseline"/>
              </w:rPr>
              <w:t>1</w:t>
            </w:r>
            <w:r>
              <w:rPr>
                <w:rFonts w:hint="eastAsia" w:ascii="宋体" w:hAnsi="宋体" w:eastAsia="宋体" w:cs="宋体"/>
                <w:b w:val="0"/>
                <w:i w:val="0"/>
                <w:color w:val="000000"/>
                <w:spacing w:val="-7"/>
                <w:sz w:val="22"/>
                <w:szCs w:val="22"/>
                <w:vertAlign w:val="baseline"/>
                <w:lang w:val="en-US" w:eastAsia="zh-CN"/>
              </w:rPr>
              <w:t>5</w:t>
            </w:r>
          </w:p>
        </w:tc>
        <w:tc>
          <w:tcPr>
            <w:tcW w:w="1389"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EDF1F9" w:themeFill="accent1" w:themeFillTint="19"/>
            <w:tcMar>
              <w:top w:w="0" w:type="dxa"/>
              <w:left w:w="0" w:type="dxa"/>
              <w:bottom w:w="0" w:type="dxa"/>
              <w:right w:w="0" w:type="dxa"/>
            </w:tcMar>
            <w:vAlign w:val="top"/>
          </w:tcPr>
          <w:p w14:paraId="529942B1">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591" w:right="0"/>
              <w:jc w:val="left"/>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pacing w:val="-3"/>
                <w:sz w:val="22"/>
                <w:szCs w:val="22"/>
                <w:vertAlign w:val="baseline"/>
                <w:lang w:val="en-US" w:eastAsia="zh-CN"/>
              </w:rPr>
              <w:t>45.63</w:t>
            </w:r>
          </w:p>
        </w:tc>
        <w:tc>
          <w:tcPr>
            <w:tcW w:w="1643" w:type="dxa"/>
            <w:tcBorders>
              <w:top w:val="single" w:color="B5C7EA" w:themeColor="accent1" w:themeTint="66" w:sz="6" w:space="0"/>
              <w:left w:val="single" w:color="B5C7EA" w:themeColor="accent1" w:themeTint="66" w:sz="6" w:space="0"/>
              <w:bottom w:val="single" w:color="B5C7EA" w:themeColor="accent1" w:themeTint="66" w:sz="6" w:space="0"/>
              <w:right w:val="single" w:color="B5C7EA" w:themeColor="accent1" w:themeTint="66" w:sz="6" w:space="0"/>
            </w:tcBorders>
            <w:shd w:val="clear" w:color="auto" w:fill="EDF1F9" w:themeFill="accent1" w:themeFillTint="19"/>
            <w:tcMar>
              <w:top w:w="0" w:type="dxa"/>
              <w:left w:w="0" w:type="dxa"/>
              <w:bottom w:w="0" w:type="dxa"/>
              <w:right w:w="0" w:type="dxa"/>
            </w:tcMar>
            <w:vAlign w:val="top"/>
          </w:tcPr>
          <w:p w14:paraId="70D9B8C7">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719" w:right="0"/>
              <w:jc w:val="left"/>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pacing w:val="-3"/>
                <w:sz w:val="22"/>
                <w:szCs w:val="22"/>
                <w:vertAlign w:val="baseline"/>
                <w:lang w:val="en-US" w:eastAsia="zh-CN"/>
              </w:rPr>
              <w:t>18</w:t>
            </w:r>
          </w:p>
        </w:tc>
        <w:tc>
          <w:tcPr>
            <w:tcW w:w="990" w:type="dxa"/>
            <w:tcBorders>
              <w:top w:val="single" w:color="B5C7EA" w:themeColor="accent1" w:themeTint="66" w:sz="6" w:space="0"/>
              <w:left w:val="single" w:color="B5C7EA" w:themeColor="accent1" w:themeTint="66" w:sz="6" w:space="0"/>
              <w:bottom w:val="single" w:color="B5C7EA" w:themeColor="accent1" w:themeTint="66" w:sz="6" w:space="0"/>
              <w:right w:val="single" w:color="4874CB" w:themeColor="accent1" w:sz="6" w:space="0"/>
            </w:tcBorders>
            <w:shd w:val="clear" w:color="auto" w:fill="EDF1F9" w:themeFill="accent1" w:themeFillTint="19"/>
            <w:tcMar>
              <w:top w:w="0" w:type="dxa"/>
              <w:left w:w="0" w:type="dxa"/>
              <w:bottom w:w="0" w:type="dxa"/>
              <w:right w:w="0" w:type="dxa"/>
            </w:tcMar>
            <w:vAlign w:val="top"/>
          </w:tcPr>
          <w:p w14:paraId="07D62513">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390" w:right="0"/>
              <w:jc w:val="left"/>
              <w:textAlignment w:val="baseline"/>
              <w:rPr>
                <w:rFonts w:hint="default" w:ascii="宋体" w:hAnsi="宋体" w:eastAsia="宋体" w:cs="宋体"/>
                <w:b w:val="0"/>
                <w:i w:val="0"/>
                <w:color w:val="000000"/>
                <w:sz w:val="21"/>
                <w:szCs w:val="21"/>
                <w:lang w:val="en-US" w:eastAsia="zh-CN"/>
              </w:rPr>
            </w:pPr>
            <w:r>
              <w:rPr>
                <w:rFonts w:hint="eastAsia" w:ascii="宋体" w:hAnsi="宋体" w:eastAsia="宋体" w:cs="宋体"/>
                <w:b w:val="0"/>
                <w:i w:val="0"/>
                <w:color w:val="000000"/>
                <w:spacing w:val="-3"/>
                <w:sz w:val="22"/>
                <w:szCs w:val="22"/>
                <w:vertAlign w:val="baseline"/>
                <w:lang w:val="en-US" w:eastAsia="zh-CN"/>
              </w:rPr>
              <w:t>92.6</w:t>
            </w:r>
          </w:p>
        </w:tc>
      </w:tr>
      <w:tr w14:paraId="0987CD3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74" w:hRule="atLeast"/>
        </w:trPr>
        <w:tc>
          <w:tcPr>
            <w:tcW w:w="1276" w:type="dxa"/>
            <w:tcBorders>
              <w:top w:val="single" w:color="B5C7EA" w:themeColor="accent1" w:themeTint="66" w:sz="6" w:space="0"/>
              <w:left w:val="single" w:color="4874CB" w:themeColor="accent1"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0A2DEC6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124" w:right="0"/>
              <w:jc w:val="left"/>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2"/>
                <w:szCs w:val="22"/>
                <w:vertAlign w:val="baseline"/>
              </w:rPr>
              <w:t>得分率</w:t>
            </w:r>
          </w:p>
        </w:tc>
        <w:tc>
          <w:tcPr>
            <w:tcW w:w="1418"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2C7FCE6F">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385" w:right="0"/>
              <w:jc w:val="left"/>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2"/>
                <w:szCs w:val="22"/>
                <w:vertAlign w:val="baseline"/>
                <w:lang w:val="en-US" w:eastAsia="zh-CN"/>
              </w:rPr>
              <w:t>100</w:t>
            </w:r>
            <w:r>
              <w:rPr>
                <w:rFonts w:hint="eastAsia" w:ascii="宋体" w:hAnsi="宋体" w:eastAsia="宋体" w:cs="宋体"/>
                <w:b w:val="0"/>
                <w:i w:val="0"/>
                <w:color w:val="000000"/>
                <w:spacing w:val="-2"/>
                <w:sz w:val="22"/>
                <w:szCs w:val="22"/>
                <w:vertAlign w:val="baseline"/>
              </w:rPr>
              <w:t>%</w:t>
            </w:r>
          </w:p>
        </w:tc>
        <w:tc>
          <w:tcPr>
            <w:tcW w:w="1507"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30B24225">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35" w:right="0"/>
              <w:jc w:val="left"/>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2"/>
                <w:szCs w:val="22"/>
                <w:vertAlign w:val="baseline"/>
                <w:lang w:val="en-US" w:eastAsia="zh-CN"/>
              </w:rPr>
              <w:t>100</w:t>
            </w:r>
            <w:r>
              <w:rPr>
                <w:rFonts w:hint="eastAsia" w:ascii="宋体" w:hAnsi="宋体" w:eastAsia="宋体" w:cs="宋体"/>
                <w:b w:val="0"/>
                <w:i w:val="0"/>
                <w:color w:val="000000"/>
                <w:spacing w:val="-2"/>
                <w:sz w:val="22"/>
                <w:szCs w:val="22"/>
                <w:vertAlign w:val="baseline"/>
              </w:rPr>
              <w:t>%</w:t>
            </w:r>
          </w:p>
        </w:tc>
        <w:tc>
          <w:tcPr>
            <w:tcW w:w="1389"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490D0FC9">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371" w:right="0"/>
              <w:jc w:val="left"/>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2"/>
                <w:sz w:val="22"/>
                <w:szCs w:val="22"/>
                <w:vertAlign w:val="baseline"/>
                <w:lang w:val="en-US" w:eastAsia="zh-CN"/>
              </w:rPr>
              <w:t>91.26</w:t>
            </w:r>
            <w:r>
              <w:rPr>
                <w:rFonts w:hint="eastAsia" w:ascii="宋体" w:hAnsi="宋体" w:eastAsia="宋体" w:cs="宋体"/>
                <w:b w:val="0"/>
                <w:i w:val="0"/>
                <w:color w:val="000000"/>
                <w:spacing w:val="-2"/>
                <w:sz w:val="22"/>
                <w:szCs w:val="22"/>
                <w:vertAlign w:val="baseline"/>
              </w:rPr>
              <w:t>%</w:t>
            </w:r>
          </w:p>
        </w:tc>
        <w:tc>
          <w:tcPr>
            <w:tcW w:w="1643" w:type="dxa"/>
            <w:tcBorders>
              <w:top w:val="single" w:color="B5C7EA" w:themeColor="accent1" w:themeTint="66" w:sz="6" w:space="0"/>
              <w:left w:val="single" w:color="B5C7EA" w:themeColor="accent1" w:themeTint="66" w:sz="6" w:space="0"/>
              <w:bottom w:val="single" w:color="4874CB" w:themeColor="accent1" w:sz="6" w:space="0"/>
              <w:right w:val="single" w:color="B5C7EA" w:themeColor="accent1" w:themeTint="66" w:sz="6" w:space="0"/>
            </w:tcBorders>
            <w:shd w:val="clear" w:color="auto" w:fill="FFFFFF"/>
            <w:tcMar>
              <w:top w:w="0" w:type="dxa"/>
              <w:left w:w="0" w:type="dxa"/>
              <w:bottom w:w="0" w:type="dxa"/>
              <w:right w:w="0" w:type="dxa"/>
            </w:tcMar>
            <w:vAlign w:val="top"/>
          </w:tcPr>
          <w:p w14:paraId="2D39ED12">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457" w:right="0"/>
              <w:jc w:val="left"/>
              <w:textAlignment w:val="baseline"/>
              <w:rPr>
                <w:rFonts w:hint="eastAsia" w:ascii="宋体" w:hAnsi="宋体" w:eastAsia="宋体" w:cs="宋体"/>
                <w:b w:val="0"/>
                <w:i w:val="0"/>
                <w:color w:val="000000"/>
                <w:sz w:val="21"/>
                <w:szCs w:val="21"/>
              </w:rPr>
            </w:pPr>
            <w:r>
              <w:rPr>
                <w:rFonts w:hint="eastAsia" w:ascii="宋体" w:hAnsi="宋体" w:eastAsia="宋体" w:cs="宋体"/>
                <w:b w:val="0"/>
                <w:i w:val="0"/>
                <w:color w:val="000000"/>
                <w:spacing w:val="-4"/>
                <w:sz w:val="22"/>
                <w:szCs w:val="22"/>
                <w:vertAlign w:val="baseline"/>
                <w:lang w:val="en-US" w:eastAsia="zh-CN"/>
              </w:rPr>
              <w:t>9</w:t>
            </w:r>
            <w:r>
              <w:rPr>
                <w:rFonts w:hint="eastAsia" w:ascii="宋体" w:hAnsi="宋体" w:eastAsia="宋体" w:cs="宋体"/>
                <w:b w:val="0"/>
                <w:i w:val="0"/>
                <w:color w:val="000000"/>
                <w:spacing w:val="-4"/>
                <w:sz w:val="22"/>
                <w:szCs w:val="22"/>
                <w:vertAlign w:val="baseline"/>
              </w:rPr>
              <w:t>0.00%</w:t>
            </w:r>
          </w:p>
        </w:tc>
        <w:tc>
          <w:tcPr>
            <w:tcW w:w="990" w:type="dxa"/>
            <w:tcBorders>
              <w:top w:val="single" w:color="B5C7EA" w:themeColor="accent1" w:themeTint="66" w:sz="6" w:space="0"/>
              <w:left w:val="single" w:color="B5C7EA" w:themeColor="accent1" w:themeTint="66" w:sz="6" w:space="0"/>
              <w:bottom w:val="single" w:color="4874CB" w:themeColor="accent1" w:sz="6" w:space="0"/>
              <w:right w:val="single" w:color="4874CB" w:themeColor="accent1" w:sz="6" w:space="0"/>
            </w:tcBorders>
            <w:shd w:val="clear" w:color="auto" w:fill="FFFFFF"/>
            <w:tcMar>
              <w:top w:w="0" w:type="dxa"/>
              <w:left w:w="0" w:type="dxa"/>
              <w:bottom w:w="0" w:type="dxa"/>
              <w:right w:w="0" w:type="dxa"/>
            </w:tcMar>
            <w:vAlign w:val="top"/>
          </w:tcPr>
          <w:p w14:paraId="37DE7634">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157" w:beforeLines="50" w:beforeAutospacing="0" w:after="157" w:afterLines="50" w:afterAutospacing="0" w:line="560" w:lineRule="exact"/>
              <w:ind w:left="172" w:right="0"/>
              <w:jc w:val="left"/>
              <w:textAlignment w:val="baseline"/>
              <w:rPr>
                <w:rFonts w:hint="default" w:ascii="宋体" w:hAnsi="宋体" w:eastAsia="宋体" w:cs="宋体"/>
                <w:b w:val="0"/>
                <w:i w:val="0"/>
                <w:color w:val="000000"/>
                <w:sz w:val="21"/>
                <w:szCs w:val="21"/>
                <w:lang w:val="en-US"/>
              </w:rPr>
            </w:pPr>
            <w:r>
              <w:rPr>
                <w:rFonts w:hint="eastAsia" w:ascii="宋体" w:hAnsi="宋体" w:eastAsia="宋体" w:cs="宋体"/>
                <w:b w:val="0"/>
                <w:i w:val="0"/>
                <w:color w:val="000000"/>
                <w:spacing w:val="-2"/>
                <w:sz w:val="22"/>
                <w:szCs w:val="22"/>
                <w:vertAlign w:val="baseline"/>
                <w:lang w:val="en-US" w:eastAsia="zh-CN"/>
              </w:rPr>
              <w:t>93.60%</w:t>
            </w:r>
          </w:p>
        </w:tc>
      </w:tr>
    </w:tbl>
    <w:p w14:paraId="72E5F914">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highlight w:val="none"/>
          <w:lang w:val="en-US" w:eastAsia="zh-CN"/>
        </w:rPr>
      </w:pPr>
      <w:r>
        <w:rPr>
          <w:rFonts w:hint="eastAsia" w:ascii="楷体" w:hAnsi="楷体" w:eastAsia="楷体" w:cs="楷体"/>
          <w:highlight w:val="none"/>
          <w:lang w:val="en-US" w:eastAsia="zh-CN"/>
        </w:rPr>
        <w:t>(二)主要绩效</w:t>
      </w:r>
    </w:p>
    <w:p w14:paraId="632EBE52">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ascii="仿宋" w:hAnsi="仿宋" w:eastAsia="仿宋" w:cs="仿宋"/>
          <w:kern w:val="2"/>
          <w:sz w:val="32"/>
          <w:szCs w:val="24"/>
          <w:lang w:val="en-US" w:eastAsia="zh-CN" w:bidi="ar-SA"/>
        </w:rPr>
      </w:pPr>
      <w:r>
        <w:rPr>
          <w:rFonts w:hint="default" w:ascii="仿宋" w:hAnsi="仿宋" w:eastAsia="仿宋" w:cs="仿宋"/>
          <w:kern w:val="2"/>
          <w:sz w:val="32"/>
          <w:szCs w:val="24"/>
          <w:lang w:val="en-US" w:eastAsia="zh-CN" w:bidi="ar-SA"/>
        </w:rPr>
        <w:t>截至 2024 年底，阳新县城乡居民基本养老保险覆盖全县辖24个镇区、457个行政村（社区），总人口111.7万。2024年16-59周岁预计参（续）保</w:t>
      </w:r>
      <w:r>
        <w:rPr>
          <w:rFonts w:hint="eastAsia" w:ascii="仿宋" w:hAnsi="仿宋" w:eastAsia="仿宋" w:cs="仿宋"/>
          <w:kern w:val="2"/>
          <w:sz w:val="32"/>
          <w:szCs w:val="24"/>
          <w:lang w:val="en-US" w:eastAsia="zh-CN" w:bidi="ar-SA"/>
        </w:rPr>
        <w:t>财政缴费补贴</w:t>
      </w:r>
      <w:r>
        <w:rPr>
          <w:rFonts w:hint="default" w:ascii="仿宋" w:hAnsi="仿宋" w:eastAsia="仿宋" w:cs="仿宋"/>
          <w:kern w:val="2"/>
          <w:sz w:val="32"/>
          <w:szCs w:val="24"/>
          <w:lang w:val="en-US" w:eastAsia="zh-CN" w:bidi="ar-SA"/>
        </w:rPr>
        <w:t>人数189229人，</w:t>
      </w:r>
      <w:r>
        <w:rPr>
          <w:rFonts w:hint="eastAsia" w:ascii="仿宋" w:hAnsi="仿宋" w:eastAsia="仿宋" w:cs="仿宋"/>
          <w:kern w:val="2"/>
          <w:sz w:val="32"/>
          <w:szCs w:val="24"/>
          <w:lang w:val="en-US" w:eastAsia="zh-CN" w:bidi="ar-SA"/>
        </w:rPr>
        <w:t>实际财政缴费补贴人数164313人；</w:t>
      </w:r>
      <w:r>
        <w:rPr>
          <w:rFonts w:hint="default" w:ascii="仿宋" w:hAnsi="仿宋" w:eastAsia="仿宋" w:cs="仿宋"/>
          <w:kern w:val="2"/>
          <w:sz w:val="32"/>
          <w:szCs w:val="24"/>
          <w:lang w:val="en-US" w:eastAsia="zh-CN" w:bidi="ar-SA"/>
        </w:rPr>
        <w:t>实际参保人数504639人（应参保人数402368人，参保率125.42%），远超阳新县2024年政府工作报告中参保率96%的目标；阳新县城乡居民养老金发放待遇发放人数10.75万人，发放金额27853.48万元，发放率达100%。</w:t>
      </w:r>
    </w:p>
    <w:p w14:paraId="746AEC1A">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ascii="仿宋" w:hAnsi="仿宋" w:eastAsia="仿宋" w:cs="仿宋"/>
          <w:kern w:val="2"/>
          <w:sz w:val="32"/>
          <w:szCs w:val="24"/>
          <w:lang w:val="en-US" w:eastAsia="zh-CN" w:bidi="ar-SA"/>
        </w:rPr>
      </w:pPr>
      <w:r>
        <w:rPr>
          <w:rFonts w:hint="default" w:ascii="仿宋" w:hAnsi="仿宋" w:eastAsia="仿宋" w:cs="仿宋"/>
          <w:kern w:val="2"/>
          <w:sz w:val="32"/>
          <w:szCs w:val="24"/>
          <w:lang w:val="en-US" w:eastAsia="zh-CN" w:bidi="ar-SA"/>
        </w:rPr>
        <w:t>通过城乡居民基本养老保险项目的实施，基本实现了城乡居民养老保险绩效目标，为广大参保居民老年生活提供了基本保障，缓解了生活压力，促进了家庭和睦、社会和谐，提高了党和政府在群众中的形象和威信。</w:t>
      </w:r>
    </w:p>
    <w:p w14:paraId="5486C2DC">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(三)绩效指标分析</w:t>
      </w:r>
    </w:p>
    <w:p w14:paraId="0F41F5BA">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color w:val="auto"/>
          <w:highlight w:val="none"/>
          <w:lang w:val="en-US" w:eastAsia="zh-CN"/>
        </w:rPr>
      </w:pPr>
      <w:r>
        <w:rPr>
          <w:rFonts w:hint="default" w:cs="仿宋"/>
          <w:b/>
          <w:bCs/>
          <w:color w:val="auto"/>
          <w:highlight w:val="none"/>
          <w:lang w:val="en-US" w:eastAsia="zh-CN"/>
        </w:rPr>
        <w:t>1.项目决策指标分析(共 15 分)</w:t>
      </w:r>
    </w:p>
    <w:p w14:paraId="390E0C80">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color w:val="auto"/>
          <w:highlight w:val="none"/>
          <w:lang w:val="en-US" w:eastAsia="zh-CN"/>
        </w:rPr>
      </w:pPr>
      <w:r>
        <w:rPr>
          <w:rFonts w:hint="default" w:cs="仿宋"/>
          <w:b/>
          <w:bCs/>
          <w:color w:val="auto"/>
          <w:highlight w:val="none"/>
          <w:lang w:val="en-US" w:eastAsia="zh-CN"/>
        </w:rPr>
        <w:t>(1)项目立项分析</w:t>
      </w:r>
    </w:p>
    <w:p w14:paraId="7671C45B">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cs="仿宋"/>
          <w:color w:val="auto"/>
          <w:highlight w:val="none"/>
          <w:lang w:val="en-US" w:eastAsia="zh-CN"/>
        </w:rPr>
      </w:pPr>
      <w:r>
        <w:rPr>
          <w:rFonts w:hint="default" w:cs="仿宋"/>
          <w:color w:val="auto"/>
          <w:highlight w:val="none"/>
          <w:lang w:val="en-US" w:eastAsia="zh-CN"/>
        </w:rPr>
        <w:t>项目立项分析主要评价立项是否符合国家法律法规、国民经济发展规划和相关政策； 立项是否符合行业发展规划和政策要求； 立项是否与部门职责范围相符，属于部门履职所需。</w:t>
      </w:r>
      <w:r>
        <w:rPr>
          <w:rFonts w:hint="eastAsia" w:cs="仿宋"/>
          <w:color w:val="auto"/>
          <w:highlight w:val="none"/>
          <w:lang w:val="en-US" w:eastAsia="zh-CN"/>
        </w:rPr>
        <w:t>阳新</w:t>
      </w:r>
      <w:r>
        <w:rPr>
          <w:rFonts w:hint="default" w:cs="仿宋"/>
          <w:color w:val="auto"/>
          <w:highlight w:val="none"/>
          <w:lang w:val="en-US" w:eastAsia="zh-CN"/>
        </w:rPr>
        <w:t>县人力资源社会保障局依据国、省、市县对城乡居民养老保险的要求于 202</w:t>
      </w:r>
      <w:r>
        <w:rPr>
          <w:rFonts w:hint="eastAsia" w:cs="仿宋"/>
          <w:color w:val="auto"/>
          <w:highlight w:val="none"/>
          <w:lang w:val="en-US" w:eastAsia="zh-CN"/>
        </w:rPr>
        <w:t>4</w:t>
      </w:r>
      <w:r>
        <w:rPr>
          <w:rFonts w:hint="default" w:cs="仿宋"/>
          <w:color w:val="auto"/>
          <w:highlight w:val="none"/>
          <w:lang w:val="en-US" w:eastAsia="zh-CN"/>
        </w:rPr>
        <w:t>年月日发布了《</w:t>
      </w:r>
      <w:r>
        <w:rPr>
          <w:rFonts w:hint="eastAsia" w:cs="仿宋"/>
          <w:color w:val="auto"/>
          <w:highlight w:val="none"/>
          <w:lang w:val="en-US" w:eastAsia="zh-CN"/>
        </w:rPr>
        <w:t>阳新</w:t>
      </w:r>
      <w:r>
        <w:rPr>
          <w:rFonts w:hint="default" w:cs="仿宋"/>
          <w:color w:val="auto"/>
          <w:highlight w:val="none"/>
          <w:lang w:val="en-US" w:eastAsia="zh-CN"/>
        </w:rPr>
        <w:t>县人力资源和社会保障局关于印发</w:t>
      </w:r>
      <w:r>
        <w:rPr>
          <w:rFonts w:hint="eastAsia" w:cs="仿宋"/>
          <w:color w:val="auto"/>
          <w:highlight w:val="none"/>
          <w:lang w:val="en-US" w:eastAsia="zh-CN"/>
        </w:rPr>
        <w:t>阳新</w:t>
      </w:r>
      <w:r>
        <w:rPr>
          <w:rFonts w:hint="default" w:cs="仿宋"/>
          <w:color w:val="auto"/>
          <w:highlight w:val="none"/>
          <w:lang w:val="en-US" w:eastAsia="zh-CN"/>
        </w:rPr>
        <w:t>县城乡居民基本养老保险经办管理服务提升年行动实施方案》（</w:t>
      </w:r>
      <w:r>
        <w:rPr>
          <w:rFonts w:hint="eastAsia" w:cs="仿宋"/>
          <w:color w:val="auto"/>
          <w:highlight w:val="none"/>
          <w:lang w:val="en-US" w:eastAsia="zh-CN"/>
        </w:rPr>
        <w:t>阳</w:t>
      </w:r>
      <w:r>
        <w:rPr>
          <w:rFonts w:hint="default" w:cs="仿宋"/>
          <w:color w:val="auto"/>
          <w:highlight w:val="none"/>
          <w:lang w:val="en-US" w:eastAsia="zh-CN"/>
        </w:rPr>
        <w:t>人社发〔2023〕96 号），文件内容符合相关法规要求，立项程序规范，符合政策要求。</w:t>
      </w:r>
    </w:p>
    <w:p w14:paraId="2CA6A625">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color w:val="auto"/>
          <w:highlight w:val="none"/>
          <w:lang w:val="en-US" w:eastAsia="zh-CN"/>
        </w:rPr>
      </w:pPr>
      <w:r>
        <w:rPr>
          <w:rFonts w:hint="default" w:cs="仿宋"/>
          <w:color w:val="auto"/>
          <w:highlight w:val="none"/>
          <w:lang w:val="en-US" w:eastAsia="zh-CN"/>
        </w:rPr>
        <w:t>该指标分值 5 分，得 5分，得分率 100.00%。</w:t>
      </w:r>
    </w:p>
    <w:p w14:paraId="6C33B697">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color w:val="auto"/>
          <w:highlight w:val="none"/>
          <w:lang w:val="en-US" w:eastAsia="zh-CN"/>
        </w:rPr>
      </w:pPr>
      <w:r>
        <w:rPr>
          <w:rFonts w:hint="default" w:cs="仿宋"/>
          <w:b/>
          <w:bCs/>
          <w:color w:val="auto"/>
          <w:highlight w:val="none"/>
          <w:lang w:val="en-US" w:eastAsia="zh-CN"/>
        </w:rPr>
        <w:t>(2)绩效目标分析</w:t>
      </w:r>
    </w:p>
    <w:p w14:paraId="2886B693">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ascii="仿宋" w:hAnsi="仿宋" w:eastAsia="仿宋" w:cs="Times New Roman"/>
          <w:kern w:val="2"/>
          <w:sz w:val="32"/>
          <w:szCs w:val="24"/>
          <w:lang w:val="en-US" w:eastAsia="zh-CN" w:bidi="ar-SA"/>
        </w:rPr>
      </w:pPr>
      <w:r>
        <w:rPr>
          <w:rFonts w:ascii="仿宋" w:hAnsi="仿宋" w:eastAsia="仿宋" w:cs="Times New Roman"/>
          <w:kern w:val="2"/>
          <w:sz w:val="32"/>
          <w:szCs w:val="24"/>
          <w:lang w:val="en-US" w:eastAsia="zh-CN" w:bidi="ar-SA"/>
        </w:rPr>
        <w:t>绩效目标分析主要评价项目所设定的绩效目标是否依据充分，是否符合客观实际；依据绩效目标设定的绩效指标是否清晰、细化、可衡量。</w:t>
      </w:r>
    </w:p>
    <w:p w14:paraId="3B98922B">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ascii="仿宋" w:hAnsi="仿宋" w:eastAsia="仿宋" w:cs="Times New Roman"/>
          <w:kern w:val="2"/>
          <w:sz w:val="32"/>
          <w:szCs w:val="24"/>
          <w:lang w:val="en-US" w:eastAsia="zh-CN" w:bidi="ar-SA"/>
        </w:rPr>
      </w:pPr>
      <w:r>
        <w:rPr>
          <w:rFonts w:ascii="仿宋" w:hAnsi="仿宋" w:eastAsia="仿宋" w:cs="Times New Roman"/>
          <w:kern w:val="2"/>
          <w:sz w:val="32"/>
          <w:szCs w:val="24"/>
          <w:lang w:val="en-US" w:eastAsia="zh-CN" w:bidi="ar-SA"/>
        </w:rPr>
        <w:t>项目设定了明确的绩效目标，涵盖项目决策、过程、产出、效益各方面；项目绩效目标与实际工作内容具有高度相关性，包含参保扩面、待遇发放、基金管理、服务提升等工作；项目预期产出效益和效果符合正常的业绩水平，参考历年数据和政策要求合理设定；同时，将项目绩效目标细化分解为具体的绩效指标，如参保率、待遇发放率、资金到位率等，通过清晰、可衡量的指标值予以体现，且与项目目标任务数或计划数相对应。</w:t>
      </w:r>
    </w:p>
    <w:p w14:paraId="0E862CD6">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ascii="仿宋" w:hAnsi="仿宋" w:eastAsia="仿宋" w:cs="Times New Roman"/>
          <w:kern w:val="2"/>
          <w:sz w:val="32"/>
          <w:szCs w:val="24"/>
          <w:lang w:val="en-US" w:eastAsia="zh-CN" w:bidi="ar-SA"/>
        </w:rPr>
      </w:pPr>
      <w:r>
        <w:rPr>
          <w:rFonts w:ascii="仿宋" w:hAnsi="仿宋" w:eastAsia="仿宋" w:cs="Times New Roman"/>
          <w:kern w:val="2"/>
          <w:sz w:val="32"/>
          <w:szCs w:val="24"/>
          <w:lang w:val="en-US" w:eastAsia="zh-CN" w:bidi="ar-SA"/>
        </w:rPr>
        <w:t>该指标分值6分，得6分，得分率100.00%</w:t>
      </w:r>
      <w:r>
        <w:rPr>
          <w:rFonts w:hint="default" w:ascii="仿宋" w:hAnsi="仿宋" w:eastAsia="仿宋" w:cs="Times New Roman"/>
          <w:kern w:val="2"/>
          <w:sz w:val="32"/>
          <w:szCs w:val="24"/>
          <w:lang w:val="en-US" w:eastAsia="zh-CN" w:bidi="ar-SA"/>
        </w:rPr>
        <w:t>。</w:t>
      </w:r>
    </w:p>
    <w:p w14:paraId="3CA2DC41">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color w:val="auto"/>
          <w:highlight w:val="none"/>
          <w:lang w:val="en-US" w:eastAsia="zh-CN"/>
        </w:rPr>
      </w:pPr>
      <w:r>
        <w:rPr>
          <w:rFonts w:hint="default" w:cs="仿宋"/>
          <w:b/>
          <w:bCs/>
          <w:color w:val="auto"/>
          <w:highlight w:val="none"/>
          <w:lang w:val="en-US" w:eastAsia="zh-CN"/>
        </w:rPr>
        <w:t>(3)资金预算指标分析</w:t>
      </w:r>
    </w:p>
    <w:p w14:paraId="737CCCC7">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cs="仿宋"/>
          <w:color w:val="auto"/>
          <w:highlight w:val="none"/>
          <w:lang w:val="en-US" w:eastAsia="zh-CN"/>
        </w:rPr>
      </w:pPr>
      <w:r>
        <w:rPr>
          <w:rFonts w:hint="default" w:cs="仿宋"/>
          <w:color w:val="auto"/>
          <w:highlight w:val="none"/>
          <w:lang w:val="en-US" w:eastAsia="zh-CN"/>
        </w:rPr>
        <w:t>资金预算指标分析主要评价</w:t>
      </w:r>
      <w:r>
        <w:rPr>
          <w:rFonts w:hint="eastAsia" w:cs="仿宋"/>
          <w:color w:val="auto"/>
          <w:highlight w:val="none"/>
          <w:lang w:val="en-US" w:eastAsia="zh-CN"/>
        </w:rPr>
        <w:t>阳新县城乡居民社会养老保险服务中心</w:t>
      </w:r>
      <w:r>
        <w:rPr>
          <w:rFonts w:hint="default" w:cs="仿宋"/>
          <w:color w:val="auto"/>
          <w:highlight w:val="none"/>
          <w:lang w:val="en-US" w:eastAsia="zh-CN"/>
        </w:rPr>
        <w:t>预算编制是否符合《预算法》 的相关要求，预算资金是否部门项目预算编制是否经过科学论证、 有明确标准，资金额度与年度目标是否相适应，用以反映和考核项目预算编制的科学性、合理性情况，</w:t>
      </w:r>
      <w:r>
        <w:rPr>
          <w:rFonts w:hint="eastAsia" w:cs="仿宋"/>
          <w:color w:val="auto"/>
          <w:highlight w:val="none"/>
          <w:lang w:val="en-US" w:eastAsia="zh-CN"/>
        </w:rPr>
        <w:t>阳新县城乡居民社会养老保险服务中心</w:t>
      </w:r>
      <w:r>
        <w:rPr>
          <w:rFonts w:hint="default" w:cs="仿宋"/>
          <w:color w:val="auto"/>
          <w:highlight w:val="none"/>
          <w:lang w:val="en-US" w:eastAsia="zh-CN"/>
        </w:rPr>
        <w:t>预算编制合理并按照政策文件规定标准进行发放城乡居民养老保险</w:t>
      </w:r>
      <w:r>
        <w:rPr>
          <w:rFonts w:hint="eastAsia" w:cs="仿宋"/>
          <w:color w:val="auto"/>
          <w:highlight w:val="none"/>
          <w:lang w:val="en-US" w:eastAsia="zh-CN"/>
        </w:rPr>
        <w:t>。</w:t>
      </w:r>
    </w:p>
    <w:p w14:paraId="349CCEFE">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cs="仿宋"/>
          <w:color w:val="auto"/>
          <w:highlight w:val="none"/>
          <w:lang w:val="en-US" w:eastAsia="zh-CN"/>
        </w:rPr>
      </w:pPr>
      <w:r>
        <w:rPr>
          <w:rFonts w:hint="default" w:cs="仿宋"/>
          <w:color w:val="auto"/>
          <w:highlight w:val="none"/>
          <w:lang w:val="en-US" w:eastAsia="zh-CN"/>
        </w:rPr>
        <w:t> 该指标分值为4 分，得4 分，得分率 100.00%。</w:t>
      </w:r>
    </w:p>
    <w:p w14:paraId="6032D2D5">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color w:val="auto"/>
          <w:highlight w:val="none"/>
          <w:lang w:val="en-US" w:eastAsia="zh-CN"/>
        </w:rPr>
      </w:pPr>
      <w:r>
        <w:rPr>
          <w:rFonts w:hint="default" w:cs="仿宋"/>
          <w:b/>
          <w:bCs/>
          <w:color w:val="auto"/>
          <w:highlight w:val="none"/>
          <w:lang w:val="en-US" w:eastAsia="zh-CN"/>
        </w:rPr>
        <w:t>2.项目过程指标分析(共</w:t>
      </w:r>
      <w:r>
        <w:rPr>
          <w:rFonts w:hint="eastAsia" w:cs="仿宋"/>
          <w:b/>
          <w:bCs/>
          <w:color w:val="auto"/>
          <w:highlight w:val="none"/>
          <w:lang w:val="en-US" w:eastAsia="zh-CN"/>
        </w:rPr>
        <w:t>15</w:t>
      </w:r>
      <w:r>
        <w:rPr>
          <w:rFonts w:hint="default" w:cs="仿宋"/>
          <w:b/>
          <w:bCs/>
          <w:color w:val="auto"/>
          <w:highlight w:val="none"/>
          <w:lang w:val="en-US" w:eastAsia="zh-CN"/>
        </w:rPr>
        <w:t>分)</w:t>
      </w:r>
    </w:p>
    <w:p w14:paraId="48FE29E3">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仿宋"/>
          <w:b/>
          <w:bCs/>
          <w:color w:val="auto"/>
          <w:highlight w:val="none"/>
          <w:lang w:val="en-US" w:eastAsia="zh-CN"/>
        </w:rPr>
      </w:pPr>
      <w:r>
        <w:rPr>
          <w:rFonts w:hint="default" w:cs="仿宋"/>
          <w:b/>
          <w:bCs/>
          <w:color w:val="auto"/>
          <w:highlight w:val="none"/>
          <w:lang w:val="en-US" w:eastAsia="zh-CN"/>
        </w:rPr>
        <w:t>(1)资金管理指标分析</w:t>
      </w:r>
    </w:p>
    <w:p w14:paraId="4041E843">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绩效目标分析主要评价项目所设定的绩效目标是否依据充分，是否符合客观实际；依据绩效目标设定的绩效指标是否清晰、细化、可衡量。</w:t>
      </w:r>
    </w:p>
    <w:p w14:paraId="3F2B0418">
      <w:pPr>
        <w:pStyle w:val="14"/>
        <w:pageBreakBefore w:val="0"/>
        <w:numPr>
          <w:ilvl w:val="0"/>
          <w:numId w:val="0"/>
        </w:numPr>
        <w:kinsoku/>
        <w:overflowPunct/>
        <w:topLinePunct w:val="0"/>
        <w:autoSpaceDE/>
        <w:autoSpaceDN/>
        <w:bidi w:val="0"/>
        <w:adjustRightInd/>
        <w:snapToGrid/>
        <w:spacing w:before="157" w:beforeLines="50" w:after="157" w:afterLines="50" w:line="560" w:lineRule="exact"/>
        <w:ind w:leftChars="0"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项目设定了明确的绩效目标，涵盖项目决策、过程、产出、效益各方面；项目绩效目标与实际工作内容具有高度相关性，包含参保扩面、待遇发放、基金管理、服务提升等工作；项目预期产出效益和效果符合正常的业绩水平，参考历年数据和政策要求合理设定；绩效目标与预算确定的项目投资额或资金量相匹配。</w:t>
      </w:r>
    </w:p>
    <w:p w14:paraId="1212EE58">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同时，将项目绩效目标细化分解为具体的绩效指标，如参保率、待遇发放率、资金到位率等，通过清晰、可衡量的指标值予以体现，且与项目目标任务数或计划数相对应。</w:t>
      </w:r>
    </w:p>
    <w:p w14:paraId="6CF95C5E">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该指标分值6分，得6分，得分率100.00%</w:t>
      </w:r>
      <w:r>
        <w:rPr>
          <w:rFonts w:hint="default" w:ascii="仿宋" w:hAnsi="仿宋" w:eastAsia="仿宋" w:cs="仿宋"/>
          <w:color w:val="auto"/>
          <w:kern w:val="2"/>
          <w:sz w:val="32"/>
          <w:szCs w:val="24"/>
          <w:highlight w:val="none"/>
          <w:lang w:val="en-US" w:eastAsia="zh-CN" w:bidi="ar-SA"/>
        </w:rPr>
        <w:t>。</w:t>
      </w:r>
    </w:p>
    <w:p w14:paraId="46E6EC93">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b/>
          <w:bCs/>
          <w:lang w:val="en-US" w:eastAsia="zh-CN"/>
        </w:rPr>
      </w:pPr>
      <w:r>
        <w:rPr>
          <w:rFonts w:hint="default"/>
          <w:b/>
          <w:bCs/>
          <w:lang w:val="en-US" w:eastAsia="zh-CN"/>
        </w:rPr>
        <w:t>(2)组织实施指标分析</w:t>
      </w:r>
    </w:p>
    <w:p w14:paraId="43D4DB5B">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组织实施指标通过实施方案、认证机制、资金管理制度、信息系统建设应用四个三级指标来评价项目实施过程是否规范，是否符合法律、制度的规定。</w:t>
      </w:r>
    </w:p>
    <w:p w14:paraId="6D217173">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实施方案：阳新县人力资源社会保障局发布了《阳新县城乡居民基本养老保险经办管理服务提升年行动实施方案》，方案经过会议研究批准，且与绩效目标匹配，涵盖参保扩面、待遇发放、基金管理等内容，得3分；</w:t>
      </w:r>
    </w:p>
    <w:p w14:paraId="298EC7A4">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认证机制：2024年累计完成102709名享受待遇人员资格生存认证工作，待遇资格认证率=(102709/102709)×100%=100%，达到100%的目标，得2分；</w:t>
      </w:r>
    </w:p>
    <w:p w14:paraId="5EB91B4A">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资金管理制度：建立健全资金监督制度，定期进行检查，依据《城乡居民基本养老保险经办规程》和自行制定的财务管理制度进行资金管理，得2分；</w:t>
      </w:r>
    </w:p>
    <w:p w14:paraId="33F5405C">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信息系统建设应用：使用“湖北省城乡居民基本养老保险信息管理系统”记录人员保险缴纳及发放情况，信息系统维护专业、及时；能查询养老保险人员情况、基金缴交和养老金领取等相关情况；抽查查询结果与实际相符，得2分。</w:t>
      </w:r>
    </w:p>
    <w:p w14:paraId="196600C2">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该指标分值9分，得9分，得分率100.00%。</w:t>
      </w:r>
    </w:p>
    <w:p w14:paraId="4EAB8884">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Times New Roman"/>
          <w:b/>
          <w:bCs/>
          <w:lang w:val="en-US" w:eastAsia="zh-CN"/>
        </w:rPr>
      </w:pPr>
      <w:r>
        <w:rPr>
          <w:rFonts w:hint="default" w:cs="Times New Roman"/>
          <w:b/>
          <w:bCs/>
          <w:lang w:val="en-US" w:eastAsia="zh-CN"/>
        </w:rPr>
        <w:t>3.项目产出指标分析(共</w:t>
      </w:r>
      <w:r>
        <w:rPr>
          <w:rFonts w:hint="eastAsia" w:cs="Times New Roman"/>
          <w:b/>
          <w:bCs/>
          <w:lang w:val="en-US" w:eastAsia="zh-CN"/>
        </w:rPr>
        <w:t>50分</w:t>
      </w:r>
      <w:r>
        <w:rPr>
          <w:rFonts w:hint="default" w:cs="Times New Roman"/>
          <w:b/>
          <w:bCs/>
          <w:lang w:val="en-US" w:eastAsia="zh-CN"/>
        </w:rPr>
        <w:t>)</w:t>
      </w:r>
    </w:p>
    <w:p w14:paraId="540294DE">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Times New Roman"/>
          <w:b/>
          <w:bCs/>
          <w:lang w:val="en-US" w:eastAsia="zh-CN"/>
        </w:rPr>
      </w:pPr>
      <w:r>
        <w:rPr>
          <w:rFonts w:hint="default" w:cs="Times New Roman"/>
          <w:b/>
          <w:bCs/>
          <w:lang w:val="en-US" w:eastAsia="zh-CN"/>
        </w:rPr>
        <w:t>(1)产出数量指标分析(共</w:t>
      </w:r>
      <w:r>
        <w:rPr>
          <w:rFonts w:hint="eastAsia" w:cs="Times New Roman"/>
          <w:b/>
          <w:bCs/>
          <w:lang w:val="en-US" w:eastAsia="zh-CN"/>
        </w:rPr>
        <w:t>12分</w:t>
      </w:r>
      <w:r>
        <w:rPr>
          <w:rFonts w:hint="default" w:cs="Times New Roman"/>
          <w:b/>
          <w:bCs/>
          <w:lang w:val="en-US" w:eastAsia="zh-CN"/>
        </w:rPr>
        <w:t>)</w:t>
      </w:r>
    </w:p>
    <w:p w14:paraId="58185C22">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产出数量指标主要通过新增领取人员完成率、财政缴费补贴人数完成率、参保人员比率、已核定待遇人员暂停发放率、丧葬金补助支出完成率五个三级指标评价项目的实现程度。</w:t>
      </w:r>
    </w:p>
    <w:p w14:paraId="4368E268">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新增领取人员完成率：实际新增领保人数8937人，预算新增领保人数7253人，完成率=（8937/7253）×100%≈123.22%，按达成率评分，得2分；</w:t>
      </w:r>
    </w:p>
    <w:p w14:paraId="6580B695">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财政缴费补贴人数完成率：实际财政缴费补贴人数164313人，预算财政缴费补贴人数189229人，完成率=164313/189229）×100%≈86.83%，按达成率评分，得1.74 分；</w:t>
      </w:r>
    </w:p>
    <w:p w14:paraId="6FF3B222">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参保人员比率：实际参保人数504639人，应参保人数 402368人，参保率=（504639/402368）×100%≈125.42%，依达成率评分，得2分；</w:t>
      </w:r>
    </w:p>
    <w:p w14:paraId="3F1CFB88">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已核定待遇人员暂停发放率：暂停发放待遇人数4941人，待遇实发人数102709人，完成率=（4941/5369）×100%≈92.03%，依达成率评分，得2分；</w:t>
      </w:r>
    </w:p>
    <w:p w14:paraId="4948BC10">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丧葬金补助支出完成率：丧葬金补助实际支出549.8万元，目标值582万元，完成率=（549.8/582）×100%≈94.47%，大于等于95%的得满分，每少5个百分点扣1分，得0.88分；</w:t>
      </w:r>
    </w:p>
    <w:p w14:paraId="764C0367">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该指标分值12分，得11.63分，得分率96.92%。</w:t>
      </w:r>
    </w:p>
    <w:p w14:paraId="7E3BDEE2">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b/>
          <w:bCs/>
          <w:lang w:val="en-US" w:eastAsia="zh-CN"/>
        </w:rPr>
      </w:pPr>
      <w:r>
        <w:rPr>
          <w:rFonts w:hint="default"/>
          <w:b/>
          <w:bCs/>
          <w:lang w:val="en-US" w:eastAsia="zh-CN"/>
        </w:rPr>
        <w:t>(2)产出质量指标分析</w:t>
      </w:r>
      <w:r>
        <w:rPr>
          <w:rFonts w:hint="default" w:cs="Times New Roman"/>
          <w:b/>
          <w:bCs/>
          <w:lang w:val="en-US" w:eastAsia="zh-CN"/>
        </w:rPr>
        <w:t>(共</w:t>
      </w:r>
      <w:r>
        <w:rPr>
          <w:rFonts w:hint="eastAsia" w:cs="Times New Roman"/>
          <w:b/>
          <w:bCs/>
          <w:lang w:val="en-US" w:eastAsia="zh-CN"/>
        </w:rPr>
        <w:t>18分</w:t>
      </w:r>
      <w:r>
        <w:rPr>
          <w:rFonts w:hint="default" w:cs="Times New Roman"/>
          <w:b/>
          <w:bCs/>
          <w:lang w:val="en-US" w:eastAsia="zh-CN"/>
        </w:rPr>
        <w:t>)</w:t>
      </w:r>
    </w:p>
    <w:p w14:paraId="6ED2A648">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产出质量主要通过数据对账准确率、社会保险费收入占基金收入比重、社会保险待遇支出占基金支出比重、其他支出占基金支出比重、利息收益率、委托投资收益率、足额发放七个三级指标来评价项目的质量。</w:t>
      </w:r>
    </w:p>
    <w:p w14:paraId="2D38DC8E">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数据对账准确率：社保与税务/财政/银行进行对账，但从2025年才开始系统对账，2024年对账存在不及时情况，得2分（满分2分）；</w:t>
      </w:r>
    </w:p>
    <w:p w14:paraId="5C680864">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社会保险费收入占基金收入比重：社会保险费收入14498.31万元，基金收入40422万元，比重=（14498.31/40422）×100%≈35.87%，目标值37.91%，每少5%扣1分，得2分（满分2分）；</w:t>
      </w:r>
    </w:p>
    <w:p w14:paraId="6E890EE9">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社会保险待遇支出占基金支出比重：社会保险待遇支出27853.48万元，基金支出27853.48万元，比重99.78%（27853.48/27853.48）×100%，目标值≤99.85%，得3分；</w:t>
      </w:r>
    </w:p>
    <w:p w14:paraId="168D2DEA">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其他支出占基金支出比重：其他支出37.89万元，基金支出27853.48万元，比重=（37.89/27853.48）×100%≈0.14%，目标值≤0.09%，每超5%扣1分，得0分（满分3分）；</w:t>
      </w:r>
    </w:p>
    <w:p w14:paraId="3517CDF0">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利息收益率：利息收入1567.26万元，目标值1300.63万元，完成率=（1567.26/1300.63）×100%≈120.50%，得3分；</w:t>
      </w:r>
    </w:p>
    <w:p w14:paraId="5A693F65">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委托投资收益率：委托投资收益4578.51万元，目标值1052.54万元，完成率=（4578.51/1052.54）×100%≈435.00%，得3分；</w:t>
      </w:r>
    </w:p>
    <w:p w14:paraId="309F50E8">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足额发放：养老金及丧葬补助金足额通过金融机构发放，未发现一例未足额发放情况，得2分；</w:t>
      </w:r>
    </w:p>
    <w:p w14:paraId="12928234">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该指标分值18分，得15分，得分率83.33%。</w:t>
      </w:r>
    </w:p>
    <w:p w14:paraId="3922F591">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cs="Times New Roman"/>
          <w:b/>
          <w:bCs/>
          <w:lang w:val="en-US" w:eastAsia="zh-CN"/>
        </w:rPr>
      </w:pPr>
      <w:r>
        <w:rPr>
          <w:rFonts w:hint="default" w:cs="Times New Roman"/>
          <w:b/>
          <w:bCs/>
          <w:lang w:val="en-US" w:eastAsia="zh-CN"/>
        </w:rPr>
        <w:t>(3)成本指标分析</w:t>
      </w:r>
    </w:p>
    <w:p w14:paraId="10A20D5F">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成本指标分析主要通过月基础养老金水平、个人缴费标准、对个人缴费补贴标准三个三级指标来评价。</w:t>
      </w:r>
    </w:p>
    <w:p w14:paraId="1E31C233">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月基础养老金水平：实际月基础养老金水平219.31元/人/月，目标值≥196.51元/人/月，按照政策规定调整退休养老金水平，得4分；</w:t>
      </w:r>
    </w:p>
    <w:p w14:paraId="1FE7585B">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个人缴费标准：实际个人缴费标准750.12元/人/年，目标值≥540元/人/年，按照政策规定执行，得3分；</w:t>
      </w:r>
    </w:p>
    <w:p w14:paraId="3D403155">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对个人缴费补贴标准：实际对个人缴费补贴标准66.05元，目标值≥72元，因2024年7月1日调整缴费补贴标准，导致全年平均补贴标准未达目标，得1分（满分3分）；</w:t>
      </w:r>
    </w:p>
    <w:p w14:paraId="061E2082">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该指标分值 10 分，得10 分，得分率100.00%。</w:t>
      </w:r>
    </w:p>
    <w:p w14:paraId="47DF7115">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b/>
          <w:bCs/>
          <w:lang w:val="en-US" w:eastAsia="zh-CN"/>
        </w:rPr>
      </w:pPr>
      <w:r>
        <w:rPr>
          <w:rFonts w:hint="default"/>
          <w:b/>
          <w:bCs/>
          <w:lang w:val="en-US" w:eastAsia="zh-CN"/>
        </w:rPr>
        <w:t>(4)产</w:t>
      </w:r>
      <w:r>
        <w:rPr>
          <w:rFonts w:hint="eastAsia"/>
          <w:b/>
          <w:bCs/>
          <w:lang w:val="en-US" w:eastAsia="zh-CN"/>
        </w:rPr>
        <w:t>出</w:t>
      </w:r>
      <w:r>
        <w:rPr>
          <w:rFonts w:hint="default"/>
          <w:b/>
          <w:bCs/>
          <w:lang w:val="en-US" w:eastAsia="zh-CN"/>
        </w:rPr>
        <w:t>时效指标分析</w:t>
      </w:r>
    </w:p>
    <w:p w14:paraId="688EB4F4">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时效指标分析主要通过按时发放、财政补贴到位率两个三级指标来评价。</w:t>
      </w:r>
    </w:p>
    <w:p w14:paraId="4D92A357">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按时发放：养老金当月按时通过金融机构发放，未发现一例未及时足额发放情况，得5分；</w:t>
      </w:r>
    </w:p>
    <w:p w14:paraId="753C8110">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财政补贴到位率：财政补贴资金当月按时到位，到位率 100%，得5分；</w:t>
      </w:r>
    </w:p>
    <w:p w14:paraId="4B461BAE">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该指标分值10分，得10分，得分率100.00%</w:t>
      </w:r>
    </w:p>
    <w:p w14:paraId="32BA2AD1">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b/>
          <w:bCs/>
          <w:lang w:val="en-US" w:eastAsia="zh-CN"/>
        </w:rPr>
      </w:pPr>
      <w:r>
        <w:rPr>
          <w:rFonts w:hint="default"/>
          <w:b/>
          <w:bCs/>
          <w:lang w:val="en-US" w:eastAsia="zh-CN"/>
        </w:rPr>
        <w:t>4.项目效益指标分析(共</w:t>
      </w:r>
      <w:r>
        <w:rPr>
          <w:rFonts w:hint="eastAsia"/>
          <w:b/>
          <w:bCs/>
          <w:lang w:val="en-US" w:eastAsia="zh-CN"/>
        </w:rPr>
        <w:t>20</w:t>
      </w:r>
      <w:r>
        <w:rPr>
          <w:rFonts w:hint="default"/>
          <w:b/>
          <w:bCs/>
          <w:lang w:val="en-US" w:eastAsia="zh-CN"/>
        </w:rPr>
        <w:t>分)</w:t>
      </w:r>
    </w:p>
    <w:p w14:paraId="47E5D6AD">
      <w:pPr>
        <w:pageBreakBefore w:val="0"/>
        <w:kinsoku/>
        <w:overflowPunct/>
        <w:topLinePunct w:val="0"/>
        <w:autoSpaceDE/>
        <w:autoSpaceDN/>
        <w:bidi w:val="0"/>
        <w:adjustRightInd/>
        <w:snapToGrid/>
        <w:spacing w:before="157" w:beforeLines="50" w:after="157" w:afterLines="50" w:line="560" w:lineRule="exact"/>
        <w:ind w:firstLine="643" w:firstLineChars="200"/>
        <w:rPr>
          <w:rFonts w:hint="default"/>
          <w:b/>
          <w:bCs/>
          <w:lang w:val="en-US" w:eastAsia="zh-CN"/>
        </w:rPr>
      </w:pPr>
      <w:r>
        <w:rPr>
          <w:rFonts w:hint="default"/>
          <w:b/>
          <w:bCs/>
          <w:lang w:val="en-US" w:eastAsia="zh-CN"/>
        </w:rPr>
        <w:t>(1)社会效益指标分析</w:t>
      </w:r>
    </w:p>
    <w:p w14:paraId="26B356F6">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社会效益指标主要评价项目实施对经济发展所带来的直接或间接影响情况，通过期末养老金结余、政策知晓率、为困难群体人员代缴保费数三个三级指标来评价效益实现程度。</w:t>
      </w:r>
    </w:p>
    <w:p w14:paraId="4373F800">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期末养老金结余：期末养老金结余125934.94万元，目标值123678.84万元，基础养老金标准较上一年有所提高（2023年标准130元/人/月，2024年1月1日提高至145元，7月1日提高至165元），得3分；</w:t>
      </w:r>
    </w:p>
    <w:p w14:paraId="069DDB66">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政策知晓率：发放10万份宣传单，政策知晓率 100%，目标值≥85%，得3分；</w:t>
      </w:r>
    </w:p>
    <w:p w14:paraId="7C40727E">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为困难群体人员代缴保费数：实际为困难群体人员代缴保费23732人，目标值25158人，完成率=（23732/25158）×100%≈94.33%，每少1%扣2分，得1分（满分3分）；</w:t>
      </w:r>
    </w:p>
    <w:p w14:paraId="7D7847A6">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该指标分值9分，得8分，得分率88.9%。</w:t>
      </w:r>
    </w:p>
    <w:p w14:paraId="22C7DE58">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lang w:val="en-US" w:eastAsia="zh-CN"/>
        </w:rPr>
      </w:pPr>
      <w:r>
        <w:rPr>
          <w:rFonts w:hint="default"/>
          <w:lang w:val="en-US" w:eastAsia="zh-CN"/>
        </w:rPr>
        <w:t>(2)可持续性指标分析</w:t>
      </w:r>
    </w:p>
    <w:p w14:paraId="60CFC6A2">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可持续性指标主要评价项目是否有财政资金补助长效机制、基金静态可支付月数。</w:t>
      </w:r>
    </w:p>
    <w:p w14:paraId="43C28A65">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财政资金补助长效机制：当年养老保险资金结余未出现亏损，丧葬金补助项目次年财政列入预算，得3分；</w:t>
      </w:r>
    </w:p>
    <w:p w14:paraId="1DA7312D">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基金静态可支付月数：实际基金静态可支付月数 55.47 个月，目标值≥59.98 个月，因省、地方基础养老金2024年1月份提标5元/人/月及个人账户养老金被征地支出预算偏低，导致完成值不达标，得2分（满分3分）；</w:t>
      </w:r>
    </w:p>
    <w:p w14:paraId="3328824C">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该指标分值6分，得5分，得分率83.33%。</w:t>
      </w:r>
    </w:p>
    <w:p w14:paraId="5B6AE337">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lang w:val="en-US" w:eastAsia="zh-CN"/>
        </w:rPr>
      </w:pPr>
      <w:r>
        <w:rPr>
          <w:rFonts w:hint="default"/>
          <w:lang w:val="en-US" w:eastAsia="zh-CN"/>
        </w:rPr>
        <w:t>(3)满意度指标分析</w:t>
      </w:r>
    </w:p>
    <w:p w14:paraId="6007192E">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满意度主要评价社会公众或服务对象对项目实施效果的满意程度，通过投诉办结率、参保人员对社保机构服务满意度两个三级指标来评价。</w:t>
      </w:r>
    </w:p>
    <w:p w14:paraId="0CC96846">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投诉办结率：根据阳新县12345政务服务热线11月统计（全年代表性数据），社保领域相关诉求呈现以下特征，县人力资源和社会保障局当月接收工单117件，在县直部门中排名第四，其中涉及城乡居民养老保险的投诉约占35%（估算41件），待遇发放类（占比56%）：主要反映基础养老金到账延迟、缴费档次与补贴匹配错误；经办服务类（占比 32%）：集中于乡镇网点认证设备故障、线上操作指引缺失；冒领举报类（占比 12%）：多为群众反映邻居或村组存在死亡冒领线索，均已纳入核查；响应效率：所有社保投诉均在 3 个工作日内完成首次响应，15日内办结，2024年11月政务服务满意率达100%，未出现差评记录；举报奖励机制：通过公示举报电话（0714-7354430）、设立信箱等渠道，2024 年接收冒领举报14起，查实6起，均已追回资金并对举报人给予奖励；问题整改转化：针对投诉集中的 “认证设备老化” 问题，2024 年已更新乡镇信息化设备120台，推广生物识别认证，异地认证准确率从89%提升至95%以上，直接降低同类投诉量40%。得3分；</w:t>
      </w:r>
    </w:p>
    <w:p w14:paraId="787CAB8A">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参保人员对社保机构服务满意度：根据调查问卷，参保人员对社保机构服务满意度≥95%，目标值≥90%，得2分；</w:t>
      </w:r>
    </w:p>
    <w:p w14:paraId="319D65BC">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该指标分值5分，得5分，得分率100.00%</w:t>
      </w:r>
      <w:r>
        <w:rPr>
          <w:rFonts w:hint="default" w:ascii="仿宋" w:hAnsi="仿宋" w:eastAsia="仿宋" w:cs="仿宋"/>
          <w:color w:val="auto"/>
          <w:kern w:val="2"/>
          <w:sz w:val="32"/>
          <w:szCs w:val="24"/>
          <w:highlight w:val="none"/>
          <w:lang w:val="en-US" w:eastAsia="zh-CN" w:bidi="ar-SA"/>
        </w:rPr>
        <w:t>。</w:t>
      </w:r>
    </w:p>
    <w:p w14:paraId="3A0BE235">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黑体" w:hAnsi="黑体" w:eastAsia="黑体" w:cs="黑体"/>
          <w:lang w:val="en-US" w:eastAsia="zh-CN"/>
        </w:rPr>
      </w:pPr>
      <w:r>
        <w:rPr>
          <w:rFonts w:hint="eastAsia" w:ascii="黑体" w:hAnsi="黑体" w:eastAsia="黑体" w:cs="黑体"/>
          <w:lang w:val="en-US" w:eastAsia="zh-CN"/>
        </w:rPr>
        <w:t>四、存在的问题及建议</w:t>
      </w:r>
    </w:p>
    <w:p w14:paraId="66E7C39F">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楷体" w:hAnsi="楷体" w:eastAsia="楷体" w:cs="楷体"/>
          <w:lang w:val="en-US" w:eastAsia="zh-CN"/>
        </w:rPr>
      </w:pPr>
      <w:r>
        <w:rPr>
          <w:rFonts w:hint="eastAsia" w:ascii="楷体" w:hAnsi="楷体" w:eastAsia="楷体" w:cs="楷体"/>
          <w:lang w:val="en-US" w:eastAsia="zh-CN"/>
        </w:rPr>
        <w:t>（一）存在问题</w:t>
      </w:r>
    </w:p>
    <w:p w14:paraId="6F79D944">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1、财政缴费补贴人数未达目标：2024年实际财政缴费补贴人数164313人，低于预算目标189229人，完成率仅 86.83%，可能存在部分参保人员未按时缴费或未达到补贴条件的情况，影响缴费补贴政策的覆盖效果。</w:t>
      </w:r>
    </w:p>
    <w:p w14:paraId="20F59E13">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2、其他支出占基金支出比重超标准：其他支出占基金支出比重0.14%，超出0.09% 的目标值，可能存在部分非必要支出或支出管控不够严格的问题，影响基金使用的规范性和效益。</w:t>
      </w:r>
    </w:p>
    <w:p w14:paraId="6E54EDB3">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3、对个人缴费补贴标准未达目标：受2024年7月1日调整缴费补贴标准的影响，全年平均对个人缴费补贴标准 66.05 元，未达到72元的目标值，降低了部分参保人员的缴费积极性，不利于参保扩面和缴费档次提升。</w:t>
      </w:r>
    </w:p>
    <w:p w14:paraId="623CB857">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4、基金静态可支付月数不足：基金静态可支付月数55.47个月，低于59.98个月的目标值，主要因基础养老金提标和被征地支出预算偏低导致，一定程度上影响了基金的可持续支付能力，需关注后续基金收支平衡情况。</w:t>
      </w:r>
    </w:p>
    <w:p w14:paraId="69EA3B58">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5、为困难群体人员代缴保费数未达目标：实际为困难群体人员代缴保费23732人，低于25158人的目标值，可能存在部分困难群体未被精准识别或未及时办理代缴手续的情况，未能充分发挥政策对困难群体的保障作用。</w:t>
      </w:r>
    </w:p>
    <w:p w14:paraId="46B7F043">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6、数据对账启动较晚：2024年社保与税务、财政、银行的数据对账未系统开展，从2025年才开始，可能导致2024年部分数据存在差异未能及时发现和纠正，影响数据的准确性和基金管理的规范性。</w:t>
      </w:r>
    </w:p>
    <w:p w14:paraId="02F4BD57">
      <w:pPr>
        <w:pageBreakBefore w:val="0"/>
        <w:kinsoku/>
        <w:overflowPunct/>
        <w:topLinePunct w:val="0"/>
        <w:autoSpaceDE/>
        <w:autoSpaceDN/>
        <w:bidi w:val="0"/>
        <w:adjustRightInd/>
        <w:snapToGrid/>
        <w:spacing w:before="157" w:beforeLines="50" w:after="157" w:afterLines="50" w:line="560" w:lineRule="exact"/>
        <w:ind w:firstLine="640" w:firstLineChars="200"/>
        <w:rPr>
          <w:rFonts w:hint="default" w:ascii="黑体" w:hAnsi="黑体" w:eastAsia="黑体" w:cs="黑体"/>
          <w:lang w:val="en-US" w:eastAsia="zh-CN"/>
        </w:rPr>
      </w:pPr>
      <w:r>
        <w:rPr>
          <w:rFonts w:hint="eastAsia" w:ascii="黑体" w:hAnsi="黑体" w:eastAsia="黑体" w:cs="黑体"/>
          <w:lang w:val="en-US" w:eastAsia="zh-CN"/>
        </w:rPr>
        <w:t>五、绩效反馈</w:t>
      </w:r>
    </w:p>
    <w:p w14:paraId="57D32699">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1、加强参保缴费宣传与引导：通过乡镇、村（社区）基层网点，结合线上宣传渠道，加大城乡居民养老保险缴费政策宣传力度，重点讲解缴费补贴标准、长缴多得、多缴多得等激励政策，提高参保人员缴费积极性，确保财政缴费补贴人数达到目标，扩大政策覆盖范围。</w:t>
      </w:r>
    </w:p>
    <w:p w14:paraId="74F9E0CF">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2、严格控制其他支出：制定其他支出管控细则，明确其他支出的范围和标准，严格审批流程，杜绝非必要支出。定期对其他支出进行自查和审计，确保其他支出占基金支出比重控制在目标范围内，提高基金使用效益。</w:t>
      </w:r>
    </w:p>
    <w:p w14:paraId="36917E09">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3、优化缴费补贴调整机制：在调整缴费补贴标准时，合理安排调整时间，尽量避免在年中调整导致全年平均补贴标准未达目标的情况。可提前制定调整计划，确保补贴政策的稳定性和连续性，充分发挥补贴政策对参保缴费的激励作用。</w:t>
      </w:r>
    </w:p>
    <w:p w14:paraId="5B093F11">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4、强化基金收支预算管理：科学预测基础养老金提标、被征地支出等因素对基金收支的影响，合理编制基金预算，提高预算的准确性和前瞻性。加强基金收支动态监测，及时调整收支策略，确保基金静态可支付月数达到目标，保障基金可持续运行。</w:t>
      </w:r>
    </w:p>
    <w:p w14:paraId="2D5F92EF">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5、精准识别困难群体并落实代缴政策：加强与民政、乡村振兴、残联等部门的数据共享，精准识别低保对象、特困人员、易返贫致贫人口、重度残疾人等困难群体，建立困难群体台账，及时为符合条件的困难群体办理保费代缴手续，确保应代缴尽代缴，充分发挥政策对困难群体的保障作用。</w:t>
      </w:r>
    </w:p>
    <w:p w14:paraId="56222D7B">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5、建立常态化数据对账机制：从2025年起，严格执行每月社保与税务、财政、银行的数据对账制度，及时发现并解决数据差异问题，确保账证、账表、账款相符，提高数据的准确性和基金管理的规范性，为基金决策和管理提供可靠的数据支撑。</w:t>
      </w:r>
    </w:p>
    <w:p w14:paraId="0D9093D9">
      <w:pPr>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黑体" w:hAnsi="黑体" w:eastAsia="黑体" w:cs="黑体"/>
          <w:lang w:val="en-US" w:eastAsia="zh-CN"/>
        </w:rPr>
      </w:pPr>
      <w:r>
        <w:rPr>
          <w:rFonts w:hint="eastAsia" w:ascii="黑体" w:hAnsi="黑体" w:eastAsia="黑体" w:cs="黑体"/>
          <w:lang w:val="en-US" w:eastAsia="zh-CN"/>
        </w:rPr>
        <w:t>六、绩效反馈</w:t>
      </w:r>
    </w:p>
    <w:p w14:paraId="6E1F5FF3">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1、及时反馈评价结果：将本次绩效评价结果及时反馈给阳新县城乡居民社会养老保险服务中心及相关部门，让其充分了解项目实施过程中存在的问题和不足，明确改进方向和重点。</w:t>
      </w:r>
    </w:p>
    <w:p w14:paraId="0C16373F">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2、制定整改落实方案：要求项目单位根据绩效评价指出的问题，制定详细的整改落实方案，明确整改责任人、整改措施和整改时限，确保问题整改到位，不断提升项目管理水平和绩效。</w:t>
      </w:r>
    </w:p>
    <w:p w14:paraId="42C69521">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3、强化评价结果应用：将绩效评价结果作为下一年度预算安排、政策调整、项目管理改进的重要依据。对绩效优秀的方面继续保持和发扬，对存在问题的方面加强改进和完善，提高财政资金使用效益和项目实施效果。</w:t>
      </w:r>
    </w:p>
    <w:p w14:paraId="3900A4EF">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r>
        <w:rPr>
          <w:rFonts w:hint="eastAsia" w:ascii="仿宋" w:hAnsi="仿宋" w:eastAsia="仿宋" w:cs="仿宋"/>
          <w:color w:val="auto"/>
          <w:kern w:val="2"/>
          <w:sz w:val="32"/>
          <w:szCs w:val="24"/>
          <w:highlight w:val="none"/>
          <w:lang w:val="en-US" w:eastAsia="zh-CN" w:bidi="ar-SA"/>
        </w:rPr>
        <w:t>4、建立长效监督机制：建立城乡居民养老保险基金项目长效监督机制，定期对项目实施情况、基金收支情况、绩效目标完成情况进行监督检查，及时发现和解决问题，确保项目持续健康运行，切实保障参保居民的合法权益。</w:t>
      </w:r>
    </w:p>
    <w:p w14:paraId="1BA3CE26">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1E504D6E">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2433FC20">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446FAC39">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6FEF05C9">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5FEBFFB0">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7498C7FB">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78E5CA14">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74FFBB17">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7DDD5F08">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0829F5F1">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175752D8">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34892474">
      <w:pPr>
        <w:pStyle w:val="14"/>
        <w:pageBreakBefore w:val="0"/>
        <w:kinsoku/>
        <w:overflowPunct/>
        <w:topLinePunct w:val="0"/>
        <w:autoSpaceDE/>
        <w:autoSpaceDN/>
        <w:bidi w:val="0"/>
        <w:adjustRightInd/>
        <w:snapToGrid/>
        <w:spacing w:before="157" w:beforeLines="50" w:after="157" w:afterLines="50" w:line="560" w:lineRule="exact"/>
        <w:ind w:firstLine="640" w:firstLineChars="200"/>
        <w:rPr>
          <w:rFonts w:hint="eastAsia" w:ascii="仿宋" w:hAnsi="仿宋" w:eastAsia="仿宋" w:cs="仿宋"/>
          <w:color w:val="auto"/>
          <w:kern w:val="2"/>
          <w:sz w:val="32"/>
          <w:szCs w:val="24"/>
          <w:highlight w:val="none"/>
          <w:lang w:val="en-US" w:eastAsia="zh-CN" w:bidi="ar-SA"/>
        </w:rPr>
      </w:pPr>
    </w:p>
    <w:p w14:paraId="2C72DF95">
      <w:pPr>
        <w:pStyle w:val="14"/>
        <w:pageBreakBefore w:val="0"/>
        <w:kinsoku/>
        <w:overflowPunct/>
        <w:topLinePunct w:val="0"/>
        <w:autoSpaceDE/>
        <w:autoSpaceDN/>
        <w:bidi w:val="0"/>
        <w:adjustRightInd/>
        <w:snapToGrid/>
        <w:spacing w:before="157" w:beforeLines="50" w:after="157" w:afterLines="50" w:line="560" w:lineRule="exact"/>
        <w:rPr>
          <w:rFonts w:hint="eastAsia" w:ascii="仿宋" w:hAnsi="仿宋" w:eastAsia="仿宋" w:cs="仿宋"/>
          <w:color w:val="auto"/>
          <w:kern w:val="2"/>
          <w:sz w:val="32"/>
          <w:szCs w:val="24"/>
          <w:highlight w:val="none"/>
          <w:lang w:val="en-US" w:eastAsia="zh-CN" w:bidi="ar-SA"/>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p>
    <w:tbl>
      <w:tblPr>
        <w:tblStyle w:val="12"/>
        <w:tblW w:w="139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6"/>
        <w:gridCol w:w="656"/>
        <w:gridCol w:w="876"/>
        <w:gridCol w:w="546"/>
        <w:gridCol w:w="2585"/>
        <w:gridCol w:w="1017"/>
        <w:gridCol w:w="5733"/>
        <w:gridCol w:w="834"/>
        <w:gridCol w:w="1067"/>
      </w:tblGrid>
      <w:tr w14:paraId="43D22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CE9F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D564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D220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72B4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分值</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18F0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指标说明</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C717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目标值</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772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指标解释</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3E26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得分</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6392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6D47A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6EE469">
            <w:pPr>
              <w:keepNext w:val="0"/>
              <w:keepLines w:val="0"/>
              <w:widowControl/>
              <w:suppressLineNumbers w:val="0"/>
              <w:jc w:val="center"/>
              <w:textAlignment w:val="center"/>
              <w:rPr>
                <w:rFonts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项目决策（15分）</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5686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项目立项（5分）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1E0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立项依据充分性</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D99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B02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1D0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充分</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4FE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①项目立项是否符合《中华人民共和国社会保险法》和《国务院关于建立统一的城乡居民基本养老保险费制度的意见》（国发〔2014〕8号文）国家法律法规、国民经济发展规划和相关政策；</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②项目是否符合《湖北省人力资源和社会保障厅 湖北省财政厅 国家税务总局湖北省税务局关于调整城乡居民基本养老保险缴费有关政策的通知》、《阳新县人民政府办公室关于印发阳新县城乡居民基本养老保险实施办法的通知》等政策要求；</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③项目立项是否与本县城乡居民社会养老保险管理中心职责范围相符，属于部门履职所需；</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④项目是否属于公共财政支持范围，是否符合中央、地方事权支出责任划分原则；</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⑤项目是否与相关部门同类项目或部门内部相关项目重复。一项不符合扣0.6分。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074F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FA888">
            <w:pPr>
              <w:jc w:val="center"/>
              <w:rPr>
                <w:rFonts w:hint="eastAsia" w:ascii="仿宋" w:hAnsi="仿宋" w:eastAsia="仿宋" w:cs="仿宋"/>
                <w:i w:val="0"/>
                <w:iCs w:val="0"/>
                <w:color w:val="000000"/>
                <w:sz w:val="22"/>
                <w:szCs w:val="22"/>
                <w:u w:val="none"/>
              </w:rPr>
            </w:pPr>
          </w:p>
        </w:tc>
      </w:tr>
      <w:tr w14:paraId="42E0B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889F5">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82902B">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448A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立项程序规范性</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A65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F12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项目申请、设立过程是否符合相关要求，用以反映和考核项目立项的规范情况。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68F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规范</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8E9B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①项目是否按照规定的程序申请设立；</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②审批文件、材料是否符合相关要求。符合得分满分，一项不符合不得分。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953B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68DAD">
            <w:pPr>
              <w:jc w:val="center"/>
              <w:rPr>
                <w:rFonts w:hint="eastAsia" w:ascii="仿宋" w:hAnsi="仿宋" w:eastAsia="仿宋" w:cs="仿宋"/>
                <w:i w:val="0"/>
                <w:iCs w:val="0"/>
                <w:color w:val="000000"/>
                <w:sz w:val="22"/>
                <w:szCs w:val="22"/>
                <w:u w:val="none"/>
              </w:rPr>
            </w:pPr>
          </w:p>
        </w:tc>
      </w:tr>
      <w:tr w14:paraId="28F93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3CDD2">
            <w:pPr>
              <w:jc w:val="center"/>
              <w:rPr>
                <w:rFonts w:hint="eastAsia" w:ascii="仿宋" w:hAnsi="仿宋" w:eastAsia="仿宋" w:cs="仿宋"/>
                <w:i w:val="0"/>
                <w:iCs w:val="0"/>
                <w:color w:val="000000"/>
                <w:sz w:val="22"/>
                <w:szCs w:val="22"/>
                <w:u w:val="none"/>
              </w:rPr>
            </w:pP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E6A0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绩效目标（6分）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C23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绩效目标合理性</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9D3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4810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BE29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合理</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7267E">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①项目是否有绩效目标；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②项目绩效目标与实际工作内容是否具有相关性；</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③项目预期产出效益和效果是否符合正常的业绩水平；</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④是否与预算确定的项目投资额或资金量相匹配。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一项不符合扣0.75分。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2AD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BDC06">
            <w:pPr>
              <w:jc w:val="center"/>
              <w:rPr>
                <w:rFonts w:hint="eastAsia" w:ascii="仿宋" w:hAnsi="仿宋" w:eastAsia="仿宋" w:cs="仿宋"/>
                <w:i w:val="0"/>
                <w:iCs w:val="0"/>
                <w:color w:val="000000"/>
                <w:sz w:val="22"/>
                <w:szCs w:val="22"/>
                <w:u w:val="none"/>
              </w:rPr>
            </w:pPr>
          </w:p>
        </w:tc>
      </w:tr>
      <w:tr w14:paraId="304AE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0B3D4B">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9EBB8">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D57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绩效指标明确性</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A42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D62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330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明确</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A691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①是否将项目绩效目标细化分解为具体的绩效指标；</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②是否通过清晰、可衡量的指标值予以体现；</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③是否与项目目标任务数或计划数相对应。一项不符合扣1分。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F01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F3A39">
            <w:pPr>
              <w:jc w:val="center"/>
              <w:rPr>
                <w:rFonts w:hint="eastAsia" w:ascii="仿宋" w:hAnsi="仿宋" w:eastAsia="仿宋" w:cs="仿宋"/>
                <w:i w:val="0"/>
                <w:iCs w:val="0"/>
                <w:color w:val="000000"/>
                <w:sz w:val="22"/>
                <w:szCs w:val="22"/>
                <w:u w:val="none"/>
              </w:rPr>
            </w:pPr>
          </w:p>
        </w:tc>
      </w:tr>
      <w:tr w14:paraId="24F54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C61C1">
            <w:pPr>
              <w:jc w:val="center"/>
              <w:rPr>
                <w:rFonts w:hint="eastAsia" w:ascii="仿宋" w:hAnsi="仿宋" w:eastAsia="仿宋" w:cs="仿宋"/>
                <w:i w:val="0"/>
                <w:iCs w:val="0"/>
                <w:color w:val="000000"/>
                <w:sz w:val="22"/>
                <w:szCs w:val="22"/>
                <w:u w:val="none"/>
              </w:rPr>
            </w:pP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F5A1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资金预算（4分）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6647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预算编制科学性</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4E50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136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C12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科学</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789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①预算编制是否经过科学论证；</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②预算内容与项目内容是否匹配；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③预算额度测算依据是否充分，是否按照标准编制；</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④预算确定的项目投资额或资金量是否与工作任务相匹配。一项不符合扣0.5分。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8C7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AFBA">
            <w:pPr>
              <w:jc w:val="center"/>
              <w:rPr>
                <w:rFonts w:hint="eastAsia" w:ascii="仿宋" w:hAnsi="仿宋" w:eastAsia="仿宋" w:cs="仿宋"/>
                <w:i w:val="0"/>
                <w:iCs w:val="0"/>
                <w:color w:val="000000"/>
                <w:sz w:val="22"/>
                <w:szCs w:val="22"/>
                <w:u w:val="none"/>
              </w:rPr>
            </w:pPr>
          </w:p>
        </w:tc>
      </w:tr>
      <w:tr w14:paraId="40BA7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B93E3">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40B7D">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0478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资金分配合理性</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B59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0B23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5265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合理</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4F5B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①预算资金分配依据是否充分；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②资金分配额度是否合理，与项目单位实际是否相适应。</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一项不符合扣1分。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D5A3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4336D">
            <w:pPr>
              <w:jc w:val="center"/>
              <w:rPr>
                <w:rFonts w:hint="eastAsia" w:ascii="仿宋" w:hAnsi="仿宋" w:eastAsia="仿宋" w:cs="仿宋"/>
                <w:i w:val="0"/>
                <w:iCs w:val="0"/>
                <w:color w:val="000000"/>
                <w:sz w:val="22"/>
                <w:szCs w:val="22"/>
                <w:u w:val="none"/>
              </w:rPr>
            </w:pPr>
          </w:p>
        </w:tc>
      </w:tr>
      <w:tr w14:paraId="0770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56" w:type="dxa"/>
            <w:vMerge w:val="restart"/>
            <w:tcBorders>
              <w:top w:val="single" w:color="000000" w:sz="4" w:space="0"/>
              <w:left w:val="single" w:color="000000" w:sz="4" w:space="0"/>
              <w:bottom w:val="nil"/>
              <w:right w:val="single" w:color="000000" w:sz="4" w:space="0"/>
            </w:tcBorders>
            <w:shd w:val="clear" w:color="auto" w:fill="auto"/>
            <w:vAlign w:val="center"/>
          </w:tcPr>
          <w:p w14:paraId="4FC363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项目过程（15分）</w:t>
            </w:r>
          </w:p>
        </w:tc>
        <w:tc>
          <w:tcPr>
            <w:tcW w:w="656" w:type="dxa"/>
            <w:vMerge w:val="restart"/>
            <w:tcBorders>
              <w:top w:val="single" w:color="000000" w:sz="4" w:space="0"/>
              <w:left w:val="single" w:color="000000" w:sz="4" w:space="0"/>
              <w:bottom w:val="nil"/>
              <w:right w:val="single" w:color="000000" w:sz="4" w:space="0"/>
            </w:tcBorders>
            <w:shd w:val="clear" w:color="auto" w:fill="auto"/>
            <w:vAlign w:val="center"/>
          </w:tcPr>
          <w:p w14:paraId="74A480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资金管理（6分）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A019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资金到位率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219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DA54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实际到位资金与预算资金的比率，用以反映和考核资金落实情况对项目实施的总体保障程度。</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DFD3D">
            <w:pPr>
              <w:keepNext w:val="0"/>
              <w:keepLines w:val="0"/>
              <w:widowControl/>
              <w:suppressLineNumbers w:val="0"/>
              <w:jc w:val="center"/>
              <w:textAlignment w:val="center"/>
              <w:rPr>
                <w:rFonts w:ascii="楷体" w:hAnsi="楷体" w:eastAsia="楷体" w:cs="楷体"/>
                <w:i w:val="0"/>
                <w:iCs w:val="0"/>
                <w:color w:val="000000"/>
                <w:sz w:val="22"/>
                <w:szCs w:val="22"/>
                <w:u w:val="none"/>
              </w:rPr>
            </w:pPr>
            <w:r>
              <w:rPr>
                <w:rStyle w:val="16"/>
                <w:lang w:val="en-US" w:eastAsia="zh-CN" w:bidi="ar"/>
              </w:rPr>
              <w:t>≥</w:t>
            </w:r>
            <w:r>
              <w:rPr>
                <w:rStyle w:val="17"/>
                <w:lang w:val="en-US" w:eastAsia="zh-CN" w:bidi="ar"/>
              </w:rPr>
              <w:t>36434.66万元</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BEB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资金到位率=（实际到位资金/计划投入资金）×100%。资金到位率达到90%，得满分，资金到位率＜90%，每少5%扣1分，扣完为止。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9C9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9572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r>
      <w:tr w14:paraId="25B17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09FAE256">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42AF911D">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D36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资金使用率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8FDE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FA9C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项目资金是否按照计划执行，用以反映或考核项目资金是使用执行情况。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AAF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≥25364.48万元</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145B2">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资金使用率=（实际使用资金/实际到位资金）×100%。资金使用率达到95%的得满分；资金使用率＜95%，每少5%扣1分，扣完为止。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9F3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6DAEB">
            <w:pPr>
              <w:jc w:val="center"/>
              <w:rPr>
                <w:rFonts w:hint="eastAsia" w:ascii="仿宋" w:hAnsi="仿宋" w:eastAsia="仿宋" w:cs="仿宋"/>
                <w:i w:val="0"/>
                <w:iCs w:val="0"/>
                <w:color w:val="000000"/>
                <w:sz w:val="22"/>
                <w:szCs w:val="22"/>
                <w:u w:val="none"/>
              </w:rPr>
            </w:pPr>
          </w:p>
        </w:tc>
      </w:tr>
      <w:tr w14:paraId="3D18C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2EED109E">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006163E2">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63E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资金使用合规性</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A3C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85CA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项目资金使用是否符合相关的财务管理制度规定，用以反映和考核项目资金的规范运行情况。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05A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合规</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36C0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①是否符合国家财经法规和财务管理制度以及有关专项资金管理办法的规定；②资金的拨付是否有完整的审批程序和手续；③是否符合项目预算批复或合同规定的用途；④是否存在截留、挤占、挪用、虚列支出等情况。一项不符合扣1分，严重的此项不得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4D1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03355">
            <w:pPr>
              <w:jc w:val="center"/>
              <w:rPr>
                <w:rFonts w:hint="eastAsia" w:ascii="仿宋" w:hAnsi="仿宋" w:eastAsia="仿宋" w:cs="仿宋"/>
                <w:i w:val="0"/>
                <w:iCs w:val="0"/>
                <w:color w:val="000000"/>
                <w:sz w:val="22"/>
                <w:szCs w:val="22"/>
                <w:u w:val="none"/>
              </w:rPr>
            </w:pPr>
          </w:p>
        </w:tc>
      </w:tr>
      <w:tr w14:paraId="680DC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102AB776">
            <w:pPr>
              <w:jc w:val="center"/>
              <w:rPr>
                <w:rFonts w:hint="eastAsia" w:ascii="仿宋" w:hAnsi="仿宋" w:eastAsia="仿宋" w:cs="仿宋"/>
                <w:i w:val="0"/>
                <w:iCs w:val="0"/>
                <w:color w:val="000000"/>
                <w:sz w:val="22"/>
                <w:szCs w:val="22"/>
                <w:u w:val="none"/>
              </w:rPr>
            </w:pPr>
          </w:p>
        </w:tc>
        <w:tc>
          <w:tcPr>
            <w:tcW w:w="656" w:type="dxa"/>
            <w:vMerge w:val="restart"/>
            <w:tcBorders>
              <w:top w:val="single" w:color="000000" w:sz="4" w:space="0"/>
              <w:left w:val="single" w:color="000000" w:sz="4" w:space="0"/>
              <w:bottom w:val="nil"/>
              <w:right w:val="single" w:color="000000" w:sz="4" w:space="0"/>
            </w:tcBorders>
            <w:shd w:val="clear" w:color="auto" w:fill="auto"/>
            <w:vAlign w:val="center"/>
          </w:tcPr>
          <w:p w14:paraId="7790C6F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组织实施（9分）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2C9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实施方案</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323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A8E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项目是否制定实施方案，方案是否与绩效目标匹配，用以反映和考核项目实施方案制定及执行情况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4C1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已制定</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59DE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①制定了实施方案；</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②方案经过会议研究批准；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③实施方案与绩效目标匹配。</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一项不符合扣1分，严重的此项不得分。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435D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0432E">
            <w:pPr>
              <w:jc w:val="center"/>
              <w:rPr>
                <w:rFonts w:hint="eastAsia" w:ascii="仿宋" w:hAnsi="仿宋" w:eastAsia="仿宋" w:cs="仿宋"/>
                <w:i w:val="0"/>
                <w:iCs w:val="0"/>
                <w:color w:val="000000"/>
                <w:sz w:val="22"/>
                <w:szCs w:val="22"/>
                <w:u w:val="none"/>
              </w:rPr>
            </w:pPr>
          </w:p>
        </w:tc>
      </w:tr>
      <w:tr w14:paraId="1DC8E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16FDD4F0">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6AB07770">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4B3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认证机制</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0250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4BCB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待遇发放是否按计划认证，已认证人数是否符合计划比例。</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D86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2AB2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待遇资格认证率=(已认证人数/应认证人数)×100%，领取养老金人员待遇资格认证100%，满分；每少5%扣1分，扣完为止。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C7A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0FFA">
            <w:pPr>
              <w:jc w:val="center"/>
              <w:rPr>
                <w:rFonts w:hint="eastAsia" w:ascii="仿宋" w:hAnsi="仿宋" w:eastAsia="仿宋" w:cs="仿宋"/>
                <w:i w:val="0"/>
                <w:iCs w:val="0"/>
                <w:color w:val="000000"/>
                <w:sz w:val="22"/>
                <w:szCs w:val="22"/>
                <w:u w:val="none"/>
              </w:rPr>
            </w:pPr>
          </w:p>
        </w:tc>
      </w:tr>
      <w:tr w14:paraId="42C75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29EDE151">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125443EE">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280E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资金管理制度</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AD4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0098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是否制定资金管理制度，制度是否健全合规，用以反映和考核项目资金管理制度情况。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B2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已建立</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F091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有建立健全资金监督制度、定期进行检查的满分；未建立制度或开展检查的，不得分。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FF26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9128C">
            <w:pPr>
              <w:jc w:val="center"/>
              <w:rPr>
                <w:rFonts w:hint="eastAsia" w:ascii="仿宋" w:hAnsi="仿宋" w:eastAsia="仿宋" w:cs="仿宋"/>
                <w:i w:val="0"/>
                <w:iCs w:val="0"/>
                <w:color w:val="000000"/>
                <w:sz w:val="22"/>
                <w:szCs w:val="22"/>
                <w:u w:val="none"/>
              </w:rPr>
            </w:pPr>
          </w:p>
        </w:tc>
      </w:tr>
      <w:tr w14:paraId="7CB8D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7DBF8998">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484A4784">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8C7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信息系统建设应用</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4C4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086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项目是否使用信息系统记录人员保险缴纳及发放情况。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CB01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已应用</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302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①信息系统维护专业、及时，得0.5分，否者0分；②能查询养老保险人员情况、基金缴交和养老金领取等相关情况，得0.5分，否则0分；③抽查查询结果与实际相符得2分，一次不符扣0.5分，扣完为止。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10A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4F68D">
            <w:pPr>
              <w:jc w:val="center"/>
              <w:rPr>
                <w:rFonts w:hint="eastAsia" w:ascii="仿宋" w:hAnsi="仿宋" w:eastAsia="仿宋" w:cs="仿宋"/>
                <w:i w:val="0"/>
                <w:iCs w:val="0"/>
                <w:color w:val="000000"/>
                <w:sz w:val="22"/>
                <w:szCs w:val="22"/>
                <w:u w:val="none"/>
              </w:rPr>
            </w:pPr>
          </w:p>
        </w:tc>
      </w:tr>
      <w:tr w14:paraId="6917F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56" w:type="dxa"/>
            <w:vMerge w:val="restart"/>
            <w:tcBorders>
              <w:top w:val="single" w:color="000000" w:sz="4" w:space="0"/>
              <w:left w:val="single" w:color="000000" w:sz="4" w:space="0"/>
              <w:bottom w:val="nil"/>
              <w:right w:val="single" w:color="000000" w:sz="4" w:space="0"/>
            </w:tcBorders>
            <w:shd w:val="clear" w:color="auto" w:fill="auto"/>
            <w:vAlign w:val="center"/>
          </w:tcPr>
          <w:p w14:paraId="3ACDBA8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项目产出（50分）</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27BF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产出数量（12分）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0FB3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新增领取人员完成率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5A6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F51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反映和考核城乡居民养老保险参保扩面实际完成数的实现程度。</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C4A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≥7253人</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BC0BD">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新增领取人员完成率=实际新增领保人数/预算新增领保人数*100%，按达成率评分。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ACA4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30474">
            <w:pPr>
              <w:jc w:val="center"/>
              <w:rPr>
                <w:rFonts w:hint="eastAsia" w:ascii="仿宋" w:hAnsi="仿宋" w:eastAsia="仿宋" w:cs="仿宋"/>
                <w:i w:val="0"/>
                <w:iCs w:val="0"/>
                <w:color w:val="000000"/>
                <w:sz w:val="22"/>
                <w:szCs w:val="22"/>
                <w:u w:val="none"/>
              </w:rPr>
            </w:pPr>
          </w:p>
        </w:tc>
      </w:tr>
      <w:tr w14:paraId="342D6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55777657">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50D19">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374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财政缴费补贴人数完成率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12B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467B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反映和考核城乡居民养老保险财政缴费补贴人员实际完成数的实现程度。</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148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≥189229人</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39E9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财政缴费补贴人员完成率=实际财政缴费补贴人数/预算财政缴费补贴人数*101%，按达成率评分。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C15A7">
            <w:pPr>
              <w:keepNext w:val="0"/>
              <w:keepLines w:val="0"/>
              <w:widowControl/>
              <w:suppressLineNumbers w:val="0"/>
              <w:jc w:val="center"/>
              <w:textAlignment w:val="center"/>
              <w:rPr>
                <w:rFonts w:hint="eastAsia" w:ascii="仿宋" w:hAnsi="仿宋" w:eastAsia="仿宋" w:cs="仿宋"/>
                <w:i w:val="0"/>
                <w:iCs w:val="0"/>
                <w:color w:val="FF0000"/>
                <w:sz w:val="22"/>
                <w:szCs w:val="22"/>
                <w:u w:val="none"/>
              </w:rPr>
            </w:pPr>
            <w:r>
              <w:rPr>
                <w:rFonts w:hint="eastAsia" w:ascii="仿宋" w:hAnsi="仿宋" w:eastAsia="仿宋" w:cs="仿宋"/>
                <w:i w:val="0"/>
                <w:iCs w:val="0"/>
                <w:color w:val="FF0000"/>
                <w:kern w:val="0"/>
                <w:sz w:val="22"/>
                <w:szCs w:val="22"/>
                <w:u w:val="none"/>
                <w:lang w:val="en-US" w:eastAsia="zh-CN" w:bidi="ar"/>
              </w:rPr>
              <w:t>1.7366577</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64EE5">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r>
      <w:tr w14:paraId="49AE9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25F2706B">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360A0">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FA9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参保人员比率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0E2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6770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反映和考核城乡居民养老保险实际参保人数实现程度</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A1F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≥402368人</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326A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参保率=已参保人数/应参保人数*100%，依达成率评分。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24A0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FA270">
            <w:pPr>
              <w:jc w:val="center"/>
              <w:rPr>
                <w:rFonts w:hint="eastAsia" w:ascii="仿宋" w:hAnsi="仿宋" w:eastAsia="仿宋" w:cs="仿宋"/>
                <w:i w:val="0"/>
                <w:iCs w:val="0"/>
                <w:color w:val="000000"/>
                <w:sz w:val="22"/>
                <w:szCs w:val="22"/>
                <w:u w:val="none"/>
              </w:rPr>
            </w:pPr>
          </w:p>
        </w:tc>
      </w:tr>
      <w:tr w14:paraId="13E2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44A5B3AC">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AC208">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67EB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已核定待遇人员暂停发放率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4E28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DE3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反映和考核已核定待遇人员暂停发放完成情况。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93A65">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Style w:val="16"/>
                <w:lang w:val="en-US" w:eastAsia="zh-CN" w:bidi="ar"/>
              </w:rPr>
              <w:t>≥</w:t>
            </w:r>
            <w:r>
              <w:rPr>
                <w:rStyle w:val="17"/>
                <w:lang w:val="en-US" w:eastAsia="zh-CN" w:bidi="ar"/>
              </w:rPr>
              <w:t>5369</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7564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已核定待遇人员暂停发放率=暂停发放待遇人数/待遇实发人数*100%，依达成率评分。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91D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73E11">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r>
      <w:tr w14:paraId="118ED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177594A1">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DA9BBD">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AE5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享待人员资格认证率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3061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788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反映受待人员资格认证合格率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CAD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7570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已核定待享人员合格率=实际核定待遇人数/预算待遇实发人数*100%，依达成率评分。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7818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AF641">
            <w:pPr>
              <w:jc w:val="left"/>
              <w:rPr>
                <w:rFonts w:hint="eastAsia" w:ascii="仿宋" w:hAnsi="仿宋" w:eastAsia="仿宋" w:cs="仿宋"/>
                <w:i w:val="0"/>
                <w:iCs w:val="0"/>
                <w:color w:val="000000"/>
                <w:sz w:val="22"/>
                <w:szCs w:val="22"/>
                <w:u w:val="none"/>
              </w:rPr>
            </w:pPr>
          </w:p>
        </w:tc>
      </w:tr>
      <w:tr w14:paraId="7176C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587F95C6">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EB67E4">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849A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丧葬金补助支出完成率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BC90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DDC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反映和考核城乡居民养老保险丧葬金补助发放完成情况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280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≥582万元</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7932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丧葬金补助完成率=享受丧葬金补助人数/当年合规参保人员死亡人数*100%，大于等于95%的得满分，每少5个百分点扣1分，扣完为止。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33271">
            <w:pPr>
              <w:keepNext w:val="0"/>
              <w:keepLines w:val="0"/>
              <w:widowControl/>
              <w:suppressLineNumbers w:val="0"/>
              <w:jc w:val="center"/>
              <w:textAlignment w:val="center"/>
              <w:rPr>
                <w:rFonts w:hint="eastAsia" w:ascii="仿宋" w:hAnsi="仿宋" w:eastAsia="仿宋" w:cs="仿宋"/>
                <w:i w:val="0"/>
                <w:iCs w:val="0"/>
                <w:color w:val="FF0000"/>
                <w:sz w:val="22"/>
                <w:szCs w:val="22"/>
                <w:u w:val="none"/>
              </w:rPr>
            </w:pPr>
            <w:r>
              <w:rPr>
                <w:rFonts w:hint="eastAsia" w:ascii="仿宋" w:hAnsi="仿宋" w:eastAsia="仿宋" w:cs="仿宋"/>
                <w:i w:val="0"/>
                <w:iCs w:val="0"/>
                <w:color w:val="FF0000"/>
                <w:kern w:val="0"/>
                <w:sz w:val="22"/>
                <w:szCs w:val="22"/>
                <w:u w:val="none"/>
                <w:lang w:val="en-US" w:eastAsia="zh-CN" w:bidi="ar"/>
              </w:rPr>
              <w:t>1.889347079</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9E6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r>
      <w:tr w14:paraId="6BDBD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19C07823">
            <w:pPr>
              <w:jc w:val="center"/>
              <w:rPr>
                <w:rFonts w:hint="eastAsia" w:ascii="仿宋" w:hAnsi="仿宋" w:eastAsia="仿宋" w:cs="仿宋"/>
                <w:i w:val="0"/>
                <w:iCs w:val="0"/>
                <w:color w:val="000000"/>
                <w:sz w:val="22"/>
                <w:szCs w:val="22"/>
                <w:u w:val="none"/>
              </w:rPr>
            </w:pPr>
          </w:p>
        </w:tc>
        <w:tc>
          <w:tcPr>
            <w:tcW w:w="656" w:type="dxa"/>
            <w:vMerge w:val="restart"/>
            <w:tcBorders>
              <w:top w:val="single" w:color="000000" w:sz="4" w:space="0"/>
              <w:left w:val="single" w:color="000000" w:sz="4" w:space="0"/>
              <w:bottom w:val="nil"/>
              <w:right w:val="single" w:color="000000" w:sz="4" w:space="0"/>
            </w:tcBorders>
            <w:shd w:val="clear" w:color="auto" w:fill="auto"/>
            <w:vAlign w:val="center"/>
          </w:tcPr>
          <w:p w14:paraId="08F22EE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产出质量（18分）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3FE0">
            <w:pPr>
              <w:keepNext w:val="0"/>
              <w:keepLines w:val="0"/>
              <w:widowControl/>
              <w:suppressLineNumbers w:val="0"/>
              <w:jc w:val="center"/>
              <w:textAlignment w:val="center"/>
              <w:rPr>
                <w:rFonts w:hint="eastAsia" w:ascii="仿宋" w:hAnsi="仿宋" w:eastAsia="仿宋" w:cs="仿宋"/>
                <w:i w:val="0"/>
                <w:iCs w:val="0"/>
                <w:color w:val="FF0000"/>
                <w:sz w:val="22"/>
                <w:szCs w:val="22"/>
                <w:u w:val="none"/>
              </w:rPr>
            </w:pPr>
            <w:r>
              <w:rPr>
                <w:rFonts w:hint="eastAsia" w:ascii="仿宋" w:hAnsi="仿宋" w:eastAsia="仿宋" w:cs="仿宋"/>
                <w:i w:val="0"/>
                <w:iCs w:val="0"/>
                <w:color w:val="FF0000"/>
                <w:kern w:val="0"/>
                <w:sz w:val="22"/>
                <w:szCs w:val="22"/>
                <w:u w:val="none"/>
                <w:lang w:val="en-US" w:eastAsia="zh-CN" w:bidi="ar"/>
              </w:rPr>
              <w:t>数据对账准确率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B7F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B93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社保与税务/财政/银行数据差异率为 0（</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3231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EC59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对帐且准备率100%以上满分；对帐，每一家数据不对扣1分。全部不准备不得分。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1D3C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1067" w:type="dxa"/>
            <w:tcBorders>
              <w:top w:val="single" w:color="000000" w:sz="4" w:space="0"/>
              <w:left w:val="single" w:color="000000" w:sz="4" w:space="0"/>
              <w:bottom w:val="nil"/>
              <w:right w:val="single" w:color="000000" w:sz="4" w:space="0"/>
            </w:tcBorders>
            <w:shd w:val="clear" w:color="auto" w:fill="auto"/>
            <w:vAlign w:val="center"/>
          </w:tcPr>
          <w:p w14:paraId="2D1DA9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p>
        </w:tc>
      </w:tr>
      <w:tr w14:paraId="77157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661DB742">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5F04EF39">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03D0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社会保险费收入占基金收入比重</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AA6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FDF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社会保险费收入占基金收入比重</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9A2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≥37.91%</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E8B0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依据达成率每少5%扣一分，扣完为止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8212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nil"/>
              <w:right w:val="single" w:color="000000" w:sz="4" w:space="0"/>
            </w:tcBorders>
            <w:shd w:val="clear" w:color="auto" w:fill="auto"/>
            <w:vAlign w:val="center"/>
          </w:tcPr>
          <w:p w14:paraId="52ADFDB7">
            <w:pPr>
              <w:jc w:val="center"/>
              <w:rPr>
                <w:rFonts w:hint="eastAsia" w:ascii="仿宋" w:hAnsi="仿宋" w:eastAsia="仿宋" w:cs="仿宋"/>
                <w:i w:val="0"/>
                <w:iCs w:val="0"/>
                <w:color w:val="000000"/>
                <w:sz w:val="22"/>
                <w:szCs w:val="22"/>
                <w:u w:val="none"/>
              </w:rPr>
            </w:pPr>
          </w:p>
        </w:tc>
      </w:tr>
      <w:tr w14:paraId="0A795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5B76E9C0">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481D1A0C">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9A55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社会保险待遇支出占基金支出比重</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A8BD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AEF0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社会保险待遇支出占基金支出比重</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C7F8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≤99.85% </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1A74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依据达成率每少5%扣一分，扣完为止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0A3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DC6DB">
            <w:pPr>
              <w:jc w:val="left"/>
              <w:rPr>
                <w:rFonts w:hint="eastAsia" w:ascii="仿宋" w:hAnsi="仿宋" w:eastAsia="仿宋" w:cs="仿宋"/>
                <w:i w:val="0"/>
                <w:iCs w:val="0"/>
                <w:color w:val="000000"/>
                <w:sz w:val="22"/>
                <w:szCs w:val="22"/>
                <w:u w:val="none"/>
              </w:rPr>
            </w:pPr>
          </w:p>
        </w:tc>
      </w:tr>
      <w:tr w14:paraId="1FB8B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322FAC3D">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43053690">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6DA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其他支出占基金支出比重</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9133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98E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其他支出占基金支出比重</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A11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≤0.09%</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1797B">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依据达成率每少5%扣一分，扣完为止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BA9E8">
            <w:pPr>
              <w:keepNext w:val="0"/>
              <w:keepLines w:val="0"/>
              <w:widowControl/>
              <w:suppressLineNumbers w:val="0"/>
              <w:jc w:val="center"/>
              <w:textAlignment w:val="center"/>
              <w:rPr>
                <w:rFonts w:hint="eastAsia" w:ascii="仿宋" w:hAnsi="仿宋" w:eastAsia="仿宋" w:cs="仿宋"/>
                <w:i w:val="0"/>
                <w:iCs w:val="0"/>
                <w:color w:val="FF0000"/>
                <w:sz w:val="22"/>
                <w:szCs w:val="22"/>
                <w:u w:val="none"/>
              </w:rPr>
            </w:pPr>
            <w:r>
              <w:rPr>
                <w:rFonts w:hint="eastAsia" w:ascii="仿宋" w:hAnsi="仿宋" w:eastAsia="仿宋" w:cs="仿宋"/>
                <w:i w:val="0"/>
                <w:iCs w:val="0"/>
                <w:color w:val="FF0000"/>
                <w:kern w:val="0"/>
                <w:sz w:val="22"/>
                <w:szCs w:val="22"/>
                <w:u w:val="none"/>
                <w:lang w:val="en-US" w:eastAsia="zh-CN" w:bidi="ar"/>
              </w:rPr>
              <w:t>0</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FEE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p>
        </w:tc>
      </w:tr>
      <w:tr w14:paraId="5889E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5C587C5C">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2400DF8E">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D92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利息收益率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3251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3E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不低于同期活期存款利率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185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≥1300.63</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627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依据达成率每少5%扣一分，扣完为止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C4C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6B887">
            <w:pPr>
              <w:jc w:val="left"/>
              <w:rPr>
                <w:rFonts w:hint="eastAsia" w:ascii="仿宋" w:hAnsi="仿宋" w:eastAsia="仿宋" w:cs="仿宋"/>
                <w:i w:val="0"/>
                <w:iCs w:val="0"/>
                <w:color w:val="000000"/>
                <w:sz w:val="22"/>
                <w:szCs w:val="22"/>
                <w:u w:val="none"/>
              </w:rPr>
            </w:pPr>
          </w:p>
        </w:tc>
      </w:tr>
      <w:tr w14:paraId="43C5E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2F85802D">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354C9132">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674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委托投资收益率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8C7F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726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委托第三方信托投资基金公司、银行等对留存居民社保基金收益比率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B01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≥1052.54</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94BCF">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依据达成率每少5%扣一分，扣完为止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6E56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F51F">
            <w:pPr>
              <w:jc w:val="left"/>
              <w:rPr>
                <w:rFonts w:hint="eastAsia" w:ascii="仿宋" w:hAnsi="仿宋" w:eastAsia="仿宋" w:cs="仿宋"/>
                <w:i w:val="0"/>
                <w:iCs w:val="0"/>
                <w:color w:val="000000"/>
                <w:sz w:val="22"/>
                <w:szCs w:val="22"/>
                <w:u w:val="none"/>
              </w:rPr>
            </w:pPr>
          </w:p>
        </w:tc>
      </w:tr>
      <w:tr w14:paraId="2BC18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188E0F7A">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1C4DBD4C">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68A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足额发放</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2C4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B473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反映和考核城乡居民养老保险金足额发放完成情况。</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FA05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足额发放</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4442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养老金及丧葬补助金足额通过金融机构发放，得满分；每发现一例未足额发放的，扣0.5分，扣完为止。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ED2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DB6A7">
            <w:pPr>
              <w:jc w:val="center"/>
              <w:rPr>
                <w:rFonts w:hint="eastAsia" w:ascii="仿宋" w:hAnsi="仿宋" w:eastAsia="仿宋" w:cs="仿宋"/>
                <w:i w:val="0"/>
                <w:iCs w:val="0"/>
                <w:color w:val="000000"/>
                <w:sz w:val="22"/>
                <w:szCs w:val="22"/>
                <w:u w:val="none"/>
              </w:rPr>
            </w:pPr>
          </w:p>
        </w:tc>
      </w:tr>
      <w:tr w14:paraId="19153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20DB13AD">
            <w:pPr>
              <w:jc w:val="center"/>
              <w:rPr>
                <w:rFonts w:hint="eastAsia" w:ascii="仿宋" w:hAnsi="仿宋" w:eastAsia="仿宋" w:cs="仿宋"/>
                <w:i w:val="0"/>
                <w:iCs w:val="0"/>
                <w:color w:val="000000"/>
                <w:sz w:val="22"/>
                <w:szCs w:val="22"/>
                <w:u w:val="none"/>
              </w:rPr>
            </w:pPr>
          </w:p>
        </w:tc>
        <w:tc>
          <w:tcPr>
            <w:tcW w:w="656" w:type="dxa"/>
            <w:vMerge w:val="restart"/>
            <w:tcBorders>
              <w:top w:val="single" w:color="000000" w:sz="4" w:space="0"/>
              <w:left w:val="single" w:color="000000" w:sz="4" w:space="0"/>
              <w:bottom w:val="nil"/>
              <w:right w:val="single" w:color="000000" w:sz="4" w:space="0"/>
            </w:tcBorders>
            <w:shd w:val="clear" w:color="auto" w:fill="auto"/>
            <w:vAlign w:val="center"/>
          </w:tcPr>
          <w:p w14:paraId="4DBA08B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成本指标（10分）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5B1A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月基础养老金水平（元/人/月）</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5B7D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551A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反映和考核项目单位按照国家规定标准拨付养老保险费待遇完成率。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20A2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≥196.51</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1DF3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按照政策规定调整退休养老金水平，得满分；未按政策规定调整酌情给分。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F79D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1FDF0">
            <w:pPr>
              <w:jc w:val="center"/>
              <w:rPr>
                <w:rFonts w:hint="eastAsia" w:ascii="仿宋" w:hAnsi="仿宋" w:eastAsia="仿宋" w:cs="仿宋"/>
                <w:i w:val="0"/>
                <w:iCs w:val="0"/>
                <w:color w:val="000000"/>
                <w:sz w:val="22"/>
                <w:szCs w:val="22"/>
                <w:u w:val="none"/>
              </w:rPr>
            </w:pPr>
          </w:p>
        </w:tc>
      </w:tr>
      <w:tr w14:paraId="3DBFB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5F65A670">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54D874EA">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4DA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个人缴费标准（元/人/年）</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3A2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FB2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反映和考核项目单位按照国家规定中，对个人缴费标准收缴完成率。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4AE7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≥540</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6796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按照政策规定调整退休养老金水平，得满分；未按政策规定调整酌情给分。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E2BF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75762">
            <w:pPr>
              <w:jc w:val="center"/>
              <w:rPr>
                <w:rFonts w:hint="eastAsia" w:ascii="仿宋" w:hAnsi="仿宋" w:eastAsia="仿宋" w:cs="仿宋"/>
                <w:i w:val="0"/>
                <w:iCs w:val="0"/>
                <w:color w:val="000000"/>
                <w:sz w:val="22"/>
                <w:szCs w:val="22"/>
                <w:u w:val="none"/>
              </w:rPr>
            </w:pPr>
          </w:p>
        </w:tc>
      </w:tr>
      <w:tr w14:paraId="1114C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14CEE75D">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084578E6">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89A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对个人缴费补贴标准</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8D5F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550B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反映和考核项目单位按照国家规定标准拨付个人养老保险费补贴标准完成率。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805B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≥72</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D703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按照政策规定调整退休养老金水平，得满分；未按政策规定调整酌情给分。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79317">
            <w:pPr>
              <w:keepNext w:val="0"/>
              <w:keepLines w:val="0"/>
              <w:widowControl/>
              <w:suppressLineNumbers w:val="0"/>
              <w:jc w:val="center"/>
              <w:textAlignment w:val="center"/>
              <w:rPr>
                <w:rFonts w:hint="eastAsia" w:ascii="仿宋" w:hAnsi="仿宋" w:eastAsia="仿宋" w:cs="仿宋"/>
                <w:i w:val="0"/>
                <w:iCs w:val="0"/>
                <w:color w:val="FF0000"/>
                <w:sz w:val="22"/>
                <w:szCs w:val="22"/>
                <w:u w:val="none"/>
              </w:rPr>
            </w:pPr>
            <w:r>
              <w:rPr>
                <w:rFonts w:hint="eastAsia" w:ascii="仿宋" w:hAnsi="仿宋" w:eastAsia="仿宋" w:cs="仿宋"/>
                <w:i w:val="0"/>
                <w:iCs w:val="0"/>
                <w:color w:val="FF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DC11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由于2024年7月1日有调整缴费补贴标准</w:t>
            </w:r>
          </w:p>
        </w:tc>
      </w:tr>
      <w:tr w14:paraId="1C215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4810D5C2">
            <w:pPr>
              <w:jc w:val="center"/>
              <w:rPr>
                <w:rFonts w:hint="eastAsia" w:ascii="仿宋" w:hAnsi="仿宋" w:eastAsia="仿宋" w:cs="仿宋"/>
                <w:i w:val="0"/>
                <w:iCs w:val="0"/>
                <w:color w:val="000000"/>
                <w:sz w:val="22"/>
                <w:szCs w:val="22"/>
                <w:u w:val="none"/>
              </w:rPr>
            </w:pPr>
          </w:p>
        </w:tc>
        <w:tc>
          <w:tcPr>
            <w:tcW w:w="656" w:type="dxa"/>
            <w:vMerge w:val="restart"/>
            <w:tcBorders>
              <w:top w:val="single" w:color="000000" w:sz="4" w:space="0"/>
              <w:left w:val="single" w:color="000000" w:sz="4" w:space="0"/>
              <w:bottom w:val="nil"/>
              <w:right w:val="single" w:color="000000" w:sz="4" w:space="0"/>
            </w:tcBorders>
            <w:shd w:val="clear" w:color="auto" w:fill="auto"/>
            <w:vAlign w:val="center"/>
          </w:tcPr>
          <w:p w14:paraId="791802C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时效指标（10分）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D7A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按时发放</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56C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8EAC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反映和考核养老保险的是否按计划及时发放</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B220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按时发放</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B28D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养老金当月按时通过金融机构发放，得满分；每发现一例未及时足额发放的，扣0.5分，扣完为止。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706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CE60E">
            <w:pPr>
              <w:jc w:val="center"/>
              <w:rPr>
                <w:rFonts w:hint="eastAsia" w:ascii="仿宋" w:hAnsi="仿宋" w:eastAsia="仿宋" w:cs="仿宋"/>
                <w:i w:val="0"/>
                <w:iCs w:val="0"/>
                <w:color w:val="000000"/>
                <w:sz w:val="22"/>
                <w:szCs w:val="22"/>
                <w:u w:val="none"/>
              </w:rPr>
            </w:pPr>
          </w:p>
        </w:tc>
      </w:tr>
      <w:tr w14:paraId="54690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57379C44">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7C655157">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55BA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财政补贴到位率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D6CA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AA45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反映财政社保补贴资金及时到位</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04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DCC66">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财政补贴资金当月按时通过金融机构发放，得满分；每发现一例未及时足额发放的，扣0.5分，扣完为止。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9D9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399DC">
            <w:pPr>
              <w:jc w:val="center"/>
              <w:rPr>
                <w:rFonts w:hint="eastAsia" w:ascii="仿宋" w:hAnsi="仿宋" w:eastAsia="仿宋" w:cs="仿宋"/>
                <w:i w:val="0"/>
                <w:iCs w:val="0"/>
                <w:color w:val="000000"/>
                <w:sz w:val="22"/>
                <w:szCs w:val="22"/>
                <w:u w:val="none"/>
              </w:rPr>
            </w:pPr>
          </w:p>
        </w:tc>
      </w:tr>
      <w:tr w14:paraId="38841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56" w:type="dxa"/>
            <w:vMerge w:val="restart"/>
            <w:tcBorders>
              <w:top w:val="single" w:color="000000" w:sz="4" w:space="0"/>
              <w:left w:val="single" w:color="000000" w:sz="4" w:space="0"/>
              <w:bottom w:val="nil"/>
              <w:right w:val="single" w:color="000000" w:sz="4" w:space="0"/>
            </w:tcBorders>
            <w:shd w:val="clear" w:color="auto" w:fill="auto"/>
            <w:vAlign w:val="center"/>
          </w:tcPr>
          <w:p w14:paraId="540C5AD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项目效益（20分）</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E4DB4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社会效益（9分）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C5A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期末养老金结余</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D25C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CF1D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反映和考核城乡居民养老金结余对保证养老金的发放安全率</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1BA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123678.84</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53CA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基础养老金标准较上一年有所提高（2023年标准130元/人/月），满分；否则0分。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7E2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5911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24年1月日提高至145元，7月1日提高至165元</w:t>
            </w:r>
          </w:p>
        </w:tc>
      </w:tr>
      <w:tr w14:paraId="07902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6483A8CD">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AD8AB2">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0C39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政策知晓率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D2C6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AEAD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≥85%</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8CCE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10万份宣传单</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8805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依据满依度调查表的知晓比率评价</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8047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1D6AB">
            <w:pPr>
              <w:jc w:val="center"/>
              <w:rPr>
                <w:rFonts w:hint="eastAsia" w:ascii="仿宋" w:hAnsi="仿宋" w:eastAsia="仿宋" w:cs="仿宋"/>
                <w:i w:val="0"/>
                <w:iCs w:val="0"/>
                <w:color w:val="000000"/>
                <w:sz w:val="22"/>
                <w:szCs w:val="22"/>
                <w:u w:val="none"/>
              </w:rPr>
            </w:pPr>
          </w:p>
        </w:tc>
      </w:tr>
      <w:tr w14:paraId="4A7DE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76CE306F">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12893">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8C1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为困难群体人员代缴保费数（人）</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4184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1316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反映和考核为困难群体人员代缴保费数是否符合政策要求。</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59EA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25158</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FA5D0">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按照国家统一部署，按时保质实现合规贫困人员自愿参保前提下应保尽保、应发尽发、应代缴尽代缴目标，2024年人数23731人，100%完成得满分，每少1%扣2分，扣完为止。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A4E25">
            <w:pPr>
              <w:keepNext w:val="0"/>
              <w:keepLines w:val="0"/>
              <w:widowControl/>
              <w:suppressLineNumbers w:val="0"/>
              <w:jc w:val="center"/>
              <w:textAlignment w:val="center"/>
              <w:rPr>
                <w:rFonts w:hint="eastAsia" w:ascii="仿宋" w:hAnsi="仿宋" w:eastAsia="仿宋" w:cs="仿宋"/>
                <w:i w:val="0"/>
                <w:iCs w:val="0"/>
                <w:color w:val="FF0000"/>
                <w:sz w:val="22"/>
                <w:szCs w:val="22"/>
                <w:u w:val="none"/>
              </w:rPr>
            </w:pPr>
            <w:r>
              <w:rPr>
                <w:rFonts w:hint="eastAsia" w:ascii="仿宋" w:hAnsi="仿宋" w:eastAsia="仿宋" w:cs="仿宋"/>
                <w:i w:val="0"/>
                <w:iCs w:val="0"/>
                <w:color w:val="FF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7DC92">
            <w:pPr>
              <w:jc w:val="center"/>
              <w:rPr>
                <w:rFonts w:hint="eastAsia" w:ascii="仿宋" w:hAnsi="仿宋" w:eastAsia="仿宋" w:cs="仿宋"/>
                <w:i w:val="0"/>
                <w:iCs w:val="0"/>
                <w:color w:val="000000"/>
                <w:sz w:val="22"/>
                <w:szCs w:val="22"/>
                <w:u w:val="none"/>
              </w:rPr>
            </w:pPr>
          </w:p>
        </w:tc>
      </w:tr>
      <w:tr w14:paraId="4C96E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7BC9E876">
            <w:pPr>
              <w:jc w:val="center"/>
              <w:rPr>
                <w:rFonts w:hint="eastAsia" w:ascii="仿宋" w:hAnsi="仿宋" w:eastAsia="仿宋" w:cs="仿宋"/>
                <w:i w:val="0"/>
                <w:iCs w:val="0"/>
                <w:color w:val="000000"/>
                <w:sz w:val="22"/>
                <w:szCs w:val="22"/>
                <w:u w:val="none"/>
              </w:rPr>
            </w:pP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9E79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可持续性（6分）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B289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财政资金补助长效机制</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BE74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0D90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反映和考核是否有财政资金补助长效机制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DE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财政资金补助可持续性</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EB7BC">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①当年养老保险资金结余未出现亏损或财政部门对当年亏损在次年预算进行弥补，满分2分，否者零分；</w:t>
            </w:r>
            <w:r>
              <w:rPr>
                <w:rFonts w:hint="eastAsia" w:ascii="仿宋" w:hAnsi="仿宋" w:eastAsia="仿宋" w:cs="仿宋"/>
                <w:i w:val="0"/>
                <w:iCs w:val="0"/>
                <w:color w:val="000000"/>
                <w:kern w:val="0"/>
                <w:sz w:val="22"/>
                <w:szCs w:val="22"/>
                <w:u w:val="none"/>
                <w:lang w:val="en-US" w:eastAsia="zh-CN" w:bidi="ar"/>
              </w:rPr>
              <w:br w:type="textWrapping"/>
            </w:r>
            <w:r>
              <w:rPr>
                <w:rFonts w:hint="eastAsia" w:ascii="仿宋" w:hAnsi="仿宋" w:eastAsia="仿宋" w:cs="仿宋"/>
                <w:i w:val="0"/>
                <w:iCs w:val="0"/>
                <w:color w:val="000000"/>
                <w:kern w:val="0"/>
                <w:sz w:val="22"/>
                <w:szCs w:val="22"/>
                <w:u w:val="none"/>
                <w:lang w:val="en-US" w:eastAsia="zh-CN" w:bidi="ar"/>
              </w:rPr>
              <w:t>②丧葬金补助项目，次年财政列入预算，满分2分，否者零分。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7EA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AEEBF">
            <w:pPr>
              <w:jc w:val="center"/>
              <w:rPr>
                <w:rFonts w:hint="eastAsia" w:ascii="仿宋" w:hAnsi="仿宋" w:eastAsia="仿宋" w:cs="仿宋"/>
                <w:i w:val="0"/>
                <w:iCs w:val="0"/>
                <w:color w:val="000000"/>
                <w:sz w:val="22"/>
                <w:szCs w:val="22"/>
                <w:u w:val="none"/>
              </w:rPr>
            </w:pPr>
          </w:p>
        </w:tc>
      </w:tr>
      <w:tr w14:paraId="08567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47E4FF3D">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E7DFE">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2C4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基金静态可支付月数</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4C8C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D75F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反映和考核是否有财政资金补助长效机制</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20D2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≥59.98个月</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F9487">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依据达成率每少5%扣一分，扣完为止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C7AB0">
            <w:pPr>
              <w:keepNext w:val="0"/>
              <w:keepLines w:val="0"/>
              <w:widowControl/>
              <w:suppressLineNumbers w:val="0"/>
              <w:jc w:val="center"/>
              <w:textAlignment w:val="center"/>
              <w:rPr>
                <w:rFonts w:hint="eastAsia" w:ascii="仿宋" w:hAnsi="仿宋" w:eastAsia="仿宋" w:cs="仿宋"/>
                <w:i w:val="0"/>
                <w:iCs w:val="0"/>
                <w:color w:val="FF0000"/>
                <w:sz w:val="22"/>
                <w:szCs w:val="22"/>
                <w:u w:val="none"/>
              </w:rPr>
            </w:pPr>
            <w:r>
              <w:rPr>
                <w:rFonts w:hint="eastAsia" w:ascii="仿宋" w:hAnsi="仿宋" w:eastAsia="仿宋" w:cs="仿宋"/>
                <w:i w:val="0"/>
                <w:iCs w:val="0"/>
                <w:color w:val="FF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57E88">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r>
      <w:tr w14:paraId="3506C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74853B4D">
            <w:pPr>
              <w:jc w:val="center"/>
              <w:rPr>
                <w:rFonts w:hint="eastAsia" w:ascii="仿宋" w:hAnsi="仿宋" w:eastAsia="仿宋" w:cs="仿宋"/>
                <w:i w:val="0"/>
                <w:iCs w:val="0"/>
                <w:color w:val="000000"/>
                <w:sz w:val="22"/>
                <w:szCs w:val="22"/>
                <w:u w:val="none"/>
              </w:rPr>
            </w:pP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24EB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满意度（5分）</w:t>
            </w: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0F32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投诉办结率</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952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459E8">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22"/>
                <w:rFonts w:eastAsia="宋体"/>
                <w:lang w:val="en-US" w:eastAsia="zh-CN" w:bidi="ar"/>
              </w:rPr>
              <w:t xml:space="preserve">7 </w:t>
            </w:r>
            <w:r>
              <w:rPr>
                <w:rStyle w:val="23"/>
                <w:lang w:val="en-US" w:eastAsia="zh-CN" w:bidi="ar"/>
              </w:rPr>
              <w:t>日内响应</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FA39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5733" w:type="dxa"/>
            <w:tcBorders>
              <w:top w:val="nil"/>
              <w:left w:val="nil"/>
              <w:bottom w:val="nil"/>
              <w:right w:val="nil"/>
            </w:tcBorders>
            <w:shd w:val="clear" w:color="auto" w:fill="auto"/>
            <w:noWrap/>
            <w:vAlign w:val="center"/>
          </w:tcPr>
          <w:p w14:paraId="25A41C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投诉及时不扣分，不及时比率每达5%扣1分，扣完为止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9C9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34CDD">
            <w:pPr>
              <w:jc w:val="left"/>
              <w:rPr>
                <w:rFonts w:hint="eastAsia" w:ascii="仿宋" w:hAnsi="仿宋" w:eastAsia="仿宋" w:cs="仿宋"/>
                <w:i w:val="0"/>
                <w:iCs w:val="0"/>
                <w:color w:val="000000"/>
                <w:sz w:val="22"/>
                <w:szCs w:val="22"/>
                <w:u w:val="none"/>
              </w:rPr>
            </w:pPr>
          </w:p>
        </w:tc>
      </w:tr>
      <w:tr w14:paraId="451F5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56" w:type="dxa"/>
            <w:vMerge w:val="continue"/>
            <w:tcBorders>
              <w:top w:val="single" w:color="000000" w:sz="4" w:space="0"/>
              <w:left w:val="single" w:color="000000" w:sz="4" w:space="0"/>
              <w:bottom w:val="nil"/>
              <w:right w:val="single" w:color="000000" w:sz="4" w:space="0"/>
            </w:tcBorders>
            <w:shd w:val="clear" w:color="auto" w:fill="auto"/>
            <w:vAlign w:val="center"/>
          </w:tcPr>
          <w:p w14:paraId="567EC4B3">
            <w:pPr>
              <w:jc w:val="center"/>
              <w:rPr>
                <w:rFonts w:hint="eastAsia" w:ascii="仿宋" w:hAnsi="仿宋" w:eastAsia="仿宋" w:cs="仿宋"/>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229AA">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9D01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参保人员对社保机构服务满意度</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E105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46A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参保人员对项目实施效果的满意程度。</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D538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≥90%</w:t>
            </w: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40BB9">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根据调查问卷，参保者满意度90%以上，得满分；小于90%且大于等于80%的得3分；小于80%且大于等于60%的得1分；小于60%不得分。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C429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A3A61">
            <w:pPr>
              <w:jc w:val="center"/>
              <w:rPr>
                <w:rFonts w:hint="eastAsia" w:ascii="仿宋" w:hAnsi="仿宋" w:eastAsia="仿宋" w:cs="仿宋"/>
                <w:i w:val="0"/>
                <w:iCs w:val="0"/>
                <w:color w:val="000000"/>
                <w:sz w:val="22"/>
                <w:szCs w:val="22"/>
                <w:u w:val="none"/>
              </w:rPr>
            </w:pPr>
          </w:p>
        </w:tc>
      </w:tr>
      <w:tr w14:paraId="4BDE3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AFC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总分值</w:t>
            </w:r>
          </w:p>
        </w:tc>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A6229">
            <w:pPr>
              <w:jc w:val="center"/>
              <w:rPr>
                <w:rFonts w:hint="eastAsia" w:ascii="仿宋" w:hAnsi="仿宋" w:eastAsia="仿宋" w:cs="仿宋"/>
                <w:i w:val="0"/>
                <w:iCs w:val="0"/>
                <w:color w:val="000000"/>
                <w:sz w:val="22"/>
                <w:szCs w:val="22"/>
                <w:u w:val="none"/>
              </w:rPr>
            </w:pPr>
          </w:p>
        </w:tc>
        <w:tc>
          <w:tcPr>
            <w:tcW w:w="8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3C684">
            <w:pPr>
              <w:jc w:val="center"/>
              <w:rPr>
                <w:rFonts w:hint="eastAsia" w:ascii="仿宋" w:hAnsi="仿宋" w:eastAsia="仿宋" w:cs="仿宋"/>
                <w:i w:val="0"/>
                <w:iCs w:val="0"/>
                <w:color w:val="000000"/>
                <w:sz w:val="22"/>
                <w:szCs w:val="22"/>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9AF6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F8C03">
            <w:pPr>
              <w:jc w:val="center"/>
              <w:rPr>
                <w:rFonts w:hint="eastAsia" w:ascii="仿宋" w:hAnsi="仿宋" w:eastAsia="仿宋" w:cs="仿宋"/>
                <w:i w:val="0"/>
                <w:iCs w:val="0"/>
                <w:color w:val="000000"/>
                <w:sz w:val="22"/>
                <w:szCs w:val="22"/>
                <w:u w:val="none"/>
              </w:rPr>
            </w:pP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C52AA">
            <w:pPr>
              <w:jc w:val="center"/>
              <w:rPr>
                <w:rFonts w:hint="eastAsia" w:ascii="仿宋" w:hAnsi="仿宋" w:eastAsia="仿宋" w:cs="仿宋"/>
                <w:i w:val="0"/>
                <w:iCs w:val="0"/>
                <w:color w:val="000000"/>
                <w:sz w:val="22"/>
                <w:szCs w:val="22"/>
                <w:u w:val="none"/>
              </w:rPr>
            </w:pPr>
          </w:p>
        </w:tc>
        <w:tc>
          <w:tcPr>
            <w:tcW w:w="5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7554">
            <w:pPr>
              <w:jc w:val="left"/>
              <w:rPr>
                <w:rFonts w:hint="eastAsia" w:ascii="仿宋" w:hAnsi="仿宋" w:eastAsia="仿宋" w:cs="仿宋"/>
                <w:i w:val="0"/>
                <w:iCs w:val="0"/>
                <w:color w:val="000000"/>
                <w:sz w:val="22"/>
                <w:szCs w:val="22"/>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AD787">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92.62</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624A7">
            <w:pPr>
              <w:jc w:val="center"/>
              <w:rPr>
                <w:rFonts w:hint="eastAsia" w:ascii="仿宋" w:hAnsi="仿宋" w:eastAsia="仿宋" w:cs="仿宋"/>
                <w:i w:val="0"/>
                <w:iCs w:val="0"/>
                <w:color w:val="000000"/>
                <w:sz w:val="22"/>
                <w:szCs w:val="22"/>
                <w:u w:val="none"/>
              </w:rPr>
            </w:pPr>
          </w:p>
        </w:tc>
      </w:tr>
    </w:tbl>
    <w:p w14:paraId="0116D8E6">
      <w:pPr>
        <w:pStyle w:val="14"/>
        <w:pageBreakBefore w:val="0"/>
        <w:kinsoku/>
        <w:overflowPunct/>
        <w:topLinePunct w:val="0"/>
        <w:autoSpaceDE/>
        <w:autoSpaceDN/>
        <w:bidi w:val="0"/>
        <w:adjustRightInd/>
        <w:snapToGrid/>
        <w:spacing w:before="157" w:beforeLines="50" w:after="157" w:afterLines="50" w:line="560" w:lineRule="exact"/>
        <w:rPr>
          <w:rFonts w:hint="eastAsia" w:ascii="仿宋" w:hAnsi="仿宋" w:eastAsia="仿宋" w:cs="仿宋"/>
          <w:color w:val="auto"/>
          <w:kern w:val="2"/>
          <w:sz w:val="32"/>
          <w:szCs w:val="24"/>
          <w:highlight w:val="none"/>
          <w:lang w:val="en-US" w:eastAsia="zh-CN" w:bidi="ar-SA"/>
        </w:rPr>
      </w:pPr>
    </w:p>
    <w:sectPr>
      <w:pgSz w:w="16838" w:h="11906" w:orient="landscape"/>
      <w:pgMar w:top="1800" w:right="1440" w:bottom="1800" w:left="144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569F16B-FC4C-4508-8435-82893D2F512C}"/>
  </w:font>
  <w:font w:name="黑体">
    <w:panose1 w:val="02010609060101010101"/>
    <w:charset w:val="86"/>
    <w:family w:val="auto"/>
    <w:pitch w:val="default"/>
    <w:sig w:usb0="800002BF" w:usb1="38CF7CFA" w:usb2="00000016" w:usb3="00000000" w:csb0="00040001" w:csb1="00000000"/>
    <w:embedRegular r:id="rId2" w:fontKey="{83EFF9DE-B5D3-41DF-87EF-4A389EA10F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3" w:fontKey="{8F008937-123E-4D53-9342-9F3D7D64C362}"/>
  </w:font>
  <w:font w:name="方正大标宋_GBK">
    <w:altName w:val="宋体"/>
    <w:panose1 w:val="02000000000000000000"/>
    <w:charset w:val="86"/>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embedRegular r:id="rId4" w:fontKey="{3AC5467B-EF87-4CA9-867C-B0B16C33FEF5}"/>
  </w:font>
  <w:font w:name="仿宋_GB2312">
    <w:altName w:val="仿宋"/>
    <w:panose1 w:val="00000000000000000000"/>
    <w:charset w:val="00"/>
    <w:family w:val="auto"/>
    <w:pitch w:val="default"/>
    <w:sig w:usb0="00000000" w:usb1="00000000" w:usb2="00000000" w:usb3="00000000" w:csb0="00000000" w:csb1="00000000"/>
  </w:font>
  <w:font w:name="方正小标宋_GBK">
    <w:altName w:val="微软雅黑"/>
    <w:panose1 w:val="02000000000000000000"/>
    <w:charset w:val="86"/>
    <w:family w:val="auto"/>
    <w:pitch w:val="default"/>
    <w:sig w:usb0="00000000" w:usb1="00000000" w:usb2="00082016" w:usb3="00000000" w:csb0="00040001" w:csb1="00000000"/>
    <w:embedRegular r:id="rId5" w:fontKey="{04434BFB-5455-44B7-ACEB-543E0911339C}"/>
  </w:font>
  <w:font w:name="Arial Unicode MS">
    <w:altName w:val="宋体"/>
    <w:panose1 w:val="020B0604020202020204"/>
    <w:charset w:val="86"/>
    <w:family w:val="auto"/>
    <w:pitch w:val="default"/>
    <w:sig w:usb0="00000000" w:usb1="00000000" w:usb2="0000003F" w:usb3="00000000" w:csb0="603F01FF" w:csb1="FFFF0000"/>
  </w:font>
  <w:font w:name="方正公文小标宋">
    <w:panose1 w:val="02000500000000000000"/>
    <w:charset w:val="86"/>
    <w:family w:val="auto"/>
    <w:pitch w:val="default"/>
    <w:sig w:usb0="A00002BF" w:usb1="38CF7CFA" w:usb2="00000016" w:usb3="00000000" w:csb0="00040001" w:csb1="00000000"/>
    <w:embedRegular r:id="rId6" w:fontKey="{7E1E288B-B2B8-40FD-8F09-99779460DF3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F0F84">
    <w:pPr>
      <w:pStyle w:val="7"/>
      <w:ind w:firstLine="0" w:firstLineChars="0"/>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3B76E5">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553B76E5">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188</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587B3">
    <w:pPr>
      <w:pStyle w:val="7"/>
      <w:ind w:firstLine="0" w:firstLineChars="0"/>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763F27">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188</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A763F27">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188</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BB584">
    <w:pPr>
      <w:pStyle w:val="8"/>
      <w:ind w:left="3060" w:hanging="3060" w:hangingChars="1700"/>
      <w:jc w:val="left"/>
    </w:pPr>
    <w:r>
      <w:rPr>
        <w:rFonts w:hint="eastAsia"/>
        <w:lang w:val="en-US" w:eastAsia="zh-CN"/>
      </w:rPr>
      <w:t xml:space="preserve">湖北晓智财务有限公司          </w:t>
    </w:r>
    <w:r>
      <w:rPr>
        <w:rFonts w:hint="eastAsia"/>
      </w:rPr>
      <w:t xml:space="preserve">   </w:t>
    </w:r>
    <w:r>
      <w:rPr>
        <w:rFonts w:hint="eastAsia"/>
        <w:lang w:val="en-US" w:eastAsia="zh-CN"/>
      </w:rPr>
      <w:t xml:space="preserve">     </w:t>
    </w:r>
    <w:r>
      <w:rPr>
        <w:rFonts w:hint="eastAsia"/>
      </w:rPr>
      <w:t xml:space="preserve">    阳新县</w:t>
    </w:r>
    <w:r>
      <w:rPr>
        <w:rFonts w:hint="eastAsia"/>
        <w:lang w:val="en-US" w:eastAsia="zh-CN"/>
      </w:rPr>
      <w:t>2024年城乡居民养老保险基金项目绩效</w:t>
    </w:r>
    <w:r>
      <w:rPr>
        <w:rFonts w:hint="eastAsia"/>
      </w:rPr>
      <w:t>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5EA96">
    <w:pPr>
      <w:pStyle w:val="8"/>
    </w:pPr>
    <w:r>
      <w:rPr>
        <w:rFonts w:hint="eastAsia"/>
        <w:lang w:val="en-US" w:eastAsia="zh-CN"/>
      </w:rPr>
      <w:t xml:space="preserve">湖北晓智财务有限公司                 </w:t>
    </w:r>
    <w:r>
      <w:rPr>
        <w:rFonts w:hint="eastAsia"/>
      </w:rPr>
      <w:t>阳新县2024年城乡居民养老保险基金项目绩效评价报告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96250A"/>
    <w:rsid w:val="00567B1C"/>
    <w:rsid w:val="00693CB3"/>
    <w:rsid w:val="015B446A"/>
    <w:rsid w:val="01893391"/>
    <w:rsid w:val="01953CAC"/>
    <w:rsid w:val="02A041DE"/>
    <w:rsid w:val="0365214C"/>
    <w:rsid w:val="03C4483F"/>
    <w:rsid w:val="03C479C8"/>
    <w:rsid w:val="03F55B9E"/>
    <w:rsid w:val="0425785D"/>
    <w:rsid w:val="04777302"/>
    <w:rsid w:val="04847877"/>
    <w:rsid w:val="048518A4"/>
    <w:rsid w:val="04BA7570"/>
    <w:rsid w:val="04F67304"/>
    <w:rsid w:val="04FA6125"/>
    <w:rsid w:val="054F6046"/>
    <w:rsid w:val="05F67D64"/>
    <w:rsid w:val="06636B26"/>
    <w:rsid w:val="06803639"/>
    <w:rsid w:val="068A38F8"/>
    <w:rsid w:val="06A022CB"/>
    <w:rsid w:val="073A6753"/>
    <w:rsid w:val="07526710"/>
    <w:rsid w:val="07A146DE"/>
    <w:rsid w:val="07B0512D"/>
    <w:rsid w:val="07B11FAD"/>
    <w:rsid w:val="07B509B3"/>
    <w:rsid w:val="08544830"/>
    <w:rsid w:val="08610D97"/>
    <w:rsid w:val="08683CE2"/>
    <w:rsid w:val="08AF0BCB"/>
    <w:rsid w:val="091647BE"/>
    <w:rsid w:val="09B94415"/>
    <w:rsid w:val="09F124DC"/>
    <w:rsid w:val="0A0D1E0C"/>
    <w:rsid w:val="0A2F3646"/>
    <w:rsid w:val="0A796F3D"/>
    <w:rsid w:val="0ACD78AC"/>
    <w:rsid w:val="0B067E26"/>
    <w:rsid w:val="0B426986"/>
    <w:rsid w:val="0B4E34C6"/>
    <w:rsid w:val="0B943679"/>
    <w:rsid w:val="0C0E109E"/>
    <w:rsid w:val="0C336D77"/>
    <w:rsid w:val="0C4A7893"/>
    <w:rsid w:val="0D352639"/>
    <w:rsid w:val="0D3A4542"/>
    <w:rsid w:val="0D402AEC"/>
    <w:rsid w:val="0D817B82"/>
    <w:rsid w:val="0D8920BA"/>
    <w:rsid w:val="0DC24E06"/>
    <w:rsid w:val="0DCF7841"/>
    <w:rsid w:val="0E2449B2"/>
    <w:rsid w:val="0E413A70"/>
    <w:rsid w:val="0EA75449"/>
    <w:rsid w:val="0ED1566D"/>
    <w:rsid w:val="0EF13826"/>
    <w:rsid w:val="0EF14571"/>
    <w:rsid w:val="0F0B47BD"/>
    <w:rsid w:val="0FB726D8"/>
    <w:rsid w:val="0FE64614"/>
    <w:rsid w:val="100F32A4"/>
    <w:rsid w:val="10BF6AFE"/>
    <w:rsid w:val="10C50071"/>
    <w:rsid w:val="112A0531"/>
    <w:rsid w:val="11927BC8"/>
    <w:rsid w:val="119618E8"/>
    <w:rsid w:val="11AB600B"/>
    <w:rsid w:val="11B13797"/>
    <w:rsid w:val="11E25A4F"/>
    <w:rsid w:val="11E44848"/>
    <w:rsid w:val="11F96B83"/>
    <w:rsid w:val="1202325C"/>
    <w:rsid w:val="127C0468"/>
    <w:rsid w:val="12DF0986"/>
    <w:rsid w:val="135F4757"/>
    <w:rsid w:val="13A57D44"/>
    <w:rsid w:val="13B74DE6"/>
    <w:rsid w:val="13CD7229"/>
    <w:rsid w:val="141D5E0F"/>
    <w:rsid w:val="145D0D13"/>
    <w:rsid w:val="14831037"/>
    <w:rsid w:val="149A5F4E"/>
    <w:rsid w:val="14A10D92"/>
    <w:rsid w:val="14AA5673"/>
    <w:rsid w:val="14CC6EAC"/>
    <w:rsid w:val="14D1667B"/>
    <w:rsid w:val="14E03A41"/>
    <w:rsid w:val="154D00C5"/>
    <w:rsid w:val="15A861C9"/>
    <w:rsid w:val="160B7F78"/>
    <w:rsid w:val="16265E64"/>
    <w:rsid w:val="16CE0C41"/>
    <w:rsid w:val="176E6D12"/>
    <w:rsid w:val="177E1C99"/>
    <w:rsid w:val="17845DA0"/>
    <w:rsid w:val="17D313A3"/>
    <w:rsid w:val="18221F62"/>
    <w:rsid w:val="183539C6"/>
    <w:rsid w:val="18BA55A9"/>
    <w:rsid w:val="18BE7B6B"/>
    <w:rsid w:val="18FF22A3"/>
    <w:rsid w:val="191B4BBD"/>
    <w:rsid w:val="193052BC"/>
    <w:rsid w:val="19A215AC"/>
    <w:rsid w:val="19DD2D01"/>
    <w:rsid w:val="1AA938E9"/>
    <w:rsid w:val="1AC87306"/>
    <w:rsid w:val="1AF24BE0"/>
    <w:rsid w:val="1AF80434"/>
    <w:rsid w:val="1B436EEA"/>
    <w:rsid w:val="1C042CFE"/>
    <w:rsid w:val="1C1C4923"/>
    <w:rsid w:val="1C4508ED"/>
    <w:rsid w:val="1CAB7F4A"/>
    <w:rsid w:val="1D353C90"/>
    <w:rsid w:val="1D365D96"/>
    <w:rsid w:val="1D5412D8"/>
    <w:rsid w:val="1D7A4A37"/>
    <w:rsid w:val="1DF35D7D"/>
    <w:rsid w:val="1EB61344"/>
    <w:rsid w:val="1F464788"/>
    <w:rsid w:val="1FAE0C8A"/>
    <w:rsid w:val="1FEA526B"/>
    <w:rsid w:val="1FFB5DDC"/>
    <w:rsid w:val="201D2128"/>
    <w:rsid w:val="20237B00"/>
    <w:rsid w:val="20297829"/>
    <w:rsid w:val="202C7E22"/>
    <w:rsid w:val="202F346E"/>
    <w:rsid w:val="20457D67"/>
    <w:rsid w:val="20CA48D9"/>
    <w:rsid w:val="218E30D2"/>
    <w:rsid w:val="22313DB0"/>
    <w:rsid w:val="22D0502F"/>
    <w:rsid w:val="24A32186"/>
    <w:rsid w:val="24B009BC"/>
    <w:rsid w:val="24B73BCA"/>
    <w:rsid w:val="24EA3120"/>
    <w:rsid w:val="251371A5"/>
    <w:rsid w:val="25750BE1"/>
    <w:rsid w:val="25BE30F8"/>
    <w:rsid w:val="25C20A94"/>
    <w:rsid w:val="25D172BE"/>
    <w:rsid w:val="25D6584F"/>
    <w:rsid w:val="25FE2B31"/>
    <w:rsid w:val="2632693A"/>
    <w:rsid w:val="26795443"/>
    <w:rsid w:val="26CB18DC"/>
    <w:rsid w:val="2700280A"/>
    <w:rsid w:val="270376B4"/>
    <w:rsid w:val="279A7908"/>
    <w:rsid w:val="27CC3BC0"/>
    <w:rsid w:val="27F33FEA"/>
    <w:rsid w:val="27FE6EAA"/>
    <w:rsid w:val="28117CD7"/>
    <w:rsid w:val="28154C3F"/>
    <w:rsid w:val="285A4F5C"/>
    <w:rsid w:val="28A72075"/>
    <w:rsid w:val="29DF1C7B"/>
    <w:rsid w:val="2A5B478B"/>
    <w:rsid w:val="2ADA635E"/>
    <w:rsid w:val="2B144BF3"/>
    <w:rsid w:val="2B9608D4"/>
    <w:rsid w:val="2BD61589"/>
    <w:rsid w:val="2BE47802"/>
    <w:rsid w:val="2C917ABE"/>
    <w:rsid w:val="2CAE117D"/>
    <w:rsid w:val="2CD957D0"/>
    <w:rsid w:val="2CFE48F4"/>
    <w:rsid w:val="2D172DB1"/>
    <w:rsid w:val="2D466457"/>
    <w:rsid w:val="2D8A7EF9"/>
    <w:rsid w:val="2D940755"/>
    <w:rsid w:val="2D9A265E"/>
    <w:rsid w:val="2E0624F1"/>
    <w:rsid w:val="2E1D2C38"/>
    <w:rsid w:val="2E3063D5"/>
    <w:rsid w:val="2EB86815"/>
    <w:rsid w:val="2EF37D5C"/>
    <w:rsid w:val="2F59133A"/>
    <w:rsid w:val="2F86523C"/>
    <w:rsid w:val="2F9665D8"/>
    <w:rsid w:val="2FAD369B"/>
    <w:rsid w:val="2FDF7015"/>
    <w:rsid w:val="30314FE0"/>
    <w:rsid w:val="30A76A5E"/>
    <w:rsid w:val="30C7600D"/>
    <w:rsid w:val="30CC54B3"/>
    <w:rsid w:val="31007E65"/>
    <w:rsid w:val="3137414F"/>
    <w:rsid w:val="319C6071"/>
    <w:rsid w:val="31D12197"/>
    <w:rsid w:val="3245371B"/>
    <w:rsid w:val="32584A65"/>
    <w:rsid w:val="3261426C"/>
    <w:rsid w:val="328E67BB"/>
    <w:rsid w:val="33C05D77"/>
    <w:rsid w:val="33F82B82"/>
    <w:rsid w:val="34003E18"/>
    <w:rsid w:val="341C04D0"/>
    <w:rsid w:val="342908A0"/>
    <w:rsid w:val="34336CC1"/>
    <w:rsid w:val="344B3EC9"/>
    <w:rsid w:val="34585EB7"/>
    <w:rsid w:val="346327CA"/>
    <w:rsid w:val="346B298C"/>
    <w:rsid w:val="349922B9"/>
    <w:rsid w:val="34CD2A31"/>
    <w:rsid w:val="34E05E61"/>
    <w:rsid w:val="34F760D5"/>
    <w:rsid w:val="350606FD"/>
    <w:rsid w:val="351F4050"/>
    <w:rsid w:val="355443ED"/>
    <w:rsid w:val="356D5A32"/>
    <w:rsid w:val="35831767"/>
    <w:rsid w:val="35F72828"/>
    <w:rsid w:val="368677C7"/>
    <w:rsid w:val="36DB148C"/>
    <w:rsid w:val="36EA149A"/>
    <w:rsid w:val="372904E3"/>
    <w:rsid w:val="373F2EE8"/>
    <w:rsid w:val="374722CF"/>
    <w:rsid w:val="37625740"/>
    <w:rsid w:val="37CE559C"/>
    <w:rsid w:val="37D746BF"/>
    <w:rsid w:val="3850049E"/>
    <w:rsid w:val="38A36879"/>
    <w:rsid w:val="38C012BC"/>
    <w:rsid w:val="39095285"/>
    <w:rsid w:val="394F702A"/>
    <w:rsid w:val="39752736"/>
    <w:rsid w:val="399B4D9E"/>
    <w:rsid w:val="39BD1208"/>
    <w:rsid w:val="39EB4452"/>
    <w:rsid w:val="3A227FEF"/>
    <w:rsid w:val="3A5F7E54"/>
    <w:rsid w:val="3AE23E56"/>
    <w:rsid w:val="3AE327E8"/>
    <w:rsid w:val="3AFC2991"/>
    <w:rsid w:val="3B0806B1"/>
    <w:rsid w:val="3BE81654"/>
    <w:rsid w:val="3C16066D"/>
    <w:rsid w:val="3CD16A44"/>
    <w:rsid w:val="3CFB1203"/>
    <w:rsid w:val="3D6B67D2"/>
    <w:rsid w:val="3D7725E5"/>
    <w:rsid w:val="3D9C2B04"/>
    <w:rsid w:val="3DBD2D59"/>
    <w:rsid w:val="3DD130B5"/>
    <w:rsid w:val="3E995BBF"/>
    <w:rsid w:val="3E9B4FD9"/>
    <w:rsid w:val="3EA34660"/>
    <w:rsid w:val="3EB178A5"/>
    <w:rsid w:val="3EB95466"/>
    <w:rsid w:val="3EBC4E7A"/>
    <w:rsid w:val="3EC040FF"/>
    <w:rsid w:val="3EC36F33"/>
    <w:rsid w:val="3F1450BC"/>
    <w:rsid w:val="3F176EB6"/>
    <w:rsid w:val="3F520BF1"/>
    <w:rsid w:val="3F954B5E"/>
    <w:rsid w:val="3F99130D"/>
    <w:rsid w:val="3FB91A54"/>
    <w:rsid w:val="3FF57DD8"/>
    <w:rsid w:val="402F613F"/>
    <w:rsid w:val="404A4866"/>
    <w:rsid w:val="40D13D41"/>
    <w:rsid w:val="40E20083"/>
    <w:rsid w:val="41022AC5"/>
    <w:rsid w:val="4158647B"/>
    <w:rsid w:val="419F644D"/>
    <w:rsid w:val="41A0173B"/>
    <w:rsid w:val="421513CB"/>
    <w:rsid w:val="42F951EF"/>
    <w:rsid w:val="42FC322C"/>
    <w:rsid w:val="42FC61A4"/>
    <w:rsid w:val="440C4C78"/>
    <w:rsid w:val="44ED30A1"/>
    <w:rsid w:val="4512583F"/>
    <w:rsid w:val="461A028F"/>
    <w:rsid w:val="461E4E80"/>
    <w:rsid w:val="46264B02"/>
    <w:rsid w:val="46A936CA"/>
    <w:rsid w:val="47A8634D"/>
    <w:rsid w:val="47D2285B"/>
    <w:rsid w:val="47DE6C76"/>
    <w:rsid w:val="47FB0515"/>
    <w:rsid w:val="4829546D"/>
    <w:rsid w:val="4841289B"/>
    <w:rsid w:val="486637E6"/>
    <w:rsid w:val="48DE2EB6"/>
    <w:rsid w:val="48F32F3B"/>
    <w:rsid w:val="49190F7D"/>
    <w:rsid w:val="499D6ED5"/>
    <w:rsid w:val="49A639A8"/>
    <w:rsid w:val="4A272DA8"/>
    <w:rsid w:val="4A7B6F65"/>
    <w:rsid w:val="4AA8710A"/>
    <w:rsid w:val="4AD11442"/>
    <w:rsid w:val="4C0E7CD6"/>
    <w:rsid w:val="4CB644F0"/>
    <w:rsid w:val="4CC474A3"/>
    <w:rsid w:val="4D354BFE"/>
    <w:rsid w:val="4EB54731"/>
    <w:rsid w:val="4ED92533"/>
    <w:rsid w:val="4F636E07"/>
    <w:rsid w:val="4F6713FC"/>
    <w:rsid w:val="4F92667C"/>
    <w:rsid w:val="4FD574C4"/>
    <w:rsid w:val="500707B0"/>
    <w:rsid w:val="505D6AF3"/>
    <w:rsid w:val="50747A0E"/>
    <w:rsid w:val="50AC1E96"/>
    <w:rsid w:val="51451206"/>
    <w:rsid w:val="51514940"/>
    <w:rsid w:val="515A39AC"/>
    <w:rsid w:val="519C6BF2"/>
    <w:rsid w:val="51D20DCB"/>
    <w:rsid w:val="51E67A6C"/>
    <w:rsid w:val="5206251F"/>
    <w:rsid w:val="520F42B6"/>
    <w:rsid w:val="5217603C"/>
    <w:rsid w:val="52781559"/>
    <w:rsid w:val="52AD3FB1"/>
    <w:rsid w:val="52DA04FF"/>
    <w:rsid w:val="52FA50B9"/>
    <w:rsid w:val="534F37BA"/>
    <w:rsid w:val="535E4700"/>
    <w:rsid w:val="539A61B8"/>
    <w:rsid w:val="53ED669B"/>
    <w:rsid w:val="54041CF5"/>
    <w:rsid w:val="540950CA"/>
    <w:rsid w:val="551F1837"/>
    <w:rsid w:val="55845A74"/>
    <w:rsid w:val="55B619AB"/>
    <w:rsid w:val="56425DC2"/>
    <w:rsid w:val="56671E9D"/>
    <w:rsid w:val="577861BC"/>
    <w:rsid w:val="58AF20D1"/>
    <w:rsid w:val="58B15E90"/>
    <w:rsid w:val="58E9186D"/>
    <w:rsid w:val="59757F05"/>
    <w:rsid w:val="59826569"/>
    <w:rsid w:val="59AD6BD6"/>
    <w:rsid w:val="59D714F6"/>
    <w:rsid w:val="5A0C06CB"/>
    <w:rsid w:val="5A1D63E7"/>
    <w:rsid w:val="5A217462"/>
    <w:rsid w:val="5A750CDD"/>
    <w:rsid w:val="5A8C0E92"/>
    <w:rsid w:val="5AB75B90"/>
    <w:rsid w:val="5B46060A"/>
    <w:rsid w:val="5B691514"/>
    <w:rsid w:val="5B745285"/>
    <w:rsid w:val="5BD90156"/>
    <w:rsid w:val="5C250EF0"/>
    <w:rsid w:val="5C323358"/>
    <w:rsid w:val="5C381F5A"/>
    <w:rsid w:val="5C4B0AF2"/>
    <w:rsid w:val="5C7B1749"/>
    <w:rsid w:val="5CA165A5"/>
    <w:rsid w:val="5CD30587"/>
    <w:rsid w:val="5CE74D44"/>
    <w:rsid w:val="5D7828E6"/>
    <w:rsid w:val="5DA659B4"/>
    <w:rsid w:val="5DC80482"/>
    <w:rsid w:val="5DEE2524"/>
    <w:rsid w:val="5DF22942"/>
    <w:rsid w:val="5E6B69F6"/>
    <w:rsid w:val="5E880F3C"/>
    <w:rsid w:val="5EA35AED"/>
    <w:rsid w:val="5ED12060"/>
    <w:rsid w:val="5EDA252D"/>
    <w:rsid w:val="5F447FDD"/>
    <w:rsid w:val="5FAB0596"/>
    <w:rsid w:val="5FCC73FE"/>
    <w:rsid w:val="60002310"/>
    <w:rsid w:val="601C57A4"/>
    <w:rsid w:val="60825D61"/>
    <w:rsid w:val="60A5501C"/>
    <w:rsid w:val="60BD6476"/>
    <w:rsid w:val="61F562F2"/>
    <w:rsid w:val="626B1130"/>
    <w:rsid w:val="626C4988"/>
    <w:rsid w:val="629848C7"/>
    <w:rsid w:val="62A50A9C"/>
    <w:rsid w:val="62AC7970"/>
    <w:rsid w:val="62CA46BF"/>
    <w:rsid w:val="62D1434A"/>
    <w:rsid w:val="62FB2789"/>
    <w:rsid w:val="631A3196"/>
    <w:rsid w:val="63747452"/>
    <w:rsid w:val="63B4491F"/>
    <w:rsid w:val="63CC711C"/>
    <w:rsid w:val="63D970DD"/>
    <w:rsid w:val="642A77A1"/>
    <w:rsid w:val="643160EE"/>
    <w:rsid w:val="64AC380F"/>
    <w:rsid w:val="65680A32"/>
    <w:rsid w:val="65856CCD"/>
    <w:rsid w:val="658F2F2B"/>
    <w:rsid w:val="659708E7"/>
    <w:rsid w:val="65A934F5"/>
    <w:rsid w:val="667C5132"/>
    <w:rsid w:val="66C023A3"/>
    <w:rsid w:val="66C96BA8"/>
    <w:rsid w:val="66E84D14"/>
    <w:rsid w:val="67044A5E"/>
    <w:rsid w:val="671A5DF8"/>
    <w:rsid w:val="674212A6"/>
    <w:rsid w:val="67564D51"/>
    <w:rsid w:val="676B36C2"/>
    <w:rsid w:val="67EB71CB"/>
    <w:rsid w:val="684A6627"/>
    <w:rsid w:val="68502248"/>
    <w:rsid w:val="68713461"/>
    <w:rsid w:val="68EA5837"/>
    <w:rsid w:val="69482477"/>
    <w:rsid w:val="6B7928A2"/>
    <w:rsid w:val="6BCF7A9D"/>
    <w:rsid w:val="6C027425"/>
    <w:rsid w:val="6CB829EE"/>
    <w:rsid w:val="6D2B765B"/>
    <w:rsid w:val="6D8D42B8"/>
    <w:rsid w:val="6DE17ED2"/>
    <w:rsid w:val="6DE3266B"/>
    <w:rsid w:val="6E3C4D68"/>
    <w:rsid w:val="6E5C003C"/>
    <w:rsid w:val="6E684C5C"/>
    <w:rsid w:val="6E711D3F"/>
    <w:rsid w:val="6E8C40E8"/>
    <w:rsid w:val="6F595BAD"/>
    <w:rsid w:val="6F8A0AB8"/>
    <w:rsid w:val="6F8B78DC"/>
    <w:rsid w:val="7014565A"/>
    <w:rsid w:val="707D0B1B"/>
    <w:rsid w:val="70F224AF"/>
    <w:rsid w:val="719D0BF2"/>
    <w:rsid w:val="7204769D"/>
    <w:rsid w:val="72886033"/>
    <w:rsid w:val="72B03039"/>
    <w:rsid w:val="72B64306"/>
    <w:rsid w:val="72C05852"/>
    <w:rsid w:val="733B7399"/>
    <w:rsid w:val="74034E50"/>
    <w:rsid w:val="74432492"/>
    <w:rsid w:val="74663604"/>
    <w:rsid w:val="747A0055"/>
    <w:rsid w:val="74852401"/>
    <w:rsid w:val="74923C14"/>
    <w:rsid w:val="74A878F0"/>
    <w:rsid w:val="75346176"/>
    <w:rsid w:val="7555340F"/>
    <w:rsid w:val="75A02087"/>
    <w:rsid w:val="75B15870"/>
    <w:rsid w:val="76123CE0"/>
    <w:rsid w:val="766A3BC8"/>
    <w:rsid w:val="77387FCF"/>
    <w:rsid w:val="77647D41"/>
    <w:rsid w:val="7796250A"/>
    <w:rsid w:val="77D23D44"/>
    <w:rsid w:val="77F064C5"/>
    <w:rsid w:val="784400DC"/>
    <w:rsid w:val="78677D85"/>
    <w:rsid w:val="788543C8"/>
    <w:rsid w:val="78967EE6"/>
    <w:rsid w:val="78C7785D"/>
    <w:rsid w:val="78D20C44"/>
    <w:rsid w:val="78EB6C36"/>
    <w:rsid w:val="79700F04"/>
    <w:rsid w:val="79C00DCD"/>
    <w:rsid w:val="79CD2161"/>
    <w:rsid w:val="7A5213A8"/>
    <w:rsid w:val="7A6300D6"/>
    <w:rsid w:val="7AB21E46"/>
    <w:rsid w:val="7AD74FC0"/>
    <w:rsid w:val="7B231CA5"/>
    <w:rsid w:val="7B51165F"/>
    <w:rsid w:val="7B7F4658"/>
    <w:rsid w:val="7B83215E"/>
    <w:rsid w:val="7BC76D02"/>
    <w:rsid w:val="7BD86D3E"/>
    <w:rsid w:val="7C07400A"/>
    <w:rsid w:val="7CBE5111"/>
    <w:rsid w:val="7CEB7B00"/>
    <w:rsid w:val="7CF01479"/>
    <w:rsid w:val="7D063F2D"/>
    <w:rsid w:val="7D1960A2"/>
    <w:rsid w:val="7D476486"/>
    <w:rsid w:val="7E15050B"/>
    <w:rsid w:val="7E1621A7"/>
    <w:rsid w:val="7E8A1B2B"/>
    <w:rsid w:val="7EB0539B"/>
    <w:rsid w:val="7EBA4FFF"/>
    <w:rsid w:val="7F8861CA"/>
    <w:rsid w:val="7FF24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imes New Roman"/>
      <w:kern w:val="2"/>
      <w:sz w:val="32"/>
      <w:szCs w:val="24"/>
      <w:lang w:val="en-US" w:eastAsia="zh-CN" w:bidi="ar-SA"/>
    </w:rPr>
  </w:style>
  <w:style w:type="paragraph" w:styleId="2">
    <w:name w:val="heading 1"/>
    <w:basedOn w:val="3"/>
    <w:next w:val="3"/>
    <w:link w:val="15"/>
    <w:qFormat/>
    <w:uiPriority w:val="0"/>
    <w:pPr>
      <w:keepNext/>
      <w:keepLines/>
      <w:spacing w:before="340" w:beforeLines="0" w:beforeAutospacing="0" w:after="330" w:afterLines="0" w:afterAutospacing="0" w:line="576" w:lineRule="auto"/>
      <w:outlineLvl w:val="0"/>
    </w:pPr>
    <w:rPr>
      <w:rFonts w:ascii="方正大标宋_GBK" w:hAnsi="方正大标宋_GBK" w:eastAsia="方正大标宋_GBK" w:cs="Arial"/>
      <w:b w:val="0"/>
      <w:snapToGrid w:val="0"/>
      <w:color w:val="000000"/>
      <w:kern w:val="44"/>
      <w:sz w:val="44"/>
      <w:szCs w:val="21"/>
      <w:lang w:eastAsia="en-US"/>
    </w:rPr>
  </w:style>
  <w:style w:type="paragraph" w:styleId="4">
    <w:name w:val="heading 2"/>
    <w:next w:val="1"/>
    <w:qFormat/>
    <w:uiPriority w:val="0"/>
    <w:pPr>
      <w:spacing w:before="320" w:after="120" w:line="288" w:lineRule="auto"/>
      <w:ind w:left="0"/>
      <w:jc w:val="left"/>
      <w:outlineLvl w:val="1"/>
    </w:pPr>
    <w:rPr>
      <w:rFonts w:ascii="Arial" w:hAnsi="Arial" w:eastAsia="等线" w:cs="Arial"/>
      <w:b/>
      <w:bCs/>
      <w:sz w:val="32"/>
      <w:szCs w:val="32"/>
    </w:rPr>
  </w:style>
  <w:style w:type="paragraph" w:styleId="5">
    <w:name w:val="heading 4"/>
    <w:next w:val="1"/>
    <w:qFormat/>
    <w:uiPriority w:val="0"/>
    <w:pPr>
      <w:spacing w:before="260" w:after="120" w:line="288" w:lineRule="auto"/>
      <w:ind w:left="0"/>
      <w:jc w:val="left"/>
      <w:outlineLvl w:val="3"/>
    </w:pPr>
    <w:rPr>
      <w:rFonts w:ascii="Arial" w:hAnsi="Arial" w:eastAsia="等线" w:cs="Arial"/>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6">
    <w:name w:val="Body Text"/>
    <w:basedOn w:val="1"/>
    <w:qFormat/>
    <w:uiPriority w:val="0"/>
    <w:pPr>
      <w:spacing w:after="120" w:afterLines="0" w:afterAutospacing="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4">
    <w:name w:val="_Style 13"/>
    <w:qFormat/>
    <w:uiPriority w:val="0"/>
    <w:pPr>
      <w:spacing w:before="120" w:after="120" w:line="288" w:lineRule="auto"/>
      <w:ind w:left="0"/>
      <w:jc w:val="left"/>
    </w:pPr>
    <w:rPr>
      <w:rFonts w:ascii="Arial" w:hAnsi="Arial" w:eastAsia="等线" w:cs="Arial"/>
      <w:sz w:val="22"/>
      <w:szCs w:val="22"/>
    </w:rPr>
  </w:style>
  <w:style w:type="character" w:customStyle="1" w:styleId="15">
    <w:name w:val="标题 1 Char"/>
    <w:link w:val="2"/>
    <w:qFormat/>
    <w:uiPriority w:val="0"/>
    <w:rPr>
      <w:rFonts w:ascii="方正大标宋_GBK" w:hAnsi="方正大标宋_GBK" w:eastAsia="方正大标宋_GBK" w:cs="Arial"/>
      <w:snapToGrid w:val="0"/>
      <w:color w:val="000000"/>
      <w:kern w:val="44"/>
      <w:sz w:val="44"/>
      <w:szCs w:val="21"/>
      <w:lang w:eastAsia="en-US"/>
    </w:rPr>
  </w:style>
  <w:style w:type="character" w:customStyle="1" w:styleId="16">
    <w:name w:val="font31"/>
    <w:basedOn w:val="13"/>
    <w:qFormat/>
    <w:uiPriority w:val="0"/>
    <w:rPr>
      <w:rFonts w:hint="eastAsia" w:ascii="楷体" w:hAnsi="楷体" w:eastAsia="楷体" w:cs="楷体"/>
      <w:color w:val="000000"/>
      <w:sz w:val="22"/>
      <w:szCs w:val="22"/>
      <w:u w:val="none"/>
    </w:rPr>
  </w:style>
  <w:style w:type="character" w:customStyle="1" w:styleId="17">
    <w:name w:val="font21"/>
    <w:basedOn w:val="13"/>
    <w:qFormat/>
    <w:uiPriority w:val="0"/>
    <w:rPr>
      <w:rFonts w:hint="eastAsia" w:ascii="仿宋" w:hAnsi="仿宋" w:eastAsia="仿宋" w:cs="仿宋"/>
      <w:color w:val="000000"/>
      <w:sz w:val="22"/>
      <w:szCs w:val="22"/>
      <w:u w:val="none"/>
    </w:rPr>
  </w:style>
  <w:style w:type="character" w:customStyle="1" w:styleId="18">
    <w:name w:val="font71"/>
    <w:basedOn w:val="13"/>
    <w:qFormat/>
    <w:uiPriority w:val="0"/>
    <w:rPr>
      <w:rFonts w:ascii="仿宋_GB2312" w:eastAsia="仿宋_GB2312" w:cs="仿宋_GB2312"/>
      <w:color w:val="000000"/>
      <w:sz w:val="30"/>
      <w:szCs w:val="30"/>
      <w:u w:val="none"/>
    </w:rPr>
  </w:style>
  <w:style w:type="character" w:customStyle="1" w:styleId="19">
    <w:name w:val="font81"/>
    <w:basedOn w:val="13"/>
    <w:qFormat/>
    <w:uiPriority w:val="0"/>
    <w:rPr>
      <w:rFonts w:hint="eastAsia" w:ascii="宋体" w:hAnsi="宋体" w:eastAsia="宋体" w:cs="宋体"/>
      <w:color w:val="000000"/>
      <w:sz w:val="28"/>
      <w:szCs w:val="28"/>
      <w:u w:val="none"/>
    </w:rPr>
  </w:style>
  <w:style w:type="character" w:customStyle="1" w:styleId="20">
    <w:name w:val="font91"/>
    <w:basedOn w:val="13"/>
    <w:qFormat/>
    <w:uiPriority w:val="0"/>
    <w:rPr>
      <w:rFonts w:ascii="Arial" w:hAnsi="Arial" w:cs="Arial"/>
      <w:color w:val="1F2329"/>
      <w:sz w:val="24"/>
      <w:szCs w:val="24"/>
      <w:u w:val="none"/>
    </w:rPr>
  </w:style>
  <w:style w:type="character" w:customStyle="1" w:styleId="21">
    <w:name w:val="font101"/>
    <w:basedOn w:val="13"/>
    <w:qFormat/>
    <w:uiPriority w:val="0"/>
    <w:rPr>
      <w:rFonts w:hint="eastAsia" w:ascii="宋体" w:hAnsi="宋体" w:eastAsia="宋体" w:cs="宋体"/>
      <w:color w:val="1F2329"/>
      <w:sz w:val="24"/>
      <w:szCs w:val="24"/>
      <w:u w:val="none"/>
    </w:rPr>
  </w:style>
  <w:style w:type="character" w:customStyle="1" w:styleId="22">
    <w:name w:val="font51"/>
    <w:basedOn w:val="13"/>
    <w:qFormat/>
    <w:uiPriority w:val="0"/>
    <w:rPr>
      <w:rFonts w:hint="default" w:ascii="Times New Roman" w:hAnsi="Times New Roman" w:cs="Times New Roman"/>
      <w:color w:val="000000"/>
      <w:sz w:val="21"/>
      <w:szCs w:val="21"/>
      <w:u w:val="none"/>
    </w:rPr>
  </w:style>
  <w:style w:type="character" w:customStyle="1" w:styleId="23">
    <w:name w:val="font61"/>
    <w:basedOn w:val="1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6139</Words>
  <Characters>6760</Characters>
  <Lines>0</Lines>
  <Paragraphs>0</Paragraphs>
  <TotalTime>44</TotalTime>
  <ScaleCrop>false</ScaleCrop>
  <LinksUpToDate>false</LinksUpToDate>
  <CharactersWithSpaces>6810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2025-08-16T05:17:00Z</dcterms:created>
  <dc:creator>张建刚</dc:creator>
  <cp:lastModifiedBy>周玉洁</cp:lastModifiedBy>
  <dcterms:modified xsi:type="dcterms:W3CDTF">2025-10-29T08:35:54Z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016CF0ED9C5C4100A943E1B6B3AE0648_13</vt:lpwstr>
  </property>
  <property fmtid="{D5CDD505-2E9C-101B-9397-08002B2CF9AE}" pid="4" name="KSOTemplateDocerSaveRecord">
    <vt:lpwstr>eyJoZGlkIjoiNDIxODNkYWJhZGJmNWQxYzZkYjNkOWM3N2E1NTNkZjkiLCJ1c2VySWQiOiIyMTEwNTgyODQifQ==</vt:lpwstr>
  </property>
</Properties>
</file>