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A3A99">
      <w:pPr>
        <w:keepNext w:val="0"/>
        <w:keepLines w:val="0"/>
        <w:pageBreakBefore w:val="0"/>
        <w:kinsoku/>
        <w:wordWrap/>
        <w:overflowPunct/>
        <w:topLinePunct w:val="0"/>
        <w:autoSpaceDE/>
        <w:autoSpaceDN/>
        <w:bidi w:val="0"/>
        <w:adjustRightInd/>
        <w:snapToGrid/>
        <w:spacing w:before="120" w:after="120" w:line="560" w:lineRule="exact"/>
        <w:jc w:val="center"/>
        <w:rPr>
          <w:rFonts w:hint="eastAsia" w:ascii="仿宋" w:hAnsi="仿宋" w:eastAsia="仿宋" w:cs="仿宋"/>
          <w:b/>
          <w:bCs w:val="0"/>
          <w:sz w:val="36"/>
          <w:szCs w:val="36"/>
          <w:highlight w:val="none"/>
          <w:lang w:val="en-US" w:eastAsia="zh-CN"/>
        </w:rPr>
      </w:pPr>
      <w:bookmarkStart w:id="0" w:name="_Toc515637208"/>
      <w:bookmarkEnd w:id="0"/>
      <w:bookmarkStart w:id="1" w:name="_Toc515637214"/>
      <w:bookmarkEnd w:id="1"/>
      <w:bookmarkStart w:id="2" w:name="_Toc515637206"/>
      <w:bookmarkEnd w:id="2"/>
      <w:bookmarkStart w:id="3" w:name="_Toc515637201"/>
      <w:bookmarkEnd w:id="3"/>
    </w:p>
    <w:p w14:paraId="63F2188E">
      <w:pPr>
        <w:keepNext w:val="0"/>
        <w:keepLines w:val="0"/>
        <w:pageBreakBefore w:val="0"/>
        <w:kinsoku/>
        <w:wordWrap/>
        <w:overflowPunct/>
        <w:topLinePunct w:val="0"/>
        <w:autoSpaceDE/>
        <w:autoSpaceDN/>
        <w:bidi w:val="0"/>
        <w:adjustRightInd/>
        <w:snapToGrid/>
        <w:spacing w:before="120" w:after="120" w:line="560" w:lineRule="exact"/>
        <w:jc w:val="center"/>
        <w:rPr>
          <w:rFonts w:hint="eastAsia" w:ascii="仿宋" w:hAnsi="仿宋" w:eastAsia="仿宋" w:cs="仿宋"/>
          <w:b/>
          <w:bCs w:val="0"/>
          <w:sz w:val="36"/>
          <w:szCs w:val="36"/>
          <w:highlight w:val="none"/>
          <w:lang w:val="en-US" w:eastAsia="zh-CN"/>
        </w:rPr>
      </w:pPr>
    </w:p>
    <w:p w14:paraId="54C79C9E">
      <w:pPr>
        <w:keepNext w:val="0"/>
        <w:keepLines w:val="0"/>
        <w:pageBreakBefore w:val="0"/>
        <w:kinsoku/>
        <w:wordWrap/>
        <w:overflowPunct/>
        <w:topLinePunct w:val="0"/>
        <w:autoSpaceDE/>
        <w:autoSpaceDN/>
        <w:bidi w:val="0"/>
        <w:adjustRightInd/>
        <w:snapToGrid/>
        <w:spacing w:before="120" w:after="120" w:line="560" w:lineRule="exact"/>
        <w:jc w:val="center"/>
        <w:rPr>
          <w:rFonts w:hint="eastAsia" w:ascii="仿宋" w:hAnsi="仿宋" w:eastAsia="仿宋" w:cs="仿宋"/>
          <w:b/>
          <w:bCs w:val="0"/>
          <w:sz w:val="36"/>
          <w:szCs w:val="36"/>
          <w:highlight w:val="none"/>
          <w:lang w:val="en-US" w:eastAsia="zh-CN"/>
        </w:rPr>
      </w:pPr>
      <w:r>
        <w:rPr>
          <w:rFonts w:hint="eastAsia" w:ascii="仿宋" w:hAnsi="仿宋" w:eastAsia="仿宋" w:cs="仿宋"/>
          <w:b/>
          <w:bCs w:val="0"/>
          <w:sz w:val="36"/>
          <w:szCs w:val="36"/>
          <w:highlight w:val="none"/>
          <w:lang w:val="en-US" w:eastAsia="zh-CN"/>
        </w:rPr>
        <w:t>阳新县宝塔湖污水处理厂扩建及提标升级工程</w:t>
      </w:r>
    </w:p>
    <w:p w14:paraId="527AEE0F">
      <w:pPr>
        <w:keepNext w:val="0"/>
        <w:keepLines w:val="0"/>
        <w:pageBreakBefore w:val="0"/>
        <w:kinsoku/>
        <w:wordWrap/>
        <w:overflowPunct/>
        <w:topLinePunct w:val="0"/>
        <w:autoSpaceDE/>
        <w:autoSpaceDN/>
        <w:bidi w:val="0"/>
        <w:adjustRightInd/>
        <w:snapToGrid/>
        <w:spacing w:before="120" w:after="120" w:line="560" w:lineRule="exact"/>
        <w:jc w:val="center"/>
        <w:rPr>
          <w:rFonts w:hint="eastAsia" w:ascii="仿宋" w:hAnsi="仿宋" w:eastAsia="仿宋" w:cs="仿宋"/>
          <w:b/>
          <w:sz w:val="36"/>
          <w:szCs w:val="36"/>
          <w:highlight w:val="none"/>
          <w:lang w:val="en-US" w:eastAsia="zh-CN"/>
        </w:rPr>
      </w:pPr>
      <w:r>
        <w:rPr>
          <w:rFonts w:hint="eastAsia" w:ascii="仿宋" w:hAnsi="仿宋" w:eastAsia="仿宋" w:cs="仿宋"/>
          <w:b/>
          <w:bCs w:val="0"/>
          <w:sz w:val="36"/>
          <w:szCs w:val="36"/>
          <w:highlight w:val="none"/>
          <w:lang w:val="en-US" w:eastAsia="zh-CN"/>
        </w:rPr>
        <w:t>项目</w:t>
      </w:r>
      <w:r>
        <w:rPr>
          <w:rFonts w:hint="eastAsia" w:ascii="仿宋" w:hAnsi="仿宋" w:eastAsia="仿宋" w:cs="仿宋"/>
          <w:b/>
          <w:sz w:val="36"/>
          <w:szCs w:val="36"/>
          <w:highlight w:val="none"/>
          <w:lang w:val="en-US" w:eastAsia="zh-CN"/>
        </w:rPr>
        <w:t>绩效评价报告</w:t>
      </w:r>
    </w:p>
    <w:p w14:paraId="4DAA829F">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413A803F">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3F63AFF7">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7B89BE91">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414CB67C">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54693FCE">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0C8739B8">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14CFF48C">
      <w:pPr>
        <w:rPr>
          <w:rFonts w:hint="eastAsia" w:ascii="仿宋" w:hAnsi="仿宋" w:eastAsia="仿宋" w:cs="仿宋"/>
          <w:b/>
          <w:sz w:val="32"/>
          <w:szCs w:val="32"/>
          <w:highlight w:val="yellow"/>
          <w:lang w:val="en-US" w:eastAsia="zh-CN"/>
        </w:rPr>
      </w:pPr>
    </w:p>
    <w:p w14:paraId="6A28185F">
      <w:pPr>
        <w:rPr>
          <w:rFonts w:hint="eastAsia" w:ascii="仿宋" w:hAnsi="仿宋" w:eastAsia="仿宋" w:cs="仿宋"/>
          <w:b/>
          <w:sz w:val="32"/>
          <w:szCs w:val="32"/>
          <w:highlight w:val="yellow"/>
          <w:lang w:val="en-US" w:eastAsia="zh-CN"/>
        </w:rPr>
      </w:pPr>
    </w:p>
    <w:p w14:paraId="775C97FA">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49D38AD1">
      <w:pPr>
        <w:pStyle w:val="5"/>
        <w:keepNext w:val="0"/>
        <w:keepLines w:val="0"/>
        <w:pageBreakBefore w:val="0"/>
        <w:kinsoku/>
        <w:wordWrap/>
        <w:overflowPunct/>
        <w:topLinePunct w:val="0"/>
        <w:autoSpaceDE/>
        <w:autoSpaceDN/>
        <w:bidi w:val="0"/>
        <w:spacing w:before="120" w:after="120" w:line="560" w:lineRule="exact"/>
        <w:ind w:firstLine="640" w:firstLineChars="200"/>
        <w:rPr>
          <w:rFonts w:hint="eastAsia"/>
          <w:highlight w:val="yellow"/>
          <w:lang w:val="en-US" w:eastAsia="zh-CN"/>
        </w:rPr>
      </w:pPr>
    </w:p>
    <w:p w14:paraId="3865F1A3">
      <w:pPr>
        <w:pStyle w:val="5"/>
        <w:keepNext w:val="0"/>
        <w:keepLines w:val="0"/>
        <w:pageBreakBefore w:val="0"/>
        <w:kinsoku/>
        <w:wordWrap/>
        <w:overflowPunct/>
        <w:topLinePunct w:val="0"/>
        <w:autoSpaceDE/>
        <w:autoSpaceDN/>
        <w:bidi w:val="0"/>
        <w:adjustRightInd/>
        <w:snapToGrid/>
        <w:spacing w:before="120" w:after="120" w:line="560" w:lineRule="exact"/>
        <w:ind w:firstLine="643" w:firstLineChars="200"/>
        <w:rPr>
          <w:rFonts w:hint="eastAsia" w:ascii="仿宋" w:hAnsi="仿宋" w:eastAsia="仿宋" w:cs="仿宋"/>
          <w:b/>
          <w:sz w:val="32"/>
          <w:szCs w:val="32"/>
          <w:highlight w:val="yellow"/>
          <w:lang w:val="en-US" w:eastAsia="zh-CN"/>
        </w:rPr>
      </w:pPr>
    </w:p>
    <w:p w14:paraId="094C7A0A">
      <w:pPr>
        <w:keepNext w:val="0"/>
        <w:keepLines w:val="0"/>
        <w:pageBreakBefore w:val="0"/>
        <w:kinsoku/>
        <w:wordWrap/>
        <w:overflowPunct/>
        <w:topLinePunct w:val="0"/>
        <w:autoSpaceDE/>
        <w:autoSpaceDN/>
        <w:bidi w:val="0"/>
        <w:adjustRightInd/>
        <w:snapToGrid/>
        <w:spacing w:before="120" w:after="120" w:line="560" w:lineRule="exact"/>
        <w:ind w:firstLine="560" w:firstLineChars="200"/>
        <w:rPr>
          <w:rFonts w:hint="eastAsia" w:ascii="Times New Roman" w:hAnsi="Times New Roman" w:eastAsia="黑体"/>
          <w:bCs/>
          <w:sz w:val="28"/>
          <w:szCs w:val="28"/>
          <w:highlight w:val="none"/>
          <w:lang w:val="en-US" w:eastAsia="zh-CN"/>
        </w:rPr>
      </w:pPr>
      <w:r>
        <w:rPr>
          <w:rFonts w:ascii="Times New Roman" w:hAnsi="Times New Roman" w:eastAsia="黑体"/>
          <w:bCs/>
          <w:sz w:val="28"/>
          <w:szCs w:val="28"/>
          <w:highlight w:val="none"/>
        </w:rPr>
        <w:t>主管部门：</w:t>
      </w:r>
      <w:r>
        <w:rPr>
          <w:rFonts w:hint="eastAsia" w:ascii="Times New Roman" w:hAnsi="Times New Roman" w:eastAsia="黑体"/>
          <w:bCs/>
          <w:sz w:val="28"/>
          <w:szCs w:val="28"/>
          <w:highlight w:val="none"/>
        </w:rPr>
        <w:t>阳新县</w:t>
      </w:r>
      <w:r>
        <w:rPr>
          <w:rFonts w:hint="eastAsia" w:ascii="Times New Roman" w:hAnsi="Times New Roman" w:eastAsia="黑体"/>
          <w:bCs/>
          <w:sz w:val="28"/>
          <w:szCs w:val="28"/>
          <w:highlight w:val="none"/>
          <w:lang w:val="en-US" w:eastAsia="zh-CN"/>
        </w:rPr>
        <w:t>住房和城乡建设局</w:t>
      </w:r>
    </w:p>
    <w:p w14:paraId="562B5041">
      <w:pPr>
        <w:keepNext w:val="0"/>
        <w:keepLines w:val="0"/>
        <w:pageBreakBefore w:val="0"/>
        <w:kinsoku/>
        <w:wordWrap/>
        <w:overflowPunct/>
        <w:topLinePunct w:val="0"/>
        <w:autoSpaceDE/>
        <w:autoSpaceDN/>
        <w:bidi w:val="0"/>
        <w:adjustRightInd/>
        <w:snapToGrid/>
        <w:spacing w:before="120" w:after="120" w:line="560" w:lineRule="exact"/>
        <w:ind w:firstLine="560" w:firstLineChars="200"/>
        <w:rPr>
          <w:rFonts w:ascii="Times New Roman" w:hAnsi="Times New Roman" w:eastAsia="黑体"/>
          <w:bCs/>
          <w:sz w:val="28"/>
          <w:szCs w:val="28"/>
          <w:highlight w:val="none"/>
        </w:rPr>
      </w:pPr>
      <w:r>
        <w:rPr>
          <w:rFonts w:ascii="Times New Roman" w:hAnsi="Times New Roman" w:eastAsia="黑体"/>
          <w:bCs/>
          <w:sz w:val="28"/>
          <w:szCs w:val="28"/>
          <w:highlight w:val="none"/>
        </w:rPr>
        <w:t>委托单位：</w:t>
      </w:r>
      <w:r>
        <w:rPr>
          <w:rFonts w:hint="eastAsia" w:ascii="Times New Roman" w:hAnsi="Times New Roman" w:eastAsia="黑体"/>
          <w:bCs/>
          <w:sz w:val="28"/>
          <w:szCs w:val="28"/>
          <w:highlight w:val="none"/>
          <w:lang w:eastAsia="zh-CN"/>
        </w:rPr>
        <w:t>阳新</w:t>
      </w:r>
      <w:r>
        <w:rPr>
          <w:rFonts w:ascii="Times New Roman" w:hAnsi="Times New Roman" w:eastAsia="黑体"/>
          <w:bCs/>
          <w:sz w:val="28"/>
          <w:szCs w:val="28"/>
          <w:highlight w:val="none"/>
        </w:rPr>
        <w:t>县财政局</w:t>
      </w:r>
    </w:p>
    <w:p w14:paraId="61ED8A74">
      <w:pPr>
        <w:keepNext w:val="0"/>
        <w:keepLines w:val="0"/>
        <w:pageBreakBefore w:val="0"/>
        <w:kinsoku/>
        <w:wordWrap/>
        <w:overflowPunct/>
        <w:topLinePunct w:val="0"/>
        <w:autoSpaceDE/>
        <w:autoSpaceDN/>
        <w:bidi w:val="0"/>
        <w:adjustRightInd/>
        <w:snapToGrid/>
        <w:spacing w:before="120" w:after="120" w:line="560" w:lineRule="exact"/>
        <w:ind w:firstLine="560" w:firstLineChars="200"/>
        <w:rPr>
          <w:rFonts w:ascii="Times New Roman" w:hAnsi="Times New Roman" w:eastAsia="黑体"/>
          <w:bCs/>
          <w:color w:val="FF0000"/>
          <w:sz w:val="28"/>
          <w:szCs w:val="28"/>
          <w:highlight w:val="none"/>
        </w:rPr>
      </w:pPr>
      <w:r>
        <w:rPr>
          <w:rFonts w:ascii="Times New Roman" w:hAnsi="Times New Roman" w:eastAsia="黑体"/>
          <w:bCs/>
          <w:sz w:val="28"/>
          <w:szCs w:val="28"/>
          <w:highlight w:val="none"/>
        </w:rPr>
        <w:t>评价机构：</w:t>
      </w:r>
      <w:r>
        <w:rPr>
          <w:rFonts w:hint="eastAsia" w:ascii="Times New Roman" w:hAnsi="Times New Roman" w:eastAsia="黑体"/>
          <w:bCs/>
          <w:sz w:val="28"/>
          <w:szCs w:val="28"/>
          <w:highlight w:val="none"/>
          <w:lang w:val="en-US" w:eastAsia="zh-CN"/>
        </w:rPr>
        <w:t>阳新县恒泰会计事务服务有限公司</w:t>
      </w:r>
      <w:r>
        <w:rPr>
          <w:rFonts w:hint="eastAsia" w:ascii="Times New Roman" w:hAnsi="Times New Roman" w:eastAsia="黑体"/>
          <w:bCs/>
          <w:sz w:val="28"/>
          <w:szCs w:val="28"/>
          <w:highlight w:val="none"/>
          <w:lang w:eastAsia="zh-CN"/>
        </w:rPr>
        <w:t xml:space="preserve">  </w:t>
      </w:r>
    </w:p>
    <w:p w14:paraId="16E18655">
      <w:pPr>
        <w:keepNext w:val="0"/>
        <w:keepLines w:val="0"/>
        <w:pageBreakBefore w:val="0"/>
        <w:kinsoku/>
        <w:wordWrap/>
        <w:overflowPunct/>
        <w:topLinePunct w:val="0"/>
        <w:autoSpaceDE/>
        <w:autoSpaceDN/>
        <w:bidi w:val="0"/>
        <w:adjustRightInd/>
        <w:snapToGrid/>
        <w:spacing w:before="120" w:after="120" w:line="560" w:lineRule="exact"/>
        <w:ind w:firstLine="602" w:firstLineChars="200"/>
        <w:jc w:val="center"/>
        <w:rPr>
          <w:rFonts w:hint="eastAsia" w:ascii="宋体" w:hAnsi="宋体" w:eastAsia="宋体" w:cs="宋体"/>
          <w:b/>
          <w:sz w:val="30"/>
          <w:highlight w:val="yellow"/>
          <w:lang w:eastAsia="zh-CN"/>
        </w:rPr>
      </w:pPr>
    </w:p>
    <w:p w14:paraId="1A9230F8">
      <w:pPr>
        <w:pStyle w:val="2"/>
        <w:bidi w:val="0"/>
        <w:rPr>
          <w:rFonts w:hint="eastAsia"/>
        </w:rPr>
      </w:pPr>
      <w:bookmarkStart w:id="4" w:name="_Toc2387"/>
      <w:bookmarkStart w:id="5" w:name="_Toc13913"/>
      <w:bookmarkStart w:id="6" w:name="_Toc1402"/>
      <w:bookmarkStart w:id="7" w:name="_Toc5120"/>
      <w:r>
        <w:rPr>
          <w:rFonts w:hint="eastAsia"/>
        </w:rPr>
        <w:t>前  言</w:t>
      </w:r>
      <w:bookmarkEnd w:id="4"/>
      <w:bookmarkEnd w:id="5"/>
      <w:bookmarkEnd w:id="6"/>
      <w:bookmarkEnd w:id="7"/>
    </w:p>
    <w:p w14:paraId="0603933E">
      <w:pPr>
        <w:bidi w:val="0"/>
        <w:rPr>
          <w:rFonts w:hint="eastAsia"/>
        </w:rPr>
      </w:pPr>
      <w:r>
        <w:rPr>
          <w:rFonts w:hint="eastAsia"/>
        </w:rPr>
        <w:t>阳新县财政局：</w:t>
      </w:r>
    </w:p>
    <w:p w14:paraId="1A723722">
      <w:pPr>
        <w:bidi w:val="0"/>
        <w:ind w:firstLine="640" w:firstLineChars="200"/>
        <w:rPr>
          <w:rFonts w:hint="eastAsia"/>
        </w:rPr>
      </w:pPr>
      <w:r>
        <w:rPr>
          <w:rFonts w:hint="eastAsia"/>
        </w:rPr>
        <w:t>我们接受委托，根据中央关于全面实施预算绩效管</w:t>
      </w:r>
      <w:r>
        <w:rPr>
          <w:rFonts w:hint="eastAsia"/>
          <w:lang w:eastAsia="zh-CN"/>
        </w:rPr>
        <w:t>理的</w:t>
      </w:r>
      <w:r>
        <w:rPr>
          <w:rFonts w:hint="eastAsia"/>
        </w:rPr>
        <w:t>要求，《阳新县人民政府办公室关于进一步加强全县预算绩效管理工作的通知》（阳政办发</w:t>
      </w:r>
      <w:r>
        <w:rPr>
          <w:rFonts w:hint="eastAsia"/>
          <w:lang w:eastAsia="zh-CN"/>
        </w:rPr>
        <w:t>〔2013〕112号</w:t>
      </w:r>
      <w:r>
        <w:rPr>
          <w:rFonts w:hint="eastAsia"/>
        </w:rPr>
        <w:t>）和《阳新县县级财政项目资金绩效评价实施暂行办法》（阳财绩</w:t>
      </w:r>
      <w:r>
        <w:rPr>
          <w:rFonts w:hint="eastAsia"/>
          <w:lang w:eastAsia="zh-CN"/>
        </w:rPr>
        <w:t>〔2015〕2号</w:t>
      </w:r>
      <w:r>
        <w:rPr>
          <w:rFonts w:hint="eastAsia"/>
        </w:rPr>
        <w:t>）文件要求，为规范财政专项资金管理，强化项目单位的绩效和责任意识，切实提高专项资金使用效益，根据阳新县财政局绩效评价工作通知，阳新县恒泰会计事务服务有限公司受阳新县财政局委托，本着独立、客观、公正原则，组成了3人绩效评价小组，对“宝塔湖污水处理厂扩建及提标升级工程</w:t>
      </w:r>
      <w:r>
        <w:rPr>
          <w:rFonts w:hint="eastAsia"/>
          <w:lang w:val="en-US" w:eastAsia="zh-CN"/>
        </w:rPr>
        <w:t>项目</w:t>
      </w:r>
      <w:r>
        <w:rPr>
          <w:rFonts w:hint="eastAsia"/>
        </w:rPr>
        <w:t>”预算执行实施质量和成果及资金使用管理效益实施绩效评价。</w:t>
      </w:r>
    </w:p>
    <w:p w14:paraId="2BD4EA25">
      <w:pPr>
        <w:bidi w:val="0"/>
        <w:ind w:firstLine="640" w:firstLineChars="200"/>
        <w:rPr>
          <w:rFonts w:hint="eastAsia"/>
        </w:rPr>
      </w:pPr>
      <w:r>
        <w:rPr>
          <w:rFonts w:hint="eastAsia"/>
        </w:rPr>
        <w:t>阳新县恒泰会计事务服务有限公司在数据分析、问卷调查、访谈、座谈等工作的基础上形成绩效评价报告。评价报告先介绍项目基本情况、绩效总目标和评价思路，再分别从项目决策、项目管理和项目产出、项目效益、能力建设五个方面具体分析支出绩效情况，发现亮点、找出问题、形成绩效评价报告，为部门职责履行、职能实现和后续管理提供参考和借鉴。评价结果作为安排政府预算、完善政策和改进管理的重要依据。</w:t>
      </w:r>
    </w:p>
    <w:sdt>
      <w:sdtPr>
        <w:rPr>
          <w:rFonts w:hint="eastAsia" w:ascii="方正公文小标宋" w:hAnsi="方正公文小标宋" w:eastAsia="方正公文小标宋" w:cs="方正公文小标宋"/>
          <w:kern w:val="2"/>
          <w:sz w:val="21"/>
          <w:szCs w:val="24"/>
          <w:lang w:val="en-US" w:eastAsia="zh-CN" w:bidi="ar-SA"/>
        </w:rPr>
        <w:id w:val="147466809"/>
        <w15:color w:val="DBDBDB"/>
        <w:docPartObj>
          <w:docPartGallery w:val="Table of Contents"/>
          <w:docPartUnique/>
        </w:docPartObj>
      </w:sdtPr>
      <w:sdtEndPr>
        <w:rPr>
          <w:rFonts w:hint="eastAsia" w:ascii="仿宋" w:hAnsi="仿宋" w:eastAsia="仿宋" w:cs="Times New Roman"/>
          <w:kern w:val="2"/>
          <w:sz w:val="32"/>
          <w:szCs w:val="24"/>
          <w:lang w:val="en-US" w:eastAsia="zh-CN" w:bidi="ar-SA"/>
        </w:rPr>
      </w:sdtEndPr>
      <w:sdtContent>
        <w:p w14:paraId="67E796D1">
          <w:pPr>
            <w:spacing w:before="0" w:beforeLines="0" w:after="0" w:afterLines="0" w:line="240" w:lineRule="auto"/>
            <w:ind w:left="0" w:leftChars="0" w:right="0" w:rightChars="0" w:firstLine="0" w:firstLineChars="0"/>
            <w:jc w:val="center"/>
            <w:rPr>
              <w:rFonts w:hint="eastAsia" w:ascii="方正公文小标宋" w:hAnsi="方正公文小标宋" w:eastAsia="方正公文小标宋" w:cs="方正公文小标宋"/>
            </w:rPr>
          </w:pPr>
          <w:r>
            <w:rPr>
              <w:rStyle w:val="16"/>
              <w:rFonts w:hint="eastAsia"/>
            </w:rPr>
            <w:t>目</w:t>
          </w:r>
          <w:r>
            <w:rPr>
              <w:rStyle w:val="16"/>
              <w:rFonts w:hint="eastAsia" w:eastAsia="方正小标宋_GBK"/>
              <w:lang w:val="en-US" w:eastAsia="zh-CN"/>
            </w:rPr>
            <w:t xml:space="preserve">  </w:t>
          </w:r>
          <w:r>
            <w:rPr>
              <w:rStyle w:val="16"/>
              <w:rFonts w:hint="eastAsia"/>
            </w:rPr>
            <w:t>录</w:t>
          </w:r>
        </w:p>
        <w:p w14:paraId="07B35FD7">
          <w:pPr>
            <w:pStyle w:val="9"/>
            <w:tabs>
              <w:tab w:val="right" w:leader="dot" w:pos="8306"/>
            </w:tabs>
            <w:rPr>
              <w:sz w:val="24"/>
              <w:szCs w:val="24"/>
            </w:rPr>
          </w:pPr>
          <w:r>
            <w:rPr>
              <w:sz w:val="24"/>
              <w:szCs w:val="24"/>
            </w:rPr>
            <w:fldChar w:fldCharType="begin"/>
          </w:r>
          <w:r>
            <w:rPr>
              <w:sz w:val="24"/>
              <w:szCs w:val="24"/>
            </w:rPr>
            <w:instrText xml:space="preserve">TOC \o "1-2" \h \u </w:instrText>
          </w:r>
          <w:r>
            <w:rPr>
              <w:sz w:val="24"/>
              <w:szCs w:val="24"/>
            </w:rPr>
            <w:fldChar w:fldCharType="separate"/>
          </w:r>
          <w:r>
            <w:rPr>
              <w:sz w:val="24"/>
              <w:szCs w:val="24"/>
            </w:rPr>
            <w:fldChar w:fldCharType="begin"/>
          </w:r>
          <w:r>
            <w:rPr>
              <w:sz w:val="24"/>
              <w:szCs w:val="24"/>
            </w:rPr>
            <w:instrText xml:space="preserve"> HYPERLINK \l _Toc21662 </w:instrText>
          </w:r>
          <w:r>
            <w:rPr>
              <w:sz w:val="24"/>
              <w:szCs w:val="24"/>
            </w:rPr>
            <w:fldChar w:fldCharType="separate"/>
          </w:r>
          <w:r>
            <w:rPr>
              <w:rFonts w:hint="eastAsia" w:ascii="黑体" w:hAnsi="黑体" w:eastAsia="黑体" w:cs="黑体"/>
              <w:kern w:val="2"/>
              <w:sz w:val="24"/>
              <w:szCs w:val="24"/>
              <w:lang w:val="en-US" w:eastAsia="zh-CN" w:bidi="ar-SA"/>
            </w:rPr>
            <w:t>一、</w:t>
          </w:r>
          <w:r>
            <w:rPr>
              <w:rFonts w:hint="eastAsia" w:ascii="黑体" w:hAnsi="黑体" w:eastAsia="黑体" w:cs="黑体"/>
              <w:sz w:val="24"/>
              <w:szCs w:val="24"/>
              <w:lang w:val="en-US" w:eastAsia="zh-CN"/>
            </w:rPr>
            <w:t>项目基本情况</w:t>
          </w:r>
          <w:r>
            <w:rPr>
              <w:sz w:val="24"/>
              <w:szCs w:val="24"/>
            </w:rPr>
            <w:tab/>
          </w:r>
          <w:r>
            <w:rPr>
              <w:rFonts w:hint="eastAsia"/>
              <w:sz w:val="24"/>
              <w:szCs w:val="24"/>
              <w:lang w:val="en-US" w:eastAsia="zh-CN"/>
            </w:rPr>
            <w:t>1</w:t>
          </w:r>
          <w:r>
            <w:rPr>
              <w:sz w:val="24"/>
              <w:szCs w:val="24"/>
            </w:rPr>
            <w:fldChar w:fldCharType="end"/>
          </w:r>
        </w:p>
        <w:p w14:paraId="797FF667">
          <w:pPr>
            <w:pStyle w:val="10"/>
            <w:tabs>
              <w:tab w:val="right" w:leader="dot" w:pos="8306"/>
            </w:tabs>
            <w:rPr>
              <w:sz w:val="24"/>
              <w:szCs w:val="24"/>
            </w:rPr>
          </w:pPr>
          <w:r>
            <w:rPr>
              <w:sz w:val="24"/>
              <w:szCs w:val="24"/>
            </w:rPr>
            <w:fldChar w:fldCharType="begin"/>
          </w:r>
          <w:r>
            <w:rPr>
              <w:sz w:val="24"/>
              <w:szCs w:val="24"/>
            </w:rPr>
            <w:instrText xml:space="preserve"> HYPERLINK \l _Toc3978 </w:instrText>
          </w:r>
          <w:r>
            <w:rPr>
              <w:sz w:val="24"/>
              <w:szCs w:val="24"/>
            </w:rPr>
            <w:fldChar w:fldCharType="separate"/>
          </w:r>
          <w:r>
            <w:rPr>
              <w:rFonts w:hint="eastAsia" w:ascii="楷体" w:hAnsi="楷体" w:eastAsia="楷体" w:cs="楷体"/>
              <w:kern w:val="2"/>
              <w:sz w:val="24"/>
              <w:szCs w:val="24"/>
              <w:lang w:val="en-US" w:eastAsia="zh-CN" w:bidi="ar-SA"/>
            </w:rPr>
            <w:t>（一）</w:t>
          </w:r>
          <w:r>
            <w:rPr>
              <w:rFonts w:hint="eastAsia" w:ascii="楷体" w:hAnsi="楷体" w:eastAsia="楷体" w:cs="楷体"/>
              <w:sz w:val="24"/>
              <w:szCs w:val="24"/>
              <w:lang w:val="en-US" w:eastAsia="zh-CN"/>
            </w:rPr>
            <w:t>项目立项背景</w:t>
          </w:r>
          <w:r>
            <w:rPr>
              <w:sz w:val="24"/>
              <w:szCs w:val="24"/>
            </w:rPr>
            <w:tab/>
          </w:r>
          <w:r>
            <w:rPr>
              <w:rFonts w:hint="eastAsia"/>
              <w:sz w:val="24"/>
              <w:szCs w:val="24"/>
              <w:lang w:val="en-US" w:eastAsia="zh-CN"/>
            </w:rPr>
            <w:t>1</w:t>
          </w:r>
          <w:r>
            <w:rPr>
              <w:sz w:val="24"/>
              <w:szCs w:val="24"/>
            </w:rPr>
            <w:fldChar w:fldCharType="end"/>
          </w:r>
        </w:p>
        <w:p w14:paraId="1896BC71">
          <w:pPr>
            <w:pStyle w:val="10"/>
            <w:tabs>
              <w:tab w:val="right" w:leader="dot" w:pos="8306"/>
            </w:tabs>
            <w:rPr>
              <w:sz w:val="24"/>
              <w:szCs w:val="24"/>
            </w:rPr>
          </w:pPr>
          <w:r>
            <w:rPr>
              <w:sz w:val="24"/>
              <w:szCs w:val="24"/>
            </w:rPr>
            <w:fldChar w:fldCharType="begin"/>
          </w:r>
          <w:r>
            <w:rPr>
              <w:sz w:val="24"/>
              <w:szCs w:val="24"/>
            </w:rPr>
            <w:instrText xml:space="preserve"> HYPERLINK \l _Toc29195 </w:instrText>
          </w:r>
          <w:r>
            <w:rPr>
              <w:sz w:val="24"/>
              <w:szCs w:val="24"/>
            </w:rPr>
            <w:fldChar w:fldCharType="separate"/>
          </w:r>
          <w:r>
            <w:rPr>
              <w:rFonts w:hint="eastAsia" w:ascii="楷体" w:hAnsi="楷体" w:eastAsia="楷体" w:cs="楷体"/>
              <w:sz w:val="24"/>
              <w:szCs w:val="24"/>
              <w:lang w:val="en-US" w:eastAsia="zh-CN"/>
            </w:rPr>
            <w:t>（二）项目立项依据</w:t>
          </w:r>
          <w:r>
            <w:rPr>
              <w:sz w:val="24"/>
              <w:szCs w:val="24"/>
            </w:rPr>
            <w:tab/>
          </w:r>
          <w:r>
            <w:rPr>
              <w:rFonts w:hint="eastAsia"/>
              <w:sz w:val="24"/>
              <w:szCs w:val="24"/>
              <w:lang w:val="en-US" w:eastAsia="zh-CN"/>
            </w:rPr>
            <w:t>1</w:t>
          </w:r>
          <w:r>
            <w:rPr>
              <w:sz w:val="24"/>
              <w:szCs w:val="24"/>
            </w:rPr>
            <w:fldChar w:fldCharType="end"/>
          </w:r>
        </w:p>
        <w:p w14:paraId="29463958">
          <w:pPr>
            <w:pStyle w:val="10"/>
            <w:tabs>
              <w:tab w:val="right" w:leader="dot" w:pos="8306"/>
            </w:tabs>
            <w:rPr>
              <w:sz w:val="24"/>
              <w:szCs w:val="24"/>
            </w:rPr>
          </w:pPr>
          <w:r>
            <w:rPr>
              <w:sz w:val="24"/>
              <w:szCs w:val="24"/>
            </w:rPr>
            <w:fldChar w:fldCharType="begin"/>
          </w:r>
          <w:r>
            <w:rPr>
              <w:sz w:val="24"/>
              <w:szCs w:val="24"/>
            </w:rPr>
            <w:instrText xml:space="preserve"> HYPERLINK \l _Toc5036 </w:instrText>
          </w:r>
          <w:r>
            <w:rPr>
              <w:sz w:val="24"/>
              <w:szCs w:val="24"/>
            </w:rPr>
            <w:fldChar w:fldCharType="separate"/>
          </w:r>
          <w:r>
            <w:rPr>
              <w:rFonts w:hint="eastAsia" w:ascii="楷体" w:hAnsi="楷体" w:eastAsia="楷体" w:cs="楷体"/>
              <w:sz w:val="24"/>
              <w:szCs w:val="24"/>
              <w:lang w:val="en-US" w:eastAsia="zh-CN"/>
            </w:rPr>
            <w:t>（三）项目单位情况</w:t>
          </w:r>
          <w:r>
            <w:rPr>
              <w:sz w:val="24"/>
              <w:szCs w:val="24"/>
            </w:rPr>
            <w:tab/>
          </w:r>
          <w:r>
            <w:rPr>
              <w:rFonts w:hint="eastAsia"/>
              <w:sz w:val="24"/>
              <w:szCs w:val="24"/>
              <w:lang w:val="en-US" w:eastAsia="zh-CN"/>
            </w:rPr>
            <w:t>2</w:t>
          </w:r>
          <w:r>
            <w:rPr>
              <w:sz w:val="24"/>
              <w:szCs w:val="24"/>
            </w:rPr>
            <w:fldChar w:fldCharType="end"/>
          </w:r>
        </w:p>
        <w:p w14:paraId="1E54DEDB">
          <w:pPr>
            <w:pStyle w:val="10"/>
            <w:tabs>
              <w:tab w:val="right" w:leader="dot" w:pos="8306"/>
            </w:tabs>
            <w:rPr>
              <w:sz w:val="24"/>
              <w:szCs w:val="24"/>
            </w:rPr>
          </w:pPr>
          <w:r>
            <w:rPr>
              <w:sz w:val="24"/>
              <w:szCs w:val="24"/>
            </w:rPr>
            <w:fldChar w:fldCharType="begin"/>
          </w:r>
          <w:r>
            <w:rPr>
              <w:sz w:val="24"/>
              <w:szCs w:val="24"/>
            </w:rPr>
            <w:instrText xml:space="preserve"> HYPERLINK \l _Toc2701 </w:instrText>
          </w:r>
          <w:r>
            <w:rPr>
              <w:sz w:val="24"/>
              <w:szCs w:val="24"/>
            </w:rPr>
            <w:fldChar w:fldCharType="separate"/>
          </w:r>
          <w:r>
            <w:rPr>
              <w:rFonts w:hint="eastAsia" w:ascii="楷体" w:hAnsi="楷体" w:eastAsia="楷体" w:cs="楷体"/>
              <w:sz w:val="24"/>
              <w:szCs w:val="24"/>
              <w:lang w:val="en-US" w:eastAsia="zh-CN"/>
            </w:rPr>
            <w:t>（四）项目建设内容及目的</w:t>
          </w:r>
          <w:r>
            <w:rPr>
              <w:sz w:val="24"/>
              <w:szCs w:val="24"/>
            </w:rPr>
            <w:tab/>
          </w:r>
          <w:r>
            <w:rPr>
              <w:rFonts w:hint="eastAsia"/>
              <w:sz w:val="24"/>
              <w:szCs w:val="24"/>
              <w:lang w:val="en-US" w:eastAsia="zh-CN"/>
            </w:rPr>
            <w:t>3</w:t>
          </w:r>
          <w:r>
            <w:rPr>
              <w:sz w:val="24"/>
              <w:szCs w:val="24"/>
            </w:rPr>
            <w:fldChar w:fldCharType="end"/>
          </w:r>
        </w:p>
        <w:p w14:paraId="219259C4">
          <w:pPr>
            <w:pStyle w:val="10"/>
            <w:tabs>
              <w:tab w:val="right" w:leader="dot" w:pos="8306"/>
            </w:tabs>
            <w:rPr>
              <w:sz w:val="24"/>
              <w:szCs w:val="24"/>
            </w:rPr>
          </w:pPr>
          <w:r>
            <w:rPr>
              <w:sz w:val="24"/>
              <w:szCs w:val="24"/>
            </w:rPr>
            <w:fldChar w:fldCharType="begin"/>
          </w:r>
          <w:r>
            <w:rPr>
              <w:sz w:val="24"/>
              <w:szCs w:val="24"/>
            </w:rPr>
            <w:instrText xml:space="preserve"> HYPERLINK \l _Toc11535 </w:instrText>
          </w:r>
          <w:r>
            <w:rPr>
              <w:sz w:val="24"/>
              <w:szCs w:val="24"/>
            </w:rPr>
            <w:fldChar w:fldCharType="separate"/>
          </w:r>
          <w:r>
            <w:rPr>
              <w:rFonts w:hint="eastAsia" w:ascii="楷体" w:hAnsi="楷体" w:eastAsia="楷体" w:cs="楷体"/>
              <w:sz w:val="24"/>
              <w:szCs w:val="24"/>
              <w:lang w:val="en-US" w:eastAsia="zh-CN"/>
            </w:rPr>
            <w:t>（五）项目总体绩效目标完成情况分析</w:t>
          </w:r>
          <w:r>
            <w:rPr>
              <w:sz w:val="24"/>
              <w:szCs w:val="24"/>
            </w:rPr>
            <w:tab/>
          </w:r>
          <w:r>
            <w:rPr>
              <w:rFonts w:hint="eastAsia"/>
              <w:sz w:val="24"/>
              <w:szCs w:val="24"/>
              <w:lang w:val="en-US" w:eastAsia="zh-CN"/>
            </w:rPr>
            <w:t>5</w:t>
          </w:r>
          <w:r>
            <w:rPr>
              <w:sz w:val="24"/>
              <w:szCs w:val="24"/>
            </w:rPr>
            <w:fldChar w:fldCharType="end"/>
          </w:r>
        </w:p>
        <w:p w14:paraId="78694C77">
          <w:pPr>
            <w:pStyle w:val="9"/>
            <w:tabs>
              <w:tab w:val="right" w:leader="dot" w:pos="8306"/>
            </w:tabs>
            <w:rPr>
              <w:sz w:val="24"/>
              <w:szCs w:val="24"/>
            </w:rPr>
          </w:pPr>
          <w:r>
            <w:rPr>
              <w:sz w:val="24"/>
              <w:szCs w:val="24"/>
            </w:rPr>
            <w:fldChar w:fldCharType="begin"/>
          </w:r>
          <w:r>
            <w:rPr>
              <w:sz w:val="24"/>
              <w:szCs w:val="24"/>
            </w:rPr>
            <w:instrText xml:space="preserve"> HYPERLINK \l _Toc8395 </w:instrText>
          </w:r>
          <w:r>
            <w:rPr>
              <w:sz w:val="24"/>
              <w:szCs w:val="24"/>
            </w:rPr>
            <w:fldChar w:fldCharType="separate"/>
          </w:r>
          <w:r>
            <w:rPr>
              <w:rFonts w:hint="eastAsia" w:ascii="黑体" w:hAnsi="黑体" w:eastAsia="黑体" w:cs="黑体"/>
              <w:sz w:val="24"/>
              <w:szCs w:val="24"/>
              <w:lang w:val="en-US" w:eastAsia="zh-CN"/>
            </w:rPr>
            <w:t>二、存在的问题</w:t>
          </w:r>
          <w:r>
            <w:rPr>
              <w:sz w:val="24"/>
              <w:szCs w:val="24"/>
            </w:rPr>
            <w:tab/>
          </w:r>
          <w:r>
            <w:rPr>
              <w:rFonts w:hint="eastAsia"/>
              <w:sz w:val="24"/>
              <w:szCs w:val="24"/>
              <w:lang w:val="en-US" w:eastAsia="zh-CN"/>
            </w:rPr>
            <w:t>5</w:t>
          </w:r>
          <w:r>
            <w:rPr>
              <w:sz w:val="24"/>
              <w:szCs w:val="24"/>
            </w:rPr>
            <w:fldChar w:fldCharType="end"/>
          </w:r>
        </w:p>
        <w:p w14:paraId="35BF824A">
          <w:pPr>
            <w:pStyle w:val="10"/>
            <w:tabs>
              <w:tab w:val="right" w:leader="dot" w:pos="8306"/>
            </w:tabs>
            <w:rPr>
              <w:sz w:val="24"/>
              <w:szCs w:val="24"/>
            </w:rPr>
          </w:pPr>
          <w:r>
            <w:rPr>
              <w:sz w:val="24"/>
              <w:szCs w:val="24"/>
            </w:rPr>
            <w:fldChar w:fldCharType="begin"/>
          </w:r>
          <w:r>
            <w:rPr>
              <w:sz w:val="24"/>
              <w:szCs w:val="24"/>
            </w:rPr>
            <w:instrText xml:space="preserve"> HYPERLINK \l _Toc8638 </w:instrText>
          </w:r>
          <w:r>
            <w:rPr>
              <w:sz w:val="24"/>
              <w:szCs w:val="24"/>
            </w:rPr>
            <w:fldChar w:fldCharType="separate"/>
          </w:r>
          <w:r>
            <w:rPr>
              <w:rFonts w:hint="eastAsia" w:ascii="楷体" w:hAnsi="楷体" w:eastAsia="楷体" w:cs="楷体"/>
              <w:sz w:val="24"/>
              <w:szCs w:val="24"/>
              <w:lang w:val="en-US" w:eastAsia="zh-CN"/>
            </w:rPr>
            <w:t>（一）污水处理能力闲置</w:t>
          </w:r>
          <w:r>
            <w:rPr>
              <w:sz w:val="24"/>
              <w:szCs w:val="24"/>
            </w:rPr>
            <w:tab/>
          </w:r>
          <w:r>
            <w:rPr>
              <w:rFonts w:hint="eastAsia"/>
              <w:sz w:val="24"/>
              <w:szCs w:val="24"/>
              <w:lang w:val="en-US" w:eastAsia="zh-CN"/>
            </w:rPr>
            <w:t>5</w:t>
          </w:r>
          <w:r>
            <w:rPr>
              <w:sz w:val="24"/>
              <w:szCs w:val="24"/>
            </w:rPr>
            <w:fldChar w:fldCharType="end"/>
          </w:r>
        </w:p>
        <w:p w14:paraId="7ED8E2BD">
          <w:pPr>
            <w:pStyle w:val="10"/>
            <w:tabs>
              <w:tab w:val="right" w:leader="dot" w:pos="8306"/>
            </w:tabs>
            <w:rPr>
              <w:sz w:val="24"/>
              <w:szCs w:val="24"/>
            </w:rPr>
          </w:pPr>
          <w:r>
            <w:rPr>
              <w:sz w:val="24"/>
              <w:szCs w:val="24"/>
            </w:rPr>
            <w:fldChar w:fldCharType="begin"/>
          </w:r>
          <w:r>
            <w:rPr>
              <w:sz w:val="24"/>
              <w:szCs w:val="24"/>
            </w:rPr>
            <w:instrText xml:space="preserve"> HYPERLINK \l _Toc159 </w:instrText>
          </w:r>
          <w:r>
            <w:rPr>
              <w:sz w:val="24"/>
              <w:szCs w:val="24"/>
            </w:rPr>
            <w:fldChar w:fldCharType="separate"/>
          </w:r>
          <w:r>
            <w:rPr>
              <w:rFonts w:hint="eastAsia" w:ascii="楷体" w:hAnsi="楷体" w:eastAsia="楷体" w:cs="楷体"/>
              <w:sz w:val="24"/>
              <w:szCs w:val="24"/>
              <w:lang w:val="en-US" w:eastAsia="zh-CN"/>
            </w:rPr>
            <w:t>（二）污水处理费用及结算问题</w:t>
          </w:r>
          <w:r>
            <w:rPr>
              <w:sz w:val="24"/>
              <w:szCs w:val="24"/>
            </w:rPr>
            <w:tab/>
          </w:r>
          <w:r>
            <w:rPr>
              <w:rFonts w:hint="eastAsia"/>
              <w:sz w:val="24"/>
              <w:szCs w:val="24"/>
              <w:lang w:val="en-US" w:eastAsia="zh-CN"/>
            </w:rPr>
            <w:t>6</w:t>
          </w:r>
          <w:r>
            <w:rPr>
              <w:sz w:val="24"/>
              <w:szCs w:val="24"/>
            </w:rPr>
            <w:fldChar w:fldCharType="end"/>
          </w:r>
        </w:p>
        <w:p w14:paraId="172D39F7">
          <w:pPr>
            <w:pStyle w:val="10"/>
            <w:tabs>
              <w:tab w:val="right" w:leader="dot" w:pos="8306"/>
            </w:tabs>
            <w:rPr>
              <w:sz w:val="24"/>
              <w:szCs w:val="24"/>
            </w:rPr>
          </w:pPr>
          <w:r>
            <w:rPr>
              <w:sz w:val="24"/>
              <w:szCs w:val="24"/>
            </w:rPr>
            <w:fldChar w:fldCharType="begin"/>
          </w:r>
          <w:r>
            <w:rPr>
              <w:sz w:val="24"/>
              <w:szCs w:val="24"/>
            </w:rPr>
            <w:instrText xml:space="preserve"> HYPERLINK \l _Toc7234 </w:instrText>
          </w:r>
          <w:r>
            <w:rPr>
              <w:sz w:val="24"/>
              <w:szCs w:val="24"/>
            </w:rPr>
            <w:fldChar w:fldCharType="separate"/>
          </w:r>
          <w:r>
            <w:rPr>
              <w:rFonts w:hint="eastAsia" w:ascii="楷体" w:hAnsi="楷体" w:eastAsia="楷体" w:cs="楷体"/>
              <w:sz w:val="24"/>
              <w:szCs w:val="24"/>
              <w:lang w:val="en-US" w:eastAsia="zh-CN"/>
            </w:rPr>
            <w:t>（三）污水费结算调价争议问题</w:t>
          </w:r>
          <w:r>
            <w:rPr>
              <w:sz w:val="24"/>
              <w:szCs w:val="24"/>
            </w:rPr>
            <w:tab/>
          </w:r>
          <w:r>
            <w:rPr>
              <w:rFonts w:hint="eastAsia"/>
              <w:sz w:val="24"/>
              <w:szCs w:val="24"/>
              <w:lang w:val="en-US" w:eastAsia="zh-CN"/>
            </w:rPr>
            <w:t>6</w:t>
          </w:r>
          <w:r>
            <w:rPr>
              <w:sz w:val="24"/>
              <w:szCs w:val="24"/>
            </w:rPr>
            <w:fldChar w:fldCharType="end"/>
          </w:r>
        </w:p>
        <w:p w14:paraId="687B7342">
          <w:pPr>
            <w:pStyle w:val="10"/>
            <w:tabs>
              <w:tab w:val="right" w:leader="dot" w:pos="8306"/>
            </w:tabs>
            <w:rPr>
              <w:rFonts w:hint="eastAsia" w:ascii="楷体" w:hAnsi="楷体" w:eastAsia="仿宋" w:cs="楷体"/>
              <w:kern w:val="2"/>
              <w:sz w:val="24"/>
              <w:szCs w:val="24"/>
              <w:lang w:val="en-US" w:eastAsia="zh-CN" w:bidi="ar-SA"/>
            </w:rPr>
          </w:pPr>
          <w:r>
            <w:rPr>
              <w:sz w:val="24"/>
              <w:szCs w:val="24"/>
            </w:rPr>
            <w:fldChar w:fldCharType="begin"/>
          </w:r>
          <w:r>
            <w:rPr>
              <w:sz w:val="24"/>
              <w:szCs w:val="24"/>
            </w:rPr>
            <w:instrText xml:space="preserve"> HYPERLINK \l _Toc18487 </w:instrText>
          </w:r>
          <w:r>
            <w:rPr>
              <w:sz w:val="24"/>
              <w:szCs w:val="24"/>
            </w:rPr>
            <w:fldChar w:fldCharType="separate"/>
          </w:r>
          <w:r>
            <w:rPr>
              <w:rFonts w:hint="eastAsia" w:ascii="楷体" w:hAnsi="楷体" w:eastAsia="楷体" w:cs="楷体"/>
              <w:kern w:val="2"/>
              <w:sz w:val="24"/>
              <w:szCs w:val="24"/>
              <w:lang w:val="en-US" w:eastAsia="zh-CN" w:bidi="ar-SA"/>
            </w:rPr>
            <w:t>（四）污泥处理费结算问题</w:t>
          </w:r>
          <w:r>
            <w:rPr>
              <w:sz w:val="24"/>
              <w:szCs w:val="24"/>
            </w:rPr>
            <w:tab/>
          </w:r>
          <w:r>
            <w:rPr>
              <w:rFonts w:hint="eastAsia"/>
              <w:sz w:val="24"/>
              <w:szCs w:val="24"/>
              <w:lang w:val="en-US" w:eastAsia="zh-CN"/>
            </w:rPr>
            <w:t>7</w:t>
          </w:r>
        </w:p>
        <w:p w14:paraId="28A6A159">
          <w:pPr>
            <w:pStyle w:val="10"/>
            <w:tabs>
              <w:tab w:val="right" w:leader="dot" w:pos="8306"/>
            </w:tabs>
            <w:rPr>
              <w:rFonts w:hint="eastAsia" w:eastAsia="仿宋"/>
              <w:sz w:val="24"/>
              <w:szCs w:val="24"/>
              <w:lang w:val="en-US" w:eastAsia="zh-CN"/>
            </w:rPr>
          </w:pPr>
          <w:r>
            <w:rPr>
              <w:rFonts w:hint="eastAsia" w:ascii="楷体" w:hAnsi="楷体" w:eastAsia="楷体" w:cs="楷体"/>
              <w:kern w:val="2"/>
              <w:sz w:val="24"/>
              <w:szCs w:val="24"/>
              <w:lang w:val="en-US" w:eastAsia="zh-CN" w:bidi="ar-SA"/>
            </w:rPr>
            <w:t>（五）工艺改造问题</w:t>
          </w:r>
          <w:r>
            <w:rPr>
              <w:sz w:val="24"/>
              <w:szCs w:val="24"/>
            </w:rPr>
            <w:tab/>
          </w:r>
          <w:r>
            <w:rPr>
              <w:sz w:val="24"/>
              <w:szCs w:val="24"/>
            </w:rPr>
            <w:fldChar w:fldCharType="end"/>
          </w:r>
          <w:r>
            <w:rPr>
              <w:rFonts w:hint="eastAsia"/>
              <w:sz w:val="24"/>
              <w:szCs w:val="24"/>
              <w:lang w:val="en-US" w:eastAsia="zh-CN"/>
            </w:rPr>
            <w:t>7</w:t>
          </w:r>
        </w:p>
        <w:p w14:paraId="3F1CF337">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_Toc4271 </w:instrText>
          </w:r>
          <w:r>
            <w:rPr>
              <w:sz w:val="24"/>
              <w:szCs w:val="24"/>
            </w:rPr>
            <w:fldChar w:fldCharType="separate"/>
          </w:r>
          <w:r>
            <w:rPr>
              <w:rFonts w:hint="eastAsia" w:ascii="楷体" w:hAnsi="楷体" w:eastAsia="楷体" w:cs="楷体"/>
              <w:kern w:val="2"/>
              <w:sz w:val="24"/>
              <w:szCs w:val="24"/>
              <w:lang w:val="en-US" w:eastAsia="zh-CN" w:bidi="ar-SA"/>
            </w:rPr>
            <w:t>（六）投资收益率问题</w:t>
          </w:r>
          <w:r>
            <w:rPr>
              <w:sz w:val="24"/>
              <w:szCs w:val="24"/>
            </w:rPr>
            <w:tab/>
          </w:r>
          <w:r>
            <w:rPr>
              <w:sz w:val="24"/>
              <w:szCs w:val="24"/>
            </w:rPr>
            <w:fldChar w:fldCharType="end"/>
          </w:r>
          <w:r>
            <w:rPr>
              <w:rFonts w:hint="eastAsia"/>
              <w:sz w:val="24"/>
              <w:szCs w:val="24"/>
              <w:lang w:val="en-US" w:eastAsia="zh-CN"/>
            </w:rPr>
            <w:t>8</w:t>
          </w:r>
        </w:p>
        <w:p w14:paraId="573CE0E3">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_Toc14192 </w:instrText>
          </w:r>
          <w:r>
            <w:rPr>
              <w:sz w:val="24"/>
              <w:szCs w:val="24"/>
            </w:rPr>
            <w:fldChar w:fldCharType="separate"/>
          </w:r>
          <w:r>
            <w:rPr>
              <w:rFonts w:hint="eastAsia" w:ascii="楷体" w:hAnsi="楷体" w:eastAsia="楷体" w:cs="楷体"/>
              <w:kern w:val="2"/>
              <w:sz w:val="24"/>
              <w:szCs w:val="24"/>
              <w:lang w:val="en-US" w:eastAsia="zh-CN" w:bidi="ar-SA"/>
            </w:rPr>
            <w:t>（七）融资成本及关联方交易</w:t>
          </w:r>
          <w:r>
            <w:rPr>
              <w:sz w:val="24"/>
              <w:szCs w:val="24"/>
            </w:rPr>
            <w:tab/>
          </w:r>
          <w:r>
            <w:rPr>
              <w:sz w:val="24"/>
              <w:szCs w:val="24"/>
            </w:rPr>
            <w:fldChar w:fldCharType="end"/>
          </w:r>
          <w:r>
            <w:rPr>
              <w:rFonts w:hint="eastAsia"/>
              <w:sz w:val="24"/>
              <w:szCs w:val="24"/>
              <w:lang w:val="en-US" w:eastAsia="zh-CN"/>
            </w:rPr>
            <w:t>9</w:t>
          </w:r>
        </w:p>
        <w:p w14:paraId="5C8B866A">
          <w:pPr>
            <w:pStyle w:val="10"/>
            <w:tabs>
              <w:tab w:val="right" w:leader="dot" w:pos="8306"/>
            </w:tabs>
            <w:rPr>
              <w:rFonts w:hint="eastAsia"/>
              <w:sz w:val="24"/>
              <w:szCs w:val="24"/>
              <w:lang w:val="en-US" w:eastAsia="zh-CN"/>
            </w:rPr>
          </w:pPr>
          <w:r>
            <w:rPr>
              <w:sz w:val="24"/>
              <w:szCs w:val="24"/>
            </w:rPr>
            <w:fldChar w:fldCharType="begin"/>
          </w:r>
          <w:r>
            <w:rPr>
              <w:sz w:val="24"/>
              <w:szCs w:val="24"/>
            </w:rPr>
            <w:instrText xml:space="preserve"> HYPERLINK \l _Toc21279 </w:instrText>
          </w:r>
          <w:r>
            <w:rPr>
              <w:sz w:val="24"/>
              <w:szCs w:val="24"/>
            </w:rPr>
            <w:fldChar w:fldCharType="separate"/>
          </w:r>
          <w:r>
            <w:rPr>
              <w:rFonts w:hint="eastAsia" w:ascii="楷体" w:hAnsi="楷体" w:eastAsia="楷体" w:cs="楷体"/>
              <w:kern w:val="2"/>
              <w:sz w:val="24"/>
              <w:szCs w:val="24"/>
              <w:lang w:val="en-US" w:eastAsia="zh-CN" w:bidi="ar-SA"/>
            </w:rPr>
            <w:t>（八）水质检测公正性</w:t>
          </w:r>
          <w:r>
            <w:rPr>
              <w:sz w:val="24"/>
              <w:szCs w:val="24"/>
            </w:rPr>
            <w:tab/>
          </w:r>
          <w:r>
            <w:rPr>
              <w:sz w:val="24"/>
              <w:szCs w:val="24"/>
            </w:rPr>
            <w:fldChar w:fldCharType="end"/>
          </w:r>
          <w:r>
            <w:rPr>
              <w:rFonts w:hint="eastAsia"/>
              <w:sz w:val="24"/>
              <w:szCs w:val="24"/>
              <w:lang w:val="en-US" w:eastAsia="zh-CN"/>
            </w:rPr>
            <w:t>10</w:t>
          </w:r>
        </w:p>
        <w:p w14:paraId="461B0C17">
          <w:pPr>
            <w:ind w:firstLine="720" w:firstLineChars="300"/>
            <w:rPr>
              <w:rFonts w:hint="default"/>
              <w:lang w:val="en-US" w:eastAsia="zh-CN"/>
            </w:rPr>
          </w:pPr>
          <w:r>
            <w:rPr>
              <w:sz w:val="24"/>
              <w:szCs w:val="24"/>
            </w:rPr>
            <w:fldChar w:fldCharType="begin"/>
          </w:r>
          <w:r>
            <w:rPr>
              <w:sz w:val="24"/>
              <w:szCs w:val="24"/>
            </w:rPr>
            <w:instrText xml:space="preserve"> HYPERLINK \l _Toc21279 </w:instrText>
          </w:r>
          <w:r>
            <w:rPr>
              <w:sz w:val="24"/>
              <w:szCs w:val="24"/>
            </w:rPr>
            <w:fldChar w:fldCharType="separate"/>
          </w:r>
          <w:r>
            <w:rPr>
              <w:rFonts w:hint="eastAsia" w:ascii="楷体" w:hAnsi="楷体" w:eastAsia="楷体" w:cs="楷体"/>
              <w:kern w:val="2"/>
              <w:sz w:val="24"/>
              <w:szCs w:val="24"/>
              <w:lang w:val="en-US" w:eastAsia="zh-CN" w:bidi="ar-SA"/>
            </w:rPr>
            <w:t>（九）取消保底结算问题.....................................</w:t>
          </w:r>
          <w:r>
            <w:rPr>
              <w:sz w:val="24"/>
              <w:szCs w:val="24"/>
            </w:rPr>
            <w:fldChar w:fldCharType="end"/>
          </w:r>
          <w:r>
            <w:rPr>
              <w:rFonts w:hint="eastAsia"/>
              <w:sz w:val="24"/>
              <w:szCs w:val="24"/>
              <w:lang w:val="en-US" w:eastAsia="zh-CN"/>
            </w:rPr>
            <w:t>...10</w:t>
          </w:r>
        </w:p>
        <w:p w14:paraId="3E3B5308">
          <w:pPr>
            <w:pStyle w:val="9"/>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_Toc24295 </w:instrText>
          </w:r>
          <w:r>
            <w:rPr>
              <w:sz w:val="24"/>
              <w:szCs w:val="24"/>
            </w:rPr>
            <w:fldChar w:fldCharType="separate"/>
          </w:r>
          <w:r>
            <w:rPr>
              <w:rFonts w:hint="eastAsia" w:ascii="黑体" w:hAnsi="黑体" w:eastAsia="黑体" w:cs="黑体"/>
              <w:sz w:val="24"/>
              <w:szCs w:val="24"/>
              <w:lang w:val="en-US" w:eastAsia="zh-CN"/>
            </w:rPr>
            <w:t>三、绩效结果拟应用</w:t>
          </w:r>
          <w:r>
            <w:rPr>
              <w:sz w:val="24"/>
              <w:szCs w:val="24"/>
            </w:rPr>
            <w:tab/>
          </w:r>
          <w:r>
            <w:rPr>
              <w:sz w:val="24"/>
              <w:szCs w:val="24"/>
            </w:rPr>
            <w:fldChar w:fldCharType="begin"/>
          </w:r>
          <w:r>
            <w:rPr>
              <w:sz w:val="24"/>
              <w:szCs w:val="24"/>
            </w:rPr>
            <w:instrText xml:space="preserve"> PAGEREF _Toc24295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1</w:t>
          </w:r>
        </w:p>
        <w:p w14:paraId="0EBB6478">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_Toc13059 </w:instrText>
          </w:r>
          <w:r>
            <w:rPr>
              <w:sz w:val="24"/>
              <w:szCs w:val="24"/>
            </w:rPr>
            <w:fldChar w:fldCharType="separate"/>
          </w:r>
          <w:r>
            <w:rPr>
              <w:rFonts w:hint="eastAsia" w:ascii="楷体" w:hAnsi="楷体" w:eastAsia="楷体" w:cs="楷体"/>
              <w:sz w:val="24"/>
              <w:szCs w:val="24"/>
              <w:lang w:val="en-US" w:eastAsia="zh-CN"/>
            </w:rPr>
            <w:t>（一）提升污水处理厂运行效率</w:t>
          </w:r>
          <w:r>
            <w:rPr>
              <w:sz w:val="24"/>
              <w:szCs w:val="24"/>
            </w:rPr>
            <w:tab/>
          </w:r>
          <w:r>
            <w:rPr>
              <w:sz w:val="24"/>
              <w:szCs w:val="24"/>
            </w:rPr>
            <w:fldChar w:fldCharType="begin"/>
          </w:r>
          <w:r>
            <w:rPr>
              <w:sz w:val="24"/>
              <w:szCs w:val="24"/>
            </w:rPr>
            <w:instrText xml:space="preserve"> PAGEREF _Toc13059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1</w:t>
          </w:r>
        </w:p>
        <w:p w14:paraId="59FBF09B">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_Toc21637 </w:instrText>
          </w:r>
          <w:r>
            <w:rPr>
              <w:sz w:val="24"/>
              <w:szCs w:val="24"/>
            </w:rPr>
            <w:fldChar w:fldCharType="separate"/>
          </w:r>
          <w:r>
            <w:rPr>
              <w:rFonts w:hint="eastAsia" w:ascii="楷体" w:hAnsi="楷体" w:eastAsia="楷体" w:cs="楷体"/>
              <w:kern w:val="2"/>
              <w:sz w:val="24"/>
              <w:szCs w:val="24"/>
              <w:lang w:val="en-US" w:eastAsia="zh-CN" w:bidi="ar-SA"/>
            </w:rPr>
            <w:t>（二）处理费用及时拨付</w:t>
          </w:r>
          <w:r>
            <w:rPr>
              <w:sz w:val="24"/>
              <w:szCs w:val="24"/>
            </w:rPr>
            <w:tab/>
          </w:r>
          <w:r>
            <w:rPr>
              <w:sz w:val="24"/>
              <w:szCs w:val="24"/>
            </w:rPr>
            <w:fldChar w:fldCharType="begin"/>
          </w:r>
          <w:r>
            <w:rPr>
              <w:sz w:val="24"/>
              <w:szCs w:val="24"/>
            </w:rPr>
            <w:instrText xml:space="preserve"> PAGEREF _Toc21637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1</w:t>
          </w:r>
        </w:p>
        <w:p w14:paraId="25902702">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_Toc18924 </w:instrText>
          </w:r>
          <w:r>
            <w:rPr>
              <w:sz w:val="24"/>
              <w:szCs w:val="24"/>
            </w:rPr>
            <w:fldChar w:fldCharType="separate"/>
          </w:r>
          <w:r>
            <w:rPr>
              <w:rFonts w:hint="eastAsia" w:ascii="楷体" w:hAnsi="楷体" w:eastAsia="楷体" w:cs="楷体"/>
              <w:kern w:val="2"/>
              <w:sz w:val="24"/>
              <w:szCs w:val="24"/>
              <w:lang w:val="en-US" w:eastAsia="zh-CN" w:bidi="ar-SA"/>
            </w:rPr>
            <w:t>（三）建立更加科学的计价方式</w:t>
          </w:r>
          <w:r>
            <w:rPr>
              <w:sz w:val="24"/>
              <w:szCs w:val="24"/>
            </w:rPr>
            <w:tab/>
          </w:r>
          <w:r>
            <w:rPr>
              <w:sz w:val="24"/>
              <w:szCs w:val="24"/>
            </w:rPr>
            <w:fldChar w:fldCharType="begin"/>
          </w:r>
          <w:r>
            <w:rPr>
              <w:sz w:val="24"/>
              <w:szCs w:val="24"/>
            </w:rPr>
            <w:instrText xml:space="preserve"> PAGEREF _Toc18924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1</w:t>
          </w:r>
        </w:p>
        <w:p w14:paraId="01A4AB53">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_Toc415 </w:instrText>
          </w:r>
          <w:r>
            <w:rPr>
              <w:sz w:val="24"/>
              <w:szCs w:val="24"/>
            </w:rPr>
            <w:fldChar w:fldCharType="separate"/>
          </w:r>
          <w:r>
            <w:rPr>
              <w:rFonts w:hint="eastAsia" w:ascii="楷体" w:hAnsi="楷体" w:eastAsia="楷体" w:cs="楷体"/>
              <w:kern w:val="2"/>
              <w:sz w:val="24"/>
              <w:szCs w:val="24"/>
              <w:lang w:val="en-US" w:eastAsia="zh-CN" w:bidi="ar-SA"/>
            </w:rPr>
            <w:t>（四）重新评估检测管理模式</w:t>
          </w:r>
          <w:r>
            <w:rPr>
              <w:sz w:val="24"/>
              <w:szCs w:val="24"/>
            </w:rPr>
            <w:tab/>
          </w:r>
          <w:r>
            <w:rPr>
              <w:sz w:val="24"/>
              <w:szCs w:val="24"/>
            </w:rPr>
            <w:fldChar w:fldCharType="begin"/>
          </w:r>
          <w:r>
            <w:rPr>
              <w:sz w:val="24"/>
              <w:szCs w:val="24"/>
            </w:rPr>
            <w:instrText xml:space="preserve"> PAGEREF _Toc415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2</w:t>
          </w:r>
        </w:p>
        <w:p w14:paraId="12BA0A28">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_Toc25024 </w:instrText>
          </w:r>
          <w:r>
            <w:rPr>
              <w:sz w:val="24"/>
              <w:szCs w:val="24"/>
            </w:rPr>
            <w:fldChar w:fldCharType="separate"/>
          </w:r>
          <w:r>
            <w:rPr>
              <w:rFonts w:hint="eastAsia" w:ascii="楷体" w:hAnsi="楷体" w:eastAsia="楷体" w:cs="楷体"/>
              <w:kern w:val="2"/>
              <w:sz w:val="24"/>
              <w:szCs w:val="24"/>
              <w:lang w:val="en-US" w:eastAsia="zh-CN" w:bidi="ar-SA"/>
            </w:rPr>
            <w:t>（五）合理公正审议项目技改要求</w:t>
          </w:r>
          <w:r>
            <w:rPr>
              <w:sz w:val="24"/>
              <w:szCs w:val="24"/>
            </w:rPr>
            <w:tab/>
          </w:r>
          <w:r>
            <w:rPr>
              <w:sz w:val="24"/>
              <w:szCs w:val="24"/>
            </w:rPr>
            <w:fldChar w:fldCharType="begin"/>
          </w:r>
          <w:r>
            <w:rPr>
              <w:sz w:val="24"/>
              <w:szCs w:val="24"/>
            </w:rPr>
            <w:instrText xml:space="preserve"> PAGEREF _Toc25024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3</w:t>
          </w:r>
        </w:p>
        <w:p w14:paraId="3FB5DD8F">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_Toc32478 </w:instrText>
          </w:r>
          <w:r>
            <w:rPr>
              <w:sz w:val="24"/>
              <w:szCs w:val="24"/>
            </w:rPr>
            <w:fldChar w:fldCharType="separate"/>
          </w:r>
          <w:r>
            <w:rPr>
              <w:rFonts w:hint="eastAsia" w:ascii="楷体" w:hAnsi="楷体" w:eastAsia="楷体" w:cs="楷体"/>
              <w:kern w:val="2"/>
              <w:sz w:val="24"/>
              <w:szCs w:val="24"/>
              <w:lang w:val="en-US" w:eastAsia="zh-CN" w:bidi="ar-SA"/>
            </w:rPr>
            <w:t>（六）科学调整投资收益目标</w:t>
          </w:r>
          <w:r>
            <w:rPr>
              <w:sz w:val="24"/>
              <w:szCs w:val="24"/>
            </w:rPr>
            <w:tab/>
          </w:r>
          <w:r>
            <w:rPr>
              <w:sz w:val="24"/>
              <w:szCs w:val="24"/>
            </w:rPr>
            <w:fldChar w:fldCharType="begin"/>
          </w:r>
          <w:r>
            <w:rPr>
              <w:sz w:val="24"/>
              <w:szCs w:val="24"/>
            </w:rPr>
            <w:instrText xml:space="preserve"> PAGEREF _Toc32478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4</w:t>
          </w:r>
        </w:p>
        <w:p w14:paraId="759FB785">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_Toc13687 </w:instrText>
          </w:r>
          <w:r>
            <w:rPr>
              <w:sz w:val="24"/>
              <w:szCs w:val="24"/>
            </w:rPr>
            <w:fldChar w:fldCharType="separate"/>
          </w:r>
          <w:r>
            <w:rPr>
              <w:rFonts w:hint="eastAsia" w:ascii="楷体" w:hAnsi="楷体" w:eastAsia="楷体" w:cs="楷体"/>
              <w:kern w:val="2"/>
              <w:sz w:val="24"/>
              <w:szCs w:val="24"/>
              <w:lang w:val="en-US" w:eastAsia="zh-CN" w:bidi="ar-SA"/>
            </w:rPr>
            <w:t>（七）技改费用问题</w:t>
          </w:r>
          <w:r>
            <w:rPr>
              <w:sz w:val="24"/>
              <w:szCs w:val="24"/>
            </w:rPr>
            <w:tab/>
          </w:r>
          <w:r>
            <w:rPr>
              <w:sz w:val="24"/>
              <w:szCs w:val="24"/>
            </w:rPr>
            <w:fldChar w:fldCharType="begin"/>
          </w:r>
          <w:r>
            <w:rPr>
              <w:sz w:val="24"/>
              <w:szCs w:val="24"/>
            </w:rPr>
            <w:instrText xml:space="preserve"> PAGEREF _Toc13687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4</w:t>
          </w:r>
        </w:p>
        <w:p w14:paraId="605D28F7">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_Toc21634 </w:instrText>
          </w:r>
          <w:r>
            <w:rPr>
              <w:sz w:val="24"/>
              <w:szCs w:val="24"/>
            </w:rPr>
            <w:fldChar w:fldCharType="separate"/>
          </w:r>
          <w:r>
            <w:rPr>
              <w:rFonts w:hint="eastAsia" w:ascii="楷体" w:hAnsi="楷体" w:eastAsia="楷体" w:cs="楷体"/>
              <w:kern w:val="2"/>
              <w:sz w:val="24"/>
              <w:szCs w:val="24"/>
              <w:lang w:val="en-US" w:eastAsia="zh-CN" w:bidi="ar-SA"/>
            </w:rPr>
            <w:t>（八）保底结算合约变更</w:t>
          </w:r>
          <w:r>
            <w:rPr>
              <w:sz w:val="24"/>
              <w:szCs w:val="24"/>
            </w:rPr>
            <w:tab/>
          </w:r>
          <w:r>
            <w:rPr>
              <w:sz w:val="24"/>
              <w:szCs w:val="24"/>
            </w:rPr>
            <w:fldChar w:fldCharType="begin"/>
          </w:r>
          <w:r>
            <w:rPr>
              <w:sz w:val="24"/>
              <w:szCs w:val="24"/>
            </w:rPr>
            <w:instrText xml:space="preserve"> PAGEREF _Toc21634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5</w:t>
          </w:r>
        </w:p>
        <w:p w14:paraId="412E4BFC">
          <w:pPr>
            <w:pStyle w:val="9"/>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_Toc10447 </w:instrText>
          </w:r>
          <w:r>
            <w:rPr>
              <w:sz w:val="24"/>
              <w:szCs w:val="24"/>
            </w:rPr>
            <w:fldChar w:fldCharType="separate"/>
          </w:r>
          <w:r>
            <w:rPr>
              <w:rFonts w:hint="eastAsia" w:ascii="黑体" w:hAnsi="黑体" w:eastAsia="黑体" w:cs="黑体"/>
              <w:kern w:val="2"/>
              <w:sz w:val="24"/>
              <w:szCs w:val="24"/>
              <w:lang w:val="en-US" w:eastAsia="zh-CN" w:bidi="ar-SA"/>
            </w:rPr>
            <w:t>四、评价体系及评价结论</w:t>
          </w:r>
          <w:r>
            <w:rPr>
              <w:sz w:val="24"/>
              <w:szCs w:val="24"/>
            </w:rPr>
            <w:tab/>
          </w:r>
          <w:r>
            <w:rPr>
              <w:sz w:val="24"/>
              <w:szCs w:val="24"/>
            </w:rPr>
            <w:fldChar w:fldCharType="begin"/>
          </w:r>
          <w:r>
            <w:rPr>
              <w:sz w:val="24"/>
              <w:szCs w:val="24"/>
            </w:rPr>
            <w:instrText xml:space="preserve"> PAGEREF _Toc10447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5</w:t>
          </w:r>
        </w:p>
        <w:p w14:paraId="33436CF5">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_Toc27082 </w:instrText>
          </w:r>
          <w:r>
            <w:rPr>
              <w:sz w:val="24"/>
              <w:szCs w:val="24"/>
            </w:rPr>
            <w:fldChar w:fldCharType="separate"/>
          </w:r>
          <w:r>
            <w:rPr>
              <w:rFonts w:hint="eastAsia" w:ascii="楷体" w:hAnsi="楷体" w:eastAsia="楷体" w:cs="楷体"/>
              <w:kern w:val="2"/>
              <w:sz w:val="24"/>
              <w:szCs w:val="24"/>
              <w:lang w:val="en-US" w:eastAsia="zh-CN" w:bidi="ar-SA"/>
            </w:rPr>
            <w:t>（一）评价指标分类</w:t>
          </w:r>
          <w:r>
            <w:rPr>
              <w:sz w:val="24"/>
              <w:szCs w:val="24"/>
            </w:rPr>
            <w:tab/>
          </w:r>
          <w:r>
            <w:rPr>
              <w:sz w:val="24"/>
              <w:szCs w:val="24"/>
            </w:rPr>
            <w:fldChar w:fldCharType="begin"/>
          </w:r>
          <w:r>
            <w:rPr>
              <w:sz w:val="24"/>
              <w:szCs w:val="24"/>
            </w:rPr>
            <w:instrText xml:space="preserve"> PAGEREF _Toc27082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5</w:t>
          </w:r>
        </w:p>
        <w:p w14:paraId="03C24461">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_Toc13983 </w:instrText>
          </w:r>
          <w:r>
            <w:rPr>
              <w:sz w:val="24"/>
              <w:szCs w:val="24"/>
            </w:rPr>
            <w:fldChar w:fldCharType="separate"/>
          </w:r>
          <w:r>
            <w:rPr>
              <w:rFonts w:hint="eastAsia" w:ascii="楷体" w:hAnsi="楷体" w:eastAsia="楷体" w:cs="楷体"/>
              <w:kern w:val="2"/>
              <w:sz w:val="24"/>
              <w:szCs w:val="24"/>
              <w:highlight w:val="none"/>
              <w:lang w:val="en-US" w:eastAsia="zh-CN" w:bidi="ar-SA"/>
            </w:rPr>
            <w:t>（二）评价等级</w:t>
          </w:r>
          <w:r>
            <w:rPr>
              <w:sz w:val="24"/>
              <w:szCs w:val="24"/>
            </w:rPr>
            <w:tab/>
          </w:r>
          <w:r>
            <w:rPr>
              <w:sz w:val="24"/>
              <w:szCs w:val="24"/>
            </w:rPr>
            <w:fldChar w:fldCharType="begin"/>
          </w:r>
          <w:r>
            <w:rPr>
              <w:sz w:val="24"/>
              <w:szCs w:val="24"/>
            </w:rPr>
            <w:instrText xml:space="preserve"> PAGEREF _Toc13983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6</w:t>
          </w:r>
        </w:p>
        <w:p w14:paraId="1CD7BABB">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_Toc1154 </w:instrText>
          </w:r>
          <w:r>
            <w:rPr>
              <w:sz w:val="24"/>
              <w:szCs w:val="24"/>
            </w:rPr>
            <w:fldChar w:fldCharType="separate"/>
          </w:r>
          <w:r>
            <w:rPr>
              <w:rFonts w:hint="eastAsia" w:ascii="楷体" w:hAnsi="楷体" w:eastAsia="楷体" w:cs="楷体"/>
              <w:kern w:val="2"/>
              <w:sz w:val="24"/>
              <w:szCs w:val="24"/>
              <w:highlight w:val="none"/>
              <w:lang w:val="en-US" w:eastAsia="zh-CN" w:bidi="ar-SA"/>
            </w:rPr>
            <w:t>（三）评价结论</w:t>
          </w:r>
          <w:r>
            <w:rPr>
              <w:sz w:val="24"/>
              <w:szCs w:val="24"/>
            </w:rPr>
            <w:tab/>
          </w:r>
          <w:r>
            <w:rPr>
              <w:sz w:val="24"/>
              <w:szCs w:val="24"/>
            </w:rPr>
            <w:fldChar w:fldCharType="begin"/>
          </w:r>
          <w:r>
            <w:rPr>
              <w:sz w:val="24"/>
              <w:szCs w:val="24"/>
            </w:rPr>
            <w:instrText xml:space="preserve"> PAGEREF _Toc1154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6</w:t>
          </w:r>
        </w:p>
        <w:p w14:paraId="77D4EDB6">
          <w:pPr>
            <w:pStyle w:val="9"/>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_Toc4774 </w:instrText>
          </w:r>
          <w:r>
            <w:rPr>
              <w:sz w:val="24"/>
              <w:szCs w:val="24"/>
            </w:rPr>
            <w:fldChar w:fldCharType="separate"/>
          </w:r>
          <w:r>
            <w:rPr>
              <w:rFonts w:hint="eastAsia" w:ascii="黑体" w:hAnsi="黑体" w:eastAsia="黑体" w:cs="黑体"/>
              <w:sz w:val="24"/>
              <w:szCs w:val="24"/>
              <w:lang w:val="en-US" w:eastAsia="zh-CN"/>
            </w:rPr>
            <w:t>五、项目绩效报告实施准备</w:t>
          </w:r>
          <w:r>
            <w:rPr>
              <w:sz w:val="24"/>
              <w:szCs w:val="24"/>
            </w:rPr>
            <w:tab/>
          </w:r>
          <w:r>
            <w:rPr>
              <w:sz w:val="24"/>
              <w:szCs w:val="24"/>
            </w:rPr>
            <w:fldChar w:fldCharType="begin"/>
          </w:r>
          <w:r>
            <w:rPr>
              <w:sz w:val="24"/>
              <w:szCs w:val="24"/>
            </w:rPr>
            <w:instrText xml:space="preserve"> PAGEREF _Toc4774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7</w:t>
          </w:r>
        </w:p>
        <w:p w14:paraId="222E1187">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_Toc512 </w:instrText>
          </w:r>
          <w:r>
            <w:rPr>
              <w:sz w:val="24"/>
              <w:szCs w:val="24"/>
            </w:rPr>
            <w:fldChar w:fldCharType="separate"/>
          </w:r>
          <w:r>
            <w:rPr>
              <w:rFonts w:hint="eastAsia" w:ascii="楷体" w:hAnsi="楷体" w:eastAsia="楷体" w:cs="楷体"/>
              <w:sz w:val="24"/>
              <w:szCs w:val="24"/>
              <w:lang w:val="en-US" w:eastAsia="zh-CN"/>
            </w:rPr>
            <w:t>（一）项目准备阶段</w:t>
          </w:r>
          <w:r>
            <w:rPr>
              <w:sz w:val="24"/>
              <w:szCs w:val="24"/>
            </w:rPr>
            <w:tab/>
          </w:r>
          <w:r>
            <w:rPr>
              <w:sz w:val="24"/>
              <w:szCs w:val="24"/>
            </w:rPr>
            <w:fldChar w:fldCharType="begin"/>
          </w:r>
          <w:r>
            <w:rPr>
              <w:sz w:val="24"/>
              <w:szCs w:val="24"/>
            </w:rPr>
            <w:instrText xml:space="preserve"> PAGEREF _Toc512 \h </w:instrText>
          </w:r>
          <w:r>
            <w:rPr>
              <w:sz w:val="24"/>
              <w:szCs w:val="24"/>
            </w:rPr>
            <w:fldChar w:fldCharType="separate"/>
          </w:r>
          <w:r>
            <w:rPr>
              <w:sz w:val="24"/>
              <w:szCs w:val="24"/>
            </w:rPr>
            <w:t>1</w:t>
          </w:r>
          <w:r>
            <w:rPr>
              <w:sz w:val="24"/>
              <w:szCs w:val="24"/>
            </w:rPr>
            <w:fldChar w:fldCharType="end"/>
          </w:r>
          <w:r>
            <w:rPr>
              <w:sz w:val="24"/>
              <w:szCs w:val="24"/>
            </w:rPr>
            <w:fldChar w:fldCharType="end"/>
          </w:r>
          <w:r>
            <w:rPr>
              <w:rFonts w:hint="eastAsia"/>
              <w:sz w:val="24"/>
              <w:szCs w:val="24"/>
              <w:lang w:val="en-US" w:eastAsia="zh-CN"/>
            </w:rPr>
            <w:t>7</w:t>
          </w:r>
        </w:p>
        <w:p w14:paraId="2195044B">
          <w:pPr>
            <w:pStyle w:val="10"/>
            <w:tabs>
              <w:tab w:val="right" w:leader="dot" w:pos="8306"/>
            </w:tabs>
            <w:rPr>
              <w:rFonts w:hint="default" w:eastAsia="仿宋"/>
              <w:sz w:val="24"/>
              <w:szCs w:val="24"/>
              <w:lang w:val="en-US" w:eastAsia="zh-CN"/>
            </w:rPr>
          </w:pPr>
          <w:r>
            <w:rPr>
              <w:sz w:val="24"/>
              <w:szCs w:val="24"/>
            </w:rPr>
            <w:fldChar w:fldCharType="begin"/>
          </w:r>
          <w:r>
            <w:rPr>
              <w:sz w:val="24"/>
              <w:szCs w:val="24"/>
            </w:rPr>
            <w:instrText xml:space="preserve"> HYPERLINK \l _Toc8981 </w:instrText>
          </w:r>
          <w:r>
            <w:rPr>
              <w:sz w:val="24"/>
              <w:szCs w:val="24"/>
            </w:rPr>
            <w:fldChar w:fldCharType="separate"/>
          </w:r>
          <w:r>
            <w:rPr>
              <w:rFonts w:hint="eastAsia" w:ascii="楷体" w:hAnsi="楷体" w:eastAsia="楷体" w:cs="楷体"/>
              <w:kern w:val="2"/>
              <w:sz w:val="24"/>
              <w:szCs w:val="24"/>
              <w:lang w:val="en-US" w:eastAsia="zh-CN" w:bidi="ar-SA"/>
            </w:rPr>
            <w:t>（二）项目绩效评价实施步骤</w:t>
          </w:r>
          <w:r>
            <w:rPr>
              <w:sz w:val="24"/>
              <w:szCs w:val="24"/>
            </w:rPr>
            <w:tab/>
          </w:r>
          <w:r>
            <w:rPr>
              <w:sz w:val="24"/>
              <w:szCs w:val="24"/>
            </w:rPr>
            <w:fldChar w:fldCharType="end"/>
          </w:r>
          <w:r>
            <w:rPr>
              <w:rFonts w:hint="eastAsia"/>
              <w:sz w:val="24"/>
              <w:szCs w:val="24"/>
              <w:lang w:val="en-US" w:eastAsia="zh-CN"/>
            </w:rPr>
            <w:t>17</w:t>
          </w:r>
        </w:p>
        <w:p w14:paraId="674FB496">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_Toc32027 </w:instrText>
          </w:r>
          <w:r>
            <w:rPr>
              <w:sz w:val="24"/>
              <w:szCs w:val="24"/>
            </w:rPr>
            <w:fldChar w:fldCharType="separate"/>
          </w:r>
          <w:r>
            <w:rPr>
              <w:rFonts w:hint="eastAsia" w:ascii="楷体" w:hAnsi="楷体" w:eastAsia="楷体" w:cs="楷体"/>
              <w:kern w:val="2"/>
              <w:sz w:val="24"/>
              <w:szCs w:val="24"/>
              <w:lang w:val="en-US" w:eastAsia="zh-CN" w:bidi="ar-SA"/>
            </w:rPr>
            <w:t>（三）绩效评估内容及评估结论</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8</w:t>
          </w:r>
        </w:p>
        <w:p w14:paraId="6C3360E6">
          <w:pPr>
            <w:pStyle w:val="9"/>
            <w:tabs>
              <w:tab w:val="right" w:leader="dot" w:pos="8306"/>
            </w:tabs>
            <w:rPr>
              <w:rFonts w:hint="default" w:eastAsia="仿宋"/>
              <w:sz w:val="24"/>
              <w:szCs w:val="24"/>
              <w:lang w:val="en-US" w:eastAsia="zh-CN"/>
            </w:rPr>
          </w:pPr>
          <w:r>
            <w:rPr>
              <w:sz w:val="24"/>
              <w:szCs w:val="24"/>
            </w:rPr>
            <w:fldChar w:fldCharType="begin"/>
          </w:r>
          <w:r>
            <w:rPr>
              <w:sz w:val="24"/>
              <w:szCs w:val="24"/>
            </w:rPr>
            <w:instrText xml:space="preserve"> HYPERLINK \l _Toc22308 </w:instrText>
          </w:r>
          <w:r>
            <w:rPr>
              <w:sz w:val="24"/>
              <w:szCs w:val="24"/>
            </w:rPr>
            <w:fldChar w:fldCharType="separate"/>
          </w:r>
          <w:r>
            <w:rPr>
              <w:rFonts w:hint="eastAsia" w:ascii="黑体" w:hAnsi="黑体" w:eastAsia="黑体" w:cs="黑体"/>
              <w:kern w:val="2"/>
              <w:sz w:val="24"/>
              <w:szCs w:val="24"/>
              <w:lang w:val="en-US" w:eastAsia="zh-CN" w:bidi="ar-SA"/>
            </w:rPr>
            <w:t>六、项目绩效指标评价分析</w:t>
          </w:r>
          <w:r>
            <w:rPr>
              <w:sz w:val="24"/>
              <w:szCs w:val="24"/>
            </w:rPr>
            <w:tab/>
          </w:r>
          <w:r>
            <w:rPr>
              <w:sz w:val="24"/>
              <w:szCs w:val="24"/>
            </w:rPr>
            <w:fldChar w:fldCharType="end"/>
          </w:r>
          <w:r>
            <w:rPr>
              <w:rFonts w:hint="eastAsia"/>
              <w:sz w:val="24"/>
              <w:szCs w:val="24"/>
              <w:lang w:val="en-US" w:eastAsia="zh-CN"/>
            </w:rPr>
            <w:t>19</w:t>
          </w:r>
        </w:p>
        <w:p w14:paraId="14C7B019">
          <w:pPr>
            <w:pStyle w:val="10"/>
            <w:tabs>
              <w:tab w:val="right" w:leader="dot" w:pos="8306"/>
            </w:tabs>
            <w:rPr>
              <w:rFonts w:hint="default" w:eastAsia="仿宋"/>
              <w:sz w:val="24"/>
              <w:szCs w:val="24"/>
              <w:lang w:val="en-US" w:eastAsia="zh-CN"/>
            </w:rPr>
          </w:pPr>
          <w:r>
            <w:rPr>
              <w:sz w:val="24"/>
              <w:szCs w:val="24"/>
            </w:rPr>
            <w:fldChar w:fldCharType="begin"/>
          </w:r>
          <w:r>
            <w:rPr>
              <w:sz w:val="24"/>
              <w:szCs w:val="24"/>
            </w:rPr>
            <w:instrText xml:space="preserve"> HYPERLINK \l _Toc28906 </w:instrText>
          </w:r>
          <w:r>
            <w:rPr>
              <w:sz w:val="24"/>
              <w:szCs w:val="24"/>
            </w:rPr>
            <w:fldChar w:fldCharType="separate"/>
          </w:r>
          <w:r>
            <w:rPr>
              <w:rFonts w:hint="eastAsia" w:ascii="楷体" w:hAnsi="楷体" w:eastAsia="楷体" w:cs="楷体"/>
              <w:kern w:val="2"/>
              <w:sz w:val="24"/>
              <w:szCs w:val="24"/>
              <w:lang w:val="en-US" w:eastAsia="zh-CN" w:bidi="ar-SA"/>
            </w:rPr>
            <w:t>（一）项目决策评价分析（满分15分，实得12分）</w:t>
          </w:r>
          <w:r>
            <w:rPr>
              <w:sz w:val="24"/>
              <w:szCs w:val="24"/>
            </w:rPr>
            <w:tab/>
          </w:r>
          <w:r>
            <w:rPr>
              <w:sz w:val="24"/>
              <w:szCs w:val="24"/>
            </w:rPr>
            <w:fldChar w:fldCharType="end"/>
          </w:r>
          <w:r>
            <w:rPr>
              <w:rFonts w:hint="eastAsia"/>
              <w:sz w:val="24"/>
              <w:szCs w:val="24"/>
              <w:lang w:val="en-US" w:eastAsia="zh-CN"/>
            </w:rPr>
            <w:t>19</w:t>
          </w:r>
        </w:p>
        <w:p w14:paraId="43AE64A3">
          <w:pPr>
            <w:pStyle w:val="10"/>
            <w:tabs>
              <w:tab w:val="right" w:leader="dot" w:pos="8306"/>
            </w:tabs>
            <w:rPr>
              <w:rFonts w:hint="default" w:eastAsia="仿宋"/>
              <w:sz w:val="24"/>
              <w:szCs w:val="24"/>
              <w:lang w:val="en-US" w:eastAsia="zh-CN"/>
            </w:rPr>
          </w:pPr>
          <w:r>
            <w:rPr>
              <w:sz w:val="24"/>
              <w:szCs w:val="24"/>
            </w:rPr>
            <w:fldChar w:fldCharType="begin"/>
          </w:r>
          <w:r>
            <w:rPr>
              <w:sz w:val="24"/>
              <w:szCs w:val="24"/>
            </w:rPr>
            <w:instrText xml:space="preserve"> HYPERLINK \l _Toc19300 </w:instrText>
          </w:r>
          <w:r>
            <w:rPr>
              <w:sz w:val="24"/>
              <w:szCs w:val="24"/>
            </w:rPr>
            <w:fldChar w:fldCharType="separate"/>
          </w:r>
          <w:r>
            <w:rPr>
              <w:rFonts w:hint="eastAsia" w:ascii="楷体" w:hAnsi="楷体" w:eastAsia="楷体" w:cs="楷体"/>
              <w:kern w:val="2"/>
              <w:sz w:val="24"/>
              <w:szCs w:val="24"/>
              <w:lang w:val="en-US" w:eastAsia="zh-CN" w:bidi="ar-SA"/>
            </w:rPr>
            <w:t>（二）项目管理分析</w:t>
          </w:r>
          <w:r>
            <w:rPr>
              <w:sz w:val="24"/>
              <w:szCs w:val="24"/>
            </w:rPr>
            <w:tab/>
          </w:r>
          <w:r>
            <w:rPr>
              <w:sz w:val="24"/>
              <w:szCs w:val="24"/>
            </w:rPr>
            <w:fldChar w:fldCharType="end"/>
          </w:r>
          <w:r>
            <w:rPr>
              <w:rFonts w:hint="eastAsia"/>
              <w:sz w:val="24"/>
              <w:szCs w:val="24"/>
              <w:lang w:val="en-US" w:eastAsia="zh-CN"/>
            </w:rPr>
            <w:t>23</w:t>
          </w:r>
        </w:p>
        <w:p w14:paraId="3A5E5F33">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_Toc27204 </w:instrText>
          </w:r>
          <w:r>
            <w:rPr>
              <w:sz w:val="24"/>
              <w:szCs w:val="24"/>
            </w:rPr>
            <w:fldChar w:fldCharType="separate"/>
          </w:r>
          <w:r>
            <w:rPr>
              <w:rFonts w:hint="eastAsia" w:ascii="楷体" w:hAnsi="楷体" w:eastAsia="楷体" w:cs="楷体"/>
              <w:sz w:val="24"/>
              <w:szCs w:val="24"/>
              <w:highlight w:val="none"/>
              <w:lang w:val="en-US" w:eastAsia="zh-CN"/>
            </w:rPr>
            <w:t>（三）项目产出情况分析</w:t>
          </w:r>
          <w:r>
            <w:rPr>
              <w:sz w:val="24"/>
              <w:szCs w:val="24"/>
            </w:rPr>
            <w:tab/>
          </w:r>
          <w:r>
            <w:rPr>
              <w:sz w:val="24"/>
              <w:szCs w:val="24"/>
            </w:rPr>
            <w:fldChar w:fldCharType="begin"/>
          </w:r>
          <w:r>
            <w:rPr>
              <w:sz w:val="24"/>
              <w:szCs w:val="24"/>
            </w:rPr>
            <w:instrText xml:space="preserve"> PAGEREF _Toc27204 \h </w:instrText>
          </w:r>
          <w:r>
            <w:rPr>
              <w:sz w:val="24"/>
              <w:szCs w:val="24"/>
            </w:rPr>
            <w:fldChar w:fldCharType="separate"/>
          </w:r>
          <w:r>
            <w:rPr>
              <w:sz w:val="24"/>
              <w:szCs w:val="24"/>
            </w:rPr>
            <w:t>2</w:t>
          </w:r>
          <w:r>
            <w:rPr>
              <w:sz w:val="24"/>
              <w:szCs w:val="24"/>
            </w:rPr>
            <w:fldChar w:fldCharType="end"/>
          </w:r>
          <w:r>
            <w:rPr>
              <w:sz w:val="24"/>
              <w:szCs w:val="24"/>
            </w:rPr>
            <w:fldChar w:fldCharType="end"/>
          </w:r>
          <w:r>
            <w:rPr>
              <w:rFonts w:hint="eastAsia"/>
              <w:sz w:val="24"/>
              <w:szCs w:val="24"/>
              <w:lang w:val="en-US" w:eastAsia="zh-CN"/>
            </w:rPr>
            <w:t>7</w:t>
          </w:r>
        </w:p>
        <w:p w14:paraId="2C9E6871">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_Toc25135 </w:instrText>
          </w:r>
          <w:r>
            <w:rPr>
              <w:sz w:val="24"/>
              <w:szCs w:val="24"/>
            </w:rPr>
            <w:fldChar w:fldCharType="separate"/>
          </w:r>
          <w:r>
            <w:rPr>
              <w:rFonts w:hint="eastAsia" w:ascii="楷体" w:hAnsi="楷体" w:eastAsia="楷体" w:cs="楷体"/>
              <w:kern w:val="2"/>
              <w:sz w:val="24"/>
              <w:szCs w:val="24"/>
              <w:highlight w:val="none"/>
              <w:lang w:val="en-US" w:eastAsia="zh-CN" w:bidi="ar-SA"/>
            </w:rPr>
            <w:t>（四）项目效益情况分析</w:t>
          </w:r>
          <w:r>
            <w:rPr>
              <w:sz w:val="24"/>
              <w:szCs w:val="24"/>
            </w:rPr>
            <w:tab/>
          </w:r>
          <w:r>
            <w:rPr>
              <w:sz w:val="24"/>
              <w:szCs w:val="24"/>
            </w:rPr>
            <w:fldChar w:fldCharType="begin"/>
          </w:r>
          <w:r>
            <w:rPr>
              <w:sz w:val="24"/>
              <w:szCs w:val="24"/>
            </w:rPr>
            <w:instrText xml:space="preserve"> PAGEREF _Toc25135 \h </w:instrText>
          </w:r>
          <w:r>
            <w:rPr>
              <w:sz w:val="24"/>
              <w:szCs w:val="24"/>
            </w:rPr>
            <w:fldChar w:fldCharType="separate"/>
          </w:r>
          <w:r>
            <w:rPr>
              <w:sz w:val="24"/>
              <w:szCs w:val="24"/>
            </w:rPr>
            <w:t>3</w:t>
          </w:r>
          <w:r>
            <w:rPr>
              <w:sz w:val="24"/>
              <w:szCs w:val="24"/>
            </w:rPr>
            <w:fldChar w:fldCharType="end"/>
          </w:r>
          <w:r>
            <w:rPr>
              <w:sz w:val="24"/>
              <w:szCs w:val="24"/>
            </w:rPr>
            <w:fldChar w:fldCharType="end"/>
          </w:r>
          <w:r>
            <w:rPr>
              <w:rFonts w:hint="eastAsia"/>
              <w:sz w:val="24"/>
              <w:szCs w:val="24"/>
              <w:lang w:val="en-US" w:eastAsia="zh-CN"/>
            </w:rPr>
            <w:t>4</w:t>
          </w:r>
        </w:p>
        <w:p w14:paraId="1E332F3A">
          <w:pPr>
            <w:pStyle w:val="10"/>
            <w:tabs>
              <w:tab w:val="right" w:leader="dot" w:pos="8306"/>
            </w:tabs>
            <w:rPr>
              <w:rFonts w:hint="eastAsia" w:eastAsia="仿宋"/>
              <w:sz w:val="24"/>
              <w:szCs w:val="24"/>
              <w:lang w:val="en-US" w:eastAsia="zh-CN"/>
            </w:rPr>
          </w:pPr>
          <w:r>
            <w:rPr>
              <w:sz w:val="24"/>
              <w:szCs w:val="24"/>
            </w:rPr>
            <w:fldChar w:fldCharType="begin"/>
          </w:r>
          <w:r>
            <w:rPr>
              <w:sz w:val="24"/>
              <w:szCs w:val="24"/>
            </w:rPr>
            <w:instrText xml:space="preserve"> HYPERLINK \l _Toc16023 </w:instrText>
          </w:r>
          <w:r>
            <w:rPr>
              <w:sz w:val="24"/>
              <w:szCs w:val="24"/>
            </w:rPr>
            <w:fldChar w:fldCharType="separate"/>
          </w:r>
          <w:r>
            <w:rPr>
              <w:rFonts w:hint="eastAsia" w:ascii="楷体" w:hAnsi="楷体" w:eastAsia="楷体" w:cs="楷体"/>
              <w:kern w:val="2"/>
              <w:sz w:val="24"/>
              <w:szCs w:val="24"/>
              <w:highlight w:val="none"/>
              <w:lang w:val="en-US" w:eastAsia="zh-CN" w:bidi="ar-SA"/>
            </w:rPr>
            <w:t>（五）能力建设及可持续影响</w:t>
          </w:r>
          <w:r>
            <w:rPr>
              <w:sz w:val="24"/>
              <w:szCs w:val="24"/>
            </w:rPr>
            <w:tab/>
          </w:r>
          <w:r>
            <w:rPr>
              <w:sz w:val="24"/>
              <w:szCs w:val="24"/>
            </w:rPr>
            <w:fldChar w:fldCharType="begin"/>
          </w:r>
          <w:r>
            <w:rPr>
              <w:sz w:val="24"/>
              <w:szCs w:val="24"/>
            </w:rPr>
            <w:instrText xml:space="preserve"> PAGEREF _Toc16023 \h </w:instrText>
          </w:r>
          <w:r>
            <w:rPr>
              <w:sz w:val="24"/>
              <w:szCs w:val="24"/>
            </w:rPr>
            <w:fldChar w:fldCharType="separate"/>
          </w:r>
          <w:r>
            <w:rPr>
              <w:sz w:val="24"/>
              <w:szCs w:val="24"/>
            </w:rPr>
            <w:t>3</w:t>
          </w:r>
          <w:r>
            <w:rPr>
              <w:sz w:val="24"/>
              <w:szCs w:val="24"/>
            </w:rPr>
            <w:fldChar w:fldCharType="end"/>
          </w:r>
          <w:r>
            <w:rPr>
              <w:sz w:val="24"/>
              <w:szCs w:val="24"/>
            </w:rPr>
            <w:fldChar w:fldCharType="end"/>
          </w:r>
          <w:r>
            <w:rPr>
              <w:rFonts w:hint="eastAsia"/>
              <w:sz w:val="24"/>
              <w:szCs w:val="24"/>
              <w:lang w:val="en-US" w:eastAsia="zh-CN"/>
            </w:rPr>
            <w:t>6</w:t>
          </w:r>
        </w:p>
        <w:p w14:paraId="1EBEEE58">
          <w:pPr>
            <w:pStyle w:val="9"/>
            <w:tabs>
              <w:tab w:val="right" w:leader="dot" w:pos="8306"/>
            </w:tabs>
            <w:rPr>
              <w:rFonts w:hint="default" w:eastAsia="仿宋"/>
              <w:sz w:val="24"/>
              <w:szCs w:val="24"/>
              <w:lang w:val="en-US" w:eastAsia="zh-CN"/>
            </w:rPr>
          </w:pPr>
          <w:r>
            <w:rPr>
              <w:sz w:val="24"/>
              <w:szCs w:val="24"/>
            </w:rPr>
            <w:fldChar w:fldCharType="begin"/>
          </w:r>
          <w:r>
            <w:rPr>
              <w:sz w:val="24"/>
              <w:szCs w:val="24"/>
            </w:rPr>
            <w:instrText xml:space="preserve"> HYPERLINK \l _Toc25302 </w:instrText>
          </w:r>
          <w:r>
            <w:rPr>
              <w:sz w:val="24"/>
              <w:szCs w:val="24"/>
            </w:rPr>
            <w:fldChar w:fldCharType="separate"/>
          </w:r>
          <w:r>
            <w:rPr>
              <w:rFonts w:hint="eastAsia" w:ascii="黑体" w:hAnsi="黑体" w:eastAsia="黑体" w:cs="黑体"/>
              <w:kern w:val="2"/>
              <w:sz w:val="24"/>
              <w:szCs w:val="24"/>
              <w:lang w:val="en-US" w:eastAsia="zh-CN" w:bidi="ar-SA"/>
            </w:rPr>
            <w:t>七、其他</w:t>
          </w:r>
          <w:r>
            <w:rPr>
              <w:sz w:val="24"/>
              <w:szCs w:val="24"/>
            </w:rPr>
            <w:tab/>
          </w:r>
          <w:r>
            <w:rPr>
              <w:sz w:val="24"/>
              <w:szCs w:val="24"/>
            </w:rPr>
            <w:fldChar w:fldCharType="end"/>
          </w:r>
          <w:r>
            <w:rPr>
              <w:rFonts w:hint="eastAsia"/>
              <w:sz w:val="24"/>
              <w:szCs w:val="24"/>
              <w:lang w:val="en-US" w:eastAsia="zh-CN"/>
            </w:rPr>
            <w:t>38</w:t>
          </w:r>
          <w:bookmarkStart w:id="78" w:name="_GoBack"/>
          <w:bookmarkEnd w:id="78"/>
        </w:p>
        <w:p w14:paraId="0B75095B">
          <w:r>
            <w:rPr>
              <w:sz w:val="24"/>
              <w:szCs w:val="24"/>
            </w:rPr>
            <w:fldChar w:fldCharType="end"/>
          </w:r>
        </w:p>
      </w:sdtContent>
    </w:sdt>
    <w:p w14:paraId="04B98CCC">
      <w:pPr>
        <w:bidi w:val="0"/>
        <w:jc w:val="center"/>
        <w:rPr>
          <w:rFonts w:hint="eastAsia" w:ascii="方正小标宋_GBK" w:hAnsi="方正小标宋_GBK" w:eastAsia="方正小标宋_GBK" w:cs="方正小标宋_GBK"/>
          <w:sz w:val="32"/>
          <w:szCs w:val="32"/>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56B1E679">
      <w:pPr>
        <w:bidi w:val="0"/>
        <w:jc w:val="center"/>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阳新县宝塔湖污水处理厂扩建及提标升级工程</w:t>
      </w:r>
    </w:p>
    <w:p w14:paraId="72A1DD63">
      <w:pPr>
        <w:bidi w:val="0"/>
        <w:jc w:val="center"/>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项目绩效评价报告</w:t>
      </w:r>
    </w:p>
    <w:p w14:paraId="3EF01815">
      <w:pPr>
        <w:numPr>
          <w:ilvl w:val="0"/>
          <w:numId w:val="0"/>
        </w:numPr>
        <w:bidi w:val="0"/>
        <w:ind w:left="0" w:leftChars="0" w:firstLine="0" w:firstLineChars="0"/>
        <w:outlineLvl w:val="0"/>
        <w:rPr>
          <w:rFonts w:hint="eastAsia" w:ascii="黑体" w:hAnsi="黑体" w:eastAsia="黑体" w:cs="黑体"/>
          <w:lang w:val="en-US" w:eastAsia="zh-CN"/>
        </w:rPr>
      </w:pPr>
      <w:bookmarkStart w:id="8" w:name="_Toc21662"/>
      <w:r>
        <w:rPr>
          <w:rFonts w:hint="eastAsia" w:ascii="黑体" w:hAnsi="黑体" w:eastAsia="黑体" w:cs="黑体"/>
          <w:kern w:val="2"/>
          <w:sz w:val="32"/>
          <w:szCs w:val="24"/>
          <w:lang w:val="en-US" w:eastAsia="zh-CN" w:bidi="ar-SA"/>
        </w:rPr>
        <w:t>一、</w:t>
      </w:r>
      <w:r>
        <w:rPr>
          <w:rFonts w:hint="eastAsia" w:ascii="黑体" w:hAnsi="黑体" w:eastAsia="黑体" w:cs="黑体"/>
          <w:lang w:val="en-US" w:eastAsia="zh-CN"/>
        </w:rPr>
        <w:t>项目基本情况</w:t>
      </w:r>
      <w:bookmarkEnd w:id="8"/>
    </w:p>
    <w:p w14:paraId="41D564D6">
      <w:pPr>
        <w:numPr>
          <w:ilvl w:val="0"/>
          <w:numId w:val="0"/>
        </w:numPr>
        <w:bidi w:val="0"/>
        <w:ind w:left="0" w:leftChars="0" w:firstLine="640" w:firstLineChars="200"/>
        <w:outlineLvl w:val="1"/>
        <w:rPr>
          <w:rFonts w:hint="eastAsia" w:ascii="楷体" w:hAnsi="楷体" w:eastAsia="楷体" w:cs="楷体"/>
          <w:lang w:val="en-US" w:eastAsia="zh-CN"/>
        </w:rPr>
      </w:pPr>
      <w:bookmarkStart w:id="9" w:name="_Toc3978"/>
      <w:r>
        <w:rPr>
          <w:rFonts w:hint="eastAsia" w:ascii="楷体" w:hAnsi="楷体" w:eastAsia="楷体" w:cs="楷体"/>
          <w:kern w:val="2"/>
          <w:sz w:val="32"/>
          <w:szCs w:val="24"/>
          <w:lang w:val="en-US" w:eastAsia="zh-CN" w:bidi="ar-SA"/>
        </w:rPr>
        <w:t>（一）</w:t>
      </w:r>
      <w:r>
        <w:rPr>
          <w:rFonts w:hint="eastAsia" w:ascii="楷体" w:hAnsi="楷体" w:eastAsia="楷体" w:cs="楷体"/>
          <w:lang w:val="en-US" w:eastAsia="zh-CN"/>
        </w:rPr>
        <w:t>项目立项背景</w:t>
      </w:r>
      <w:bookmarkEnd w:id="9"/>
    </w:p>
    <w:p w14:paraId="62561DB3">
      <w:pPr>
        <w:numPr>
          <w:ilvl w:val="0"/>
          <w:numId w:val="0"/>
        </w:numPr>
        <w:bidi w:val="0"/>
        <w:ind w:firstLine="640" w:firstLineChars="200"/>
        <w:rPr>
          <w:rFonts w:hint="eastAsia"/>
          <w:lang w:val="en-US" w:eastAsia="zh-CN"/>
        </w:rPr>
      </w:pPr>
      <w:r>
        <w:rPr>
          <w:rFonts w:hint="eastAsia"/>
          <w:lang w:val="en-US" w:eastAsia="zh-CN"/>
        </w:rPr>
        <w:t>宝塔湖作为阳新县重要的自然景观和生态屏障，其水质状况直接关系到周边居民的生活质量和生态安全。为了有效缓解污水排放对富河流域水质的威胁，提升阳新县整体的污水处理能力，阳新县政府决定立项改扩建宝塔湖污水处理厂。该项目旨在通过改进的污水处理工艺和技术，将收集到的污水进行高效处理，满足最新排放标准和环保要求，保护流域湖泊水质，改善区域生态环境。</w:t>
      </w:r>
    </w:p>
    <w:p w14:paraId="1C4F2FC1">
      <w:pPr>
        <w:numPr>
          <w:ilvl w:val="0"/>
          <w:numId w:val="0"/>
        </w:numPr>
        <w:bidi w:val="0"/>
        <w:ind w:firstLine="640" w:firstLineChars="200"/>
        <w:rPr>
          <w:rFonts w:hint="eastAsia"/>
          <w:lang w:val="en-US" w:eastAsia="zh-CN"/>
        </w:rPr>
      </w:pPr>
      <w:r>
        <w:rPr>
          <w:rFonts w:hint="eastAsia"/>
          <w:lang w:val="en-US" w:eastAsia="zh-CN"/>
        </w:rPr>
        <w:t>宝塔湖污水处理厂扩建及提标升级工程项目的建设是响应国家生态文明建设号召、推动绿色低碳发展的重要举措。项目的实施不仅有助于提升阳新县的城市形象和生态环境质量，还能为周边地区提供可借鉴的污水处理经验和技术示范，推动区域可持续发展。</w:t>
      </w:r>
    </w:p>
    <w:p w14:paraId="13500AA8">
      <w:pPr>
        <w:numPr>
          <w:ilvl w:val="0"/>
          <w:numId w:val="0"/>
        </w:numPr>
        <w:bidi w:val="0"/>
        <w:ind w:left="0" w:leftChars="0" w:firstLine="640" w:firstLineChars="200"/>
        <w:outlineLvl w:val="1"/>
        <w:rPr>
          <w:rFonts w:hint="eastAsia" w:ascii="楷体" w:hAnsi="楷体" w:eastAsia="楷体" w:cs="楷体"/>
          <w:lang w:val="en-US" w:eastAsia="zh-CN"/>
        </w:rPr>
      </w:pPr>
      <w:bookmarkStart w:id="10" w:name="_Toc29195"/>
      <w:r>
        <w:rPr>
          <w:rFonts w:hint="eastAsia" w:ascii="楷体" w:hAnsi="楷体" w:eastAsia="楷体" w:cs="楷体"/>
          <w:lang w:val="en-US" w:eastAsia="zh-CN"/>
        </w:rPr>
        <w:t>（二）项目立项依据</w:t>
      </w:r>
      <w:bookmarkEnd w:id="10"/>
    </w:p>
    <w:p w14:paraId="1C261C24">
      <w:pPr>
        <w:numPr>
          <w:ilvl w:val="0"/>
          <w:numId w:val="0"/>
        </w:numPr>
        <w:bidi w:val="0"/>
        <w:ind w:firstLine="640" w:firstLineChars="200"/>
        <w:rPr>
          <w:rFonts w:hint="eastAsia" w:ascii="仿宋" w:hAnsi="仿宋" w:eastAsia="仿宋" w:cs="仿宋"/>
          <w:lang w:val="en-US" w:eastAsia="zh-CN"/>
        </w:rPr>
      </w:pPr>
      <w:r>
        <w:rPr>
          <w:rFonts w:hint="eastAsia" w:ascii="仿宋" w:hAnsi="仿宋" w:eastAsia="仿宋" w:cs="仿宋"/>
          <w:lang w:val="en-US" w:eastAsia="zh-CN"/>
        </w:rPr>
        <w:t>1.</w:t>
      </w:r>
      <w:r>
        <w:rPr>
          <w:rFonts w:hint="eastAsia" w:cs="仿宋"/>
          <w:lang w:val="en-US" w:eastAsia="zh-CN"/>
        </w:rPr>
        <w:t xml:space="preserve"> </w:t>
      </w:r>
      <w:r>
        <w:rPr>
          <w:rFonts w:hint="eastAsia" w:ascii="仿宋" w:hAnsi="仿宋" w:eastAsia="仿宋" w:cs="仿宋"/>
          <w:lang w:val="en-US" w:eastAsia="zh-CN"/>
        </w:rPr>
        <w:t>20</w:t>
      </w:r>
      <w:r>
        <w:rPr>
          <w:rFonts w:hint="eastAsia" w:cs="仿宋"/>
          <w:lang w:val="en-US" w:eastAsia="zh-CN"/>
        </w:rPr>
        <w:t>1</w:t>
      </w:r>
      <w:r>
        <w:rPr>
          <w:rFonts w:hint="eastAsia" w:ascii="仿宋" w:hAnsi="仿宋" w:eastAsia="仿宋" w:cs="仿宋"/>
          <w:lang w:val="en-US" w:eastAsia="zh-CN"/>
        </w:rPr>
        <w:t>3年10月，国务院发布《城镇排水与污水处理条例》，</w:t>
      </w:r>
      <w:r>
        <w:rPr>
          <w:rFonts w:hint="eastAsia" w:cs="仿宋"/>
          <w:lang w:val="en-US" w:eastAsia="zh-CN"/>
        </w:rPr>
        <w:t>条例首次将城镇排水与污水处理纳入法治轨道，明确了规划编制、设施建设、排水许可、内涝防治、污泥处置等全流程管理要求。</w:t>
      </w:r>
      <w:r>
        <w:rPr>
          <w:rFonts w:hint="eastAsia" w:ascii="仿宋" w:hAnsi="仿宋" w:eastAsia="仿宋" w:cs="仿宋"/>
          <w:lang w:val="en-US" w:eastAsia="zh-CN"/>
        </w:rPr>
        <w:t>明确雨污分流原则和排水许可制度</w:t>
      </w:r>
      <w:r>
        <w:rPr>
          <w:rFonts w:hint="eastAsia" w:cs="仿宋"/>
          <w:lang w:val="en-US" w:eastAsia="zh-CN"/>
        </w:rPr>
        <w:t>，</w:t>
      </w:r>
      <w:r>
        <w:rPr>
          <w:rFonts w:hint="eastAsia" w:ascii="仿宋" w:hAnsi="仿宋" w:eastAsia="仿宋" w:cs="仿宋"/>
          <w:lang w:val="en-US" w:eastAsia="zh-CN"/>
        </w:rPr>
        <w:t>促进资源循环利用，鼓励再生水利用和污泥资源化。</w:t>
      </w:r>
    </w:p>
    <w:p w14:paraId="73FD46E0">
      <w:pPr>
        <w:numPr>
          <w:ilvl w:val="0"/>
          <w:numId w:val="0"/>
        </w:numPr>
        <w:bidi w:val="0"/>
        <w:ind w:firstLine="640" w:firstLineChars="200"/>
        <w:rPr>
          <w:rFonts w:hint="eastAsia"/>
          <w:lang w:val="en-US" w:eastAsia="zh-CN"/>
        </w:rPr>
      </w:pPr>
      <w:r>
        <w:rPr>
          <w:rFonts w:hint="eastAsia"/>
          <w:lang w:val="en-US" w:eastAsia="zh-CN"/>
        </w:rPr>
        <w:t xml:space="preserve">2.  2016年12月国家发展改革委、住房城乡建设部印发《“十三五”全国城镇污水处理及再生利用设施建设规划》（发改环资〔2016〕2849号）文件明确，“十三五”期间应进一步统筹规划，合理布局，加大投入，实现城镇污水处理设施建设由“规模增长”向“提质增效”转变，由“重水轻泥”向“泥水并重”转变，由“污水处理”向“再生利用”转变，全面提升我国城镇污水处理设施的保障能力和服务水平，使群众切实感受到水环境质量改善的成效。 </w:t>
      </w:r>
    </w:p>
    <w:p w14:paraId="0F61D499">
      <w:pPr>
        <w:numPr>
          <w:ilvl w:val="0"/>
          <w:numId w:val="0"/>
        </w:numPr>
        <w:bidi w:val="0"/>
        <w:ind w:left="0" w:leftChars="0" w:firstLine="640" w:firstLineChars="200"/>
        <w:outlineLvl w:val="1"/>
        <w:rPr>
          <w:rFonts w:hint="eastAsia" w:ascii="楷体" w:hAnsi="楷体" w:eastAsia="楷体" w:cs="楷体"/>
          <w:lang w:val="en-US" w:eastAsia="zh-CN"/>
        </w:rPr>
      </w:pPr>
      <w:bookmarkStart w:id="11" w:name="_Toc5036"/>
      <w:r>
        <w:rPr>
          <w:rFonts w:hint="eastAsia" w:ascii="楷体" w:hAnsi="楷体" w:eastAsia="楷体" w:cs="楷体"/>
          <w:lang w:val="en-US" w:eastAsia="zh-CN"/>
        </w:rPr>
        <w:t>（三）项目单位情况</w:t>
      </w:r>
      <w:bookmarkEnd w:id="11"/>
    </w:p>
    <w:p w14:paraId="4357EE5C">
      <w:pPr>
        <w:numPr>
          <w:ilvl w:val="0"/>
          <w:numId w:val="0"/>
        </w:numPr>
        <w:bidi w:val="0"/>
        <w:ind w:firstLine="640" w:firstLineChars="200"/>
        <w:rPr>
          <w:rFonts w:hint="default"/>
          <w:lang w:val="en-US" w:eastAsia="zh-CN"/>
        </w:rPr>
      </w:pPr>
      <w:r>
        <w:rPr>
          <w:rFonts w:hint="eastAsia"/>
          <w:lang w:val="en-US" w:eastAsia="zh-CN"/>
        </w:rPr>
        <w:t>2018年1月，通过湖北政府购买服务信息平台公开招标阳新县宝塔湖污水处理厂扩建及提标升级工程PPP项目中标单位为北京首创股份有限公司，中标服务单价为0.92元/立方米。</w:t>
      </w:r>
    </w:p>
    <w:p w14:paraId="4DC6DCD8">
      <w:pPr>
        <w:numPr>
          <w:ilvl w:val="0"/>
          <w:numId w:val="0"/>
        </w:numPr>
        <w:bidi w:val="0"/>
        <w:ind w:firstLine="643" w:firstLineChars="200"/>
        <w:rPr>
          <w:rFonts w:hint="eastAsia"/>
          <w:lang w:val="en-US" w:eastAsia="zh-CN"/>
        </w:rPr>
      </w:pPr>
      <w:r>
        <w:rPr>
          <w:rFonts w:hint="eastAsia"/>
          <w:b/>
          <w:bCs/>
          <w:lang w:val="en-US" w:eastAsia="zh-CN"/>
        </w:rPr>
        <w:t>北京首创股份有限公司</w:t>
      </w:r>
      <w:r>
        <w:rPr>
          <w:rFonts w:hint="eastAsia"/>
          <w:lang w:val="en-US" w:eastAsia="zh-CN"/>
        </w:rPr>
        <w:t>总部位于北京，是北京市国资委下属的国有控股环保企业，2000年4月在上海证券交易所上市。公司最初聚焦水务基础设施投资，通过战略转型逐步发展为覆盖水处理、固废治理、大气污染防治及资源能源管理的综合环境服务商。业务遍布全国28个省份超百个城市，水处理能力达3047万吨/日，生活垃圾年处理量1382万吨，服务人口超6000万，总资产突破1000亿元。技术实力突出，拥有931项专利（含132项发明专利），并依托“生态+2025”战略推动数字化与轻资产运营转型。连续多年入选“中国环境企业50强”（2023年位列第4位），水务规模全球第五，固废技术国际领先，是国内环保产业市场化改革的标杆企业。</w:t>
      </w:r>
    </w:p>
    <w:p w14:paraId="3AD5A752">
      <w:pPr>
        <w:numPr>
          <w:ilvl w:val="0"/>
          <w:numId w:val="0"/>
        </w:numPr>
        <w:bidi w:val="0"/>
        <w:ind w:left="0" w:leftChars="0" w:firstLine="640" w:firstLineChars="200"/>
        <w:outlineLvl w:val="1"/>
        <w:rPr>
          <w:rFonts w:hint="eastAsia" w:ascii="楷体" w:hAnsi="楷体" w:eastAsia="楷体" w:cs="楷体"/>
          <w:lang w:val="en-US" w:eastAsia="zh-CN"/>
        </w:rPr>
      </w:pPr>
      <w:bookmarkStart w:id="12" w:name="_Toc2701"/>
      <w:r>
        <w:rPr>
          <w:rFonts w:hint="eastAsia" w:ascii="楷体" w:hAnsi="楷体" w:eastAsia="楷体" w:cs="楷体"/>
          <w:lang w:val="en-US" w:eastAsia="zh-CN"/>
        </w:rPr>
        <w:t>（四）项目建设内容及目的</w:t>
      </w:r>
      <w:bookmarkEnd w:id="12"/>
    </w:p>
    <w:p w14:paraId="6886F7A6">
      <w:pPr>
        <w:numPr>
          <w:ilvl w:val="0"/>
          <w:numId w:val="0"/>
        </w:numPr>
        <w:bidi w:val="0"/>
        <w:ind w:left="0" w:leftChars="0" w:firstLine="643" w:firstLineChars="200"/>
        <w:outlineLvl w:val="2"/>
        <w:rPr>
          <w:rFonts w:hint="eastAsia"/>
          <w:b/>
          <w:bCs/>
          <w:lang w:val="en-US" w:eastAsia="zh-CN"/>
        </w:rPr>
      </w:pPr>
      <w:bookmarkStart w:id="13" w:name="_Toc17466"/>
      <w:r>
        <w:rPr>
          <w:rFonts w:hint="eastAsia"/>
          <w:b/>
          <w:bCs/>
          <w:lang w:val="en-US" w:eastAsia="zh-CN"/>
        </w:rPr>
        <w:t>1.项目建设内容</w:t>
      </w:r>
      <w:bookmarkEnd w:id="13"/>
    </w:p>
    <w:p w14:paraId="35A14E8C">
      <w:pPr>
        <w:numPr>
          <w:ilvl w:val="0"/>
          <w:numId w:val="0"/>
        </w:numPr>
        <w:bidi w:val="0"/>
        <w:ind w:firstLine="640" w:firstLineChars="200"/>
        <w:rPr>
          <w:rFonts w:hint="default"/>
          <w:b w:val="0"/>
          <w:bCs w:val="0"/>
          <w:lang w:val="en-US" w:eastAsia="zh-CN"/>
        </w:rPr>
      </w:pPr>
      <w:r>
        <w:rPr>
          <w:rFonts w:hint="eastAsia" w:cs="仿宋"/>
          <w:b w:val="0"/>
          <w:bCs w:val="0"/>
          <w:lang w:val="en-US" w:eastAsia="zh-CN"/>
        </w:rPr>
        <w:t>阳新县宝塔湖污水处理厂扩建及提标升级项目</w:t>
      </w:r>
      <w:r>
        <w:rPr>
          <w:rFonts w:hint="eastAsia" w:ascii="仿宋" w:hAnsi="仿宋" w:eastAsia="仿宋" w:cs="仿宋"/>
          <w:b w:val="0"/>
          <w:bCs w:val="0"/>
          <w:lang w:val="en-US" w:eastAsia="zh-CN"/>
        </w:rPr>
        <w:t>根据中南建筑设计院股份有限公司编制的《阳新县宝塔湖污水处理厂扩建及提标升级工程可行性研究报告》</w:t>
      </w:r>
      <w:r>
        <w:rPr>
          <w:rFonts w:hint="eastAsia" w:cs="仿宋"/>
          <w:b w:val="0"/>
          <w:bCs w:val="0"/>
          <w:lang w:val="en-US" w:eastAsia="zh-CN"/>
        </w:rPr>
        <w:t>由发改局审批同意立项</w:t>
      </w:r>
      <w:r>
        <w:rPr>
          <w:rFonts w:hint="eastAsia" w:ascii="仿宋" w:hAnsi="仿宋" w:eastAsia="仿宋" w:cs="仿宋"/>
          <w:b w:val="0"/>
          <w:bCs w:val="0"/>
          <w:lang w:val="en-US" w:eastAsia="zh-CN"/>
        </w:rPr>
        <w:t>，</w:t>
      </w:r>
      <w:r>
        <w:rPr>
          <w:rFonts w:hint="eastAsia" w:cs="仿宋"/>
          <w:b w:val="0"/>
          <w:bCs w:val="0"/>
          <w:lang w:val="en-US" w:eastAsia="zh-CN"/>
        </w:rPr>
        <w:t>二期</w:t>
      </w:r>
      <w:r>
        <w:rPr>
          <w:rFonts w:hint="eastAsia" w:ascii="仿宋" w:hAnsi="仿宋" w:eastAsia="仿宋" w:cs="仿宋"/>
          <w:b w:val="0"/>
          <w:bCs w:val="0"/>
          <w:lang w:val="en-US" w:eastAsia="zh-CN"/>
        </w:rPr>
        <w:t>项目</w:t>
      </w:r>
      <w:r>
        <w:rPr>
          <w:rFonts w:hint="eastAsia" w:cs="仿宋"/>
          <w:b w:val="0"/>
          <w:bCs w:val="0"/>
          <w:lang w:val="en-US" w:eastAsia="zh-CN"/>
        </w:rPr>
        <w:t>计划</w:t>
      </w:r>
      <w:r>
        <w:rPr>
          <w:rFonts w:hint="eastAsia" w:ascii="仿宋" w:hAnsi="仿宋" w:eastAsia="仿宋" w:cs="仿宋"/>
          <w:b w:val="0"/>
          <w:bCs w:val="0"/>
          <w:lang w:val="en-US" w:eastAsia="zh-CN"/>
        </w:rPr>
        <w:t>总</w:t>
      </w:r>
      <w:r>
        <w:rPr>
          <w:rFonts w:hint="eastAsia" w:cs="仿宋"/>
          <w:b w:val="0"/>
          <w:bCs w:val="0"/>
          <w:lang w:val="en-US" w:eastAsia="zh-CN"/>
        </w:rPr>
        <w:t>投入</w:t>
      </w:r>
      <w:r>
        <w:rPr>
          <w:rFonts w:hint="eastAsia" w:ascii="仿宋" w:hAnsi="仿宋" w:eastAsia="仿宋" w:cs="仿宋"/>
          <w:b w:val="0"/>
          <w:bCs w:val="0"/>
          <w:lang w:val="en-US" w:eastAsia="zh-CN"/>
        </w:rPr>
        <w:t>7081.43万元，2021年12月完成项目审计确定项目</w:t>
      </w:r>
      <w:r>
        <w:rPr>
          <w:rFonts w:hint="eastAsia" w:cs="仿宋"/>
          <w:b w:val="0"/>
          <w:bCs w:val="0"/>
          <w:lang w:val="en-US" w:eastAsia="zh-CN"/>
        </w:rPr>
        <w:t>实际</w:t>
      </w:r>
      <w:r>
        <w:rPr>
          <w:rFonts w:hint="eastAsia" w:ascii="仿宋" w:hAnsi="仿宋" w:eastAsia="仿宋" w:cs="仿宋"/>
          <w:b w:val="0"/>
          <w:bCs w:val="0"/>
          <w:lang w:val="en-US" w:eastAsia="zh-CN"/>
        </w:rPr>
        <w:t>总投资5940.67万元；一期残值 3399 万元计入总投资</w:t>
      </w:r>
      <w:r>
        <w:rPr>
          <w:rFonts w:hint="eastAsia" w:cs="仿宋"/>
          <w:b w:val="0"/>
          <w:bCs w:val="0"/>
          <w:lang w:val="en-US" w:eastAsia="zh-CN"/>
        </w:rPr>
        <w:t>，</w:t>
      </w:r>
      <w:r>
        <w:rPr>
          <w:rFonts w:hint="eastAsia" w:ascii="仿宋" w:hAnsi="仿宋" w:eastAsia="仿宋" w:cs="仿宋"/>
          <w:b w:val="0"/>
          <w:bCs w:val="0"/>
          <w:lang w:val="en-US" w:eastAsia="zh-CN"/>
        </w:rPr>
        <w:t>由项目公司负责筹集，项目合作期30年，其中建设期1年，运营期29年。</w:t>
      </w:r>
    </w:p>
    <w:p w14:paraId="0B8D1B51">
      <w:pPr>
        <w:numPr>
          <w:ilvl w:val="0"/>
          <w:numId w:val="0"/>
        </w:numPr>
        <w:bidi w:val="0"/>
        <w:ind w:firstLine="640" w:firstLineChars="200"/>
        <w:rPr>
          <w:rFonts w:hint="default"/>
          <w:lang w:val="en-US" w:eastAsia="zh-CN"/>
        </w:rPr>
      </w:pPr>
      <w:r>
        <w:rPr>
          <w:rFonts w:hint="eastAsia"/>
          <w:lang w:val="en-US" w:eastAsia="zh-CN"/>
        </w:rPr>
        <w:t>（1）一期提标改造工程。一期设计</w:t>
      </w:r>
      <w:r>
        <w:rPr>
          <w:rFonts w:hint="default"/>
          <w:lang w:val="en-US" w:eastAsia="zh-CN"/>
        </w:rPr>
        <w:t>3万吨/日污水处理</w:t>
      </w:r>
      <w:r>
        <w:rPr>
          <w:rFonts w:hint="eastAsia"/>
          <w:lang w:val="en-US" w:eastAsia="zh-CN"/>
        </w:rPr>
        <w:t>能力，</w:t>
      </w:r>
      <w:r>
        <w:rPr>
          <w:rFonts w:hint="default"/>
          <w:lang w:val="en-US" w:eastAsia="zh-CN"/>
        </w:rPr>
        <w:t>一期设计出水水质标准为一级B排放标准</w:t>
      </w:r>
      <w:r>
        <w:rPr>
          <w:rFonts w:hint="eastAsia"/>
          <w:lang w:val="en-US" w:eastAsia="zh-CN"/>
        </w:rPr>
        <w:t>，通过对一期</w:t>
      </w:r>
      <w:r>
        <w:rPr>
          <w:rFonts w:hint="default"/>
          <w:lang w:val="en-US" w:eastAsia="zh-CN"/>
        </w:rPr>
        <w:t>原处理工艺进行提标改造，将原</w:t>
      </w:r>
      <w:r>
        <w:rPr>
          <w:rFonts w:hint="eastAsia"/>
          <w:lang w:val="en-US" w:eastAsia="zh-CN"/>
        </w:rPr>
        <w:t>“</w:t>
      </w:r>
      <w:r>
        <w:rPr>
          <w:rFonts w:hint="default"/>
          <w:lang w:val="en-US" w:eastAsia="zh-CN"/>
        </w:rPr>
        <w:t>SBR</w:t>
      </w:r>
      <w:r>
        <w:rPr>
          <w:rFonts w:hint="eastAsia"/>
          <w:lang w:val="en-US" w:eastAsia="zh-CN"/>
        </w:rPr>
        <w:t>+紫外线消毒”处理</w:t>
      </w:r>
      <w:r>
        <w:rPr>
          <w:rFonts w:hint="default"/>
          <w:lang w:val="en-US" w:eastAsia="zh-CN"/>
        </w:rPr>
        <w:t>工艺</w:t>
      </w:r>
      <w:r>
        <w:rPr>
          <w:rFonts w:hint="eastAsia"/>
          <w:lang w:val="en-US" w:eastAsia="zh-CN"/>
        </w:rPr>
        <w:t>升级</w:t>
      </w:r>
      <w:r>
        <w:rPr>
          <w:rFonts w:hint="default"/>
          <w:lang w:val="en-US" w:eastAsia="zh-CN"/>
        </w:rPr>
        <w:t>为具有生物脱氮除磷功能的CAST</w:t>
      </w:r>
      <w:r>
        <w:rPr>
          <w:rFonts w:hint="eastAsia"/>
          <w:lang w:val="en-US" w:eastAsia="zh-CN"/>
        </w:rPr>
        <w:t>二级生物</w:t>
      </w:r>
      <w:r>
        <w:rPr>
          <w:rFonts w:hint="default"/>
          <w:lang w:val="en-US" w:eastAsia="zh-CN"/>
        </w:rPr>
        <w:t>工艺</w:t>
      </w:r>
      <w:r>
        <w:rPr>
          <w:rFonts w:hint="eastAsia"/>
          <w:lang w:val="en-US" w:eastAsia="zh-CN"/>
        </w:rPr>
        <w:t>+</w:t>
      </w:r>
      <w:r>
        <w:rPr>
          <w:rFonts w:hint="default"/>
          <w:lang w:val="en-US" w:eastAsia="zh-CN"/>
        </w:rPr>
        <w:t>混凝沉淀过滤深度处理</w:t>
      </w:r>
      <w:r>
        <w:rPr>
          <w:rFonts w:hint="eastAsia"/>
          <w:lang w:val="en-US" w:eastAsia="zh-CN"/>
        </w:rPr>
        <w:t>工艺，</w:t>
      </w:r>
      <w:r>
        <w:rPr>
          <w:rFonts w:hint="default"/>
          <w:lang w:val="en-US" w:eastAsia="zh-CN"/>
        </w:rPr>
        <w:t>改造后出水水质</w:t>
      </w:r>
      <w:r>
        <w:rPr>
          <w:rFonts w:hint="eastAsia"/>
          <w:lang w:val="en-US" w:eastAsia="zh-CN"/>
        </w:rPr>
        <w:t>从B级</w:t>
      </w:r>
      <w:r>
        <w:rPr>
          <w:rFonts w:hint="default"/>
          <w:lang w:val="en-US" w:eastAsia="zh-CN"/>
        </w:rPr>
        <w:t>稳定达到《城镇污水处理厂污染物排放标准》一级A标准。</w:t>
      </w:r>
    </w:p>
    <w:p w14:paraId="0A04BCB3">
      <w:pPr>
        <w:numPr>
          <w:ilvl w:val="0"/>
          <w:numId w:val="0"/>
        </w:numPr>
        <w:bidi w:val="0"/>
        <w:ind w:firstLine="640" w:firstLineChars="200"/>
        <w:rPr>
          <w:rFonts w:hint="default"/>
          <w:lang w:val="en-US" w:eastAsia="zh-CN"/>
        </w:rPr>
      </w:pPr>
      <w:r>
        <w:rPr>
          <w:rFonts w:hint="eastAsia"/>
          <w:lang w:val="en-US" w:eastAsia="zh-CN"/>
        </w:rPr>
        <w:t>（2）二期扩建工程。新建设计</w:t>
      </w:r>
      <w:r>
        <w:rPr>
          <w:rFonts w:hint="default"/>
          <w:lang w:val="en-US" w:eastAsia="zh-CN"/>
        </w:rPr>
        <w:t>3万吨/日污水处理能力，采用CAST生物处理+</w:t>
      </w:r>
      <w:r>
        <w:rPr>
          <w:rFonts w:hint="eastAsia"/>
          <w:lang w:val="en-US" w:eastAsia="zh-CN"/>
        </w:rPr>
        <w:t>混凝沉淀过滤</w:t>
      </w:r>
      <w:r>
        <w:rPr>
          <w:rFonts w:hint="default"/>
          <w:lang w:val="en-US" w:eastAsia="zh-CN"/>
        </w:rPr>
        <w:t>深度处理工艺</w:t>
      </w:r>
      <w:r>
        <w:rPr>
          <w:rFonts w:hint="eastAsia"/>
          <w:lang w:val="en-US" w:eastAsia="zh-CN"/>
        </w:rPr>
        <w:t>，出水满足《城镇污水处理厂污染物排放标准》一级A排放标准要求</w:t>
      </w:r>
      <w:r>
        <w:rPr>
          <w:rFonts w:hint="default"/>
          <w:lang w:val="en-US" w:eastAsia="zh-CN"/>
        </w:rPr>
        <w:t>。</w:t>
      </w:r>
    </w:p>
    <w:p w14:paraId="60634A16">
      <w:pPr>
        <w:numPr>
          <w:ilvl w:val="0"/>
          <w:numId w:val="0"/>
        </w:numPr>
        <w:bidi w:val="0"/>
        <w:ind w:firstLine="640" w:firstLineChars="200"/>
        <w:rPr>
          <w:rFonts w:hint="default"/>
          <w:lang w:val="en-US" w:eastAsia="zh-CN"/>
        </w:rPr>
      </w:pPr>
      <w:r>
        <w:rPr>
          <w:rFonts w:hint="eastAsia"/>
          <w:lang w:val="en-US" w:eastAsia="zh-CN"/>
        </w:rPr>
        <w:t>（3）二期扩建</w:t>
      </w:r>
      <w:r>
        <w:rPr>
          <w:rFonts w:hint="default"/>
          <w:lang w:val="en-US" w:eastAsia="zh-CN"/>
        </w:rPr>
        <w:t>工程须对原有一期已建工程同步进行提标改造，因此相应的提标规模为6.0 万m3 /d。</w:t>
      </w:r>
      <w:r>
        <w:rPr>
          <w:rFonts w:hint="eastAsia"/>
          <w:lang w:val="en-US" w:eastAsia="zh-CN"/>
        </w:rPr>
        <w:t>出水水质也从</w:t>
      </w:r>
      <w:r>
        <w:rPr>
          <w:rFonts w:hint="default"/>
          <w:lang w:val="en-US" w:eastAsia="zh-CN"/>
        </w:rPr>
        <w:t xml:space="preserve">原有的排放标准一级B 升级为一级 A </w:t>
      </w:r>
      <w:r>
        <w:rPr>
          <w:rFonts w:hint="eastAsia"/>
          <w:lang w:val="en-US" w:eastAsia="zh-CN"/>
        </w:rPr>
        <w:t>。</w:t>
      </w:r>
    </w:p>
    <w:p w14:paraId="7012CBE5">
      <w:pPr>
        <w:numPr>
          <w:ilvl w:val="0"/>
          <w:numId w:val="0"/>
        </w:numPr>
        <w:bidi w:val="0"/>
        <w:ind w:left="0" w:leftChars="0" w:firstLine="643" w:firstLineChars="200"/>
        <w:outlineLvl w:val="2"/>
        <w:rPr>
          <w:rFonts w:hint="eastAsia"/>
          <w:b/>
          <w:bCs/>
          <w:lang w:val="en-US" w:eastAsia="zh-CN"/>
        </w:rPr>
      </w:pPr>
      <w:bookmarkStart w:id="14" w:name="_Toc32534"/>
      <w:r>
        <w:rPr>
          <w:rFonts w:hint="eastAsia"/>
          <w:b/>
          <w:bCs/>
          <w:lang w:val="en-US" w:eastAsia="zh-CN"/>
        </w:rPr>
        <w:t>2.运作模式</w:t>
      </w:r>
      <w:bookmarkEnd w:id="14"/>
    </w:p>
    <w:p w14:paraId="3F40F567">
      <w:pPr>
        <w:numPr>
          <w:ilvl w:val="0"/>
          <w:numId w:val="0"/>
        </w:numPr>
        <w:bidi w:val="0"/>
        <w:ind w:firstLine="640" w:firstLineChars="200"/>
        <w:rPr>
          <w:rFonts w:hint="eastAsia"/>
          <w:lang w:val="en-US" w:eastAsia="zh-CN"/>
        </w:rPr>
      </w:pPr>
      <w:r>
        <w:rPr>
          <w:rFonts w:hint="eastAsia"/>
          <w:lang w:val="en-US" w:eastAsia="zh-CN"/>
        </w:rPr>
        <w:t>项目采用ROT（改扩建－运营－移交）运作，通过政府公开招标选定社会资本，由县城投公司代表政府方与社会资本共同出资设立项目公司。基于本项目实际情况，一期工程已设立黄石首创水务有限公司（项目公司）。在合作期内，项目公司负责项目的融资、改建/建设、运营及维护。社会资本方通过政府支付水费收回投资并获得合理利润。</w:t>
      </w:r>
    </w:p>
    <w:p w14:paraId="618D5247">
      <w:pPr>
        <w:numPr>
          <w:ilvl w:val="0"/>
          <w:numId w:val="0"/>
        </w:numPr>
        <w:bidi w:val="0"/>
        <w:ind w:firstLine="640" w:firstLineChars="200"/>
        <w:rPr>
          <w:rFonts w:hint="eastAsia"/>
          <w:lang w:val="en-US" w:eastAsia="zh-CN"/>
        </w:rPr>
      </w:pPr>
      <w:r>
        <w:rPr>
          <w:rFonts w:hint="eastAsia"/>
          <w:lang w:val="en-US" w:eastAsia="zh-CN"/>
        </w:rPr>
        <w:t>特许经营期间，阳新县住建局在项目全生命周期对项目公司的建设运营负有监管职责。特许经营期满后，项目公司将项目所有基础设施资产无偿移交给政府或政府指定机构。</w:t>
      </w:r>
    </w:p>
    <w:p w14:paraId="711757A2">
      <w:pPr>
        <w:numPr>
          <w:ilvl w:val="0"/>
          <w:numId w:val="0"/>
        </w:numPr>
        <w:bidi w:val="0"/>
      </w:pPr>
      <w:r>
        <w:drawing>
          <wp:inline distT="0" distB="0" distL="114300" distR="114300">
            <wp:extent cx="5262880" cy="2447925"/>
            <wp:effectExtent l="0" t="0" r="1397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62880" cy="2447925"/>
                    </a:xfrm>
                    <a:prstGeom prst="rect">
                      <a:avLst/>
                    </a:prstGeom>
                    <a:noFill/>
                    <a:ln>
                      <a:noFill/>
                    </a:ln>
                  </pic:spPr>
                </pic:pic>
              </a:graphicData>
            </a:graphic>
          </wp:inline>
        </w:drawing>
      </w:r>
    </w:p>
    <w:p w14:paraId="092F8103">
      <w:pPr>
        <w:numPr>
          <w:ilvl w:val="0"/>
          <w:numId w:val="0"/>
        </w:numPr>
        <w:bidi w:val="0"/>
        <w:ind w:left="0" w:leftChars="0" w:firstLine="0" w:firstLineChars="0"/>
        <w:outlineLvl w:val="2"/>
        <w:rPr>
          <w:rFonts w:hint="eastAsia"/>
          <w:lang w:val="en-US" w:eastAsia="zh-CN"/>
        </w:rPr>
      </w:pPr>
      <w:r>
        <w:rPr>
          <w:rFonts w:hint="eastAsia"/>
          <w:lang w:val="en-US" w:eastAsia="zh-CN"/>
        </w:rPr>
        <w:t xml:space="preserve">    </w:t>
      </w:r>
      <w:bookmarkStart w:id="15" w:name="_Toc26696"/>
      <w:r>
        <w:rPr>
          <w:rFonts w:hint="eastAsia"/>
          <w:b/>
          <w:bCs/>
          <w:lang w:val="en-US" w:eastAsia="zh-CN"/>
        </w:rPr>
        <w:t>3.回报机制</w:t>
      </w:r>
      <w:bookmarkEnd w:id="15"/>
    </w:p>
    <w:p w14:paraId="24EA8091">
      <w:pPr>
        <w:numPr>
          <w:ilvl w:val="0"/>
          <w:numId w:val="0"/>
        </w:numPr>
        <w:bidi w:val="0"/>
        <w:ind w:firstLine="640"/>
        <w:rPr>
          <w:rFonts w:hint="eastAsia"/>
          <w:lang w:val="en-US" w:eastAsia="zh-CN"/>
        </w:rPr>
      </w:pPr>
      <w:r>
        <w:rPr>
          <w:rFonts w:hint="eastAsia"/>
          <w:lang w:val="en-US" w:eastAsia="zh-CN"/>
        </w:rPr>
        <w:t>本项目的回报机制为“政府付费”，由政府直接向项目公司支付污水处理服务费，补偿其投资成本、经营成本等，并获得合理回报。运营期间，项目公司每年向阳新县住建局提出付款申请，经阳新县住建局根据运营期绩效评价结果审核后报阳新县财政局，县财政局根据政府付费预算金额及绩效考核结果拨款支付费用。</w:t>
      </w:r>
    </w:p>
    <w:p w14:paraId="08E1250A">
      <w:pPr>
        <w:numPr>
          <w:ilvl w:val="0"/>
          <w:numId w:val="0"/>
        </w:numPr>
        <w:bidi w:val="0"/>
        <w:ind w:left="0" w:leftChars="0" w:firstLine="640" w:firstLineChars="0"/>
        <w:outlineLvl w:val="2"/>
        <w:rPr>
          <w:rFonts w:hint="default"/>
          <w:b/>
          <w:bCs/>
          <w:lang w:val="en-US" w:eastAsia="zh-CN"/>
        </w:rPr>
      </w:pPr>
      <w:bookmarkStart w:id="16" w:name="_Toc25173"/>
      <w:r>
        <w:rPr>
          <w:rFonts w:hint="eastAsia"/>
          <w:b/>
          <w:bCs/>
          <w:lang w:val="en-US" w:eastAsia="zh-CN"/>
        </w:rPr>
        <w:t>4.项目建设目的</w:t>
      </w:r>
      <w:bookmarkEnd w:id="16"/>
    </w:p>
    <w:p w14:paraId="2FD202D0">
      <w:pPr>
        <w:numPr>
          <w:ilvl w:val="0"/>
          <w:numId w:val="0"/>
        </w:numPr>
        <w:bidi w:val="0"/>
        <w:ind w:firstLine="640"/>
        <w:rPr>
          <w:rFonts w:hint="eastAsia"/>
          <w:lang w:val="en-US" w:eastAsia="zh-CN"/>
        </w:rPr>
      </w:pPr>
      <w:r>
        <w:rPr>
          <w:rFonts w:hint="eastAsia"/>
          <w:lang w:val="en-US" w:eastAsia="zh-CN"/>
        </w:rPr>
        <w:t>旨在通过扩建及提标升级，提升宝塔湖污水处理厂的处理能力，确保出水水质达到更高的环保标准，有效改善阳新县的水环境质量。项目完成后，将显著增强阳新县对污水处理的综合能力，保护阳新城市周边生态环境，为居民提供更加优质的生活环境，同时也符合国家生态文明建设的要求，推动阳新县及周边区域的可持续发展。</w:t>
      </w:r>
    </w:p>
    <w:p w14:paraId="5DE1E64D">
      <w:pPr>
        <w:numPr>
          <w:ilvl w:val="0"/>
          <w:numId w:val="0"/>
        </w:numPr>
        <w:bidi w:val="0"/>
        <w:ind w:left="0" w:leftChars="0" w:firstLine="640" w:firstLineChars="0"/>
        <w:outlineLvl w:val="1"/>
        <w:rPr>
          <w:rFonts w:hint="eastAsia" w:ascii="楷体" w:hAnsi="楷体" w:eastAsia="楷体" w:cs="楷体"/>
          <w:lang w:val="en-US" w:eastAsia="zh-CN"/>
        </w:rPr>
      </w:pPr>
      <w:bookmarkStart w:id="17" w:name="_Toc11535"/>
      <w:r>
        <w:rPr>
          <w:rFonts w:hint="eastAsia" w:ascii="楷体" w:hAnsi="楷体" w:eastAsia="楷体" w:cs="楷体"/>
          <w:lang w:val="en-US" w:eastAsia="zh-CN"/>
        </w:rPr>
        <w:t>（五）项目总体绩效目标完成情况分析</w:t>
      </w:r>
      <w:bookmarkEnd w:id="17"/>
    </w:p>
    <w:p w14:paraId="7625CC26">
      <w:pPr>
        <w:numPr>
          <w:ilvl w:val="0"/>
          <w:numId w:val="0"/>
        </w:numPr>
        <w:bidi w:val="0"/>
        <w:ind w:firstLine="640"/>
        <w:rPr>
          <w:rFonts w:hint="default"/>
          <w:lang w:val="en-US" w:eastAsia="zh-CN"/>
        </w:rPr>
      </w:pPr>
      <w:r>
        <w:rPr>
          <w:rFonts w:hint="default"/>
          <w:lang w:val="en-US" w:eastAsia="zh-CN"/>
        </w:rPr>
        <w:t>阳新县宝塔湖污水处理厂扩建及提标升级工程PPP项目</w:t>
      </w:r>
      <w:r>
        <w:rPr>
          <w:rFonts w:hint="eastAsia"/>
          <w:lang w:val="en-US" w:eastAsia="zh-CN"/>
        </w:rPr>
        <w:t>于2017年7月县发改局批复立项，2018年9月本项目开始试运行，并于同年10月进入正式运营，2019年污水处理量1216.1544万吨，2024年污水处理量达到1683.9856万吨，全面提升我县城镇污水处理设施的保障能力和服务水平。</w:t>
      </w:r>
    </w:p>
    <w:p w14:paraId="25EE732F">
      <w:pPr>
        <w:numPr>
          <w:ilvl w:val="0"/>
          <w:numId w:val="0"/>
        </w:numPr>
        <w:bidi w:val="0"/>
        <w:ind w:left="0" w:leftChars="0" w:firstLine="0" w:firstLineChars="0"/>
        <w:outlineLvl w:val="0"/>
        <w:rPr>
          <w:rFonts w:hint="eastAsia" w:ascii="黑体" w:hAnsi="黑体" w:eastAsia="黑体" w:cs="黑体"/>
          <w:lang w:val="en-US" w:eastAsia="zh-CN"/>
        </w:rPr>
      </w:pPr>
      <w:bookmarkStart w:id="18" w:name="_Toc8395"/>
      <w:r>
        <w:rPr>
          <w:rFonts w:hint="eastAsia" w:ascii="黑体" w:hAnsi="黑体" w:eastAsia="黑体" w:cs="黑体"/>
          <w:lang w:val="en-US" w:eastAsia="zh-CN"/>
        </w:rPr>
        <w:t>二、存在的问题</w:t>
      </w:r>
      <w:bookmarkEnd w:id="18"/>
    </w:p>
    <w:p w14:paraId="4BA13D7F">
      <w:pPr>
        <w:numPr>
          <w:ilvl w:val="0"/>
          <w:numId w:val="0"/>
        </w:numPr>
        <w:bidi w:val="0"/>
        <w:ind w:left="0" w:leftChars="0" w:firstLine="640" w:firstLineChars="0"/>
        <w:outlineLvl w:val="1"/>
        <w:rPr>
          <w:rFonts w:hint="eastAsia" w:ascii="楷体" w:hAnsi="楷体" w:eastAsia="楷体" w:cs="楷体"/>
          <w:lang w:val="en-US" w:eastAsia="zh-CN"/>
        </w:rPr>
      </w:pPr>
      <w:bookmarkStart w:id="19" w:name="_Toc8638"/>
      <w:r>
        <w:rPr>
          <w:rFonts w:hint="eastAsia" w:ascii="楷体" w:hAnsi="楷体" w:eastAsia="楷体" w:cs="楷体"/>
          <w:lang w:val="en-US" w:eastAsia="zh-CN"/>
        </w:rPr>
        <w:t>（一）污水处理能力闲置</w:t>
      </w:r>
      <w:bookmarkEnd w:id="19"/>
    </w:p>
    <w:p w14:paraId="17EB5945">
      <w:pPr>
        <w:numPr>
          <w:ilvl w:val="0"/>
          <w:numId w:val="0"/>
        </w:numPr>
        <w:bidi w:val="0"/>
        <w:ind w:firstLine="640"/>
        <w:rPr>
          <w:rFonts w:hint="eastAsia"/>
          <w:lang w:val="en-US" w:eastAsia="zh-CN"/>
        </w:rPr>
      </w:pPr>
      <w:r>
        <w:rPr>
          <w:rFonts w:hint="eastAsia"/>
          <w:lang w:val="en-US" w:eastAsia="zh-CN"/>
        </w:rPr>
        <w:t>项目合同设定保底水量计划到2023年10月达到每天6万吨。2018年10月项目运营以来，2019至2023年污水处理量整体呈上升趋势，到2024年却出现下降，截至2024年12月31日，共有52个月未达到计划保底水量，2024年处理量出现下降，实际日均处理量4.6万吨，污水处理量达到设计能力的76.67%。</w:t>
      </w:r>
    </w:p>
    <w:p w14:paraId="3D54C9CB">
      <w:pPr>
        <w:numPr>
          <w:ilvl w:val="0"/>
          <w:numId w:val="0"/>
        </w:numPr>
        <w:bidi w:val="0"/>
        <w:ind w:firstLine="640"/>
        <w:rPr>
          <w:rFonts w:hint="default"/>
          <w:highlight w:val="none"/>
          <w:lang w:val="en-US" w:eastAsia="zh-CN"/>
        </w:rPr>
      </w:pPr>
      <w:r>
        <w:rPr>
          <w:rFonts w:hint="eastAsia"/>
          <w:highlight w:val="none"/>
          <w:lang w:val="en-US" w:eastAsia="zh-CN"/>
        </w:rPr>
        <w:t>但近年来，由于我县推进雨污分流，可能会导致污水处理厂供水量减少，影响污水处理厂运营收益，但同时雨污分流会导致进水浓度变高，需大量投入葡萄糖处理，增加处理成本，且根据合同规定葡萄糖费用由政府方承担，无形中会增加财政负担。</w:t>
      </w:r>
    </w:p>
    <w:p w14:paraId="4DDB35CA">
      <w:pPr>
        <w:numPr>
          <w:ilvl w:val="0"/>
          <w:numId w:val="0"/>
        </w:numPr>
        <w:bidi w:val="0"/>
        <w:rPr>
          <w:rFonts w:hint="default"/>
          <w:lang w:val="en-US" w:eastAsia="zh-CN"/>
        </w:rPr>
      </w:pPr>
      <w:r>
        <w:drawing>
          <wp:inline distT="0" distB="0" distL="114300" distR="114300">
            <wp:extent cx="5333365" cy="2096770"/>
            <wp:effectExtent l="0" t="0" r="63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333365" cy="2096770"/>
                    </a:xfrm>
                    <a:prstGeom prst="rect">
                      <a:avLst/>
                    </a:prstGeom>
                    <a:noFill/>
                    <a:ln>
                      <a:noFill/>
                    </a:ln>
                  </pic:spPr>
                </pic:pic>
              </a:graphicData>
            </a:graphic>
          </wp:inline>
        </w:drawing>
      </w:r>
      <w:r>
        <w:rPr>
          <w:rFonts w:hint="default"/>
          <w:lang w:val="en-US" w:eastAsia="zh-CN"/>
        </w:rPr>
        <w:drawing>
          <wp:inline distT="0" distB="0" distL="114300" distR="114300">
            <wp:extent cx="5363845" cy="2144395"/>
            <wp:effectExtent l="4445" t="4445" r="11430" b="45720"/>
            <wp:docPr id="3" name="图表 3" descr="7b0a202020202263686172745265734964223a20223530303533343139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C4EC317">
      <w:pPr>
        <w:numPr>
          <w:ilvl w:val="0"/>
          <w:numId w:val="0"/>
        </w:numPr>
        <w:bidi w:val="0"/>
        <w:ind w:left="0" w:leftChars="0" w:firstLine="640" w:firstLineChars="200"/>
        <w:outlineLvl w:val="1"/>
        <w:rPr>
          <w:rFonts w:hint="eastAsia"/>
          <w:lang w:val="en-US" w:eastAsia="zh-CN"/>
        </w:rPr>
      </w:pPr>
      <w:bookmarkStart w:id="20" w:name="_Toc159"/>
      <w:r>
        <w:rPr>
          <w:rFonts w:hint="eastAsia" w:ascii="楷体" w:hAnsi="楷体" w:eastAsia="楷体" w:cs="楷体"/>
          <w:lang w:val="en-US" w:eastAsia="zh-CN"/>
        </w:rPr>
        <w:t>（二）污水处理费用及结算问题</w:t>
      </w:r>
      <w:bookmarkEnd w:id="20"/>
    </w:p>
    <w:p w14:paraId="6D40B84E">
      <w:pPr>
        <w:numPr>
          <w:ilvl w:val="0"/>
          <w:numId w:val="0"/>
        </w:numPr>
        <w:bidi w:val="0"/>
        <w:ind w:firstLine="640"/>
        <w:rPr>
          <w:rFonts w:hint="default"/>
          <w:highlight w:val="none"/>
          <w:lang w:val="en-US" w:eastAsia="zh-CN"/>
        </w:rPr>
      </w:pPr>
      <w:r>
        <w:rPr>
          <w:rFonts w:hint="eastAsia"/>
          <w:highlight w:val="none"/>
          <w:lang w:val="en-US" w:eastAsia="zh-CN"/>
        </w:rPr>
        <w:t>截至2024年12月31日，按照合同约定，宝塔湖污水处理厂政府还欠649.47万元，且双方费用结算方式也存在争议。</w:t>
      </w:r>
    </w:p>
    <w:p w14:paraId="0EE36BBC">
      <w:pPr>
        <w:numPr>
          <w:ilvl w:val="0"/>
          <w:numId w:val="0"/>
        </w:numPr>
        <w:bidi w:val="0"/>
        <w:ind w:left="0" w:leftChars="0" w:firstLine="640" w:firstLineChars="0"/>
        <w:outlineLvl w:val="1"/>
        <w:rPr>
          <w:rFonts w:hint="default" w:ascii="楷体" w:hAnsi="楷体" w:eastAsia="楷体" w:cs="楷体"/>
          <w:lang w:val="en-US" w:eastAsia="zh-CN"/>
        </w:rPr>
      </w:pPr>
      <w:bookmarkStart w:id="21" w:name="_Toc7234"/>
      <w:r>
        <w:rPr>
          <w:rFonts w:hint="eastAsia" w:ascii="楷体" w:hAnsi="楷体" w:eastAsia="楷体" w:cs="楷体"/>
          <w:lang w:val="en-US" w:eastAsia="zh-CN"/>
        </w:rPr>
        <w:t>（三）污水费结算</w:t>
      </w:r>
      <w:bookmarkEnd w:id="21"/>
      <w:r>
        <w:rPr>
          <w:rFonts w:hint="eastAsia" w:ascii="楷体" w:hAnsi="楷体" w:eastAsia="楷体" w:cs="楷体"/>
          <w:lang w:val="en-US" w:eastAsia="zh-CN"/>
        </w:rPr>
        <w:t>调价争议问题</w:t>
      </w:r>
    </w:p>
    <w:p w14:paraId="1C0DF0DA">
      <w:pPr>
        <w:numPr>
          <w:ilvl w:val="0"/>
          <w:numId w:val="0"/>
        </w:numPr>
        <w:bidi w:val="0"/>
        <w:ind w:firstLine="640"/>
        <w:rPr>
          <w:rFonts w:hint="eastAsia"/>
          <w:lang w:val="en-US" w:eastAsia="zh-CN"/>
        </w:rPr>
      </w:pPr>
      <w:r>
        <w:rPr>
          <w:rFonts w:hint="eastAsia"/>
          <w:lang w:val="en-US" w:eastAsia="zh-CN"/>
        </w:rPr>
        <w:t>2022年6月，湖北省审计厅在对阳新县政府审计时认为按照保底水量结算污水处理费没有发挥财政效益，不能继续按照保底水量进行污水处理费结算，政府按照实际污水处理率结算，而项目公司结算按照项目合同约定，对不足保底水量的月份统一按照保底水量计算污水处理费，此项结算</w:t>
      </w:r>
      <w:r>
        <w:rPr>
          <w:rFonts w:hint="eastAsia" w:cs="Times New Roman"/>
          <w:kern w:val="2"/>
          <w:sz w:val="32"/>
          <w:szCs w:val="24"/>
          <w:lang w:val="en-US" w:eastAsia="zh-CN" w:bidi="ar-SA"/>
        </w:rPr>
        <w:t>2023年8月，县住建局组织第三方中德华建（北京）国际工程技术有限公司制定污水处理服务单价调整方案，对服务单价进行测算并取消基本水量设置。同年九月，阳新县住建局牵头，县财政局、县环保局、县发改局和黄石首创水务有限公司组成调研小组，到武穴、九江、黄梅污水处理厂对运营管理进行考察，县住建局召开党组会议，确定对服务单价调整至1.3-1.5元区间，取消基本水量设置，改用固定单价加可变单价的计价方式。截至2024年12月31日，项目服务单价仍固定按0.92元计价。</w:t>
      </w:r>
    </w:p>
    <w:p w14:paraId="1BEA0351">
      <w:pPr>
        <w:numPr>
          <w:ilvl w:val="0"/>
          <w:numId w:val="0"/>
        </w:numPr>
        <w:bidi w:val="0"/>
        <w:ind w:firstLine="640"/>
        <w:rPr>
          <w:rFonts w:hint="eastAsia" w:ascii="楷体" w:hAnsi="楷体" w:eastAsia="楷体" w:cs="楷体"/>
          <w:lang w:val="en-US" w:eastAsia="zh-CN"/>
        </w:rPr>
      </w:pPr>
      <w:r>
        <w:rPr>
          <w:rFonts w:hint="eastAsia" w:ascii="楷体" w:hAnsi="楷体" w:eastAsia="楷体" w:cs="楷体"/>
          <w:lang w:val="en-US" w:eastAsia="zh-CN"/>
        </w:rPr>
        <w:t>（四）污泥处理费结算问题</w:t>
      </w:r>
    </w:p>
    <w:p w14:paraId="1ECA01D2">
      <w:pPr>
        <w:numPr>
          <w:ilvl w:val="0"/>
          <w:numId w:val="0"/>
        </w:numPr>
        <w:bidi w:val="0"/>
        <w:ind w:firstLine="640"/>
        <w:rPr>
          <w:rFonts w:hint="default" w:cs="Times New Roman"/>
          <w:kern w:val="2"/>
          <w:sz w:val="32"/>
          <w:szCs w:val="24"/>
          <w:lang w:val="en-US" w:eastAsia="zh-CN" w:bidi="ar-SA"/>
        </w:rPr>
      </w:pPr>
      <w:r>
        <w:rPr>
          <w:rFonts w:hint="eastAsia"/>
          <w:lang w:val="en-US" w:eastAsia="zh-CN"/>
        </w:rPr>
        <w:t>污泥转运服务费自2015年8月签订运输合同价格为1.2元/吨，当时柴油价格4.8元/升，而至今柴油价格已达7.89元/吨，二是宝塔湖的污泥量只有15吨/日，动量越小，运输成本就越高，三是当时签订合同时的运距只有65km，而目前随着城市管理的提升，许多路段大货车不能通行，无形中增加了运输的距离到73km，每次增值运距8km，运输成本也将增加。</w:t>
      </w:r>
    </w:p>
    <w:p w14:paraId="667C0CEC">
      <w:pPr>
        <w:numPr>
          <w:ilvl w:val="0"/>
          <w:numId w:val="0"/>
        </w:numPr>
        <w:bidi w:val="0"/>
        <w:ind w:left="0" w:leftChars="0" w:firstLine="640" w:firstLineChars="0"/>
        <w:outlineLvl w:val="1"/>
        <w:rPr>
          <w:rFonts w:hint="eastAsia" w:ascii="楷体" w:hAnsi="楷体" w:eastAsia="楷体" w:cs="楷体"/>
          <w:kern w:val="2"/>
          <w:sz w:val="32"/>
          <w:szCs w:val="24"/>
          <w:lang w:val="en-US" w:eastAsia="zh-CN" w:bidi="ar-SA"/>
        </w:rPr>
      </w:pPr>
      <w:bookmarkStart w:id="22" w:name="_Toc18487"/>
      <w:r>
        <w:rPr>
          <w:rFonts w:hint="eastAsia" w:ascii="楷体" w:hAnsi="楷体" w:eastAsia="楷体" w:cs="楷体"/>
          <w:kern w:val="2"/>
          <w:sz w:val="32"/>
          <w:szCs w:val="24"/>
          <w:lang w:val="en-US" w:eastAsia="zh-CN" w:bidi="ar-SA"/>
        </w:rPr>
        <w:t>（五）工艺改造问题</w:t>
      </w:r>
      <w:bookmarkEnd w:id="22"/>
    </w:p>
    <w:p w14:paraId="5318D565">
      <w:pPr>
        <w:numPr>
          <w:ilvl w:val="0"/>
          <w:numId w:val="0"/>
        </w:numPr>
        <w:bidi w:val="0"/>
        <w:ind w:firstLine="640" w:firstLineChars="200"/>
        <w:rPr>
          <w:rFonts w:hint="default" w:cs="Times New Roman"/>
          <w:kern w:val="2"/>
          <w:sz w:val="32"/>
          <w:szCs w:val="24"/>
          <w:lang w:val="en-US" w:eastAsia="zh-CN" w:bidi="ar-SA"/>
        </w:rPr>
      </w:pPr>
      <w:r>
        <w:rPr>
          <w:rFonts w:hint="default" w:cs="Times New Roman"/>
          <w:kern w:val="2"/>
          <w:sz w:val="32"/>
          <w:szCs w:val="24"/>
          <w:lang w:val="en-US" w:eastAsia="zh-CN" w:bidi="ar-SA"/>
        </w:rPr>
        <w:t>根据《阳新县宝塔湖污水处理厂扩建及提标升级工程PPP项目合同》中第三章第6.2.3条约定：当符合其中以下任一条件，乙方通过工艺运行调整无法使出水达标时，乙方需提请进行工艺改造，报甲方批准后实施：</w:t>
      </w:r>
    </w:p>
    <w:p w14:paraId="05EFE8B7">
      <w:pPr>
        <w:numPr>
          <w:ilvl w:val="0"/>
          <w:numId w:val="0"/>
        </w:numPr>
        <w:bidi w:val="0"/>
        <w:ind w:firstLine="640" w:firstLineChars="200"/>
        <w:rPr>
          <w:rFonts w:hint="default" w:cs="Times New Roman"/>
          <w:kern w:val="2"/>
          <w:sz w:val="32"/>
          <w:szCs w:val="24"/>
          <w:lang w:val="en-US" w:eastAsia="zh-CN" w:bidi="ar-SA"/>
        </w:rPr>
      </w:pPr>
      <w:r>
        <w:rPr>
          <w:rFonts w:hint="eastAsia" w:cs="Times New Roman"/>
          <w:kern w:val="2"/>
          <w:sz w:val="32"/>
          <w:szCs w:val="24"/>
          <w:lang w:val="en-US" w:eastAsia="zh-CN" w:bidi="ar-SA"/>
        </w:rPr>
        <w:t>1.</w:t>
      </w:r>
      <w:r>
        <w:rPr>
          <w:rFonts w:hint="default" w:cs="Times New Roman"/>
          <w:kern w:val="2"/>
          <w:sz w:val="32"/>
          <w:szCs w:val="24"/>
          <w:lang w:val="en-US" w:eastAsia="zh-CN" w:bidi="ar-SA"/>
        </w:rPr>
        <w:t>实际进水水质浓度中总氮超过20mg/l;</w:t>
      </w:r>
    </w:p>
    <w:p w14:paraId="62D797B7">
      <w:pPr>
        <w:numPr>
          <w:ilvl w:val="0"/>
          <w:numId w:val="0"/>
        </w:numPr>
        <w:bidi w:val="0"/>
        <w:ind w:firstLine="640" w:firstLineChars="200"/>
        <w:rPr>
          <w:rFonts w:hint="default" w:cs="Times New Roman"/>
          <w:kern w:val="2"/>
          <w:sz w:val="32"/>
          <w:szCs w:val="24"/>
          <w:lang w:val="en-US" w:eastAsia="zh-CN" w:bidi="ar-SA"/>
        </w:rPr>
      </w:pPr>
      <w:r>
        <w:rPr>
          <w:rFonts w:hint="eastAsia" w:cs="Times New Roman"/>
          <w:kern w:val="2"/>
          <w:sz w:val="32"/>
          <w:szCs w:val="24"/>
          <w:lang w:val="en-US" w:eastAsia="zh-CN" w:bidi="ar-SA"/>
        </w:rPr>
        <w:t>2.</w:t>
      </w:r>
      <w:r>
        <w:rPr>
          <w:rFonts w:hint="default" w:cs="Times New Roman"/>
          <w:kern w:val="2"/>
          <w:sz w:val="32"/>
          <w:szCs w:val="24"/>
          <w:lang w:val="en-US" w:eastAsia="zh-CN" w:bidi="ar-SA"/>
        </w:rPr>
        <w:t>实际进水水质浓度中氨氮超过16mg/l；</w:t>
      </w:r>
    </w:p>
    <w:p w14:paraId="5C457708">
      <w:pPr>
        <w:numPr>
          <w:ilvl w:val="0"/>
          <w:numId w:val="0"/>
        </w:numPr>
        <w:bidi w:val="0"/>
        <w:ind w:firstLine="640" w:firstLineChars="200"/>
        <w:rPr>
          <w:rFonts w:hint="default" w:cs="Times New Roman"/>
          <w:kern w:val="2"/>
          <w:sz w:val="32"/>
          <w:szCs w:val="24"/>
          <w:lang w:val="en-US" w:eastAsia="zh-CN" w:bidi="ar-SA"/>
        </w:rPr>
      </w:pPr>
      <w:r>
        <w:rPr>
          <w:rFonts w:hint="eastAsia" w:cs="Times New Roman"/>
          <w:kern w:val="2"/>
          <w:sz w:val="32"/>
          <w:szCs w:val="24"/>
          <w:lang w:val="en-US" w:eastAsia="zh-CN" w:bidi="ar-SA"/>
        </w:rPr>
        <w:t>3.</w:t>
      </w:r>
      <w:r>
        <w:rPr>
          <w:rFonts w:hint="default" w:cs="Times New Roman"/>
          <w:kern w:val="2"/>
          <w:sz w:val="32"/>
          <w:szCs w:val="24"/>
          <w:lang w:val="en-US" w:eastAsia="zh-CN" w:bidi="ar-SA"/>
        </w:rPr>
        <w:t>当项目一期工程和扩建及提标升级工程合并运营后总进水水量超过4万吨/每日。</w:t>
      </w:r>
    </w:p>
    <w:p w14:paraId="4C6ADDCE">
      <w:pPr>
        <w:numPr>
          <w:ilvl w:val="0"/>
          <w:numId w:val="0"/>
        </w:numPr>
        <w:bidi w:val="0"/>
        <w:ind w:firstLine="640" w:firstLineChars="200"/>
        <w:rPr>
          <w:rFonts w:hint="eastAsia" w:cs="Times New Roman"/>
          <w:kern w:val="2"/>
          <w:sz w:val="32"/>
          <w:szCs w:val="24"/>
          <w:lang w:val="en-US" w:eastAsia="zh-CN" w:bidi="ar-SA"/>
        </w:rPr>
      </w:pPr>
      <w:r>
        <w:rPr>
          <w:rFonts w:hint="eastAsia" w:cs="Times New Roman"/>
          <w:kern w:val="2"/>
          <w:sz w:val="32"/>
          <w:szCs w:val="24"/>
          <w:lang w:val="en-US" w:eastAsia="zh-CN" w:bidi="ar-SA"/>
        </w:rPr>
        <w:t>项目2021年运营日均处理量已达到4.5万吨/日，根据PPP项目合同第三章第6.2.3条约定，已达到技改条件。</w:t>
      </w:r>
    </w:p>
    <w:p w14:paraId="119A7982">
      <w:pPr>
        <w:numPr>
          <w:ilvl w:val="0"/>
          <w:numId w:val="0"/>
        </w:numPr>
        <w:bidi w:val="0"/>
        <w:ind w:firstLine="640" w:firstLineChars="200"/>
        <w:rPr>
          <w:rFonts w:hint="default" w:cs="Times New Roman"/>
          <w:kern w:val="2"/>
          <w:sz w:val="32"/>
          <w:szCs w:val="24"/>
          <w:lang w:val="en-US" w:eastAsia="zh-CN" w:bidi="ar-SA"/>
        </w:rPr>
      </w:pPr>
      <w:r>
        <w:rPr>
          <w:rFonts w:hint="eastAsia" w:cs="Times New Roman"/>
          <w:kern w:val="2"/>
          <w:sz w:val="32"/>
          <w:szCs w:val="24"/>
          <w:lang w:val="en-US" w:eastAsia="zh-CN" w:bidi="ar-SA"/>
        </w:rPr>
        <w:t>同时，由于项目一期生化池的技改没有达到预期技改要求，二期高效沉淀池处理能力与设计能力存在偏差，导致项目处理的污水质量不容易达标。</w:t>
      </w:r>
    </w:p>
    <w:p w14:paraId="673863D8">
      <w:pPr>
        <w:widowControl w:val="0"/>
        <w:numPr>
          <w:ilvl w:val="0"/>
          <w:numId w:val="0"/>
        </w:numPr>
        <w:bidi w:val="0"/>
        <w:jc w:val="both"/>
        <w:outlineLvl w:val="9"/>
        <w:rPr>
          <w:rFonts w:hint="default" w:ascii="楷体" w:hAnsi="楷体" w:eastAsia="楷体" w:cs="楷体"/>
          <w:kern w:val="2"/>
          <w:sz w:val="32"/>
          <w:szCs w:val="24"/>
          <w:lang w:val="en-US" w:eastAsia="zh-CN" w:bidi="ar-SA"/>
        </w:rPr>
      </w:pPr>
      <w:r>
        <w:rPr>
          <w:rFonts w:hint="eastAsia" w:cs="Times New Roman"/>
          <w:kern w:val="2"/>
          <w:sz w:val="32"/>
          <w:szCs w:val="24"/>
          <w:lang w:val="en-US" w:eastAsia="zh-CN" w:bidi="ar-SA"/>
        </w:rPr>
        <w:drawing>
          <wp:inline distT="0" distB="0" distL="114300" distR="114300">
            <wp:extent cx="5269865" cy="2789555"/>
            <wp:effectExtent l="0" t="0" r="6985" b="10795"/>
            <wp:docPr id="8" name="图片 8" descr="62a267ec5a170f15dedc0c8ab6a337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62a267ec5a170f15dedc0c8ab6a337f0"/>
                    <pic:cNvPicPr>
                      <a:picLocks noChangeAspect="1"/>
                    </pic:cNvPicPr>
                  </pic:nvPicPr>
                  <pic:blipFill>
                    <a:blip r:embed="rId10"/>
                    <a:stretch>
                      <a:fillRect/>
                    </a:stretch>
                  </pic:blipFill>
                  <pic:spPr>
                    <a:xfrm>
                      <a:off x="0" y="0"/>
                      <a:ext cx="5269865" cy="2789555"/>
                    </a:xfrm>
                    <a:prstGeom prst="rect">
                      <a:avLst/>
                    </a:prstGeom>
                  </pic:spPr>
                </pic:pic>
              </a:graphicData>
            </a:graphic>
          </wp:inline>
        </w:drawing>
      </w:r>
    </w:p>
    <w:p w14:paraId="7AA302EB">
      <w:pPr>
        <w:numPr>
          <w:ilvl w:val="0"/>
          <w:numId w:val="0"/>
        </w:numPr>
        <w:bidi w:val="0"/>
        <w:ind w:left="0" w:leftChars="0" w:firstLine="640" w:firstLineChars="0"/>
        <w:outlineLvl w:val="1"/>
        <w:rPr>
          <w:rFonts w:hint="eastAsia" w:ascii="楷体" w:hAnsi="楷体" w:eastAsia="楷体" w:cs="楷体"/>
          <w:kern w:val="2"/>
          <w:sz w:val="32"/>
          <w:szCs w:val="24"/>
          <w:lang w:val="en-US" w:eastAsia="zh-CN" w:bidi="ar-SA"/>
        </w:rPr>
      </w:pPr>
      <w:bookmarkStart w:id="23" w:name="_Toc4271"/>
      <w:r>
        <w:rPr>
          <w:rFonts w:hint="eastAsia" w:ascii="楷体" w:hAnsi="楷体" w:eastAsia="楷体" w:cs="楷体"/>
          <w:kern w:val="2"/>
          <w:sz w:val="32"/>
          <w:szCs w:val="24"/>
          <w:lang w:val="en-US" w:eastAsia="zh-CN" w:bidi="ar-SA"/>
        </w:rPr>
        <w:t>（六）投资收益率问题</w:t>
      </w:r>
      <w:bookmarkEnd w:id="23"/>
    </w:p>
    <w:p w14:paraId="4E2D59A6">
      <w:pPr>
        <w:numPr>
          <w:ilvl w:val="0"/>
          <w:numId w:val="0"/>
        </w:numPr>
        <w:bidi w:val="0"/>
        <w:ind w:firstLine="640" w:firstLineChars="200"/>
        <w:outlineLvl w:val="9"/>
        <w:rPr>
          <w:rFonts w:hint="eastAsia" w:ascii="仿宋" w:hAnsi="仿宋" w:eastAsia="仿宋" w:cs="仿宋"/>
          <w:kern w:val="2"/>
          <w:sz w:val="32"/>
          <w:szCs w:val="24"/>
          <w:lang w:val="en-US" w:eastAsia="zh-CN" w:bidi="ar-SA"/>
        </w:rPr>
      </w:pPr>
      <w:r>
        <w:rPr>
          <w:rFonts w:hint="eastAsia" w:ascii="仿宋" w:hAnsi="仿宋" w:eastAsia="仿宋" w:cs="仿宋"/>
          <w:kern w:val="2"/>
          <w:sz w:val="32"/>
          <w:szCs w:val="24"/>
          <w:lang w:val="en-US" w:eastAsia="zh-CN" w:bidi="ar-SA"/>
        </w:rPr>
        <w:t>根据项目可研报告，计划本项目投资收益率在6%，通过本项目近三年审计报告分析，污水处理厂2022年净利润237</w:t>
      </w:r>
      <w:r>
        <w:rPr>
          <w:rFonts w:hint="eastAsia" w:cs="仿宋"/>
          <w:kern w:val="2"/>
          <w:sz w:val="32"/>
          <w:szCs w:val="24"/>
          <w:lang w:val="en-US" w:eastAsia="zh-CN" w:bidi="ar-SA"/>
        </w:rPr>
        <w:t>.</w:t>
      </w:r>
      <w:r>
        <w:rPr>
          <w:rFonts w:hint="eastAsia" w:ascii="仿宋" w:hAnsi="仿宋" w:eastAsia="仿宋" w:cs="仿宋"/>
          <w:kern w:val="2"/>
          <w:sz w:val="32"/>
          <w:szCs w:val="24"/>
          <w:lang w:val="en-US" w:eastAsia="zh-CN" w:bidi="ar-SA"/>
        </w:rPr>
        <w:t>7</w:t>
      </w:r>
      <w:r>
        <w:rPr>
          <w:rFonts w:hint="eastAsia" w:cs="仿宋"/>
          <w:kern w:val="2"/>
          <w:sz w:val="32"/>
          <w:szCs w:val="24"/>
          <w:lang w:val="en-US" w:eastAsia="zh-CN" w:bidi="ar-SA"/>
        </w:rPr>
        <w:t>7万元</w:t>
      </w:r>
      <w:r>
        <w:rPr>
          <w:rFonts w:hint="eastAsia" w:ascii="仿宋" w:hAnsi="仿宋" w:eastAsia="仿宋" w:cs="仿宋"/>
          <w:kern w:val="2"/>
          <w:sz w:val="32"/>
          <w:szCs w:val="24"/>
          <w:lang w:val="en-US" w:eastAsia="zh-CN" w:bidi="ar-SA"/>
        </w:rPr>
        <w:t>，投资收益率</w:t>
      </w:r>
      <w:r>
        <w:rPr>
          <w:rFonts w:hint="eastAsia" w:cs="仿宋"/>
          <w:kern w:val="2"/>
          <w:sz w:val="32"/>
          <w:szCs w:val="24"/>
          <w:lang w:val="en-US" w:eastAsia="zh-CN" w:bidi="ar-SA"/>
        </w:rPr>
        <w:t>2.55%；</w:t>
      </w:r>
      <w:r>
        <w:rPr>
          <w:rFonts w:hint="eastAsia" w:ascii="仿宋" w:hAnsi="仿宋" w:eastAsia="仿宋" w:cs="仿宋"/>
          <w:kern w:val="2"/>
          <w:sz w:val="32"/>
          <w:szCs w:val="24"/>
          <w:lang w:val="en-US" w:eastAsia="zh-CN" w:bidi="ar-SA"/>
        </w:rPr>
        <w:t>2023年净利润311</w:t>
      </w:r>
      <w:r>
        <w:rPr>
          <w:rFonts w:hint="eastAsia" w:cs="仿宋"/>
          <w:kern w:val="2"/>
          <w:sz w:val="32"/>
          <w:szCs w:val="24"/>
          <w:lang w:val="en-US" w:eastAsia="zh-CN" w:bidi="ar-SA"/>
        </w:rPr>
        <w:t>.</w:t>
      </w:r>
      <w:r>
        <w:rPr>
          <w:rFonts w:hint="eastAsia" w:ascii="仿宋" w:hAnsi="仿宋" w:eastAsia="仿宋" w:cs="仿宋"/>
          <w:kern w:val="2"/>
          <w:sz w:val="32"/>
          <w:szCs w:val="24"/>
          <w:lang w:val="en-US" w:eastAsia="zh-CN" w:bidi="ar-SA"/>
        </w:rPr>
        <w:t>5</w:t>
      </w:r>
      <w:r>
        <w:rPr>
          <w:rFonts w:hint="eastAsia" w:cs="仿宋"/>
          <w:kern w:val="2"/>
          <w:sz w:val="32"/>
          <w:szCs w:val="24"/>
          <w:lang w:val="en-US" w:eastAsia="zh-CN" w:bidi="ar-SA"/>
        </w:rPr>
        <w:t>9万元</w:t>
      </w:r>
      <w:r>
        <w:rPr>
          <w:rFonts w:hint="eastAsia" w:ascii="仿宋" w:hAnsi="仿宋" w:eastAsia="仿宋" w:cs="仿宋"/>
          <w:kern w:val="2"/>
          <w:sz w:val="32"/>
          <w:szCs w:val="24"/>
          <w:lang w:val="en-US" w:eastAsia="zh-CN" w:bidi="ar-SA"/>
        </w:rPr>
        <w:t>，投资收益率</w:t>
      </w:r>
      <w:r>
        <w:rPr>
          <w:rFonts w:hint="eastAsia" w:cs="仿宋"/>
          <w:kern w:val="2"/>
          <w:sz w:val="32"/>
          <w:szCs w:val="24"/>
          <w:lang w:val="en-US" w:eastAsia="zh-CN" w:bidi="ar-SA"/>
        </w:rPr>
        <w:t>3.34%；</w:t>
      </w:r>
      <w:r>
        <w:rPr>
          <w:rFonts w:hint="eastAsia" w:ascii="仿宋" w:hAnsi="仿宋" w:eastAsia="仿宋" w:cs="仿宋"/>
          <w:kern w:val="2"/>
          <w:sz w:val="32"/>
          <w:szCs w:val="24"/>
          <w:lang w:val="en-US" w:eastAsia="zh-CN" w:bidi="ar-SA"/>
        </w:rPr>
        <w:t>2024年净利润159</w:t>
      </w:r>
      <w:r>
        <w:rPr>
          <w:rFonts w:hint="eastAsia" w:cs="仿宋"/>
          <w:kern w:val="2"/>
          <w:sz w:val="32"/>
          <w:szCs w:val="24"/>
          <w:lang w:val="en-US" w:eastAsia="zh-CN" w:bidi="ar-SA"/>
        </w:rPr>
        <w:t>.</w:t>
      </w:r>
      <w:r>
        <w:rPr>
          <w:rFonts w:hint="eastAsia" w:ascii="仿宋" w:hAnsi="仿宋" w:eastAsia="仿宋" w:cs="仿宋"/>
          <w:kern w:val="2"/>
          <w:sz w:val="32"/>
          <w:szCs w:val="24"/>
          <w:lang w:val="en-US" w:eastAsia="zh-CN" w:bidi="ar-SA"/>
        </w:rPr>
        <w:t>8</w:t>
      </w:r>
      <w:r>
        <w:rPr>
          <w:rFonts w:hint="eastAsia" w:cs="仿宋"/>
          <w:kern w:val="2"/>
          <w:sz w:val="32"/>
          <w:szCs w:val="24"/>
          <w:lang w:val="en-US" w:eastAsia="zh-CN" w:bidi="ar-SA"/>
        </w:rPr>
        <w:t>1万元</w:t>
      </w:r>
      <w:r>
        <w:rPr>
          <w:rFonts w:hint="eastAsia" w:ascii="仿宋" w:hAnsi="仿宋" w:eastAsia="仿宋" w:cs="仿宋"/>
          <w:kern w:val="2"/>
          <w:sz w:val="32"/>
          <w:szCs w:val="24"/>
          <w:lang w:val="en-US" w:eastAsia="zh-CN" w:bidi="ar-SA"/>
        </w:rPr>
        <w:t>，投资收益率</w:t>
      </w:r>
      <w:r>
        <w:rPr>
          <w:rFonts w:hint="eastAsia" w:cs="仿宋"/>
          <w:kern w:val="2"/>
          <w:sz w:val="32"/>
          <w:szCs w:val="24"/>
          <w:lang w:val="en-US" w:eastAsia="zh-CN" w:bidi="ar-SA"/>
        </w:rPr>
        <w:t>1.71</w:t>
      </w:r>
      <w:r>
        <w:rPr>
          <w:rFonts w:hint="eastAsia" w:ascii="仿宋" w:hAnsi="仿宋" w:eastAsia="仿宋" w:cs="仿宋"/>
          <w:kern w:val="2"/>
          <w:sz w:val="32"/>
          <w:szCs w:val="24"/>
          <w:lang w:val="en-US" w:eastAsia="zh-CN" w:bidi="ar-SA"/>
        </w:rPr>
        <w:t>%，现有情况下，实际收益率低于可研报告预期，这一差距主要源于两方面因素：其一，</w:t>
      </w:r>
      <w:r>
        <w:rPr>
          <w:rFonts w:hint="eastAsia" w:cs="仿宋"/>
          <w:kern w:val="2"/>
          <w:sz w:val="32"/>
          <w:szCs w:val="24"/>
          <w:lang w:val="en-US" w:eastAsia="zh-CN" w:bidi="ar-SA"/>
        </w:rPr>
        <w:t>进水量未达到可研报告预期</w:t>
      </w:r>
      <w:r>
        <w:rPr>
          <w:rFonts w:hint="eastAsia" w:ascii="仿宋" w:hAnsi="仿宋" w:eastAsia="仿宋" w:cs="仿宋"/>
          <w:kern w:val="2"/>
          <w:sz w:val="32"/>
          <w:szCs w:val="24"/>
          <w:lang w:val="en-US" w:eastAsia="zh-CN" w:bidi="ar-SA"/>
        </w:rPr>
        <w:t>，直接削弱了项目现金流；其二，</w:t>
      </w:r>
      <w:r>
        <w:rPr>
          <w:rFonts w:hint="eastAsia" w:cs="仿宋"/>
          <w:kern w:val="2"/>
          <w:sz w:val="32"/>
          <w:szCs w:val="24"/>
          <w:lang w:val="en-US" w:eastAsia="zh-CN" w:bidi="ar-SA"/>
        </w:rPr>
        <w:t>雨污分流等举措导致</w:t>
      </w:r>
      <w:r>
        <w:rPr>
          <w:rFonts w:hint="eastAsia" w:ascii="仿宋" w:hAnsi="仿宋" w:eastAsia="仿宋" w:cs="仿宋"/>
          <w:kern w:val="2"/>
          <w:sz w:val="32"/>
          <w:szCs w:val="24"/>
          <w:lang w:val="en-US" w:eastAsia="zh-CN" w:bidi="ar-SA"/>
        </w:rPr>
        <w:t>进水浓度升高运营方增加碳源投加量，额外增加的运营管理成本及工艺调整压力，间接压缩了利润空间。2024年净利润同比下滑49%的异常波动，除水量下降因素外，还与污泥处置成本上升、电价调整等外部变量密切相关</w:t>
      </w:r>
      <w:r>
        <w:rPr>
          <w:rFonts w:hint="eastAsia" w:cs="仿宋"/>
          <w:kern w:val="2"/>
          <w:sz w:val="32"/>
          <w:szCs w:val="24"/>
          <w:lang w:val="en-US" w:eastAsia="zh-CN" w:bidi="ar-SA"/>
        </w:rPr>
        <w:t>，</w:t>
      </w:r>
      <w:r>
        <w:rPr>
          <w:rFonts w:hint="eastAsia" w:ascii="仿宋" w:hAnsi="仿宋" w:eastAsia="仿宋" w:cs="仿宋"/>
          <w:kern w:val="2"/>
          <w:sz w:val="32"/>
          <w:szCs w:val="24"/>
          <w:lang w:val="en-US" w:eastAsia="zh-CN" w:bidi="ar-SA"/>
        </w:rPr>
        <w:t>但按可研报告计划的6%投资收益率，财政无疑将面临非常大的支付压力。</w:t>
      </w:r>
    </w:p>
    <w:p w14:paraId="733130FE">
      <w:pPr>
        <w:numPr>
          <w:ilvl w:val="0"/>
          <w:numId w:val="0"/>
        </w:numPr>
        <w:bidi w:val="0"/>
        <w:ind w:firstLine="640" w:firstLineChars="200"/>
        <w:outlineLvl w:val="1"/>
        <w:rPr>
          <w:rFonts w:hint="eastAsia" w:ascii="楷体" w:hAnsi="楷体" w:eastAsia="楷体" w:cs="楷体"/>
          <w:kern w:val="2"/>
          <w:sz w:val="32"/>
          <w:szCs w:val="24"/>
          <w:lang w:val="en-US" w:eastAsia="zh-CN" w:bidi="ar-SA"/>
        </w:rPr>
      </w:pPr>
      <w:bookmarkStart w:id="24" w:name="_Toc14192"/>
      <w:r>
        <w:rPr>
          <w:rFonts w:hint="eastAsia" w:ascii="楷体" w:hAnsi="楷体" w:eastAsia="楷体" w:cs="楷体"/>
          <w:kern w:val="2"/>
          <w:sz w:val="32"/>
          <w:szCs w:val="24"/>
          <w:lang w:val="en-US" w:eastAsia="zh-CN" w:bidi="ar-SA"/>
        </w:rPr>
        <w:t>（七）融资成本及关联方交易</w:t>
      </w:r>
      <w:bookmarkEnd w:id="24"/>
    </w:p>
    <w:p w14:paraId="19A9F011">
      <w:pPr>
        <w:numPr>
          <w:ilvl w:val="0"/>
          <w:numId w:val="0"/>
        </w:numPr>
        <w:bidi w:val="0"/>
        <w:ind w:firstLine="640" w:firstLineChars="200"/>
        <w:outlineLvl w:val="9"/>
        <w:rPr>
          <w:rFonts w:hint="eastAsia" w:cs="仿宋"/>
          <w:kern w:val="2"/>
          <w:sz w:val="32"/>
          <w:szCs w:val="24"/>
          <w:lang w:val="en-US" w:eastAsia="zh-CN" w:bidi="ar-SA"/>
        </w:rPr>
      </w:pPr>
      <w:r>
        <w:rPr>
          <w:rFonts w:hint="eastAsia" w:ascii="仿宋" w:hAnsi="仿宋" w:eastAsia="仿宋" w:cs="仿宋"/>
          <w:kern w:val="2"/>
          <w:sz w:val="32"/>
          <w:szCs w:val="24"/>
          <w:lang w:val="en-US" w:eastAsia="zh-CN" w:bidi="ar-SA"/>
        </w:rPr>
        <w:t>目前阳新污水处理厂项目融资方为北京首创有限公司，同时，污水处理的部分主要材料也是由北京首创提供，母公司之间的关联方交易（含融资付息、原料供应），是企业集团内部资源整合的常见模式，其核心是通过内部协作降低外部市场风险，但“非市场化”特性衍生潜在问题，主要是非市场化定价原料供应环节设定过高售价</w:t>
      </w:r>
      <w:r>
        <w:rPr>
          <w:rFonts w:hint="eastAsia" w:cs="仿宋"/>
          <w:kern w:val="2"/>
          <w:sz w:val="32"/>
          <w:szCs w:val="24"/>
          <w:lang w:val="en-US" w:eastAsia="zh-CN" w:bidi="ar-SA"/>
        </w:rPr>
        <w:t>，比如助凝剂（阴离子）和助凝剂（阳离子）都由北京首创提供，但</w:t>
      </w:r>
      <w:r>
        <w:rPr>
          <w:rFonts w:hint="eastAsia" w:ascii="仿宋" w:hAnsi="仿宋" w:eastAsia="仿宋" w:cs="仿宋"/>
          <w:kern w:val="2"/>
          <w:sz w:val="32"/>
          <w:szCs w:val="24"/>
          <w:lang w:val="en-US" w:eastAsia="zh-CN" w:bidi="ar-SA"/>
        </w:rPr>
        <w:t>同比</w:t>
      </w:r>
      <w:r>
        <w:rPr>
          <w:rFonts w:hint="eastAsia" w:cs="仿宋"/>
          <w:kern w:val="2"/>
          <w:sz w:val="32"/>
          <w:szCs w:val="24"/>
          <w:lang w:val="en-US" w:eastAsia="zh-CN" w:bidi="ar-SA"/>
        </w:rPr>
        <w:t>市场对比价格明显</w:t>
      </w:r>
      <w:r>
        <w:rPr>
          <w:rFonts w:hint="eastAsia" w:ascii="仿宋" w:hAnsi="仿宋" w:eastAsia="仿宋" w:cs="仿宋"/>
          <w:kern w:val="2"/>
          <w:sz w:val="32"/>
          <w:szCs w:val="24"/>
          <w:lang w:val="en-US" w:eastAsia="zh-CN" w:bidi="ar-SA"/>
        </w:rPr>
        <w:t>高于同期市场均价</w:t>
      </w:r>
      <w:r>
        <w:rPr>
          <w:rFonts w:hint="eastAsia" w:cs="仿宋"/>
          <w:kern w:val="2"/>
          <w:sz w:val="32"/>
          <w:szCs w:val="24"/>
          <w:lang w:val="en-US" w:eastAsia="zh-CN" w:bidi="ar-SA"/>
        </w:rPr>
        <w:t>5</w:t>
      </w:r>
      <w:r>
        <w:rPr>
          <w:rFonts w:hint="eastAsia" w:ascii="仿宋" w:hAnsi="仿宋" w:eastAsia="仿宋" w:cs="仿宋"/>
          <w:kern w:val="2"/>
          <w:sz w:val="32"/>
          <w:szCs w:val="24"/>
          <w:lang w:val="en-US" w:eastAsia="zh-CN" w:bidi="ar-SA"/>
        </w:rPr>
        <w:t>0%以上，，</w:t>
      </w:r>
      <w:r>
        <w:rPr>
          <w:rFonts w:hint="eastAsia" w:cs="仿宋"/>
          <w:kern w:val="2"/>
          <w:sz w:val="32"/>
          <w:szCs w:val="24"/>
          <w:lang w:val="en-US" w:eastAsia="zh-CN" w:bidi="ar-SA"/>
        </w:rPr>
        <w:t>同时在国家</w:t>
      </w:r>
      <w:r>
        <w:rPr>
          <w:rFonts w:hint="eastAsia" w:ascii="仿宋" w:hAnsi="仿宋" w:eastAsia="仿宋" w:cs="仿宋"/>
          <w:kern w:val="2"/>
          <w:sz w:val="32"/>
          <w:szCs w:val="24"/>
          <w:lang w:val="en-US" w:eastAsia="zh-CN" w:bidi="ar-SA"/>
        </w:rPr>
        <w:t>降准</w:t>
      </w:r>
      <w:r>
        <w:rPr>
          <w:rFonts w:hint="eastAsia" w:cs="仿宋"/>
          <w:kern w:val="2"/>
          <w:sz w:val="32"/>
          <w:szCs w:val="24"/>
          <w:lang w:val="en-US" w:eastAsia="zh-CN" w:bidi="ar-SA"/>
        </w:rPr>
        <w:t>的政策下</w:t>
      </w:r>
      <w:r>
        <w:rPr>
          <w:rFonts w:hint="eastAsia" w:ascii="仿宋" w:hAnsi="仿宋" w:eastAsia="仿宋" w:cs="仿宋"/>
          <w:kern w:val="2"/>
          <w:sz w:val="32"/>
          <w:szCs w:val="24"/>
          <w:lang w:val="en-US" w:eastAsia="zh-CN" w:bidi="ar-SA"/>
        </w:rPr>
        <w:t>，</w:t>
      </w:r>
      <w:r>
        <w:rPr>
          <w:rFonts w:hint="eastAsia" w:cs="仿宋"/>
          <w:kern w:val="2"/>
          <w:sz w:val="32"/>
          <w:szCs w:val="24"/>
          <w:lang w:val="en-US" w:eastAsia="zh-CN" w:bidi="ar-SA"/>
        </w:rPr>
        <w:t>各大银行的融资</w:t>
      </w:r>
      <w:r>
        <w:rPr>
          <w:rFonts w:hint="eastAsia" w:ascii="仿宋" w:hAnsi="仿宋" w:eastAsia="仿宋" w:cs="仿宋"/>
          <w:kern w:val="2"/>
          <w:sz w:val="32"/>
          <w:szCs w:val="24"/>
          <w:lang w:val="en-US" w:eastAsia="zh-CN" w:bidi="ar-SA"/>
        </w:rPr>
        <w:t>利率普遍下降，</w:t>
      </w:r>
      <w:r>
        <w:rPr>
          <w:rFonts w:hint="eastAsia" w:cs="仿宋"/>
          <w:kern w:val="2"/>
          <w:sz w:val="32"/>
          <w:szCs w:val="24"/>
          <w:lang w:val="en-US" w:eastAsia="zh-CN" w:bidi="ar-SA"/>
        </w:rPr>
        <w:t>而</w:t>
      </w:r>
      <w:r>
        <w:rPr>
          <w:rFonts w:hint="eastAsia" w:ascii="仿宋" w:hAnsi="仿宋" w:eastAsia="仿宋" w:cs="仿宋"/>
          <w:kern w:val="2"/>
          <w:sz w:val="32"/>
          <w:szCs w:val="24"/>
          <w:lang w:val="en-US" w:eastAsia="zh-CN" w:bidi="ar-SA"/>
        </w:rPr>
        <w:t>母公司的融资利率</w:t>
      </w:r>
      <w:r>
        <w:rPr>
          <w:rFonts w:hint="eastAsia" w:cs="仿宋"/>
          <w:kern w:val="2"/>
          <w:sz w:val="32"/>
          <w:szCs w:val="24"/>
          <w:lang w:val="en-US" w:eastAsia="zh-CN" w:bidi="ar-SA"/>
        </w:rPr>
        <w:t>无调整，</w:t>
      </w:r>
      <w:r>
        <w:rPr>
          <w:rFonts w:hint="eastAsia" w:ascii="仿宋" w:hAnsi="仿宋" w:eastAsia="仿宋" w:cs="仿宋"/>
          <w:kern w:val="2"/>
          <w:sz w:val="32"/>
          <w:szCs w:val="24"/>
          <w:lang w:val="en-US" w:eastAsia="zh-CN" w:bidi="ar-SA"/>
        </w:rPr>
        <w:t>本质是将污水处理厂的利润转移至母公司，导致污水处理厂盈利能力</w:t>
      </w:r>
      <w:r>
        <w:rPr>
          <w:rFonts w:hint="eastAsia" w:cs="仿宋"/>
          <w:kern w:val="2"/>
          <w:sz w:val="32"/>
          <w:szCs w:val="24"/>
          <w:lang w:val="en-US" w:eastAsia="zh-CN" w:bidi="ar-SA"/>
        </w:rPr>
        <w:t>下</w:t>
      </w:r>
      <w:r>
        <w:rPr>
          <w:rFonts w:hint="eastAsia" w:ascii="仿宋" w:hAnsi="仿宋" w:eastAsia="仿宋" w:cs="仿宋"/>
          <w:kern w:val="2"/>
          <w:sz w:val="32"/>
          <w:szCs w:val="24"/>
          <w:lang w:val="en-US" w:eastAsia="zh-CN" w:bidi="ar-SA"/>
        </w:rPr>
        <w:t>降</w:t>
      </w:r>
      <w:r>
        <w:rPr>
          <w:rFonts w:hint="eastAsia" w:cs="仿宋"/>
          <w:kern w:val="2"/>
          <w:sz w:val="32"/>
          <w:szCs w:val="24"/>
          <w:lang w:val="en-US" w:eastAsia="zh-CN" w:bidi="ar-SA"/>
        </w:rPr>
        <w:t>。</w:t>
      </w:r>
    </w:p>
    <w:p w14:paraId="0220D95C">
      <w:pPr>
        <w:numPr>
          <w:ilvl w:val="0"/>
          <w:numId w:val="0"/>
        </w:numPr>
        <w:bidi w:val="0"/>
        <w:ind w:firstLine="640" w:firstLineChars="200"/>
        <w:outlineLvl w:val="1"/>
        <w:rPr>
          <w:rFonts w:hint="eastAsia" w:ascii="楷体" w:hAnsi="楷体" w:eastAsia="楷体" w:cs="楷体"/>
          <w:kern w:val="2"/>
          <w:sz w:val="32"/>
          <w:szCs w:val="24"/>
          <w:lang w:val="en-US" w:eastAsia="zh-CN" w:bidi="ar-SA"/>
        </w:rPr>
      </w:pPr>
      <w:bookmarkStart w:id="25" w:name="_Toc21279"/>
      <w:r>
        <w:rPr>
          <w:rFonts w:hint="eastAsia" w:ascii="楷体" w:hAnsi="楷体" w:eastAsia="楷体" w:cs="楷体"/>
          <w:kern w:val="2"/>
          <w:sz w:val="32"/>
          <w:szCs w:val="24"/>
          <w:lang w:val="en-US" w:eastAsia="zh-CN" w:bidi="ar-SA"/>
        </w:rPr>
        <w:t>（八）水质检测公正性</w:t>
      </w:r>
      <w:bookmarkEnd w:id="25"/>
    </w:p>
    <w:p w14:paraId="472BE856">
      <w:pPr>
        <w:numPr>
          <w:ilvl w:val="0"/>
          <w:numId w:val="0"/>
        </w:numPr>
        <w:bidi w:val="0"/>
        <w:ind w:firstLine="640" w:firstLineChars="200"/>
        <w:outlineLvl w:val="9"/>
        <w:rPr>
          <w:rFonts w:hint="eastAsia" w:cs="仿宋"/>
          <w:kern w:val="2"/>
          <w:sz w:val="32"/>
          <w:szCs w:val="24"/>
          <w:lang w:val="en-US" w:eastAsia="zh-CN" w:bidi="ar-SA"/>
        </w:rPr>
      </w:pPr>
      <w:r>
        <w:rPr>
          <w:rFonts w:hint="eastAsia" w:cs="仿宋"/>
          <w:kern w:val="2"/>
          <w:sz w:val="32"/>
          <w:szCs w:val="24"/>
          <w:lang w:val="en-US" w:eastAsia="zh-CN" w:bidi="ar-SA"/>
        </w:rPr>
        <w:t>项目污水处理目前分为自动抽样检测和第三方专业机构检测，专业机构检测一般是每月检测一次并出具检测报告作为政府支付污水处理费的核心依据，其公正性直接关系到财政资金使用合规性、污水处理效果监管有效性及环境治理目标实现。当前“运营商付费+长期单一机构（环测环保科技）检测”的模式，存在付费主体与检测结果的利益绑定风险；长期单一合作导致“竞争缺失”；监管流程未形成“闭环验证”的漏洞，有</w:t>
      </w:r>
      <w:r>
        <w:rPr>
          <w:rFonts w:hint="default" w:cs="仿宋"/>
          <w:kern w:val="2"/>
          <w:sz w:val="32"/>
          <w:szCs w:val="24"/>
          <w:lang w:val="en-US" w:eastAsia="zh-CN" w:bidi="ar-SA"/>
        </w:rPr>
        <w:t>客观影响报告公正性的潜在风险，需从机制设计、监管流程等维度深入分析并优化</w:t>
      </w:r>
      <w:r>
        <w:rPr>
          <w:rFonts w:hint="eastAsia" w:cs="仿宋"/>
          <w:kern w:val="2"/>
          <w:sz w:val="32"/>
          <w:szCs w:val="24"/>
          <w:lang w:val="en-US" w:eastAsia="zh-CN" w:bidi="ar-SA"/>
        </w:rPr>
        <w:t>。</w:t>
      </w:r>
    </w:p>
    <w:p w14:paraId="0554B81E">
      <w:pPr>
        <w:numPr>
          <w:ilvl w:val="0"/>
          <w:numId w:val="0"/>
        </w:numPr>
        <w:bidi w:val="0"/>
        <w:ind w:firstLine="640" w:firstLineChars="200"/>
        <w:outlineLvl w:val="9"/>
        <w:rPr>
          <w:rFonts w:hint="eastAsia" w:cs="仿宋"/>
          <w:kern w:val="2"/>
          <w:sz w:val="32"/>
          <w:szCs w:val="24"/>
          <w:lang w:val="en-US" w:eastAsia="zh-CN" w:bidi="ar-SA"/>
        </w:rPr>
      </w:pPr>
      <w:r>
        <w:rPr>
          <w:rFonts w:hint="eastAsia" w:cs="仿宋"/>
          <w:kern w:val="2"/>
          <w:sz w:val="32"/>
          <w:szCs w:val="24"/>
          <w:lang w:val="en-US" w:eastAsia="zh-CN" w:bidi="ar-SA"/>
        </w:rPr>
        <w:t>（九）取消保底结算问题</w:t>
      </w:r>
    </w:p>
    <w:p w14:paraId="7763B4BB">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360" w:lineRule="auto"/>
        <w:ind w:right="0" w:rightChars="0" w:firstLine="640" w:firstLineChars="200"/>
        <w:textAlignment w:val="auto"/>
        <w:rPr>
          <w:rFonts w:hint="default" w:ascii="仿宋" w:hAnsi="仿宋" w:eastAsia="仿宋" w:cs="仿宋"/>
          <w:kern w:val="2"/>
          <w:sz w:val="32"/>
          <w:szCs w:val="32"/>
          <w:highlight w:val="none"/>
          <w:lang w:val="en-US" w:eastAsia="zh-CN" w:bidi="ar-SA"/>
        </w:rPr>
      </w:pPr>
      <w:r>
        <w:rPr>
          <w:rFonts w:hint="eastAsia" w:ascii="仿宋" w:hAnsi="仿宋" w:eastAsia="仿宋" w:cs="仿宋"/>
          <w:color w:val="0000FF"/>
          <w:kern w:val="2"/>
          <w:sz w:val="32"/>
          <w:szCs w:val="32"/>
          <w:highlight w:val="none"/>
          <w:lang w:val="en-US" w:eastAsia="zh-CN" w:bidi="ar-SA"/>
        </w:rPr>
        <w:t>2023年11月3日《国务院办公厅转发国家发展改革委、财政部关于规范实施政府和社会资本合作新机制的指导意见的通知》（国办函〔2023〕115 号）及《基础设施和公用事业特许经营管理办法》2024年第17号令文件要求，“不得通过可行性缺口补助、承诺保底收益率等任何方式使用财政资金弥补项目建设和运营成本”“风险由最适宜的一方承担” 等条款</w:t>
      </w:r>
      <w:r>
        <w:rPr>
          <w:rFonts w:hint="eastAsia" w:ascii="仿宋" w:hAnsi="仿宋" w:cs="仿宋"/>
          <w:color w:val="0000FF"/>
          <w:kern w:val="2"/>
          <w:sz w:val="32"/>
          <w:szCs w:val="32"/>
          <w:highlight w:val="none"/>
          <w:lang w:val="en-US" w:eastAsia="zh-CN" w:bidi="ar-SA"/>
        </w:rPr>
        <w:t>，</w:t>
      </w:r>
      <w:r>
        <w:rPr>
          <w:rFonts w:hint="eastAsia" w:ascii="仿宋" w:hAnsi="仿宋" w:eastAsia="仿宋" w:cs="仿宋"/>
          <w:color w:val="0000FF"/>
          <w:kern w:val="2"/>
          <w:sz w:val="32"/>
          <w:szCs w:val="32"/>
          <w:highlight w:val="none"/>
          <w:lang w:val="en-US" w:eastAsia="zh-CN" w:bidi="ar-SA"/>
        </w:rPr>
        <w:t>规定应于通知印发之日起6个月内，由实施机构与社会资本方签订补充协议，明确删除原协议中 “最低使用量”“保底处理量” 等类似条款，取消 “实际用量不足时按保底量付费”的计价规则。因此项目管理方需加速与项目运营方协议签定补充协议，取消保底计价方式</w:t>
      </w:r>
      <w:r>
        <w:rPr>
          <w:rFonts w:hint="eastAsia" w:ascii="仿宋" w:hAnsi="仿宋" w:eastAsia="仿宋" w:cs="仿宋"/>
          <w:kern w:val="2"/>
          <w:sz w:val="32"/>
          <w:szCs w:val="32"/>
          <w:highlight w:val="none"/>
          <w:lang w:val="en-US" w:eastAsia="zh-CN" w:bidi="ar-SA"/>
        </w:rPr>
        <w:t>。</w:t>
      </w:r>
    </w:p>
    <w:p w14:paraId="7A213647">
      <w:pPr>
        <w:tabs>
          <w:tab w:val="left" w:pos="1099"/>
        </w:tabs>
        <w:bidi w:val="0"/>
        <w:jc w:val="left"/>
        <w:outlineLvl w:val="0"/>
        <w:rPr>
          <w:rFonts w:hint="default" w:ascii="黑体" w:hAnsi="黑体" w:eastAsia="黑体" w:cs="黑体"/>
          <w:lang w:val="en-US" w:eastAsia="zh-CN"/>
        </w:rPr>
      </w:pPr>
      <w:bookmarkStart w:id="26" w:name="_Toc24295"/>
      <w:r>
        <w:rPr>
          <w:rFonts w:hint="eastAsia" w:ascii="黑体" w:hAnsi="黑体" w:eastAsia="黑体" w:cs="黑体"/>
          <w:lang w:val="en-US" w:eastAsia="zh-CN"/>
        </w:rPr>
        <w:t>三、绩效结果拟应用</w:t>
      </w:r>
      <w:bookmarkEnd w:id="26"/>
    </w:p>
    <w:p w14:paraId="7918B108">
      <w:pPr>
        <w:tabs>
          <w:tab w:val="left" w:pos="1099"/>
        </w:tabs>
        <w:bidi w:val="0"/>
        <w:ind w:firstLine="640" w:firstLineChars="0"/>
        <w:jc w:val="left"/>
        <w:outlineLvl w:val="1"/>
        <w:rPr>
          <w:rFonts w:hint="eastAsia" w:ascii="楷体" w:hAnsi="楷体" w:eastAsia="楷体" w:cs="楷体"/>
          <w:lang w:val="en-US" w:eastAsia="zh-CN"/>
        </w:rPr>
      </w:pPr>
      <w:bookmarkStart w:id="27" w:name="_Toc13059"/>
      <w:r>
        <w:rPr>
          <w:rFonts w:hint="eastAsia" w:ascii="楷体" w:hAnsi="楷体" w:eastAsia="楷体" w:cs="楷体"/>
          <w:lang w:val="en-US" w:eastAsia="zh-CN"/>
        </w:rPr>
        <w:t>（一）提升污水处理厂运行效率</w:t>
      </w:r>
      <w:bookmarkEnd w:id="27"/>
    </w:p>
    <w:p w14:paraId="3C47BA88">
      <w:pPr>
        <w:tabs>
          <w:tab w:val="left" w:pos="1099"/>
        </w:tabs>
        <w:bidi w:val="0"/>
        <w:ind w:firstLine="640"/>
        <w:jc w:val="left"/>
        <w:rPr>
          <w:rFonts w:hint="eastAsia" w:ascii="仿宋" w:hAnsi="仿宋" w:eastAsia="仿宋" w:cs="Times New Roman"/>
          <w:kern w:val="2"/>
          <w:sz w:val="32"/>
          <w:szCs w:val="24"/>
          <w:lang w:val="en-US" w:eastAsia="zh-CN" w:bidi="ar-SA"/>
        </w:rPr>
      </w:pPr>
      <w:r>
        <w:rPr>
          <w:rFonts w:hint="eastAsia"/>
          <w:lang w:val="en-US" w:eastAsia="zh-CN"/>
        </w:rPr>
        <w:t>根据阳新县污水排放量的实际情况，合理调整污水处理厂运行策略，加强污水管网建设，探索将多余的污水处理能力用于其他区域的污水处理，</w:t>
      </w:r>
      <w:r>
        <w:rPr>
          <w:rFonts w:hint="eastAsia" w:ascii="仿宋" w:hAnsi="仿宋" w:eastAsia="仿宋" w:cs="Times New Roman"/>
          <w:kern w:val="2"/>
          <w:sz w:val="32"/>
          <w:szCs w:val="24"/>
          <w:lang w:val="en-US" w:eastAsia="zh-CN" w:bidi="ar-SA"/>
        </w:rPr>
        <w:t>提高污水收集率，确保污水处理厂能够充分利用其处理能力。强</w:t>
      </w:r>
      <w:r>
        <w:rPr>
          <w:rFonts w:hint="eastAsia" w:cs="Times New Roman"/>
          <w:kern w:val="2"/>
          <w:sz w:val="32"/>
          <w:szCs w:val="24"/>
          <w:lang w:val="en-US" w:eastAsia="zh-CN" w:bidi="ar-SA"/>
        </w:rPr>
        <w:t>化</w:t>
      </w:r>
      <w:r>
        <w:rPr>
          <w:rFonts w:hint="eastAsia" w:ascii="仿宋" w:hAnsi="仿宋" w:eastAsia="仿宋" w:cs="Times New Roman"/>
          <w:kern w:val="2"/>
          <w:sz w:val="32"/>
          <w:szCs w:val="24"/>
          <w:lang w:val="en-US" w:eastAsia="zh-CN" w:bidi="ar-SA"/>
        </w:rPr>
        <w:t>对污水处理厂运行人员的培训和管理，提高其专业技能和操作水平，确保污水处理厂的稳定运行和高效管理。</w:t>
      </w:r>
    </w:p>
    <w:p w14:paraId="4419866B">
      <w:pPr>
        <w:tabs>
          <w:tab w:val="left" w:pos="1099"/>
        </w:tabs>
        <w:bidi w:val="0"/>
        <w:ind w:firstLine="640" w:firstLineChars="0"/>
        <w:jc w:val="left"/>
        <w:outlineLvl w:val="1"/>
        <w:rPr>
          <w:rFonts w:hint="eastAsia" w:ascii="楷体" w:hAnsi="楷体" w:eastAsia="楷体" w:cs="楷体"/>
          <w:kern w:val="2"/>
          <w:sz w:val="32"/>
          <w:szCs w:val="24"/>
          <w:lang w:val="en-US" w:eastAsia="zh-CN" w:bidi="ar-SA"/>
        </w:rPr>
      </w:pPr>
      <w:bookmarkStart w:id="28" w:name="_Toc21637"/>
      <w:r>
        <w:rPr>
          <w:rFonts w:hint="eastAsia" w:ascii="楷体" w:hAnsi="楷体" w:eastAsia="楷体" w:cs="楷体"/>
          <w:kern w:val="2"/>
          <w:sz w:val="32"/>
          <w:szCs w:val="24"/>
          <w:lang w:val="en-US" w:eastAsia="zh-CN" w:bidi="ar-SA"/>
        </w:rPr>
        <w:t>（二）处理费用及时拨付</w:t>
      </w:r>
      <w:bookmarkEnd w:id="28"/>
    </w:p>
    <w:p w14:paraId="1693FB6C">
      <w:pPr>
        <w:tabs>
          <w:tab w:val="left" w:pos="1099"/>
        </w:tabs>
        <w:bidi w:val="0"/>
        <w:ind w:firstLine="640" w:firstLineChars="0"/>
        <w:jc w:val="both"/>
        <w:outlineLvl w:val="9"/>
        <w:rPr>
          <w:rFonts w:hint="eastAsia" w:ascii="楷体" w:hAnsi="楷体" w:eastAsia="楷体" w:cs="楷体"/>
          <w:kern w:val="2"/>
          <w:sz w:val="32"/>
          <w:szCs w:val="24"/>
          <w:lang w:val="en-US" w:eastAsia="zh-CN" w:bidi="ar-SA"/>
        </w:rPr>
      </w:pPr>
      <w:bookmarkStart w:id="29" w:name="_Toc16625"/>
      <w:r>
        <w:rPr>
          <w:rFonts w:hint="eastAsia" w:ascii="仿宋" w:hAnsi="仿宋" w:eastAsia="仿宋" w:cs="Times New Roman"/>
          <w:kern w:val="2"/>
          <w:sz w:val="32"/>
          <w:szCs w:val="24"/>
          <w:lang w:val="en-US" w:eastAsia="zh-CN" w:bidi="ar-SA"/>
        </w:rPr>
        <w:t>依据</w:t>
      </w:r>
      <w:r>
        <w:rPr>
          <w:rFonts w:hint="eastAsia" w:cs="Times New Roman"/>
          <w:kern w:val="2"/>
          <w:sz w:val="32"/>
          <w:szCs w:val="24"/>
          <w:lang w:val="en-US" w:eastAsia="zh-CN" w:bidi="ar-SA"/>
        </w:rPr>
        <w:t>2025年8月20日</w:t>
      </w:r>
      <w:r>
        <w:rPr>
          <w:rFonts w:hint="eastAsia" w:ascii="仿宋" w:hAnsi="仿宋" w:eastAsia="仿宋" w:cs="Times New Roman"/>
          <w:kern w:val="2"/>
          <w:sz w:val="32"/>
          <w:szCs w:val="24"/>
          <w:lang w:val="en-US" w:eastAsia="zh-CN" w:bidi="ar-SA"/>
        </w:rPr>
        <w:t>国务院办公厅转发财政部《关于</w:t>
      </w:r>
      <w:r>
        <w:rPr>
          <w:rFonts w:hint="eastAsia" w:cs="Times New Roman"/>
          <w:kern w:val="2"/>
          <w:sz w:val="32"/>
          <w:szCs w:val="24"/>
          <w:lang w:val="en-US" w:eastAsia="zh-CN" w:bidi="ar-SA"/>
        </w:rPr>
        <w:t>规</w:t>
      </w:r>
      <w:r>
        <w:rPr>
          <w:rFonts w:hint="eastAsia" w:ascii="仿宋" w:hAnsi="仿宋" w:eastAsia="仿宋" w:cs="Times New Roman"/>
          <w:kern w:val="2"/>
          <w:sz w:val="32"/>
          <w:szCs w:val="24"/>
          <w:lang w:val="en-US" w:eastAsia="zh-CN" w:bidi="ar-SA"/>
        </w:rPr>
        <w:t>范政府和社会资本合作存量项目建设和运营的指导意见的通知</w:t>
      </w:r>
      <w:r>
        <w:rPr>
          <w:rFonts w:hint="eastAsia" w:cs="Times New Roman"/>
          <w:kern w:val="2"/>
          <w:sz w:val="32"/>
          <w:szCs w:val="24"/>
          <w:lang w:val="en-US" w:eastAsia="zh-CN" w:bidi="ar-SA"/>
        </w:rPr>
        <w:t>》</w:t>
      </w:r>
      <w:r>
        <w:rPr>
          <w:rFonts w:hint="eastAsia" w:ascii="仿宋" w:hAnsi="仿宋" w:eastAsia="仿宋" w:cs="仿宋"/>
          <w:kern w:val="2"/>
          <w:sz w:val="32"/>
          <w:szCs w:val="24"/>
          <w:lang w:val="en-US" w:eastAsia="zh-CN" w:bidi="ar-SA"/>
        </w:rPr>
        <w:t>〔国办函〔2025〕84号〕</w:t>
      </w:r>
      <w:r>
        <w:rPr>
          <w:rFonts w:hint="eastAsia" w:cs="Times New Roman"/>
          <w:kern w:val="2"/>
          <w:sz w:val="32"/>
          <w:szCs w:val="24"/>
          <w:lang w:val="en-US" w:eastAsia="zh-CN" w:bidi="ar-SA"/>
        </w:rPr>
        <w:t>文件第三条：推动已运营</w:t>
      </w:r>
      <w:r>
        <w:rPr>
          <w:rFonts w:hint="eastAsia" w:ascii="仿宋" w:hAnsi="仿宋" w:eastAsia="仿宋" w:cs="Times New Roman"/>
          <w:kern w:val="2"/>
          <w:sz w:val="32"/>
          <w:szCs w:val="24"/>
          <w:lang w:val="en-US" w:eastAsia="zh-CN" w:bidi="ar-SA"/>
        </w:rPr>
        <w:t>项目平稳运行条款“地方政府对已运营项目要按合同依法履约”，及第五条：“地方政府要切实采取措施严防产生合同纠纷</w:t>
      </w:r>
      <w:r>
        <w:rPr>
          <w:rFonts w:hint="eastAsia" w:cs="Times New Roman"/>
          <w:kern w:val="2"/>
          <w:sz w:val="32"/>
          <w:szCs w:val="24"/>
          <w:lang w:val="en-US" w:eastAsia="zh-CN" w:bidi="ar-SA"/>
        </w:rPr>
        <w:t>...</w:t>
      </w:r>
      <w:r>
        <w:rPr>
          <w:rFonts w:hint="eastAsia" w:ascii="仿宋" w:hAnsi="仿宋" w:eastAsia="仿宋" w:cs="Times New Roman"/>
          <w:kern w:val="2"/>
          <w:sz w:val="32"/>
          <w:szCs w:val="24"/>
          <w:lang w:val="en-US" w:eastAsia="zh-CN" w:bidi="ar-SA"/>
        </w:rPr>
        <w:t>。政府方和社会资本方要增强契约精神，妥善处理合同期限内解约事项</w:t>
      </w:r>
      <w:r>
        <w:rPr>
          <w:rFonts w:hint="eastAsia" w:cs="Times New Roman"/>
          <w:kern w:val="2"/>
          <w:sz w:val="32"/>
          <w:szCs w:val="24"/>
          <w:lang w:val="en-US" w:eastAsia="zh-CN" w:bidi="ar-SA"/>
        </w:rPr>
        <w:t>...</w:t>
      </w:r>
      <w:r>
        <w:rPr>
          <w:rFonts w:hint="eastAsia" w:ascii="仿宋" w:hAnsi="仿宋" w:eastAsia="仿宋" w:cs="Times New Roman"/>
          <w:kern w:val="2"/>
          <w:sz w:val="32"/>
          <w:szCs w:val="24"/>
          <w:lang w:val="en-US" w:eastAsia="zh-CN" w:bidi="ar-SA"/>
        </w:rPr>
        <w:t>”</w:t>
      </w:r>
      <w:r>
        <w:rPr>
          <w:rFonts w:hint="eastAsia" w:cs="Times New Roman"/>
          <w:kern w:val="2"/>
          <w:sz w:val="32"/>
          <w:szCs w:val="24"/>
          <w:lang w:val="en-US" w:eastAsia="zh-CN" w:bidi="ar-SA"/>
        </w:rPr>
        <w:t>，为保证</w:t>
      </w:r>
      <w:r>
        <w:rPr>
          <w:rFonts w:hint="eastAsia" w:ascii="仿宋" w:hAnsi="仿宋" w:eastAsia="仿宋" w:cs="Times New Roman"/>
          <w:kern w:val="2"/>
          <w:sz w:val="32"/>
          <w:szCs w:val="24"/>
          <w:lang w:val="en-US" w:eastAsia="zh-CN" w:bidi="ar-SA"/>
        </w:rPr>
        <w:t>项目正常运营，政府应严格按照合同约定，及时、足额拨付污水处理费用。建议建立专门的污水处理费用结算机制，明确费用拨付流程和时限，加强政府内部协调，确保费用能够及时到位</w:t>
      </w:r>
      <w:r>
        <w:rPr>
          <w:rFonts w:hint="eastAsia" w:cs="Times New Roman"/>
          <w:kern w:val="2"/>
          <w:sz w:val="32"/>
          <w:szCs w:val="24"/>
          <w:lang w:val="en-US" w:eastAsia="zh-CN" w:bidi="ar-SA"/>
        </w:rPr>
        <w:t>。</w:t>
      </w:r>
      <w:r>
        <w:rPr>
          <w:rFonts w:hint="eastAsia" w:ascii="仿宋" w:hAnsi="仿宋" w:eastAsia="仿宋" w:cs="Times New Roman"/>
          <w:kern w:val="2"/>
          <w:sz w:val="32"/>
          <w:szCs w:val="24"/>
          <w:lang w:val="en-US" w:eastAsia="zh-CN" w:bidi="ar-SA"/>
        </w:rPr>
        <w:t>保障项目公司的合法权益。</w:t>
      </w:r>
      <w:bookmarkEnd w:id="29"/>
    </w:p>
    <w:p w14:paraId="22A87167">
      <w:pPr>
        <w:tabs>
          <w:tab w:val="left" w:pos="1099"/>
        </w:tabs>
        <w:bidi w:val="0"/>
        <w:ind w:firstLine="640" w:firstLineChars="0"/>
        <w:jc w:val="left"/>
        <w:outlineLvl w:val="1"/>
        <w:rPr>
          <w:rFonts w:hint="eastAsia" w:ascii="楷体" w:hAnsi="楷体" w:eastAsia="楷体" w:cs="楷体"/>
          <w:kern w:val="2"/>
          <w:sz w:val="32"/>
          <w:szCs w:val="24"/>
          <w:lang w:val="en-US" w:eastAsia="zh-CN" w:bidi="ar-SA"/>
        </w:rPr>
      </w:pPr>
      <w:bookmarkStart w:id="30" w:name="_Toc18924"/>
      <w:r>
        <w:rPr>
          <w:rFonts w:hint="eastAsia" w:ascii="楷体" w:hAnsi="楷体" w:eastAsia="楷体" w:cs="楷体"/>
          <w:kern w:val="2"/>
          <w:sz w:val="32"/>
          <w:szCs w:val="24"/>
          <w:lang w:val="en-US" w:eastAsia="zh-CN" w:bidi="ar-SA"/>
        </w:rPr>
        <w:t>（三）建立更加科学的计价方式</w:t>
      </w:r>
      <w:bookmarkEnd w:id="30"/>
      <w:r>
        <w:rPr>
          <w:rFonts w:hint="eastAsia" w:ascii="楷体" w:hAnsi="楷体" w:eastAsia="楷体" w:cs="楷体"/>
          <w:kern w:val="2"/>
          <w:sz w:val="32"/>
          <w:szCs w:val="24"/>
          <w:lang w:val="en-US" w:eastAsia="zh-CN" w:bidi="ar-SA"/>
        </w:rPr>
        <w:t xml:space="preserve">  </w:t>
      </w:r>
    </w:p>
    <w:p w14:paraId="4D029686">
      <w:pPr>
        <w:tabs>
          <w:tab w:val="left" w:pos="1099"/>
        </w:tabs>
        <w:bidi w:val="0"/>
        <w:ind w:firstLine="640" w:firstLineChars="200"/>
        <w:jc w:val="both"/>
        <w:outlineLvl w:val="9"/>
        <w:rPr>
          <w:rFonts w:hint="eastAsia" w:ascii="仿宋" w:hAnsi="仿宋" w:eastAsia="仿宋" w:cs="仿宋"/>
          <w:kern w:val="2"/>
          <w:sz w:val="32"/>
          <w:szCs w:val="24"/>
          <w:lang w:val="en-US" w:eastAsia="zh-CN" w:bidi="ar-SA"/>
        </w:rPr>
      </w:pPr>
      <w:bookmarkStart w:id="31" w:name="_Toc5021"/>
      <w:bookmarkStart w:id="32" w:name="_Toc25901"/>
      <w:bookmarkStart w:id="33" w:name="_Toc17413"/>
      <w:r>
        <w:rPr>
          <w:rFonts w:hint="eastAsia" w:ascii="仿宋" w:hAnsi="仿宋" w:eastAsia="仿宋" w:cs="仿宋"/>
          <w:kern w:val="2"/>
          <w:sz w:val="32"/>
          <w:szCs w:val="24"/>
          <w:lang w:val="en-US" w:eastAsia="zh-CN" w:bidi="ar-SA"/>
        </w:rPr>
        <w:t>针对当前固定单价与保底水量结算模式引发的财政风险及运营矛盾，</w:t>
      </w:r>
      <w:r>
        <w:rPr>
          <w:rFonts w:hint="eastAsia" w:cs="仿宋"/>
          <w:kern w:val="2"/>
          <w:sz w:val="32"/>
          <w:szCs w:val="24"/>
          <w:lang w:val="en-US" w:eastAsia="zh-CN" w:bidi="ar-SA"/>
        </w:rPr>
        <w:t>亟须</w:t>
      </w:r>
      <w:r>
        <w:rPr>
          <w:rFonts w:hint="eastAsia" w:ascii="仿宋" w:hAnsi="仿宋" w:eastAsia="仿宋" w:cs="仿宋"/>
          <w:kern w:val="2"/>
          <w:sz w:val="32"/>
          <w:szCs w:val="24"/>
          <w:lang w:val="en-US" w:eastAsia="zh-CN" w:bidi="ar-SA"/>
        </w:rPr>
        <w:t>构建符合项目实际、兼顾效率与公平的计价体系。</w:t>
      </w:r>
    </w:p>
    <w:p w14:paraId="229CE641">
      <w:pPr>
        <w:tabs>
          <w:tab w:val="left" w:pos="1099"/>
        </w:tabs>
        <w:bidi w:val="0"/>
        <w:ind w:firstLine="640" w:firstLineChars="200"/>
        <w:jc w:val="both"/>
        <w:outlineLvl w:val="9"/>
        <w:rPr>
          <w:rFonts w:hint="eastAsia" w:cs="Times New Roman"/>
          <w:kern w:val="2"/>
          <w:sz w:val="32"/>
          <w:szCs w:val="24"/>
          <w:lang w:val="en-US" w:eastAsia="zh-CN" w:bidi="ar-SA"/>
        </w:rPr>
      </w:pPr>
      <w:r>
        <w:rPr>
          <w:rFonts w:hint="eastAsia" w:cs="Times New Roman"/>
          <w:kern w:val="2"/>
          <w:sz w:val="32"/>
          <w:szCs w:val="24"/>
          <w:lang w:val="en-US" w:eastAsia="zh-CN" w:bidi="ar-SA"/>
        </w:rPr>
        <w:t>对当前项目运营存在的工艺改造费用问题，应将其纳入新的计价机制考量范畴。在保障项目公司合理收益、避免政府承担过大的财政压力的前提下，可以考虑采用固定单价加可变单价的灵活计价方式：固定部分覆盖基本运营维护成本，保障项目公司稳定运行；可变部分则与关键绩效指标（KPI）深度挂钩，例如依据实际处理水量、进水水质浓度（特别是影响处理成本的氨氮、总氮等指标）、出水水质达标率、单位能耗、污泥处置合规性以及工艺改造需求成本等进行动态调节。这种机制能更灵敏地反映运营成本变动和绩效表现，促使运营方主动优化管理、控制成本并提升处理效能，提高项目的经济效益和社会效益。</w:t>
      </w:r>
      <w:bookmarkEnd w:id="31"/>
      <w:bookmarkEnd w:id="32"/>
      <w:bookmarkEnd w:id="33"/>
    </w:p>
    <w:p w14:paraId="0BB7001F">
      <w:pPr>
        <w:tabs>
          <w:tab w:val="left" w:pos="1099"/>
        </w:tabs>
        <w:bidi w:val="0"/>
        <w:ind w:firstLine="640" w:firstLineChars="200"/>
        <w:jc w:val="both"/>
        <w:outlineLvl w:val="1"/>
        <w:rPr>
          <w:rFonts w:hint="default" w:ascii="楷体" w:hAnsi="楷体" w:eastAsia="楷体" w:cs="楷体"/>
          <w:kern w:val="2"/>
          <w:sz w:val="32"/>
          <w:szCs w:val="24"/>
          <w:lang w:val="en-US" w:eastAsia="zh-CN" w:bidi="ar-SA"/>
        </w:rPr>
      </w:pPr>
      <w:bookmarkStart w:id="34" w:name="_Toc415"/>
      <w:r>
        <w:rPr>
          <w:rFonts w:hint="eastAsia" w:ascii="楷体" w:hAnsi="楷体" w:eastAsia="楷体" w:cs="楷体"/>
          <w:kern w:val="2"/>
          <w:sz w:val="32"/>
          <w:szCs w:val="24"/>
          <w:lang w:val="en-US" w:eastAsia="zh-CN" w:bidi="ar-SA"/>
        </w:rPr>
        <w:t>（四）</w:t>
      </w:r>
      <w:bookmarkEnd w:id="34"/>
      <w:bookmarkStart w:id="35" w:name="_Toc25024"/>
      <w:r>
        <w:rPr>
          <w:rFonts w:hint="eastAsia" w:ascii="楷体" w:hAnsi="楷体" w:eastAsia="楷体" w:cs="楷体"/>
          <w:kern w:val="2"/>
          <w:sz w:val="32"/>
          <w:szCs w:val="24"/>
          <w:lang w:val="en-US" w:eastAsia="zh-CN" w:bidi="ar-SA"/>
        </w:rPr>
        <w:t>重新评估检测管理模式</w:t>
      </w:r>
      <w:bookmarkEnd w:id="35"/>
    </w:p>
    <w:p w14:paraId="03EE4473">
      <w:pPr>
        <w:tabs>
          <w:tab w:val="left" w:pos="1099"/>
        </w:tabs>
        <w:bidi w:val="0"/>
        <w:ind w:firstLine="640" w:firstLineChars="200"/>
        <w:jc w:val="both"/>
        <w:rPr>
          <w:rFonts w:hint="default" w:cs="Times New Roman"/>
          <w:kern w:val="2"/>
          <w:sz w:val="32"/>
          <w:szCs w:val="24"/>
          <w:lang w:val="en-US" w:eastAsia="zh-CN" w:bidi="ar-SA"/>
        </w:rPr>
      </w:pPr>
      <w:r>
        <w:rPr>
          <w:rFonts w:hint="default" w:cs="Times New Roman"/>
          <w:kern w:val="2"/>
          <w:sz w:val="32"/>
          <w:szCs w:val="24"/>
          <w:lang w:val="en-US" w:eastAsia="zh-CN" w:bidi="ar-SA"/>
        </w:rPr>
        <w:t>第三方检测的核心公信力源于“独立性”—即检测机构不受委托方（运营商）的利益干预，仅对检测数据真实性、准确性负责。当前由运营商直接支付检测费用，形成“委托方（付费方）</w:t>
      </w:r>
      <w:r>
        <w:rPr>
          <w:rFonts w:hint="eastAsia" w:cs="Times New Roman"/>
          <w:kern w:val="2"/>
          <w:sz w:val="32"/>
          <w:szCs w:val="24"/>
          <w:lang w:val="en-US" w:eastAsia="zh-CN" w:bidi="ar-SA"/>
        </w:rPr>
        <w:t>－</w:t>
      </w:r>
      <w:r>
        <w:rPr>
          <w:rFonts w:hint="default" w:cs="Times New Roman"/>
          <w:kern w:val="2"/>
          <w:sz w:val="32"/>
          <w:szCs w:val="24"/>
          <w:lang w:val="en-US" w:eastAsia="zh-CN" w:bidi="ar-SA"/>
        </w:rPr>
        <w:t>检测方”的直接利益关系</w:t>
      </w:r>
      <w:r>
        <w:rPr>
          <w:rFonts w:hint="eastAsia" w:cs="Times New Roman"/>
          <w:kern w:val="2"/>
          <w:sz w:val="32"/>
          <w:szCs w:val="24"/>
          <w:lang w:val="en-US" w:eastAsia="zh-CN" w:bidi="ar-SA"/>
        </w:rPr>
        <w:t>，</w:t>
      </w:r>
      <w:r>
        <w:rPr>
          <w:rFonts w:hint="default" w:cs="Times New Roman"/>
          <w:kern w:val="2"/>
          <w:sz w:val="32"/>
          <w:szCs w:val="24"/>
          <w:lang w:val="en-US" w:eastAsia="zh-CN" w:bidi="ar-SA"/>
        </w:rPr>
        <w:t>若运营商污水处理效果未达标（如COD、氨氮等指标超标），可能面临政府拒付/扣减污水处理费的后果；而检测机构的收入依赖运营商的长期合作，存在“迎合委托方需求”的隐性动机（如放松检测标准、选择性上报合格数据、弱化异常值说明等），损害检测结果的客观性</w:t>
      </w:r>
      <w:r>
        <w:rPr>
          <w:rFonts w:hint="eastAsia" w:cs="Times New Roman"/>
          <w:kern w:val="2"/>
          <w:sz w:val="32"/>
          <w:szCs w:val="24"/>
          <w:lang w:val="en-US" w:eastAsia="zh-CN" w:bidi="ar-SA"/>
        </w:rPr>
        <w:t>；</w:t>
      </w:r>
      <w:r>
        <w:rPr>
          <w:rFonts w:hint="default" w:cs="Times New Roman"/>
          <w:kern w:val="2"/>
          <w:sz w:val="32"/>
          <w:szCs w:val="24"/>
          <w:lang w:val="en-US" w:eastAsia="zh-CN" w:bidi="ar-SA"/>
        </w:rPr>
        <w:t>即使检测机构主观上无违规意愿，长期单一合作下的“人情关联”“沟通惯性”，也可能导致检测流程中的细节宽松（如抽样点位偏向处理效果较好区域、未严格执行平行样验证等），间接影响数据公正性</w:t>
      </w:r>
      <w:r>
        <w:rPr>
          <w:rFonts w:hint="eastAsia" w:cs="Times New Roman"/>
          <w:kern w:val="2"/>
          <w:sz w:val="32"/>
          <w:szCs w:val="24"/>
          <w:lang w:val="en-US" w:eastAsia="zh-CN" w:bidi="ar-SA"/>
        </w:rPr>
        <w:t>。因此建议</w:t>
      </w:r>
      <w:r>
        <w:rPr>
          <w:rFonts w:hint="default" w:cs="Times New Roman"/>
          <w:kern w:val="2"/>
          <w:sz w:val="32"/>
          <w:szCs w:val="24"/>
          <w:lang w:val="en-US" w:eastAsia="zh-CN" w:bidi="ar-SA"/>
        </w:rPr>
        <w:t>第三方检测行业的公正性需通过“适度竞争”保障多家机构参与可形成“技术能力比拼+服务质量约束”的良性机制</w:t>
      </w:r>
      <w:r>
        <w:rPr>
          <w:rFonts w:hint="eastAsia" w:cs="Times New Roman"/>
          <w:kern w:val="2"/>
          <w:sz w:val="32"/>
          <w:szCs w:val="24"/>
          <w:lang w:val="en-US" w:eastAsia="zh-CN" w:bidi="ar-SA"/>
        </w:rPr>
        <w:t>；</w:t>
      </w:r>
      <w:r>
        <w:rPr>
          <w:rFonts w:hint="default" w:cs="Times New Roman"/>
          <w:kern w:val="2"/>
          <w:sz w:val="32"/>
          <w:szCs w:val="24"/>
          <w:lang w:val="en-US" w:eastAsia="zh-CN" w:bidi="ar-SA"/>
        </w:rPr>
        <w:t>建立“复检、溯源、抽查”等补充机制</w:t>
      </w:r>
      <w:r>
        <w:rPr>
          <w:rFonts w:hint="eastAsia" w:cs="Times New Roman"/>
          <w:kern w:val="2"/>
          <w:sz w:val="32"/>
          <w:szCs w:val="24"/>
          <w:lang w:val="en-US" w:eastAsia="zh-CN" w:bidi="ar-SA"/>
        </w:rPr>
        <w:t>；政府监管要加大不定期抽查复检的力度，加大对数据造假的违约责任（如高罚款、终止合作）来约束。切断“运营商－检测方”的直接利益，将检测委托权、付费权从运营商转移至政府（或项目监管单位，如园区管委会、住建局），实现“谁监管、谁委托、谁付费。</w:t>
      </w:r>
    </w:p>
    <w:p w14:paraId="7FEFE425">
      <w:pPr>
        <w:numPr>
          <w:ilvl w:val="0"/>
          <w:numId w:val="0"/>
        </w:numPr>
        <w:bidi w:val="0"/>
        <w:ind w:firstLine="640" w:firstLineChars="200"/>
        <w:outlineLvl w:val="1"/>
        <w:rPr>
          <w:rFonts w:hint="eastAsia" w:ascii="楷体" w:hAnsi="楷体" w:eastAsia="楷体" w:cs="楷体"/>
          <w:kern w:val="2"/>
          <w:sz w:val="32"/>
          <w:szCs w:val="24"/>
          <w:lang w:val="en-US" w:eastAsia="zh-CN" w:bidi="ar-SA"/>
        </w:rPr>
      </w:pPr>
      <w:bookmarkStart w:id="36" w:name="_Toc32478"/>
      <w:r>
        <w:rPr>
          <w:rFonts w:hint="eastAsia" w:ascii="楷体" w:hAnsi="楷体" w:eastAsia="楷体" w:cs="楷体"/>
          <w:kern w:val="2"/>
          <w:sz w:val="32"/>
          <w:szCs w:val="24"/>
          <w:lang w:val="en-US" w:eastAsia="zh-CN" w:bidi="ar-SA"/>
        </w:rPr>
        <w:t>（五）合理公正审议项目技改要求</w:t>
      </w:r>
      <w:bookmarkEnd w:id="36"/>
    </w:p>
    <w:p w14:paraId="544F11F9">
      <w:pPr>
        <w:numPr>
          <w:ilvl w:val="0"/>
          <w:numId w:val="0"/>
        </w:numPr>
        <w:bidi w:val="0"/>
        <w:ind w:firstLine="640" w:firstLineChars="200"/>
        <w:rPr>
          <w:rFonts w:hint="default" w:ascii="仿宋" w:hAnsi="仿宋" w:eastAsia="仿宋" w:cs="Times New Roman"/>
          <w:kern w:val="2"/>
          <w:sz w:val="32"/>
          <w:szCs w:val="24"/>
          <w:lang w:val="en-US" w:eastAsia="zh-CN" w:bidi="ar-SA"/>
        </w:rPr>
      </w:pPr>
      <w:r>
        <w:rPr>
          <w:rFonts w:hint="eastAsia" w:cs="Times New Roman"/>
          <w:kern w:val="2"/>
          <w:sz w:val="32"/>
          <w:szCs w:val="24"/>
          <w:lang w:val="en-US" w:eastAsia="zh-CN" w:bidi="ar-SA"/>
        </w:rPr>
        <w:t>运营方于2022年4月向县人民政府提交了《关于要求对阳新县宝塔湖污水处理厂进行技术改造的报告》，技改报告于2022年6月17日经县政府常务会议研究通过，并先后获县住建局、县发改局批复，技改预估总投资为2600.49万元，资金来源为拟争取地方配套资金和单位自筹、银行贷款。目前项目方已经投入100多万元对技改的前期勘探、分析，技改方案当前未获得政府批准，筹资方式由运营方自筹还是政府支持目前未有定论。由于前期建设过程中设计工艺同实际设计标准存在一定差异，目前项目实际处理规模同设计规模存在一定偏差，如不进行技改，易造成污水溢流而跑泥，影响污水处理品质。建议委托独立专业权威机构对技改必要性进行二次验证，重点评估设计缺陷与超负荷运行的关联性，量化延迟技改的潜在环境风险与经济成本。</w:t>
      </w:r>
    </w:p>
    <w:p w14:paraId="02519AE7">
      <w:pPr>
        <w:numPr>
          <w:ilvl w:val="0"/>
          <w:numId w:val="0"/>
        </w:numPr>
        <w:bidi w:val="0"/>
        <w:ind w:firstLine="640" w:firstLineChars="200"/>
        <w:outlineLvl w:val="1"/>
        <w:rPr>
          <w:rFonts w:hint="default" w:ascii="楷体" w:hAnsi="楷体" w:eastAsia="楷体" w:cs="楷体"/>
          <w:kern w:val="2"/>
          <w:sz w:val="32"/>
          <w:szCs w:val="24"/>
          <w:lang w:val="en-US" w:eastAsia="zh-CN" w:bidi="ar-SA"/>
        </w:rPr>
      </w:pPr>
      <w:bookmarkStart w:id="37" w:name="_Toc13687"/>
      <w:r>
        <w:rPr>
          <w:rFonts w:hint="eastAsia" w:ascii="楷体" w:hAnsi="楷体" w:eastAsia="楷体" w:cs="楷体"/>
          <w:kern w:val="2"/>
          <w:sz w:val="32"/>
          <w:szCs w:val="24"/>
          <w:lang w:val="en-US" w:eastAsia="zh-CN" w:bidi="ar-SA"/>
        </w:rPr>
        <w:t>（六）科学调整投资收益目标</w:t>
      </w:r>
      <w:bookmarkEnd w:id="37"/>
    </w:p>
    <w:p w14:paraId="218E2E83">
      <w:pPr>
        <w:numPr>
          <w:ilvl w:val="0"/>
          <w:numId w:val="0"/>
        </w:numPr>
        <w:bidi w:val="0"/>
        <w:ind w:firstLine="640" w:firstLineChars="200"/>
        <w:rPr>
          <w:rFonts w:hint="default" w:ascii="宋体" w:hAnsi="宋体" w:eastAsia="宋体" w:cs="宋体"/>
          <w:kern w:val="0"/>
          <w:sz w:val="24"/>
          <w:szCs w:val="24"/>
          <w:lang w:val="en-US" w:eastAsia="zh-CN" w:bidi="ar"/>
        </w:rPr>
      </w:pPr>
      <w:r>
        <w:rPr>
          <w:rFonts w:hint="eastAsia" w:ascii="仿宋" w:hAnsi="仿宋" w:eastAsia="仿宋" w:cs="Times New Roman"/>
          <w:kern w:val="2"/>
          <w:sz w:val="32"/>
          <w:szCs w:val="24"/>
          <w:lang w:val="en-US" w:eastAsia="zh-CN" w:bidi="ar-SA"/>
        </w:rPr>
        <w:t>可研报告设定的6%的投资收益率虽处于行业平均水平，但在当前项目实际运营环境发生显著变化的情况下，其适用性需重新审视。实际运行数据显示，近三年平均投资收益率为2%左右，低于可研预期，主要受制于进水量不足、进水浓度提升带来的碳源成本增加、污泥处置及能源等运营成本刚性上涨等多重压力。若机械执行原定的6%收益率目标，不仅会大幅加重地方政府当期财政支付负担，也缺乏现实基础支撑。建议在保障项目可持续运营的前提下，结合项目实际运行表现、当前市场资金成本（如银行贷款基准利率及PPP行业平均融资成本）、地方财政承受能力以及国家关于公共服务领域合理收益的政策导向，对投资收益率进行科学、动态的调整。</w:t>
      </w:r>
    </w:p>
    <w:p w14:paraId="32EDA3E3">
      <w:pPr>
        <w:tabs>
          <w:tab w:val="left" w:pos="1099"/>
        </w:tabs>
        <w:bidi w:val="0"/>
        <w:ind w:firstLine="640" w:firstLineChars="200"/>
        <w:jc w:val="left"/>
        <w:outlineLvl w:val="1"/>
        <w:rPr>
          <w:rFonts w:hint="eastAsia" w:ascii="楷体" w:hAnsi="楷体" w:eastAsia="楷体" w:cs="楷体"/>
          <w:kern w:val="2"/>
          <w:sz w:val="32"/>
          <w:szCs w:val="24"/>
          <w:lang w:val="en-US" w:eastAsia="zh-CN" w:bidi="ar-SA"/>
        </w:rPr>
      </w:pPr>
      <w:bookmarkStart w:id="38" w:name="_Toc21634"/>
      <w:r>
        <w:rPr>
          <w:rFonts w:hint="eastAsia" w:ascii="楷体" w:hAnsi="楷体" w:eastAsia="楷体" w:cs="楷体"/>
          <w:kern w:val="2"/>
          <w:sz w:val="32"/>
          <w:szCs w:val="24"/>
          <w:lang w:val="en-US" w:eastAsia="zh-CN" w:bidi="ar-SA"/>
        </w:rPr>
        <w:t>（七）技改费用问题</w:t>
      </w:r>
      <w:bookmarkEnd w:id="38"/>
    </w:p>
    <w:p w14:paraId="48F01371">
      <w:pPr>
        <w:tabs>
          <w:tab w:val="left" w:pos="1099"/>
        </w:tabs>
        <w:bidi w:val="0"/>
        <w:ind w:firstLine="640" w:firstLineChars="200"/>
        <w:jc w:val="both"/>
        <w:outlineLvl w:val="9"/>
        <w:rPr>
          <w:rFonts w:hint="eastAsia" w:ascii="仿宋" w:hAnsi="仿宋" w:eastAsia="仿宋" w:cs="仿宋"/>
          <w:sz w:val="32"/>
          <w:szCs w:val="40"/>
          <w:lang w:val="en-US" w:eastAsia="zh-CN"/>
        </w:rPr>
      </w:pPr>
      <w:r>
        <w:rPr>
          <w:rFonts w:hint="eastAsia" w:ascii="仿宋" w:hAnsi="仿宋" w:eastAsia="仿宋" w:cs="仿宋"/>
          <w:kern w:val="2"/>
          <w:sz w:val="32"/>
          <w:szCs w:val="24"/>
          <w:lang w:val="en-US" w:eastAsia="zh-CN" w:bidi="ar-SA"/>
        </w:rPr>
        <w:t>技改费用达2000万元，原因固然有一些其他原因，但一期技改时生化池工艺设计或者施工存在一定的误差</w:t>
      </w:r>
      <w:r>
        <w:rPr>
          <w:rFonts w:hint="eastAsia" w:cs="仿宋"/>
          <w:kern w:val="2"/>
          <w:sz w:val="32"/>
          <w:szCs w:val="24"/>
          <w:lang w:val="en-US" w:eastAsia="zh-CN" w:bidi="ar-SA"/>
        </w:rPr>
        <w:t>，</w:t>
      </w:r>
      <w:r>
        <w:rPr>
          <w:rFonts w:hint="eastAsia" w:ascii="仿宋" w:hAnsi="仿宋" w:eastAsia="仿宋" w:cs="仿宋"/>
          <w:kern w:val="2"/>
          <w:sz w:val="32"/>
          <w:szCs w:val="24"/>
          <w:lang w:val="en-US" w:eastAsia="zh-CN" w:bidi="ar-SA"/>
        </w:rPr>
        <w:t>二期高效沉淀池设计量6万</w:t>
      </w:r>
      <w:r>
        <w:rPr>
          <w:rFonts w:hint="eastAsia" w:cs="仿宋"/>
          <w:kern w:val="2"/>
          <w:sz w:val="32"/>
          <w:szCs w:val="24"/>
          <w:lang w:val="en-US" w:eastAsia="zh-CN" w:bidi="ar-SA"/>
        </w:rPr>
        <w:t>吨</w:t>
      </w:r>
      <w:r>
        <w:rPr>
          <w:rFonts w:hint="eastAsia" w:ascii="仿宋" w:hAnsi="仿宋" w:eastAsia="仿宋" w:cs="仿宋"/>
          <w:kern w:val="2"/>
          <w:sz w:val="32"/>
          <w:szCs w:val="24"/>
          <w:lang w:val="en-US" w:eastAsia="zh-CN" w:bidi="ar-SA"/>
        </w:rPr>
        <w:t>/日，但达4.5</w:t>
      </w:r>
      <w:r>
        <w:rPr>
          <w:rFonts w:hint="eastAsia" w:cs="仿宋"/>
          <w:kern w:val="2"/>
          <w:sz w:val="32"/>
          <w:szCs w:val="24"/>
          <w:lang w:val="en-US" w:eastAsia="zh-CN" w:bidi="ar-SA"/>
        </w:rPr>
        <w:t>万吨/日</w:t>
      </w:r>
      <w:r>
        <w:rPr>
          <w:rFonts w:hint="eastAsia" w:ascii="仿宋" w:hAnsi="仿宋" w:eastAsia="仿宋" w:cs="仿宋"/>
          <w:sz w:val="32"/>
          <w:szCs w:val="40"/>
          <w:lang w:val="en-US" w:eastAsia="zh-CN"/>
        </w:rPr>
        <w:t>污泥上升速度高于沉降速度故</w:t>
      </w:r>
      <w:r>
        <w:rPr>
          <w:rFonts w:hint="eastAsia" w:ascii="仿宋" w:hAnsi="仿宋" w:eastAsia="仿宋" w:cs="仿宋"/>
          <w:sz w:val="32"/>
          <w:szCs w:val="40"/>
        </w:rPr>
        <w:t>部分污泥来不及沉淀而随水流出</w:t>
      </w:r>
      <w:r>
        <w:rPr>
          <w:rFonts w:hint="eastAsia" w:ascii="仿宋" w:hAnsi="仿宋" w:eastAsia="仿宋" w:cs="仿宋"/>
          <w:sz w:val="32"/>
          <w:szCs w:val="40"/>
          <w:lang w:val="en-US" w:eastAsia="zh-CN"/>
        </w:rPr>
        <w:t>也</w:t>
      </w:r>
      <w:r>
        <w:rPr>
          <w:rFonts w:hint="eastAsia" w:cs="仿宋"/>
          <w:sz w:val="32"/>
          <w:szCs w:val="40"/>
          <w:lang w:val="en-US" w:eastAsia="zh-CN"/>
        </w:rPr>
        <w:t>与</w:t>
      </w:r>
      <w:r>
        <w:rPr>
          <w:rFonts w:hint="eastAsia" w:ascii="仿宋" w:hAnsi="仿宋" w:eastAsia="仿宋" w:cs="仿宋"/>
          <w:sz w:val="32"/>
          <w:szCs w:val="40"/>
          <w:lang w:val="en-US" w:eastAsia="zh-CN"/>
        </w:rPr>
        <w:t>项目施工不达设计标准或者验收结果存在问题</w:t>
      </w:r>
      <w:r>
        <w:rPr>
          <w:rFonts w:hint="eastAsia" w:cs="仿宋"/>
          <w:sz w:val="32"/>
          <w:szCs w:val="40"/>
          <w:lang w:val="en-US" w:eastAsia="zh-CN"/>
        </w:rPr>
        <w:t>有关</w:t>
      </w:r>
      <w:r>
        <w:rPr>
          <w:rFonts w:hint="eastAsia" w:ascii="仿宋" w:hAnsi="仿宋" w:eastAsia="仿宋" w:cs="仿宋"/>
          <w:sz w:val="32"/>
          <w:szCs w:val="40"/>
          <w:lang w:val="en-US" w:eastAsia="zh-CN"/>
        </w:rPr>
        <w:t>，因此技改费用首先要确认前期施工或者设计或者验收标准责任</w:t>
      </w:r>
      <w:r>
        <w:rPr>
          <w:rFonts w:hint="eastAsia" w:cs="仿宋"/>
          <w:sz w:val="32"/>
          <w:szCs w:val="40"/>
          <w:lang w:val="en-US" w:eastAsia="zh-CN"/>
        </w:rPr>
        <w:t>，同时</w:t>
      </w:r>
      <w:r>
        <w:rPr>
          <w:rFonts w:hint="eastAsia" w:ascii="仿宋" w:hAnsi="仿宋" w:eastAsia="仿宋" w:cs="仿宋"/>
          <w:sz w:val="32"/>
          <w:szCs w:val="40"/>
          <w:lang w:val="en-US" w:eastAsia="zh-CN"/>
        </w:rPr>
        <w:t>对已投入的100余万元前期费用进行专项审计，核定勘探设计等工作的合规性。后续技改可拆分为“紧急缺陷修复”和“系统性升级”两阶段，优先实施直接影响水质达标的紧急工程，减轻资金压力。</w:t>
      </w:r>
    </w:p>
    <w:p w14:paraId="21D5618B">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360" w:lineRule="auto"/>
        <w:ind w:right="0" w:rightChars="0" w:firstLine="640" w:firstLineChars="200"/>
        <w:textAlignment w:val="auto"/>
        <w:rPr>
          <w:rFonts w:hint="eastAsia" w:ascii="仿宋" w:hAnsi="仿宋" w:eastAsia="仿宋" w:cs="仿宋"/>
          <w:b/>
          <w:bCs/>
          <w:kern w:val="2"/>
          <w:sz w:val="32"/>
          <w:szCs w:val="32"/>
          <w:highlight w:val="none"/>
          <w:lang w:val="en-US" w:eastAsia="zh-CN" w:bidi="ar-SA"/>
        </w:rPr>
      </w:pPr>
      <w:r>
        <w:rPr>
          <w:rFonts w:hint="eastAsia" w:cs="仿宋"/>
          <w:sz w:val="32"/>
          <w:szCs w:val="40"/>
          <w:lang w:val="en-US" w:eastAsia="zh-CN"/>
        </w:rPr>
        <w:t>（八）</w:t>
      </w:r>
      <w:r>
        <w:rPr>
          <w:rFonts w:hint="eastAsia" w:ascii="仿宋" w:hAnsi="仿宋" w:eastAsia="仿宋" w:cs="仿宋"/>
          <w:b/>
          <w:bCs/>
          <w:kern w:val="2"/>
          <w:sz w:val="32"/>
          <w:szCs w:val="32"/>
          <w:highlight w:val="none"/>
          <w:lang w:val="en-US" w:eastAsia="zh-CN" w:bidi="ar-SA"/>
        </w:rPr>
        <w:t>保底结算合约变更</w:t>
      </w:r>
    </w:p>
    <w:p w14:paraId="25B1B9E4">
      <w:pPr>
        <w:keepNext w:val="0"/>
        <w:keepLines w:val="0"/>
        <w:pageBreakBefore w:val="0"/>
        <w:widowControl/>
        <w:suppressLineNumbers w:val="0"/>
        <w:kinsoku/>
        <w:wordWrap/>
        <w:overflowPunct/>
        <w:topLinePunct w:val="0"/>
        <w:autoSpaceDE/>
        <w:autoSpaceDN/>
        <w:bidi w:val="0"/>
        <w:spacing w:before="120" w:after="120" w:line="560" w:lineRule="exact"/>
        <w:ind w:firstLine="640" w:firstLineChars="200"/>
        <w:jc w:val="left"/>
        <w:rPr>
          <w:rFonts w:hint="eastAsia" w:ascii="仿宋" w:hAnsi="仿宋" w:eastAsia="仿宋" w:cs="仿宋"/>
          <w:sz w:val="32"/>
          <w:szCs w:val="40"/>
          <w:lang w:val="en-US" w:eastAsia="zh-CN"/>
        </w:rPr>
      </w:pPr>
      <w:r>
        <w:rPr>
          <w:rFonts w:hint="eastAsia" w:ascii="仿宋" w:hAnsi="仿宋" w:eastAsia="仿宋" w:cs="Times New Roman"/>
          <w:kern w:val="2"/>
          <w:sz w:val="32"/>
          <w:szCs w:val="24"/>
          <w:lang w:val="en-US" w:eastAsia="zh-CN" w:bidi="ar-SA"/>
        </w:rPr>
        <w:t>建议项目</w:t>
      </w:r>
      <w:r>
        <w:rPr>
          <w:rFonts w:hint="eastAsia" w:cs="Times New Roman"/>
          <w:kern w:val="2"/>
          <w:sz w:val="32"/>
          <w:szCs w:val="24"/>
          <w:lang w:val="en-US" w:eastAsia="zh-CN" w:bidi="ar-SA"/>
        </w:rPr>
        <w:t>运营方</w:t>
      </w:r>
      <w:r>
        <w:rPr>
          <w:rFonts w:hint="eastAsia" w:ascii="仿宋" w:hAnsi="仿宋" w:eastAsia="仿宋" w:cs="Times New Roman"/>
          <w:kern w:val="2"/>
          <w:sz w:val="32"/>
          <w:szCs w:val="24"/>
          <w:lang w:val="en-US" w:eastAsia="zh-CN" w:bidi="ar-SA"/>
        </w:rPr>
        <w:t>与政府部门重新审视合同条款，根据湖北省审计厅的意见，调整结算方式，降低政府债务风险。</w:t>
      </w:r>
      <w:r>
        <w:rPr>
          <w:rFonts w:hint="eastAsia" w:cs="Times New Roman"/>
          <w:kern w:val="2"/>
          <w:sz w:val="32"/>
          <w:szCs w:val="24"/>
          <w:lang w:val="en-US" w:eastAsia="zh-CN" w:bidi="ar-SA"/>
        </w:rPr>
        <w:t>同时</w:t>
      </w:r>
      <w:r>
        <w:rPr>
          <w:rFonts w:hint="eastAsia" w:ascii="仿宋" w:hAnsi="仿宋" w:cs="仿宋"/>
          <w:color w:val="0000FF"/>
          <w:kern w:val="2"/>
          <w:sz w:val="32"/>
          <w:szCs w:val="32"/>
          <w:highlight w:val="none"/>
          <w:lang w:val="en-US" w:eastAsia="zh-CN" w:bidi="ar-SA"/>
        </w:rPr>
        <w:t>依据</w:t>
      </w:r>
      <w:r>
        <w:rPr>
          <w:rFonts w:hint="eastAsia" w:ascii="仿宋" w:hAnsi="仿宋" w:eastAsia="仿宋" w:cs="仿宋"/>
          <w:color w:val="0000FF"/>
          <w:kern w:val="2"/>
          <w:sz w:val="32"/>
          <w:szCs w:val="32"/>
          <w:highlight w:val="none"/>
          <w:lang w:val="en-US" w:eastAsia="zh-CN" w:bidi="ar-SA"/>
        </w:rPr>
        <w:t>2023年11月3日《国务院办公厅转发国家发展改革委、财政部关于规范实施政府和社会资本合作新机制的指导意见的通知》（国办函〔2023〕115 号）及《基础设施和公用事业特许经营管理办法》2024年第17号令文件要求，</w:t>
      </w:r>
      <w:r>
        <w:rPr>
          <w:rFonts w:hint="eastAsia" w:ascii="仿宋" w:hAnsi="仿宋" w:cs="仿宋"/>
          <w:color w:val="0000FF"/>
          <w:kern w:val="2"/>
          <w:sz w:val="32"/>
          <w:szCs w:val="32"/>
          <w:highlight w:val="none"/>
          <w:lang w:val="en-US" w:eastAsia="zh-CN" w:bidi="ar-SA"/>
        </w:rPr>
        <w:t>项目管理方与运营方首创公司</w:t>
      </w:r>
      <w:r>
        <w:rPr>
          <w:rFonts w:hint="eastAsia" w:ascii="仿宋" w:hAnsi="仿宋" w:eastAsia="仿宋" w:cs="仿宋"/>
          <w:kern w:val="2"/>
          <w:sz w:val="32"/>
          <w:szCs w:val="32"/>
          <w:highlight w:val="none"/>
          <w:lang w:val="en-US" w:eastAsia="zh-CN" w:bidi="ar-SA"/>
        </w:rPr>
        <w:t>应及时变更协议相关条款</w:t>
      </w:r>
      <w:r>
        <w:rPr>
          <w:rFonts w:hint="eastAsia" w:ascii="仿宋" w:hAnsi="仿宋" w:cs="仿宋"/>
          <w:kern w:val="2"/>
          <w:sz w:val="32"/>
          <w:szCs w:val="32"/>
          <w:highlight w:val="none"/>
          <w:lang w:val="en-US" w:eastAsia="zh-CN" w:bidi="ar-SA"/>
        </w:rPr>
        <w:t>，</w:t>
      </w:r>
      <w:r>
        <w:rPr>
          <w:rFonts w:hint="eastAsia" w:ascii="仿宋" w:hAnsi="仿宋" w:eastAsia="仿宋" w:cs="仿宋"/>
          <w:color w:val="0000FF"/>
          <w:kern w:val="2"/>
          <w:sz w:val="32"/>
          <w:szCs w:val="32"/>
          <w:highlight w:val="none"/>
          <w:lang w:val="en-US" w:eastAsia="zh-CN" w:bidi="ar-SA"/>
        </w:rPr>
        <w:t>取消保底计价方式</w:t>
      </w:r>
      <w:r>
        <w:rPr>
          <w:rFonts w:hint="eastAsia" w:ascii="仿宋" w:hAnsi="仿宋" w:eastAsia="仿宋" w:cs="仿宋"/>
          <w:kern w:val="2"/>
          <w:sz w:val="32"/>
          <w:szCs w:val="32"/>
          <w:highlight w:val="none"/>
          <w:lang w:val="en-US" w:eastAsia="zh-CN" w:bidi="ar-SA"/>
        </w:rPr>
        <w:t>。</w:t>
      </w:r>
    </w:p>
    <w:p w14:paraId="32B1EE82">
      <w:pPr>
        <w:tabs>
          <w:tab w:val="left" w:pos="1099"/>
        </w:tabs>
        <w:bidi w:val="0"/>
        <w:jc w:val="left"/>
        <w:outlineLvl w:val="0"/>
        <w:rPr>
          <w:rFonts w:hint="eastAsia" w:ascii="黑体" w:hAnsi="黑体" w:eastAsia="黑体" w:cs="黑体"/>
          <w:kern w:val="2"/>
          <w:sz w:val="32"/>
          <w:szCs w:val="24"/>
          <w:lang w:val="en-US" w:eastAsia="zh-CN" w:bidi="ar-SA"/>
        </w:rPr>
      </w:pPr>
      <w:bookmarkStart w:id="39" w:name="_Toc10447"/>
      <w:r>
        <w:rPr>
          <w:rFonts w:hint="eastAsia" w:ascii="黑体" w:hAnsi="黑体" w:eastAsia="黑体" w:cs="黑体"/>
          <w:kern w:val="2"/>
          <w:sz w:val="32"/>
          <w:szCs w:val="24"/>
          <w:lang w:val="en-US" w:eastAsia="zh-CN" w:bidi="ar-SA"/>
        </w:rPr>
        <w:t>四、评价体系及评价结论</w:t>
      </w:r>
      <w:bookmarkEnd w:id="39"/>
    </w:p>
    <w:p w14:paraId="0C56991B">
      <w:pPr>
        <w:tabs>
          <w:tab w:val="left" w:pos="1099"/>
        </w:tabs>
        <w:bidi w:val="0"/>
        <w:jc w:val="left"/>
        <w:outlineLvl w:val="1"/>
        <w:rPr>
          <w:rFonts w:hint="eastAsia" w:ascii="仿宋" w:hAnsi="仿宋" w:eastAsia="仿宋" w:cs="仿宋"/>
          <w:kern w:val="2"/>
          <w:sz w:val="32"/>
          <w:szCs w:val="24"/>
          <w:lang w:val="en-US" w:eastAsia="zh-CN" w:bidi="ar-SA"/>
        </w:rPr>
      </w:pPr>
      <w:r>
        <w:rPr>
          <w:rFonts w:hint="eastAsia" w:ascii="黑体" w:hAnsi="黑体" w:eastAsia="黑体" w:cs="黑体"/>
          <w:kern w:val="2"/>
          <w:sz w:val="32"/>
          <w:szCs w:val="24"/>
          <w:lang w:val="en-US" w:eastAsia="zh-CN" w:bidi="ar-SA"/>
        </w:rPr>
        <w:t xml:space="preserve">   </w:t>
      </w:r>
      <w:r>
        <w:rPr>
          <w:rFonts w:hint="eastAsia" w:ascii="仿宋" w:hAnsi="仿宋" w:eastAsia="仿宋" w:cs="仿宋"/>
          <w:kern w:val="2"/>
          <w:sz w:val="32"/>
          <w:szCs w:val="24"/>
          <w:lang w:val="en-US" w:eastAsia="zh-CN" w:bidi="ar-SA"/>
        </w:rPr>
        <w:t xml:space="preserve"> </w:t>
      </w:r>
      <w:bookmarkStart w:id="40" w:name="_Toc27082"/>
      <w:r>
        <w:rPr>
          <w:rFonts w:hint="eastAsia" w:ascii="楷体" w:hAnsi="楷体" w:eastAsia="楷体" w:cs="楷体"/>
          <w:kern w:val="2"/>
          <w:sz w:val="32"/>
          <w:szCs w:val="24"/>
          <w:lang w:val="en-US" w:eastAsia="zh-CN" w:bidi="ar-SA"/>
        </w:rPr>
        <w:t>（一）评价指标分类</w:t>
      </w:r>
      <w:bookmarkEnd w:id="40"/>
    </w:p>
    <w:p w14:paraId="017A00A3">
      <w:pPr>
        <w:tabs>
          <w:tab w:val="left" w:pos="1099"/>
        </w:tabs>
        <w:bidi w:val="0"/>
        <w:ind w:firstLine="640" w:firstLineChars="200"/>
        <w:jc w:val="left"/>
        <w:rPr>
          <w:rFonts w:hint="eastAsia" w:ascii="仿宋" w:hAnsi="仿宋" w:eastAsia="仿宋" w:cs="仿宋"/>
          <w:kern w:val="2"/>
          <w:sz w:val="32"/>
          <w:szCs w:val="24"/>
          <w:lang w:val="en-US" w:eastAsia="zh-CN" w:bidi="ar-SA"/>
        </w:rPr>
      </w:pPr>
      <w:r>
        <w:rPr>
          <w:rFonts w:hint="eastAsia" w:ascii="仿宋" w:hAnsi="仿宋" w:eastAsia="仿宋" w:cs="仿宋"/>
          <w:kern w:val="2"/>
          <w:sz w:val="32"/>
          <w:szCs w:val="24"/>
          <w:lang w:val="en-US" w:eastAsia="zh-CN" w:bidi="ar-SA"/>
        </w:rPr>
        <w:t>按照财政专项资金绩效评价工作统一要求，结合该项目实际情况，本次绩效评价一级指标包括项目管理、产出指标、效益指标和满意度指标4个方面。</w:t>
      </w:r>
    </w:p>
    <w:p w14:paraId="4439C484">
      <w:pPr>
        <w:pStyle w:val="17"/>
        <w:keepNext w:val="0"/>
        <w:keepLines w:val="0"/>
        <w:pageBreakBefore w:val="0"/>
        <w:kinsoku/>
        <w:wordWrap/>
        <w:overflowPunct/>
        <w:topLinePunct w:val="0"/>
        <w:autoSpaceDE/>
        <w:autoSpaceDN/>
        <w:bidi w:val="0"/>
        <w:adjustRightInd w:val="0"/>
        <w:snapToGrid w:val="0"/>
        <w:spacing w:before="120" w:after="120" w:line="240" w:lineRule="auto"/>
        <w:ind w:firstLine="480" w:firstLineChars="200"/>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权重分别如下图：</w:t>
      </w:r>
    </w:p>
    <w:tbl>
      <w:tblPr>
        <w:tblStyle w:val="12"/>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1"/>
        <w:gridCol w:w="1313"/>
        <w:gridCol w:w="1309"/>
        <w:gridCol w:w="1342"/>
        <w:gridCol w:w="1221"/>
        <w:gridCol w:w="1248"/>
        <w:gridCol w:w="1245"/>
      </w:tblGrid>
      <w:tr w14:paraId="0034A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4" w:type="pct"/>
            <w:tcBorders>
              <w:top w:val="single" w:color="auto" w:sz="4" w:space="0"/>
              <w:left w:val="single" w:color="auto" w:sz="4" w:space="0"/>
              <w:bottom w:val="single" w:color="auto" w:sz="4" w:space="0"/>
              <w:right w:val="single" w:color="auto" w:sz="4" w:space="0"/>
            </w:tcBorders>
            <w:shd w:val="clear" w:color="auto" w:fill="FFFFFF"/>
            <w:vAlign w:val="center"/>
          </w:tcPr>
          <w:p w14:paraId="42769551">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名称</w:t>
            </w:r>
          </w:p>
        </w:tc>
        <w:tc>
          <w:tcPr>
            <w:tcW w:w="770"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666F576E">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项目决策</w:t>
            </w:r>
          </w:p>
        </w:tc>
        <w:tc>
          <w:tcPr>
            <w:tcW w:w="768" w:type="pct"/>
            <w:tcBorders>
              <w:top w:val="single" w:color="auto" w:sz="4" w:space="0"/>
              <w:left w:val="single" w:color="auto" w:sz="4" w:space="0"/>
              <w:bottom w:val="single" w:color="auto" w:sz="4" w:space="0"/>
              <w:right w:val="single" w:color="auto" w:sz="4" w:space="0"/>
            </w:tcBorders>
            <w:shd w:val="clear" w:color="auto" w:fill="FFFFFF"/>
            <w:vAlign w:val="center"/>
          </w:tcPr>
          <w:p w14:paraId="70A78D0D">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项目过程</w:t>
            </w:r>
          </w:p>
        </w:tc>
        <w:tc>
          <w:tcPr>
            <w:tcW w:w="787"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7384A78D">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项目产出</w:t>
            </w:r>
          </w:p>
        </w:tc>
        <w:tc>
          <w:tcPr>
            <w:tcW w:w="716"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3435E08F">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732"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63D18965">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能力建设</w:t>
            </w:r>
          </w:p>
        </w:tc>
        <w:tc>
          <w:tcPr>
            <w:tcW w:w="730"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316FA546">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总计</w:t>
            </w:r>
          </w:p>
        </w:tc>
      </w:tr>
      <w:tr w14:paraId="1A675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4" w:type="pct"/>
            <w:tcBorders>
              <w:top w:val="single" w:color="auto" w:sz="4" w:space="0"/>
              <w:left w:val="single" w:color="auto" w:sz="4" w:space="0"/>
              <w:bottom w:val="single" w:color="auto" w:sz="4" w:space="0"/>
              <w:right w:val="single" w:color="auto" w:sz="4" w:space="0"/>
            </w:tcBorders>
            <w:shd w:val="clear" w:color="auto" w:fill="FFFFFF"/>
            <w:vAlign w:val="center"/>
          </w:tcPr>
          <w:p w14:paraId="2C980840">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分数</w:t>
            </w:r>
          </w:p>
        </w:tc>
        <w:tc>
          <w:tcPr>
            <w:tcW w:w="770"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0F87FAE8">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8" w:type="pct"/>
            <w:tcBorders>
              <w:top w:val="single" w:color="auto" w:sz="4" w:space="0"/>
              <w:left w:val="single" w:color="auto" w:sz="4" w:space="0"/>
              <w:bottom w:val="single" w:color="auto" w:sz="4" w:space="0"/>
              <w:right w:val="single" w:color="auto" w:sz="4" w:space="0"/>
            </w:tcBorders>
            <w:shd w:val="clear" w:color="auto" w:fill="FFFFFF"/>
            <w:vAlign w:val="center"/>
          </w:tcPr>
          <w:p w14:paraId="0CD4C53C">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87"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321393CA">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50</w:t>
            </w:r>
          </w:p>
        </w:tc>
        <w:tc>
          <w:tcPr>
            <w:tcW w:w="716"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119E3CBF">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10</w:t>
            </w:r>
          </w:p>
        </w:tc>
        <w:tc>
          <w:tcPr>
            <w:tcW w:w="732"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7785A2D4">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10</w:t>
            </w:r>
          </w:p>
        </w:tc>
        <w:tc>
          <w:tcPr>
            <w:tcW w:w="730"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2AD790D3">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r w14:paraId="27067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4" w:type="pct"/>
            <w:tcBorders>
              <w:top w:val="single" w:color="auto" w:sz="4" w:space="0"/>
              <w:left w:val="single" w:color="auto" w:sz="4" w:space="0"/>
              <w:bottom w:val="single" w:color="auto" w:sz="4" w:space="0"/>
              <w:right w:val="single" w:color="auto" w:sz="4" w:space="0"/>
            </w:tcBorders>
            <w:shd w:val="clear" w:color="auto" w:fill="FFFFFF"/>
            <w:vAlign w:val="center"/>
          </w:tcPr>
          <w:p w14:paraId="4A9CFF3F">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权重</w:t>
            </w:r>
          </w:p>
        </w:tc>
        <w:tc>
          <w:tcPr>
            <w:tcW w:w="770"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6EE06AC5">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8" w:type="pct"/>
            <w:tcBorders>
              <w:top w:val="single" w:color="auto" w:sz="4" w:space="0"/>
              <w:left w:val="single" w:color="auto" w:sz="4" w:space="0"/>
              <w:bottom w:val="single" w:color="auto" w:sz="4" w:space="0"/>
              <w:right w:val="single" w:color="auto" w:sz="4" w:space="0"/>
            </w:tcBorders>
            <w:shd w:val="clear" w:color="auto" w:fill="FFFFFF"/>
            <w:vAlign w:val="center"/>
          </w:tcPr>
          <w:p w14:paraId="1E6CB807">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87"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2B2C50B5">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716"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1FF651E6">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32"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2537FDE0">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30"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2927B373">
            <w:pPr>
              <w:keepNext w:val="0"/>
              <w:keepLines w:val="0"/>
              <w:pageBreakBefore w:val="0"/>
              <w:widowControl/>
              <w:suppressLineNumbers w:val="0"/>
              <w:kinsoku/>
              <w:wordWrap/>
              <w:overflowPunct/>
              <w:topLinePunct w:val="0"/>
              <w:autoSpaceDE/>
              <w:autoSpaceDN/>
              <w:bidi w:val="0"/>
              <w:spacing w:before="120" w:beforeAutospacing="0" w:after="120" w:afterAutospacing="0" w:line="240" w:lineRule="auto"/>
              <w:ind w:left="0" w:right="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r>
    </w:tbl>
    <w:p w14:paraId="536B8735">
      <w:pPr>
        <w:pStyle w:val="17"/>
        <w:keepNext w:val="0"/>
        <w:keepLines w:val="0"/>
        <w:pageBreakBefore w:val="0"/>
        <w:kinsoku/>
        <w:wordWrap/>
        <w:overflowPunct/>
        <w:topLinePunct w:val="0"/>
        <w:autoSpaceDE/>
        <w:autoSpaceDN/>
        <w:bidi w:val="0"/>
        <w:adjustRightInd w:val="0"/>
        <w:snapToGrid w:val="0"/>
        <w:spacing w:before="120" w:after="120" w:line="560" w:lineRule="exact"/>
        <w:ind w:left="0" w:leftChars="0" w:firstLine="0" w:firstLineChars="0"/>
        <w:outlineLvl w:val="1"/>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 xml:space="preserve">    </w:t>
      </w:r>
      <w:bookmarkStart w:id="41" w:name="_Toc13983"/>
      <w:r>
        <w:rPr>
          <w:rFonts w:hint="eastAsia" w:ascii="楷体" w:hAnsi="楷体" w:eastAsia="楷体" w:cs="楷体"/>
          <w:kern w:val="2"/>
          <w:sz w:val="32"/>
          <w:szCs w:val="28"/>
          <w:highlight w:val="none"/>
          <w:lang w:val="en-US" w:eastAsia="zh-CN" w:bidi="ar-SA"/>
        </w:rPr>
        <w:t>（二）评价等级</w:t>
      </w:r>
      <w:bookmarkEnd w:id="41"/>
    </w:p>
    <w:p w14:paraId="02C8B19D">
      <w:pPr>
        <w:pStyle w:val="17"/>
        <w:keepNext w:val="0"/>
        <w:keepLines w:val="0"/>
        <w:pageBreakBefore w:val="0"/>
        <w:kinsoku/>
        <w:wordWrap/>
        <w:overflowPunct/>
        <w:topLinePunct w:val="0"/>
        <w:autoSpaceDE/>
        <w:autoSpaceDN/>
        <w:bidi w:val="0"/>
        <w:adjustRightInd w:val="0"/>
        <w:snapToGrid w:val="0"/>
        <w:spacing w:before="120" w:after="120" w:line="560" w:lineRule="exact"/>
        <w:ind w:left="0" w:leftChars="0"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评价结果划分为四个等级，满分为 100，分别为：60 分以下级别为“差”；60-80 分级别为“一般”；80-90 分级别为“良”；≥90分级别为“优”，阳新县宝塔湖污水处理厂扩建及提标升级工程绩效评价项目得84.19分，绩效等级为“良”。</w:t>
      </w:r>
    </w:p>
    <w:p w14:paraId="795C5E69">
      <w:pPr>
        <w:pStyle w:val="17"/>
        <w:keepNext w:val="0"/>
        <w:keepLines w:val="0"/>
        <w:pageBreakBefore w:val="0"/>
        <w:kinsoku/>
        <w:wordWrap/>
        <w:overflowPunct/>
        <w:topLinePunct w:val="0"/>
        <w:autoSpaceDE/>
        <w:autoSpaceDN/>
        <w:bidi w:val="0"/>
        <w:adjustRightInd w:val="0"/>
        <w:snapToGrid w:val="0"/>
        <w:spacing w:before="120" w:after="120" w:line="560" w:lineRule="exact"/>
        <w:ind w:firstLine="640" w:firstLineChars="200"/>
        <w:outlineLvl w:val="1"/>
        <w:rPr>
          <w:rFonts w:hint="eastAsia" w:ascii="楷体" w:hAnsi="楷体" w:eastAsia="楷体" w:cs="楷体"/>
          <w:kern w:val="2"/>
          <w:sz w:val="32"/>
          <w:szCs w:val="28"/>
          <w:highlight w:val="none"/>
          <w:lang w:val="en-US" w:eastAsia="zh-CN" w:bidi="ar-SA"/>
        </w:rPr>
      </w:pPr>
      <w:bookmarkStart w:id="42" w:name="_Toc1154"/>
      <w:r>
        <w:rPr>
          <w:rFonts w:hint="eastAsia" w:ascii="楷体" w:hAnsi="楷体" w:eastAsia="楷体" w:cs="楷体"/>
          <w:kern w:val="2"/>
          <w:sz w:val="32"/>
          <w:szCs w:val="28"/>
          <w:highlight w:val="none"/>
          <w:lang w:val="en-US" w:eastAsia="zh-CN" w:bidi="ar-SA"/>
        </w:rPr>
        <w:t>（三）评价结论</w:t>
      </w:r>
      <w:bookmarkEnd w:id="42"/>
    </w:p>
    <w:p w14:paraId="4F135090">
      <w:pPr>
        <w:keepNext w:val="0"/>
        <w:keepLines w:val="0"/>
        <w:pageBreakBefore w:val="0"/>
        <w:widowControl/>
        <w:suppressLineNumbers w:val="0"/>
        <w:kinsoku/>
        <w:wordWrap/>
        <w:overflowPunct/>
        <w:topLinePunct w:val="0"/>
        <w:autoSpaceDE/>
        <w:autoSpaceDN/>
        <w:bidi w:val="0"/>
        <w:spacing w:before="120" w:after="120" w:line="560" w:lineRule="exact"/>
        <w:ind w:firstLine="640" w:firstLineChars="200"/>
        <w:jc w:val="both"/>
        <w:rPr>
          <w:rFonts w:hint="default" w:ascii="仿宋" w:hAnsi="仿宋" w:eastAsia="仿宋" w:cs="仿宋"/>
          <w:kern w:val="2"/>
          <w:sz w:val="32"/>
          <w:szCs w:val="28"/>
          <w:highlight w:val="none"/>
          <w:lang w:val="en-US" w:eastAsia="zh-CN" w:bidi="ar-SA"/>
        </w:rPr>
      </w:pPr>
      <w:r>
        <w:rPr>
          <w:rFonts w:hint="default" w:ascii="仿宋" w:hAnsi="仿宋" w:eastAsia="仿宋" w:cs="仿宋"/>
          <w:kern w:val="2"/>
          <w:sz w:val="32"/>
          <w:szCs w:val="28"/>
          <w:highlight w:val="none"/>
          <w:lang w:val="en-US" w:eastAsia="zh-CN" w:bidi="ar-SA"/>
        </w:rPr>
        <w:t>综合上述分析，阳新县宝塔湖污水处理厂扩建及提标升级工程项目在响应国家生态文明建设号召、推动绿色低碳发展方面取得了显著成效。</w:t>
      </w:r>
    </w:p>
    <w:p w14:paraId="371E137E">
      <w:pPr>
        <w:keepNext w:val="0"/>
        <w:keepLines w:val="0"/>
        <w:pageBreakBefore w:val="0"/>
        <w:widowControl/>
        <w:suppressLineNumbers w:val="0"/>
        <w:kinsoku/>
        <w:wordWrap/>
        <w:overflowPunct/>
        <w:topLinePunct w:val="0"/>
        <w:autoSpaceDE/>
        <w:autoSpaceDN/>
        <w:bidi w:val="0"/>
        <w:spacing w:before="120" w:after="120" w:line="560" w:lineRule="exact"/>
        <w:ind w:firstLine="640" w:firstLineChars="200"/>
        <w:jc w:val="both"/>
        <w:rPr>
          <w:rFonts w:hint="default" w:ascii="仿宋" w:hAnsi="仿宋" w:eastAsia="仿宋" w:cs="仿宋"/>
          <w:kern w:val="2"/>
          <w:sz w:val="32"/>
          <w:szCs w:val="28"/>
          <w:highlight w:val="none"/>
          <w:lang w:val="en-US" w:eastAsia="zh-CN" w:bidi="ar-SA"/>
        </w:rPr>
      </w:pPr>
      <w:r>
        <w:rPr>
          <w:rFonts w:hint="default" w:ascii="仿宋" w:hAnsi="仿宋" w:eastAsia="仿宋" w:cs="仿宋"/>
          <w:kern w:val="2"/>
          <w:sz w:val="32"/>
          <w:szCs w:val="28"/>
          <w:highlight w:val="none"/>
          <w:lang w:val="en-US" w:eastAsia="zh-CN" w:bidi="ar-SA"/>
        </w:rPr>
        <w:t>项目的实施不仅提升了阳新县的污水处理能力和生态环境质量，还为周边地区提供了宝贵的污水处理经验和技术示范。在项目运营过程中也存在一些问题，如污水处理能力闲置、污水处理费用结算问题以及保底结算方式引发的政府债务风险等。针对这些问题，建议项目单位与政府部门加强沟通协调，合理调整运行策略，完善计价方式，强化绩效管理和项目运营管理，以确保项目的长期稳定运行和持续发挥效益。阳新县宝塔湖污水处理厂扩建及提标升级工程项目在推动区域可持续发展方面具有重要意义，其成功经验和存在的问题也为类似项目提供了有益的参考和借鉴。</w:t>
      </w:r>
    </w:p>
    <w:p w14:paraId="58E3FFAC">
      <w:pPr>
        <w:bidi w:val="0"/>
        <w:outlineLvl w:val="0"/>
        <w:rPr>
          <w:rFonts w:hint="eastAsia" w:ascii="黑体" w:hAnsi="黑体" w:eastAsia="黑体" w:cs="黑体"/>
          <w:lang w:val="en-US" w:eastAsia="zh-CN"/>
        </w:rPr>
      </w:pPr>
      <w:bookmarkStart w:id="43" w:name="_Toc4774"/>
      <w:r>
        <w:rPr>
          <w:rFonts w:hint="eastAsia" w:ascii="黑体" w:hAnsi="黑体" w:eastAsia="黑体" w:cs="黑体"/>
          <w:lang w:val="en-US" w:eastAsia="zh-CN"/>
        </w:rPr>
        <w:t>五、项目绩效报告实施准备</w:t>
      </w:r>
      <w:bookmarkEnd w:id="43"/>
    </w:p>
    <w:p w14:paraId="1172DCE2">
      <w:pPr>
        <w:bidi w:val="0"/>
        <w:ind w:firstLine="640" w:firstLineChars="200"/>
        <w:outlineLvl w:val="1"/>
        <w:rPr>
          <w:rFonts w:hint="eastAsia" w:ascii="楷体" w:hAnsi="楷体" w:eastAsia="楷体" w:cs="楷体"/>
          <w:lang w:val="en-US" w:eastAsia="zh-CN"/>
        </w:rPr>
      </w:pPr>
      <w:bookmarkStart w:id="44" w:name="_Toc512"/>
      <w:r>
        <w:rPr>
          <w:rFonts w:hint="eastAsia" w:ascii="楷体" w:hAnsi="楷体" w:eastAsia="楷体" w:cs="楷体"/>
          <w:lang w:val="en-US" w:eastAsia="zh-CN"/>
        </w:rPr>
        <w:t>（一）项目准备阶段</w:t>
      </w:r>
      <w:bookmarkEnd w:id="44"/>
    </w:p>
    <w:p w14:paraId="4979B0BE">
      <w:pPr>
        <w:bidi w:val="0"/>
        <w:ind w:firstLine="640" w:firstLineChars="200"/>
        <w:rPr>
          <w:rFonts w:hint="eastAsia"/>
          <w:lang w:val="en-US" w:eastAsia="zh-CN"/>
        </w:rPr>
      </w:pPr>
      <w:r>
        <w:rPr>
          <w:rFonts w:hint="eastAsia"/>
          <w:lang w:val="en-US" w:eastAsia="zh-CN"/>
        </w:rPr>
        <w:t>1.为保障本次工作的顺利开展，根据业务具体情况，提前拟定绩效评价工作方案，并成立由法人担任项目指导，注册会计师、会计师担任项目经理和项目组负责人，抽调专人成立绩效评价组。</w:t>
      </w:r>
    </w:p>
    <w:p w14:paraId="4F96A610">
      <w:pPr>
        <w:bidi w:val="0"/>
        <w:ind w:firstLine="640" w:firstLineChars="200"/>
        <w:rPr>
          <w:rFonts w:hint="eastAsia"/>
          <w:lang w:val="en-US" w:eastAsia="zh-CN"/>
        </w:rPr>
      </w:pPr>
      <w:r>
        <w:rPr>
          <w:rFonts w:hint="eastAsia"/>
          <w:lang w:val="en-US" w:eastAsia="zh-CN"/>
        </w:rPr>
        <w:t>2.公司绩效评价工作组及县财政局分管项目科室与项目主管单位阳新县住房和城乡建设局、项目实施科室、黄石首创水务有限公司负责人等召开座谈会，听取和了解该项目有关情况介绍。</w:t>
      </w:r>
    </w:p>
    <w:p w14:paraId="040E872B">
      <w:pPr>
        <w:bidi w:val="0"/>
        <w:ind w:firstLine="640" w:firstLineChars="200"/>
        <w:rPr>
          <w:rFonts w:hint="eastAsia"/>
          <w:lang w:val="en-US" w:eastAsia="zh-CN"/>
        </w:rPr>
      </w:pPr>
      <w:r>
        <w:rPr>
          <w:rFonts w:hint="eastAsia"/>
          <w:lang w:val="en-US" w:eastAsia="zh-CN"/>
        </w:rPr>
        <w:t>3.撰写报告。绩效评估工作小组根据评估意见、评估结论，撰写“阳新县宝塔湖污水处理厂扩建及提标升级工程</w:t>
      </w:r>
      <w:r>
        <w:rPr>
          <w:rFonts w:hint="eastAsia"/>
          <w:lang w:val="zh-CN" w:eastAsia="zh-CN"/>
        </w:rPr>
        <w:t>”</w:t>
      </w:r>
      <w:r>
        <w:rPr>
          <w:rFonts w:hint="eastAsia"/>
          <w:lang w:val="en-US" w:eastAsia="zh-CN"/>
        </w:rPr>
        <w:t>绩效评价报告征求意见稿。</w:t>
      </w:r>
    </w:p>
    <w:p w14:paraId="4795E568">
      <w:pPr>
        <w:bidi w:val="0"/>
        <w:ind w:firstLine="640" w:firstLineChars="200"/>
        <w:rPr>
          <w:rFonts w:hint="eastAsia"/>
          <w:lang w:val="en-US" w:eastAsia="zh-CN"/>
        </w:rPr>
      </w:pPr>
      <w:r>
        <w:rPr>
          <w:rFonts w:hint="eastAsia"/>
          <w:lang w:val="en-US" w:eastAsia="zh-CN"/>
        </w:rPr>
        <w:t>4.征询阳新县住建局的意见，对征求意见稿进行修改，完成“ 阳新县宝塔湖污水处理厂扩建及提标升级工程绩效评价报告”。</w:t>
      </w:r>
    </w:p>
    <w:p w14:paraId="4884AC99">
      <w:pPr>
        <w:tabs>
          <w:tab w:val="left" w:pos="1099"/>
        </w:tabs>
        <w:bidi w:val="0"/>
        <w:ind w:firstLine="640" w:firstLineChars="200"/>
        <w:jc w:val="left"/>
        <w:outlineLvl w:val="1"/>
        <w:rPr>
          <w:rFonts w:hint="eastAsia" w:ascii="楷体" w:hAnsi="楷体" w:eastAsia="楷体" w:cs="楷体"/>
          <w:kern w:val="2"/>
          <w:sz w:val="32"/>
          <w:szCs w:val="24"/>
          <w:lang w:val="en-US" w:eastAsia="zh-CN" w:bidi="ar-SA"/>
        </w:rPr>
      </w:pPr>
      <w:bookmarkStart w:id="45" w:name="_Toc8981"/>
      <w:r>
        <w:rPr>
          <w:rFonts w:hint="eastAsia" w:ascii="楷体" w:hAnsi="楷体" w:eastAsia="楷体" w:cs="楷体"/>
          <w:kern w:val="2"/>
          <w:sz w:val="32"/>
          <w:szCs w:val="24"/>
          <w:lang w:val="en-US" w:eastAsia="zh-CN" w:bidi="ar-SA"/>
        </w:rPr>
        <w:t>（二）项目绩效评价实施步骤</w:t>
      </w:r>
      <w:bookmarkEnd w:id="45"/>
    </w:p>
    <w:p w14:paraId="0F18A290">
      <w:pPr>
        <w:tabs>
          <w:tab w:val="left" w:pos="1099"/>
        </w:tabs>
        <w:bidi w:val="0"/>
        <w:ind w:firstLine="640" w:firstLineChars="200"/>
        <w:jc w:val="left"/>
        <w:rPr>
          <w:rFonts w:hint="eastAsia" w:cs="仿宋"/>
          <w:kern w:val="2"/>
          <w:sz w:val="32"/>
          <w:szCs w:val="24"/>
          <w:lang w:val="en-US" w:eastAsia="zh-CN" w:bidi="ar-SA"/>
        </w:rPr>
      </w:pPr>
      <w:r>
        <w:rPr>
          <w:rFonts w:hint="eastAsia" w:cs="仿宋"/>
          <w:kern w:val="2"/>
          <w:sz w:val="32"/>
          <w:szCs w:val="24"/>
          <w:highlight w:val="none"/>
          <w:lang w:val="en-US" w:eastAsia="zh-CN" w:bidi="ar-SA"/>
        </w:rPr>
        <w:t>1.2025年6月30日，项</w:t>
      </w:r>
      <w:r>
        <w:rPr>
          <w:rFonts w:hint="eastAsia" w:cs="仿宋"/>
          <w:kern w:val="2"/>
          <w:sz w:val="32"/>
          <w:szCs w:val="24"/>
          <w:lang w:val="en-US" w:eastAsia="zh-CN" w:bidi="ar-SA"/>
        </w:rPr>
        <w:t>目组随同财政局项目业务科室人员、县住建局分管项目人员一起到项目地与项目运营方领导及相关人员就项目绩效落实事宜，明确各自职责和行动方向，确定实施的步骤。</w:t>
      </w:r>
    </w:p>
    <w:p w14:paraId="7696C63B">
      <w:pPr>
        <w:tabs>
          <w:tab w:val="left" w:pos="1099"/>
        </w:tabs>
        <w:bidi w:val="0"/>
        <w:ind w:firstLine="640" w:firstLineChars="200"/>
        <w:jc w:val="both"/>
        <w:rPr>
          <w:rFonts w:hint="eastAsia" w:cs="仿宋"/>
          <w:kern w:val="2"/>
          <w:sz w:val="32"/>
          <w:szCs w:val="24"/>
          <w:highlight w:val="none"/>
          <w:lang w:val="en-US" w:eastAsia="zh-CN" w:bidi="ar-SA"/>
        </w:rPr>
      </w:pPr>
      <w:r>
        <w:rPr>
          <w:rFonts w:hint="eastAsia" w:cs="仿宋"/>
          <w:kern w:val="2"/>
          <w:sz w:val="32"/>
          <w:szCs w:val="24"/>
          <w:highlight w:val="none"/>
          <w:lang w:val="en-US" w:eastAsia="zh-CN" w:bidi="ar-SA"/>
        </w:rPr>
        <w:t>2.2024年7月1日至7月21日收集项目相关政策制度文件、资金拨付明细、项目申报、评审、实施、验收、运营等资料；核查相关制度是否完善，项目申报、评审、审批、实施、验收等程序，资金拨付手续、是否存在截留、挪用等情况；</w:t>
      </w:r>
    </w:p>
    <w:p w14:paraId="6EC7743C">
      <w:pPr>
        <w:tabs>
          <w:tab w:val="left" w:pos="1099"/>
        </w:tabs>
        <w:bidi w:val="0"/>
        <w:ind w:firstLine="640" w:firstLineChars="200"/>
        <w:jc w:val="both"/>
        <w:rPr>
          <w:rFonts w:hint="eastAsia" w:cs="仿宋"/>
          <w:kern w:val="2"/>
          <w:sz w:val="32"/>
          <w:szCs w:val="24"/>
          <w:lang w:val="en-US" w:eastAsia="zh-CN" w:bidi="ar-SA"/>
        </w:rPr>
      </w:pPr>
      <w:r>
        <w:rPr>
          <w:rFonts w:hint="eastAsia" w:cs="仿宋"/>
          <w:kern w:val="2"/>
          <w:sz w:val="32"/>
          <w:szCs w:val="24"/>
          <w:lang w:val="en-US" w:eastAsia="zh-CN" w:bidi="ar-SA"/>
        </w:rPr>
        <w:t>3.2025年8月23日项目组成员去宝塔湖污水处理厂项目现场查看现场及了解项目。深入实地查看，通过调查走访，发放问卷调查满意度；</w:t>
      </w:r>
    </w:p>
    <w:p w14:paraId="0D874E54">
      <w:pPr>
        <w:tabs>
          <w:tab w:val="left" w:pos="1099"/>
        </w:tabs>
        <w:bidi w:val="0"/>
        <w:ind w:firstLine="640" w:firstLineChars="200"/>
        <w:jc w:val="both"/>
        <w:rPr>
          <w:rFonts w:hint="eastAsia" w:cs="仿宋"/>
          <w:kern w:val="2"/>
          <w:sz w:val="32"/>
          <w:szCs w:val="24"/>
          <w:highlight w:val="yellow"/>
          <w:lang w:val="en-US" w:eastAsia="zh-CN" w:bidi="ar-SA"/>
        </w:rPr>
      </w:pPr>
      <w:r>
        <w:rPr>
          <w:rFonts w:hint="eastAsia" w:cs="仿宋"/>
          <w:kern w:val="2"/>
          <w:sz w:val="32"/>
          <w:szCs w:val="24"/>
          <w:highlight w:val="yellow"/>
          <w:lang w:val="en-US" w:eastAsia="zh-CN" w:bidi="ar-SA"/>
        </w:rPr>
        <w:t>4.2025年9月4日会同财政局、阳新县住建局相关人员反馈绩效结果后形成评价报告。通过对相关资料进行综合分析，按照确定的评价指标和标准，结合现场评价情况，得出评价结论，形成绩效评价报告；</w:t>
      </w:r>
    </w:p>
    <w:p w14:paraId="63DC1BDC">
      <w:pPr>
        <w:numPr>
          <w:ilvl w:val="0"/>
          <w:numId w:val="1"/>
        </w:numPr>
        <w:tabs>
          <w:tab w:val="left" w:pos="1099"/>
        </w:tabs>
        <w:bidi w:val="0"/>
        <w:ind w:firstLine="640" w:firstLineChars="200"/>
        <w:jc w:val="both"/>
        <w:rPr>
          <w:rFonts w:hint="eastAsia" w:cs="仿宋"/>
          <w:kern w:val="2"/>
          <w:sz w:val="32"/>
          <w:szCs w:val="24"/>
          <w:lang w:val="en-US" w:eastAsia="zh-CN" w:bidi="ar-SA"/>
        </w:rPr>
      </w:pPr>
      <w:r>
        <w:rPr>
          <w:rFonts w:hint="eastAsia" w:cs="仿宋"/>
          <w:kern w:val="2"/>
          <w:sz w:val="32"/>
          <w:szCs w:val="24"/>
          <w:lang w:val="en-US" w:eastAsia="zh-CN" w:bidi="ar-SA"/>
        </w:rPr>
        <w:t>评价原则。严格遵循客观公正、科学合理、绩效导向的原则，评价人员与被评价单位无任何利益关系，评价内容客观公正、标准统一、数据可靠，评价过程不受被评价单位干扰，评价结果依法公开并接受监督；按定量和定性数据中考虑多维因素的影响；并严格执行规定的评价程序，对项目财政资金支出的经济性、效率性和有效性原则进行综合评价；以方法多元、数据多源、过程严谨、多方论证为科学评价的基本保障；资料审查和外围调查相结合，评价结果清晰反映支出和绩效之间的紧密相关关系。资金支出结构与动态同项目具体执行过程与结果做关联分析。</w:t>
      </w:r>
    </w:p>
    <w:p w14:paraId="37EF67F6">
      <w:pPr>
        <w:numPr>
          <w:ilvl w:val="0"/>
          <w:numId w:val="0"/>
        </w:numPr>
        <w:tabs>
          <w:tab w:val="left" w:pos="1099"/>
        </w:tabs>
        <w:bidi w:val="0"/>
        <w:ind w:left="0" w:leftChars="0" w:firstLine="0" w:firstLineChars="0"/>
        <w:jc w:val="both"/>
        <w:outlineLvl w:val="1"/>
        <w:rPr>
          <w:rFonts w:hint="eastAsia" w:cs="仿宋"/>
          <w:kern w:val="2"/>
          <w:sz w:val="32"/>
          <w:szCs w:val="24"/>
          <w:lang w:val="en-US" w:eastAsia="zh-CN" w:bidi="ar-SA"/>
        </w:rPr>
      </w:pPr>
      <w:r>
        <w:rPr>
          <w:rFonts w:hint="eastAsia" w:cs="仿宋"/>
          <w:kern w:val="2"/>
          <w:sz w:val="32"/>
          <w:szCs w:val="24"/>
          <w:lang w:val="en-US" w:eastAsia="zh-CN" w:bidi="ar-SA"/>
        </w:rPr>
        <w:t xml:space="preserve">    </w:t>
      </w:r>
      <w:bookmarkStart w:id="46" w:name="_Toc32027"/>
      <w:r>
        <w:rPr>
          <w:rFonts w:hint="eastAsia" w:ascii="楷体" w:hAnsi="楷体" w:eastAsia="楷体" w:cs="楷体"/>
          <w:kern w:val="2"/>
          <w:sz w:val="32"/>
          <w:szCs w:val="24"/>
          <w:lang w:val="en-US" w:eastAsia="zh-CN" w:bidi="ar-SA"/>
        </w:rPr>
        <w:t>（三）绩效评估内容及评估结论</w:t>
      </w:r>
      <w:bookmarkEnd w:id="46"/>
    </w:p>
    <w:p w14:paraId="1AB9A684">
      <w:pPr>
        <w:numPr>
          <w:ilvl w:val="0"/>
          <w:numId w:val="0"/>
        </w:numPr>
        <w:tabs>
          <w:tab w:val="left" w:pos="1099"/>
        </w:tabs>
        <w:bidi w:val="0"/>
        <w:ind w:firstLine="640" w:firstLineChars="200"/>
        <w:jc w:val="both"/>
        <w:rPr>
          <w:rFonts w:hint="eastAsia" w:cs="仿宋"/>
          <w:kern w:val="2"/>
          <w:sz w:val="32"/>
          <w:szCs w:val="24"/>
          <w:lang w:val="en-US" w:eastAsia="zh-CN" w:bidi="ar-SA"/>
        </w:rPr>
      </w:pPr>
      <w:r>
        <w:rPr>
          <w:rFonts w:hint="eastAsia" w:cs="仿宋"/>
          <w:kern w:val="2"/>
          <w:sz w:val="32"/>
          <w:szCs w:val="24"/>
          <w:lang w:val="en-US" w:eastAsia="zh-CN" w:bidi="ar-SA"/>
        </w:rPr>
        <w:t>1.决策过程：项目立项依据充分，符合国家和地方相关政策法规要求。项目决策程序规范，决策过程透明，确保了项目的科学性和合理性。</w:t>
      </w:r>
    </w:p>
    <w:p w14:paraId="71991293">
      <w:pPr>
        <w:numPr>
          <w:ilvl w:val="0"/>
          <w:numId w:val="0"/>
        </w:numPr>
        <w:tabs>
          <w:tab w:val="left" w:pos="1099"/>
        </w:tabs>
        <w:bidi w:val="0"/>
        <w:ind w:firstLine="640" w:firstLineChars="200"/>
        <w:jc w:val="both"/>
        <w:rPr>
          <w:rFonts w:hint="eastAsia" w:cs="仿宋"/>
          <w:kern w:val="2"/>
          <w:sz w:val="32"/>
          <w:szCs w:val="24"/>
          <w:lang w:val="en-US" w:eastAsia="zh-CN" w:bidi="ar-SA"/>
        </w:rPr>
      </w:pPr>
      <w:r>
        <w:rPr>
          <w:rFonts w:hint="eastAsia" w:cs="仿宋"/>
          <w:kern w:val="2"/>
          <w:sz w:val="32"/>
          <w:szCs w:val="24"/>
          <w:lang w:val="en-US" w:eastAsia="zh-CN" w:bidi="ar-SA"/>
        </w:rPr>
        <w:t>2.投入管理：项目资金筹措及时，预算资金拨付率较高。资金使用合规性较好，未发现违规使用资金的情况。</w:t>
      </w:r>
    </w:p>
    <w:p w14:paraId="5EF02CD7">
      <w:pPr>
        <w:numPr>
          <w:ilvl w:val="0"/>
          <w:numId w:val="0"/>
        </w:numPr>
        <w:tabs>
          <w:tab w:val="left" w:pos="1099"/>
        </w:tabs>
        <w:bidi w:val="0"/>
        <w:ind w:firstLine="640" w:firstLineChars="200"/>
        <w:jc w:val="both"/>
        <w:rPr>
          <w:rFonts w:hint="eastAsia" w:cs="仿宋"/>
          <w:kern w:val="2"/>
          <w:sz w:val="32"/>
          <w:szCs w:val="24"/>
          <w:lang w:val="en-US" w:eastAsia="zh-CN" w:bidi="ar-SA"/>
        </w:rPr>
      </w:pPr>
      <w:r>
        <w:rPr>
          <w:rFonts w:hint="eastAsia" w:cs="仿宋"/>
          <w:kern w:val="2"/>
          <w:sz w:val="32"/>
          <w:szCs w:val="24"/>
          <w:lang w:val="en-US" w:eastAsia="zh-CN" w:bidi="ar-SA"/>
        </w:rPr>
        <w:t>3.项目实施：项目组织机构健全，制度执行有效。项目实施过程中，各项管理制度得到有效执行，确保了项目的顺利进行。</w:t>
      </w:r>
    </w:p>
    <w:p w14:paraId="4ED41D31">
      <w:pPr>
        <w:numPr>
          <w:ilvl w:val="0"/>
          <w:numId w:val="0"/>
        </w:numPr>
        <w:tabs>
          <w:tab w:val="left" w:pos="1099"/>
        </w:tabs>
        <w:bidi w:val="0"/>
        <w:ind w:firstLine="640" w:firstLineChars="200"/>
        <w:jc w:val="both"/>
        <w:rPr>
          <w:rFonts w:hint="eastAsia" w:cs="仿宋"/>
          <w:kern w:val="2"/>
          <w:sz w:val="32"/>
          <w:szCs w:val="24"/>
          <w:lang w:val="en-US" w:eastAsia="zh-CN" w:bidi="ar-SA"/>
        </w:rPr>
      </w:pPr>
      <w:r>
        <w:rPr>
          <w:rFonts w:hint="eastAsia" w:cs="仿宋"/>
          <w:kern w:val="2"/>
          <w:sz w:val="32"/>
          <w:szCs w:val="24"/>
          <w:lang w:val="en-US" w:eastAsia="zh-CN" w:bidi="ar-SA"/>
        </w:rPr>
        <w:t>4.项目产出：项目产出达到预期目标，包括污水、污泥处理等指标均达到设计要求满足排放标准。项目产出质量高，符合相关标准和规范。</w:t>
      </w:r>
    </w:p>
    <w:p w14:paraId="6969BF37">
      <w:pPr>
        <w:numPr>
          <w:ilvl w:val="0"/>
          <w:numId w:val="0"/>
        </w:numPr>
        <w:tabs>
          <w:tab w:val="left" w:pos="1099"/>
        </w:tabs>
        <w:bidi w:val="0"/>
        <w:ind w:firstLine="640" w:firstLineChars="200"/>
        <w:jc w:val="both"/>
        <w:rPr>
          <w:rFonts w:hint="eastAsia" w:cs="仿宋"/>
          <w:kern w:val="2"/>
          <w:sz w:val="32"/>
          <w:szCs w:val="24"/>
          <w:lang w:val="en-US" w:eastAsia="zh-CN" w:bidi="ar-SA"/>
        </w:rPr>
      </w:pPr>
      <w:r>
        <w:rPr>
          <w:rFonts w:hint="eastAsia" w:cs="仿宋"/>
          <w:kern w:val="2"/>
          <w:sz w:val="32"/>
          <w:szCs w:val="24"/>
          <w:lang w:val="en-US" w:eastAsia="zh-CN" w:bidi="ar-SA"/>
        </w:rPr>
        <w:t>5.项目效益：项目经济效益显著，实现了污水、污泥的再生、资源化利用。社会效益良好，提高了当地居民的生活质量和环境质量。生态效益突出，为当地生态环境保护和可持续发展做出了贡献。</w:t>
      </w:r>
    </w:p>
    <w:p w14:paraId="6C407290">
      <w:pPr>
        <w:numPr>
          <w:ilvl w:val="0"/>
          <w:numId w:val="0"/>
        </w:numPr>
        <w:tabs>
          <w:tab w:val="left" w:pos="1099"/>
        </w:tabs>
        <w:bidi w:val="0"/>
        <w:ind w:left="0" w:leftChars="0" w:firstLine="0" w:firstLineChars="0"/>
        <w:jc w:val="left"/>
        <w:outlineLvl w:val="0"/>
        <w:rPr>
          <w:rFonts w:hint="eastAsia" w:ascii="黑体" w:hAnsi="黑体" w:eastAsia="黑体" w:cs="黑体"/>
          <w:kern w:val="2"/>
          <w:sz w:val="32"/>
          <w:szCs w:val="24"/>
          <w:lang w:val="en-US" w:eastAsia="zh-CN" w:bidi="ar-SA"/>
        </w:rPr>
      </w:pPr>
      <w:bookmarkStart w:id="47" w:name="_Toc22308"/>
      <w:r>
        <w:rPr>
          <w:rFonts w:hint="eastAsia" w:ascii="黑体" w:hAnsi="黑体" w:eastAsia="黑体" w:cs="黑体"/>
          <w:kern w:val="2"/>
          <w:sz w:val="32"/>
          <w:szCs w:val="24"/>
          <w:lang w:val="en-US" w:eastAsia="zh-CN" w:bidi="ar-SA"/>
        </w:rPr>
        <w:t>六、项目绩效指标评价分析</w:t>
      </w:r>
      <w:bookmarkEnd w:id="47"/>
    </w:p>
    <w:p w14:paraId="33D5045D">
      <w:pPr>
        <w:numPr>
          <w:ilvl w:val="0"/>
          <w:numId w:val="0"/>
        </w:numPr>
        <w:tabs>
          <w:tab w:val="left" w:pos="1099"/>
        </w:tabs>
        <w:bidi w:val="0"/>
        <w:ind w:left="0" w:leftChars="0" w:firstLine="640" w:firstLineChars="0"/>
        <w:jc w:val="left"/>
        <w:outlineLvl w:val="1"/>
        <w:rPr>
          <w:rFonts w:hint="eastAsia" w:ascii="楷体" w:hAnsi="楷体" w:eastAsia="楷体" w:cs="楷体"/>
          <w:kern w:val="2"/>
          <w:sz w:val="32"/>
          <w:szCs w:val="24"/>
          <w:lang w:val="en-US" w:eastAsia="zh-CN" w:bidi="ar-SA"/>
        </w:rPr>
      </w:pPr>
      <w:bookmarkStart w:id="48" w:name="_Toc28906"/>
      <w:r>
        <w:rPr>
          <w:rFonts w:hint="eastAsia" w:ascii="楷体" w:hAnsi="楷体" w:eastAsia="楷体" w:cs="楷体"/>
          <w:kern w:val="2"/>
          <w:sz w:val="32"/>
          <w:szCs w:val="24"/>
          <w:lang w:val="en-US" w:eastAsia="zh-CN" w:bidi="ar-SA"/>
        </w:rPr>
        <w:t>（一）项目决策评价分析（满分15分，实得12分）</w:t>
      </w:r>
      <w:bookmarkEnd w:id="48"/>
    </w:p>
    <w:p w14:paraId="64C4D9CF">
      <w:pPr>
        <w:numPr>
          <w:ilvl w:val="0"/>
          <w:numId w:val="0"/>
        </w:numPr>
        <w:tabs>
          <w:tab w:val="left" w:pos="1099"/>
        </w:tabs>
        <w:bidi w:val="0"/>
        <w:ind w:firstLine="640"/>
        <w:jc w:val="left"/>
        <w:rPr>
          <w:rFonts w:hint="eastAsia" w:ascii="仿宋" w:hAnsi="仿宋" w:eastAsia="仿宋" w:cs="仿宋"/>
          <w:b/>
          <w:bCs/>
          <w:color w:val="000000" w:themeColor="text1"/>
          <w:sz w:val="21"/>
          <w:szCs w:val="21"/>
          <w:highlight w:val="none"/>
          <w:lang w:eastAsia="zh-CN"/>
          <w14:textFill>
            <w14:solidFill>
              <w14:schemeClr w14:val="tx1"/>
            </w14:solidFill>
          </w14:textFill>
        </w:rPr>
      </w:pPr>
      <w:r>
        <w:rPr>
          <w:rFonts w:hint="eastAsia" w:ascii="仿宋" w:hAnsi="仿宋" w:eastAsia="仿宋" w:cs="仿宋"/>
          <w:kern w:val="2"/>
          <w:sz w:val="32"/>
          <w:szCs w:val="24"/>
          <w:lang w:val="en-US" w:eastAsia="zh-CN" w:bidi="ar-SA"/>
        </w:rPr>
        <w:t>该类指标主要考察预算单位项目立项的规范性与可行性，绩效目标制定的完整性、科学性与可衡量性。满分15.00分，评价得分1</w:t>
      </w:r>
      <w:r>
        <w:rPr>
          <w:rFonts w:hint="eastAsia" w:cs="仿宋"/>
          <w:kern w:val="2"/>
          <w:sz w:val="32"/>
          <w:szCs w:val="24"/>
          <w:lang w:val="en-US" w:eastAsia="zh-CN" w:bidi="ar-SA"/>
        </w:rPr>
        <w:t>2</w:t>
      </w:r>
      <w:r>
        <w:rPr>
          <w:rFonts w:hint="eastAsia" w:ascii="仿宋" w:hAnsi="仿宋" w:eastAsia="仿宋" w:cs="仿宋"/>
          <w:kern w:val="2"/>
          <w:sz w:val="32"/>
          <w:szCs w:val="24"/>
          <w:lang w:val="en-US" w:eastAsia="zh-CN" w:bidi="ar-SA"/>
        </w:rPr>
        <w:t>.00分，得分率为</w:t>
      </w:r>
      <w:r>
        <w:rPr>
          <w:rFonts w:hint="eastAsia" w:cs="仿宋"/>
          <w:kern w:val="2"/>
          <w:sz w:val="32"/>
          <w:szCs w:val="24"/>
          <w:lang w:val="en-US" w:eastAsia="zh-CN" w:bidi="ar-SA"/>
        </w:rPr>
        <w:t>80.00</w:t>
      </w:r>
      <w:r>
        <w:rPr>
          <w:rFonts w:hint="eastAsia" w:ascii="仿宋" w:hAnsi="仿宋" w:eastAsia="仿宋" w:cs="仿宋"/>
          <w:kern w:val="2"/>
          <w:sz w:val="32"/>
          <w:szCs w:val="24"/>
          <w:lang w:val="en-US" w:eastAsia="zh-CN" w:bidi="ar-SA"/>
        </w:rPr>
        <w:t>%。</w:t>
      </w:r>
    </w:p>
    <w:p w14:paraId="7C3D886B">
      <w:pPr>
        <w:keepNext w:val="0"/>
        <w:keepLines w:val="0"/>
        <w:pageBreakBefore w:val="0"/>
        <w:kinsoku/>
        <w:wordWrap/>
        <w:overflowPunct/>
        <w:topLinePunct w:val="0"/>
        <w:autoSpaceDE/>
        <w:autoSpaceDN/>
        <w:bidi w:val="0"/>
        <w:adjustRightInd/>
        <w:snapToGrid/>
        <w:spacing w:before="120" w:after="120" w:line="560" w:lineRule="exact"/>
        <w:ind w:firstLine="422" w:firstLineChars="200"/>
        <w:jc w:val="left"/>
        <w:outlineLvl w:val="9"/>
        <w:rPr>
          <w:rFonts w:hint="eastAsia" w:ascii="仿宋" w:hAnsi="仿宋" w:eastAsia="仿宋" w:cs="仿宋"/>
          <w:b/>
          <w:bCs/>
          <w:sz w:val="21"/>
          <w:szCs w:val="21"/>
          <w:highlight w:val="none"/>
        </w:rPr>
      </w:pPr>
      <w:bookmarkStart w:id="49" w:name="_Toc911"/>
      <w:bookmarkStart w:id="50" w:name="_Toc1451"/>
      <w:bookmarkStart w:id="51" w:name="_Toc28935"/>
      <w:r>
        <w:rPr>
          <w:rFonts w:hint="eastAsia" w:ascii="仿宋" w:hAnsi="仿宋" w:eastAsia="仿宋" w:cs="仿宋"/>
          <w:b/>
          <w:bCs/>
          <w:color w:val="000000" w:themeColor="text1"/>
          <w:sz w:val="21"/>
          <w:szCs w:val="21"/>
          <w:highlight w:val="none"/>
          <w:lang w:eastAsia="zh-CN"/>
          <w14:textFill>
            <w14:solidFill>
              <w14:schemeClr w14:val="tx1"/>
            </w14:solidFill>
          </w14:textFill>
        </w:rPr>
        <w:t>附</w:t>
      </w:r>
      <w:r>
        <w:rPr>
          <w:rFonts w:hint="eastAsia" w:ascii="仿宋" w:hAnsi="仿宋" w:eastAsia="仿宋" w:cs="仿宋"/>
          <w:b/>
          <w:bCs/>
          <w:color w:val="000000" w:themeColor="text1"/>
          <w:sz w:val="21"/>
          <w:szCs w:val="21"/>
          <w:highlight w:val="none"/>
          <w14:textFill>
            <w14:solidFill>
              <w14:schemeClr w14:val="tx1"/>
            </w14:solidFill>
          </w14:textFill>
        </w:rPr>
        <w:t>表</w:t>
      </w:r>
      <w:r>
        <w:rPr>
          <w:rFonts w:hint="eastAsia" w:cs="仿宋"/>
          <w:b/>
          <w:bCs/>
          <w:color w:val="000000" w:themeColor="text1"/>
          <w:sz w:val="21"/>
          <w:szCs w:val="21"/>
          <w:highlight w:val="none"/>
          <w:lang w:val="en-US" w:eastAsia="zh-CN"/>
          <w14:textFill>
            <w14:solidFill>
              <w14:schemeClr w14:val="tx1"/>
            </w14:solidFill>
          </w14:textFill>
        </w:rPr>
        <w:t>6</w:t>
      </w:r>
      <w:r>
        <w:rPr>
          <w:rFonts w:hint="eastAsia" w:ascii="仿宋" w:hAnsi="仿宋" w:eastAsia="仿宋" w:cs="仿宋"/>
          <w:b/>
          <w:bCs/>
          <w:color w:val="000000" w:themeColor="text1"/>
          <w:sz w:val="21"/>
          <w:szCs w:val="21"/>
          <w:highlight w:val="none"/>
          <w:lang w:val="en-US" w:eastAsia="zh-CN"/>
          <w14:textFill>
            <w14:solidFill>
              <w14:schemeClr w14:val="tx1"/>
            </w14:solidFill>
          </w14:textFill>
        </w:rPr>
        <w:t>-1：</w:t>
      </w:r>
      <w:r>
        <w:rPr>
          <w:rFonts w:hint="eastAsia" w:ascii="仿宋" w:hAnsi="仿宋" w:eastAsia="仿宋" w:cs="仿宋"/>
          <w:b/>
          <w:bCs/>
          <w:sz w:val="21"/>
          <w:szCs w:val="21"/>
          <w:highlight w:val="none"/>
        </w:rPr>
        <w:t> 项目决策类指标具体分值及得分情况</w:t>
      </w:r>
      <w:bookmarkEnd w:id="49"/>
      <w:bookmarkEnd w:id="50"/>
      <w:bookmarkEnd w:id="51"/>
    </w:p>
    <w:tbl>
      <w:tblPr>
        <w:tblStyle w:val="12"/>
        <w:tblW w:w="4998" w:type="pct"/>
        <w:jc w:val="center"/>
        <w:tblLayout w:type="autofit"/>
        <w:tblCellMar>
          <w:top w:w="0" w:type="dxa"/>
          <w:left w:w="10" w:type="dxa"/>
          <w:bottom w:w="0" w:type="dxa"/>
          <w:right w:w="10" w:type="dxa"/>
        </w:tblCellMar>
      </w:tblPr>
      <w:tblGrid>
        <w:gridCol w:w="1831"/>
        <w:gridCol w:w="1782"/>
        <w:gridCol w:w="1647"/>
        <w:gridCol w:w="1647"/>
        <w:gridCol w:w="1544"/>
      </w:tblGrid>
      <w:tr w14:paraId="5A6F99EE">
        <w:tblPrEx>
          <w:tblCellMar>
            <w:top w:w="0" w:type="dxa"/>
            <w:left w:w="10" w:type="dxa"/>
            <w:bottom w:w="0" w:type="dxa"/>
            <w:right w:w="10" w:type="dxa"/>
          </w:tblCellMar>
        </w:tblPrEx>
        <w:trPr>
          <w:trHeight w:val="425" w:hRule="atLeast"/>
          <w:jc w:val="center"/>
        </w:trPr>
        <w:tc>
          <w:tcPr>
            <w:tcW w:w="108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2B27F3F">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一级指标</w:t>
            </w:r>
          </w:p>
        </w:tc>
        <w:tc>
          <w:tcPr>
            <w:tcW w:w="105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5F31CA">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二级指标</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735555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满分值</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A48490C">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评价得</w:t>
            </w:r>
          </w:p>
        </w:tc>
        <w:tc>
          <w:tcPr>
            <w:tcW w:w="91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E5E8F2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得分率</w:t>
            </w:r>
          </w:p>
        </w:tc>
      </w:tr>
      <w:tr w14:paraId="59281386">
        <w:tblPrEx>
          <w:tblCellMar>
            <w:top w:w="0" w:type="dxa"/>
            <w:left w:w="10" w:type="dxa"/>
            <w:bottom w:w="0" w:type="dxa"/>
            <w:right w:w="10" w:type="dxa"/>
          </w:tblCellMar>
        </w:tblPrEx>
        <w:trPr>
          <w:trHeight w:val="428" w:hRule="atLeast"/>
          <w:jc w:val="center"/>
        </w:trPr>
        <w:tc>
          <w:tcPr>
            <w:tcW w:w="1083" w:type="pct"/>
            <w:vMerge w:val="restart"/>
            <w:tcBorders>
              <w:top w:val="single" w:color="000000" w:sz="6" w:space="0"/>
              <w:left w:val="single" w:color="000000" w:sz="6" w:space="0"/>
              <w:right w:val="single" w:color="000000" w:sz="6" w:space="0"/>
            </w:tcBorders>
            <w:shd w:val="clear" w:color="auto" w:fill="FFFFFF"/>
            <w:tcMar>
              <w:left w:w="74" w:type="dxa"/>
              <w:right w:w="74" w:type="dxa"/>
            </w:tcMar>
            <w:vAlign w:val="center"/>
          </w:tcPr>
          <w:p w14:paraId="25AB360C">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项目决策</w:t>
            </w:r>
          </w:p>
        </w:tc>
        <w:tc>
          <w:tcPr>
            <w:tcW w:w="105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69186D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决策过程</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722F47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7</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9ADE741">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6</w:t>
            </w:r>
          </w:p>
        </w:tc>
        <w:tc>
          <w:tcPr>
            <w:tcW w:w="91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DAAE09A">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rPr>
            </w:pPr>
            <w:r>
              <w:rPr>
                <w:rFonts w:hint="eastAsia" w:cs="仿宋"/>
                <w:sz w:val="24"/>
                <w:szCs w:val="24"/>
                <w:highlight w:val="none"/>
                <w:lang w:val="en-US" w:eastAsia="zh-CN"/>
              </w:rPr>
              <w:t>85.71</w:t>
            </w:r>
            <w:r>
              <w:rPr>
                <w:rFonts w:hint="eastAsia" w:ascii="仿宋" w:hAnsi="仿宋" w:eastAsia="仿宋" w:cs="仿宋"/>
                <w:sz w:val="24"/>
                <w:szCs w:val="24"/>
                <w:highlight w:val="none"/>
                <w:lang w:val="en-US" w:eastAsia="zh-CN"/>
              </w:rPr>
              <w:t>%</w:t>
            </w:r>
          </w:p>
        </w:tc>
      </w:tr>
      <w:tr w14:paraId="0795EB0B">
        <w:tblPrEx>
          <w:tblCellMar>
            <w:top w:w="0" w:type="dxa"/>
            <w:left w:w="10" w:type="dxa"/>
            <w:bottom w:w="0" w:type="dxa"/>
            <w:right w:w="10" w:type="dxa"/>
          </w:tblCellMar>
        </w:tblPrEx>
        <w:trPr>
          <w:trHeight w:val="395" w:hRule="atLeast"/>
          <w:jc w:val="center"/>
        </w:trPr>
        <w:tc>
          <w:tcPr>
            <w:tcW w:w="1083" w:type="pct"/>
            <w:vMerge w:val="continue"/>
            <w:tcBorders>
              <w:left w:val="single" w:color="000000" w:sz="6" w:space="0"/>
              <w:right w:val="single" w:color="000000" w:sz="6" w:space="0"/>
            </w:tcBorders>
            <w:shd w:val="clear" w:color="auto" w:fill="FFFFFF"/>
            <w:tcMar>
              <w:left w:w="74" w:type="dxa"/>
              <w:right w:w="74" w:type="dxa"/>
            </w:tcMar>
            <w:vAlign w:val="center"/>
          </w:tcPr>
          <w:p w14:paraId="272D725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05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77AD861">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绩效目标</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FF603B8">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4</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CBFD40C">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2</w:t>
            </w:r>
          </w:p>
        </w:tc>
        <w:tc>
          <w:tcPr>
            <w:tcW w:w="91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4F5BA41">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50</w:t>
            </w:r>
            <w:r>
              <w:rPr>
                <w:rFonts w:hint="eastAsia" w:ascii="仿宋" w:hAnsi="仿宋" w:eastAsia="仿宋" w:cs="仿宋"/>
                <w:sz w:val="24"/>
                <w:szCs w:val="24"/>
                <w:highlight w:val="none"/>
                <w:lang w:val="en-US" w:eastAsia="zh-CN"/>
              </w:rPr>
              <w:t>.00</w:t>
            </w:r>
            <w:r>
              <w:rPr>
                <w:rFonts w:hint="eastAsia" w:ascii="仿宋" w:hAnsi="仿宋" w:eastAsia="仿宋" w:cs="仿宋"/>
                <w:sz w:val="24"/>
                <w:szCs w:val="24"/>
                <w:highlight w:val="none"/>
              </w:rPr>
              <w:t>%</w:t>
            </w:r>
          </w:p>
        </w:tc>
      </w:tr>
      <w:tr w14:paraId="5412D7E0">
        <w:tblPrEx>
          <w:tblCellMar>
            <w:top w:w="0" w:type="dxa"/>
            <w:left w:w="10" w:type="dxa"/>
            <w:bottom w:w="0" w:type="dxa"/>
            <w:right w:w="10" w:type="dxa"/>
          </w:tblCellMar>
        </w:tblPrEx>
        <w:trPr>
          <w:trHeight w:val="104" w:hRule="atLeast"/>
          <w:jc w:val="center"/>
        </w:trPr>
        <w:tc>
          <w:tcPr>
            <w:tcW w:w="1083" w:type="pct"/>
            <w:vMerge w:val="continue"/>
            <w:tcBorders>
              <w:left w:val="single" w:color="000000" w:sz="6" w:space="0"/>
              <w:bottom w:val="single" w:color="000000" w:sz="6" w:space="0"/>
              <w:right w:val="single" w:color="000000" w:sz="6" w:space="0"/>
            </w:tcBorders>
            <w:shd w:val="clear" w:color="auto" w:fill="FFFFFF"/>
            <w:tcMar>
              <w:left w:w="74" w:type="dxa"/>
              <w:right w:w="74" w:type="dxa"/>
            </w:tcMar>
            <w:vAlign w:val="center"/>
          </w:tcPr>
          <w:p w14:paraId="480B8977">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05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1A504A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资金分配</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6D4547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C2250A6">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w:t>
            </w:r>
          </w:p>
        </w:tc>
        <w:tc>
          <w:tcPr>
            <w:tcW w:w="91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6F2221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100.00%</w:t>
            </w:r>
          </w:p>
        </w:tc>
      </w:tr>
      <w:tr w14:paraId="3A32400E">
        <w:tblPrEx>
          <w:tblCellMar>
            <w:top w:w="0" w:type="dxa"/>
            <w:left w:w="10" w:type="dxa"/>
            <w:bottom w:w="0" w:type="dxa"/>
            <w:right w:w="10" w:type="dxa"/>
          </w:tblCellMar>
        </w:tblPrEx>
        <w:trPr>
          <w:trHeight w:val="176" w:hRule="atLeast"/>
          <w:jc w:val="center"/>
        </w:trPr>
        <w:tc>
          <w:tcPr>
            <w:tcW w:w="2136" w:type="pct"/>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E84783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leftChars="0" w:right="0" w:rightChars="0"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E228A02">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rightChars="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c>
          <w:tcPr>
            <w:tcW w:w="974"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0E6102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rightChars="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12</w:t>
            </w:r>
          </w:p>
        </w:tc>
        <w:tc>
          <w:tcPr>
            <w:tcW w:w="91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C5EB77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rightChars="0"/>
              <w:jc w:val="center"/>
              <w:textAlignment w:val="auto"/>
              <w:rPr>
                <w:rFonts w:hint="eastAsia" w:ascii="仿宋" w:hAnsi="仿宋" w:eastAsia="仿宋" w:cs="仿宋"/>
                <w:sz w:val="24"/>
                <w:szCs w:val="24"/>
                <w:highlight w:val="none"/>
                <w:lang w:val="en-US" w:eastAsia="zh-CN"/>
              </w:rPr>
            </w:pPr>
            <w:r>
              <w:rPr>
                <w:rFonts w:hint="eastAsia" w:cs="仿宋"/>
                <w:sz w:val="24"/>
                <w:szCs w:val="24"/>
                <w:highlight w:val="none"/>
                <w:lang w:val="en-US" w:eastAsia="zh-CN"/>
              </w:rPr>
              <w:t>80.00</w:t>
            </w:r>
            <w:r>
              <w:rPr>
                <w:rFonts w:hint="eastAsia" w:ascii="仿宋" w:hAnsi="仿宋" w:eastAsia="仿宋" w:cs="仿宋"/>
                <w:sz w:val="24"/>
                <w:szCs w:val="24"/>
                <w:highlight w:val="none"/>
              </w:rPr>
              <w:t>%</w:t>
            </w:r>
          </w:p>
        </w:tc>
      </w:tr>
    </w:tbl>
    <w:p w14:paraId="0F900CAF">
      <w:pPr>
        <w:numPr>
          <w:ilvl w:val="0"/>
          <w:numId w:val="0"/>
        </w:numPr>
        <w:tabs>
          <w:tab w:val="left" w:pos="1099"/>
        </w:tabs>
        <w:bidi w:val="0"/>
        <w:ind w:left="0" w:leftChars="0" w:firstLine="640" w:firstLineChars="0"/>
        <w:jc w:val="left"/>
        <w:outlineLvl w:val="2"/>
        <w:rPr>
          <w:rFonts w:hint="eastAsia" w:cs="仿宋"/>
          <w:b/>
          <w:bCs/>
          <w:kern w:val="2"/>
          <w:sz w:val="32"/>
          <w:szCs w:val="24"/>
          <w:lang w:val="en-US" w:eastAsia="zh-CN" w:bidi="ar-SA"/>
        </w:rPr>
      </w:pPr>
      <w:bookmarkStart w:id="52" w:name="_Toc8252"/>
      <w:r>
        <w:rPr>
          <w:rFonts w:hint="eastAsia" w:cs="仿宋"/>
          <w:b/>
          <w:bCs/>
          <w:kern w:val="2"/>
          <w:sz w:val="32"/>
          <w:szCs w:val="24"/>
          <w:lang w:val="en-US" w:eastAsia="zh-CN" w:bidi="ar-SA"/>
        </w:rPr>
        <w:t>1.决策过程分析</w:t>
      </w:r>
      <w:bookmarkEnd w:id="52"/>
    </w:p>
    <w:p w14:paraId="72C9AFB0">
      <w:pPr>
        <w:numPr>
          <w:ilvl w:val="0"/>
          <w:numId w:val="0"/>
        </w:numPr>
        <w:tabs>
          <w:tab w:val="left" w:pos="1099"/>
        </w:tabs>
        <w:bidi w:val="0"/>
        <w:ind w:left="0" w:leftChars="0" w:firstLine="640" w:firstLineChars="0"/>
        <w:jc w:val="left"/>
        <w:outlineLvl w:val="3"/>
        <w:rPr>
          <w:rFonts w:hint="default" w:cs="仿宋"/>
          <w:b/>
          <w:bCs/>
          <w:kern w:val="2"/>
          <w:sz w:val="32"/>
          <w:szCs w:val="24"/>
          <w:lang w:val="en-US" w:eastAsia="zh-CN" w:bidi="ar-SA"/>
        </w:rPr>
      </w:pPr>
      <w:r>
        <w:rPr>
          <w:rFonts w:hint="eastAsia" w:cs="仿宋"/>
          <w:b/>
          <w:bCs/>
          <w:kern w:val="2"/>
          <w:sz w:val="32"/>
          <w:szCs w:val="24"/>
          <w:lang w:val="en-US" w:eastAsia="zh-CN" w:bidi="ar-SA"/>
        </w:rPr>
        <w:t>（1）项目决策依据（满分4分，实得3分）</w:t>
      </w:r>
    </w:p>
    <w:p w14:paraId="2239609C">
      <w:pPr>
        <w:bidi w:val="0"/>
        <w:ind w:firstLine="640"/>
        <w:jc w:val="both"/>
        <w:rPr>
          <w:rFonts w:hint="eastAsia" w:cs="Times New Roman"/>
          <w:kern w:val="2"/>
          <w:sz w:val="32"/>
          <w:szCs w:val="24"/>
          <w:lang w:val="en-US" w:eastAsia="zh-CN" w:bidi="ar-SA"/>
        </w:rPr>
      </w:pPr>
      <w:r>
        <w:rPr>
          <w:rFonts w:hint="eastAsia" w:cs="Times New Roman"/>
          <w:kern w:val="2"/>
          <w:sz w:val="32"/>
          <w:szCs w:val="24"/>
          <w:lang w:val="en-US" w:eastAsia="zh-CN" w:bidi="ar-SA"/>
        </w:rPr>
        <w:t>项目于2017年6月由中南建筑设计院股份有限公司编制《阳新县宝塔湖污水处理厂扩建及提标升级工程可行性研究报告》，根据报告的数据和资料，阳新县宝塔湖污水处理厂扩建及提标升级项目针对城市污水、污泥处理的问题符合社会经济及政府发展规划；符合住建局的部门计划；项目制定到2030年的中远期的规划。</w:t>
      </w:r>
    </w:p>
    <w:p w14:paraId="5578F4DC">
      <w:pPr>
        <w:bidi w:val="0"/>
        <w:ind w:firstLine="640"/>
        <w:jc w:val="both"/>
        <w:rPr>
          <w:rFonts w:hint="eastAsia" w:cs="Times New Roman"/>
          <w:kern w:val="2"/>
          <w:sz w:val="32"/>
          <w:szCs w:val="24"/>
          <w:lang w:val="en-US" w:eastAsia="zh-CN" w:bidi="ar-SA"/>
        </w:rPr>
      </w:pPr>
      <w:r>
        <w:rPr>
          <w:rFonts w:hint="eastAsia" w:cs="Times New Roman"/>
          <w:kern w:val="2"/>
          <w:sz w:val="32"/>
          <w:szCs w:val="24"/>
          <w:lang w:val="en-US" w:eastAsia="zh-CN" w:bidi="ar-SA"/>
        </w:rPr>
        <w:t>项目实际污水接收量2020年日均污水处理量实际为3.3466万吨与可研报告中的规划数据相差悬殊，影响目前项目的持续运作。</w:t>
      </w:r>
    </w:p>
    <w:p w14:paraId="45786A9D">
      <w:pPr>
        <w:bidi w:val="0"/>
        <w:ind w:firstLine="640"/>
        <w:jc w:val="both"/>
        <w:rPr>
          <w:rFonts w:hint="eastAsia" w:cs="Times New Roman"/>
          <w:kern w:val="2"/>
          <w:sz w:val="32"/>
          <w:szCs w:val="24"/>
          <w:lang w:val="en-US" w:eastAsia="zh-CN" w:bidi="ar-SA"/>
        </w:rPr>
      </w:pPr>
      <w:r>
        <w:rPr>
          <w:rFonts w:hint="default" w:cs="Times New Roman"/>
          <w:kern w:val="2"/>
          <w:sz w:val="32"/>
          <w:szCs w:val="24"/>
          <w:lang w:val="en-US" w:eastAsia="zh-CN" w:bidi="ar-SA"/>
        </w:rPr>
        <w:t>经评价，</w:t>
      </w:r>
      <w:r>
        <w:rPr>
          <w:rFonts w:hint="eastAsia" w:cs="Times New Roman"/>
          <w:kern w:val="2"/>
          <w:sz w:val="32"/>
          <w:szCs w:val="24"/>
          <w:lang w:val="en-US" w:eastAsia="zh-CN" w:bidi="ar-SA"/>
        </w:rPr>
        <w:t>该项目指标满分4分，实得3分。</w:t>
      </w:r>
    </w:p>
    <w:p w14:paraId="39C2799F">
      <w:pPr>
        <w:bidi w:val="0"/>
        <w:jc w:val="both"/>
        <w:rPr>
          <w:rFonts w:hint="eastAsia" w:cs="Times New Roman"/>
          <w:kern w:val="2"/>
          <w:sz w:val="32"/>
          <w:szCs w:val="24"/>
          <w:lang w:val="en-US" w:eastAsia="zh-CN" w:bidi="ar-SA"/>
        </w:rPr>
      </w:pPr>
      <w:r>
        <w:drawing>
          <wp:inline distT="0" distB="0" distL="114300" distR="114300">
            <wp:extent cx="5215255" cy="2858770"/>
            <wp:effectExtent l="0" t="0" r="12065" b="63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1"/>
                    <a:stretch>
                      <a:fillRect/>
                    </a:stretch>
                  </pic:blipFill>
                  <pic:spPr>
                    <a:xfrm>
                      <a:off x="0" y="0"/>
                      <a:ext cx="5215255" cy="2858770"/>
                    </a:xfrm>
                    <a:prstGeom prst="rect">
                      <a:avLst/>
                    </a:prstGeom>
                    <a:noFill/>
                    <a:ln>
                      <a:noFill/>
                    </a:ln>
                  </pic:spPr>
                </pic:pic>
              </a:graphicData>
            </a:graphic>
          </wp:inline>
        </w:drawing>
      </w:r>
    </w:p>
    <w:p w14:paraId="48085C34">
      <w:pPr>
        <w:bidi w:val="0"/>
        <w:ind w:firstLine="640" w:firstLineChars="0"/>
        <w:jc w:val="both"/>
        <w:outlineLvl w:val="3"/>
        <w:rPr>
          <w:rFonts w:hint="eastAsia" w:cs="Times New Roman"/>
          <w:kern w:val="2"/>
          <w:sz w:val="32"/>
          <w:szCs w:val="24"/>
          <w:lang w:val="en-US" w:eastAsia="zh-CN" w:bidi="ar-SA"/>
        </w:rPr>
      </w:pPr>
      <w:r>
        <w:rPr>
          <w:rFonts w:hint="eastAsia" w:cs="Times New Roman"/>
          <w:b/>
          <w:bCs/>
          <w:kern w:val="2"/>
          <w:sz w:val="32"/>
          <w:szCs w:val="24"/>
          <w:lang w:val="en-US" w:eastAsia="zh-CN" w:bidi="ar-SA"/>
        </w:rPr>
        <w:t>（2）项目决策程序（满分3分，实得3分）</w:t>
      </w:r>
    </w:p>
    <w:p w14:paraId="20070062">
      <w:pPr>
        <w:bidi w:val="0"/>
        <w:ind w:firstLine="640"/>
        <w:jc w:val="both"/>
        <w:rPr>
          <w:rFonts w:hint="default" w:cs="Times New Roman"/>
          <w:kern w:val="2"/>
          <w:sz w:val="32"/>
          <w:szCs w:val="24"/>
          <w:lang w:val="en-US" w:eastAsia="zh-CN" w:bidi="ar-SA"/>
        </w:rPr>
      </w:pPr>
      <w:r>
        <w:rPr>
          <w:rFonts w:hint="eastAsia" w:cs="Times New Roman"/>
          <w:kern w:val="2"/>
          <w:sz w:val="32"/>
          <w:szCs w:val="24"/>
          <w:lang w:val="en-US" w:eastAsia="zh-CN" w:bidi="ar-SA"/>
        </w:rPr>
        <w:t>项目设立前，于2017年6月由中南建筑设计院股份有限公司编制《阳新县宝塔湖污水处理厂扩建及提标升级工程可行性研究报告》，2017年7月、8月先后获得阳新县发改局、县人民政府批复，分别经过环评、物有所值评价、财政承受能力论证等各方面评估和批复，项目申报符合国家法律法规和相关程序；申报的文件、材料符合政策要求；可研报告经过专家认证及评估，项目符合决策程序。经评价，该项目指标满分3分，实得3分。</w:t>
      </w:r>
    </w:p>
    <w:p w14:paraId="0C7014E8">
      <w:pPr>
        <w:bidi w:val="0"/>
        <w:ind w:firstLine="640" w:firstLineChars="0"/>
        <w:jc w:val="both"/>
        <w:outlineLvl w:val="2"/>
        <w:rPr>
          <w:rFonts w:hint="default" w:cs="Times New Roman"/>
          <w:b/>
          <w:bCs/>
          <w:kern w:val="2"/>
          <w:sz w:val="32"/>
          <w:szCs w:val="24"/>
          <w:lang w:val="en-US" w:eastAsia="zh-CN" w:bidi="ar-SA"/>
        </w:rPr>
      </w:pPr>
      <w:bookmarkStart w:id="53" w:name="_Toc9432"/>
      <w:r>
        <w:rPr>
          <w:rFonts w:hint="eastAsia" w:cs="Times New Roman"/>
          <w:b/>
          <w:bCs/>
          <w:kern w:val="2"/>
          <w:sz w:val="32"/>
          <w:szCs w:val="24"/>
          <w:lang w:val="en-US" w:eastAsia="zh-CN" w:bidi="ar-SA"/>
        </w:rPr>
        <w:t>2.</w:t>
      </w:r>
      <w:r>
        <w:rPr>
          <w:rFonts w:hint="default" w:cs="Times New Roman"/>
          <w:b/>
          <w:bCs/>
          <w:kern w:val="2"/>
          <w:sz w:val="32"/>
          <w:szCs w:val="24"/>
          <w:lang w:val="en-US" w:eastAsia="zh-CN" w:bidi="ar-SA"/>
        </w:rPr>
        <w:t>绩效指标设定（满分4分，实得</w:t>
      </w:r>
      <w:r>
        <w:rPr>
          <w:rFonts w:hint="eastAsia" w:cs="Times New Roman"/>
          <w:b/>
          <w:bCs/>
          <w:kern w:val="2"/>
          <w:sz w:val="32"/>
          <w:szCs w:val="24"/>
          <w:lang w:val="en-US" w:eastAsia="zh-CN" w:bidi="ar-SA"/>
        </w:rPr>
        <w:t>2</w:t>
      </w:r>
      <w:r>
        <w:rPr>
          <w:rFonts w:hint="default" w:cs="Times New Roman"/>
          <w:b/>
          <w:bCs/>
          <w:kern w:val="2"/>
          <w:sz w:val="32"/>
          <w:szCs w:val="24"/>
          <w:lang w:val="en-US" w:eastAsia="zh-CN" w:bidi="ar-SA"/>
        </w:rPr>
        <w:t>分）</w:t>
      </w:r>
      <w:bookmarkEnd w:id="53"/>
    </w:p>
    <w:p w14:paraId="365090EC">
      <w:pPr>
        <w:bidi w:val="0"/>
        <w:ind w:firstLine="640"/>
        <w:jc w:val="both"/>
        <w:rPr>
          <w:rFonts w:hint="default" w:cs="Times New Roman"/>
          <w:kern w:val="2"/>
          <w:sz w:val="32"/>
          <w:szCs w:val="24"/>
          <w:lang w:val="en-US" w:eastAsia="zh-CN" w:bidi="ar-SA"/>
        </w:rPr>
      </w:pPr>
      <w:r>
        <w:rPr>
          <w:rFonts w:hint="default" w:cs="Times New Roman"/>
          <w:kern w:val="2"/>
          <w:sz w:val="32"/>
          <w:szCs w:val="24"/>
          <w:lang w:val="en-US" w:eastAsia="zh-CN" w:bidi="ar-SA"/>
        </w:rPr>
        <w:t>根据《中华人民共和国预算法》和《中共中央国务院关于全面实施预算绩效管理的意见》（中发〔2018〕34号）、湖北省财政厅文件《湖北省财政厅关于印发全面实施预算绩效管理系列制度的通知》鄂财绩发〔2020〕3号</w:t>
      </w:r>
      <w:r>
        <w:rPr>
          <w:rFonts w:hint="eastAsia" w:cs="Times New Roman"/>
          <w:kern w:val="2"/>
          <w:sz w:val="32"/>
          <w:szCs w:val="24"/>
          <w:lang w:val="en-US" w:eastAsia="zh-CN" w:bidi="ar-SA"/>
        </w:rPr>
        <w:t>等</w:t>
      </w:r>
      <w:r>
        <w:rPr>
          <w:rFonts w:hint="default" w:cs="Times New Roman"/>
          <w:kern w:val="2"/>
          <w:sz w:val="32"/>
          <w:szCs w:val="24"/>
          <w:lang w:val="en-US" w:eastAsia="zh-CN" w:bidi="ar-SA"/>
        </w:rPr>
        <w:t>文件要求，200万元以上重大建设项目</w:t>
      </w:r>
      <w:r>
        <w:rPr>
          <w:rFonts w:hint="eastAsia" w:cs="Times New Roman"/>
          <w:kern w:val="2"/>
          <w:sz w:val="32"/>
          <w:szCs w:val="24"/>
          <w:lang w:val="en-US" w:eastAsia="zh-CN" w:bidi="ar-SA"/>
        </w:rPr>
        <w:t>必须</w:t>
      </w:r>
      <w:r>
        <w:rPr>
          <w:rFonts w:hint="default" w:cs="Times New Roman"/>
          <w:kern w:val="2"/>
          <w:sz w:val="32"/>
          <w:szCs w:val="24"/>
          <w:lang w:val="en-US" w:eastAsia="zh-CN" w:bidi="ar-SA"/>
        </w:rPr>
        <w:t>进行事前绩效评定工作。</w:t>
      </w:r>
    </w:p>
    <w:p w14:paraId="01567B36">
      <w:pPr>
        <w:bidi w:val="0"/>
        <w:ind w:firstLine="640"/>
        <w:jc w:val="both"/>
        <w:rPr>
          <w:rFonts w:hint="default" w:cs="Times New Roman"/>
          <w:kern w:val="2"/>
          <w:sz w:val="32"/>
          <w:szCs w:val="24"/>
          <w:lang w:val="en-US" w:eastAsia="zh-CN" w:bidi="ar-SA"/>
        </w:rPr>
      </w:pPr>
      <w:r>
        <w:rPr>
          <w:rFonts w:hint="default" w:cs="Times New Roman"/>
          <w:kern w:val="2"/>
          <w:sz w:val="32"/>
          <w:szCs w:val="24"/>
          <w:lang w:val="en-US" w:eastAsia="zh-CN" w:bidi="ar-SA"/>
        </w:rPr>
        <w:t>“宝塔湖污水处理厂扩建及提标升级工程”项目立项时按照要求提前制定和提供项目</w:t>
      </w:r>
      <w:r>
        <w:rPr>
          <w:rFonts w:hint="eastAsia" w:cs="Times New Roman"/>
          <w:kern w:val="2"/>
          <w:sz w:val="32"/>
          <w:szCs w:val="24"/>
          <w:lang w:val="en-US" w:eastAsia="zh-CN" w:bidi="ar-SA"/>
        </w:rPr>
        <w:t>可用性资产、运维等</w:t>
      </w:r>
      <w:r>
        <w:rPr>
          <w:rFonts w:hint="default" w:cs="Times New Roman"/>
          <w:kern w:val="2"/>
          <w:sz w:val="32"/>
          <w:szCs w:val="24"/>
          <w:lang w:val="en-US" w:eastAsia="zh-CN" w:bidi="ar-SA"/>
        </w:rPr>
        <w:t>绩效目标，</w:t>
      </w:r>
      <w:r>
        <w:rPr>
          <w:rFonts w:hint="eastAsia" w:cs="Times New Roman"/>
          <w:kern w:val="2"/>
          <w:sz w:val="32"/>
          <w:szCs w:val="24"/>
          <w:lang w:val="en-US" w:eastAsia="zh-CN" w:bidi="ar-SA"/>
        </w:rPr>
        <w:t>但</w:t>
      </w:r>
      <w:r>
        <w:rPr>
          <w:rFonts w:hint="default" w:cs="Times New Roman"/>
          <w:kern w:val="2"/>
          <w:sz w:val="32"/>
          <w:szCs w:val="24"/>
          <w:lang w:val="en-US" w:eastAsia="zh-CN" w:bidi="ar-SA"/>
        </w:rPr>
        <w:t>项目实际</w:t>
      </w:r>
      <w:r>
        <w:rPr>
          <w:rFonts w:hint="eastAsia" w:cs="Times New Roman"/>
          <w:kern w:val="2"/>
          <w:sz w:val="32"/>
          <w:szCs w:val="24"/>
          <w:lang w:val="en-US" w:eastAsia="zh-CN" w:bidi="ar-SA"/>
        </w:rPr>
        <w:t>污水接收</w:t>
      </w:r>
      <w:r>
        <w:rPr>
          <w:rFonts w:hint="default" w:cs="Times New Roman"/>
          <w:kern w:val="2"/>
          <w:sz w:val="32"/>
          <w:szCs w:val="24"/>
          <w:lang w:val="en-US" w:eastAsia="zh-CN" w:bidi="ar-SA"/>
        </w:rPr>
        <w:t>量2020年日均污水处理量实际为3.3466万吨与可研报告中的规划数据相差悬殊</w:t>
      </w:r>
      <w:r>
        <w:rPr>
          <w:rFonts w:hint="eastAsia" w:cs="Times New Roman"/>
          <w:kern w:val="2"/>
          <w:sz w:val="32"/>
          <w:szCs w:val="24"/>
          <w:lang w:val="en-US" w:eastAsia="zh-CN" w:bidi="ar-SA"/>
        </w:rPr>
        <w:t>，</w:t>
      </w:r>
      <w:r>
        <w:rPr>
          <w:rFonts w:hint="default" w:cs="Times New Roman"/>
          <w:kern w:val="2"/>
          <w:sz w:val="32"/>
          <w:szCs w:val="24"/>
          <w:lang w:val="en-US" w:eastAsia="zh-CN" w:bidi="ar-SA"/>
        </w:rPr>
        <w:t>影响目前项目的持续运作。</w:t>
      </w:r>
    </w:p>
    <w:p w14:paraId="52151EC6">
      <w:pPr>
        <w:bidi w:val="0"/>
        <w:ind w:firstLine="640"/>
        <w:jc w:val="both"/>
        <w:rPr>
          <w:rFonts w:hint="default" w:cs="Times New Roman"/>
          <w:kern w:val="2"/>
          <w:sz w:val="32"/>
          <w:szCs w:val="24"/>
          <w:lang w:val="en-US" w:eastAsia="zh-CN" w:bidi="ar-SA"/>
        </w:rPr>
      </w:pPr>
      <w:r>
        <w:rPr>
          <w:rFonts w:hint="default" w:cs="Times New Roman"/>
          <w:kern w:val="2"/>
          <w:sz w:val="32"/>
          <w:szCs w:val="24"/>
          <w:lang w:val="en-US" w:eastAsia="zh-CN" w:bidi="ar-SA"/>
        </w:rPr>
        <w:t>该项目指标</w:t>
      </w:r>
      <w:r>
        <w:rPr>
          <w:rFonts w:hint="eastAsia" w:cs="Times New Roman"/>
          <w:kern w:val="2"/>
          <w:sz w:val="32"/>
          <w:szCs w:val="24"/>
          <w:lang w:val="en-US" w:eastAsia="zh-CN" w:bidi="ar-SA"/>
        </w:rPr>
        <w:t>满分</w:t>
      </w:r>
      <w:r>
        <w:rPr>
          <w:rFonts w:hint="default" w:cs="Times New Roman"/>
          <w:kern w:val="2"/>
          <w:sz w:val="32"/>
          <w:szCs w:val="24"/>
          <w:lang w:val="en-US" w:eastAsia="zh-CN" w:bidi="ar-SA"/>
        </w:rPr>
        <w:t>数4分，目标数据与实际数据相差甚远，实际得分</w:t>
      </w:r>
      <w:r>
        <w:rPr>
          <w:rFonts w:hint="eastAsia" w:cs="Times New Roman"/>
          <w:kern w:val="2"/>
          <w:sz w:val="32"/>
          <w:szCs w:val="24"/>
          <w:lang w:val="en-US" w:eastAsia="zh-CN" w:bidi="ar-SA"/>
        </w:rPr>
        <w:t>2</w:t>
      </w:r>
      <w:r>
        <w:rPr>
          <w:rFonts w:hint="default" w:cs="Times New Roman"/>
          <w:kern w:val="2"/>
          <w:sz w:val="32"/>
          <w:szCs w:val="24"/>
          <w:lang w:val="en-US" w:eastAsia="zh-CN" w:bidi="ar-SA"/>
        </w:rPr>
        <w:t>分。</w:t>
      </w:r>
    </w:p>
    <w:p w14:paraId="25201002">
      <w:pPr>
        <w:bidi w:val="0"/>
        <w:jc w:val="both"/>
        <w:rPr>
          <w:rFonts w:hint="default" w:cs="Times New Roman"/>
          <w:kern w:val="2"/>
          <w:sz w:val="32"/>
          <w:szCs w:val="24"/>
          <w:lang w:val="en-US" w:eastAsia="zh-CN" w:bidi="ar-SA"/>
        </w:rPr>
      </w:pPr>
      <w:r>
        <w:drawing>
          <wp:inline distT="0" distB="0" distL="114300" distR="114300">
            <wp:extent cx="5215255" cy="2858770"/>
            <wp:effectExtent l="0" t="0" r="12065" b="635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1"/>
                    <a:stretch>
                      <a:fillRect/>
                    </a:stretch>
                  </pic:blipFill>
                  <pic:spPr>
                    <a:xfrm>
                      <a:off x="0" y="0"/>
                      <a:ext cx="5215255" cy="2858770"/>
                    </a:xfrm>
                    <a:prstGeom prst="rect">
                      <a:avLst/>
                    </a:prstGeom>
                    <a:noFill/>
                    <a:ln>
                      <a:noFill/>
                    </a:ln>
                  </pic:spPr>
                </pic:pic>
              </a:graphicData>
            </a:graphic>
          </wp:inline>
        </w:drawing>
      </w:r>
    </w:p>
    <w:p w14:paraId="032BEE21">
      <w:pPr>
        <w:bidi w:val="0"/>
        <w:ind w:firstLine="640" w:firstLineChars="0"/>
        <w:jc w:val="both"/>
        <w:outlineLvl w:val="2"/>
        <w:rPr>
          <w:rFonts w:hint="default" w:cs="Times New Roman"/>
          <w:b/>
          <w:bCs/>
          <w:kern w:val="2"/>
          <w:sz w:val="32"/>
          <w:szCs w:val="24"/>
          <w:lang w:val="en-US" w:eastAsia="zh-CN" w:bidi="ar-SA"/>
        </w:rPr>
      </w:pPr>
      <w:bookmarkStart w:id="54" w:name="_Toc6984"/>
      <w:r>
        <w:rPr>
          <w:rFonts w:hint="eastAsia" w:cs="Times New Roman"/>
          <w:b/>
          <w:bCs/>
          <w:kern w:val="2"/>
          <w:sz w:val="32"/>
          <w:szCs w:val="24"/>
          <w:lang w:val="en-US" w:eastAsia="zh-CN" w:bidi="ar-SA"/>
        </w:rPr>
        <w:t>3.</w:t>
      </w:r>
      <w:r>
        <w:rPr>
          <w:rFonts w:hint="default" w:cs="Times New Roman"/>
          <w:b/>
          <w:bCs/>
          <w:kern w:val="2"/>
          <w:sz w:val="32"/>
          <w:szCs w:val="24"/>
          <w:lang w:val="en-US" w:eastAsia="zh-CN" w:bidi="ar-SA"/>
        </w:rPr>
        <w:t>资金分配（满分4分，实得4分）</w:t>
      </w:r>
      <w:bookmarkEnd w:id="54"/>
    </w:p>
    <w:p w14:paraId="733A2299">
      <w:pPr>
        <w:bidi w:val="0"/>
        <w:ind w:firstLine="640"/>
        <w:jc w:val="both"/>
        <w:rPr>
          <w:rFonts w:hint="default" w:cs="Times New Roman"/>
          <w:kern w:val="2"/>
          <w:sz w:val="32"/>
          <w:szCs w:val="24"/>
          <w:lang w:val="en-US" w:eastAsia="zh-CN" w:bidi="ar-SA"/>
        </w:rPr>
      </w:pPr>
      <w:r>
        <w:rPr>
          <w:rFonts w:hint="default" w:cs="Times New Roman"/>
          <w:kern w:val="2"/>
          <w:sz w:val="32"/>
          <w:szCs w:val="24"/>
          <w:lang w:val="en-US" w:eastAsia="zh-CN" w:bidi="ar-SA"/>
        </w:rPr>
        <w:t>“宝塔湖污水处理厂扩建及提标升级工程”项目方制定了较为详细的项目</w:t>
      </w:r>
      <w:r>
        <w:rPr>
          <w:rFonts w:hint="eastAsia" w:cs="Times New Roman"/>
          <w:kern w:val="2"/>
          <w:sz w:val="32"/>
          <w:szCs w:val="24"/>
          <w:lang w:val="en-US" w:eastAsia="zh-CN" w:bidi="ar-SA"/>
        </w:rPr>
        <w:t>实施方案，项目采用 PPP 融资方式，建立了财政局、审计局等多部门协作监管机制</w:t>
      </w:r>
      <w:r>
        <w:rPr>
          <w:rFonts w:hint="default" w:cs="Times New Roman"/>
          <w:kern w:val="2"/>
          <w:sz w:val="32"/>
          <w:szCs w:val="24"/>
          <w:lang w:val="en-US" w:eastAsia="zh-CN" w:bidi="ar-SA"/>
        </w:rPr>
        <w:t>；</w:t>
      </w:r>
      <w:r>
        <w:rPr>
          <w:rFonts w:hint="eastAsia" w:cs="Times New Roman"/>
          <w:kern w:val="2"/>
          <w:sz w:val="32"/>
          <w:szCs w:val="24"/>
          <w:lang w:val="en-US" w:eastAsia="zh-CN" w:bidi="ar-SA"/>
        </w:rPr>
        <w:t>实施方案</w:t>
      </w:r>
      <w:r>
        <w:rPr>
          <w:rFonts w:hint="default" w:cs="Times New Roman"/>
          <w:kern w:val="2"/>
          <w:sz w:val="32"/>
          <w:szCs w:val="24"/>
          <w:lang w:val="en-US" w:eastAsia="zh-CN" w:bidi="ar-SA"/>
        </w:rPr>
        <w:t>中有明确资金分配办法；资金分配因素全面、合理。</w:t>
      </w:r>
    </w:p>
    <w:p w14:paraId="36CBB7F9">
      <w:pPr>
        <w:bidi w:val="0"/>
        <w:ind w:firstLine="640"/>
        <w:jc w:val="both"/>
        <w:rPr>
          <w:rFonts w:hint="default" w:cs="Times New Roman"/>
          <w:kern w:val="2"/>
          <w:sz w:val="32"/>
          <w:szCs w:val="24"/>
          <w:lang w:val="en-US" w:eastAsia="zh-CN" w:bidi="ar-SA"/>
        </w:rPr>
      </w:pPr>
      <w:r>
        <w:rPr>
          <w:rFonts w:hint="default" w:cs="Times New Roman"/>
          <w:kern w:val="2"/>
          <w:sz w:val="32"/>
          <w:szCs w:val="24"/>
          <w:lang w:val="en-US" w:eastAsia="zh-CN" w:bidi="ar-SA"/>
        </w:rPr>
        <w:t>资金的使用是根据各建设项目单位建设工程完成进度，及时由项目监理方协调组织工程进度质量验收，待验收合格后，将支付对象、完成工程量、拟支付工程金额等信息审核无异议后，将资金及时支付给建设单位，项目资金严格按文件规定要求全部用于宝塔湖污水处理厂扩建及提标升级工程项目支出，项目资金使用符合管理要求。</w:t>
      </w:r>
    </w:p>
    <w:p w14:paraId="5E3FEBB9">
      <w:pPr>
        <w:bidi w:val="0"/>
        <w:ind w:firstLine="640"/>
        <w:jc w:val="both"/>
        <w:rPr>
          <w:rFonts w:hint="default" w:cs="Times New Roman"/>
          <w:kern w:val="2"/>
          <w:sz w:val="32"/>
          <w:szCs w:val="24"/>
          <w:lang w:val="en-US" w:eastAsia="zh-CN" w:bidi="ar-SA"/>
        </w:rPr>
      </w:pPr>
      <w:r>
        <w:rPr>
          <w:rFonts w:hint="default" w:cs="Times New Roman"/>
          <w:kern w:val="2"/>
          <w:sz w:val="32"/>
          <w:szCs w:val="24"/>
          <w:lang w:val="en-US" w:eastAsia="zh-CN" w:bidi="ar-SA"/>
        </w:rPr>
        <w:t>经评价，该</w:t>
      </w:r>
      <w:r>
        <w:rPr>
          <w:rFonts w:hint="eastAsia" w:cs="Times New Roman"/>
          <w:kern w:val="2"/>
          <w:sz w:val="32"/>
          <w:szCs w:val="24"/>
          <w:lang w:val="en-US" w:eastAsia="zh-CN" w:bidi="ar-SA"/>
        </w:rPr>
        <w:t>项目</w:t>
      </w:r>
      <w:r>
        <w:rPr>
          <w:rFonts w:hint="default" w:cs="Times New Roman"/>
          <w:kern w:val="2"/>
          <w:sz w:val="32"/>
          <w:szCs w:val="24"/>
          <w:lang w:val="en-US" w:eastAsia="zh-CN" w:bidi="ar-SA"/>
        </w:rPr>
        <w:t>指标</w:t>
      </w:r>
      <w:r>
        <w:rPr>
          <w:rFonts w:hint="eastAsia" w:cs="Times New Roman"/>
          <w:kern w:val="2"/>
          <w:sz w:val="32"/>
          <w:szCs w:val="24"/>
          <w:lang w:val="en-US" w:eastAsia="zh-CN" w:bidi="ar-SA"/>
        </w:rPr>
        <w:t>满分</w:t>
      </w:r>
      <w:r>
        <w:rPr>
          <w:rFonts w:hint="default" w:cs="Times New Roman"/>
          <w:kern w:val="2"/>
          <w:sz w:val="32"/>
          <w:szCs w:val="24"/>
          <w:lang w:val="en-US" w:eastAsia="zh-CN" w:bidi="ar-SA"/>
        </w:rPr>
        <w:t>4分，实得4分。</w:t>
      </w:r>
    </w:p>
    <w:p w14:paraId="5B83AF83">
      <w:pPr>
        <w:bidi w:val="0"/>
        <w:ind w:firstLine="640" w:firstLineChars="0"/>
        <w:jc w:val="both"/>
        <w:outlineLvl w:val="1"/>
        <w:rPr>
          <w:rFonts w:hint="eastAsia" w:ascii="楷体" w:hAnsi="楷体" w:eastAsia="楷体" w:cs="楷体"/>
          <w:kern w:val="2"/>
          <w:sz w:val="32"/>
          <w:szCs w:val="24"/>
          <w:lang w:val="en-US" w:eastAsia="zh-CN" w:bidi="ar-SA"/>
        </w:rPr>
      </w:pPr>
      <w:bookmarkStart w:id="55" w:name="_Toc19300"/>
      <w:r>
        <w:rPr>
          <w:rFonts w:hint="eastAsia" w:ascii="楷体" w:hAnsi="楷体" w:eastAsia="楷体" w:cs="楷体"/>
          <w:kern w:val="2"/>
          <w:sz w:val="32"/>
          <w:szCs w:val="24"/>
          <w:lang w:val="en-US" w:eastAsia="zh-CN" w:bidi="ar-SA"/>
        </w:rPr>
        <w:t>（二）项目管理分析</w:t>
      </w:r>
      <w:bookmarkEnd w:id="55"/>
    </w:p>
    <w:p w14:paraId="1CE367C2">
      <w:pPr>
        <w:bidi w:val="0"/>
        <w:ind w:firstLine="640"/>
        <w:jc w:val="both"/>
        <w:rPr>
          <w:rFonts w:hint="default" w:cs="Times New Roman"/>
          <w:kern w:val="2"/>
          <w:sz w:val="32"/>
          <w:szCs w:val="24"/>
          <w:highlight w:val="none"/>
          <w:lang w:val="en-US" w:eastAsia="zh-CN" w:bidi="ar-SA"/>
        </w:rPr>
      </w:pPr>
      <w:r>
        <w:rPr>
          <w:rFonts w:hint="default" w:cs="Times New Roman"/>
          <w:kern w:val="2"/>
          <w:sz w:val="32"/>
          <w:szCs w:val="24"/>
          <w:lang w:val="en-US" w:eastAsia="zh-CN" w:bidi="ar-SA"/>
        </w:rPr>
        <w:t>该类指标主要考察项目资金的投入和使用管理是否依规执行、是否有配套的项目管理制度来保证项目实施，项目实施合规、合理。</w:t>
      </w:r>
      <w:r>
        <w:rPr>
          <w:rFonts w:hint="default" w:cs="Times New Roman"/>
          <w:kern w:val="2"/>
          <w:sz w:val="32"/>
          <w:szCs w:val="24"/>
          <w:highlight w:val="none"/>
          <w:lang w:val="en-US" w:eastAsia="zh-CN" w:bidi="ar-SA"/>
        </w:rPr>
        <w:t>该项满分15.00分，评价得分</w:t>
      </w:r>
      <w:r>
        <w:rPr>
          <w:rFonts w:hint="eastAsia" w:cs="Times New Roman"/>
          <w:kern w:val="2"/>
          <w:sz w:val="32"/>
          <w:szCs w:val="24"/>
          <w:highlight w:val="none"/>
          <w:lang w:val="en-US" w:eastAsia="zh-CN" w:bidi="ar-SA"/>
        </w:rPr>
        <w:t>14.02</w:t>
      </w:r>
      <w:r>
        <w:rPr>
          <w:rFonts w:hint="default" w:cs="Times New Roman"/>
          <w:kern w:val="2"/>
          <w:sz w:val="32"/>
          <w:szCs w:val="24"/>
          <w:highlight w:val="none"/>
          <w:lang w:val="en-US" w:eastAsia="zh-CN" w:bidi="ar-SA"/>
        </w:rPr>
        <w:t>分，得分率为</w:t>
      </w:r>
      <w:r>
        <w:rPr>
          <w:rFonts w:hint="eastAsia" w:cs="Times New Roman"/>
          <w:kern w:val="2"/>
          <w:sz w:val="32"/>
          <w:szCs w:val="24"/>
          <w:highlight w:val="none"/>
          <w:lang w:val="en-US" w:eastAsia="zh-CN" w:bidi="ar-SA"/>
        </w:rPr>
        <w:t>93.47</w:t>
      </w:r>
      <w:r>
        <w:rPr>
          <w:rFonts w:hint="default" w:cs="Times New Roman"/>
          <w:kern w:val="2"/>
          <w:sz w:val="32"/>
          <w:szCs w:val="24"/>
          <w:highlight w:val="none"/>
          <w:lang w:val="en-US" w:eastAsia="zh-CN" w:bidi="ar-SA"/>
        </w:rPr>
        <w:t>%。</w:t>
      </w:r>
    </w:p>
    <w:p w14:paraId="08B52744">
      <w:pPr>
        <w:keepNext w:val="0"/>
        <w:keepLines w:val="0"/>
        <w:pageBreakBefore w:val="0"/>
        <w:widowControl w:val="0"/>
        <w:kinsoku/>
        <w:wordWrap/>
        <w:overflowPunct/>
        <w:topLinePunct w:val="0"/>
        <w:autoSpaceDE/>
        <w:autoSpaceDN/>
        <w:bidi w:val="0"/>
        <w:adjustRightInd/>
        <w:snapToGrid/>
        <w:spacing w:before="120" w:after="120" w:line="240" w:lineRule="auto"/>
        <w:ind w:firstLine="482" w:firstLineChars="200"/>
        <w:jc w:val="left"/>
        <w:textAlignment w:val="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kern w:val="0"/>
          <w:sz w:val="24"/>
          <w:szCs w:val="24"/>
          <w:highlight w:val="none"/>
          <w:lang w:val="en-US" w:eastAsia="zh-CN" w:bidi="ar-SA"/>
        </w:rPr>
        <w:t>表6-2 项目过程类指标分值及得分情况</w:t>
      </w:r>
    </w:p>
    <w:tbl>
      <w:tblPr>
        <w:tblStyle w:val="12"/>
        <w:tblW w:w="8454" w:type="dxa"/>
        <w:jc w:val="center"/>
        <w:tblLayout w:type="fixed"/>
        <w:tblCellMar>
          <w:top w:w="0" w:type="dxa"/>
          <w:left w:w="10" w:type="dxa"/>
          <w:bottom w:w="0" w:type="dxa"/>
          <w:right w:w="10" w:type="dxa"/>
        </w:tblCellMar>
      </w:tblPr>
      <w:tblGrid>
        <w:gridCol w:w="1831"/>
        <w:gridCol w:w="1782"/>
        <w:gridCol w:w="1648"/>
        <w:gridCol w:w="1662"/>
        <w:gridCol w:w="1531"/>
      </w:tblGrid>
      <w:tr w14:paraId="177579E4">
        <w:tblPrEx>
          <w:tblCellMar>
            <w:top w:w="0" w:type="dxa"/>
            <w:left w:w="10" w:type="dxa"/>
            <w:bottom w:w="0" w:type="dxa"/>
            <w:right w:w="10" w:type="dxa"/>
          </w:tblCellMar>
        </w:tblPrEx>
        <w:trPr>
          <w:trHeight w:val="249" w:hRule="atLeast"/>
          <w:jc w:val="center"/>
        </w:trPr>
        <w:tc>
          <w:tcPr>
            <w:tcW w:w="18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8E17B4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b/>
                <w:bCs/>
                <w:sz w:val="24"/>
                <w:szCs w:val="24"/>
                <w:highlight w:val="none"/>
              </w:rPr>
            </w:pPr>
            <w:r>
              <w:rPr>
                <w:rFonts w:hint="default" w:ascii="仿宋" w:hAnsi="仿宋" w:eastAsia="仿宋" w:cs="仿宋"/>
                <w:b/>
                <w:bCs/>
                <w:sz w:val="24"/>
                <w:szCs w:val="24"/>
                <w:highlight w:val="none"/>
              </w:rPr>
              <w:t>一级指标</w:t>
            </w: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F0609F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b/>
                <w:bCs/>
                <w:sz w:val="24"/>
                <w:szCs w:val="24"/>
                <w:highlight w:val="none"/>
              </w:rPr>
            </w:pPr>
            <w:r>
              <w:rPr>
                <w:rFonts w:hint="default" w:ascii="仿宋" w:hAnsi="仿宋" w:eastAsia="仿宋" w:cs="仿宋"/>
                <w:b/>
                <w:bCs/>
                <w:sz w:val="24"/>
                <w:szCs w:val="24"/>
                <w:highlight w:val="none"/>
              </w:rPr>
              <w:t>二级指标</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C483967">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b/>
                <w:bCs/>
                <w:sz w:val="24"/>
                <w:szCs w:val="24"/>
                <w:highlight w:val="none"/>
              </w:rPr>
            </w:pPr>
            <w:r>
              <w:rPr>
                <w:rFonts w:hint="default" w:ascii="仿宋" w:hAnsi="仿宋" w:eastAsia="仿宋" w:cs="仿宋"/>
                <w:b/>
                <w:bCs/>
                <w:sz w:val="24"/>
                <w:szCs w:val="24"/>
                <w:highlight w:val="none"/>
              </w:rPr>
              <w:t>满分值</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E253052">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b/>
                <w:bCs/>
                <w:sz w:val="24"/>
                <w:szCs w:val="24"/>
                <w:highlight w:val="none"/>
              </w:rPr>
            </w:pPr>
            <w:r>
              <w:rPr>
                <w:rFonts w:hint="default" w:ascii="仿宋" w:hAnsi="仿宋" w:eastAsia="仿宋" w:cs="仿宋"/>
                <w:b/>
                <w:bCs/>
                <w:sz w:val="24"/>
                <w:szCs w:val="24"/>
                <w:highlight w:val="none"/>
              </w:rPr>
              <w:t>评价得分</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1A0BE2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b/>
                <w:bCs/>
                <w:sz w:val="24"/>
                <w:szCs w:val="24"/>
                <w:highlight w:val="none"/>
              </w:rPr>
            </w:pPr>
            <w:r>
              <w:rPr>
                <w:rFonts w:hint="default" w:ascii="仿宋" w:hAnsi="仿宋" w:eastAsia="仿宋" w:cs="仿宋"/>
                <w:b/>
                <w:bCs/>
                <w:sz w:val="24"/>
                <w:szCs w:val="24"/>
                <w:highlight w:val="none"/>
              </w:rPr>
              <w:t>得分率</w:t>
            </w:r>
          </w:p>
        </w:tc>
      </w:tr>
      <w:tr w14:paraId="13894C5E">
        <w:tblPrEx>
          <w:tblCellMar>
            <w:top w:w="0" w:type="dxa"/>
            <w:left w:w="10" w:type="dxa"/>
            <w:bottom w:w="0" w:type="dxa"/>
            <w:right w:w="10" w:type="dxa"/>
          </w:tblCellMar>
        </w:tblPrEx>
        <w:trPr>
          <w:trHeight w:val="423" w:hRule="atLeast"/>
          <w:jc w:val="center"/>
        </w:trPr>
        <w:tc>
          <w:tcPr>
            <w:tcW w:w="1831" w:type="dxa"/>
            <w:vMerge w:val="restart"/>
            <w:tcBorders>
              <w:left w:val="single" w:color="000000" w:sz="6" w:space="0"/>
              <w:right w:val="single" w:color="000000" w:sz="6" w:space="0"/>
            </w:tcBorders>
            <w:shd w:val="clear" w:color="auto" w:fill="FFFFFF"/>
            <w:tcMar>
              <w:left w:w="74" w:type="dxa"/>
              <w:right w:w="74" w:type="dxa"/>
            </w:tcMar>
            <w:vAlign w:val="center"/>
          </w:tcPr>
          <w:p w14:paraId="5B175B1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项目过程</w:t>
            </w: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E0C7094">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投入管理</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4F2170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4</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9AB16A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3.66</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A93A24F">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91.48%</w:t>
            </w:r>
          </w:p>
        </w:tc>
      </w:tr>
      <w:tr w14:paraId="6E741453">
        <w:tblPrEx>
          <w:tblCellMar>
            <w:top w:w="0" w:type="dxa"/>
            <w:left w:w="10" w:type="dxa"/>
            <w:bottom w:w="0" w:type="dxa"/>
            <w:right w:w="10" w:type="dxa"/>
          </w:tblCellMar>
        </w:tblPrEx>
        <w:trPr>
          <w:trHeight w:val="339" w:hRule="atLeast"/>
          <w:jc w:val="center"/>
        </w:trPr>
        <w:tc>
          <w:tcPr>
            <w:tcW w:w="1831" w:type="dxa"/>
            <w:vMerge w:val="continue"/>
            <w:tcBorders>
              <w:left w:val="single" w:color="000000" w:sz="6" w:space="0"/>
              <w:right w:val="single" w:color="000000" w:sz="6" w:space="0"/>
            </w:tcBorders>
            <w:shd w:val="clear" w:color="auto" w:fill="FFFFFF"/>
            <w:tcMar>
              <w:left w:w="74" w:type="dxa"/>
              <w:right w:w="74" w:type="dxa"/>
            </w:tcMar>
            <w:vAlign w:val="center"/>
          </w:tcPr>
          <w:p w14:paraId="701F00CF">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default" w:ascii="仿宋" w:hAnsi="仿宋" w:eastAsia="仿宋" w:cs="仿宋"/>
                <w:sz w:val="24"/>
                <w:szCs w:val="24"/>
                <w:highlight w:val="none"/>
              </w:rPr>
            </w:pP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4BE35D1">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资金管理</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1D2F44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cs="仿宋"/>
                <w:sz w:val="24"/>
                <w:szCs w:val="24"/>
                <w:highlight w:val="none"/>
                <w:lang w:val="en-US" w:eastAsia="zh-CN"/>
              </w:rPr>
              <w:t>6</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619A80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5.86</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4FFF9D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97.67%</w:t>
            </w:r>
          </w:p>
        </w:tc>
      </w:tr>
      <w:tr w14:paraId="553C0C53">
        <w:tblPrEx>
          <w:tblCellMar>
            <w:top w:w="0" w:type="dxa"/>
            <w:left w:w="10" w:type="dxa"/>
            <w:bottom w:w="0" w:type="dxa"/>
            <w:right w:w="10" w:type="dxa"/>
          </w:tblCellMar>
        </w:tblPrEx>
        <w:trPr>
          <w:trHeight w:val="348" w:hRule="atLeast"/>
          <w:jc w:val="center"/>
        </w:trPr>
        <w:tc>
          <w:tcPr>
            <w:tcW w:w="1831" w:type="dxa"/>
            <w:vMerge w:val="continue"/>
            <w:tcBorders>
              <w:left w:val="single" w:color="000000" w:sz="6" w:space="0"/>
              <w:bottom w:val="single" w:color="000000" w:sz="6" w:space="0"/>
              <w:right w:val="single" w:color="000000" w:sz="6" w:space="0"/>
            </w:tcBorders>
            <w:shd w:val="clear" w:color="auto" w:fill="FFFFFF"/>
            <w:tcMar>
              <w:left w:w="74" w:type="dxa"/>
              <w:right w:w="74" w:type="dxa"/>
            </w:tcMar>
            <w:vAlign w:val="center"/>
          </w:tcPr>
          <w:p w14:paraId="01DF337A">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default" w:ascii="仿宋" w:hAnsi="仿宋" w:eastAsia="仿宋" w:cs="仿宋"/>
                <w:sz w:val="24"/>
                <w:szCs w:val="24"/>
                <w:highlight w:val="none"/>
                <w:lang w:val="en-US" w:eastAsia="zh-CN"/>
              </w:rPr>
            </w:pP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173FF48">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项目实施</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AB4D128">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5</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5A29091">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4.5</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ADBDDD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cs="仿宋"/>
                <w:sz w:val="24"/>
                <w:szCs w:val="24"/>
                <w:highlight w:val="none"/>
                <w:lang w:val="en-US" w:eastAsia="zh-CN"/>
              </w:rPr>
              <w:t>90</w:t>
            </w:r>
            <w:r>
              <w:rPr>
                <w:rFonts w:hint="eastAsia" w:ascii="仿宋" w:hAnsi="仿宋" w:eastAsia="仿宋" w:cs="仿宋"/>
                <w:sz w:val="24"/>
                <w:szCs w:val="24"/>
                <w:highlight w:val="none"/>
                <w:lang w:val="en-US" w:eastAsia="zh-CN"/>
              </w:rPr>
              <w:t>%</w:t>
            </w:r>
          </w:p>
        </w:tc>
      </w:tr>
      <w:tr w14:paraId="1F723DD2">
        <w:tblPrEx>
          <w:tblCellMar>
            <w:top w:w="0" w:type="dxa"/>
            <w:left w:w="10" w:type="dxa"/>
            <w:bottom w:w="0" w:type="dxa"/>
            <w:right w:w="10" w:type="dxa"/>
          </w:tblCellMar>
        </w:tblPrEx>
        <w:trPr>
          <w:trHeight w:val="252" w:hRule="atLeast"/>
          <w:jc w:val="center"/>
        </w:trPr>
        <w:tc>
          <w:tcPr>
            <w:tcW w:w="3613"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8136F8F">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rPr>
            </w:pPr>
            <w:r>
              <w:rPr>
                <w:rFonts w:hint="default" w:ascii="仿宋" w:hAnsi="仿宋" w:eastAsia="仿宋" w:cs="仿宋"/>
                <w:sz w:val="24"/>
                <w:szCs w:val="24"/>
                <w:highlight w:val="none"/>
              </w:rPr>
              <w:t>合计</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85FB3D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8AA9A3A">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14.02</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23B7D0A">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cs="仿宋"/>
                <w:sz w:val="24"/>
                <w:szCs w:val="24"/>
                <w:highlight w:val="none"/>
                <w:lang w:val="en-US" w:eastAsia="zh-CN"/>
              </w:rPr>
              <w:t>93.47</w:t>
            </w:r>
            <w:r>
              <w:rPr>
                <w:rFonts w:hint="default" w:ascii="仿宋" w:hAnsi="仿宋" w:eastAsia="仿宋" w:cs="仿宋"/>
                <w:sz w:val="24"/>
                <w:szCs w:val="24"/>
                <w:highlight w:val="none"/>
              </w:rPr>
              <w:t>%</w:t>
            </w:r>
          </w:p>
        </w:tc>
      </w:tr>
    </w:tbl>
    <w:p w14:paraId="1D6C0117">
      <w:pPr>
        <w:bidi w:val="0"/>
        <w:ind w:firstLine="640" w:firstLineChars="0"/>
        <w:jc w:val="both"/>
        <w:outlineLvl w:val="2"/>
        <w:rPr>
          <w:rFonts w:hint="default" w:cs="Times New Roman"/>
          <w:b/>
          <w:bCs/>
          <w:kern w:val="2"/>
          <w:sz w:val="32"/>
          <w:szCs w:val="24"/>
          <w:lang w:val="en-US" w:eastAsia="zh-CN" w:bidi="ar-SA"/>
        </w:rPr>
      </w:pPr>
      <w:bookmarkStart w:id="56" w:name="_Toc32360"/>
      <w:r>
        <w:rPr>
          <w:rFonts w:hint="eastAsia" w:cs="Times New Roman"/>
          <w:b/>
          <w:bCs/>
          <w:kern w:val="2"/>
          <w:sz w:val="32"/>
          <w:szCs w:val="24"/>
          <w:lang w:val="en-US" w:eastAsia="zh-CN" w:bidi="ar-SA"/>
        </w:rPr>
        <w:t>1.</w:t>
      </w:r>
      <w:r>
        <w:rPr>
          <w:rFonts w:hint="default" w:cs="Times New Roman"/>
          <w:b/>
          <w:bCs/>
          <w:kern w:val="2"/>
          <w:sz w:val="32"/>
          <w:szCs w:val="24"/>
          <w:lang w:val="en-US" w:eastAsia="zh-CN" w:bidi="ar-SA"/>
        </w:rPr>
        <w:t>投入管理</w:t>
      </w:r>
      <w:bookmarkEnd w:id="56"/>
    </w:p>
    <w:p w14:paraId="493B5137">
      <w:pPr>
        <w:bidi w:val="0"/>
        <w:ind w:firstLine="640" w:firstLineChars="0"/>
        <w:jc w:val="both"/>
        <w:outlineLvl w:val="3"/>
        <w:rPr>
          <w:rFonts w:hint="default" w:cs="Times New Roman"/>
          <w:b/>
          <w:bCs/>
          <w:kern w:val="2"/>
          <w:sz w:val="32"/>
          <w:szCs w:val="24"/>
          <w:highlight w:val="none"/>
          <w:lang w:val="en-US" w:eastAsia="zh-CN" w:bidi="ar-SA"/>
        </w:rPr>
      </w:pPr>
      <w:r>
        <w:rPr>
          <w:rFonts w:hint="default" w:cs="Times New Roman"/>
          <w:b/>
          <w:bCs/>
          <w:kern w:val="2"/>
          <w:sz w:val="32"/>
          <w:szCs w:val="24"/>
          <w:highlight w:val="none"/>
          <w:lang w:val="en-US" w:eastAsia="zh-CN" w:bidi="ar-SA"/>
        </w:rPr>
        <w:t>（1）资金拨付率（满分</w:t>
      </w:r>
      <w:r>
        <w:rPr>
          <w:rFonts w:hint="eastAsia" w:cs="Times New Roman"/>
          <w:b/>
          <w:bCs/>
          <w:kern w:val="2"/>
          <w:sz w:val="32"/>
          <w:szCs w:val="24"/>
          <w:highlight w:val="none"/>
          <w:lang w:val="en-US" w:eastAsia="zh-CN" w:bidi="ar-SA"/>
        </w:rPr>
        <w:t>4</w:t>
      </w:r>
      <w:r>
        <w:rPr>
          <w:rFonts w:hint="default" w:cs="Times New Roman"/>
          <w:b/>
          <w:bCs/>
          <w:kern w:val="2"/>
          <w:sz w:val="32"/>
          <w:szCs w:val="24"/>
          <w:highlight w:val="none"/>
          <w:lang w:val="en-US" w:eastAsia="zh-CN" w:bidi="ar-SA"/>
        </w:rPr>
        <w:t>分，实得</w:t>
      </w:r>
      <w:r>
        <w:rPr>
          <w:rFonts w:hint="eastAsia" w:cs="Times New Roman"/>
          <w:b/>
          <w:bCs/>
          <w:kern w:val="2"/>
          <w:sz w:val="32"/>
          <w:szCs w:val="24"/>
          <w:highlight w:val="none"/>
          <w:lang w:val="en-US" w:eastAsia="zh-CN" w:bidi="ar-SA"/>
        </w:rPr>
        <w:t>3.66</w:t>
      </w:r>
      <w:r>
        <w:rPr>
          <w:rFonts w:hint="default" w:cs="Times New Roman"/>
          <w:b/>
          <w:bCs/>
          <w:kern w:val="2"/>
          <w:sz w:val="32"/>
          <w:szCs w:val="24"/>
          <w:highlight w:val="none"/>
          <w:lang w:val="en-US" w:eastAsia="zh-CN" w:bidi="ar-SA"/>
        </w:rPr>
        <w:t>分）</w:t>
      </w:r>
    </w:p>
    <w:p w14:paraId="1954F2DE">
      <w:pPr>
        <w:bidi w:val="0"/>
        <w:ind w:firstLine="640"/>
        <w:jc w:val="both"/>
        <w:rPr>
          <w:rFonts w:hint="default" w:cs="Times New Roman"/>
          <w:kern w:val="2"/>
          <w:sz w:val="32"/>
          <w:szCs w:val="24"/>
          <w:highlight w:val="none"/>
          <w:lang w:val="en-US" w:eastAsia="zh-CN" w:bidi="ar-SA"/>
        </w:rPr>
      </w:pPr>
      <w:r>
        <w:rPr>
          <w:rFonts w:hint="eastAsia" w:cs="Times New Roman"/>
          <w:kern w:val="2"/>
          <w:sz w:val="32"/>
          <w:szCs w:val="24"/>
          <w:highlight w:val="none"/>
          <w:lang w:val="en-US" w:eastAsia="zh-CN" w:bidi="ar-SA"/>
        </w:rPr>
        <w:t>本项目</w:t>
      </w:r>
      <w:r>
        <w:rPr>
          <w:rFonts w:hint="default" w:cs="Times New Roman"/>
          <w:kern w:val="2"/>
          <w:sz w:val="32"/>
          <w:szCs w:val="24"/>
          <w:highlight w:val="none"/>
          <w:lang w:val="en-US" w:eastAsia="zh-CN" w:bidi="ar-SA"/>
        </w:rPr>
        <w:t>采用PPP模式建设模式对宝塔湖污水处理厂进行提标升级和改扩建。通过政府采购方式选定社会资本，由县城投公司代表政府方与社会资本共同出资设立项目公司。在合作期内，项目的融资、改建/建设、运营及维护</w:t>
      </w:r>
      <w:r>
        <w:rPr>
          <w:rFonts w:hint="eastAsia" w:cs="Times New Roman"/>
          <w:kern w:val="2"/>
          <w:sz w:val="32"/>
          <w:szCs w:val="24"/>
          <w:highlight w:val="none"/>
          <w:lang w:val="en-US" w:eastAsia="zh-CN" w:bidi="ar-SA"/>
        </w:rPr>
        <w:t>资金由项目公司负责。项目一期残值3399万元由北京首创收购后支付计入总投资；项目二期改扩建计划投入资金6810.54万元，根据项目审计报告，二期实际总投资5940.67万元，合计总投资9339.67万元，资金拨付率91.48%。</w:t>
      </w:r>
    </w:p>
    <w:p w14:paraId="3C277EB8">
      <w:pPr>
        <w:bidi w:val="0"/>
        <w:ind w:firstLine="640"/>
        <w:jc w:val="both"/>
        <w:rPr>
          <w:rFonts w:hint="default" w:cs="Times New Roman"/>
          <w:kern w:val="2"/>
          <w:sz w:val="32"/>
          <w:szCs w:val="24"/>
          <w:highlight w:val="none"/>
          <w:lang w:val="en-US" w:eastAsia="zh-CN" w:bidi="ar-SA"/>
        </w:rPr>
      </w:pPr>
      <w:r>
        <w:rPr>
          <w:rFonts w:hint="eastAsia" w:cs="Times New Roman"/>
          <w:kern w:val="2"/>
          <w:sz w:val="32"/>
          <w:szCs w:val="24"/>
          <w:highlight w:val="none"/>
          <w:lang w:val="en-US" w:eastAsia="zh-CN" w:bidi="ar-SA"/>
        </w:rPr>
        <w:t>经评价，该项目指标满分4分，实得3.66分。</w:t>
      </w:r>
    </w:p>
    <w:p w14:paraId="490D39CE">
      <w:pPr>
        <w:numPr>
          <w:ilvl w:val="0"/>
          <w:numId w:val="0"/>
        </w:numPr>
        <w:bidi w:val="0"/>
        <w:ind w:left="0" w:leftChars="0" w:firstLine="640" w:firstLineChars="0"/>
        <w:jc w:val="both"/>
        <w:outlineLvl w:val="3"/>
        <w:rPr>
          <w:rFonts w:hint="eastAsia" w:cs="Times New Roman"/>
          <w:b/>
          <w:bCs/>
          <w:kern w:val="2"/>
          <w:sz w:val="32"/>
          <w:szCs w:val="24"/>
          <w:lang w:val="en-US" w:eastAsia="zh-CN" w:bidi="ar-SA"/>
        </w:rPr>
      </w:pPr>
      <w:r>
        <w:rPr>
          <w:rFonts w:hint="eastAsia" w:ascii="仿宋" w:hAnsi="仿宋" w:eastAsia="仿宋" w:cs="Times New Roman"/>
          <w:b/>
          <w:bCs/>
          <w:kern w:val="2"/>
          <w:sz w:val="32"/>
          <w:szCs w:val="24"/>
          <w:lang w:val="en-US" w:eastAsia="zh-CN" w:bidi="ar-SA"/>
        </w:rPr>
        <w:t>（2）</w:t>
      </w:r>
      <w:r>
        <w:rPr>
          <w:rFonts w:hint="eastAsia" w:cs="Times New Roman"/>
          <w:b/>
          <w:bCs/>
          <w:kern w:val="2"/>
          <w:sz w:val="32"/>
          <w:szCs w:val="24"/>
          <w:lang w:val="en-US" w:eastAsia="zh-CN" w:bidi="ar-SA"/>
        </w:rPr>
        <w:t>资金到位及时率（满分4分，实得3.86分）</w:t>
      </w:r>
    </w:p>
    <w:p w14:paraId="3E5FB2E8">
      <w:pPr>
        <w:numPr>
          <w:ilvl w:val="0"/>
          <w:numId w:val="0"/>
        </w:numPr>
        <w:bidi w:val="0"/>
        <w:ind w:left="0" w:leftChars="0" w:firstLine="640" w:firstLineChars="0"/>
        <w:jc w:val="both"/>
        <w:outlineLvl w:val="4"/>
        <w:rPr>
          <w:rFonts w:hint="default" w:cs="Times New Roman"/>
          <w:b/>
          <w:bCs/>
          <w:kern w:val="2"/>
          <w:sz w:val="32"/>
          <w:szCs w:val="24"/>
          <w:lang w:val="en-US" w:eastAsia="zh-CN" w:bidi="ar-SA"/>
        </w:rPr>
      </w:pPr>
      <w:r>
        <w:rPr>
          <w:rFonts w:hint="eastAsia" w:cs="Times New Roman"/>
          <w:b/>
          <w:bCs/>
          <w:kern w:val="2"/>
          <w:sz w:val="32"/>
          <w:szCs w:val="24"/>
          <w:lang w:val="en-US" w:eastAsia="zh-CN" w:bidi="ar-SA"/>
        </w:rPr>
        <w:t>①投入资本金到位及时率</w:t>
      </w:r>
    </w:p>
    <w:p w14:paraId="18917823">
      <w:pPr>
        <w:numPr>
          <w:ilvl w:val="0"/>
          <w:numId w:val="0"/>
        </w:numPr>
        <w:bidi w:val="0"/>
        <w:ind w:firstLine="640"/>
        <w:jc w:val="both"/>
        <w:rPr>
          <w:rFonts w:hint="eastAsia" w:cs="Times New Roman"/>
          <w:kern w:val="2"/>
          <w:sz w:val="32"/>
          <w:szCs w:val="24"/>
          <w:lang w:val="en-US" w:eastAsia="zh-CN" w:bidi="ar-SA"/>
        </w:rPr>
      </w:pPr>
      <w:r>
        <w:rPr>
          <w:rFonts w:hint="eastAsia" w:cs="Times New Roman"/>
          <w:kern w:val="2"/>
          <w:sz w:val="32"/>
          <w:szCs w:val="24"/>
          <w:lang w:val="en-US" w:eastAsia="zh-CN" w:bidi="ar-SA"/>
        </w:rPr>
        <w:t>根据项目协议，社会资本方与指定的政府出资方县城投公司共同组建项目公司，其中政府出资方即县城投公司出资占股比例为10%，社会资本北京首创生态环保集团股份有限公司出资占股比例为90%。北京首创生态环保集团股份有限公司3070万资本金已按期到位，占股100%，县城投公司未出资占股。该项目审计确定项目总投资 5940.67万元，全部由项目公司负责筹集。</w:t>
      </w:r>
    </w:p>
    <w:p w14:paraId="405B2905">
      <w:pPr>
        <w:numPr>
          <w:ilvl w:val="0"/>
          <w:numId w:val="0"/>
        </w:numPr>
        <w:bidi w:val="0"/>
        <w:jc w:val="both"/>
      </w:pPr>
      <w:r>
        <w:drawing>
          <wp:inline distT="0" distB="0" distL="114300" distR="114300">
            <wp:extent cx="5248910" cy="1594485"/>
            <wp:effectExtent l="0" t="0" r="8890" b="571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2"/>
                    <a:stretch>
                      <a:fillRect/>
                    </a:stretch>
                  </pic:blipFill>
                  <pic:spPr>
                    <a:xfrm>
                      <a:off x="0" y="0"/>
                      <a:ext cx="5248910" cy="1594485"/>
                    </a:xfrm>
                    <a:prstGeom prst="rect">
                      <a:avLst/>
                    </a:prstGeom>
                    <a:noFill/>
                    <a:ln>
                      <a:noFill/>
                    </a:ln>
                  </pic:spPr>
                </pic:pic>
              </a:graphicData>
            </a:graphic>
          </wp:inline>
        </w:drawing>
      </w:r>
    </w:p>
    <w:p w14:paraId="33DCA9D1">
      <w:pPr>
        <w:numPr>
          <w:ilvl w:val="0"/>
          <w:numId w:val="0"/>
        </w:numPr>
        <w:bidi w:val="0"/>
        <w:ind w:left="0" w:leftChars="0" w:firstLine="640" w:firstLineChars="0"/>
        <w:jc w:val="both"/>
        <w:outlineLvl w:val="4"/>
        <w:rPr>
          <w:rFonts w:hint="eastAsia"/>
          <w:b/>
          <w:bCs/>
          <w:lang w:val="en-US" w:eastAsia="zh-CN"/>
        </w:rPr>
      </w:pPr>
      <w:r>
        <w:rPr>
          <w:rFonts w:hint="eastAsia"/>
          <w:b/>
          <w:bCs/>
          <w:lang w:val="en-US" w:eastAsia="zh-CN"/>
        </w:rPr>
        <w:t>②项目污水处理费到位及时率</w:t>
      </w:r>
    </w:p>
    <w:p w14:paraId="5C668E95">
      <w:pPr>
        <w:numPr>
          <w:ilvl w:val="0"/>
          <w:numId w:val="0"/>
        </w:numPr>
        <w:bidi w:val="0"/>
        <w:ind w:firstLine="640"/>
        <w:jc w:val="both"/>
        <w:rPr>
          <w:rFonts w:hint="eastAsia"/>
          <w:highlight w:val="none"/>
          <w:lang w:val="en-US" w:eastAsia="zh-CN"/>
        </w:rPr>
      </w:pPr>
      <w:r>
        <w:rPr>
          <w:rFonts w:hint="eastAsia"/>
          <w:highlight w:val="none"/>
          <w:lang w:val="en-US" w:eastAsia="zh-CN"/>
        </w:rPr>
        <w:t>根据项目协议，本项目回报机制为“政府付费”，由政府直接向项目公司支付污水处理服务费，补偿其投资成本、经营成本等，并获得合理回报。政府付费来源为向居民征收的污水处理服务费和财政支出。截至2024年12月31日，宝塔湖污水处厂运营方黄石首创水务公司实收污水处理费8,590.42万元，应收污水处理费9,241.29万元，下差649.47万元，污水处理费拨付及时率92.96%。</w:t>
      </w:r>
    </w:p>
    <w:p w14:paraId="0452DFDF">
      <w:pPr>
        <w:numPr>
          <w:ilvl w:val="0"/>
          <w:numId w:val="0"/>
        </w:numPr>
        <w:bidi w:val="0"/>
        <w:ind w:firstLine="640"/>
        <w:jc w:val="both"/>
        <w:rPr>
          <w:rFonts w:hint="eastAsia"/>
          <w:highlight w:val="none"/>
          <w:lang w:val="en-US" w:eastAsia="zh-CN"/>
        </w:rPr>
      </w:pPr>
      <w:r>
        <w:rPr>
          <w:rFonts w:hint="eastAsia"/>
          <w:highlight w:val="none"/>
          <w:lang w:val="en-US" w:eastAsia="zh-CN"/>
        </w:rPr>
        <w:t>经评价，本项因股本及政府应付污水处理费未及时到位，影响项目的运营，按实际情况，实得分3.86分。</w:t>
      </w:r>
    </w:p>
    <w:p w14:paraId="03587022">
      <w:pPr>
        <w:numPr>
          <w:ilvl w:val="0"/>
          <w:numId w:val="0"/>
        </w:numPr>
        <w:bidi w:val="0"/>
        <w:ind w:left="0" w:leftChars="0" w:firstLine="640" w:firstLineChars="0"/>
        <w:jc w:val="both"/>
        <w:outlineLvl w:val="2"/>
        <w:rPr>
          <w:rFonts w:hint="default"/>
          <w:b/>
          <w:bCs/>
          <w:highlight w:val="none"/>
          <w:lang w:val="en-US" w:eastAsia="zh-CN"/>
        </w:rPr>
      </w:pPr>
      <w:bookmarkStart w:id="57" w:name="_Toc26268"/>
      <w:r>
        <w:rPr>
          <w:rFonts w:hint="eastAsia"/>
          <w:b/>
          <w:bCs/>
          <w:highlight w:val="none"/>
          <w:lang w:val="en-US" w:eastAsia="zh-CN"/>
        </w:rPr>
        <w:t>2.</w:t>
      </w:r>
      <w:r>
        <w:rPr>
          <w:rFonts w:hint="default"/>
          <w:b/>
          <w:bCs/>
          <w:highlight w:val="none"/>
          <w:lang w:val="en-US" w:eastAsia="zh-CN"/>
        </w:rPr>
        <w:t>资金使用合规性（满分3分，实得3分）</w:t>
      </w:r>
      <w:bookmarkEnd w:id="57"/>
    </w:p>
    <w:p w14:paraId="6307C5BF">
      <w:pPr>
        <w:numPr>
          <w:ilvl w:val="0"/>
          <w:numId w:val="0"/>
        </w:numPr>
        <w:bidi w:val="0"/>
        <w:ind w:firstLine="640"/>
        <w:jc w:val="both"/>
        <w:rPr>
          <w:rFonts w:hint="default"/>
          <w:highlight w:val="none"/>
          <w:lang w:val="en-US" w:eastAsia="zh-CN"/>
        </w:rPr>
      </w:pPr>
      <w:r>
        <w:rPr>
          <w:rFonts w:hint="default"/>
          <w:highlight w:val="none"/>
          <w:lang w:val="en-US" w:eastAsia="zh-CN"/>
        </w:rPr>
        <w:t>依据《</w:t>
      </w:r>
      <w:r>
        <w:rPr>
          <w:rFonts w:hint="eastAsia"/>
          <w:highlight w:val="none"/>
          <w:lang w:val="en-US" w:eastAsia="zh-CN"/>
        </w:rPr>
        <w:t>中华人民共和国</w:t>
      </w:r>
      <w:r>
        <w:rPr>
          <w:rFonts w:hint="default"/>
          <w:highlight w:val="none"/>
          <w:lang w:val="en-US" w:eastAsia="zh-CN"/>
        </w:rPr>
        <w:t>招标投标法</w:t>
      </w:r>
      <w:r>
        <w:rPr>
          <w:rFonts w:hint="eastAsia"/>
          <w:highlight w:val="none"/>
          <w:lang w:val="en-US" w:eastAsia="zh-CN"/>
        </w:rPr>
        <w:t>》《</w:t>
      </w:r>
      <w:r>
        <w:rPr>
          <w:rFonts w:hint="default"/>
          <w:highlight w:val="none"/>
          <w:lang w:val="en-US" w:eastAsia="zh-CN"/>
        </w:rPr>
        <w:t>国家发展改革委关于开展政府和社会资本合作的指导意见》（发改投资〔2014〕2724号）</w:t>
      </w:r>
      <w:r>
        <w:rPr>
          <w:rFonts w:hint="eastAsia"/>
          <w:highlight w:val="none"/>
          <w:lang w:val="en-US" w:eastAsia="zh-CN"/>
        </w:rPr>
        <w:t>、《基础设施和公用事业特许经营管理办法》（2015年第25号令）等文件</w:t>
      </w:r>
      <w:r>
        <w:rPr>
          <w:rFonts w:hint="default"/>
          <w:highlight w:val="none"/>
          <w:lang w:val="en-US" w:eastAsia="zh-CN"/>
        </w:rPr>
        <w:t>，阳新县宝塔湖污水处理厂扩建及提标升级工程项目的</w:t>
      </w:r>
      <w:r>
        <w:rPr>
          <w:rFonts w:hint="eastAsia"/>
          <w:highlight w:val="none"/>
          <w:lang w:val="en-US" w:eastAsia="zh-CN"/>
        </w:rPr>
        <w:t>申报、批复、招标</w:t>
      </w:r>
      <w:r>
        <w:rPr>
          <w:rFonts w:hint="default"/>
          <w:highlight w:val="none"/>
          <w:lang w:val="en-US" w:eastAsia="zh-CN"/>
        </w:rPr>
        <w:t>、设计、施工、</w:t>
      </w:r>
      <w:r>
        <w:rPr>
          <w:rFonts w:hint="eastAsia"/>
          <w:highlight w:val="none"/>
          <w:lang w:val="en-US" w:eastAsia="zh-CN"/>
        </w:rPr>
        <w:t>设备</w:t>
      </w:r>
      <w:r>
        <w:rPr>
          <w:rFonts w:hint="default"/>
          <w:highlight w:val="none"/>
          <w:lang w:val="en-US" w:eastAsia="zh-CN"/>
        </w:rPr>
        <w:t>采购</w:t>
      </w:r>
      <w:r>
        <w:rPr>
          <w:rFonts w:hint="eastAsia"/>
          <w:highlight w:val="none"/>
          <w:lang w:val="en-US" w:eastAsia="zh-CN"/>
        </w:rPr>
        <w:t>、运维等流程严格</w:t>
      </w:r>
      <w:r>
        <w:rPr>
          <w:rFonts w:hint="default"/>
          <w:highlight w:val="none"/>
          <w:lang w:val="en-US" w:eastAsia="zh-CN"/>
        </w:rPr>
        <w:t>按照法律法规进行，</w:t>
      </w:r>
      <w:r>
        <w:rPr>
          <w:rFonts w:hint="eastAsia"/>
          <w:highlight w:val="none"/>
          <w:lang w:val="en-US" w:eastAsia="zh-CN"/>
        </w:rPr>
        <w:t>有完整的资金管理办法，资金使用合法合规</w:t>
      </w:r>
      <w:r>
        <w:rPr>
          <w:rFonts w:hint="default"/>
          <w:highlight w:val="none"/>
          <w:lang w:val="en-US" w:eastAsia="zh-CN"/>
        </w:rPr>
        <w:t>。</w:t>
      </w:r>
    </w:p>
    <w:p w14:paraId="51FAF435">
      <w:pPr>
        <w:numPr>
          <w:ilvl w:val="0"/>
          <w:numId w:val="0"/>
        </w:numPr>
        <w:bidi w:val="0"/>
        <w:ind w:firstLine="640"/>
        <w:jc w:val="both"/>
        <w:rPr>
          <w:rFonts w:hint="default"/>
          <w:highlight w:val="none"/>
          <w:lang w:val="en-US" w:eastAsia="zh-CN"/>
        </w:rPr>
      </w:pPr>
      <w:r>
        <w:rPr>
          <w:rFonts w:hint="default"/>
          <w:highlight w:val="none"/>
          <w:lang w:val="en-US" w:eastAsia="zh-CN"/>
        </w:rPr>
        <w:t>该项目指标</w:t>
      </w:r>
      <w:r>
        <w:rPr>
          <w:rFonts w:hint="eastAsia"/>
          <w:highlight w:val="none"/>
          <w:lang w:val="en-US" w:eastAsia="zh-CN"/>
        </w:rPr>
        <w:t>满分</w:t>
      </w:r>
      <w:r>
        <w:rPr>
          <w:rFonts w:hint="default"/>
          <w:highlight w:val="none"/>
          <w:lang w:val="en-US" w:eastAsia="zh-CN"/>
        </w:rPr>
        <w:t>数3分，实际评价分数3分</w:t>
      </w:r>
    </w:p>
    <w:p w14:paraId="32430F14">
      <w:pPr>
        <w:numPr>
          <w:ilvl w:val="0"/>
          <w:numId w:val="0"/>
        </w:numPr>
        <w:bidi w:val="0"/>
        <w:ind w:left="0" w:leftChars="0" w:firstLine="640" w:firstLineChars="0"/>
        <w:jc w:val="both"/>
        <w:outlineLvl w:val="2"/>
        <w:rPr>
          <w:rFonts w:hint="default"/>
          <w:b/>
          <w:bCs/>
          <w:highlight w:val="none"/>
          <w:lang w:val="en-US" w:eastAsia="zh-CN"/>
        </w:rPr>
      </w:pPr>
      <w:bookmarkStart w:id="58" w:name="_Toc2147"/>
      <w:r>
        <w:rPr>
          <w:rFonts w:hint="eastAsia"/>
          <w:b/>
          <w:bCs/>
          <w:highlight w:val="none"/>
          <w:lang w:val="en-US" w:eastAsia="zh-CN"/>
        </w:rPr>
        <w:t>3.</w:t>
      </w:r>
      <w:r>
        <w:rPr>
          <w:rFonts w:hint="default"/>
          <w:b/>
          <w:bCs/>
          <w:highlight w:val="none"/>
          <w:lang w:val="en-US" w:eastAsia="zh-CN"/>
        </w:rPr>
        <w:t>项目实施（满分</w:t>
      </w:r>
      <w:r>
        <w:rPr>
          <w:rFonts w:hint="eastAsia"/>
          <w:b/>
          <w:bCs/>
          <w:highlight w:val="none"/>
          <w:lang w:val="en-US" w:eastAsia="zh-CN"/>
        </w:rPr>
        <w:t>5</w:t>
      </w:r>
      <w:r>
        <w:rPr>
          <w:rFonts w:hint="default"/>
          <w:b/>
          <w:bCs/>
          <w:highlight w:val="none"/>
          <w:lang w:val="en-US" w:eastAsia="zh-CN"/>
        </w:rPr>
        <w:t>分，实得4</w:t>
      </w:r>
      <w:r>
        <w:rPr>
          <w:rFonts w:hint="eastAsia"/>
          <w:b/>
          <w:bCs/>
          <w:highlight w:val="none"/>
          <w:lang w:val="en-US" w:eastAsia="zh-CN"/>
        </w:rPr>
        <w:t>.5</w:t>
      </w:r>
      <w:r>
        <w:rPr>
          <w:rFonts w:hint="default"/>
          <w:b/>
          <w:bCs/>
          <w:highlight w:val="none"/>
          <w:lang w:val="en-US" w:eastAsia="zh-CN"/>
        </w:rPr>
        <w:t>分）</w:t>
      </w:r>
      <w:bookmarkEnd w:id="58"/>
    </w:p>
    <w:p w14:paraId="5561571A">
      <w:pPr>
        <w:numPr>
          <w:ilvl w:val="0"/>
          <w:numId w:val="0"/>
        </w:numPr>
        <w:bidi w:val="0"/>
        <w:ind w:left="0" w:leftChars="0" w:firstLine="640" w:firstLineChars="0"/>
        <w:jc w:val="both"/>
        <w:outlineLvl w:val="3"/>
        <w:rPr>
          <w:rFonts w:hint="default"/>
          <w:b/>
          <w:bCs/>
          <w:highlight w:val="none"/>
          <w:lang w:val="en-US" w:eastAsia="zh-CN"/>
        </w:rPr>
      </w:pPr>
      <w:r>
        <w:rPr>
          <w:rFonts w:hint="default"/>
          <w:b/>
          <w:bCs/>
          <w:highlight w:val="none"/>
          <w:lang w:val="en-US" w:eastAsia="zh-CN"/>
        </w:rPr>
        <w:t>（1）组织机构（满分</w:t>
      </w:r>
      <w:r>
        <w:rPr>
          <w:rFonts w:hint="eastAsia"/>
          <w:b/>
          <w:bCs/>
          <w:highlight w:val="none"/>
          <w:lang w:val="en-US" w:eastAsia="zh-CN"/>
        </w:rPr>
        <w:t>1</w:t>
      </w:r>
      <w:r>
        <w:rPr>
          <w:rFonts w:hint="default"/>
          <w:b/>
          <w:bCs/>
          <w:highlight w:val="none"/>
          <w:lang w:val="en-US" w:eastAsia="zh-CN"/>
        </w:rPr>
        <w:t>分，实得</w:t>
      </w:r>
      <w:r>
        <w:rPr>
          <w:rFonts w:hint="eastAsia"/>
          <w:b/>
          <w:bCs/>
          <w:highlight w:val="none"/>
          <w:lang w:val="en-US" w:eastAsia="zh-CN"/>
        </w:rPr>
        <w:t>1</w:t>
      </w:r>
      <w:r>
        <w:rPr>
          <w:rFonts w:hint="default"/>
          <w:b/>
          <w:bCs/>
          <w:highlight w:val="none"/>
          <w:lang w:val="en-US" w:eastAsia="zh-CN"/>
        </w:rPr>
        <w:t>分）</w:t>
      </w:r>
    </w:p>
    <w:p w14:paraId="61BBB253">
      <w:pPr>
        <w:numPr>
          <w:ilvl w:val="0"/>
          <w:numId w:val="0"/>
        </w:numPr>
        <w:bidi w:val="0"/>
        <w:ind w:firstLine="640"/>
        <w:jc w:val="both"/>
        <w:rPr>
          <w:rFonts w:hint="default"/>
          <w:highlight w:val="none"/>
          <w:lang w:val="en-US" w:eastAsia="zh-CN"/>
        </w:rPr>
      </w:pPr>
      <w:r>
        <w:rPr>
          <w:rFonts w:hint="default"/>
          <w:highlight w:val="none"/>
          <w:lang w:val="en-US" w:eastAsia="zh-CN"/>
        </w:rPr>
        <w:t>阳新县宝塔湖污水处理厂扩建及提标升级工程项目</w:t>
      </w:r>
      <w:r>
        <w:rPr>
          <w:rFonts w:hint="eastAsia"/>
          <w:highlight w:val="none"/>
          <w:lang w:val="en-US" w:eastAsia="zh-CN"/>
        </w:rPr>
        <w:t>的顺利落地，</w:t>
      </w:r>
      <w:r>
        <w:rPr>
          <w:rFonts w:hint="eastAsia" w:ascii="仿宋" w:hAnsi="仿宋" w:eastAsia="仿宋" w:cs="Times New Roman"/>
          <w:kern w:val="2"/>
          <w:sz w:val="32"/>
          <w:szCs w:val="24"/>
          <w:highlight w:val="none"/>
          <w:lang w:val="en-US" w:eastAsia="zh-CN" w:bidi="ar-SA"/>
        </w:rPr>
        <w:t>得益于项目单位与政府部门的高度重视和精心组织。</w:t>
      </w:r>
      <w:r>
        <w:rPr>
          <w:rFonts w:hint="eastAsia" w:cs="Times New Roman"/>
          <w:kern w:val="2"/>
          <w:sz w:val="32"/>
          <w:szCs w:val="24"/>
          <w:highlight w:val="none"/>
          <w:lang w:val="en-US" w:eastAsia="zh-CN" w:bidi="ar-SA"/>
        </w:rPr>
        <w:t>项目实施过程中建立了专门的协调机制，成立了由阳新县人民政府牵头的，县住建局、县财政局、县发改局、县规划局、县国土局、县物价局、县审计局等相关单位为成员单位的项目工作领导小组。领导小组成员由相关职能部门负责人组成，负责整个PPP项目的统筹和决策，配合咨询机构尽职调研和资料搜集，建立协调推进机制保障项目积极稳妥推进。领导小组</w:t>
      </w:r>
      <w:r>
        <w:rPr>
          <w:rFonts w:hint="eastAsia" w:ascii="仿宋" w:hAnsi="仿宋" w:eastAsia="仿宋" w:cs="Times New Roman"/>
          <w:kern w:val="2"/>
          <w:sz w:val="32"/>
          <w:szCs w:val="24"/>
          <w:highlight w:val="none"/>
          <w:lang w:val="en-US" w:eastAsia="zh-CN" w:bidi="ar-SA"/>
        </w:rPr>
        <w:t>人员配置合理，职责明确，确保了项目各阶段工作的有序开展。在项目执行过程中，</w:t>
      </w:r>
      <w:r>
        <w:rPr>
          <w:rFonts w:hint="eastAsia" w:cs="Times New Roman"/>
          <w:kern w:val="2"/>
          <w:sz w:val="32"/>
          <w:szCs w:val="24"/>
          <w:highlight w:val="none"/>
          <w:lang w:val="en-US" w:eastAsia="zh-CN" w:bidi="ar-SA"/>
        </w:rPr>
        <w:t>领导小组</w:t>
      </w:r>
      <w:r>
        <w:rPr>
          <w:rFonts w:hint="eastAsia" w:ascii="仿宋" w:hAnsi="仿宋" w:eastAsia="仿宋" w:cs="Times New Roman"/>
          <w:kern w:val="2"/>
          <w:sz w:val="32"/>
          <w:szCs w:val="24"/>
          <w:highlight w:val="none"/>
          <w:lang w:val="en-US" w:eastAsia="zh-CN" w:bidi="ar-SA"/>
        </w:rPr>
        <w:t>充分发挥了协调与监督作用，有效推动了项目的顺利进行。</w:t>
      </w:r>
    </w:p>
    <w:p w14:paraId="2370B093">
      <w:pPr>
        <w:numPr>
          <w:ilvl w:val="0"/>
          <w:numId w:val="0"/>
        </w:numPr>
        <w:bidi w:val="0"/>
        <w:ind w:firstLine="640"/>
        <w:jc w:val="both"/>
        <w:rPr>
          <w:rFonts w:hint="default"/>
          <w:highlight w:val="none"/>
          <w:lang w:val="en-US" w:eastAsia="zh-CN"/>
        </w:rPr>
      </w:pPr>
      <w:r>
        <w:rPr>
          <w:rFonts w:hint="default"/>
          <w:highlight w:val="none"/>
          <w:lang w:val="en-US" w:eastAsia="zh-CN"/>
        </w:rPr>
        <w:t>该项目指标</w:t>
      </w:r>
      <w:r>
        <w:rPr>
          <w:rFonts w:hint="eastAsia"/>
          <w:highlight w:val="none"/>
          <w:lang w:val="en-US" w:eastAsia="zh-CN"/>
        </w:rPr>
        <w:t>满分</w:t>
      </w:r>
      <w:r>
        <w:rPr>
          <w:rFonts w:hint="default"/>
          <w:highlight w:val="none"/>
          <w:lang w:val="en-US" w:eastAsia="zh-CN"/>
        </w:rPr>
        <w:t>数</w:t>
      </w:r>
      <w:r>
        <w:rPr>
          <w:rFonts w:hint="eastAsia"/>
          <w:highlight w:val="none"/>
          <w:lang w:val="en-US" w:eastAsia="zh-CN"/>
        </w:rPr>
        <w:t>1</w:t>
      </w:r>
      <w:r>
        <w:rPr>
          <w:rFonts w:hint="default"/>
          <w:highlight w:val="none"/>
          <w:lang w:val="en-US" w:eastAsia="zh-CN"/>
        </w:rPr>
        <w:t>分，实际评价分数</w:t>
      </w:r>
      <w:r>
        <w:rPr>
          <w:rFonts w:hint="eastAsia"/>
          <w:highlight w:val="none"/>
          <w:lang w:val="en-US" w:eastAsia="zh-CN"/>
        </w:rPr>
        <w:t>1</w:t>
      </w:r>
      <w:r>
        <w:rPr>
          <w:rFonts w:hint="default"/>
          <w:highlight w:val="none"/>
          <w:lang w:val="en-US" w:eastAsia="zh-CN"/>
        </w:rPr>
        <w:t>分。</w:t>
      </w:r>
    </w:p>
    <w:p w14:paraId="2D64F7FD">
      <w:pPr>
        <w:numPr>
          <w:ilvl w:val="0"/>
          <w:numId w:val="0"/>
        </w:numPr>
        <w:bidi w:val="0"/>
        <w:ind w:left="0" w:leftChars="0" w:firstLine="640" w:firstLineChars="0"/>
        <w:jc w:val="both"/>
        <w:outlineLvl w:val="3"/>
        <w:rPr>
          <w:rFonts w:hint="default"/>
          <w:b/>
          <w:bCs/>
          <w:highlight w:val="none"/>
          <w:lang w:val="en-US" w:eastAsia="zh-CN"/>
        </w:rPr>
      </w:pPr>
      <w:r>
        <w:rPr>
          <w:rFonts w:hint="default"/>
          <w:b/>
          <w:bCs/>
          <w:highlight w:val="none"/>
          <w:lang w:val="en-US" w:eastAsia="zh-CN"/>
        </w:rPr>
        <w:t>（2）制度执行有效性（满分</w:t>
      </w:r>
      <w:r>
        <w:rPr>
          <w:rFonts w:hint="eastAsia"/>
          <w:b/>
          <w:bCs/>
          <w:highlight w:val="none"/>
          <w:lang w:val="en-US" w:eastAsia="zh-CN"/>
        </w:rPr>
        <w:t>1</w:t>
      </w:r>
      <w:r>
        <w:rPr>
          <w:rFonts w:hint="default"/>
          <w:b/>
          <w:bCs/>
          <w:highlight w:val="none"/>
          <w:lang w:val="en-US" w:eastAsia="zh-CN"/>
        </w:rPr>
        <w:t>分，实得</w:t>
      </w:r>
      <w:r>
        <w:rPr>
          <w:rFonts w:hint="eastAsia"/>
          <w:b/>
          <w:bCs/>
          <w:highlight w:val="none"/>
          <w:lang w:val="en-US" w:eastAsia="zh-CN"/>
        </w:rPr>
        <w:t>1</w:t>
      </w:r>
      <w:r>
        <w:rPr>
          <w:rFonts w:hint="default"/>
          <w:b/>
          <w:bCs/>
          <w:highlight w:val="none"/>
          <w:lang w:val="en-US" w:eastAsia="zh-CN"/>
        </w:rPr>
        <w:t>分）</w:t>
      </w:r>
    </w:p>
    <w:p w14:paraId="2BBDB949">
      <w:pPr>
        <w:numPr>
          <w:ilvl w:val="0"/>
          <w:numId w:val="0"/>
        </w:numPr>
        <w:bidi w:val="0"/>
        <w:ind w:firstLine="640"/>
        <w:jc w:val="both"/>
        <w:rPr>
          <w:rFonts w:hint="default"/>
          <w:highlight w:val="none"/>
          <w:lang w:val="en-US" w:eastAsia="zh-CN"/>
        </w:rPr>
      </w:pPr>
      <w:r>
        <w:rPr>
          <w:rFonts w:hint="default"/>
          <w:highlight w:val="none"/>
          <w:lang w:val="en-US" w:eastAsia="zh-CN"/>
        </w:rPr>
        <w:t>项目</w:t>
      </w:r>
      <w:r>
        <w:rPr>
          <w:rFonts w:hint="eastAsia"/>
          <w:highlight w:val="none"/>
          <w:lang w:val="en-US" w:eastAsia="zh-CN"/>
        </w:rPr>
        <w:t>单位</w:t>
      </w:r>
      <w:r>
        <w:rPr>
          <w:rFonts w:hint="default"/>
          <w:highlight w:val="none"/>
          <w:lang w:val="en-US" w:eastAsia="zh-CN"/>
        </w:rPr>
        <w:t>严格执行各项管理制度，每笔项目支出都有完备的审批手续，单据附件齐全，并做到专款专用，不存在截留、挤占、挪用、虚假套取等违反资金管理规定的现象，保证项目资金专款专用和整个项目资金收支</w:t>
      </w:r>
      <w:r>
        <w:rPr>
          <w:rFonts w:hint="eastAsia"/>
          <w:highlight w:val="none"/>
          <w:lang w:val="en-US" w:eastAsia="zh-CN"/>
        </w:rPr>
        <w:t>可追溯</w:t>
      </w:r>
      <w:r>
        <w:rPr>
          <w:rFonts w:hint="default"/>
          <w:highlight w:val="none"/>
          <w:lang w:val="en-US" w:eastAsia="zh-CN"/>
        </w:rPr>
        <w:t>；</w:t>
      </w:r>
    </w:p>
    <w:p w14:paraId="788F1DEE">
      <w:pPr>
        <w:numPr>
          <w:ilvl w:val="0"/>
          <w:numId w:val="0"/>
        </w:numPr>
        <w:bidi w:val="0"/>
        <w:ind w:firstLine="640"/>
        <w:jc w:val="both"/>
        <w:rPr>
          <w:rFonts w:hint="default"/>
          <w:highlight w:val="none"/>
          <w:lang w:val="en-US" w:eastAsia="zh-CN"/>
        </w:rPr>
      </w:pPr>
      <w:r>
        <w:rPr>
          <w:rFonts w:hint="default"/>
          <w:highlight w:val="none"/>
          <w:lang w:val="en-US" w:eastAsia="zh-CN"/>
        </w:rPr>
        <w:t>经评价，项目执行有按制度执行，实得2分。</w:t>
      </w:r>
    </w:p>
    <w:p w14:paraId="3F4DE49B">
      <w:pPr>
        <w:numPr>
          <w:ilvl w:val="0"/>
          <w:numId w:val="0"/>
        </w:numPr>
        <w:bidi w:val="0"/>
        <w:ind w:firstLine="640"/>
        <w:jc w:val="both"/>
        <w:rPr>
          <w:rFonts w:hint="eastAsia"/>
          <w:b/>
          <w:bCs/>
          <w:highlight w:val="none"/>
          <w:lang w:val="en-US" w:eastAsia="zh-CN"/>
        </w:rPr>
      </w:pPr>
      <w:r>
        <w:rPr>
          <w:rFonts w:hint="eastAsia"/>
          <w:b/>
          <w:bCs/>
          <w:highlight w:val="none"/>
          <w:lang w:val="en-US" w:eastAsia="zh-CN"/>
        </w:rPr>
        <w:t>（3）项目监督（满分3分，实得2.5分）</w:t>
      </w:r>
    </w:p>
    <w:p w14:paraId="238613CC">
      <w:pPr>
        <w:numPr>
          <w:ilvl w:val="0"/>
          <w:numId w:val="0"/>
        </w:numPr>
        <w:bidi w:val="0"/>
        <w:ind w:left="0" w:leftChars="0" w:firstLine="640" w:firstLineChars="0"/>
        <w:jc w:val="both"/>
        <w:outlineLvl w:val="1"/>
        <w:rPr>
          <w:rFonts w:hint="eastAsia" w:cs="Times New Roman"/>
          <w:kern w:val="2"/>
          <w:sz w:val="32"/>
          <w:szCs w:val="24"/>
          <w:highlight w:val="none"/>
          <w:lang w:val="en-US" w:eastAsia="zh-CN" w:bidi="ar-SA"/>
        </w:rPr>
      </w:pPr>
      <w:bookmarkStart w:id="59" w:name="_Toc19652"/>
      <w:bookmarkStart w:id="60" w:name="_Toc9793"/>
      <w:bookmarkStart w:id="61" w:name="_Toc18826"/>
      <w:r>
        <w:rPr>
          <w:rFonts w:hint="eastAsia"/>
          <w:highlight w:val="none"/>
          <w:lang w:val="en-US" w:eastAsia="zh-CN"/>
        </w:rPr>
        <w:t>项目</w:t>
      </w:r>
      <w:r>
        <w:rPr>
          <w:rFonts w:hint="eastAsia" w:ascii="仿宋" w:hAnsi="仿宋" w:eastAsia="仿宋" w:cs="Times New Roman"/>
          <w:kern w:val="2"/>
          <w:sz w:val="32"/>
          <w:szCs w:val="24"/>
          <w:highlight w:val="none"/>
          <w:lang w:val="en-US" w:eastAsia="zh-CN" w:bidi="ar-SA"/>
        </w:rPr>
        <w:t>在监督过程中，各成员单位分工明确、协同合作，对项目的各个环节进行了全方位、多层次的监督。领导小组定期召开会议，听取项目进展情况汇报，及时研究解决项目推进中遇到的问题。同时对项目实施单位的日常监督检查，通过实地查看、查阅资料、听取汇报等方式，全面了解项目实施情况</w:t>
      </w:r>
      <w:r>
        <w:rPr>
          <w:rFonts w:hint="eastAsia" w:cs="Times New Roman"/>
          <w:kern w:val="2"/>
          <w:sz w:val="32"/>
          <w:szCs w:val="24"/>
          <w:highlight w:val="none"/>
          <w:lang w:val="en-US" w:eastAsia="zh-CN" w:bidi="ar-SA"/>
        </w:rPr>
        <w:t>，</w:t>
      </w:r>
      <w:r>
        <w:rPr>
          <w:rFonts w:hint="eastAsia" w:ascii="仿宋" w:hAnsi="仿宋" w:eastAsia="仿宋" w:cs="Times New Roman"/>
          <w:kern w:val="2"/>
          <w:sz w:val="32"/>
          <w:szCs w:val="24"/>
          <w:highlight w:val="none"/>
          <w:lang w:val="en-US" w:eastAsia="zh-CN" w:bidi="ar-SA"/>
        </w:rPr>
        <w:t>积极接受社会公众的监督</w:t>
      </w:r>
      <w:r>
        <w:rPr>
          <w:rFonts w:hint="eastAsia" w:cs="Times New Roman"/>
          <w:kern w:val="2"/>
          <w:sz w:val="32"/>
          <w:szCs w:val="24"/>
          <w:highlight w:val="none"/>
          <w:lang w:val="en-US" w:eastAsia="zh-CN" w:bidi="ar-SA"/>
        </w:rPr>
        <w:t>，针对发现的问题能够及时整改到位，但在项目实际运营过程中，对运营单位提出的提高污水、污泥收费标准的合理诉求回应不够及时。</w:t>
      </w:r>
      <w:bookmarkEnd w:id="59"/>
      <w:bookmarkEnd w:id="60"/>
      <w:bookmarkEnd w:id="61"/>
    </w:p>
    <w:p w14:paraId="345EF417">
      <w:pPr>
        <w:numPr>
          <w:ilvl w:val="0"/>
          <w:numId w:val="0"/>
        </w:numPr>
        <w:bidi w:val="0"/>
        <w:ind w:left="0" w:leftChars="0" w:firstLine="640" w:firstLineChars="0"/>
        <w:jc w:val="both"/>
        <w:outlineLvl w:val="1"/>
        <w:rPr>
          <w:rFonts w:hint="eastAsia" w:cs="Times New Roman"/>
          <w:kern w:val="2"/>
          <w:sz w:val="32"/>
          <w:szCs w:val="24"/>
          <w:highlight w:val="none"/>
          <w:lang w:val="en-US" w:eastAsia="zh-CN" w:bidi="ar-SA"/>
        </w:rPr>
      </w:pPr>
      <w:bookmarkStart w:id="62" w:name="_Toc29116"/>
      <w:bookmarkStart w:id="63" w:name="_Toc12563"/>
      <w:bookmarkStart w:id="64" w:name="_Toc30292"/>
      <w:r>
        <w:rPr>
          <w:rFonts w:hint="eastAsia" w:cs="Times New Roman"/>
          <w:kern w:val="2"/>
          <w:sz w:val="32"/>
          <w:szCs w:val="24"/>
          <w:highlight w:val="none"/>
          <w:lang w:val="en-US" w:eastAsia="zh-CN" w:bidi="ar-SA"/>
        </w:rPr>
        <w:t>经评价，项目监管方对运营单位提出的提高污水、污泥收费标准的各种各样诉求回应不够及时，实得2.5分。</w:t>
      </w:r>
      <w:bookmarkEnd w:id="62"/>
      <w:bookmarkEnd w:id="63"/>
      <w:bookmarkEnd w:id="64"/>
    </w:p>
    <w:p w14:paraId="443582B2">
      <w:pPr>
        <w:numPr>
          <w:ilvl w:val="0"/>
          <w:numId w:val="0"/>
        </w:numPr>
        <w:bidi w:val="0"/>
        <w:ind w:left="0" w:leftChars="0" w:firstLine="640" w:firstLineChars="0"/>
        <w:jc w:val="both"/>
        <w:outlineLvl w:val="1"/>
        <w:rPr>
          <w:rFonts w:hint="eastAsia" w:ascii="楷体" w:hAnsi="楷体" w:eastAsia="楷体" w:cs="楷体"/>
          <w:highlight w:val="none"/>
          <w:lang w:val="en-US" w:eastAsia="zh-CN"/>
        </w:rPr>
      </w:pPr>
      <w:bookmarkStart w:id="65" w:name="_Toc27204"/>
      <w:r>
        <w:rPr>
          <w:rFonts w:hint="eastAsia" w:ascii="楷体" w:hAnsi="楷体" w:eastAsia="楷体" w:cs="楷体"/>
          <w:highlight w:val="none"/>
          <w:lang w:val="en-US" w:eastAsia="zh-CN"/>
        </w:rPr>
        <w:t>（三）项目产出情况分析</w:t>
      </w:r>
      <w:bookmarkEnd w:id="65"/>
    </w:p>
    <w:p w14:paraId="5721D155">
      <w:pPr>
        <w:numPr>
          <w:ilvl w:val="0"/>
          <w:numId w:val="0"/>
        </w:numPr>
        <w:bidi w:val="0"/>
        <w:ind w:firstLine="640"/>
        <w:jc w:val="both"/>
        <w:rPr>
          <w:rFonts w:hint="default"/>
          <w:highlight w:val="none"/>
          <w:lang w:val="en-US" w:eastAsia="zh-CN"/>
        </w:rPr>
      </w:pPr>
      <w:r>
        <w:rPr>
          <w:rFonts w:hint="default"/>
          <w:highlight w:val="none"/>
          <w:lang w:val="en-US" w:eastAsia="zh-CN"/>
        </w:rPr>
        <w:t>该类指标包括数量指标、质量指标、时效指标、成本指标等指标，主要考核项目资金使用、工程各项指标完成情况等。该类项目满分</w:t>
      </w:r>
      <w:r>
        <w:rPr>
          <w:rFonts w:hint="eastAsia"/>
          <w:highlight w:val="none"/>
          <w:lang w:val="en-US" w:eastAsia="zh-CN"/>
        </w:rPr>
        <w:t>50</w:t>
      </w:r>
      <w:r>
        <w:rPr>
          <w:rFonts w:hint="default"/>
          <w:highlight w:val="none"/>
          <w:lang w:val="en-US" w:eastAsia="zh-CN"/>
        </w:rPr>
        <w:t>.00分，评价得分</w:t>
      </w:r>
      <w:r>
        <w:rPr>
          <w:rFonts w:hint="eastAsia"/>
          <w:highlight w:val="none"/>
          <w:lang w:val="en-US" w:eastAsia="zh-CN"/>
        </w:rPr>
        <w:t>39.22</w:t>
      </w:r>
      <w:r>
        <w:rPr>
          <w:rFonts w:hint="default"/>
          <w:highlight w:val="none"/>
          <w:lang w:val="en-US" w:eastAsia="zh-CN"/>
        </w:rPr>
        <w:t>分，得分率为</w:t>
      </w:r>
      <w:r>
        <w:rPr>
          <w:rFonts w:hint="eastAsia"/>
          <w:highlight w:val="none"/>
          <w:lang w:val="en-US" w:eastAsia="zh-CN"/>
        </w:rPr>
        <w:t>78.44</w:t>
      </w:r>
      <w:r>
        <w:rPr>
          <w:rFonts w:hint="default"/>
          <w:highlight w:val="none"/>
          <w:lang w:val="en-US" w:eastAsia="zh-CN"/>
        </w:rPr>
        <w:t>%。</w:t>
      </w:r>
    </w:p>
    <w:p w14:paraId="28AC97A8">
      <w:pPr>
        <w:numPr>
          <w:ilvl w:val="0"/>
          <w:numId w:val="0"/>
        </w:numPr>
        <w:bidi w:val="0"/>
        <w:ind w:firstLine="640"/>
        <w:jc w:val="both"/>
        <w:rPr>
          <w:rFonts w:hint="default"/>
          <w:highlight w:val="none"/>
          <w:lang w:val="en-US" w:eastAsia="zh-CN"/>
        </w:rPr>
      </w:pPr>
      <w:r>
        <w:rPr>
          <w:rFonts w:ascii="仿宋" w:hAnsi="仿宋" w:eastAsia="仿宋" w:cs="仿宋"/>
          <w:sz w:val="24"/>
          <w:szCs w:val="24"/>
          <w:highlight w:val="none"/>
        </w:rPr>
        <w:t>项目产出类指标具体分值及得分情况如下表</w:t>
      </w:r>
      <w:r>
        <w:rPr>
          <w:rFonts w:hint="eastAsia" w:cs="仿宋"/>
          <w:sz w:val="24"/>
          <w:szCs w:val="24"/>
          <w:highlight w:val="none"/>
          <w:lang w:val="en-US" w:eastAsia="zh-CN"/>
        </w:rPr>
        <w:t>6</w:t>
      </w:r>
      <w:r>
        <w:rPr>
          <w:rFonts w:hint="eastAsia" w:ascii="仿宋" w:hAnsi="仿宋" w:eastAsia="仿宋" w:cs="仿宋"/>
          <w:sz w:val="24"/>
          <w:szCs w:val="24"/>
          <w:highlight w:val="none"/>
          <w:lang w:val="en-US" w:eastAsia="zh-CN"/>
        </w:rPr>
        <w:t>-</w:t>
      </w:r>
      <w:r>
        <w:rPr>
          <w:rFonts w:ascii="仿宋" w:hAnsi="仿宋" w:eastAsia="仿宋" w:cs="仿宋"/>
          <w:sz w:val="24"/>
          <w:szCs w:val="24"/>
          <w:highlight w:val="none"/>
        </w:rPr>
        <w:t>3</w:t>
      </w:r>
    </w:p>
    <w:tbl>
      <w:tblPr>
        <w:tblStyle w:val="12"/>
        <w:tblpPr w:leftFromText="180" w:rightFromText="180" w:vertAnchor="text" w:horzAnchor="page" w:tblpX="1750" w:tblpY="530"/>
        <w:tblOverlap w:val="never"/>
        <w:tblW w:w="4998" w:type="pct"/>
        <w:tblInd w:w="0" w:type="dxa"/>
        <w:tblLayout w:type="autofit"/>
        <w:tblCellMar>
          <w:top w:w="0" w:type="dxa"/>
          <w:left w:w="10" w:type="dxa"/>
          <w:bottom w:w="0" w:type="dxa"/>
          <w:right w:w="10" w:type="dxa"/>
        </w:tblCellMar>
      </w:tblPr>
      <w:tblGrid>
        <w:gridCol w:w="1807"/>
        <w:gridCol w:w="1809"/>
        <w:gridCol w:w="1415"/>
        <w:gridCol w:w="1808"/>
        <w:gridCol w:w="1612"/>
      </w:tblGrid>
      <w:tr w14:paraId="45122431">
        <w:trPr>
          <w:trHeight w:val="440" w:hRule="atLeast"/>
        </w:trPr>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A82476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rPr>
              <w:t>级指标</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48DDB34">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二级指标</w:t>
            </w:r>
          </w:p>
        </w:tc>
        <w:tc>
          <w:tcPr>
            <w:tcW w:w="837"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BBA81E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满分值</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8E18B0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评价得分</w:t>
            </w:r>
          </w:p>
        </w:tc>
        <w:tc>
          <w:tcPr>
            <w:tcW w:w="95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5CC6975">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得分率</w:t>
            </w:r>
          </w:p>
        </w:tc>
      </w:tr>
      <w:tr w14:paraId="05CA6576">
        <w:tblPrEx>
          <w:tblCellMar>
            <w:top w:w="0" w:type="dxa"/>
            <w:left w:w="10" w:type="dxa"/>
            <w:bottom w:w="0" w:type="dxa"/>
            <w:right w:w="10" w:type="dxa"/>
          </w:tblCellMar>
        </w:tblPrEx>
        <w:trPr>
          <w:trHeight w:val="395" w:hRule="atLeast"/>
        </w:trPr>
        <w:tc>
          <w:tcPr>
            <w:tcW w:w="1069" w:type="pct"/>
            <w:vMerge w:val="restar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F84D61C">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项目产出</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ACD208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数量指标</w:t>
            </w:r>
          </w:p>
        </w:tc>
        <w:tc>
          <w:tcPr>
            <w:tcW w:w="837"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A3104F7">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r>
              <w:rPr>
                <w:rFonts w:hint="eastAsia" w:cs="仿宋"/>
                <w:sz w:val="24"/>
                <w:szCs w:val="24"/>
                <w:highlight w:val="none"/>
                <w:lang w:val="en-US" w:eastAsia="zh-CN"/>
              </w:rPr>
              <w:t>5</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D43ED55">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14.72</w:t>
            </w:r>
          </w:p>
        </w:tc>
        <w:tc>
          <w:tcPr>
            <w:tcW w:w="95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2654DA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58.88</w:t>
            </w:r>
            <w:r>
              <w:rPr>
                <w:rFonts w:hint="eastAsia" w:ascii="仿宋" w:hAnsi="仿宋" w:eastAsia="仿宋" w:cs="仿宋"/>
                <w:sz w:val="24"/>
                <w:szCs w:val="24"/>
                <w:highlight w:val="none"/>
              </w:rPr>
              <w:t>%</w:t>
            </w:r>
          </w:p>
        </w:tc>
      </w:tr>
      <w:tr w14:paraId="1FC05A35">
        <w:tblPrEx>
          <w:tblCellMar>
            <w:top w:w="0" w:type="dxa"/>
            <w:left w:w="10" w:type="dxa"/>
            <w:bottom w:w="0" w:type="dxa"/>
            <w:right w:w="10" w:type="dxa"/>
          </w:tblCellMar>
        </w:tblPrEx>
        <w:tc>
          <w:tcPr>
            <w:tcW w:w="1069" w:type="pct"/>
            <w:vMerge w:val="continue"/>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416C00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1895D84">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质量指标</w:t>
            </w:r>
          </w:p>
        </w:tc>
        <w:tc>
          <w:tcPr>
            <w:tcW w:w="837"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D93B2E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10</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2E6C6C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9.5</w:t>
            </w:r>
          </w:p>
        </w:tc>
        <w:tc>
          <w:tcPr>
            <w:tcW w:w="95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87D76D2">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95.00</w:t>
            </w:r>
            <w:r>
              <w:rPr>
                <w:rFonts w:hint="eastAsia" w:ascii="仿宋" w:hAnsi="仿宋" w:eastAsia="仿宋" w:cs="仿宋"/>
                <w:sz w:val="24"/>
                <w:szCs w:val="24"/>
                <w:highlight w:val="none"/>
              </w:rPr>
              <w:t>%</w:t>
            </w:r>
          </w:p>
        </w:tc>
      </w:tr>
      <w:tr w14:paraId="49DFA18C">
        <w:tblPrEx>
          <w:tblCellMar>
            <w:top w:w="0" w:type="dxa"/>
            <w:left w:w="10" w:type="dxa"/>
            <w:bottom w:w="0" w:type="dxa"/>
            <w:right w:w="10" w:type="dxa"/>
          </w:tblCellMar>
        </w:tblPrEx>
        <w:tc>
          <w:tcPr>
            <w:tcW w:w="1069" w:type="pct"/>
            <w:vMerge w:val="continue"/>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5483A2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823470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时效指标</w:t>
            </w:r>
          </w:p>
        </w:tc>
        <w:tc>
          <w:tcPr>
            <w:tcW w:w="837"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856721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6052E36">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5</w:t>
            </w:r>
          </w:p>
        </w:tc>
        <w:tc>
          <w:tcPr>
            <w:tcW w:w="95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879D257">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100.00</w:t>
            </w:r>
            <w:r>
              <w:rPr>
                <w:rFonts w:hint="eastAsia" w:ascii="仿宋" w:hAnsi="仿宋" w:eastAsia="仿宋" w:cs="仿宋"/>
                <w:sz w:val="24"/>
                <w:szCs w:val="24"/>
                <w:highlight w:val="none"/>
              </w:rPr>
              <w:t>%</w:t>
            </w:r>
          </w:p>
        </w:tc>
      </w:tr>
      <w:tr w14:paraId="6FD22AE3">
        <w:tblPrEx>
          <w:tblCellMar>
            <w:top w:w="0" w:type="dxa"/>
            <w:left w:w="10" w:type="dxa"/>
            <w:bottom w:w="0" w:type="dxa"/>
            <w:right w:w="10" w:type="dxa"/>
          </w:tblCellMar>
        </w:tblPrEx>
        <w:tc>
          <w:tcPr>
            <w:tcW w:w="1069" w:type="pct"/>
            <w:vMerge w:val="continue"/>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EC6E6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7DBE04C">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成本指标</w:t>
            </w:r>
          </w:p>
        </w:tc>
        <w:tc>
          <w:tcPr>
            <w:tcW w:w="837"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DBA9844">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10</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D6024F">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10</w:t>
            </w:r>
          </w:p>
        </w:tc>
        <w:tc>
          <w:tcPr>
            <w:tcW w:w="95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4FF453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100.00</w:t>
            </w:r>
            <w:r>
              <w:rPr>
                <w:rFonts w:hint="eastAsia" w:ascii="仿宋" w:hAnsi="仿宋" w:eastAsia="仿宋" w:cs="仿宋"/>
                <w:sz w:val="24"/>
                <w:szCs w:val="24"/>
                <w:highlight w:val="none"/>
              </w:rPr>
              <w:t>%</w:t>
            </w:r>
          </w:p>
        </w:tc>
      </w:tr>
      <w:tr w14:paraId="620C0C72">
        <w:tblPrEx>
          <w:tblCellMar>
            <w:top w:w="0" w:type="dxa"/>
            <w:left w:w="10" w:type="dxa"/>
            <w:bottom w:w="0" w:type="dxa"/>
            <w:right w:w="10" w:type="dxa"/>
          </w:tblCellMar>
        </w:tblPrEx>
        <w:tc>
          <w:tcPr>
            <w:tcW w:w="2139" w:type="pct"/>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9D075AC">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837"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4BEE9A4">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50</w:t>
            </w:r>
          </w:p>
        </w:tc>
        <w:tc>
          <w:tcPr>
            <w:tcW w:w="1069"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1D3DA0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39.22</w:t>
            </w:r>
          </w:p>
        </w:tc>
        <w:tc>
          <w:tcPr>
            <w:tcW w:w="953" w:type="pc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E0C964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78.44</w:t>
            </w:r>
            <w:r>
              <w:rPr>
                <w:rFonts w:hint="eastAsia" w:ascii="仿宋" w:hAnsi="仿宋" w:eastAsia="仿宋" w:cs="仿宋"/>
                <w:sz w:val="24"/>
                <w:szCs w:val="24"/>
                <w:highlight w:val="none"/>
              </w:rPr>
              <w:t>%</w:t>
            </w:r>
          </w:p>
        </w:tc>
      </w:tr>
    </w:tbl>
    <w:p w14:paraId="406C73AB">
      <w:pPr>
        <w:numPr>
          <w:ilvl w:val="0"/>
          <w:numId w:val="0"/>
        </w:numPr>
        <w:bidi w:val="0"/>
        <w:ind w:left="0" w:leftChars="0" w:firstLine="640" w:firstLineChars="0"/>
        <w:jc w:val="both"/>
        <w:outlineLvl w:val="2"/>
        <w:rPr>
          <w:rFonts w:hint="default"/>
          <w:b/>
          <w:bCs/>
          <w:highlight w:val="none"/>
          <w:lang w:val="en-US" w:eastAsia="zh-CN"/>
        </w:rPr>
      </w:pPr>
      <w:bookmarkStart w:id="66" w:name="_Toc25402"/>
      <w:r>
        <w:rPr>
          <w:rFonts w:hint="eastAsia"/>
          <w:b/>
          <w:bCs/>
          <w:highlight w:val="none"/>
          <w:lang w:val="en-US" w:eastAsia="zh-CN"/>
        </w:rPr>
        <w:t>1.</w:t>
      </w:r>
      <w:r>
        <w:rPr>
          <w:rFonts w:hint="default"/>
          <w:b/>
          <w:bCs/>
          <w:highlight w:val="none"/>
          <w:lang w:val="en-US" w:eastAsia="zh-CN"/>
        </w:rPr>
        <w:t>数量指标（满分2</w:t>
      </w:r>
      <w:r>
        <w:rPr>
          <w:rFonts w:hint="eastAsia"/>
          <w:b/>
          <w:bCs/>
          <w:highlight w:val="none"/>
          <w:lang w:val="en-US" w:eastAsia="zh-CN"/>
        </w:rPr>
        <w:t>5</w:t>
      </w:r>
      <w:r>
        <w:rPr>
          <w:rFonts w:hint="default"/>
          <w:b/>
          <w:bCs/>
          <w:highlight w:val="none"/>
          <w:lang w:val="en-US" w:eastAsia="zh-CN"/>
        </w:rPr>
        <w:t>分，实得</w:t>
      </w:r>
      <w:r>
        <w:rPr>
          <w:rFonts w:hint="eastAsia"/>
          <w:b/>
          <w:bCs/>
          <w:highlight w:val="none"/>
          <w:lang w:val="en-US" w:eastAsia="zh-CN"/>
        </w:rPr>
        <w:t>14.72</w:t>
      </w:r>
      <w:r>
        <w:rPr>
          <w:rFonts w:hint="default"/>
          <w:b/>
          <w:bCs/>
          <w:highlight w:val="none"/>
          <w:lang w:val="en-US" w:eastAsia="zh-CN"/>
        </w:rPr>
        <w:t>分）</w:t>
      </w:r>
      <w:bookmarkEnd w:id="66"/>
    </w:p>
    <w:p w14:paraId="453D8D83">
      <w:pPr>
        <w:numPr>
          <w:ilvl w:val="0"/>
          <w:numId w:val="0"/>
        </w:numPr>
        <w:bidi w:val="0"/>
        <w:ind w:left="0" w:leftChars="0" w:firstLine="640" w:firstLineChars="0"/>
        <w:jc w:val="both"/>
        <w:outlineLvl w:val="3"/>
        <w:rPr>
          <w:rFonts w:hint="eastAsia"/>
          <w:b/>
          <w:bCs/>
          <w:highlight w:val="none"/>
          <w:lang w:val="en-US" w:eastAsia="zh-CN"/>
        </w:rPr>
      </w:pPr>
      <w:r>
        <w:rPr>
          <w:rFonts w:hint="default"/>
          <w:b/>
          <w:bCs/>
          <w:highlight w:val="none"/>
          <w:lang w:val="en-US" w:eastAsia="zh-CN"/>
        </w:rPr>
        <w:t>（1）</w:t>
      </w:r>
      <w:r>
        <w:rPr>
          <w:rFonts w:hint="eastAsia"/>
          <w:b/>
          <w:bCs/>
          <w:highlight w:val="none"/>
          <w:lang w:val="en-US" w:eastAsia="zh-CN"/>
        </w:rPr>
        <w:t>年污水处理率（满分5分，实得3.57分）</w:t>
      </w:r>
    </w:p>
    <w:p w14:paraId="534DD0E9">
      <w:pPr>
        <w:numPr>
          <w:ilvl w:val="0"/>
          <w:numId w:val="0"/>
        </w:numPr>
        <w:bidi w:val="0"/>
        <w:ind w:firstLine="640"/>
        <w:jc w:val="both"/>
        <w:rPr>
          <w:rFonts w:hint="default"/>
          <w:highlight w:val="none"/>
          <w:lang w:val="en-US" w:eastAsia="zh-CN"/>
        </w:rPr>
      </w:pPr>
      <w:r>
        <w:rPr>
          <w:rFonts w:hint="default"/>
          <w:highlight w:val="none"/>
          <w:lang w:val="en-US" w:eastAsia="zh-CN"/>
        </w:rPr>
        <w:t>从2019</w:t>
      </w:r>
      <w:r>
        <w:rPr>
          <w:rFonts w:hint="eastAsia"/>
          <w:highlight w:val="none"/>
          <w:lang w:val="en-US" w:eastAsia="zh-CN"/>
        </w:rPr>
        <w:t>—</w:t>
      </w:r>
      <w:r>
        <w:rPr>
          <w:rFonts w:hint="default"/>
          <w:highlight w:val="none"/>
          <w:lang w:val="en-US" w:eastAsia="zh-CN"/>
        </w:rPr>
        <w:t>2024年6年实际运营数据分析，污水处理整体呈上升趋势，</w:t>
      </w:r>
      <w:r>
        <w:rPr>
          <w:rFonts w:hint="eastAsia"/>
          <w:highlight w:val="none"/>
          <w:lang w:val="en-US" w:eastAsia="zh-CN"/>
        </w:rPr>
        <w:t>计划</w:t>
      </w:r>
      <w:r>
        <w:rPr>
          <w:rFonts w:hint="default"/>
          <w:highlight w:val="none"/>
          <w:lang w:val="en-US" w:eastAsia="zh-CN"/>
        </w:rPr>
        <w:t>投产能力到2020年达到6万m3/d，年污水处理量达2196万吨，处理量达到6万m3/d</w:t>
      </w:r>
      <w:r>
        <w:rPr>
          <w:rFonts w:hint="eastAsia"/>
          <w:highlight w:val="none"/>
          <w:lang w:val="en-US" w:eastAsia="zh-CN"/>
        </w:rPr>
        <w:t>。其中2019、2020年</w:t>
      </w:r>
      <w:r>
        <w:rPr>
          <w:rFonts w:hint="default"/>
          <w:highlight w:val="none"/>
          <w:lang w:val="en-US" w:eastAsia="zh-CN"/>
        </w:rPr>
        <w:t>未达到规划预期的60%</w:t>
      </w:r>
      <w:r>
        <w:rPr>
          <w:rFonts w:hint="eastAsia"/>
          <w:highlight w:val="none"/>
          <w:lang w:val="en-US" w:eastAsia="zh-CN"/>
        </w:rPr>
        <w:t>，2024年未达到规划预期的90%。该项依据实际与计划数据的比率得3.57分。</w:t>
      </w:r>
    </w:p>
    <w:tbl>
      <w:tblPr>
        <w:tblStyle w:val="1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
        <w:gridCol w:w="1795"/>
        <w:gridCol w:w="1948"/>
        <w:gridCol w:w="1948"/>
        <w:gridCol w:w="1948"/>
      </w:tblGrid>
      <w:tr w14:paraId="163C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pct"/>
            <w:vAlign w:val="center"/>
          </w:tcPr>
          <w:p w14:paraId="3EC2855C">
            <w:pPr>
              <w:numPr>
                <w:ilvl w:val="0"/>
                <w:numId w:val="0"/>
              </w:numPr>
              <w:bidi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年度</w:t>
            </w:r>
          </w:p>
        </w:tc>
        <w:tc>
          <w:tcPr>
            <w:tcW w:w="1053" w:type="pct"/>
            <w:vAlign w:val="center"/>
          </w:tcPr>
          <w:p w14:paraId="2A710B1F">
            <w:pPr>
              <w:numPr>
                <w:ilvl w:val="0"/>
                <w:numId w:val="0"/>
              </w:numPr>
              <w:bidi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实际处理量</w:t>
            </w:r>
          </w:p>
          <w:p w14:paraId="7B6D7BD8">
            <w:pPr>
              <w:numPr>
                <w:ilvl w:val="0"/>
                <w:numId w:val="0"/>
              </w:numPr>
              <w:bidi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（万吨）</w:t>
            </w:r>
          </w:p>
        </w:tc>
        <w:tc>
          <w:tcPr>
            <w:tcW w:w="1143" w:type="pct"/>
            <w:vAlign w:val="center"/>
          </w:tcPr>
          <w:p w14:paraId="03A9B2E3">
            <w:pPr>
              <w:numPr>
                <w:ilvl w:val="0"/>
                <w:numId w:val="0"/>
              </w:numPr>
              <w:bidi w:val="0"/>
              <w:jc w:val="center"/>
              <w:rPr>
                <w:rFonts w:hint="eastAsia" w:cs="仿宋"/>
                <w:b/>
                <w:bCs/>
                <w:sz w:val="24"/>
                <w:szCs w:val="24"/>
                <w:highlight w:val="none"/>
                <w:vertAlign w:val="baseline"/>
                <w:lang w:val="en-US" w:eastAsia="zh-CN"/>
              </w:rPr>
            </w:pPr>
            <w:r>
              <w:rPr>
                <w:rFonts w:hint="eastAsia" w:cs="仿宋"/>
                <w:b/>
                <w:bCs/>
                <w:sz w:val="24"/>
                <w:szCs w:val="24"/>
                <w:highlight w:val="none"/>
                <w:vertAlign w:val="baseline"/>
                <w:lang w:val="en-US" w:eastAsia="zh-CN"/>
              </w:rPr>
              <w:t>处理能力</w:t>
            </w:r>
          </w:p>
          <w:p w14:paraId="5CDC372F">
            <w:pPr>
              <w:numPr>
                <w:ilvl w:val="0"/>
                <w:numId w:val="0"/>
              </w:numPr>
              <w:bidi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（万吨/天）</w:t>
            </w:r>
          </w:p>
        </w:tc>
        <w:tc>
          <w:tcPr>
            <w:tcW w:w="1143" w:type="pct"/>
            <w:vAlign w:val="center"/>
          </w:tcPr>
          <w:p w14:paraId="50985C7D">
            <w:pPr>
              <w:numPr>
                <w:ilvl w:val="0"/>
                <w:numId w:val="0"/>
              </w:numPr>
              <w:bidi w:val="0"/>
              <w:ind w:left="0" w:leftChars="0" w:firstLine="0" w:firstLineChars="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实际处理</w:t>
            </w:r>
          </w:p>
          <w:p w14:paraId="014B28E5">
            <w:pPr>
              <w:numPr>
                <w:ilvl w:val="0"/>
                <w:numId w:val="0"/>
              </w:numPr>
              <w:bidi w:val="0"/>
              <w:ind w:left="0" w:leftChars="0" w:firstLine="0" w:firstLineChars="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（万吨/天）</w:t>
            </w:r>
          </w:p>
        </w:tc>
        <w:tc>
          <w:tcPr>
            <w:tcW w:w="1143" w:type="pct"/>
            <w:vAlign w:val="center"/>
          </w:tcPr>
          <w:p w14:paraId="4E954C7B">
            <w:pPr>
              <w:numPr>
                <w:ilvl w:val="0"/>
                <w:numId w:val="0"/>
              </w:numPr>
              <w:bidi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负荷率（%）</w:t>
            </w:r>
          </w:p>
        </w:tc>
      </w:tr>
      <w:tr w14:paraId="5FEEC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pct"/>
            <w:vAlign w:val="center"/>
          </w:tcPr>
          <w:p w14:paraId="03634A2E">
            <w:pPr>
              <w:numPr>
                <w:ilvl w:val="0"/>
                <w:numId w:val="0"/>
              </w:numPr>
              <w:bidi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2019</w:t>
            </w:r>
          </w:p>
        </w:tc>
        <w:tc>
          <w:tcPr>
            <w:tcW w:w="1053" w:type="pct"/>
            <w:vAlign w:val="center"/>
          </w:tcPr>
          <w:p w14:paraId="15B71A47">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1216.1544</w:t>
            </w:r>
          </w:p>
        </w:tc>
        <w:tc>
          <w:tcPr>
            <w:tcW w:w="1143" w:type="pct"/>
            <w:vAlign w:val="center"/>
          </w:tcPr>
          <w:p w14:paraId="7D30F9D5">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cs="仿宋"/>
                <w:b w:val="0"/>
                <w:bCs w:val="0"/>
                <w:i w:val="0"/>
                <w:iCs w:val="0"/>
                <w:color w:val="000000"/>
                <w:kern w:val="0"/>
                <w:sz w:val="24"/>
                <w:szCs w:val="24"/>
                <w:u w:val="none"/>
                <w:lang w:val="en-US" w:eastAsia="zh-CN" w:bidi="ar"/>
              </w:rPr>
              <w:t>6</w:t>
            </w:r>
          </w:p>
        </w:tc>
        <w:tc>
          <w:tcPr>
            <w:tcW w:w="1143" w:type="pct"/>
            <w:vAlign w:val="center"/>
          </w:tcPr>
          <w:p w14:paraId="6B2573B6">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3.3319</w:t>
            </w:r>
          </w:p>
        </w:tc>
        <w:tc>
          <w:tcPr>
            <w:tcW w:w="1143" w:type="pct"/>
            <w:vAlign w:val="center"/>
          </w:tcPr>
          <w:p w14:paraId="541E55C1">
            <w:pPr>
              <w:keepNext w:val="0"/>
              <w:keepLines w:val="0"/>
              <w:widowControl/>
              <w:suppressLineNumbers w:val="0"/>
              <w:jc w:val="center"/>
              <w:textAlignment w:val="center"/>
              <w:rPr>
                <w:rFonts w:hint="default" w:ascii="仿宋" w:hAnsi="仿宋" w:eastAsia="仿宋" w:cs="仿宋"/>
                <w:b w:val="0"/>
                <w:bCs w:val="0"/>
                <w:sz w:val="24"/>
                <w:szCs w:val="24"/>
                <w:highlight w:val="none"/>
                <w:vertAlign w:val="baseline"/>
                <w:lang w:val="en-US" w:eastAsia="zh-CN"/>
              </w:rPr>
            </w:pPr>
            <w:r>
              <w:rPr>
                <w:rFonts w:hint="eastAsia" w:cs="仿宋"/>
                <w:b w:val="0"/>
                <w:bCs w:val="0"/>
                <w:sz w:val="24"/>
                <w:szCs w:val="24"/>
                <w:highlight w:val="none"/>
                <w:vertAlign w:val="baseline"/>
                <w:lang w:val="en-US" w:eastAsia="zh-CN"/>
              </w:rPr>
              <w:t>55.65</w:t>
            </w:r>
          </w:p>
        </w:tc>
      </w:tr>
      <w:tr w14:paraId="73D8B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pct"/>
            <w:vAlign w:val="center"/>
          </w:tcPr>
          <w:p w14:paraId="6CB863A2">
            <w:pPr>
              <w:numPr>
                <w:ilvl w:val="0"/>
                <w:numId w:val="0"/>
              </w:numPr>
              <w:bidi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2020</w:t>
            </w:r>
          </w:p>
        </w:tc>
        <w:tc>
          <w:tcPr>
            <w:tcW w:w="1053" w:type="pct"/>
            <w:vAlign w:val="center"/>
          </w:tcPr>
          <w:p w14:paraId="0BF2591E">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1144.5389</w:t>
            </w:r>
          </w:p>
        </w:tc>
        <w:tc>
          <w:tcPr>
            <w:tcW w:w="1143" w:type="pct"/>
            <w:vAlign w:val="center"/>
          </w:tcPr>
          <w:p w14:paraId="76FB54BF">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cs="仿宋"/>
                <w:b w:val="0"/>
                <w:bCs w:val="0"/>
                <w:i w:val="0"/>
                <w:iCs w:val="0"/>
                <w:color w:val="000000"/>
                <w:kern w:val="0"/>
                <w:sz w:val="24"/>
                <w:szCs w:val="24"/>
                <w:u w:val="none"/>
                <w:lang w:val="en-US" w:eastAsia="zh-CN" w:bidi="ar"/>
              </w:rPr>
              <w:t>6</w:t>
            </w:r>
          </w:p>
        </w:tc>
        <w:tc>
          <w:tcPr>
            <w:tcW w:w="1143" w:type="pct"/>
            <w:vAlign w:val="center"/>
          </w:tcPr>
          <w:p w14:paraId="25E63A81">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3.3466</w:t>
            </w:r>
          </w:p>
        </w:tc>
        <w:tc>
          <w:tcPr>
            <w:tcW w:w="1143" w:type="pct"/>
            <w:vAlign w:val="center"/>
          </w:tcPr>
          <w:p w14:paraId="0144E95C">
            <w:pPr>
              <w:keepNext w:val="0"/>
              <w:keepLines w:val="0"/>
              <w:widowControl/>
              <w:suppressLineNumbers w:val="0"/>
              <w:jc w:val="center"/>
              <w:textAlignment w:val="center"/>
              <w:rPr>
                <w:rFonts w:hint="default" w:ascii="仿宋" w:hAnsi="仿宋" w:eastAsia="仿宋" w:cs="仿宋"/>
                <w:b w:val="0"/>
                <w:bCs w:val="0"/>
                <w:sz w:val="24"/>
                <w:szCs w:val="24"/>
                <w:highlight w:val="none"/>
                <w:vertAlign w:val="baseline"/>
                <w:lang w:val="en-US" w:eastAsia="zh-CN"/>
              </w:rPr>
            </w:pPr>
            <w:r>
              <w:rPr>
                <w:rFonts w:hint="eastAsia" w:cs="仿宋"/>
                <w:b w:val="0"/>
                <w:bCs w:val="0"/>
                <w:sz w:val="24"/>
                <w:szCs w:val="24"/>
                <w:highlight w:val="none"/>
                <w:vertAlign w:val="baseline"/>
                <w:lang w:val="en-US" w:eastAsia="zh-CN"/>
              </w:rPr>
              <w:t>55.78</w:t>
            </w:r>
          </w:p>
        </w:tc>
      </w:tr>
      <w:tr w14:paraId="25815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pct"/>
            <w:vAlign w:val="center"/>
          </w:tcPr>
          <w:p w14:paraId="0C9B0CC8">
            <w:pPr>
              <w:numPr>
                <w:ilvl w:val="0"/>
                <w:numId w:val="0"/>
              </w:numPr>
              <w:bidi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2021</w:t>
            </w:r>
          </w:p>
        </w:tc>
        <w:tc>
          <w:tcPr>
            <w:tcW w:w="1053" w:type="pct"/>
            <w:vAlign w:val="center"/>
          </w:tcPr>
          <w:p w14:paraId="72B065A4">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1624.3440</w:t>
            </w:r>
          </w:p>
        </w:tc>
        <w:tc>
          <w:tcPr>
            <w:tcW w:w="1143" w:type="pct"/>
            <w:vAlign w:val="center"/>
          </w:tcPr>
          <w:p w14:paraId="0E48F875">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cs="仿宋"/>
                <w:b w:val="0"/>
                <w:bCs w:val="0"/>
                <w:i w:val="0"/>
                <w:iCs w:val="0"/>
                <w:color w:val="000000"/>
                <w:kern w:val="0"/>
                <w:sz w:val="24"/>
                <w:szCs w:val="24"/>
                <w:u w:val="none"/>
                <w:lang w:val="en-US" w:eastAsia="zh-CN" w:bidi="ar"/>
              </w:rPr>
              <w:t>6</w:t>
            </w:r>
          </w:p>
        </w:tc>
        <w:tc>
          <w:tcPr>
            <w:tcW w:w="1143" w:type="pct"/>
            <w:vAlign w:val="center"/>
          </w:tcPr>
          <w:p w14:paraId="662091F1">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4.4503</w:t>
            </w:r>
          </w:p>
        </w:tc>
        <w:tc>
          <w:tcPr>
            <w:tcW w:w="1143" w:type="pct"/>
            <w:vAlign w:val="center"/>
          </w:tcPr>
          <w:p w14:paraId="51BF5D05">
            <w:pPr>
              <w:keepNext w:val="0"/>
              <w:keepLines w:val="0"/>
              <w:widowControl/>
              <w:suppressLineNumbers w:val="0"/>
              <w:jc w:val="center"/>
              <w:textAlignment w:val="center"/>
              <w:rPr>
                <w:rFonts w:hint="default" w:ascii="仿宋" w:hAnsi="仿宋" w:eastAsia="仿宋" w:cs="仿宋"/>
                <w:b w:val="0"/>
                <w:bCs w:val="0"/>
                <w:sz w:val="24"/>
                <w:szCs w:val="24"/>
                <w:highlight w:val="none"/>
                <w:vertAlign w:val="baseline"/>
                <w:lang w:val="en-US" w:eastAsia="zh-CN"/>
              </w:rPr>
            </w:pPr>
            <w:r>
              <w:rPr>
                <w:rFonts w:hint="eastAsia" w:cs="仿宋"/>
                <w:b w:val="0"/>
                <w:bCs w:val="0"/>
                <w:sz w:val="24"/>
                <w:szCs w:val="24"/>
                <w:highlight w:val="none"/>
                <w:vertAlign w:val="baseline"/>
                <w:lang w:val="en-US" w:eastAsia="zh-CN"/>
              </w:rPr>
              <w:t>74.17</w:t>
            </w:r>
          </w:p>
        </w:tc>
      </w:tr>
      <w:tr w14:paraId="5A6D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pct"/>
            <w:vAlign w:val="center"/>
          </w:tcPr>
          <w:p w14:paraId="66EDF873">
            <w:pPr>
              <w:numPr>
                <w:ilvl w:val="0"/>
                <w:numId w:val="0"/>
              </w:numPr>
              <w:bidi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2022</w:t>
            </w:r>
          </w:p>
        </w:tc>
        <w:tc>
          <w:tcPr>
            <w:tcW w:w="1053" w:type="pct"/>
            <w:vAlign w:val="center"/>
          </w:tcPr>
          <w:p w14:paraId="57F96643">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1754.1500</w:t>
            </w:r>
          </w:p>
        </w:tc>
        <w:tc>
          <w:tcPr>
            <w:tcW w:w="1143" w:type="pct"/>
            <w:vAlign w:val="center"/>
          </w:tcPr>
          <w:p w14:paraId="4D4A6624">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cs="仿宋"/>
                <w:b w:val="0"/>
                <w:bCs w:val="0"/>
                <w:i w:val="0"/>
                <w:iCs w:val="0"/>
                <w:color w:val="000000"/>
                <w:kern w:val="0"/>
                <w:sz w:val="24"/>
                <w:szCs w:val="24"/>
                <w:u w:val="none"/>
                <w:lang w:val="en-US" w:eastAsia="zh-CN" w:bidi="ar"/>
              </w:rPr>
              <w:t>6</w:t>
            </w:r>
          </w:p>
        </w:tc>
        <w:tc>
          <w:tcPr>
            <w:tcW w:w="1143" w:type="pct"/>
            <w:vAlign w:val="center"/>
          </w:tcPr>
          <w:p w14:paraId="4895E64C">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4.8029</w:t>
            </w:r>
          </w:p>
        </w:tc>
        <w:tc>
          <w:tcPr>
            <w:tcW w:w="1143" w:type="pct"/>
            <w:vAlign w:val="center"/>
          </w:tcPr>
          <w:p w14:paraId="466D2348">
            <w:pPr>
              <w:keepNext w:val="0"/>
              <w:keepLines w:val="0"/>
              <w:widowControl/>
              <w:suppressLineNumbers w:val="0"/>
              <w:jc w:val="center"/>
              <w:textAlignment w:val="center"/>
              <w:rPr>
                <w:rFonts w:hint="default" w:ascii="仿宋" w:hAnsi="仿宋" w:eastAsia="仿宋" w:cs="仿宋"/>
                <w:b w:val="0"/>
                <w:bCs w:val="0"/>
                <w:sz w:val="24"/>
                <w:szCs w:val="24"/>
                <w:highlight w:val="none"/>
                <w:vertAlign w:val="baseline"/>
                <w:lang w:val="en-US" w:eastAsia="zh-CN"/>
              </w:rPr>
            </w:pPr>
            <w:r>
              <w:rPr>
                <w:rFonts w:hint="eastAsia" w:cs="仿宋"/>
                <w:b w:val="0"/>
                <w:bCs w:val="0"/>
                <w:sz w:val="24"/>
                <w:szCs w:val="24"/>
                <w:highlight w:val="none"/>
                <w:vertAlign w:val="baseline"/>
                <w:lang w:val="en-US" w:eastAsia="zh-CN"/>
              </w:rPr>
              <w:t>80.05</w:t>
            </w:r>
          </w:p>
        </w:tc>
      </w:tr>
      <w:tr w14:paraId="28BFB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pct"/>
            <w:vAlign w:val="center"/>
          </w:tcPr>
          <w:p w14:paraId="44D57F39">
            <w:pPr>
              <w:numPr>
                <w:ilvl w:val="0"/>
                <w:numId w:val="0"/>
              </w:numPr>
              <w:bidi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2023</w:t>
            </w:r>
          </w:p>
        </w:tc>
        <w:tc>
          <w:tcPr>
            <w:tcW w:w="1053" w:type="pct"/>
            <w:vAlign w:val="center"/>
          </w:tcPr>
          <w:p w14:paraId="3E143390">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1872.5870</w:t>
            </w:r>
          </w:p>
        </w:tc>
        <w:tc>
          <w:tcPr>
            <w:tcW w:w="1143" w:type="pct"/>
            <w:vAlign w:val="center"/>
          </w:tcPr>
          <w:p w14:paraId="23730A0B">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cs="仿宋"/>
                <w:b w:val="0"/>
                <w:bCs w:val="0"/>
                <w:i w:val="0"/>
                <w:iCs w:val="0"/>
                <w:color w:val="000000"/>
                <w:kern w:val="0"/>
                <w:sz w:val="24"/>
                <w:szCs w:val="24"/>
                <w:u w:val="none"/>
                <w:lang w:val="en-US" w:eastAsia="zh-CN" w:bidi="ar"/>
              </w:rPr>
              <w:t>6</w:t>
            </w:r>
          </w:p>
        </w:tc>
        <w:tc>
          <w:tcPr>
            <w:tcW w:w="1143" w:type="pct"/>
            <w:vAlign w:val="center"/>
          </w:tcPr>
          <w:p w14:paraId="1616DE2B">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5.1304</w:t>
            </w:r>
          </w:p>
        </w:tc>
        <w:tc>
          <w:tcPr>
            <w:tcW w:w="1143" w:type="pct"/>
            <w:vAlign w:val="center"/>
          </w:tcPr>
          <w:p w14:paraId="048807A5">
            <w:pPr>
              <w:keepNext w:val="0"/>
              <w:keepLines w:val="0"/>
              <w:widowControl/>
              <w:suppressLineNumbers w:val="0"/>
              <w:jc w:val="center"/>
              <w:textAlignment w:val="center"/>
              <w:rPr>
                <w:rFonts w:hint="default" w:ascii="仿宋" w:hAnsi="仿宋" w:eastAsia="仿宋" w:cs="仿宋"/>
                <w:b w:val="0"/>
                <w:bCs w:val="0"/>
                <w:sz w:val="24"/>
                <w:szCs w:val="24"/>
                <w:highlight w:val="none"/>
                <w:vertAlign w:val="baseline"/>
                <w:lang w:val="en-US" w:eastAsia="zh-CN"/>
              </w:rPr>
            </w:pPr>
            <w:r>
              <w:rPr>
                <w:rFonts w:hint="eastAsia" w:cs="仿宋"/>
                <w:b w:val="0"/>
                <w:bCs w:val="0"/>
                <w:sz w:val="24"/>
                <w:szCs w:val="24"/>
                <w:highlight w:val="none"/>
                <w:vertAlign w:val="baseline"/>
                <w:lang w:val="en-US" w:eastAsia="zh-CN"/>
              </w:rPr>
              <w:t>85.51</w:t>
            </w:r>
          </w:p>
        </w:tc>
      </w:tr>
      <w:tr w14:paraId="7A12C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7" w:type="pct"/>
            <w:vAlign w:val="center"/>
          </w:tcPr>
          <w:p w14:paraId="28F18938">
            <w:pPr>
              <w:numPr>
                <w:ilvl w:val="0"/>
                <w:numId w:val="0"/>
              </w:numPr>
              <w:bidi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2024</w:t>
            </w:r>
          </w:p>
        </w:tc>
        <w:tc>
          <w:tcPr>
            <w:tcW w:w="1053" w:type="pct"/>
            <w:vAlign w:val="center"/>
          </w:tcPr>
          <w:p w14:paraId="25DC2D02">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1683.9856</w:t>
            </w:r>
          </w:p>
        </w:tc>
        <w:tc>
          <w:tcPr>
            <w:tcW w:w="1143" w:type="pct"/>
            <w:vAlign w:val="center"/>
          </w:tcPr>
          <w:p w14:paraId="391951C0">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6</w:t>
            </w:r>
          </w:p>
        </w:tc>
        <w:tc>
          <w:tcPr>
            <w:tcW w:w="1143" w:type="pct"/>
            <w:vAlign w:val="center"/>
          </w:tcPr>
          <w:p w14:paraId="62EB3C92">
            <w:pPr>
              <w:keepNext w:val="0"/>
              <w:keepLines w:val="0"/>
              <w:widowControl/>
              <w:suppressLineNumbers w:val="0"/>
              <w:jc w:val="center"/>
              <w:textAlignment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i w:val="0"/>
                <w:iCs w:val="0"/>
                <w:color w:val="000000"/>
                <w:kern w:val="0"/>
                <w:sz w:val="24"/>
                <w:szCs w:val="24"/>
                <w:u w:val="none"/>
                <w:lang w:val="en-US" w:eastAsia="zh-CN" w:bidi="ar"/>
              </w:rPr>
              <w:t>4.6011</w:t>
            </w:r>
          </w:p>
        </w:tc>
        <w:tc>
          <w:tcPr>
            <w:tcW w:w="1143" w:type="pct"/>
            <w:vAlign w:val="center"/>
          </w:tcPr>
          <w:p w14:paraId="2E43EF76">
            <w:pPr>
              <w:keepNext w:val="0"/>
              <w:keepLines w:val="0"/>
              <w:widowControl/>
              <w:suppressLineNumbers w:val="0"/>
              <w:jc w:val="center"/>
              <w:textAlignment w:val="center"/>
              <w:rPr>
                <w:rFonts w:hint="default" w:ascii="仿宋" w:hAnsi="仿宋" w:eastAsia="仿宋" w:cs="仿宋"/>
                <w:b w:val="0"/>
                <w:bCs w:val="0"/>
                <w:sz w:val="24"/>
                <w:szCs w:val="24"/>
                <w:highlight w:val="none"/>
                <w:vertAlign w:val="baseline"/>
                <w:lang w:val="en-US" w:eastAsia="zh-CN"/>
              </w:rPr>
            </w:pPr>
            <w:r>
              <w:rPr>
                <w:rFonts w:hint="eastAsia" w:cs="仿宋"/>
                <w:b w:val="0"/>
                <w:bCs w:val="0"/>
                <w:sz w:val="24"/>
                <w:szCs w:val="24"/>
                <w:highlight w:val="none"/>
                <w:vertAlign w:val="baseline"/>
                <w:lang w:val="en-US" w:eastAsia="zh-CN"/>
              </w:rPr>
              <w:t>76.68</w:t>
            </w:r>
          </w:p>
        </w:tc>
      </w:tr>
    </w:tbl>
    <w:p w14:paraId="137A3944">
      <w:pPr>
        <w:numPr>
          <w:ilvl w:val="0"/>
          <w:numId w:val="0"/>
        </w:numPr>
        <w:bidi w:val="0"/>
        <w:ind w:left="0" w:leftChars="0" w:firstLine="640" w:firstLineChars="0"/>
        <w:jc w:val="both"/>
        <w:outlineLvl w:val="3"/>
        <w:rPr>
          <w:rFonts w:hint="eastAsia"/>
          <w:b/>
          <w:bCs/>
          <w:highlight w:val="none"/>
          <w:lang w:val="en-US" w:eastAsia="zh-CN"/>
        </w:rPr>
      </w:pPr>
      <w:r>
        <w:rPr>
          <w:rFonts w:hint="eastAsia"/>
          <w:b/>
          <w:bCs/>
          <w:highlight w:val="none"/>
          <w:lang w:val="en-US" w:eastAsia="zh-CN"/>
        </w:rPr>
        <w:t>（2）污水处理负荷率（满分4分，实得3.17分）</w:t>
      </w:r>
    </w:p>
    <w:p w14:paraId="037DA9BA">
      <w:pPr>
        <w:numPr>
          <w:ilvl w:val="0"/>
          <w:numId w:val="0"/>
        </w:numPr>
        <w:bidi w:val="0"/>
        <w:ind w:firstLine="640"/>
        <w:jc w:val="both"/>
        <w:rPr>
          <w:rFonts w:hint="eastAsia"/>
          <w:highlight w:val="none"/>
          <w:lang w:val="en-US" w:eastAsia="zh-CN"/>
        </w:rPr>
      </w:pPr>
      <w:r>
        <w:rPr>
          <w:rFonts w:hint="default"/>
          <w:highlight w:val="none"/>
          <w:lang w:val="en-US" w:eastAsia="zh-CN"/>
        </w:rPr>
        <w:t>从2019</w:t>
      </w:r>
      <w:r>
        <w:rPr>
          <w:rFonts w:hint="eastAsia"/>
          <w:highlight w:val="none"/>
          <w:lang w:val="en-US" w:eastAsia="zh-CN"/>
        </w:rPr>
        <w:t>—</w:t>
      </w:r>
      <w:r>
        <w:rPr>
          <w:rFonts w:hint="default"/>
          <w:highlight w:val="none"/>
          <w:lang w:val="en-US" w:eastAsia="zh-CN"/>
        </w:rPr>
        <w:t>2024年6年实际运营数据分析，污水处理整体呈上升趋势，</w:t>
      </w:r>
      <w:r>
        <w:rPr>
          <w:rFonts w:hint="eastAsia"/>
          <w:highlight w:val="none"/>
          <w:lang w:val="en-US" w:eastAsia="zh-CN"/>
        </w:rPr>
        <w:t>计划</w:t>
      </w:r>
      <w:r>
        <w:rPr>
          <w:rFonts w:hint="default"/>
          <w:highlight w:val="none"/>
          <w:lang w:val="en-US" w:eastAsia="zh-CN"/>
        </w:rPr>
        <w:t>投产能力到2020年达到6万m3/d，年污水处理量达2196万吨，处理量达到6万m3/d</w:t>
      </w:r>
      <w:r>
        <w:rPr>
          <w:rFonts w:hint="eastAsia"/>
          <w:highlight w:val="none"/>
          <w:lang w:val="en-US" w:eastAsia="zh-CN"/>
        </w:rPr>
        <w:t>。</w:t>
      </w:r>
      <w:r>
        <w:rPr>
          <w:rFonts w:hint="default"/>
          <w:highlight w:val="none"/>
          <w:lang w:val="en-US" w:eastAsia="zh-CN"/>
        </w:rPr>
        <w:t>2018年10月</w:t>
      </w:r>
      <w:r>
        <w:rPr>
          <w:rFonts w:hint="eastAsia"/>
          <w:highlight w:val="none"/>
          <w:lang w:val="en-US" w:eastAsia="zh-CN"/>
        </w:rPr>
        <w:t>改扩建</w:t>
      </w:r>
      <w:r>
        <w:rPr>
          <w:rFonts w:hint="default"/>
          <w:highlight w:val="none"/>
          <w:lang w:val="en-US" w:eastAsia="zh-CN"/>
        </w:rPr>
        <w:t>以来，污水处理量逐年提升，2023年达到峰值后，2024年出现小幅下降，6年污水处理平均负荷率71.31%，运行效率偏低。</w:t>
      </w:r>
      <w:r>
        <w:rPr>
          <w:rFonts w:hint="eastAsia"/>
          <w:highlight w:val="none"/>
          <w:lang w:val="en-US" w:eastAsia="zh-CN"/>
        </w:rPr>
        <w:t>该项依据实际与计划数据的比率得3.17分。</w:t>
      </w:r>
    </w:p>
    <w:p w14:paraId="46B4CEC1">
      <w:pPr>
        <w:numPr>
          <w:ilvl w:val="0"/>
          <w:numId w:val="0"/>
        </w:numPr>
        <w:bidi w:val="0"/>
        <w:ind w:firstLine="640"/>
        <w:jc w:val="both"/>
        <w:rPr>
          <w:rFonts w:hint="eastAsia"/>
          <w:b/>
          <w:bCs/>
          <w:highlight w:val="none"/>
          <w:lang w:val="en-US" w:eastAsia="zh-CN"/>
        </w:rPr>
      </w:pPr>
      <w:r>
        <w:rPr>
          <w:rFonts w:hint="eastAsia"/>
          <w:b/>
          <w:bCs/>
          <w:highlight w:val="none"/>
          <w:lang w:val="en-US" w:eastAsia="zh-CN"/>
        </w:rPr>
        <w:t>（3）绩效考核达标率（满分4分，实得3.5分）</w:t>
      </w:r>
    </w:p>
    <w:p w14:paraId="30BE6DF1">
      <w:pPr>
        <w:bidi w:val="0"/>
        <w:ind w:firstLine="640" w:firstLineChars="200"/>
        <w:rPr>
          <w:rFonts w:hint="default"/>
          <w:lang w:val="en-US" w:eastAsia="zh-CN"/>
        </w:rPr>
      </w:pPr>
      <w:r>
        <w:rPr>
          <w:rFonts w:hint="default"/>
          <w:lang w:val="en-US" w:eastAsia="zh-CN"/>
        </w:rPr>
        <w:t>运营期绩效评价结果作为政府向项目公司支付费用的前提条件，运营期绩效评价结果高于60分（含）则具备支付费用前提条件。按照《阳新县宝塔湖污水处理厂扩建及提标升级工程PPP项目合同》的约定，政府实际支付给项目公司的污水处理费用，以应付的污水处理费100%为基准，与考核结果直接挂钩，实际付费比例依据下表：</w:t>
      </w:r>
    </w:p>
    <w:p w14:paraId="1011375C">
      <w:pPr>
        <w:spacing w:before="3" w:line="232" w:lineRule="auto"/>
        <w:ind w:left="2773"/>
        <w:rPr>
          <w:rFonts w:hint="eastAsia" w:ascii="仿宋" w:hAnsi="仿宋" w:eastAsia="仿宋" w:cs="仿宋"/>
          <w:sz w:val="28"/>
          <w:szCs w:val="28"/>
        </w:rPr>
      </w:pPr>
      <w:r>
        <w:rPr>
          <w:rFonts w:hint="eastAsia" w:ascii="仿宋" w:hAnsi="仿宋" w:eastAsia="仿宋" w:cs="仿宋"/>
          <w:b/>
          <w:bCs/>
          <w:spacing w:val="-2"/>
          <w:sz w:val="28"/>
          <w:szCs w:val="28"/>
        </w:rPr>
        <w:t>绩效评价结果分级</w:t>
      </w:r>
    </w:p>
    <w:p w14:paraId="3CBF87C2">
      <w:pPr>
        <w:spacing w:line="150" w:lineRule="exact"/>
        <w:rPr>
          <w:rFonts w:hint="eastAsia" w:ascii="仿宋" w:hAnsi="仿宋" w:eastAsia="仿宋" w:cs="仿宋"/>
        </w:rPr>
      </w:pPr>
    </w:p>
    <w:tbl>
      <w:tblPr>
        <w:tblStyle w:val="19"/>
        <w:tblW w:w="8538" w:type="dxa"/>
        <w:tblInd w:w="1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67"/>
        <w:gridCol w:w="4671"/>
      </w:tblGrid>
      <w:tr w14:paraId="05789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3867" w:type="dxa"/>
            <w:vAlign w:val="top"/>
          </w:tcPr>
          <w:p w14:paraId="1D29EEE5">
            <w:pPr>
              <w:pStyle w:val="18"/>
              <w:spacing w:before="168" w:line="218" w:lineRule="auto"/>
              <w:ind w:left="1222"/>
              <w:rPr>
                <w:rFonts w:hint="eastAsia" w:ascii="仿宋" w:hAnsi="仿宋" w:eastAsia="仿宋" w:cs="仿宋"/>
                <w:sz w:val="24"/>
                <w:szCs w:val="24"/>
              </w:rPr>
            </w:pPr>
            <w:r>
              <w:rPr>
                <w:rFonts w:hint="eastAsia" w:ascii="仿宋" w:hAnsi="仿宋" w:eastAsia="仿宋" w:cs="仿宋"/>
                <w:b/>
                <w:bCs/>
                <w:spacing w:val="-4"/>
                <w:sz w:val="24"/>
                <w:szCs w:val="24"/>
              </w:rPr>
              <w:t>绩效评价得分</w:t>
            </w:r>
          </w:p>
        </w:tc>
        <w:tc>
          <w:tcPr>
            <w:tcW w:w="4671" w:type="dxa"/>
            <w:vAlign w:val="top"/>
          </w:tcPr>
          <w:p w14:paraId="45DE5944">
            <w:pPr>
              <w:pStyle w:val="18"/>
              <w:spacing w:before="167" w:line="220" w:lineRule="auto"/>
              <w:ind w:left="1855"/>
              <w:rPr>
                <w:rFonts w:hint="eastAsia" w:ascii="仿宋" w:hAnsi="仿宋" w:eastAsia="仿宋" w:cs="仿宋"/>
                <w:sz w:val="24"/>
                <w:szCs w:val="24"/>
              </w:rPr>
            </w:pPr>
            <w:r>
              <w:rPr>
                <w:rFonts w:hint="eastAsia" w:ascii="仿宋" w:hAnsi="仿宋" w:eastAsia="仿宋" w:cs="仿宋"/>
                <w:b/>
                <w:bCs/>
                <w:spacing w:val="-4"/>
                <w:sz w:val="24"/>
                <w:szCs w:val="24"/>
              </w:rPr>
              <w:t>付费比例</w:t>
            </w:r>
          </w:p>
        </w:tc>
      </w:tr>
      <w:tr w14:paraId="6C893F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3867" w:type="dxa"/>
            <w:vAlign w:val="top"/>
          </w:tcPr>
          <w:p w14:paraId="32A3D607">
            <w:pPr>
              <w:pStyle w:val="18"/>
              <w:spacing w:before="163" w:line="220" w:lineRule="auto"/>
              <w:ind w:left="1223"/>
              <w:rPr>
                <w:rFonts w:hint="eastAsia" w:ascii="仿宋" w:hAnsi="仿宋" w:eastAsia="仿宋" w:cs="仿宋"/>
                <w:sz w:val="24"/>
                <w:szCs w:val="24"/>
              </w:rPr>
            </w:pPr>
            <w:r>
              <w:rPr>
                <w:rFonts w:hint="eastAsia" w:ascii="仿宋" w:hAnsi="仿宋" w:eastAsia="仿宋" w:cs="仿宋"/>
                <w:spacing w:val="-2"/>
                <w:sz w:val="24"/>
                <w:szCs w:val="24"/>
              </w:rPr>
              <w:t>大于等于</w:t>
            </w:r>
            <w:r>
              <w:rPr>
                <w:rFonts w:hint="eastAsia" w:ascii="仿宋" w:hAnsi="仿宋" w:eastAsia="仿宋" w:cs="仿宋"/>
                <w:spacing w:val="-2"/>
                <w:sz w:val="24"/>
                <w:szCs w:val="24"/>
                <w:lang w:val="en-US" w:eastAsia="zh-CN"/>
              </w:rPr>
              <w:t>9</w:t>
            </w:r>
            <w:r>
              <w:rPr>
                <w:rFonts w:hint="eastAsia" w:ascii="仿宋" w:hAnsi="仿宋" w:eastAsia="仿宋" w:cs="仿宋"/>
                <w:spacing w:val="-2"/>
                <w:sz w:val="24"/>
                <w:szCs w:val="24"/>
              </w:rPr>
              <w:t>5分</w:t>
            </w:r>
          </w:p>
        </w:tc>
        <w:tc>
          <w:tcPr>
            <w:tcW w:w="4671" w:type="dxa"/>
            <w:vAlign w:val="top"/>
          </w:tcPr>
          <w:p w14:paraId="5CBE6C3D">
            <w:pPr>
              <w:pStyle w:val="18"/>
              <w:spacing w:before="164"/>
              <w:ind w:left="2115"/>
              <w:rPr>
                <w:rFonts w:hint="eastAsia" w:ascii="仿宋" w:hAnsi="仿宋" w:eastAsia="仿宋" w:cs="仿宋"/>
                <w:sz w:val="24"/>
                <w:szCs w:val="24"/>
              </w:rPr>
            </w:pPr>
            <w:r>
              <w:rPr>
                <w:rFonts w:hint="eastAsia" w:ascii="仿宋" w:hAnsi="仿宋" w:eastAsia="仿宋" w:cs="仿宋"/>
                <w:spacing w:val="-6"/>
                <w:sz w:val="24"/>
                <w:szCs w:val="24"/>
              </w:rPr>
              <w:t>100%</w:t>
            </w:r>
          </w:p>
        </w:tc>
      </w:tr>
      <w:tr w14:paraId="34AFE3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3867" w:type="dxa"/>
            <w:vAlign w:val="top"/>
          </w:tcPr>
          <w:p w14:paraId="34DBD80A">
            <w:pPr>
              <w:pStyle w:val="18"/>
              <w:spacing w:before="164" w:line="220" w:lineRule="auto"/>
              <w:ind w:left="747"/>
              <w:rPr>
                <w:rFonts w:hint="eastAsia" w:ascii="仿宋" w:hAnsi="仿宋" w:eastAsia="仿宋" w:cs="仿宋"/>
                <w:sz w:val="24"/>
                <w:szCs w:val="24"/>
              </w:rPr>
            </w:pPr>
            <w:r>
              <w:rPr>
                <w:rFonts w:hint="eastAsia" w:ascii="仿宋" w:hAnsi="仿宋" w:eastAsia="仿宋" w:cs="仿宋"/>
                <w:spacing w:val="-2"/>
                <w:sz w:val="24"/>
                <w:szCs w:val="24"/>
              </w:rPr>
              <w:t>小于</w:t>
            </w:r>
            <w:r>
              <w:rPr>
                <w:rFonts w:hint="eastAsia" w:ascii="仿宋" w:hAnsi="仿宋" w:eastAsia="仿宋" w:cs="仿宋"/>
                <w:spacing w:val="-2"/>
                <w:sz w:val="24"/>
                <w:szCs w:val="24"/>
                <w:lang w:val="en-US" w:eastAsia="zh-CN"/>
              </w:rPr>
              <w:t>9</w:t>
            </w:r>
            <w:r>
              <w:rPr>
                <w:rFonts w:hint="eastAsia" w:ascii="仿宋" w:hAnsi="仿宋" w:eastAsia="仿宋" w:cs="仿宋"/>
                <w:spacing w:val="-2"/>
                <w:sz w:val="24"/>
                <w:szCs w:val="24"/>
              </w:rPr>
              <w:t>5分大于等于</w:t>
            </w:r>
            <w:r>
              <w:rPr>
                <w:rFonts w:hint="eastAsia" w:ascii="仿宋" w:hAnsi="仿宋" w:eastAsia="仿宋" w:cs="仿宋"/>
                <w:spacing w:val="-2"/>
                <w:sz w:val="24"/>
                <w:szCs w:val="24"/>
                <w:lang w:val="en-US" w:eastAsia="zh-CN"/>
              </w:rPr>
              <w:t>90</w:t>
            </w:r>
            <w:r>
              <w:rPr>
                <w:rFonts w:hint="eastAsia" w:ascii="仿宋" w:hAnsi="仿宋" w:eastAsia="仿宋" w:cs="仿宋"/>
                <w:spacing w:val="-2"/>
                <w:sz w:val="24"/>
                <w:szCs w:val="24"/>
              </w:rPr>
              <w:t>分</w:t>
            </w:r>
          </w:p>
        </w:tc>
        <w:tc>
          <w:tcPr>
            <w:tcW w:w="4671" w:type="dxa"/>
            <w:vAlign w:val="top"/>
          </w:tcPr>
          <w:p w14:paraId="4853FEA3">
            <w:pPr>
              <w:pStyle w:val="18"/>
              <w:spacing w:before="165"/>
              <w:ind w:left="2158"/>
              <w:rPr>
                <w:rFonts w:hint="eastAsia" w:ascii="仿宋" w:hAnsi="仿宋" w:eastAsia="仿宋" w:cs="仿宋"/>
                <w:sz w:val="24"/>
                <w:szCs w:val="24"/>
              </w:rPr>
            </w:pPr>
            <w:r>
              <w:rPr>
                <w:rFonts w:hint="eastAsia" w:ascii="仿宋" w:hAnsi="仿宋" w:eastAsia="仿宋" w:cs="仿宋"/>
                <w:spacing w:val="-3"/>
                <w:sz w:val="24"/>
                <w:szCs w:val="24"/>
              </w:rPr>
              <w:t>95%</w:t>
            </w:r>
          </w:p>
        </w:tc>
      </w:tr>
      <w:tr w14:paraId="0B905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0" w:hRule="atLeast"/>
        </w:trPr>
        <w:tc>
          <w:tcPr>
            <w:tcW w:w="3867" w:type="dxa"/>
            <w:vAlign w:val="top"/>
          </w:tcPr>
          <w:p w14:paraId="570BD7EE">
            <w:pPr>
              <w:pStyle w:val="18"/>
              <w:spacing w:before="165" w:line="220" w:lineRule="auto"/>
              <w:ind w:left="747"/>
              <w:rPr>
                <w:rFonts w:hint="eastAsia" w:ascii="仿宋" w:hAnsi="仿宋" w:eastAsia="仿宋" w:cs="仿宋"/>
                <w:sz w:val="24"/>
                <w:szCs w:val="24"/>
              </w:rPr>
            </w:pPr>
            <w:r>
              <w:rPr>
                <w:rFonts w:hint="eastAsia" w:ascii="仿宋" w:hAnsi="仿宋" w:eastAsia="仿宋" w:cs="仿宋"/>
                <w:spacing w:val="-2"/>
                <w:sz w:val="24"/>
                <w:szCs w:val="24"/>
              </w:rPr>
              <w:t>小于</w:t>
            </w:r>
            <w:r>
              <w:rPr>
                <w:rFonts w:hint="eastAsia" w:ascii="仿宋" w:hAnsi="仿宋" w:eastAsia="仿宋" w:cs="仿宋"/>
                <w:spacing w:val="-2"/>
                <w:sz w:val="24"/>
                <w:szCs w:val="24"/>
                <w:lang w:val="en-US" w:eastAsia="zh-CN"/>
              </w:rPr>
              <w:t>90</w:t>
            </w:r>
            <w:r>
              <w:rPr>
                <w:rFonts w:hint="eastAsia" w:ascii="仿宋" w:hAnsi="仿宋" w:eastAsia="仿宋" w:cs="仿宋"/>
                <w:spacing w:val="-2"/>
                <w:sz w:val="24"/>
                <w:szCs w:val="24"/>
              </w:rPr>
              <w:t>分大于等于</w:t>
            </w:r>
            <w:r>
              <w:rPr>
                <w:rFonts w:hint="eastAsia" w:ascii="仿宋" w:hAnsi="仿宋" w:eastAsia="仿宋" w:cs="仿宋"/>
                <w:spacing w:val="-2"/>
                <w:sz w:val="24"/>
                <w:szCs w:val="24"/>
                <w:lang w:val="en-US" w:eastAsia="zh-CN"/>
              </w:rPr>
              <w:t>80</w:t>
            </w:r>
            <w:r>
              <w:rPr>
                <w:rFonts w:hint="eastAsia" w:ascii="仿宋" w:hAnsi="仿宋" w:eastAsia="仿宋" w:cs="仿宋"/>
                <w:spacing w:val="-2"/>
                <w:sz w:val="24"/>
                <w:szCs w:val="24"/>
              </w:rPr>
              <w:t>分</w:t>
            </w:r>
          </w:p>
        </w:tc>
        <w:tc>
          <w:tcPr>
            <w:tcW w:w="4671" w:type="dxa"/>
            <w:vAlign w:val="top"/>
          </w:tcPr>
          <w:p w14:paraId="7382563B">
            <w:pPr>
              <w:pStyle w:val="18"/>
              <w:spacing w:before="165"/>
              <w:ind w:left="2158"/>
              <w:rPr>
                <w:rFonts w:hint="eastAsia" w:ascii="仿宋" w:hAnsi="仿宋" w:eastAsia="仿宋" w:cs="仿宋"/>
                <w:sz w:val="24"/>
                <w:szCs w:val="24"/>
              </w:rPr>
            </w:pPr>
            <w:r>
              <w:rPr>
                <w:rFonts w:hint="eastAsia" w:ascii="仿宋" w:hAnsi="仿宋" w:eastAsia="仿宋" w:cs="仿宋"/>
                <w:spacing w:val="-3"/>
                <w:sz w:val="24"/>
                <w:szCs w:val="24"/>
                <w:lang w:val="en-US" w:eastAsia="zh-CN"/>
              </w:rPr>
              <w:t>90</w:t>
            </w:r>
            <w:r>
              <w:rPr>
                <w:rFonts w:hint="eastAsia" w:ascii="仿宋" w:hAnsi="仿宋" w:eastAsia="仿宋" w:cs="仿宋"/>
                <w:spacing w:val="-3"/>
                <w:sz w:val="24"/>
                <w:szCs w:val="24"/>
              </w:rPr>
              <w:t>%</w:t>
            </w:r>
          </w:p>
        </w:tc>
      </w:tr>
      <w:tr w14:paraId="4CA75D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3867" w:type="dxa"/>
            <w:vAlign w:val="top"/>
          </w:tcPr>
          <w:p w14:paraId="4804294F">
            <w:pPr>
              <w:pStyle w:val="18"/>
              <w:spacing w:before="166" w:line="220" w:lineRule="auto"/>
              <w:ind w:left="747"/>
              <w:rPr>
                <w:rFonts w:hint="eastAsia" w:ascii="仿宋" w:hAnsi="仿宋" w:eastAsia="仿宋" w:cs="仿宋"/>
                <w:sz w:val="24"/>
                <w:szCs w:val="24"/>
              </w:rPr>
            </w:pPr>
            <w:r>
              <w:rPr>
                <w:rFonts w:hint="eastAsia" w:ascii="仿宋" w:hAnsi="仿宋" w:eastAsia="仿宋" w:cs="仿宋"/>
                <w:spacing w:val="-2"/>
                <w:sz w:val="24"/>
                <w:szCs w:val="24"/>
              </w:rPr>
              <w:t>小于</w:t>
            </w:r>
            <w:r>
              <w:rPr>
                <w:rFonts w:hint="eastAsia" w:ascii="仿宋" w:hAnsi="仿宋" w:eastAsia="仿宋" w:cs="仿宋"/>
                <w:spacing w:val="-2"/>
                <w:sz w:val="24"/>
                <w:szCs w:val="24"/>
                <w:lang w:val="en-US" w:eastAsia="zh-CN"/>
              </w:rPr>
              <w:t>80</w:t>
            </w:r>
            <w:r>
              <w:rPr>
                <w:rFonts w:hint="eastAsia" w:ascii="仿宋" w:hAnsi="仿宋" w:eastAsia="仿宋" w:cs="仿宋"/>
                <w:spacing w:val="-2"/>
                <w:sz w:val="24"/>
                <w:szCs w:val="24"/>
              </w:rPr>
              <w:t>分大于等于</w:t>
            </w:r>
            <w:r>
              <w:rPr>
                <w:rFonts w:hint="eastAsia" w:ascii="仿宋" w:hAnsi="仿宋" w:eastAsia="仿宋" w:cs="仿宋"/>
                <w:spacing w:val="-2"/>
                <w:sz w:val="24"/>
                <w:szCs w:val="24"/>
                <w:lang w:val="en-US" w:eastAsia="zh-CN"/>
              </w:rPr>
              <w:t>70</w:t>
            </w:r>
            <w:r>
              <w:rPr>
                <w:rFonts w:hint="eastAsia" w:ascii="仿宋" w:hAnsi="仿宋" w:eastAsia="仿宋" w:cs="仿宋"/>
                <w:spacing w:val="-2"/>
                <w:sz w:val="24"/>
                <w:szCs w:val="24"/>
              </w:rPr>
              <w:t>分</w:t>
            </w:r>
          </w:p>
        </w:tc>
        <w:tc>
          <w:tcPr>
            <w:tcW w:w="4671" w:type="dxa"/>
            <w:vAlign w:val="top"/>
          </w:tcPr>
          <w:p w14:paraId="445CD21A">
            <w:pPr>
              <w:pStyle w:val="18"/>
              <w:spacing w:before="167"/>
              <w:ind w:left="2163"/>
              <w:rPr>
                <w:rFonts w:hint="eastAsia" w:ascii="仿宋" w:hAnsi="仿宋" w:eastAsia="仿宋" w:cs="仿宋"/>
                <w:sz w:val="24"/>
                <w:szCs w:val="24"/>
              </w:rPr>
            </w:pPr>
            <w:r>
              <w:rPr>
                <w:rFonts w:hint="eastAsia" w:ascii="仿宋" w:hAnsi="仿宋" w:eastAsia="仿宋" w:cs="仿宋"/>
                <w:spacing w:val="-4"/>
                <w:sz w:val="24"/>
                <w:szCs w:val="24"/>
                <w:lang w:val="en-US" w:eastAsia="zh-CN"/>
              </w:rPr>
              <w:t>80</w:t>
            </w:r>
            <w:r>
              <w:rPr>
                <w:rFonts w:hint="eastAsia" w:ascii="仿宋" w:hAnsi="仿宋" w:eastAsia="仿宋" w:cs="仿宋"/>
                <w:spacing w:val="-4"/>
                <w:sz w:val="24"/>
                <w:szCs w:val="24"/>
              </w:rPr>
              <w:t>%</w:t>
            </w:r>
          </w:p>
        </w:tc>
      </w:tr>
      <w:tr w14:paraId="12D6FA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3867" w:type="dxa"/>
            <w:vAlign w:val="top"/>
          </w:tcPr>
          <w:p w14:paraId="4D3695BE">
            <w:pPr>
              <w:pStyle w:val="18"/>
              <w:spacing w:before="166" w:line="220" w:lineRule="auto"/>
              <w:ind w:left="747"/>
              <w:rPr>
                <w:rFonts w:hint="eastAsia" w:ascii="仿宋" w:hAnsi="仿宋" w:eastAsia="仿宋" w:cs="仿宋"/>
                <w:spacing w:val="-2"/>
                <w:sz w:val="24"/>
                <w:szCs w:val="24"/>
              </w:rPr>
            </w:pPr>
            <w:r>
              <w:rPr>
                <w:rFonts w:hint="eastAsia" w:ascii="仿宋" w:hAnsi="仿宋" w:eastAsia="仿宋" w:cs="仿宋"/>
                <w:spacing w:val="-2"/>
                <w:sz w:val="24"/>
                <w:szCs w:val="24"/>
              </w:rPr>
              <w:t>小于</w:t>
            </w:r>
            <w:r>
              <w:rPr>
                <w:rFonts w:hint="eastAsia" w:ascii="仿宋" w:hAnsi="仿宋" w:eastAsia="仿宋" w:cs="仿宋"/>
                <w:spacing w:val="-2"/>
                <w:sz w:val="24"/>
                <w:szCs w:val="24"/>
                <w:lang w:val="en-US" w:eastAsia="zh-CN"/>
              </w:rPr>
              <w:t>70</w:t>
            </w:r>
            <w:r>
              <w:rPr>
                <w:rFonts w:hint="eastAsia" w:ascii="仿宋" w:hAnsi="仿宋" w:eastAsia="仿宋" w:cs="仿宋"/>
                <w:spacing w:val="-2"/>
                <w:sz w:val="24"/>
                <w:szCs w:val="24"/>
              </w:rPr>
              <w:t>分大于等于</w:t>
            </w:r>
            <w:r>
              <w:rPr>
                <w:rFonts w:hint="eastAsia" w:ascii="仿宋" w:hAnsi="仿宋" w:eastAsia="仿宋" w:cs="仿宋"/>
                <w:spacing w:val="-2"/>
                <w:sz w:val="24"/>
                <w:szCs w:val="24"/>
                <w:lang w:val="en-US" w:eastAsia="zh-CN"/>
              </w:rPr>
              <w:t>60</w:t>
            </w:r>
            <w:r>
              <w:rPr>
                <w:rFonts w:hint="eastAsia" w:ascii="仿宋" w:hAnsi="仿宋" w:eastAsia="仿宋" w:cs="仿宋"/>
                <w:spacing w:val="-2"/>
                <w:sz w:val="24"/>
                <w:szCs w:val="24"/>
              </w:rPr>
              <w:t>分</w:t>
            </w:r>
          </w:p>
        </w:tc>
        <w:tc>
          <w:tcPr>
            <w:tcW w:w="4671" w:type="dxa"/>
            <w:vAlign w:val="top"/>
          </w:tcPr>
          <w:p w14:paraId="6327959D">
            <w:pPr>
              <w:pStyle w:val="18"/>
              <w:spacing w:before="167"/>
              <w:ind w:left="2163"/>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70%</w:t>
            </w:r>
          </w:p>
        </w:tc>
      </w:tr>
      <w:tr w14:paraId="55F5C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4" w:hRule="atLeast"/>
        </w:trPr>
        <w:tc>
          <w:tcPr>
            <w:tcW w:w="3867" w:type="dxa"/>
            <w:vAlign w:val="top"/>
          </w:tcPr>
          <w:p w14:paraId="7661B152">
            <w:pPr>
              <w:spacing w:line="272" w:lineRule="auto"/>
              <w:rPr>
                <w:rFonts w:hint="eastAsia" w:ascii="仿宋" w:hAnsi="仿宋" w:eastAsia="仿宋" w:cs="仿宋"/>
                <w:sz w:val="21"/>
              </w:rPr>
            </w:pPr>
          </w:p>
          <w:p w14:paraId="70BAE767">
            <w:pPr>
              <w:pStyle w:val="18"/>
              <w:spacing w:before="78" w:line="220" w:lineRule="auto"/>
              <w:ind w:left="1708"/>
              <w:rPr>
                <w:rFonts w:hint="eastAsia" w:ascii="仿宋" w:hAnsi="仿宋" w:eastAsia="仿宋" w:cs="仿宋"/>
                <w:sz w:val="24"/>
                <w:szCs w:val="24"/>
              </w:rPr>
            </w:pPr>
            <w:r>
              <w:rPr>
                <w:rFonts w:hint="eastAsia" w:ascii="仿宋" w:hAnsi="仿宋" w:eastAsia="仿宋" w:cs="仿宋"/>
                <w:spacing w:val="-4"/>
                <w:sz w:val="24"/>
                <w:szCs w:val="24"/>
              </w:rPr>
              <w:t>小于60分</w:t>
            </w:r>
          </w:p>
        </w:tc>
        <w:tc>
          <w:tcPr>
            <w:tcW w:w="4671" w:type="dxa"/>
            <w:vAlign w:val="top"/>
          </w:tcPr>
          <w:p w14:paraId="71B781F7">
            <w:pPr>
              <w:pStyle w:val="18"/>
              <w:spacing w:before="39"/>
              <w:rPr>
                <w:rFonts w:hint="eastAsia" w:ascii="仿宋" w:hAnsi="仿宋" w:eastAsia="仿宋" w:cs="仿宋"/>
                <w:sz w:val="24"/>
                <w:szCs w:val="24"/>
              </w:rPr>
            </w:pPr>
            <w:r>
              <w:rPr>
                <w:rFonts w:hint="eastAsia" w:ascii="仿宋" w:hAnsi="仿宋" w:eastAsia="仿宋" w:cs="仿宋"/>
                <w:spacing w:val="-3"/>
                <w:sz w:val="24"/>
                <w:szCs w:val="24"/>
              </w:rPr>
              <w:t>60%</w:t>
            </w:r>
            <w:r>
              <w:rPr>
                <w:rFonts w:hint="eastAsia" w:ascii="仿宋" w:hAnsi="仿宋" w:eastAsia="仿宋" w:cs="仿宋"/>
                <w:spacing w:val="-1"/>
                <w:sz w:val="24"/>
                <w:szCs w:val="24"/>
              </w:rPr>
              <w:t>连续两次以上或总评分累计四次不合格</w:t>
            </w:r>
          </w:p>
          <w:p w14:paraId="75251249">
            <w:pPr>
              <w:pStyle w:val="18"/>
              <w:spacing w:before="25" w:line="208" w:lineRule="auto"/>
              <w:rPr>
                <w:rFonts w:hint="eastAsia" w:ascii="仿宋" w:hAnsi="仿宋" w:eastAsia="仿宋" w:cs="仿宋"/>
                <w:sz w:val="24"/>
                <w:szCs w:val="24"/>
              </w:rPr>
            </w:pPr>
            <w:r>
              <w:rPr>
                <w:rFonts w:hint="eastAsia" w:ascii="仿宋" w:hAnsi="仿宋" w:eastAsia="仿宋" w:cs="仿宋"/>
                <w:spacing w:val="-4"/>
                <w:sz w:val="24"/>
                <w:szCs w:val="24"/>
              </w:rPr>
              <w:t>的，启动违约条款</w:t>
            </w:r>
          </w:p>
        </w:tc>
      </w:tr>
    </w:tbl>
    <w:p w14:paraId="3AB13619">
      <w:pPr>
        <w:bidi w:val="0"/>
        <w:ind w:firstLine="640" w:firstLineChars="200"/>
        <w:rPr>
          <w:rFonts w:hint="default"/>
          <w:lang w:val="en-US" w:eastAsia="zh-CN"/>
        </w:rPr>
      </w:pPr>
      <w:r>
        <w:rPr>
          <w:rFonts w:hint="eastAsia"/>
          <w:lang w:val="en-US" w:eastAsia="zh-CN"/>
        </w:rPr>
        <w:t>根据现有提供的资料，运营方近4年绩效考核得分均在90分以上，其中2021年绩效考核得分95.3分，2022年绩效考核得分97.25分，2023年绩效考核得分94.1分，2024年绩效考核得分96.16分，其中2023年未达到95分，根据实际情况，实际得3.5分。</w:t>
      </w:r>
    </w:p>
    <w:p w14:paraId="7E44B733">
      <w:pPr>
        <w:numPr>
          <w:ilvl w:val="0"/>
          <w:numId w:val="0"/>
        </w:numPr>
        <w:bidi w:val="0"/>
        <w:ind w:left="0" w:leftChars="0" w:firstLine="0" w:firstLineChars="0"/>
        <w:jc w:val="both"/>
        <w:outlineLvl w:val="3"/>
        <w:rPr>
          <w:rFonts w:hint="eastAsia"/>
          <w:highlight w:val="none"/>
          <w:lang w:val="en-US" w:eastAsia="zh-CN"/>
        </w:rPr>
      </w:pPr>
      <w:r>
        <w:rPr>
          <w:rFonts w:hint="eastAsia"/>
          <w:highlight w:val="none"/>
          <w:lang w:val="en-US" w:eastAsia="zh-CN"/>
        </w:rPr>
        <w:t xml:space="preserve">    </w:t>
      </w:r>
      <w:r>
        <w:rPr>
          <w:rFonts w:hint="eastAsia"/>
          <w:b/>
          <w:bCs/>
          <w:highlight w:val="none"/>
          <w:lang w:val="en-US" w:eastAsia="zh-CN"/>
        </w:rPr>
        <w:t>（3）投资收益率（满分4分，实得1.69分）</w:t>
      </w:r>
    </w:p>
    <w:p w14:paraId="44525067">
      <w:pPr>
        <w:numPr>
          <w:ilvl w:val="0"/>
          <w:numId w:val="0"/>
        </w:numPr>
        <w:bidi w:val="0"/>
        <w:ind w:firstLine="640"/>
        <w:jc w:val="both"/>
        <w:rPr>
          <w:rFonts w:hint="eastAsia"/>
          <w:highlight w:val="none"/>
          <w:lang w:val="en-US" w:eastAsia="zh-CN"/>
        </w:rPr>
      </w:pPr>
      <w:r>
        <w:rPr>
          <w:rFonts w:hint="eastAsia"/>
          <w:highlight w:val="none"/>
          <w:lang w:val="en-US" w:eastAsia="zh-CN"/>
        </w:rPr>
        <w:t>根据项目方财务审计报告数据，污水处理厂2022年净利润237.77万元、2023年净利润311.59万元、2024年净利润159.81万元，近三年投资收益率平均为2.53%左右，达成率42.18%，实际收益率未达到计划的6%的目标。</w:t>
      </w:r>
    </w:p>
    <w:p w14:paraId="7A02E709">
      <w:pPr>
        <w:numPr>
          <w:ilvl w:val="0"/>
          <w:numId w:val="0"/>
        </w:numPr>
        <w:bidi w:val="0"/>
        <w:ind w:firstLine="640" w:firstLineChars="200"/>
        <w:jc w:val="both"/>
        <w:rPr>
          <w:rFonts w:hint="eastAsia"/>
          <w:highlight w:val="none"/>
          <w:lang w:val="en-US" w:eastAsia="zh-CN"/>
        </w:rPr>
      </w:pPr>
      <w:r>
        <w:rPr>
          <w:rFonts w:hint="eastAsia"/>
          <w:highlight w:val="none"/>
          <w:lang w:val="en-US" w:eastAsia="zh-CN"/>
        </w:rPr>
        <w:t>经评估，投资收益率未达到可研报告预期，但从目前项目总投资9339.27万元，依6%的投资回报率，依项目目前的经营指标，每年纯收益560万元，按经营期29年，净利润1.63亿元，这无形中增加了政府的资金压力，因此可研的设定收益率偏高，根据实际情况，该指标实得1.69分。</w:t>
      </w:r>
    </w:p>
    <w:p w14:paraId="25580DEF">
      <w:pPr>
        <w:numPr>
          <w:ilvl w:val="0"/>
          <w:numId w:val="0"/>
        </w:numPr>
        <w:bidi w:val="0"/>
        <w:ind w:firstLine="640"/>
        <w:jc w:val="both"/>
        <w:rPr>
          <w:rFonts w:hint="eastAsia"/>
          <w:b/>
          <w:bCs/>
          <w:highlight w:val="none"/>
          <w:lang w:val="en-US" w:eastAsia="zh-CN"/>
        </w:rPr>
      </w:pPr>
      <w:r>
        <w:rPr>
          <w:rFonts w:hint="eastAsia"/>
          <w:b/>
          <w:bCs/>
          <w:highlight w:val="none"/>
          <w:lang w:val="en-US" w:eastAsia="zh-CN"/>
        </w:rPr>
        <w:t>（4）设备日常维护率（满分4分，实得2分）</w:t>
      </w:r>
    </w:p>
    <w:p w14:paraId="2AB697C4">
      <w:pPr>
        <w:numPr>
          <w:ilvl w:val="0"/>
          <w:numId w:val="0"/>
        </w:numPr>
        <w:bidi w:val="0"/>
        <w:ind w:firstLine="640" w:firstLineChars="200"/>
        <w:jc w:val="both"/>
        <w:rPr>
          <w:rFonts w:hint="default"/>
          <w:highlight w:val="none"/>
          <w:lang w:val="en-US" w:eastAsia="zh-CN"/>
        </w:rPr>
      </w:pPr>
      <w:r>
        <w:rPr>
          <w:rFonts w:hint="default"/>
          <w:highlight w:val="none"/>
          <w:lang w:val="en-US" w:eastAsia="zh-CN"/>
        </w:rPr>
        <w:t>该项目污水处理厂设备日常运行、维修养护按照相关政策要求及项目运营维护方案等相关要求执行，</w:t>
      </w:r>
      <w:r>
        <w:rPr>
          <w:rFonts w:hint="eastAsia"/>
          <w:highlight w:val="none"/>
          <w:lang w:val="en-US" w:eastAsia="zh-CN"/>
        </w:rPr>
        <w:t>建立了设备维修、维护、管理制度，</w:t>
      </w:r>
      <w:r>
        <w:rPr>
          <w:rFonts w:hint="default"/>
          <w:highlight w:val="none"/>
          <w:lang w:val="en-US" w:eastAsia="zh-CN"/>
        </w:rPr>
        <w:t>设备正常运行、维修养护及时，但依然存在维护不到位</w:t>
      </w:r>
      <w:r>
        <w:rPr>
          <w:rFonts w:hint="eastAsia"/>
          <w:highlight w:val="none"/>
          <w:lang w:val="en-US" w:eastAsia="zh-CN"/>
        </w:rPr>
        <w:t>、未建立记录的情况</w:t>
      </w:r>
      <w:r>
        <w:rPr>
          <w:rFonts w:hint="default"/>
          <w:highlight w:val="none"/>
          <w:lang w:val="en-US" w:eastAsia="zh-CN"/>
        </w:rPr>
        <w:t>。</w:t>
      </w:r>
    </w:p>
    <w:p w14:paraId="66C7DEE9">
      <w:pPr>
        <w:numPr>
          <w:ilvl w:val="0"/>
          <w:numId w:val="0"/>
        </w:numPr>
        <w:bidi w:val="0"/>
        <w:ind w:firstLine="640" w:firstLineChars="200"/>
        <w:jc w:val="both"/>
        <w:rPr>
          <w:rFonts w:hint="default"/>
          <w:highlight w:val="none"/>
          <w:lang w:val="en-US" w:eastAsia="zh-CN"/>
        </w:rPr>
      </w:pPr>
      <w:r>
        <w:rPr>
          <w:rFonts w:hint="default"/>
          <w:highlight w:val="none"/>
          <w:lang w:val="en-US" w:eastAsia="zh-CN"/>
        </w:rPr>
        <w:t>经评估，该项指标存在</w:t>
      </w:r>
      <w:r>
        <w:rPr>
          <w:rFonts w:hint="eastAsia"/>
          <w:highlight w:val="none"/>
          <w:lang w:val="en-US" w:eastAsia="zh-CN"/>
        </w:rPr>
        <w:t>设备</w:t>
      </w:r>
      <w:r>
        <w:rPr>
          <w:rFonts w:hint="default"/>
          <w:highlight w:val="none"/>
          <w:lang w:val="en-US" w:eastAsia="zh-CN"/>
        </w:rPr>
        <w:t>维护</w:t>
      </w:r>
      <w:r>
        <w:rPr>
          <w:rFonts w:hint="eastAsia"/>
          <w:highlight w:val="none"/>
          <w:lang w:val="en-US" w:eastAsia="zh-CN"/>
        </w:rPr>
        <w:t>只有日常检查维修记录，无重要设备日常维护</w:t>
      </w:r>
      <w:r>
        <w:rPr>
          <w:rFonts w:hint="default"/>
          <w:highlight w:val="none"/>
          <w:lang w:val="en-US" w:eastAsia="zh-CN"/>
        </w:rPr>
        <w:t>记录，</w:t>
      </w:r>
      <w:r>
        <w:rPr>
          <w:rFonts w:hint="eastAsia"/>
          <w:highlight w:val="none"/>
          <w:lang w:val="en-US" w:eastAsia="zh-CN"/>
        </w:rPr>
        <w:t>根据实际情况，</w:t>
      </w:r>
      <w:r>
        <w:rPr>
          <w:rFonts w:hint="default"/>
          <w:highlight w:val="none"/>
          <w:lang w:val="en-US" w:eastAsia="zh-CN"/>
        </w:rPr>
        <w:t>实际得</w:t>
      </w:r>
      <w:r>
        <w:rPr>
          <w:rFonts w:hint="eastAsia"/>
          <w:highlight w:val="none"/>
          <w:lang w:val="en-US" w:eastAsia="zh-CN"/>
        </w:rPr>
        <w:t>2</w:t>
      </w:r>
      <w:r>
        <w:rPr>
          <w:rFonts w:hint="default"/>
          <w:highlight w:val="none"/>
          <w:lang w:val="en-US" w:eastAsia="zh-CN"/>
        </w:rPr>
        <w:t>分。</w:t>
      </w:r>
    </w:p>
    <w:p w14:paraId="559F3214">
      <w:pPr>
        <w:numPr>
          <w:ilvl w:val="0"/>
          <w:numId w:val="0"/>
        </w:numPr>
        <w:bidi w:val="0"/>
        <w:ind w:firstLine="643" w:firstLineChars="200"/>
        <w:jc w:val="both"/>
        <w:rPr>
          <w:rFonts w:hint="eastAsia"/>
          <w:highlight w:val="none"/>
          <w:lang w:val="en-US" w:eastAsia="zh-CN"/>
        </w:rPr>
      </w:pPr>
      <w:r>
        <w:rPr>
          <w:rFonts w:hint="eastAsia" w:ascii="仿宋" w:hAnsi="仿宋" w:eastAsia="仿宋" w:cs="Times New Roman"/>
          <w:b/>
          <w:bCs/>
          <w:kern w:val="2"/>
          <w:sz w:val="32"/>
          <w:szCs w:val="24"/>
          <w:lang w:val="en-US" w:eastAsia="zh-CN" w:bidi="ar-SA"/>
        </w:rPr>
        <w:t>（5）</w:t>
      </w:r>
      <w:r>
        <w:rPr>
          <w:rFonts w:hint="eastAsia"/>
          <w:b/>
          <w:bCs/>
          <w:highlight w:val="none"/>
          <w:lang w:val="en-US" w:eastAsia="zh-CN"/>
        </w:rPr>
        <w:t>应急预案（满分4分，实得4分）</w:t>
      </w:r>
    </w:p>
    <w:p w14:paraId="561398E6">
      <w:pPr>
        <w:numPr>
          <w:ilvl w:val="0"/>
          <w:numId w:val="0"/>
        </w:numPr>
        <w:bidi w:val="0"/>
        <w:jc w:val="both"/>
        <w:rPr>
          <w:rFonts w:hint="eastAsia"/>
          <w:highlight w:val="none"/>
          <w:lang w:val="en-US" w:eastAsia="zh-CN"/>
        </w:rPr>
      </w:pPr>
      <w:r>
        <w:rPr>
          <w:rFonts w:hint="eastAsia"/>
          <w:highlight w:val="none"/>
          <w:lang w:val="en-US" w:eastAsia="zh-CN"/>
        </w:rPr>
        <w:t xml:space="preserve">    该项目制定了突发事件应急预案，其中包含突发性停电应急预案、防火应急预案、触电应急预案、溺水应急预案等多种应急预案，并配备了相应的设施设备。</w:t>
      </w:r>
    </w:p>
    <w:p w14:paraId="3E8539B1">
      <w:pPr>
        <w:numPr>
          <w:ilvl w:val="0"/>
          <w:numId w:val="0"/>
        </w:numPr>
        <w:bidi w:val="0"/>
        <w:jc w:val="both"/>
        <w:rPr>
          <w:rFonts w:hint="default"/>
          <w:highlight w:val="none"/>
          <w:lang w:val="en-US" w:eastAsia="zh-CN"/>
        </w:rPr>
      </w:pPr>
      <w:r>
        <w:rPr>
          <w:rFonts w:hint="eastAsia"/>
          <w:highlight w:val="none"/>
          <w:lang w:val="en-US" w:eastAsia="zh-CN"/>
        </w:rPr>
        <w:t xml:space="preserve">    经评估，</w:t>
      </w:r>
      <w:r>
        <w:rPr>
          <w:rFonts w:hint="default"/>
          <w:highlight w:val="none"/>
          <w:lang w:val="en-US" w:eastAsia="zh-CN"/>
        </w:rPr>
        <w:t>该项指标</w:t>
      </w:r>
      <w:r>
        <w:rPr>
          <w:rFonts w:hint="eastAsia"/>
          <w:highlight w:val="none"/>
          <w:lang w:val="en-US" w:eastAsia="zh-CN"/>
        </w:rPr>
        <w:t>满分4</w:t>
      </w:r>
      <w:r>
        <w:rPr>
          <w:rFonts w:hint="default"/>
          <w:highlight w:val="none"/>
          <w:lang w:val="en-US" w:eastAsia="zh-CN"/>
        </w:rPr>
        <w:t>分，实际得</w:t>
      </w:r>
      <w:r>
        <w:rPr>
          <w:rFonts w:hint="eastAsia"/>
          <w:highlight w:val="none"/>
          <w:lang w:val="en-US" w:eastAsia="zh-CN"/>
        </w:rPr>
        <w:t>4</w:t>
      </w:r>
      <w:r>
        <w:rPr>
          <w:rFonts w:hint="default"/>
          <w:highlight w:val="none"/>
          <w:lang w:val="en-US" w:eastAsia="zh-CN"/>
        </w:rPr>
        <w:t>分</w:t>
      </w:r>
      <w:r>
        <w:rPr>
          <w:rFonts w:hint="eastAsia"/>
          <w:highlight w:val="none"/>
          <w:lang w:val="en-US" w:eastAsia="zh-CN"/>
        </w:rPr>
        <w:t>。</w:t>
      </w:r>
    </w:p>
    <w:p w14:paraId="47F4D3F4">
      <w:pPr>
        <w:numPr>
          <w:ilvl w:val="0"/>
          <w:numId w:val="0"/>
        </w:numPr>
        <w:bidi w:val="0"/>
        <w:ind w:left="0" w:leftChars="0" w:firstLine="640" w:firstLineChars="0"/>
        <w:jc w:val="both"/>
        <w:outlineLvl w:val="2"/>
        <w:rPr>
          <w:rFonts w:hint="default"/>
          <w:b/>
          <w:bCs/>
          <w:highlight w:val="none"/>
          <w:lang w:val="en-US" w:eastAsia="zh-CN"/>
        </w:rPr>
      </w:pPr>
      <w:bookmarkStart w:id="67" w:name="_Toc23602"/>
      <w:r>
        <w:rPr>
          <w:rFonts w:hint="default"/>
          <w:b/>
          <w:bCs/>
          <w:highlight w:val="none"/>
          <w:lang w:val="en-US" w:eastAsia="zh-CN"/>
        </w:rPr>
        <w:t>2. 质量指标（</w:t>
      </w:r>
      <w:r>
        <w:rPr>
          <w:rFonts w:hint="eastAsia"/>
          <w:b/>
          <w:bCs/>
          <w:highlight w:val="none"/>
          <w:lang w:val="en-US" w:eastAsia="zh-CN"/>
        </w:rPr>
        <w:t>满分10</w:t>
      </w:r>
      <w:r>
        <w:rPr>
          <w:rFonts w:hint="default"/>
          <w:b/>
          <w:bCs/>
          <w:highlight w:val="none"/>
          <w:lang w:val="en-US" w:eastAsia="zh-CN"/>
        </w:rPr>
        <w:t>分，实际评价得</w:t>
      </w:r>
      <w:r>
        <w:rPr>
          <w:rFonts w:hint="eastAsia"/>
          <w:b/>
          <w:bCs/>
          <w:highlight w:val="none"/>
          <w:lang w:val="en-US" w:eastAsia="zh-CN"/>
        </w:rPr>
        <w:t>9.5</w:t>
      </w:r>
      <w:r>
        <w:rPr>
          <w:rFonts w:hint="default"/>
          <w:b/>
          <w:bCs/>
          <w:highlight w:val="none"/>
          <w:lang w:val="en-US" w:eastAsia="zh-CN"/>
        </w:rPr>
        <w:t>分）</w:t>
      </w:r>
      <w:bookmarkEnd w:id="67"/>
    </w:p>
    <w:p w14:paraId="22C03B80">
      <w:pPr>
        <w:numPr>
          <w:ilvl w:val="0"/>
          <w:numId w:val="0"/>
        </w:numPr>
        <w:bidi w:val="0"/>
        <w:ind w:left="0" w:leftChars="0" w:firstLine="640" w:firstLineChars="0"/>
        <w:jc w:val="both"/>
        <w:outlineLvl w:val="3"/>
        <w:rPr>
          <w:rFonts w:hint="default"/>
          <w:b/>
          <w:bCs/>
          <w:highlight w:val="none"/>
          <w:lang w:val="en-US" w:eastAsia="zh-CN"/>
        </w:rPr>
      </w:pPr>
      <w:r>
        <w:rPr>
          <w:rFonts w:hint="default"/>
          <w:b/>
          <w:bCs/>
          <w:highlight w:val="none"/>
          <w:lang w:val="en-US" w:eastAsia="zh-CN"/>
        </w:rPr>
        <w:t>（1）</w:t>
      </w:r>
      <w:r>
        <w:rPr>
          <w:rFonts w:hint="eastAsia"/>
          <w:b/>
          <w:bCs/>
          <w:highlight w:val="none"/>
          <w:lang w:val="en-US" w:eastAsia="zh-CN"/>
        </w:rPr>
        <w:t>污泥规范化处置情况（满分3分，实得3分）</w:t>
      </w:r>
    </w:p>
    <w:p w14:paraId="0BE17EEB">
      <w:pPr>
        <w:numPr>
          <w:ilvl w:val="0"/>
          <w:numId w:val="0"/>
        </w:numPr>
        <w:bidi w:val="0"/>
        <w:ind w:firstLine="640"/>
        <w:jc w:val="both"/>
        <w:rPr>
          <w:rFonts w:hint="default"/>
          <w:highlight w:val="none"/>
          <w:lang w:val="en-US" w:eastAsia="zh-CN"/>
        </w:rPr>
      </w:pPr>
      <w:r>
        <w:rPr>
          <w:rFonts w:hint="default"/>
          <w:highlight w:val="none"/>
          <w:lang w:val="en-US" w:eastAsia="zh-CN"/>
        </w:rPr>
        <w:t>该项目通过设备处理污泥后含水率为80%，所有污泥处置均按照国家相关规定执行，运输至华新水泥（大冶）有限公司处置，部分污泥拖至相关单位进行污泥接种及驯化培养所用</w:t>
      </w:r>
      <w:r>
        <w:rPr>
          <w:rFonts w:hint="eastAsia"/>
          <w:highlight w:val="none"/>
          <w:lang w:val="en-US" w:eastAsia="zh-CN"/>
        </w:rPr>
        <w:t>，未发生环境污染事件</w:t>
      </w:r>
      <w:r>
        <w:rPr>
          <w:rFonts w:hint="default"/>
          <w:highlight w:val="none"/>
          <w:lang w:val="en-US" w:eastAsia="zh-CN"/>
        </w:rPr>
        <w:t>。</w:t>
      </w:r>
    </w:p>
    <w:p w14:paraId="343B28B8">
      <w:pPr>
        <w:numPr>
          <w:ilvl w:val="0"/>
          <w:numId w:val="0"/>
        </w:numPr>
        <w:bidi w:val="0"/>
        <w:ind w:firstLine="640"/>
        <w:jc w:val="both"/>
        <w:rPr>
          <w:rFonts w:hint="default"/>
          <w:highlight w:val="none"/>
          <w:lang w:val="en-US" w:eastAsia="zh-CN"/>
        </w:rPr>
      </w:pPr>
      <w:r>
        <w:rPr>
          <w:rFonts w:hint="default"/>
          <w:highlight w:val="none"/>
          <w:lang w:val="en-US" w:eastAsia="zh-CN"/>
        </w:rPr>
        <w:t>经评估，该项指标</w:t>
      </w:r>
      <w:r>
        <w:rPr>
          <w:rFonts w:hint="eastAsia"/>
          <w:highlight w:val="none"/>
          <w:lang w:val="en-US" w:eastAsia="zh-CN"/>
        </w:rPr>
        <w:t>满分</w:t>
      </w:r>
      <w:r>
        <w:rPr>
          <w:rFonts w:hint="default"/>
          <w:highlight w:val="none"/>
          <w:lang w:val="en-US" w:eastAsia="zh-CN"/>
        </w:rPr>
        <w:t>3分，实际得3分。</w:t>
      </w:r>
    </w:p>
    <w:p w14:paraId="024A45C5">
      <w:pPr>
        <w:numPr>
          <w:ilvl w:val="0"/>
          <w:numId w:val="0"/>
        </w:numPr>
        <w:bidi w:val="0"/>
        <w:ind w:left="0" w:leftChars="0" w:firstLine="640" w:firstLineChars="0"/>
        <w:jc w:val="both"/>
        <w:outlineLvl w:val="3"/>
        <w:rPr>
          <w:rFonts w:hint="default"/>
          <w:b/>
          <w:bCs/>
          <w:highlight w:val="none"/>
          <w:lang w:val="en-US" w:eastAsia="zh-CN"/>
        </w:rPr>
      </w:pPr>
      <w:r>
        <w:rPr>
          <w:rFonts w:hint="default"/>
          <w:b/>
          <w:bCs/>
          <w:highlight w:val="none"/>
          <w:lang w:val="en-US" w:eastAsia="zh-CN"/>
        </w:rPr>
        <w:t>（2）</w:t>
      </w:r>
      <w:r>
        <w:rPr>
          <w:rFonts w:hint="eastAsia"/>
          <w:b/>
          <w:bCs/>
          <w:highlight w:val="none"/>
          <w:lang w:val="en-US" w:eastAsia="zh-CN"/>
        </w:rPr>
        <w:t>室内室外环境达标率（满分3分，实际得3分）</w:t>
      </w:r>
    </w:p>
    <w:p w14:paraId="1302205C">
      <w:pPr>
        <w:numPr>
          <w:ilvl w:val="0"/>
          <w:numId w:val="0"/>
        </w:numPr>
        <w:bidi w:val="0"/>
        <w:ind w:firstLine="640"/>
        <w:jc w:val="both"/>
        <w:rPr>
          <w:rFonts w:hint="default"/>
          <w:highlight w:val="none"/>
          <w:lang w:val="en-US" w:eastAsia="zh-CN"/>
        </w:rPr>
      </w:pPr>
      <w:r>
        <w:rPr>
          <w:rFonts w:hint="eastAsia"/>
          <w:highlight w:val="none"/>
          <w:lang w:val="en-US" w:eastAsia="zh-CN"/>
        </w:rPr>
        <w:t>该项目厂界噪音符合现行国家标准《工业企业厂界环境噪声排放标准》（GB12348）的有关规定，厂界臭气指标符合现行国家标准《城镇污水处理厂污染物排放标准》（GB18918）中关于大气污染物排放的有关规定，除臭设备正常运行，室内室外环境整洁。各项规章制度完善，上墙张贴悬挂规范；建（构）筑物外观保持整洁、美观；道路及其他公共场所路容平整、完好，无积水、沉陷，维修、保养及时；运行设备、环卫设施完备、整洁，无损坏，维修、保养、更换及时；厂区绿化优美，无杂草无死树，绿化植被定期维护管养；办公室、工作间、操作室、休息室、机房等的地面、墙壁、顶棚、门窗等洁净，室内物品摆放整齐；各类垃圾、废液、危废等分类定置存放，清理及时；路灯完好，牢固安全，整洁美观，维修更换及时；厂区各类标识标牌悬挂规范、醒目；监控设备按要求安装，且运行良好。</w:t>
      </w:r>
    </w:p>
    <w:p w14:paraId="20D344AB">
      <w:pPr>
        <w:numPr>
          <w:ilvl w:val="0"/>
          <w:numId w:val="0"/>
        </w:numPr>
        <w:bidi w:val="0"/>
        <w:ind w:firstLine="640"/>
        <w:jc w:val="both"/>
        <w:rPr>
          <w:rFonts w:hint="default"/>
          <w:highlight w:val="none"/>
          <w:lang w:val="en-US" w:eastAsia="zh-CN"/>
        </w:rPr>
      </w:pPr>
      <w:r>
        <w:rPr>
          <w:rFonts w:hint="default"/>
          <w:highlight w:val="none"/>
          <w:lang w:val="en-US" w:eastAsia="zh-CN"/>
        </w:rPr>
        <w:t>经评估，</w:t>
      </w:r>
      <w:r>
        <w:rPr>
          <w:rFonts w:hint="eastAsia"/>
          <w:highlight w:val="none"/>
          <w:lang w:val="en-US" w:eastAsia="zh-CN"/>
        </w:rPr>
        <w:t>根据实际情况</w:t>
      </w:r>
      <w:r>
        <w:rPr>
          <w:rFonts w:hint="default"/>
          <w:highlight w:val="none"/>
          <w:lang w:val="en-US" w:eastAsia="zh-CN"/>
        </w:rPr>
        <w:t>，实际得</w:t>
      </w:r>
      <w:r>
        <w:rPr>
          <w:rFonts w:hint="eastAsia"/>
          <w:highlight w:val="none"/>
          <w:lang w:val="en-US" w:eastAsia="zh-CN"/>
        </w:rPr>
        <w:t>3</w:t>
      </w:r>
      <w:r>
        <w:rPr>
          <w:rFonts w:hint="default"/>
          <w:highlight w:val="none"/>
          <w:lang w:val="en-US" w:eastAsia="zh-CN"/>
        </w:rPr>
        <w:t>分。</w:t>
      </w:r>
    </w:p>
    <w:p w14:paraId="5CCE38F5">
      <w:pPr>
        <w:numPr>
          <w:ilvl w:val="0"/>
          <w:numId w:val="0"/>
        </w:numPr>
        <w:bidi w:val="0"/>
        <w:ind w:firstLine="640"/>
        <w:jc w:val="both"/>
        <w:rPr>
          <w:rFonts w:hint="eastAsia"/>
          <w:b/>
          <w:bCs/>
          <w:highlight w:val="none"/>
          <w:lang w:val="en-US" w:eastAsia="zh-CN"/>
        </w:rPr>
      </w:pPr>
      <w:r>
        <w:rPr>
          <w:rFonts w:hint="eastAsia"/>
          <w:b/>
          <w:bCs/>
          <w:highlight w:val="none"/>
          <w:lang w:val="en-US" w:eastAsia="zh-CN"/>
        </w:rPr>
        <w:t>（3）出水指标达标率（满分4分，实际得4分）</w:t>
      </w:r>
    </w:p>
    <w:p w14:paraId="3FEFA0BE">
      <w:pPr>
        <w:numPr>
          <w:ilvl w:val="0"/>
          <w:numId w:val="0"/>
        </w:numPr>
        <w:bidi w:val="0"/>
        <w:ind w:firstLine="640"/>
        <w:jc w:val="both"/>
        <w:rPr>
          <w:rFonts w:hint="default"/>
          <w:highlight w:val="none"/>
          <w:lang w:val="en-US" w:eastAsia="zh-CN"/>
        </w:rPr>
      </w:pPr>
      <w:r>
        <w:rPr>
          <w:rFonts w:hint="default"/>
          <w:highlight w:val="none"/>
          <w:lang w:val="en-US" w:eastAsia="zh-CN"/>
        </w:rPr>
        <w:t>该项目排放口、进水口安装了进水COD、氨氮、总氮、总磷、出水COD、氨氮、总氮、总磷、PH、流量等主要水质指标的在线监测装置和厂站视频监控系统，并与市、省住建厅及生态环境厅联网，且在线监测数据与环保部门监控平台联通及有效性校核，采集得数据实时传输到省平台；在线监测装置记录数据与所汇报资料无差距；定期对水质检测设备进行监测比对</w:t>
      </w:r>
      <w:r>
        <w:rPr>
          <w:rFonts w:hint="eastAsia"/>
          <w:highlight w:val="none"/>
          <w:lang w:val="en-US" w:eastAsia="zh-CN"/>
        </w:rPr>
        <w:t>，并由第三方专业机构开展水质检测，</w:t>
      </w:r>
      <w:r>
        <w:rPr>
          <w:rFonts w:hint="default"/>
          <w:highlight w:val="none"/>
          <w:lang w:val="en-US" w:eastAsia="zh-CN"/>
        </w:rPr>
        <w:t>2022年至2024年，污水处理达标率平均达到97.53%，未发生环境污染事件。</w:t>
      </w:r>
    </w:p>
    <w:p w14:paraId="6F75E966">
      <w:pPr>
        <w:numPr>
          <w:ilvl w:val="0"/>
          <w:numId w:val="0"/>
        </w:numPr>
        <w:bidi w:val="0"/>
        <w:ind w:firstLine="640"/>
        <w:jc w:val="both"/>
        <w:rPr>
          <w:rFonts w:hint="default"/>
          <w:highlight w:val="none"/>
          <w:lang w:val="en-US" w:eastAsia="zh-CN"/>
        </w:rPr>
      </w:pPr>
      <w:r>
        <w:rPr>
          <w:rFonts w:hint="eastAsia"/>
          <w:highlight w:val="none"/>
          <w:lang w:val="en-US" w:eastAsia="zh-CN"/>
        </w:rPr>
        <w:t>经评估，出水指标达标率97.53%，但项目的检验报告长期为一个合作单位，影响检验的公正严明，实得3分。</w:t>
      </w:r>
    </w:p>
    <w:p w14:paraId="7125CF88">
      <w:pPr>
        <w:numPr>
          <w:ilvl w:val="0"/>
          <w:numId w:val="0"/>
        </w:numPr>
        <w:bidi w:val="0"/>
        <w:ind w:left="0" w:leftChars="0" w:firstLine="640" w:firstLineChars="0"/>
        <w:jc w:val="both"/>
        <w:outlineLvl w:val="2"/>
        <w:rPr>
          <w:rFonts w:hint="default"/>
          <w:b/>
          <w:bCs/>
          <w:highlight w:val="none"/>
          <w:lang w:val="en-US" w:eastAsia="zh-CN"/>
        </w:rPr>
      </w:pPr>
      <w:bookmarkStart w:id="68" w:name="_Toc18116"/>
      <w:r>
        <w:rPr>
          <w:rFonts w:hint="default"/>
          <w:b/>
          <w:bCs/>
          <w:highlight w:val="none"/>
          <w:lang w:val="en-US" w:eastAsia="zh-CN"/>
        </w:rPr>
        <w:t>3. 时效指标（</w:t>
      </w:r>
      <w:r>
        <w:rPr>
          <w:rFonts w:hint="eastAsia"/>
          <w:b/>
          <w:bCs/>
          <w:highlight w:val="none"/>
          <w:lang w:val="en-US" w:eastAsia="zh-CN"/>
        </w:rPr>
        <w:t>满分</w:t>
      </w:r>
      <w:r>
        <w:rPr>
          <w:rFonts w:hint="default"/>
          <w:b/>
          <w:bCs/>
          <w:highlight w:val="none"/>
          <w:lang w:val="en-US" w:eastAsia="zh-CN"/>
        </w:rPr>
        <w:t>5分，实际评价得5分）</w:t>
      </w:r>
      <w:bookmarkEnd w:id="68"/>
    </w:p>
    <w:p w14:paraId="38CF1F29">
      <w:pPr>
        <w:numPr>
          <w:ilvl w:val="0"/>
          <w:numId w:val="0"/>
        </w:numPr>
        <w:bidi w:val="0"/>
        <w:ind w:firstLine="640"/>
        <w:jc w:val="both"/>
        <w:rPr>
          <w:rFonts w:hint="eastAsia" w:ascii="仿宋" w:hAnsi="仿宋" w:eastAsia="仿宋" w:cs="Times New Roman"/>
          <w:kern w:val="2"/>
          <w:sz w:val="32"/>
          <w:szCs w:val="24"/>
          <w:highlight w:val="none"/>
          <w:lang w:val="en-US" w:eastAsia="zh-CN" w:bidi="ar-SA"/>
        </w:rPr>
      </w:pPr>
      <w:r>
        <w:rPr>
          <w:rFonts w:hint="default"/>
          <w:highlight w:val="none"/>
          <w:lang w:val="en-US" w:eastAsia="zh-CN"/>
        </w:rPr>
        <w:t>项目</w:t>
      </w:r>
      <w:r>
        <w:rPr>
          <w:rFonts w:hint="eastAsia"/>
          <w:highlight w:val="none"/>
          <w:lang w:val="en-US" w:eastAsia="zh-CN"/>
        </w:rPr>
        <w:t>可研报告</w:t>
      </w:r>
      <w:r>
        <w:rPr>
          <w:rFonts w:hint="default"/>
          <w:highlight w:val="none"/>
          <w:lang w:val="en-US" w:eastAsia="zh-CN"/>
        </w:rPr>
        <w:t>于20</w:t>
      </w:r>
      <w:r>
        <w:rPr>
          <w:rFonts w:hint="eastAsia"/>
          <w:highlight w:val="none"/>
          <w:lang w:val="en-US" w:eastAsia="zh-CN"/>
        </w:rPr>
        <w:t>17</w:t>
      </w:r>
      <w:r>
        <w:rPr>
          <w:rFonts w:hint="default"/>
          <w:highlight w:val="none"/>
          <w:lang w:val="en-US" w:eastAsia="zh-CN"/>
        </w:rPr>
        <w:t>年</w:t>
      </w:r>
      <w:r>
        <w:rPr>
          <w:rFonts w:hint="eastAsia"/>
          <w:highlight w:val="none"/>
          <w:lang w:val="en-US" w:eastAsia="zh-CN"/>
        </w:rPr>
        <w:t>7</w:t>
      </w:r>
      <w:r>
        <w:rPr>
          <w:rFonts w:hint="default"/>
          <w:highlight w:val="none"/>
          <w:lang w:val="en-US" w:eastAsia="zh-CN"/>
        </w:rPr>
        <w:t>月</w:t>
      </w:r>
      <w:r>
        <w:rPr>
          <w:rFonts w:hint="eastAsia"/>
          <w:highlight w:val="none"/>
          <w:lang w:val="en-US" w:eastAsia="zh-CN"/>
        </w:rPr>
        <w:t>21</w:t>
      </w:r>
      <w:r>
        <w:rPr>
          <w:rFonts w:hint="default"/>
          <w:highlight w:val="none"/>
          <w:lang w:val="en-US" w:eastAsia="zh-CN"/>
        </w:rPr>
        <w:t>日经阳新县发改局批复设立</w:t>
      </w:r>
      <w:r>
        <w:rPr>
          <w:rFonts w:hint="eastAsia"/>
          <w:highlight w:val="none"/>
          <w:lang w:val="en-US" w:eastAsia="zh-CN"/>
        </w:rPr>
        <w:t>，10月30日阳新县人民政府出具了《实施方案的批复》</w:t>
      </w:r>
      <w:r>
        <w:rPr>
          <w:rFonts w:hint="default"/>
          <w:highlight w:val="none"/>
          <w:lang w:val="en-US" w:eastAsia="zh-CN"/>
        </w:rPr>
        <w:t>；</w:t>
      </w:r>
      <w:r>
        <w:rPr>
          <w:rFonts w:hint="eastAsia"/>
          <w:highlight w:val="none"/>
          <w:lang w:val="en-US" w:eastAsia="zh-CN"/>
        </w:rPr>
        <w:t>2017年12月30日阳新县住建局委托代理机构在湖北政府购买服务信息平台发布该项目《单一来源采购公示》；2018年1月26日，阳新县住建局发出项目中标通知书，确定北京首创股份有限公司为项目中标单位；2018年4月，阳新县住建局与北京首创股份有限公司共同签署《阳新县宝塔湖污水处理厂扩建及提标升级工程PPP项目合同》并注册成立项目公司，由项目公司负责PPP项目的设计、投融资、建设、运营维护及期满移交；2018年9月，本项目开始试运行，同年10月进入正式运行投产，</w:t>
      </w:r>
      <w:r>
        <w:rPr>
          <w:rFonts w:hint="eastAsia" w:ascii="仿宋" w:hAnsi="仿宋" w:eastAsia="仿宋" w:cs="Times New Roman"/>
          <w:kern w:val="2"/>
          <w:sz w:val="32"/>
          <w:szCs w:val="24"/>
          <w:highlight w:val="none"/>
          <w:lang w:val="en-US" w:eastAsia="zh-CN" w:bidi="ar-SA"/>
        </w:rPr>
        <w:t>整个项目从批复设立到正式运行投产，各个环节均按照预定时间节点顺利完成，未出现延误情况。项目团队在推进过程中，有效协调各方资源，确保了项目的高效推进。</w:t>
      </w:r>
    </w:p>
    <w:p w14:paraId="5C509136">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经评估，该项指标如期达到目标，实得5分。</w:t>
      </w:r>
    </w:p>
    <w:p w14:paraId="2B40195B">
      <w:pPr>
        <w:numPr>
          <w:ilvl w:val="0"/>
          <w:numId w:val="0"/>
        </w:numPr>
        <w:bidi w:val="0"/>
        <w:ind w:left="0" w:leftChars="0" w:firstLine="640" w:firstLineChars="0"/>
        <w:jc w:val="both"/>
        <w:outlineLvl w:val="2"/>
        <w:rPr>
          <w:rFonts w:hint="default" w:ascii="仿宋" w:hAnsi="仿宋" w:eastAsia="仿宋" w:cs="Times New Roman"/>
          <w:b/>
          <w:bCs/>
          <w:kern w:val="2"/>
          <w:sz w:val="32"/>
          <w:szCs w:val="24"/>
          <w:highlight w:val="none"/>
          <w:lang w:val="en-US" w:eastAsia="zh-CN" w:bidi="ar-SA"/>
        </w:rPr>
      </w:pPr>
      <w:bookmarkStart w:id="69" w:name="_Toc30992"/>
      <w:r>
        <w:rPr>
          <w:rFonts w:hint="default" w:ascii="仿宋" w:hAnsi="仿宋" w:eastAsia="仿宋" w:cs="Times New Roman"/>
          <w:b/>
          <w:bCs/>
          <w:kern w:val="2"/>
          <w:sz w:val="32"/>
          <w:szCs w:val="24"/>
          <w:highlight w:val="none"/>
          <w:lang w:val="en-US" w:eastAsia="zh-CN" w:bidi="ar-SA"/>
        </w:rPr>
        <w:t>4. 成本指标分析（</w:t>
      </w:r>
      <w:r>
        <w:rPr>
          <w:rFonts w:hint="eastAsia" w:cs="Times New Roman"/>
          <w:b/>
          <w:bCs/>
          <w:kern w:val="2"/>
          <w:sz w:val="32"/>
          <w:szCs w:val="24"/>
          <w:highlight w:val="none"/>
          <w:lang w:val="en-US" w:eastAsia="zh-CN" w:bidi="ar-SA"/>
        </w:rPr>
        <w:t>满</w:t>
      </w:r>
      <w:r>
        <w:rPr>
          <w:rFonts w:hint="default" w:ascii="仿宋" w:hAnsi="仿宋" w:eastAsia="仿宋" w:cs="Times New Roman"/>
          <w:b/>
          <w:bCs/>
          <w:kern w:val="2"/>
          <w:sz w:val="32"/>
          <w:szCs w:val="24"/>
          <w:highlight w:val="none"/>
          <w:lang w:val="en-US" w:eastAsia="zh-CN" w:bidi="ar-SA"/>
        </w:rPr>
        <w:t>分</w:t>
      </w:r>
      <w:r>
        <w:rPr>
          <w:rFonts w:hint="eastAsia" w:cs="Times New Roman"/>
          <w:b/>
          <w:bCs/>
          <w:kern w:val="2"/>
          <w:sz w:val="32"/>
          <w:szCs w:val="24"/>
          <w:highlight w:val="none"/>
          <w:lang w:val="en-US" w:eastAsia="zh-CN" w:bidi="ar-SA"/>
        </w:rPr>
        <w:t>10</w:t>
      </w:r>
      <w:r>
        <w:rPr>
          <w:rFonts w:hint="default" w:ascii="仿宋" w:hAnsi="仿宋" w:eastAsia="仿宋" w:cs="Times New Roman"/>
          <w:b/>
          <w:bCs/>
          <w:kern w:val="2"/>
          <w:sz w:val="32"/>
          <w:szCs w:val="24"/>
          <w:highlight w:val="none"/>
          <w:lang w:val="en-US" w:eastAsia="zh-CN" w:bidi="ar-SA"/>
        </w:rPr>
        <w:t>分，实际评价得</w:t>
      </w:r>
      <w:r>
        <w:rPr>
          <w:rFonts w:hint="eastAsia" w:cs="Times New Roman"/>
          <w:b/>
          <w:bCs/>
          <w:kern w:val="2"/>
          <w:sz w:val="32"/>
          <w:szCs w:val="24"/>
          <w:highlight w:val="none"/>
          <w:lang w:val="en-US" w:eastAsia="zh-CN" w:bidi="ar-SA"/>
        </w:rPr>
        <w:t>10</w:t>
      </w:r>
      <w:r>
        <w:rPr>
          <w:rFonts w:hint="default" w:ascii="仿宋" w:hAnsi="仿宋" w:eastAsia="仿宋" w:cs="Times New Roman"/>
          <w:b/>
          <w:bCs/>
          <w:kern w:val="2"/>
          <w:sz w:val="32"/>
          <w:szCs w:val="24"/>
          <w:highlight w:val="none"/>
          <w:lang w:val="en-US" w:eastAsia="zh-CN" w:bidi="ar-SA"/>
        </w:rPr>
        <w:t>分）</w:t>
      </w:r>
      <w:bookmarkEnd w:id="69"/>
    </w:p>
    <w:p w14:paraId="3E422E94">
      <w:pPr>
        <w:numPr>
          <w:ilvl w:val="0"/>
          <w:numId w:val="0"/>
        </w:numPr>
        <w:bidi w:val="0"/>
        <w:ind w:left="0" w:leftChars="0" w:firstLine="640" w:firstLineChars="0"/>
        <w:jc w:val="both"/>
        <w:outlineLvl w:val="3"/>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b/>
          <w:bCs/>
          <w:kern w:val="2"/>
          <w:sz w:val="32"/>
          <w:szCs w:val="24"/>
          <w:highlight w:val="none"/>
          <w:lang w:val="en-US" w:eastAsia="zh-CN" w:bidi="ar-SA"/>
        </w:rPr>
        <w:t>（1）经济成本指标（</w:t>
      </w:r>
      <w:r>
        <w:rPr>
          <w:rFonts w:hint="eastAsia" w:cs="Times New Roman"/>
          <w:b/>
          <w:bCs/>
          <w:kern w:val="2"/>
          <w:sz w:val="32"/>
          <w:szCs w:val="24"/>
          <w:highlight w:val="none"/>
          <w:lang w:val="en-US" w:eastAsia="zh-CN" w:bidi="ar-SA"/>
        </w:rPr>
        <w:t>满</w:t>
      </w:r>
      <w:r>
        <w:rPr>
          <w:rFonts w:hint="default" w:ascii="仿宋" w:hAnsi="仿宋" w:eastAsia="仿宋" w:cs="Times New Roman"/>
          <w:b/>
          <w:bCs/>
          <w:kern w:val="2"/>
          <w:sz w:val="32"/>
          <w:szCs w:val="24"/>
          <w:highlight w:val="none"/>
          <w:lang w:val="en-US" w:eastAsia="zh-CN" w:bidi="ar-SA"/>
        </w:rPr>
        <w:t>分</w:t>
      </w:r>
      <w:r>
        <w:rPr>
          <w:rFonts w:hint="eastAsia" w:cs="Times New Roman"/>
          <w:b/>
          <w:bCs/>
          <w:kern w:val="2"/>
          <w:sz w:val="32"/>
          <w:szCs w:val="24"/>
          <w:highlight w:val="none"/>
          <w:lang w:val="en-US" w:eastAsia="zh-CN" w:bidi="ar-SA"/>
        </w:rPr>
        <w:t>2</w:t>
      </w:r>
      <w:r>
        <w:rPr>
          <w:rFonts w:hint="default" w:ascii="仿宋" w:hAnsi="仿宋" w:eastAsia="仿宋" w:cs="Times New Roman"/>
          <w:b/>
          <w:bCs/>
          <w:kern w:val="2"/>
          <w:sz w:val="32"/>
          <w:szCs w:val="24"/>
          <w:highlight w:val="none"/>
          <w:lang w:val="en-US" w:eastAsia="zh-CN" w:bidi="ar-SA"/>
        </w:rPr>
        <w:t>分，实际评价得</w:t>
      </w:r>
      <w:r>
        <w:rPr>
          <w:rFonts w:hint="eastAsia" w:cs="Times New Roman"/>
          <w:b/>
          <w:bCs/>
          <w:kern w:val="2"/>
          <w:sz w:val="32"/>
          <w:szCs w:val="24"/>
          <w:highlight w:val="none"/>
          <w:lang w:val="en-US" w:eastAsia="zh-CN" w:bidi="ar-SA"/>
        </w:rPr>
        <w:t>2</w:t>
      </w:r>
      <w:r>
        <w:rPr>
          <w:rFonts w:hint="default" w:ascii="仿宋" w:hAnsi="仿宋" w:eastAsia="仿宋" w:cs="Times New Roman"/>
          <w:b/>
          <w:bCs/>
          <w:kern w:val="2"/>
          <w:sz w:val="32"/>
          <w:szCs w:val="24"/>
          <w:highlight w:val="none"/>
          <w:lang w:val="en-US" w:eastAsia="zh-CN" w:bidi="ar-SA"/>
        </w:rPr>
        <w:t>分）</w:t>
      </w:r>
    </w:p>
    <w:p w14:paraId="66BD807B">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阳新县宝塔湖污水处理厂</w:t>
      </w:r>
      <w:r>
        <w:rPr>
          <w:rFonts w:hint="eastAsia" w:cs="Times New Roman"/>
          <w:kern w:val="2"/>
          <w:sz w:val="32"/>
          <w:szCs w:val="24"/>
          <w:highlight w:val="none"/>
          <w:lang w:val="en-US" w:eastAsia="zh-CN" w:bidi="ar-SA"/>
        </w:rPr>
        <w:t>一期投资按残值3399万元由北京首创公司承接，二期</w:t>
      </w:r>
      <w:r>
        <w:rPr>
          <w:rFonts w:hint="default" w:ascii="仿宋" w:hAnsi="仿宋" w:eastAsia="仿宋" w:cs="Times New Roman"/>
          <w:kern w:val="2"/>
          <w:sz w:val="32"/>
          <w:szCs w:val="24"/>
          <w:highlight w:val="none"/>
          <w:lang w:val="en-US" w:eastAsia="zh-CN" w:bidi="ar-SA"/>
        </w:rPr>
        <w:t>扩建及提标升级工程</w:t>
      </w:r>
      <w:r>
        <w:rPr>
          <w:rFonts w:hint="eastAsia" w:cs="Times New Roman"/>
          <w:kern w:val="2"/>
          <w:sz w:val="32"/>
          <w:szCs w:val="24"/>
          <w:highlight w:val="none"/>
          <w:lang w:val="en-US" w:eastAsia="zh-CN" w:bidi="ar-SA"/>
        </w:rPr>
        <w:t>项目</w:t>
      </w:r>
      <w:r>
        <w:rPr>
          <w:rFonts w:hint="default" w:ascii="仿宋" w:hAnsi="仿宋" w:eastAsia="仿宋" w:cs="Times New Roman"/>
          <w:kern w:val="2"/>
          <w:sz w:val="32"/>
          <w:szCs w:val="24"/>
          <w:highlight w:val="none"/>
          <w:lang w:val="en-US" w:eastAsia="zh-CN" w:bidi="ar-SA"/>
        </w:rPr>
        <w:t>可研批复总投资规划约为</w:t>
      </w:r>
      <w:r>
        <w:rPr>
          <w:rFonts w:hint="eastAsia" w:cs="Times New Roman"/>
          <w:kern w:val="2"/>
          <w:sz w:val="32"/>
          <w:szCs w:val="24"/>
          <w:highlight w:val="none"/>
          <w:lang w:val="en-US" w:eastAsia="zh-CN" w:bidi="ar-SA"/>
        </w:rPr>
        <w:t>7081.43</w:t>
      </w:r>
      <w:r>
        <w:rPr>
          <w:rFonts w:hint="default" w:ascii="仿宋" w:hAnsi="仿宋" w:eastAsia="仿宋" w:cs="Times New Roman"/>
          <w:kern w:val="2"/>
          <w:sz w:val="32"/>
          <w:szCs w:val="24"/>
          <w:highlight w:val="none"/>
          <w:lang w:val="en-US" w:eastAsia="zh-CN" w:bidi="ar-SA"/>
        </w:rPr>
        <w:t>万元，实际投资项目审计确定项目总投资 5940.67万元，投资成本达到规划预期成本目标以内。</w:t>
      </w:r>
    </w:p>
    <w:p w14:paraId="7963CFA1">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该指标</w:t>
      </w:r>
      <w:r>
        <w:rPr>
          <w:rFonts w:hint="eastAsia" w:cs="Times New Roman"/>
          <w:kern w:val="2"/>
          <w:sz w:val="32"/>
          <w:szCs w:val="24"/>
          <w:highlight w:val="none"/>
          <w:lang w:val="en-US" w:eastAsia="zh-CN" w:bidi="ar-SA"/>
        </w:rPr>
        <w:t>满分2</w:t>
      </w:r>
      <w:r>
        <w:rPr>
          <w:rFonts w:hint="default" w:ascii="仿宋" w:hAnsi="仿宋" w:eastAsia="仿宋" w:cs="Times New Roman"/>
          <w:kern w:val="2"/>
          <w:sz w:val="32"/>
          <w:szCs w:val="24"/>
          <w:highlight w:val="none"/>
          <w:lang w:val="en-US" w:eastAsia="zh-CN" w:bidi="ar-SA"/>
        </w:rPr>
        <w:t>分，实际得分</w:t>
      </w:r>
      <w:r>
        <w:rPr>
          <w:rFonts w:hint="eastAsia" w:cs="Times New Roman"/>
          <w:kern w:val="2"/>
          <w:sz w:val="32"/>
          <w:szCs w:val="24"/>
          <w:highlight w:val="none"/>
          <w:lang w:val="en-US" w:eastAsia="zh-CN" w:bidi="ar-SA"/>
        </w:rPr>
        <w:t>2</w:t>
      </w:r>
      <w:r>
        <w:rPr>
          <w:rFonts w:hint="default" w:ascii="仿宋" w:hAnsi="仿宋" w:eastAsia="仿宋" w:cs="Times New Roman"/>
          <w:kern w:val="2"/>
          <w:sz w:val="32"/>
          <w:szCs w:val="24"/>
          <w:highlight w:val="none"/>
          <w:lang w:val="en-US" w:eastAsia="zh-CN" w:bidi="ar-SA"/>
        </w:rPr>
        <w:t>分。</w:t>
      </w:r>
    </w:p>
    <w:p w14:paraId="458B22C7">
      <w:pPr>
        <w:numPr>
          <w:ilvl w:val="0"/>
          <w:numId w:val="0"/>
        </w:numPr>
        <w:bidi w:val="0"/>
        <w:ind w:firstLine="640"/>
        <w:jc w:val="both"/>
        <w:rPr>
          <w:rFonts w:hint="eastAsia" w:ascii="仿宋" w:hAnsi="仿宋" w:eastAsia="仿宋" w:cs="Times New Roman"/>
          <w:b/>
          <w:bCs/>
          <w:kern w:val="2"/>
          <w:sz w:val="32"/>
          <w:szCs w:val="24"/>
          <w:highlight w:val="none"/>
          <w:lang w:val="en-US" w:eastAsia="zh-CN" w:bidi="ar-SA"/>
        </w:rPr>
      </w:pPr>
      <w:r>
        <w:rPr>
          <w:rFonts w:hint="eastAsia" w:ascii="仿宋" w:hAnsi="仿宋" w:eastAsia="仿宋" w:cs="Times New Roman"/>
          <w:b/>
          <w:bCs/>
          <w:kern w:val="2"/>
          <w:sz w:val="32"/>
          <w:szCs w:val="24"/>
          <w:highlight w:val="none"/>
          <w:lang w:val="en-US" w:eastAsia="zh-CN" w:bidi="ar-SA"/>
        </w:rPr>
        <w:t>（2）污水处理</w:t>
      </w:r>
      <w:r>
        <w:rPr>
          <w:rFonts w:hint="eastAsia" w:cs="Times New Roman"/>
          <w:b/>
          <w:bCs/>
          <w:kern w:val="2"/>
          <w:sz w:val="32"/>
          <w:szCs w:val="24"/>
          <w:highlight w:val="none"/>
          <w:lang w:val="en-US" w:eastAsia="zh-CN" w:bidi="ar-SA"/>
        </w:rPr>
        <w:t>费</w:t>
      </w:r>
      <w:r>
        <w:rPr>
          <w:rFonts w:hint="eastAsia" w:ascii="仿宋" w:hAnsi="仿宋" w:eastAsia="仿宋" w:cs="Times New Roman"/>
          <w:b/>
          <w:bCs/>
          <w:kern w:val="2"/>
          <w:sz w:val="32"/>
          <w:szCs w:val="24"/>
          <w:highlight w:val="none"/>
          <w:lang w:val="en-US" w:eastAsia="zh-CN" w:bidi="ar-SA"/>
        </w:rPr>
        <w:t>成本</w:t>
      </w:r>
      <w:r>
        <w:rPr>
          <w:rFonts w:hint="eastAsia" w:cs="Times New Roman"/>
          <w:b/>
          <w:bCs/>
          <w:kern w:val="2"/>
          <w:sz w:val="32"/>
          <w:szCs w:val="24"/>
          <w:highlight w:val="none"/>
          <w:lang w:val="en-US" w:eastAsia="zh-CN" w:bidi="ar-SA"/>
        </w:rPr>
        <w:t>（满分3分，实际得2.5分）</w:t>
      </w:r>
    </w:p>
    <w:p w14:paraId="2445A887">
      <w:pPr>
        <w:numPr>
          <w:ilvl w:val="0"/>
          <w:numId w:val="0"/>
        </w:numPr>
        <w:bidi w:val="0"/>
        <w:ind w:firstLine="640"/>
        <w:jc w:val="both"/>
        <w:rPr>
          <w:rFonts w:hint="eastAsia"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项目自运营起，污水处理</w:t>
      </w:r>
      <w:r>
        <w:rPr>
          <w:rFonts w:hint="eastAsia" w:cs="Times New Roman"/>
          <w:kern w:val="2"/>
          <w:sz w:val="32"/>
          <w:szCs w:val="24"/>
          <w:highlight w:val="none"/>
          <w:lang w:val="en-US" w:eastAsia="zh-CN" w:bidi="ar-SA"/>
        </w:rPr>
        <w:t>费的结算成本</w:t>
      </w:r>
      <w:r>
        <w:rPr>
          <w:rFonts w:hint="eastAsia" w:ascii="仿宋" w:hAnsi="仿宋" w:eastAsia="仿宋" w:cs="Times New Roman"/>
          <w:kern w:val="2"/>
          <w:sz w:val="32"/>
          <w:szCs w:val="24"/>
          <w:highlight w:val="none"/>
          <w:lang w:val="en-US" w:eastAsia="zh-CN" w:bidi="ar-SA"/>
        </w:rPr>
        <w:t>统一按照0.92元/吨结算，</w:t>
      </w:r>
      <w:r>
        <w:rPr>
          <w:rFonts w:hint="eastAsia" w:cs="Times New Roman"/>
          <w:kern w:val="2"/>
          <w:sz w:val="32"/>
          <w:szCs w:val="24"/>
          <w:highlight w:val="none"/>
          <w:lang w:val="en-US" w:eastAsia="zh-CN" w:bidi="ar-SA"/>
        </w:rPr>
        <w:t>但项费用存在结算污水处理量是按实际污水处理量计价还是按基本污水量计价方式的争议，且污水处理费经县住建局、财政局、环保局、发改局和项目运营商北京首创共同调研周边其他同类型的运营商，但调研的三家公司中“武穴新锦源水务公司”污水处理量设计规模只有3.5万吨/日，而阳新的处理理为6万吨/日</w:t>
      </w:r>
      <w:r>
        <w:rPr>
          <w:rFonts w:hint="eastAsia" w:cs="Times New Roman"/>
          <w:b/>
          <w:bCs/>
          <w:kern w:val="2"/>
          <w:sz w:val="32"/>
          <w:szCs w:val="24"/>
          <w:highlight w:val="none"/>
          <w:lang w:val="en-US" w:eastAsia="zh-CN" w:bidi="ar-SA"/>
        </w:rPr>
        <w:t>，在项目运营成本基本不变情况下，污水量越大，价格的影响就影响巨大，调研的其他二家为北京首创关联公司（九江首创利池环保有限公司和黄冈首创水务有限公司）</w:t>
      </w:r>
      <w:r>
        <w:rPr>
          <w:rFonts w:hint="eastAsia" w:ascii="仿宋" w:hAnsi="仿宋" w:eastAsia="仿宋" w:cs="Times New Roman"/>
          <w:kern w:val="2"/>
          <w:sz w:val="32"/>
          <w:szCs w:val="24"/>
          <w:highlight w:val="none"/>
          <w:lang w:val="en-US" w:eastAsia="zh-CN" w:bidi="ar-SA"/>
        </w:rPr>
        <w:t>。</w:t>
      </w:r>
    </w:p>
    <w:p w14:paraId="31CD6164">
      <w:pPr>
        <w:numPr>
          <w:ilvl w:val="0"/>
          <w:numId w:val="0"/>
        </w:numPr>
        <w:bidi w:val="0"/>
        <w:ind w:firstLine="640"/>
        <w:jc w:val="both"/>
        <w:rPr>
          <w:rFonts w:hint="eastAsia"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该指标</w:t>
      </w:r>
      <w:r>
        <w:rPr>
          <w:rFonts w:hint="eastAsia" w:cs="Times New Roman"/>
          <w:kern w:val="2"/>
          <w:sz w:val="32"/>
          <w:szCs w:val="24"/>
          <w:highlight w:val="none"/>
          <w:lang w:val="en-US" w:eastAsia="zh-CN" w:bidi="ar-SA"/>
        </w:rPr>
        <w:t>3</w:t>
      </w:r>
      <w:r>
        <w:rPr>
          <w:rFonts w:hint="eastAsia" w:ascii="仿宋" w:hAnsi="仿宋" w:eastAsia="仿宋" w:cs="Times New Roman"/>
          <w:kern w:val="2"/>
          <w:sz w:val="32"/>
          <w:szCs w:val="24"/>
          <w:highlight w:val="none"/>
          <w:lang w:val="en-US" w:eastAsia="zh-CN" w:bidi="ar-SA"/>
        </w:rPr>
        <w:t>分，</w:t>
      </w:r>
      <w:r>
        <w:rPr>
          <w:rFonts w:hint="eastAsia" w:cs="Times New Roman"/>
          <w:kern w:val="2"/>
          <w:sz w:val="32"/>
          <w:szCs w:val="24"/>
          <w:highlight w:val="none"/>
          <w:lang w:val="en-US" w:eastAsia="zh-CN" w:bidi="ar-SA"/>
        </w:rPr>
        <w:t>但指标成交价有较大争议，</w:t>
      </w:r>
      <w:r>
        <w:rPr>
          <w:rFonts w:hint="eastAsia" w:ascii="仿宋" w:hAnsi="仿宋" w:eastAsia="仿宋" w:cs="Times New Roman"/>
          <w:kern w:val="2"/>
          <w:sz w:val="32"/>
          <w:szCs w:val="24"/>
          <w:highlight w:val="none"/>
          <w:lang w:val="en-US" w:eastAsia="zh-CN" w:bidi="ar-SA"/>
        </w:rPr>
        <w:t>实际得</w:t>
      </w:r>
      <w:r>
        <w:rPr>
          <w:rFonts w:hint="eastAsia" w:cs="Times New Roman"/>
          <w:kern w:val="2"/>
          <w:sz w:val="32"/>
          <w:szCs w:val="24"/>
          <w:highlight w:val="none"/>
          <w:lang w:val="en-US" w:eastAsia="zh-CN" w:bidi="ar-SA"/>
        </w:rPr>
        <w:t>2.5</w:t>
      </w:r>
      <w:r>
        <w:rPr>
          <w:rFonts w:hint="eastAsia" w:ascii="仿宋" w:hAnsi="仿宋" w:eastAsia="仿宋" w:cs="Times New Roman"/>
          <w:kern w:val="2"/>
          <w:sz w:val="32"/>
          <w:szCs w:val="24"/>
          <w:highlight w:val="none"/>
          <w:lang w:val="en-US" w:eastAsia="zh-CN" w:bidi="ar-SA"/>
        </w:rPr>
        <w:t>分。</w:t>
      </w:r>
    </w:p>
    <w:p w14:paraId="5F0ABAD3">
      <w:pPr>
        <w:numPr>
          <w:ilvl w:val="0"/>
          <w:numId w:val="0"/>
        </w:numPr>
        <w:bidi w:val="0"/>
        <w:ind w:firstLine="640"/>
        <w:jc w:val="both"/>
        <w:rPr>
          <w:rFonts w:hint="eastAsia" w:cs="Times New Roman"/>
          <w:b/>
          <w:bCs/>
          <w:kern w:val="2"/>
          <w:sz w:val="32"/>
          <w:szCs w:val="24"/>
          <w:highlight w:val="none"/>
          <w:lang w:val="en-US" w:eastAsia="zh-CN" w:bidi="ar-SA"/>
        </w:rPr>
      </w:pPr>
      <w:r>
        <w:rPr>
          <w:rFonts w:hint="eastAsia" w:cs="Times New Roman"/>
          <w:b/>
          <w:bCs/>
          <w:kern w:val="2"/>
          <w:sz w:val="32"/>
          <w:szCs w:val="24"/>
          <w:highlight w:val="none"/>
          <w:lang w:val="en-US" w:eastAsia="zh-CN" w:bidi="ar-SA"/>
        </w:rPr>
        <w:t>（3）污泥补贴（满分3分，实际得3分）</w:t>
      </w:r>
    </w:p>
    <w:p w14:paraId="7BE15DBC">
      <w:pPr>
        <w:numPr>
          <w:ilvl w:val="0"/>
          <w:numId w:val="0"/>
        </w:numPr>
        <w:bidi w:val="0"/>
        <w:ind w:firstLine="640"/>
        <w:jc w:val="both"/>
        <w:rPr>
          <w:rFonts w:hint="eastAsia" w:ascii="仿宋" w:hAnsi="仿宋" w:eastAsia="仿宋" w:cs="Times New Roman"/>
          <w:kern w:val="2"/>
          <w:sz w:val="32"/>
          <w:szCs w:val="24"/>
          <w:highlight w:val="none"/>
          <w:lang w:val="en-US" w:eastAsia="zh-CN" w:bidi="ar-SA"/>
        </w:rPr>
      </w:pPr>
      <w:r>
        <w:rPr>
          <w:rFonts w:hint="eastAsia" w:cs="Times New Roman"/>
          <w:kern w:val="2"/>
          <w:sz w:val="32"/>
          <w:szCs w:val="24"/>
          <w:highlight w:val="none"/>
          <w:lang w:val="en-US" w:eastAsia="zh-CN" w:bidi="ar-SA"/>
        </w:rPr>
        <w:t>污泥补贴2022年以来一直按1.2元/吨/公里计价，其中污泥转运补贴2022年33.25万元，2023年37.46万元，2024年47.55万元。补贴标准连续三年保持稳定，未发生拖欠现象，资金拨付流程符合相关规定。经核查财务凭证，所有补贴款项均通过财政专户按时足额支付至运营单位账户，支付凭证完整、审批手续齐备。审计未发现超标准支付或挪用补贴资金的情况，补贴政策执行过程规范透明，完全达到评价标准要求。该指标满分3分，实际得分3分</w:t>
      </w:r>
    </w:p>
    <w:p w14:paraId="698B3A7E">
      <w:pPr>
        <w:numPr>
          <w:ilvl w:val="0"/>
          <w:numId w:val="0"/>
        </w:numPr>
        <w:bidi w:val="0"/>
        <w:ind w:left="0" w:leftChars="0" w:firstLine="640" w:firstLineChars="0"/>
        <w:jc w:val="both"/>
        <w:outlineLvl w:val="3"/>
        <w:rPr>
          <w:rFonts w:hint="default" w:ascii="仿宋" w:hAnsi="仿宋" w:eastAsia="仿宋" w:cs="Times New Roman"/>
          <w:b/>
          <w:bCs/>
          <w:kern w:val="2"/>
          <w:sz w:val="32"/>
          <w:szCs w:val="24"/>
          <w:highlight w:val="none"/>
          <w:lang w:val="en-US" w:eastAsia="zh-CN" w:bidi="ar-SA"/>
        </w:rPr>
      </w:pPr>
      <w:r>
        <w:rPr>
          <w:rFonts w:hint="default" w:ascii="仿宋" w:hAnsi="仿宋" w:eastAsia="仿宋" w:cs="Times New Roman"/>
          <w:b/>
          <w:bCs/>
          <w:kern w:val="2"/>
          <w:sz w:val="32"/>
          <w:szCs w:val="24"/>
          <w:highlight w:val="none"/>
          <w:lang w:val="en-US" w:eastAsia="zh-CN" w:bidi="ar-SA"/>
        </w:rPr>
        <w:t>（</w:t>
      </w:r>
      <w:r>
        <w:rPr>
          <w:rFonts w:hint="eastAsia" w:cs="Times New Roman"/>
          <w:b/>
          <w:bCs/>
          <w:kern w:val="2"/>
          <w:sz w:val="32"/>
          <w:szCs w:val="24"/>
          <w:highlight w:val="none"/>
          <w:lang w:val="en-US" w:eastAsia="zh-CN" w:bidi="ar-SA"/>
        </w:rPr>
        <w:t>4</w:t>
      </w:r>
      <w:r>
        <w:rPr>
          <w:rFonts w:hint="default" w:ascii="仿宋" w:hAnsi="仿宋" w:eastAsia="仿宋" w:cs="Times New Roman"/>
          <w:b/>
          <w:bCs/>
          <w:kern w:val="2"/>
          <w:sz w:val="32"/>
          <w:szCs w:val="24"/>
          <w:highlight w:val="none"/>
          <w:lang w:val="en-US" w:eastAsia="zh-CN" w:bidi="ar-SA"/>
        </w:rPr>
        <w:t>）社会成本（</w:t>
      </w:r>
      <w:r>
        <w:rPr>
          <w:rFonts w:hint="eastAsia" w:cs="Times New Roman"/>
          <w:b/>
          <w:bCs/>
          <w:kern w:val="2"/>
          <w:sz w:val="32"/>
          <w:szCs w:val="24"/>
          <w:highlight w:val="none"/>
          <w:lang w:val="en-US" w:eastAsia="zh-CN" w:bidi="ar-SA"/>
        </w:rPr>
        <w:t>满分1</w:t>
      </w:r>
      <w:r>
        <w:rPr>
          <w:rFonts w:hint="default" w:ascii="仿宋" w:hAnsi="仿宋" w:eastAsia="仿宋" w:cs="Times New Roman"/>
          <w:b/>
          <w:bCs/>
          <w:kern w:val="2"/>
          <w:sz w:val="32"/>
          <w:szCs w:val="24"/>
          <w:highlight w:val="none"/>
          <w:lang w:val="en-US" w:eastAsia="zh-CN" w:bidi="ar-SA"/>
        </w:rPr>
        <w:t>分，实际评价得1分）</w:t>
      </w:r>
    </w:p>
    <w:p w14:paraId="05C295C4">
      <w:pPr>
        <w:numPr>
          <w:ilvl w:val="0"/>
          <w:numId w:val="0"/>
        </w:numPr>
        <w:bidi w:val="0"/>
        <w:ind w:firstLine="640" w:firstLineChars="200"/>
        <w:jc w:val="both"/>
        <w:rPr>
          <w:rFonts w:hint="default" w:ascii="仿宋" w:hAnsi="仿宋" w:eastAsia="仿宋" w:cs="Times New Roman"/>
          <w:kern w:val="2"/>
          <w:sz w:val="32"/>
          <w:szCs w:val="24"/>
          <w:highlight w:val="none"/>
          <w:lang w:val="en-US" w:eastAsia="zh-CN" w:bidi="ar-SA"/>
        </w:rPr>
      </w:pPr>
      <w:r>
        <w:rPr>
          <w:rFonts w:hint="eastAsia" w:cs="Times New Roman"/>
          <w:kern w:val="2"/>
          <w:sz w:val="32"/>
          <w:szCs w:val="24"/>
          <w:highlight w:val="none"/>
          <w:lang w:val="en-US" w:eastAsia="zh-CN" w:bidi="ar-SA"/>
        </w:rPr>
        <w:t>城市污水处理水平</w:t>
      </w:r>
      <w:r>
        <w:rPr>
          <w:rFonts w:hint="eastAsia" w:ascii="仿宋" w:hAnsi="仿宋" w:eastAsia="仿宋" w:cs="Times New Roman"/>
          <w:kern w:val="2"/>
          <w:sz w:val="32"/>
          <w:szCs w:val="24"/>
          <w:highlight w:val="none"/>
          <w:lang w:val="en-US" w:eastAsia="zh-CN" w:bidi="ar-SA"/>
        </w:rPr>
        <w:t>是衡量一个城市文明程度和环境管理水平的重要标志，对于改善</w:t>
      </w:r>
      <w:r>
        <w:rPr>
          <w:rFonts w:hint="eastAsia" w:cs="Times New Roman"/>
          <w:kern w:val="2"/>
          <w:sz w:val="32"/>
          <w:szCs w:val="24"/>
          <w:highlight w:val="none"/>
          <w:lang w:val="en-US" w:eastAsia="zh-CN" w:bidi="ar-SA"/>
        </w:rPr>
        <w:t>修复</w:t>
      </w:r>
      <w:r>
        <w:rPr>
          <w:rFonts w:hint="eastAsia" w:ascii="仿宋" w:hAnsi="仿宋" w:eastAsia="仿宋" w:cs="Times New Roman"/>
          <w:kern w:val="2"/>
          <w:sz w:val="32"/>
          <w:szCs w:val="24"/>
          <w:highlight w:val="none"/>
          <w:lang w:val="en-US" w:eastAsia="zh-CN" w:bidi="ar-SA"/>
        </w:rPr>
        <w:t>城市水环境、提高居民生活质量具有重要意义。项目的实施</w:t>
      </w:r>
      <w:r>
        <w:rPr>
          <w:rFonts w:hint="eastAsia" w:cs="Times New Roman"/>
          <w:kern w:val="2"/>
          <w:sz w:val="32"/>
          <w:szCs w:val="24"/>
          <w:highlight w:val="none"/>
          <w:lang w:val="en-US" w:eastAsia="zh-CN" w:bidi="ar-SA"/>
        </w:rPr>
        <w:t>有效</w:t>
      </w:r>
      <w:r>
        <w:rPr>
          <w:rFonts w:hint="eastAsia" w:ascii="仿宋" w:hAnsi="仿宋" w:eastAsia="仿宋" w:cs="Times New Roman"/>
          <w:kern w:val="2"/>
          <w:sz w:val="32"/>
          <w:szCs w:val="24"/>
          <w:highlight w:val="none"/>
          <w:lang w:val="en-US" w:eastAsia="zh-CN" w:bidi="ar-SA"/>
        </w:rPr>
        <w:t>提升城市污水处理</w:t>
      </w:r>
      <w:r>
        <w:rPr>
          <w:rFonts w:hint="eastAsia" w:cs="Times New Roman"/>
          <w:kern w:val="2"/>
          <w:sz w:val="32"/>
          <w:szCs w:val="24"/>
          <w:highlight w:val="none"/>
          <w:lang w:val="en-US" w:eastAsia="zh-CN" w:bidi="ar-SA"/>
        </w:rPr>
        <w:t>、循环利用</w:t>
      </w:r>
      <w:r>
        <w:rPr>
          <w:rFonts w:hint="eastAsia" w:ascii="仿宋" w:hAnsi="仿宋" w:eastAsia="仿宋" w:cs="Times New Roman"/>
          <w:kern w:val="2"/>
          <w:sz w:val="32"/>
          <w:szCs w:val="24"/>
          <w:highlight w:val="none"/>
          <w:lang w:val="en-US" w:eastAsia="zh-CN" w:bidi="ar-SA"/>
        </w:rPr>
        <w:t>能力，改善了区域水环境，为居民提供了更加宜居</w:t>
      </w:r>
      <w:r>
        <w:rPr>
          <w:rFonts w:hint="eastAsia" w:cs="Times New Roman"/>
          <w:kern w:val="2"/>
          <w:sz w:val="32"/>
          <w:szCs w:val="24"/>
          <w:highlight w:val="none"/>
          <w:lang w:val="en-US" w:eastAsia="zh-CN" w:bidi="ar-SA"/>
        </w:rPr>
        <w:t>健康</w:t>
      </w:r>
      <w:r>
        <w:rPr>
          <w:rFonts w:hint="eastAsia" w:ascii="仿宋" w:hAnsi="仿宋" w:eastAsia="仿宋" w:cs="Times New Roman"/>
          <w:kern w:val="2"/>
          <w:sz w:val="32"/>
          <w:szCs w:val="24"/>
          <w:highlight w:val="none"/>
          <w:lang w:val="en-US" w:eastAsia="zh-CN" w:bidi="ar-SA"/>
        </w:rPr>
        <w:t>的生活环境，对社会产生了积极的影响。在社会成本方面，该项目达到了预期目标</w:t>
      </w:r>
      <w:r>
        <w:rPr>
          <w:rFonts w:hint="default" w:ascii="仿宋" w:hAnsi="仿宋" w:eastAsia="仿宋" w:cs="Times New Roman"/>
          <w:kern w:val="2"/>
          <w:sz w:val="32"/>
          <w:szCs w:val="24"/>
          <w:highlight w:val="none"/>
          <w:lang w:val="en-US" w:eastAsia="zh-CN" w:bidi="ar-SA"/>
        </w:rPr>
        <w:t>。</w:t>
      </w:r>
    </w:p>
    <w:p w14:paraId="56333641">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该类项目满分1分，得分1分。</w:t>
      </w:r>
    </w:p>
    <w:p w14:paraId="5FD10E2A">
      <w:pPr>
        <w:numPr>
          <w:ilvl w:val="0"/>
          <w:numId w:val="0"/>
        </w:numPr>
        <w:bidi w:val="0"/>
        <w:ind w:left="0" w:leftChars="0" w:firstLine="640" w:firstLineChars="0"/>
        <w:jc w:val="both"/>
        <w:outlineLvl w:val="3"/>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b/>
          <w:bCs/>
          <w:kern w:val="2"/>
          <w:sz w:val="32"/>
          <w:szCs w:val="24"/>
          <w:highlight w:val="none"/>
          <w:lang w:val="en-US" w:eastAsia="zh-CN" w:bidi="ar-SA"/>
        </w:rPr>
        <w:t>（3）生态环境成本（</w:t>
      </w:r>
      <w:r>
        <w:rPr>
          <w:rFonts w:hint="eastAsia" w:cs="Times New Roman"/>
          <w:b/>
          <w:bCs/>
          <w:kern w:val="2"/>
          <w:sz w:val="32"/>
          <w:szCs w:val="24"/>
          <w:highlight w:val="none"/>
          <w:lang w:val="en-US" w:eastAsia="zh-CN" w:bidi="ar-SA"/>
        </w:rPr>
        <w:t>满分</w:t>
      </w:r>
      <w:r>
        <w:rPr>
          <w:rFonts w:hint="default" w:ascii="仿宋" w:hAnsi="仿宋" w:eastAsia="仿宋" w:cs="Times New Roman"/>
          <w:b/>
          <w:bCs/>
          <w:kern w:val="2"/>
          <w:sz w:val="32"/>
          <w:szCs w:val="24"/>
          <w:highlight w:val="none"/>
          <w:lang w:val="en-US" w:eastAsia="zh-CN" w:bidi="ar-SA"/>
        </w:rPr>
        <w:t>1分，实际评价得1分）</w:t>
      </w:r>
    </w:p>
    <w:p w14:paraId="1D8D61BD">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该项目的实施对生态环境的改善起到了积极作用。宝塔湖污水处理厂扩建及提标升级工程项目的完成，显著提高了污水处理效率和水质标准，有效减少了污染物排放，对保护周边水体环境和生态平衡具有重要意义</w:t>
      </w:r>
      <w:r>
        <w:rPr>
          <w:rFonts w:hint="eastAsia" w:cs="Times New Roman"/>
          <w:kern w:val="2"/>
          <w:sz w:val="32"/>
          <w:szCs w:val="24"/>
          <w:highlight w:val="none"/>
          <w:lang w:val="en-US" w:eastAsia="zh-CN" w:bidi="ar-SA"/>
        </w:rPr>
        <w:t>，</w:t>
      </w:r>
      <w:r>
        <w:rPr>
          <w:rFonts w:hint="eastAsia" w:ascii="仿宋" w:hAnsi="仿宋" w:eastAsia="仿宋" w:cs="Times New Roman"/>
          <w:kern w:val="2"/>
          <w:sz w:val="32"/>
          <w:szCs w:val="24"/>
          <w:highlight w:val="none"/>
          <w:lang w:val="en-US" w:eastAsia="zh-CN" w:bidi="ar-SA"/>
        </w:rPr>
        <w:t>促进了</w:t>
      </w:r>
      <w:r>
        <w:rPr>
          <w:rFonts w:hint="eastAsia" w:cs="Times New Roman"/>
          <w:kern w:val="2"/>
          <w:sz w:val="32"/>
          <w:szCs w:val="24"/>
          <w:highlight w:val="none"/>
          <w:lang w:val="en-US" w:eastAsia="zh-CN" w:bidi="ar-SA"/>
        </w:rPr>
        <w:t>水</w:t>
      </w:r>
      <w:r>
        <w:rPr>
          <w:rFonts w:hint="eastAsia" w:ascii="仿宋" w:hAnsi="仿宋" w:eastAsia="仿宋" w:cs="Times New Roman"/>
          <w:kern w:val="2"/>
          <w:sz w:val="32"/>
          <w:szCs w:val="24"/>
          <w:highlight w:val="none"/>
          <w:lang w:val="en-US" w:eastAsia="zh-CN" w:bidi="ar-SA"/>
        </w:rPr>
        <w:t>资源的循环利用，提高了资源利用效率，降低了对自然资源的依赖和破坏。</w:t>
      </w:r>
      <w:r>
        <w:rPr>
          <w:rFonts w:hint="default" w:ascii="仿宋" w:hAnsi="仿宋" w:eastAsia="仿宋" w:cs="Times New Roman"/>
          <w:kern w:val="2"/>
          <w:sz w:val="32"/>
          <w:szCs w:val="24"/>
          <w:highlight w:val="none"/>
          <w:lang w:val="en-US" w:eastAsia="zh-CN" w:bidi="ar-SA"/>
        </w:rPr>
        <w:t>本项目无二次生态环境污染，无负面生态成本影响</w:t>
      </w:r>
      <w:r>
        <w:rPr>
          <w:rFonts w:hint="eastAsia" w:cs="Times New Roman"/>
          <w:kern w:val="2"/>
          <w:sz w:val="32"/>
          <w:szCs w:val="24"/>
          <w:highlight w:val="none"/>
          <w:lang w:val="en-US" w:eastAsia="zh-CN" w:bidi="ar-SA"/>
        </w:rPr>
        <w:t>，无环保罚款</w:t>
      </w:r>
      <w:r>
        <w:rPr>
          <w:rFonts w:hint="default" w:ascii="仿宋" w:hAnsi="仿宋" w:eastAsia="仿宋" w:cs="Times New Roman"/>
          <w:kern w:val="2"/>
          <w:sz w:val="32"/>
          <w:szCs w:val="24"/>
          <w:highlight w:val="none"/>
          <w:lang w:val="en-US" w:eastAsia="zh-CN" w:bidi="ar-SA"/>
        </w:rPr>
        <w:t>。</w:t>
      </w:r>
    </w:p>
    <w:p w14:paraId="1D47E4DD">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该项目满分1分，得分1分。</w:t>
      </w:r>
    </w:p>
    <w:p w14:paraId="34B42406">
      <w:pPr>
        <w:numPr>
          <w:ilvl w:val="0"/>
          <w:numId w:val="0"/>
        </w:numPr>
        <w:bidi w:val="0"/>
        <w:ind w:left="0" w:leftChars="0" w:firstLine="640" w:firstLineChars="0"/>
        <w:jc w:val="both"/>
        <w:outlineLvl w:val="1"/>
        <w:rPr>
          <w:rFonts w:hint="eastAsia" w:ascii="楷体" w:hAnsi="楷体" w:eastAsia="楷体" w:cs="楷体"/>
          <w:kern w:val="2"/>
          <w:sz w:val="32"/>
          <w:szCs w:val="24"/>
          <w:highlight w:val="none"/>
          <w:lang w:val="en-US" w:eastAsia="zh-CN" w:bidi="ar-SA"/>
        </w:rPr>
      </w:pPr>
      <w:bookmarkStart w:id="70" w:name="_Toc25135"/>
      <w:r>
        <w:rPr>
          <w:rFonts w:hint="eastAsia" w:ascii="楷体" w:hAnsi="楷体" w:eastAsia="楷体" w:cs="楷体"/>
          <w:kern w:val="2"/>
          <w:sz w:val="32"/>
          <w:szCs w:val="24"/>
          <w:highlight w:val="none"/>
          <w:lang w:val="en-US" w:eastAsia="zh-CN" w:bidi="ar-SA"/>
        </w:rPr>
        <w:t>（四）项目效益情况分析</w:t>
      </w:r>
      <w:bookmarkEnd w:id="70"/>
    </w:p>
    <w:p w14:paraId="57E33BD0">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类指标包括经济指标、社会效益指标、生态效益指标、可持续影响指标、满意度指标等指标，反映项目对附近居民生活环境、对提高城市形象等环境的影响情况等社会效益的影响情况和后期管护的可持续性影响情况及</w:t>
      </w:r>
      <w:r>
        <w:rPr>
          <w:rFonts w:hint="eastAsia" w:cs="Times New Roman"/>
          <w:kern w:val="2"/>
          <w:sz w:val="32"/>
          <w:szCs w:val="24"/>
          <w:highlight w:val="none"/>
          <w:lang w:val="en-US" w:eastAsia="zh-CN" w:bidi="ar-SA"/>
        </w:rPr>
        <w:t>受益群众</w:t>
      </w:r>
      <w:r>
        <w:rPr>
          <w:rFonts w:hint="default" w:ascii="仿宋" w:hAnsi="仿宋" w:eastAsia="仿宋" w:cs="Times New Roman"/>
          <w:kern w:val="2"/>
          <w:sz w:val="32"/>
          <w:szCs w:val="24"/>
          <w:highlight w:val="none"/>
          <w:lang w:val="en-US" w:eastAsia="zh-CN" w:bidi="ar-SA"/>
        </w:rPr>
        <w:t>的满意程度。该类项目满分1</w:t>
      </w:r>
      <w:r>
        <w:rPr>
          <w:rFonts w:hint="eastAsia" w:cs="Times New Roman"/>
          <w:kern w:val="2"/>
          <w:sz w:val="32"/>
          <w:szCs w:val="24"/>
          <w:highlight w:val="none"/>
          <w:lang w:val="en-US" w:eastAsia="zh-CN" w:bidi="ar-SA"/>
        </w:rPr>
        <w:t>0</w:t>
      </w:r>
      <w:r>
        <w:rPr>
          <w:rFonts w:hint="default" w:ascii="仿宋" w:hAnsi="仿宋" w:eastAsia="仿宋" w:cs="Times New Roman"/>
          <w:kern w:val="2"/>
          <w:sz w:val="32"/>
          <w:szCs w:val="24"/>
          <w:highlight w:val="none"/>
          <w:lang w:val="en-US" w:eastAsia="zh-CN" w:bidi="ar-SA"/>
        </w:rPr>
        <w:t>.00分，评价得分</w:t>
      </w:r>
      <w:r>
        <w:rPr>
          <w:rFonts w:hint="eastAsia" w:cs="Times New Roman"/>
          <w:kern w:val="2"/>
          <w:sz w:val="32"/>
          <w:szCs w:val="24"/>
          <w:highlight w:val="none"/>
          <w:lang w:val="en-US" w:eastAsia="zh-CN" w:bidi="ar-SA"/>
        </w:rPr>
        <w:t>8.75</w:t>
      </w:r>
      <w:r>
        <w:rPr>
          <w:rFonts w:hint="default" w:ascii="仿宋" w:hAnsi="仿宋" w:eastAsia="仿宋" w:cs="Times New Roman"/>
          <w:kern w:val="2"/>
          <w:sz w:val="32"/>
          <w:szCs w:val="24"/>
          <w:highlight w:val="none"/>
          <w:lang w:val="en-US" w:eastAsia="zh-CN" w:bidi="ar-SA"/>
        </w:rPr>
        <w:t>分，得分率为</w:t>
      </w:r>
      <w:r>
        <w:rPr>
          <w:rFonts w:hint="eastAsia" w:cs="Times New Roman"/>
          <w:kern w:val="2"/>
          <w:sz w:val="32"/>
          <w:szCs w:val="24"/>
          <w:highlight w:val="none"/>
          <w:lang w:val="en-US" w:eastAsia="zh-CN" w:bidi="ar-SA"/>
        </w:rPr>
        <w:t>87.50</w:t>
      </w:r>
      <w:r>
        <w:rPr>
          <w:rFonts w:hint="default" w:ascii="仿宋" w:hAnsi="仿宋" w:eastAsia="仿宋" w:cs="Times New Roman"/>
          <w:kern w:val="2"/>
          <w:sz w:val="32"/>
          <w:szCs w:val="24"/>
          <w:highlight w:val="none"/>
          <w:lang w:val="en-US" w:eastAsia="zh-CN" w:bidi="ar-SA"/>
        </w:rPr>
        <w:t>%。</w:t>
      </w:r>
    </w:p>
    <w:p w14:paraId="1B62DE26">
      <w:pPr>
        <w:keepNext w:val="0"/>
        <w:keepLines w:val="0"/>
        <w:pageBreakBefore w:val="0"/>
        <w:widowControl w:val="0"/>
        <w:kinsoku/>
        <w:wordWrap/>
        <w:overflowPunct/>
        <w:topLinePunct w:val="0"/>
        <w:autoSpaceDE/>
        <w:autoSpaceDN/>
        <w:bidi w:val="0"/>
        <w:adjustRightInd/>
        <w:snapToGrid w:val="0"/>
        <w:spacing w:before="120" w:after="120" w:line="240" w:lineRule="auto"/>
        <w:ind w:firstLine="420" w:firstLineChars="200"/>
        <w:textAlignment w:val="auto"/>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 w:val="21"/>
          <w:szCs w:val="21"/>
          <w:highlight w:val="none"/>
          <w:lang w:val="en-US" w:eastAsia="zh-CN" w:bidi="ar-SA"/>
        </w:rPr>
        <w:t>表6-4 项目产出类指标分值及得分情况</w:t>
      </w:r>
    </w:p>
    <w:tbl>
      <w:tblPr>
        <w:tblStyle w:val="12"/>
        <w:tblW w:w="8454" w:type="dxa"/>
        <w:jc w:val="center"/>
        <w:tblLayout w:type="fixed"/>
        <w:tblCellMar>
          <w:top w:w="0" w:type="dxa"/>
          <w:left w:w="10" w:type="dxa"/>
          <w:bottom w:w="0" w:type="dxa"/>
          <w:right w:w="10" w:type="dxa"/>
        </w:tblCellMar>
      </w:tblPr>
      <w:tblGrid>
        <w:gridCol w:w="1839"/>
        <w:gridCol w:w="1921"/>
        <w:gridCol w:w="1522"/>
        <w:gridCol w:w="1653"/>
        <w:gridCol w:w="1519"/>
      </w:tblGrid>
      <w:tr w14:paraId="5A24E6E7">
        <w:tblPrEx>
          <w:tblCellMar>
            <w:top w:w="0" w:type="dxa"/>
            <w:left w:w="10" w:type="dxa"/>
            <w:bottom w:w="0" w:type="dxa"/>
            <w:right w:w="10" w:type="dxa"/>
          </w:tblCellMar>
        </w:tblPrEx>
        <w:trPr>
          <w:trHeight w:val="1" w:hRule="atLeast"/>
          <w:jc w:val="center"/>
        </w:trPr>
        <w:tc>
          <w:tcPr>
            <w:tcW w:w="183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DF352D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一级指标</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A27B7C8">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二级指标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829964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满分值</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FA704C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评价得分</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C19986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得分率</w:t>
            </w:r>
          </w:p>
        </w:tc>
      </w:tr>
      <w:tr w14:paraId="0D5C7235">
        <w:tblPrEx>
          <w:tblCellMar>
            <w:top w:w="0" w:type="dxa"/>
            <w:left w:w="10" w:type="dxa"/>
            <w:bottom w:w="0" w:type="dxa"/>
            <w:right w:w="10" w:type="dxa"/>
          </w:tblCellMar>
        </w:tblPrEx>
        <w:trPr>
          <w:trHeight w:val="1" w:hRule="atLeast"/>
          <w:jc w:val="center"/>
        </w:trPr>
        <w:tc>
          <w:tcPr>
            <w:tcW w:w="1839" w:type="dxa"/>
            <w:vMerge w:val="restart"/>
            <w:tcBorders>
              <w:top w:val="single" w:color="000000" w:sz="6" w:space="0"/>
              <w:left w:val="single" w:color="000000" w:sz="6" w:space="0"/>
              <w:right w:val="single" w:color="000000" w:sz="6" w:space="0"/>
            </w:tcBorders>
            <w:shd w:val="clear" w:color="auto" w:fill="FFFFFF"/>
            <w:tcMar>
              <w:left w:w="74" w:type="dxa"/>
              <w:right w:w="74" w:type="dxa"/>
            </w:tcMar>
            <w:vAlign w:val="center"/>
          </w:tcPr>
          <w:p w14:paraId="03DE8AA8">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项目效益</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220495D">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经济指标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3BE8AE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3</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B209D42">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3</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DD4CE79">
            <w:pPr>
              <w:keepNext w:val="0"/>
              <w:keepLines w:val="0"/>
              <w:pageBreakBefore w:val="0"/>
              <w:widowControl w:val="0"/>
              <w:suppressLineNumbers w:val="0"/>
              <w:tabs>
                <w:tab w:val="center" w:pos="685"/>
              </w:tabs>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100</w:t>
            </w:r>
            <w:r>
              <w:rPr>
                <w:rFonts w:hint="eastAsia" w:ascii="仿宋" w:hAnsi="仿宋" w:eastAsia="仿宋" w:cs="仿宋"/>
                <w:sz w:val="24"/>
                <w:szCs w:val="24"/>
                <w:highlight w:val="none"/>
                <w:lang w:val="en-US" w:eastAsia="zh-CN"/>
              </w:rPr>
              <w:t>.00</w:t>
            </w:r>
            <w:r>
              <w:rPr>
                <w:rFonts w:hint="eastAsia" w:ascii="仿宋" w:hAnsi="仿宋" w:eastAsia="仿宋" w:cs="仿宋"/>
                <w:sz w:val="24"/>
                <w:szCs w:val="24"/>
                <w:highlight w:val="none"/>
              </w:rPr>
              <w:t>%</w:t>
            </w:r>
          </w:p>
        </w:tc>
      </w:tr>
      <w:tr w14:paraId="294A40CB">
        <w:tblPrEx>
          <w:tblCellMar>
            <w:top w:w="0" w:type="dxa"/>
            <w:left w:w="10" w:type="dxa"/>
            <w:bottom w:w="0" w:type="dxa"/>
            <w:right w:w="10" w:type="dxa"/>
          </w:tblCellMar>
        </w:tblPrEx>
        <w:trPr>
          <w:trHeight w:val="1" w:hRule="atLeast"/>
          <w:jc w:val="center"/>
        </w:trPr>
        <w:tc>
          <w:tcPr>
            <w:tcW w:w="1839" w:type="dxa"/>
            <w:vMerge w:val="continue"/>
            <w:tcBorders>
              <w:left w:val="single" w:color="000000" w:sz="6" w:space="0"/>
              <w:right w:val="single" w:color="000000" w:sz="6" w:space="0"/>
            </w:tcBorders>
            <w:shd w:val="clear" w:color="auto" w:fill="FFFFFF"/>
            <w:tcMar>
              <w:left w:w="74" w:type="dxa"/>
              <w:right w:w="74" w:type="dxa"/>
            </w:tcMar>
            <w:vAlign w:val="center"/>
          </w:tcPr>
          <w:p w14:paraId="4079D1D6">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5B90FA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社会效益指标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6E7F5C1">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4</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C3BDEA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2.75</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4CF7405">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68.75</w:t>
            </w:r>
            <w:r>
              <w:rPr>
                <w:rFonts w:hint="eastAsia" w:ascii="仿宋" w:hAnsi="仿宋" w:eastAsia="仿宋" w:cs="仿宋"/>
                <w:sz w:val="24"/>
                <w:szCs w:val="24"/>
                <w:highlight w:val="none"/>
              </w:rPr>
              <w:t>%</w:t>
            </w:r>
          </w:p>
        </w:tc>
      </w:tr>
      <w:tr w14:paraId="6094750B">
        <w:tblPrEx>
          <w:tblCellMar>
            <w:top w:w="0" w:type="dxa"/>
            <w:left w:w="10" w:type="dxa"/>
            <w:bottom w:w="0" w:type="dxa"/>
            <w:right w:w="10" w:type="dxa"/>
          </w:tblCellMar>
        </w:tblPrEx>
        <w:trPr>
          <w:trHeight w:val="1" w:hRule="atLeast"/>
          <w:jc w:val="center"/>
        </w:trPr>
        <w:tc>
          <w:tcPr>
            <w:tcW w:w="1839" w:type="dxa"/>
            <w:vMerge w:val="continue"/>
            <w:tcBorders>
              <w:left w:val="single" w:color="000000" w:sz="6" w:space="0"/>
              <w:bottom w:val="single" w:color="000000" w:sz="6" w:space="0"/>
              <w:right w:val="single" w:color="000000" w:sz="6" w:space="0"/>
            </w:tcBorders>
            <w:shd w:val="clear" w:color="auto" w:fill="FFFFFF"/>
            <w:tcMar>
              <w:left w:w="74" w:type="dxa"/>
              <w:right w:w="74" w:type="dxa"/>
            </w:tcMar>
            <w:vAlign w:val="center"/>
          </w:tcPr>
          <w:p w14:paraId="6D18E33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20B0C86">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生态效益指标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D862CAF">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3</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D213FD2">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cs="仿宋"/>
                <w:sz w:val="24"/>
                <w:szCs w:val="24"/>
                <w:highlight w:val="none"/>
                <w:lang w:val="en-US" w:eastAsia="zh-CN"/>
              </w:rPr>
              <w:t>3</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8769438">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r>
              <w:rPr>
                <w:rFonts w:hint="eastAsia" w:ascii="仿宋" w:hAnsi="仿宋" w:eastAsia="仿宋" w:cs="仿宋"/>
                <w:sz w:val="24"/>
                <w:szCs w:val="24"/>
                <w:highlight w:val="none"/>
                <w:lang w:val="en-US" w:eastAsia="zh-CN"/>
              </w:rPr>
              <w:t>0.00</w:t>
            </w:r>
            <w:r>
              <w:rPr>
                <w:rFonts w:hint="eastAsia" w:ascii="仿宋" w:hAnsi="仿宋" w:eastAsia="仿宋" w:cs="仿宋"/>
                <w:sz w:val="24"/>
                <w:szCs w:val="24"/>
                <w:highlight w:val="none"/>
              </w:rPr>
              <w:t>%</w:t>
            </w:r>
          </w:p>
        </w:tc>
      </w:tr>
      <w:tr w14:paraId="71244180">
        <w:tblPrEx>
          <w:tblCellMar>
            <w:top w:w="0" w:type="dxa"/>
            <w:left w:w="10" w:type="dxa"/>
            <w:bottom w:w="0" w:type="dxa"/>
            <w:right w:w="10" w:type="dxa"/>
          </w:tblCellMar>
        </w:tblPrEx>
        <w:trPr>
          <w:trHeight w:val="1" w:hRule="atLeast"/>
          <w:jc w:val="center"/>
        </w:trPr>
        <w:tc>
          <w:tcPr>
            <w:tcW w:w="3760"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88508C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合计</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269BE2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CECB7F4">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8.75</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E35AE3E">
            <w:pPr>
              <w:keepNext w:val="0"/>
              <w:keepLines w:val="0"/>
              <w:pageBreakBefore w:val="0"/>
              <w:widowControl w:val="0"/>
              <w:suppressLineNumbers w:val="0"/>
              <w:tabs>
                <w:tab w:val="left" w:pos="312"/>
              </w:tabs>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87.50</w:t>
            </w:r>
            <w:r>
              <w:rPr>
                <w:rFonts w:hint="eastAsia" w:ascii="仿宋" w:hAnsi="仿宋" w:eastAsia="仿宋" w:cs="仿宋"/>
                <w:sz w:val="24"/>
                <w:szCs w:val="24"/>
                <w:highlight w:val="none"/>
              </w:rPr>
              <w:t>%</w:t>
            </w:r>
          </w:p>
        </w:tc>
      </w:tr>
    </w:tbl>
    <w:p w14:paraId="6E1BF156">
      <w:pPr>
        <w:numPr>
          <w:ilvl w:val="0"/>
          <w:numId w:val="0"/>
        </w:numPr>
        <w:bidi w:val="0"/>
        <w:ind w:left="0" w:leftChars="0" w:firstLine="640" w:firstLineChars="0"/>
        <w:jc w:val="both"/>
        <w:outlineLvl w:val="2"/>
        <w:rPr>
          <w:rFonts w:hint="default" w:ascii="仿宋" w:hAnsi="仿宋" w:eastAsia="仿宋" w:cs="Times New Roman"/>
          <w:b/>
          <w:bCs/>
          <w:kern w:val="2"/>
          <w:sz w:val="32"/>
          <w:szCs w:val="24"/>
          <w:highlight w:val="none"/>
          <w:lang w:val="en-US" w:eastAsia="zh-CN" w:bidi="ar-SA"/>
        </w:rPr>
      </w:pPr>
      <w:bookmarkStart w:id="71" w:name="_Toc20353"/>
      <w:r>
        <w:rPr>
          <w:rFonts w:hint="default" w:ascii="仿宋" w:hAnsi="仿宋" w:eastAsia="仿宋" w:cs="Times New Roman"/>
          <w:b/>
          <w:bCs/>
          <w:kern w:val="2"/>
          <w:sz w:val="32"/>
          <w:szCs w:val="24"/>
          <w:highlight w:val="none"/>
          <w:lang w:val="en-US" w:eastAsia="zh-CN" w:bidi="ar-SA"/>
        </w:rPr>
        <w:t>1. 经济效益（</w:t>
      </w:r>
      <w:r>
        <w:rPr>
          <w:rFonts w:hint="eastAsia" w:cs="Times New Roman"/>
          <w:b/>
          <w:bCs/>
          <w:kern w:val="2"/>
          <w:sz w:val="32"/>
          <w:szCs w:val="24"/>
          <w:highlight w:val="none"/>
          <w:lang w:val="en-US" w:eastAsia="zh-CN" w:bidi="ar-SA"/>
        </w:rPr>
        <w:t>满分3</w:t>
      </w:r>
      <w:r>
        <w:rPr>
          <w:rFonts w:hint="default" w:ascii="仿宋" w:hAnsi="仿宋" w:eastAsia="仿宋" w:cs="Times New Roman"/>
          <w:b/>
          <w:bCs/>
          <w:kern w:val="2"/>
          <w:sz w:val="32"/>
          <w:szCs w:val="24"/>
          <w:highlight w:val="none"/>
          <w:lang w:val="en-US" w:eastAsia="zh-CN" w:bidi="ar-SA"/>
        </w:rPr>
        <w:t>分，实际评价得</w:t>
      </w:r>
      <w:r>
        <w:rPr>
          <w:rFonts w:hint="eastAsia" w:cs="Times New Roman"/>
          <w:b/>
          <w:bCs/>
          <w:kern w:val="2"/>
          <w:sz w:val="32"/>
          <w:szCs w:val="24"/>
          <w:highlight w:val="none"/>
          <w:lang w:val="en-US" w:eastAsia="zh-CN" w:bidi="ar-SA"/>
        </w:rPr>
        <w:t>3</w:t>
      </w:r>
      <w:r>
        <w:rPr>
          <w:rFonts w:hint="default" w:ascii="仿宋" w:hAnsi="仿宋" w:eastAsia="仿宋" w:cs="Times New Roman"/>
          <w:b/>
          <w:bCs/>
          <w:kern w:val="2"/>
          <w:sz w:val="32"/>
          <w:szCs w:val="24"/>
          <w:highlight w:val="none"/>
          <w:lang w:val="en-US" w:eastAsia="zh-CN" w:bidi="ar-SA"/>
        </w:rPr>
        <w:t>分）</w:t>
      </w:r>
      <w:bookmarkEnd w:id="71"/>
    </w:p>
    <w:p w14:paraId="494B5927">
      <w:pPr>
        <w:numPr>
          <w:ilvl w:val="0"/>
          <w:numId w:val="0"/>
        </w:numPr>
        <w:bidi w:val="0"/>
        <w:ind w:firstLine="640"/>
        <w:jc w:val="both"/>
        <w:rPr>
          <w:rFonts w:hint="default" w:ascii="仿宋" w:hAnsi="仿宋" w:eastAsia="仿宋" w:cs="Times New Roman"/>
          <w:kern w:val="2"/>
          <w:sz w:val="32"/>
          <w:szCs w:val="24"/>
          <w:u w:val="none"/>
          <w:shd w:val="clear" w:fill="E6F0FF"/>
          <w:lang w:val="en-US" w:eastAsia="zh-CN" w:bidi="ar-SA"/>
        </w:rPr>
      </w:pPr>
      <w:r>
        <w:rPr>
          <w:rFonts w:hint="eastAsia" w:cs="Times New Roman"/>
          <w:kern w:val="2"/>
          <w:sz w:val="32"/>
          <w:szCs w:val="24"/>
          <w:highlight w:val="none"/>
          <w:lang w:val="en-US" w:eastAsia="zh-CN" w:bidi="ar-SA"/>
        </w:rPr>
        <w:t>宝塔湖污水处理厂</w:t>
      </w:r>
      <w:r>
        <w:rPr>
          <w:rFonts w:hint="default" w:ascii="仿宋" w:hAnsi="仿宋" w:eastAsia="仿宋" w:cs="Times New Roman"/>
          <w:kern w:val="2"/>
          <w:sz w:val="32"/>
          <w:szCs w:val="24"/>
          <w:highlight w:val="none"/>
          <w:lang w:val="en-US" w:eastAsia="zh-CN" w:bidi="ar-SA"/>
        </w:rPr>
        <w:t>是一项</w:t>
      </w:r>
      <w:r>
        <w:rPr>
          <w:rFonts w:hint="eastAsia" w:cs="Times New Roman"/>
          <w:kern w:val="2"/>
          <w:sz w:val="32"/>
          <w:szCs w:val="24"/>
          <w:highlight w:val="none"/>
          <w:lang w:val="en-US" w:eastAsia="zh-CN" w:bidi="ar-SA"/>
        </w:rPr>
        <w:t>公益事业</w:t>
      </w:r>
      <w:r>
        <w:rPr>
          <w:rFonts w:hint="default" w:ascii="仿宋" w:hAnsi="仿宋" w:eastAsia="仿宋" w:cs="Times New Roman"/>
          <w:kern w:val="2"/>
          <w:sz w:val="32"/>
          <w:szCs w:val="24"/>
          <w:highlight w:val="none"/>
          <w:lang w:val="en-US" w:eastAsia="zh-CN" w:bidi="ar-SA"/>
        </w:rPr>
        <w:t>，本着保本微利的原则向用户收取适当的污水治理费，维持自身的正常运转，</w:t>
      </w:r>
      <w:r>
        <w:rPr>
          <w:rFonts w:hint="eastAsia" w:cs="Times New Roman"/>
          <w:kern w:val="2"/>
          <w:sz w:val="32"/>
          <w:szCs w:val="24"/>
          <w:highlight w:val="none"/>
          <w:lang w:val="en-US" w:eastAsia="zh-CN" w:bidi="ar-SA"/>
        </w:rPr>
        <w:t>项目运行三年向国家缴纳税费每均140万元左右，同时为员工足额缴纳职工社保，</w:t>
      </w:r>
      <w:r>
        <w:rPr>
          <w:rFonts w:hint="eastAsia" w:ascii="仿宋" w:hAnsi="仿宋" w:eastAsia="仿宋" w:cs="Times New Roman"/>
          <w:kern w:val="2"/>
          <w:sz w:val="32"/>
          <w:szCs w:val="24"/>
          <w:highlight w:val="none"/>
          <w:lang w:val="en-US" w:eastAsia="zh-CN" w:bidi="ar-SA"/>
        </w:rPr>
        <w:t>有效带动了当地就业和</w:t>
      </w:r>
      <w:r>
        <w:rPr>
          <w:rFonts w:hint="eastAsia" w:cs="Times New Roman"/>
          <w:kern w:val="2"/>
          <w:sz w:val="32"/>
          <w:szCs w:val="24"/>
          <w:highlight w:val="none"/>
          <w:lang w:val="en-US" w:eastAsia="zh-CN" w:bidi="ar-SA"/>
        </w:rPr>
        <w:t>经济</w:t>
      </w:r>
      <w:r>
        <w:rPr>
          <w:rFonts w:hint="eastAsia" w:ascii="仿宋" w:hAnsi="仿宋" w:eastAsia="仿宋" w:cs="Times New Roman"/>
          <w:kern w:val="2"/>
          <w:sz w:val="32"/>
          <w:szCs w:val="24"/>
          <w:highlight w:val="none"/>
          <w:lang w:val="en-US" w:eastAsia="zh-CN" w:bidi="ar-SA"/>
        </w:rPr>
        <w:t>发展。</w:t>
      </w:r>
    </w:p>
    <w:p w14:paraId="2246DC62">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该项指标</w:t>
      </w:r>
      <w:r>
        <w:rPr>
          <w:rFonts w:hint="eastAsia" w:cs="Times New Roman"/>
          <w:kern w:val="2"/>
          <w:sz w:val="32"/>
          <w:szCs w:val="24"/>
          <w:highlight w:val="none"/>
          <w:lang w:val="en-US" w:eastAsia="zh-CN" w:bidi="ar-SA"/>
        </w:rPr>
        <w:t>满分3</w:t>
      </w:r>
      <w:r>
        <w:rPr>
          <w:rFonts w:hint="default" w:ascii="仿宋" w:hAnsi="仿宋" w:eastAsia="仿宋" w:cs="Times New Roman"/>
          <w:kern w:val="2"/>
          <w:sz w:val="32"/>
          <w:szCs w:val="24"/>
          <w:highlight w:val="none"/>
          <w:lang w:val="en-US" w:eastAsia="zh-CN" w:bidi="ar-SA"/>
        </w:rPr>
        <w:t>分，实际得分</w:t>
      </w:r>
      <w:r>
        <w:rPr>
          <w:rFonts w:hint="eastAsia" w:cs="Times New Roman"/>
          <w:kern w:val="2"/>
          <w:sz w:val="32"/>
          <w:szCs w:val="24"/>
          <w:highlight w:val="none"/>
          <w:lang w:val="en-US" w:eastAsia="zh-CN" w:bidi="ar-SA"/>
        </w:rPr>
        <w:t>3</w:t>
      </w:r>
      <w:r>
        <w:rPr>
          <w:rFonts w:hint="default" w:ascii="仿宋" w:hAnsi="仿宋" w:eastAsia="仿宋" w:cs="Times New Roman"/>
          <w:kern w:val="2"/>
          <w:sz w:val="32"/>
          <w:szCs w:val="24"/>
          <w:highlight w:val="none"/>
          <w:lang w:val="en-US" w:eastAsia="zh-CN" w:bidi="ar-SA"/>
        </w:rPr>
        <w:t>分。</w:t>
      </w:r>
    </w:p>
    <w:p w14:paraId="69A25FA3">
      <w:pPr>
        <w:numPr>
          <w:ilvl w:val="0"/>
          <w:numId w:val="0"/>
        </w:numPr>
        <w:bidi w:val="0"/>
        <w:ind w:left="0" w:leftChars="0" w:firstLine="640" w:firstLineChars="0"/>
        <w:jc w:val="both"/>
        <w:outlineLvl w:val="2"/>
        <w:rPr>
          <w:rFonts w:hint="default" w:ascii="仿宋" w:hAnsi="仿宋" w:eastAsia="仿宋" w:cs="Times New Roman"/>
          <w:b/>
          <w:bCs/>
          <w:kern w:val="2"/>
          <w:sz w:val="32"/>
          <w:szCs w:val="24"/>
          <w:highlight w:val="none"/>
          <w:lang w:val="en-US" w:eastAsia="zh-CN" w:bidi="ar-SA"/>
        </w:rPr>
      </w:pPr>
      <w:bookmarkStart w:id="72" w:name="_Toc965"/>
      <w:r>
        <w:rPr>
          <w:rFonts w:hint="default" w:ascii="仿宋" w:hAnsi="仿宋" w:eastAsia="仿宋" w:cs="Times New Roman"/>
          <w:b/>
          <w:bCs/>
          <w:kern w:val="2"/>
          <w:sz w:val="32"/>
          <w:szCs w:val="24"/>
          <w:highlight w:val="none"/>
          <w:lang w:val="en-US" w:eastAsia="zh-CN" w:bidi="ar-SA"/>
        </w:rPr>
        <w:t>2. 社会效益（</w:t>
      </w:r>
      <w:r>
        <w:rPr>
          <w:rFonts w:hint="eastAsia" w:cs="Times New Roman"/>
          <w:b/>
          <w:bCs/>
          <w:kern w:val="2"/>
          <w:sz w:val="32"/>
          <w:szCs w:val="24"/>
          <w:highlight w:val="none"/>
          <w:lang w:val="en-US" w:eastAsia="zh-CN" w:bidi="ar-SA"/>
        </w:rPr>
        <w:t>满分4</w:t>
      </w:r>
      <w:r>
        <w:rPr>
          <w:rFonts w:hint="default" w:ascii="仿宋" w:hAnsi="仿宋" w:eastAsia="仿宋" w:cs="Times New Roman"/>
          <w:b/>
          <w:bCs/>
          <w:kern w:val="2"/>
          <w:sz w:val="32"/>
          <w:szCs w:val="24"/>
          <w:highlight w:val="none"/>
          <w:lang w:val="en-US" w:eastAsia="zh-CN" w:bidi="ar-SA"/>
        </w:rPr>
        <w:t>分，实际评价得</w:t>
      </w:r>
      <w:r>
        <w:rPr>
          <w:rFonts w:hint="eastAsia" w:cs="Times New Roman"/>
          <w:b/>
          <w:bCs/>
          <w:kern w:val="2"/>
          <w:sz w:val="32"/>
          <w:szCs w:val="24"/>
          <w:highlight w:val="none"/>
          <w:lang w:val="en-US" w:eastAsia="zh-CN" w:bidi="ar-SA"/>
        </w:rPr>
        <w:t>2.75</w:t>
      </w:r>
      <w:r>
        <w:rPr>
          <w:rFonts w:hint="default" w:ascii="仿宋" w:hAnsi="仿宋" w:eastAsia="仿宋" w:cs="Times New Roman"/>
          <w:b/>
          <w:bCs/>
          <w:kern w:val="2"/>
          <w:sz w:val="32"/>
          <w:szCs w:val="24"/>
          <w:highlight w:val="none"/>
          <w:lang w:val="en-US" w:eastAsia="zh-CN" w:bidi="ar-SA"/>
        </w:rPr>
        <w:t>分）</w:t>
      </w:r>
      <w:bookmarkEnd w:id="72"/>
    </w:p>
    <w:p w14:paraId="31FFAA7F">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eastAsia" w:cs="Times New Roman"/>
          <w:kern w:val="2"/>
          <w:sz w:val="32"/>
          <w:szCs w:val="24"/>
          <w:highlight w:val="none"/>
          <w:lang w:val="en-US" w:eastAsia="zh-CN" w:bidi="ar-SA"/>
        </w:rPr>
        <w:t>宝塔湖污水处理厂扩建及提标升级工程的实施，有效提升</w:t>
      </w:r>
      <w:r>
        <w:rPr>
          <w:rFonts w:hint="default" w:ascii="仿宋" w:hAnsi="仿宋" w:eastAsia="仿宋" w:cs="Times New Roman"/>
          <w:kern w:val="2"/>
          <w:sz w:val="32"/>
          <w:szCs w:val="24"/>
          <w:highlight w:val="none"/>
          <w:lang w:val="en-US" w:eastAsia="zh-CN" w:bidi="ar-SA"/>
        </w:rPr>
        <w:t>阳新县的污水处理能力，</w:t>
      </w:r>
      <w:r>
        <w:rPr>
          <w:rFonts w:hint="eastAsia" w:cs="Times New Roman"/>
          <w:kern w:val="2"/>
          <w:sz w:val="32"/>
          <w:szCs w:val="24"/>
          <w:highlight w:val="none"/>
          <w:lang w:val="en-US" w:eastAsia="zh-CN" w:bidi="ar-SA"/>
        </w:rPr>
        <w:t>出水满足《城镇污水处理厂污染物排放标准》一级A排放标准要求，</w:t>
      </w:r>
      <w:r>
        <w:rPr>
          <w:rFonts w:hint="default" w:ascii="仿宋" w:hAnsi="仿宋" w:eastAsia="仿宋" w:cs="Times New Roman"/>
          <w:kern w:val="2"/>
          <w:sz w:val="32"/>
          <w:szCs w:val="24"/>
          <w:highlight w:val="none"/>
          <w:lang w:val="en-US" w:eastAsia="zh-CN" w:bidi="ar-SA"/>
        </w:rPr>
        <w:t>满足了城市发展的需要，同时对减轻城市污水对排涝河的水体污染，改善城市的环境卫生面貌，提高人民生活及健康水平起到积极作用。同时项目公司为当地提供了2</w:t>
      </w:r>
      <w:r>
        <w:rPr>
          <w:rFonts w:hint="eastAsia" w:cs="Times New Roman"/>
          <w:kern w:val="2"/>
          <w:sz w:val="32"/>
          <w:szCs w:val="24"/>
          <w:highlight w:val="none"/>
          <w:lang w:val="en-US" w:eastAsia="zh-CN" w:bidi="ar-SA"/>
        </w:rPr>
        <w:t>2</w:t>
      </w:r>
      <w:r>
        <w:rPr>
          <w:rFonts w:hint="default" w:ascii="仿宋" w:hAnsi="仿宋" w:eastAsia="仿宋" w:cs="Times New Roman"/>
          <w:kern w:val="2"/>
          <w:sz w:val="32"/>
          <w:szCs w:val="24"/>
          <w:highlight w:val="none"/>
          <w:lang w:val="en-US" w:eastAsia="zh-CN" w:bidi="ar-SA"/>
        </w:rPr>
        <w:t>个工作岗位</w:t>
      </w:r>
      <w:r>
        <w:rPr>
          <w:rFonts w:hint="eastAsia" w:cs="Times New Roman"/>
          <w:kern w:val="2"/>
          <w:sz w:val="32"/>
          <w:szCs w:val="24"/>
          <w:highlight w:val="none"/>
          <w:lang w:val="en-US" w:eastAsia="zh-CN" w:bidi="ar-SA"/>
        </w:rPr>
        <w:t>，带动当地就业，但带动人数与计划带动的32人目标存在差距。</w:t>
      </w:r>
    </w:p>
    <w:p w14:paraId="565D3C26">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该项指标</w:t>
      </w:r>
      <w:r>
        <w:rPr>
          <w:rFonts w:hint="eastAsia" w:cs="Times New Roman"/>
          <w:kern w:val="2"/>
          <w:sz w:val="32"/>
          <w:szCs w:val="24"/>
          <w:highlight w:val="none"/>
          <w:lang w:val="en-US" w:eastAsia="zh-CN" w:bidi="ar-SA"/>
        </w:rPr>
        <w:t>满分4</w:t>
      </w:r>
      <w:r>
        <w:rPr>
          <w:rFonts w:hint="default" w:ascii="仿宋" w:hAnsi="仿宋" w:eastAsia="仿宋" w:cs="Times New Roman"/>
          <w:kern w:val="2"/>
          <w:sz w:val="32"/>
          <w:szCs w:val="24"/>
          <w:highlight w:val="none"/>
          <w:lang w:val="en-US" w:eastAsia="zh-CN" w:bidi="ar-SA"/>
        </w:rPr>
        <w:t>分</w:t>
      </w:r>
      <w:r>
        <w:rPr>
          <w:rFonts w:hint="eastAsia" w:cs="Times New Roman"/>
          <w:kern w:val="2"/>
          <w:sz w:val="32"/>
          <w:szCs w:val="24"/>
          <w:highlight w:val="none"/>
          <w:lang w:val="en-US" w:eastAsia="zh-CN" w:bidi="ar-SA"/>
        </w:rPr>
        <w:t>，</w:t>
      </w:r>
      <w:r>
        <w:rPr>
          <w:rFonts w:hint="default" w:ascii="仿宋" w:hAnsi="仿宋" w:eastAsia="仿宋" w:cs="Times New Roman"/>
          <w:kern w:val="2"/>
          <w:sz w:val="32"/>
          <w:szCs w:val="24"/>
          <w:highlight w:val="none"/>
          <w:lang w:val="en-US" w:eastAsia="zh-CN" w:bidi="ar-SA"/>
        </w:rPr>
        <w:t>实际得</w:t>
      </w:r>
      <w:r>
        <w:rPr>
          <w:rFonts w:hint="eastAsia" w:cs="Times New Roman"/>
          <w:kern w:val="2"/>
          <w:sz w:val="32"/>
          <w:szCs w:val="24"/>
          <w:highlight w:val="none"/>
          <w:lang w:val="en-US" w:eastAsia="zh-CN" w:bidi="ar-SA"/>
        </w:rPr>
        <w:t>2.75</w:t>
      </w:r>
      <w:r>
        <w:rPr>
          <w:rFonts w:hint="default" w:ascii="仿宋" w:hAnsi="仿宋" w:eastAsia="仿宋" w:cs="Times New Roman"/>
          <w:kern w:val="2"/>
          <w:sz w:val="32"/>
          <w:szCs w:val="24"/>
          <w:highlight w:val="none"/>
          <w:lang w:val="en-US" w:eastAsia="zh-CN" w:bidi="ar-SA"/>
        </w:rPr>
        <w:t>分</w:t>
      </w:r>
      <w:r>
        <w:rPr>
          <w:rFonts w:hint="eastAsia" w:cs="Times New Roman"/>
          <w:kern w:val="2"/>
          <w:sz w:val="32"/>
          <w:szCs w:val="24"/>
          <w:highlight w:val="none"/>
          <w:lang w:val="en-US" w:eastAsia="zh-CN" w:bidi="ar-SA"/>
        </w:rPr>
        <w:t>（68.75%*4分）</w:t>
      </w:r>
      <w:r>
        <w:rPr>
          <w:rFonts w:hint="default" w:ascii="仿宋" w:hAnsi="仿宋" w:eastAsia="仿宋" w:cs="Times New Roman"/>
          <w:kern w:val="2"/>
          <w:sz w:val="32"/>
          <w:szCs w:val="24"/>
          <w:highlight w:val="none"/>
          <w:lang w:val="en-US" w:eastAsia="zh-CN" w:bidi="ar-SA"/>
        </w:rPr>
        <w:t>。</w:t>
      </w:r>
    </w:p>
    <w:p w14:paraId="039822CC">
      <w:pPr>
        <w:numPr>
          <w:ilvl w:val="0"/>
          <w:numId w:val="0"/>
        </w:numPr>
        <w:bidi w:val="0"/>
        <w:ind w:left="0" w:leftChars="0" w:firstLine="640" w:firstLineChars="0"/>
        <w:jc w:val="both"/>
        <w:outlineLvl w:val="2"/>
        <w:rPr>
          <w:rFonts w:hint="default" w:ascii="仿宋" w:hAnsi="仿宋" w:eastAsia="仿宋" w:cs="Times New Roman"/>
          <w:kern w:val="2"/>
          <w:sz w:val="32"/>
          <w:szCs w:val="24"/>
          <w:highlight w:val="none"/>
          <w:lang w:val="en-US" w:eastAsia="zh-CN" w:bidi="ar-SA"/>
        </w:rPr>
      </w:pPr>
      <w:bookmarkStart w:id="73" w:name="_Toc20349"/>
      <w:r>
        <w:rPr>
          <w:rFonts w:hint="default" w:ascii="仿宋" w:hAnsi="仿宋" w:eastAsia="仿宋" w:cs="Times New Roman"/>
          <w:b/>
          <w:bCs/>
          <w:kern w:val="2"/>
          <w:sz w:val="32"/>
          <w:szCs w:val="24"/>
          <w:highlight w:val="none"/>
          <w:lang w:val="en-US" w:eastAsia="zh-CN" w:bidi="ar-SA"/>
        </w:rPr>
        <w:t>3. 生态环境效益（</w:t>
      </w:r>
      <w:r>
        <w:rPr>
          <w:rFonts w:hint="eastAsia" w:cs="Times New Roman"/>
          <w:b/>
          <w:bCs/>
          <w:kern w:val="2"/>
          <w:sz w:val="32"/>
          <w:szCs w:val="24"/>
          <w:highlight w:val="none"/>
          <w:lang w:val="en-US" w:eastAsia="zh-CN" w:bidi="ar-SA"/>
        </w:rPr>
        <w:t>满分3</w:t>
      </w:r>
      <w:r>
        <w:rPr>
          <w:rFonts w:hint="default" w:ascii="仿宋" w:hAnsi="仿宋" w:eastAsia="仿宋" w:cs="Times New Roman"/>
          <w:b/>
          <w:bCs/>
          <w:kern w:val="2"/>
          <w:sz w:val="32"/>
          <w:szCs w:val="24"/>
          <w:highlight w:val="none"/>
          <w:lang w:val="en-US" w:eastAsia="zh-CN" w:bidi="ar-SA"/>
        </w:rPr>
        <w:t>分，实际评价得</w:t>
      </w:r>
      <w:r>
        <w:rPr>
          <w:rFonts w:hint="eastAsia" w:cs="Times New Roman"/>
          <w:b/>
          <w:bCs/>
          <w:kern w:val="2"/>
          <w:sz w:val="32"/>
          <w:szCs w:val="24"/>
          <w:highlight w:val="none"/>
          <w:lang w:val="en-US" w:eastAsia="zh-CN" w:bidi="ar-SA"/>
        </w:rPr>
        <w:t>3</w:t>
      </w:r>
      <w:r>
        <w:rPr>
          <w:rFonts w:hint="default" w:ascii="仿宋" w:hAnsi="仿宋" w:eastAsia="仿宋" w:cs="Times New Roman"/>
          <w:b/>
          <w:bCs/>
          <w:kern w:val="2"/>
          <w:sz w:val="32"/>
          <w:szCs w:val="24"/>
          <w:highlight w:val="none"/>
          <w:lang w:val="en-US" w:eastAsia="zh-CN" w:bidi="ar-SA"/>
        </w:rPr>
        <w:t>分）</w:t>
      </w:r>
      <w:bookmarkEnd w:id="73"/>
    </w:p>
    <w:p w14:paraId="3BD7B932">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项目实施后，显著提升周边</w:t>
      </w:r>
      <w:r>
        <w:rPr>
          <w:rFonts w:hint="eastAsia" w:cs="Times New Roman"/>
          <w:kern w:val="2"/>
          <w:sz w:val="32"/>
          <w:szCs w:val="24"/>
          <w:highlight w:val="none"/>
          <w:lang w:val="en-US" w:eastAsia="zh-CN" w:bidi="ar-SA"/>
        </w:rPr>
        <w:t>水系</w:t>
      </w:r>
      <w:r>
        <w:rPr>
          <w:rFonts w:hint="eastAsia" w:ascii="仿宋" w:hAnsi="仿宋" w:eastAsia="仿宋" w:cs="Times New Roman"/>
          <w:kern w:val="2"/>
          <w:sz w:val="32"/>
          <w:szCs w:val="24"/>
          <w:highlight w:val="none"/>
          <w:lang w:val="en-US" w:eastAsia="zh-CN" w:bidi="ar-SA"/>
        </w:rPr>
        <w:t>水质，对保护当地水生生态系统和促进生物多样性具有积极影响</w:t>
      </w:r>
      <w:r>
        <w:rPr>
          <w:rFonts w:hint="eastAsia" w:cs="Times New Roman"/>
          <w:kern w:val="2"/>
          <w:sz w:val="32"/>
          <w:szCs w:val="24"/>
          <w:highlight w:val="none"/>
          <w:lang w:val="en-US" w:eastAsia="zh-CN" w:bidi="ar-SA"/>
        </w:rPr>
        <w:t>，处理水可以作为中水用作绿化、浇洒、景观、施工等用水，</w:t>
      </w:r>
      <w:r>
        <w:rPr>
          <w:rFonts w:hint="eastAsia" w:ascii="仿宋" w:hAnsi="仿宋" w:eastAsia="仿宋" w:cs="Times New Roman"/>
          <w:kern w:val="2"/>
          <w:sz w:val="32"/>
          <w:szCs w:val="24"/>
          <w:highlight w:val="none"/>
          <w:lang w:val="en-US" w:eastAsia="zh-CN" w:bidi="ar-SA"/>
        </w:rPr>
        <w:t>促进</w:t>
      </w:r>
      <w:r>
        <w:rPr>
          <w:rFonts w:hint="eastAsia" w:cs="Times New Roman"/>
          <w:kern w:val="2"/>
          <w:sz w:val="32"/>
          <w:szCs w:val="24"/>
          <w:highlight w:val="none"/>
          <w:lang w:val="en-US" w:eastAsia="zh-CN" w:bidi="ar-SA"/>
        </w:rPr>
        <w:t>了</w:t>
      </w:r>
      <w:r>
        <w:rPr>
          <w:rFonts w:hint="eastAsia" w:ascii="仿宋" w:hAnsi="仿宋" w:eastAsia="仿宋" w:cs="Times New Roman"/>
          <w:kern w:val="2"/>
          <w:sz w:val="32"/>
          <w:szCs w:val="24"/>
          <w:highlight w:val="none"/>
          <w:lang w:val="en-US" w:eastAsia="zh-CN" w:bidi="ar-SA"/>
        </w:rPr>
        <w:t>水资源的节约和循环利用。通过减少污染物排放，降低了对环境的破坏，为阳新县可持续发展奠定了坚实基础</w:t>
      </w:r>
      <w:r>
        <w:rPr>
          <w:rFonts w:hint="eastAsia" w:cs="Times New Roman"/>
          <w:kern w:val="2"/>
          <w:sz w:val="32"/>
          <w:szCs w:val="24"/>
          <w:highlight w:val="none"/>
          <w:lang w:val="en-US" w:eastAsia="zh-CN" w:bidi="ar-SA"/>
        </w:rPr>
        <w:t>，具有显著的环保效益。</w:t>
      </w:r>
    </w:p>
    <w:p w14:paraId="57D36A05">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该项指标</w:t>
      </w:r>
      <w:r>
        <w:rPr>
          <w:rFonts w:hint="eastAsia" w:cs="Times New Roman"/>
          <w:kern w:val="2"/>
          <w:sz w:val="32"/>
          <w:szCs w:val="24"/>
          <w:highlight w:val="none"/>
          <w:lang w:val="en-US" w:eastAsia="zh-CN" w:bidi="ar-SA"/>
        </w:rPr>
        <w:t>满分3</w:t>
      </w:r>
      <w:r>
        <w:rPr>
          <w:rFonts w:hint="default" w:ascii="仿宋" w:hAnsi="仿宋" w:eastAsia="仿宋" w:cs="Times New Roman"/>
          <w:kern w:val="2"/>
          <w:sz w:val="32"/>
          <w:szCs w:val="24"/>
          <w:highlight w:val="none"/>
          <w:lang w:val="en-US" w:eastAsia="zh-CN" w:bidi="ar-SA"/>
        </w:rPr>
        <w:t>分，实际得分</w:t>
      </w:r>
      <w:r>
        <w:rPr>
          <w:rFonts w:hint="eastAsia" w:cs="Times New Roman"/>
          <w:kern w:val="2"/>
          <w:sz w:val="32"/>
          <w:szCs w:val="24"/>
          <w:highlight w:val="none"/>
          <w:lang w:val="en-US" w:eastAsia="zh-CN" w:bidi="ar-SA"/>
        </w:rPr>
        <w:t>3</w:t>
      </w:r>
      <w:r>
        <w:rPr>
          <w:rFonts w:hint="default" w:ascii="仿宋" w:hAnsi="仿宋" w:eastAsia="仿宋" w:cs="Times New Roman"/>
          <w:kern w:val="2"/>
          <w:sz w:val="32"/>
          <w:szCs w:val="24"/>
          <w:highlight w:val="none"/>
          <w:lang w:val="en-US" w:eastAsia="zh-CN" w:bidi="ar-SA"/>
        </w:rPr>
        <w:t>分。</w:t>
      </w:r>
    </w:p>
    <w:p w14:paraId="0BD41779">
      <w:pPr>
        <w:numPr>
          <w:ilvl w:val="0"/>
          <w:numId w:val="0"/>
        </w:numPr>
        <w:bidi w:val="0"/>
        <w:ind w:left="0" w:leftChars="0" w:firstLine="640" w:firstLineChars="0"/>
        <w:jc w:val="both"/>
        <w:outlineLvl w:val="1"/>
        <w:rPr>
          <w:rFonts w:hint="eastAsia" w:ascii="楷体" w:hAnsi="楷体" w:eastAsia="楷体" w:cs="楷体"/>
          <w:kern w:val="2"/>
          <w:sz w:val="32"/>
          <w:szCs w:val="24"/>
          <w:highlight w:val="none"/>
          <w:lang w:val="en-US" w:eastAsia="zh-CN" w:bidi="ar-SA"/>
        </w:rPr>
      </w:pPr>
      <w:bookmarkStart w:id="74" w:name="_Toc16023"/>
      <w:r>
        <w:rPr>
          <w:rFonts w:hint="eastAsia" w:ascii="楷体" w:hAnsi="楷体" w:eastAsia="楷体" w:cs="楷体"/>
          <w:kern w:val="2"/>
          <w:sz w:val="32"/>
          <w:szCs w:val="24"/>
          <w:highlight w:val="none"/>
          <w:lang w:val="en-US" w:eastAsia="zh-CN" w:bidi="ar-SA"/>
        </w:rPr>
        <w:t>（五）能力建设及可持续影响</w:t>
      </w:r>
      <w:bookmarkEnd w:id="74"/>
    </w:p>
    <w:p w14:paraId="251B7A66">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该类指标包括可持续影响指标、满意度指标二个二级指标和4个三级指标，反映项目后期管护的可持续性影响情况及</w:t>
      </w:r>
      <w:r>
        <w:rPr>
          <w:rFonts w:hint="eastAsia" w:cs="Times New Roman"/>
          <w:kern w:val="2"/>
          <w:sz w:val="32"/>
          <w:szCs w:val="24"/>
          <w:highlight w:val="none"/>
          <w:lang w:val="en-US" w:eastAsia="zh-CN" w:bidi="ar-SA"/>
        </w:rPr>
        <w:t>受益</w:t>
      </w:r>
      <w:r>
        <w:rPr>
          <w:rFonts w:hint="default" w:ascii="仿宋" w:hAnsi="仿宋" w:eastAsia="仿宋" w:cs="Times New Roman"/>
          <w:kern w:val="2"/>
          <w:sz w:val="32"/>
          <w:szCs w:val="24"/>
          <w:highlight w:val="none"/>
          <w:lang w:val="en-US" w:eastAsia="zh-CN" w:bidi="ar-SA"/>
        </w:rPr>
        <w:t>群众的满意程度影响情况，该类项目满分</w:t>
      </w:r>
      <w:r>
        <w:rPr>
          <w:rFonts w:hint="eastAsia" w:cs="Times New Roman"/>
          <w:kern w:val="2"/>
          <w:sz w:val="32"/>
          <w:szCs w:val="24"/>
          <w:highlight w:val="none"/>
          <w:lang w:val="en-US" w:eastAsia="zh-CN" w:bidi="ar-SA"/>
        </w:rPr>
        <w:t>10</w:t>
      </w:r>
      <w:r>
        <w:rPr>
          <w:rFonts w:hint="default" w:ascii="仿宋" w:hAnsi="仿宋" w:eastAsia="仿宋" w:cs="Times New Roman"/>
          <w:kern w:val="2"/>
          <w:sz w:val="32"/>
          <w:szCs w:val="24"/>
          <w:highlight w:val="none"/>
          <w:lang w:val="en-US" w:eastAsia="zh-CN" w:bidi="ar-SA"/>
        </w:rPr>
        <w:t>分，评价得</w:t>
      </w:r>
      <w:r>
        <w:rPr>
          <w:rFonts w:hint="eastAsia" w:cs="Times New Roman"/>
          <w:kern w:val="2"/>
          <w:sz w:val="32"/>
          <w:szCs w:val="24"/>
          <w:highlight w:val="none"/>
          <w:lang w:val="en-US" w:eastAsia="zh-CN" w:bidi="ar-SA"/>
        </w:rPr>
        <w:t>7.5</w:t>
      </w:r>
      <w:r>
        <w:rPr>
          <w:rFonts w:hint="default" w:ascii="仿宋" w:hAnsi="仿宋" w:eastAsia="仿宋" w:cs="Times New Roman"/>
          <w:kern w:val="2"/>
          <w:sz w:val="32"/>
          <w:szCs w:val="24"/>
          <w:highlight w:val="none"/>
          <w:lang w:val="en-US" w:eastAsia="zh-CN" w:bidi="ar-SA"/>
        </w:rPr>
        <w:t>分，得分率为7</w:t>
      </w:r>
      <w:r>
        <w:rPr>
          <w:rFonts w:hint="eastAsia" w:cs="Times New Roman"/>
          <w:kern w:val="2"/>
          <w:sz w:val="32"/>
          <w:szCs w:val="24"/>
          <w:highlight w:val="none"/>
          <w:lang w:val="en-US" w:eastAsia="zh-CN" w:bidi="ar-SA"/>
        </w:rPr>
        <w:t>5.00</w:t>
      </w:r>
      <w:r>
        <w:rPr>
          <w:rFonts w:hint="default" w:ascii="仿宋" w:hAnsi="仿宋" w:eastAsia="仿宋" w:cs="Times New Roman"/>
          <w:kern w:val="2"/>
          <w:sz w:val="32"/>
          <w:szCs w:val="24"/>
          <w:highlight w:val="none"/>
          <w:lang w:val="en-US" w:eastAsia="zh-CN" w:bidi="ar-SA"/>
        </w:rPr>
        <w:t>%。</w:t>
      </w:r>
    </w:p>
    <w:p w14:paraId="4FE269A8">
      <w:pPr>
        <w:keepNext w:val="0"/>
        <w:keepLines w:val="0"/>
        <w:pageBreakBefore w:val="0"/>
        <w:kinsoku/>
        <w:wordWrap/>
        <w:overflowPunct/>
        <w:topLinePunct w:val="0"/>
        <w:autoSpaceDE/>
        <w:autoSpaceDN/>
        <w:bidi w:val="0"/>
        <w:adjustRightInd/>
        <w:snapToGrid w:val="0"/>
        <w:spacing w:before="120" w:after="120" w:line="240" w:lineRule="auto"/>
        <w:ind w:firstLine="480" w:firstLineChars="200"/>
        <w:textAlignment w:val="auto"/>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表4-5项目能力建设及可持续影响指标分值及得分情况</w:t>
      </w:r>
    </w:p>
    <w:tbl>
      <w:tblPr>
        <w:tblStyle w:val="12"/>
        <w:tblW w:w="8454" w:type="dxa"/>
        <w:jc w:val="center"/>
        <w:tblLayout w:type="fixed"/>
        <w:tblCellMar>
          <w:top w:w="0" w:type="dxa"/>
          <w:left w:w="10" w:type="dxa"/>
          <w:bottom w:w="0" w:type="dxa"/>
          <w:right w:w="10" w:type="dxa"/>
        </w:tblCellMar>
      </w:tblPr>
      <w:tblGrid>
        <w:gridCol w:w="1839"/>
        <w:gridCol w:w="1921"/>
        <w:gridCol w:w="1522"/>
        <w:gridCol w:w="1743"/>
        <w:gridCol w:w="1429"/>
      </w:tblGrid>
      <w:tr w14:paraId="0AFDC3AF">
        <w:tblPrEx>
          <w:tblCellMar>
            <w:top w:w="0" w:type="dxa"/>
            <w:left w:w="10" w:type="dxa"/>
            <w:bottom w:w="0" w:type="dxa"/>
            <w:right w:w="10" w:type="dxa"/>
          </w:tblCellMar>
        </w:tblPrEx>
        <w:trPr>
          <w:trHeight w:val="1" w:hRule="atLeast"/>
          <w:jc w:val="center"/>
        </w:trPr>
        <w:tc>
          <w:tcPr>
            <w:tcW w:w="183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2981D5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一级指标</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5EC3D4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二级指标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65FB66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满分值</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F20931A">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评价得分</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F8063FE">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得分率</w:t>
            </w:r>
          </w:p>
        </w:tc>
      </w:tr>
      <w:tr w14:paraId="0C88810D">
        <w:tblPrEx>
          <w:tblCellMar>
            <w:top w:w="0" w:type="dxa"/>
            <w:left w:w="10" w:type="dxa"/>
            <w:bottom w:w="0" w:type="dxa"/>
            <w:right w:w="10" w:type="dxa"/>
          </w:tblCellMar>
        </w:tblPrEx>
        <w:trPr>
          <w:trHeight w:val="1" w:hRule="atLeast"/>
          <w:jc w:val="center"/>
        </w:trPr>
        <w:tc>
          <w:tcPr>
            <w:tcW w:w="1839" w:type="dxa"/>
            <w:vMerge w:val="restart"/>
            <w:tcBorders>
              <w:top w:val="single" w:color="000000" w:sz="6" w:space="0"/>
              <w:left w:val="single" w:color="000000" w:sz="6" w:space="0"/>
              <w:right w:val="single" w:color="000000" w:sz="6" w:space="0"/>
            </w:tcBorders>
            <w:shd w:val="clear" w:color="auto" w:fill="FFFFFF"/>
            <w:tcMar>
              <w:left w:w="74" w:type="dxa"/>
              <w:right w:w="74" w:type="dxa"/>
            </w:tcMar>
            <w:vAlign w:val="center"/>
          </w:tcPr>
          <w:p w14:paraId="00D76DF7">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项目效益</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6BD5C04">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可持续影响指标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87212BA">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val="en-US" w:eastAsia="zh-CN"/>
              </w:rPr>
            </w:pPr>
            <w:r>
              <w:rPr>
                <w:rFonts w:hint="eastAsia" w:cs="仿宋"/>
                <w:sz w:val="24"/>
                <w:szCs w:val="24"/>
                <w:highlight w:val="none"/>
                <w:lang w:val="en-US" w:eastAsia="zh-CN"/>
              </w:rPr>
              <w:t>6</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8B1181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3.5</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D698A9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58.33</w:t>
            </w:r>
            <w:r>
              <w:rPr>
                <w:rFonts w:hint="eastAsia" w:ascii="仿宋" w:hAnsi="仿宋" w:eastAsia="仿宋" w:cs="仿宋"/>
                <w:sz w:val="24"/>
                <w:szCs w:val="24"/>
                <w:highlight w:val="none"/>
              </w:rPr>
              <w:t>%</w:t>
            </w:r>
          </w:p>
        </w:tc>
      </w:tr>
      <w:tr w14:paraId="1FA38F53">
        <w:tblPrEx>
          <w:tblCellMar>
            <w:top w:w="0" w:type="dxa"/>
            <w:left w:w="10" w:type="dxa"/>
            <w:bottom w:w="0" w:type="dxa"/>
            <w:right w:w="10" w:type="dxa"/>
          </w:tblCellMar>
        </w:tblPrEx>
        <w:trPr>
          <w:trHeight w:val="1" w:hRule="atLeast"/>
          <w:jc w:val="center"/>
        </w:trPr>
        <w:tc>
          <w:tcPr>
            <w:tcW w:w="1839" w:type="dxa"/>
            <w:vMerge w:val="continue"/>
            <w:tcBorders>
              <w:left w:val="single" w:color="000000" w:sz="6" w:space="0"/>
              <w:right w:val="single" w:color="000000" w:sz="6" w:space="0"/>
            </w:tcBorders>
            <w:shd w:val="clear" w:color="auto" w:fill="FFFFFF"/>
            <w:tcMar>
              <w:left w:w="74" w:type="dxa"/>
              <w:right w:w="74" w:type="dxa"/>
            </w:tcMar>
            <w:vAlign w:val="center"/>
          </w:tcPr>
          <w:p w14:paraId="5B0E1710">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firstLine="480" w:firstLineChars="200"/>
              <w:jc w:val="center"/>
              <w:textAlignment w:val="auto"/>
              <w:rPr>
                <w:rFonts w:hint="eastAsia" w:ascii="仿宋" w:hAnsi="仿宋" w:eastAsia="仿宋" w:cs="仿宋"/>
                <w:sz w:val="24"/>
                <w:szCs w:val="24"/>
                <w:highlight w:val="none"/>
              </w:rPr>
            </w:pP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557B34C">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left="0"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满意度</w:t>
            </w:r>
            <w:r>
              <w:rPr>
                <w:rFonts w:hint="eastAsia" w:ascii="仿宋" w:hAnsi="仿宋" w:eastAsia="仿宋" w:cs="仿宋"/>
                <w:sz w:val="24"/>
                <w:szCs w:val="24"/>
                <w:highlight w:val="none"/>
              </w:rPr>
              <w:t>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563C0C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4</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4B77B79">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lang w:eastAsia="zh-CN"/>
              </w:rPr>
            </w:pPr>
            <w:r>
              <w:rPr>
                <w:rFonts w:hint="eastAsia" w:cs="仿宋"/>
                <w:sz w:val="24"/>
                <w:szCs w:val="24"/>
                <w:highlight w:val="none"/>
                <w:lang w:val="en-US" w:eastAsia="zh-CN"/>
              </w:rPr>
              <w:t>4</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5116FB5">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100%</w:t>
            </w:r>
          </w:p>
        </w:tc>
      </w:tr>
      <w:tr w14:paraId="7BC61614">
        <w:tblPrEx>
          <w:tblCellMar>
            <w:top w:w="0" w:type="dxa"/>
            <w:left w:w="10" w:type="dxa"/>
            <w:bottom w:w="0" w:type="dxa"/>
            <w:right w:w="10" w:type="dxa"/>
          </w:tblCellMar>
        </w:tblPrEx>
        <w:trPr>
          <w:trHeight w:val="1" w:hRule="atLeast"/>
          <w:jc w:val="center"/>
        </w:trPr>
        <w:tc>
          <w:tcPr>
            <w:tcW w:w="3760"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3C82D52">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计</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0FEAB73">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10</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C7EF957">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default" w:ascii="仿宋" w:hAnsi="仿宋" w:eastAsia="仿宋" w:cs="仿宋"/>
                <w:sz w:val="24"/>
                <w:szCs w:val="24"/>
                <w:highlight w:val="none"/>
                <w:lang w:val="en-US" w:eastAsia="zh-CN"/>
              </w:rPr>
            </w:pPr>
            <w:r>
              <w:rPr>
                <w:rFonts w:hint="eastAsia" w:cs="仿宋"/>
                <w:sz w:val="24"/>
                <w:szCs w:val="24"/>
                <w:highlight w:val="none"/>
                <w:lang w:val="en-US" w:eastAsia="zh-CN"/>
              </w:rPr>
              <w:t>7.5</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88EBCCB">
            <w:pPr>
              <w:keepNext w:val="0"/>
              <w:keepLines w:val="0"/>
              <w:pageBreakBefore w:val="0"/>
              <w:widowControl w:val="0"/>
              <w:suppressLineNumbers w:val="0"/>
              <w:kinsoku/>
              <w:wordWrap/>
              <w:overflowPunct/>
              <w:topLinePunct w:val="0"/>
              <w:autoSpaceDE/>
              <w:autoSpaceDN/>
              <w:bidi w:val="0"/>
              <w:adjustRightInd/>
              <w:snapToGrid/>
              <w:spacing w:before="120" w:beforeAutospacing="0" w:after="120" w:afterAutospacing="0" w:line="240" w:lineRule="auto"/>
              <w:ind w:right="0"/>
              <w:jc w:val="center"/>
              <w:textAlignment w:val="auto"/>
              <w:rPr>
                <w:rFonts w:hint="eastAsia" w:ascii="仿宋" w:hAnsi="仿宋" w:eastAsia="仿宋" w:cs="仿宋"/>
                <w:sz w:val="24"/>
                <w:szCs w:val="24"/>
                <w:highlight w:val="none"/>
              </w:rPr>
            </w:pPr>
            <w:r>
              <w:rPr>
                <w:rFonts w:hint="eastAsia" w:cs="仿宋"/>
                <w:sz w:val="24"/>
                <w:szCs w:val="24"/>
                <w:highlight w:val="none"/>
                <w:lang w:val="en-US" w:eastAsia="zh-CN"/>
              </w:rPr>
              <w:t>75.00</w:t>
            </w:r>
            <w:r>
              <w:rPr>
                <w:rFonts w:hint="eastAsia" w:ascii="仿宋" w:hAnsi="仿宋" w:eastAsia="仿宋" w:cs="仿宋"/>
                <w:sz w:val="24"/>
                <w:szCs w:val="24"/>
                <w:highlight w:val="none"/>
              </w:rPr>
              <w:t>%</w:t>
            </w:r>
          </w:p>
        </w:tc>
      </w:tr>
    </w:tbl>
    <w:p w14:paraId="686666AA">
      <w:pPr>
        <w:numPr>
          <w:ilvl w:val="0"/>
          <w:numId w:val="0"/>
        </w:numPr>
        <w:bidi w:val="0"/>
        <w:ind w:left="0" w:leftChars="0" w:firstLine="640" w:firstLineChars="0"/>
        <w:jc w:val="both"/>
        <w:outlineLvl w:val="2"/>
        <w:rPr>
          <w:rFonts w:hint="default" w:ascii="仿宋" w:hAnsi="仿宋" w:eastAsia="仿宋" w:cs="Times New Roman"/>
          <w:b/>
          <w:bCs/>
          <w:kern w:val="2"/>
          <w:sz w:val="32"/>
          <w:szCs w:val="24"/>
          <w:highlight w:val="none"/>
          <w:lang w:val="en-US" w:eastAsia="zh-CN" w:bidi="ar-SA"/>
        </w:rPr>
      </w:pPr>
      <w:bookmarkStart w:id="75" w:name="_Toc30731"/>
      <w:r>
        <w:rPr>
          <w:rFonts w:hint="eastAsia" w:cs="Times New Roman"/>
          <w:b/>
          <w:bCs/>
          <w:kern w:val="2"/>
          <w:sz w:val="32"/>
          <w:szCs w:val="24"/>
          <w:highlight w:val="none"/>
          <w:lang w:val="en-US" w:eastAsia="zh-CN" w:bidi="ar-SA"/>
        </w:rPr>
        <w:t>1.</w:t>
      </w:r>
      <w:r>
        <w:rPr>
          <w:rFonts w:hint="default" w:ascii="仿宋" w:hAnsi="仿宋" w:eastAsia="仿宋" w:cs="Times New Roman"/>
          <w:b/>
          <w:bCs/>
          <w:kern w:val="2"/>
          <w:sz w:val="32"/>
          <w:szCs w:val="24"/>
          <w:highlight w:val="none"/>
          <w:lang w:val="en-US" w:eastAsia="zh-CN" w:bidi="ar-SA"/>
        </w:rPr>
        <w:t>可持续影响分析（</w:t>
      </w:r>
      <w:r>
        <w:rPr>
          <w:rFonts w:hint="eastAsia" w:cs="Times New Roman"/>
          <w:b/>
          <w:bCs/>
          <w:kern w:val="2"/>
          <w:sz w:val="32"/>
          <w:szCs w:val="24"/>
          <w:highlight w:val="none"/>
          <w:lang w:val="en-US" w:eastAsia="zh-CN" w:bidi="ar-SA"/>
        </w:rPr>
        <w:t>满分</w:t>
      </w:r>
      <w:r>
        <w:rPr>
          <w:rFonts w:hint="default" w:ascii="仿宋" w:hAnsi="仿宋" w:eastAsia="仿宋" w:cs="Times New Roman"/>
          <w:b/>
          <w:bCs/>
          <w:kern w:val="2"/>
          <w:sz w:val="32"/>
          <w:szCs w:val="24"/>
          <w:highlight w:val="none"/>
          <w:lang w:val="en-US" w:eastAsia="zh-CN" w:bidi="ar-SA"/>
        </w:rPr>
        <w:t>9分，实际评价得</w:t>
      </w:r>
      <w:r>
        <w:rPr>
          <w:rFonts w:hint="eastAsia" w:cs="Times New Roman"/>
          <w:b/>
          <w:bCs/>
          <w:kern w:val="2"/>
          <w:sz w:val="32"/>
          <w:szCs w:val="24"/>
          <w:highlight w:val="none"/>
          <w:lang w:val="en-US" w:eastAsia="zh-CN" w:bidi="ar-SA"/>
        </w:rPr>
        <w:t>6.</w:t>
      </w:r>
      <w:r>
        <w:rPr>
          <w:rFonts w:hint="default" w:ascii="仿宋" w:hAnsi="仿宋" w:eastAsia="仿宋" w:cs="Times New Roman"/>
          <w:b/>
          <w:bCs/>
          <w:kern w:val="2"/>
          <w:sz w:val="32"/>
          <w:szCs w:val="24"/>
          <w:highlight w:val="none"/>
          <w:lang w:val="en-US" w:eastAsia="zh-CN" w:bidi="ar-SA"/>
        </w:rPr>
        <w:t>5分）</w:t>
      </w:r>
      <w:bookmarkEnd w:id="75"/>
    </w:p>
    <w:p w14:paraId="59E5583B">
      <w:pPr>
        <w:numPr>
          <w:ilvl w:val="0"/>
          <w:numId w:val="0"/>
        </w:numPr>
        <w:bidi w:val="0"/>
        <w:ind w:left="0" w:leftChars="0" w:firstLine="640" w:firstLineChars="0"/>
        <w:jc w:val="both"/>
        <w:outlineLvl w:val="3"/>
        <w:rPr>
          <w:rFonts w:hint="default" w:ascii="仿宋" w:hAnsi="仿宋" w:eastAsia="仿宋" w:cs="Times New Roman"/>
          <w:b/>
          <w:bCs/>
          <w:kern w:val="2"/>
          <w:sz w:val="32"/>
          <w:szCs w:val="24"/>
          <w:highlight w:val="none"/>
          <w:lang w:val="en-US" w:eastAsia="zh-CN" w:bidi="ar-SA"/>
        </w:rPr>
      </w:pPr>
      <w:r>
        <w:rPr>
          <w:rFonts w:hint="default" w:ascii="仿宋" w:hAnsi="仿宋" w:eastAsia="仿宋" w:cs="Times New Roman"/>
          <w:b/>
          <w:bCs/>
          <w:kern w:val="2"/>
          <w:sz w:val="32"/>
          <w:szCs w:val="24"/>
          <w:highlight w:val="none"/>
          <w:lang w:val="en-US" w:eastAsia="zh-CN" w:bidi="ar-SA"/>
        </w:rPr>
        <w:t>（1）长效机制建设（</w:t>
      </w:r>
      <w:r>
        <w:rPr>
          <w:rFonts w:hint="eastAsia" w:cs="Times New Roman"/>
          <w:b/>
          <w:bCs/>
          <w:kern w:val="2"/>
          <w:sz w:val="32"/>
          <w:szCs w:val="24"/>
          <w:highlight w:val="none"/>
          <w:lang w:val="en-US" w:eastAsia="zh-CN" w:bidi="ar-SA"/>
        </w:rPr>
        <w:t>满分</w:t>
      </w:r>
      <w:r>
        <w:rPr>
          <w:rFonts w:hint="default" w:ascii="仿宋" w:hAnsi="仿宋" w:eastAsia="仿宋" w:cs="Times New Roman"/>
          <w:b/>
          <w:bCs/>
          <w:kern w:val="2"/>
          <w:sz w:val="32"/>
          <w:szCs w:val="24"/>
          <w:highlight w:val="none"/>
          <w:lang w:val="en-US" w:eastAsia="zh-CN" w:bidi="ar-SA"/>
        </w:rPr>
        <w:t>3分，实际评价得</w:t>
      </w:r>
      <w:r>
        <w:rPr>
          <w:rFonts w:hint="eastAsia" w:cs="Times New Roman"/>
          <w:b/>
          <w:bCs/>
          <w:kern w:val="2"/>
          <w:sz w:val="32"/>
          <w:szCs w:val="24"/>
          <w:highlight w:val="none"/>
          <w:lang w:val="en-US" w:eastAsia="zh-CN" w:bidi="ar-SA"/>
        </w:rPr>
        <w:t>2</w:t>
      </w:r>
      <w:r>
        <w:rPr>
          <w:rFonts w:hint="default" w:ascii="仿宋" w:hAnsi="仿宋" w:eastAsia="仿宋" w:cs="Times New Roman"/>
          <w:b/>
          <w:bCs/>
          <w:kern w:val="2"/>
          <w:sz w:val="32"/>
          <w:szCs w:val="24"/>
          <w:highlight w:val="none"/>
          <w:lang w:val="en-US" w:eastAsia="zh-CN" w:bidi="ar-SA"/>
        </w:rPr>
        <w:t>分）</w:t>
      </w:r>
    </w:p>
    <w:p w14:paraId="76DC56BB">
      <w:pPr>
        <w:numPr>
          <w:ilvl w:val="0"/>
          <w:numId w:val="0"/>
        </w:numPr>
        <w:bidi w:val="0"/>
        <w:ind w:firstLine="640"/>
        <w:jc w:val="both"/>
        <w:rPr>
          <w:rFonts w:hint="default" w:cs="Times New Roman"/>
          <w:kern w:val="2"/>
          <w:sz w:val="32"/>
          <w:szCs w:val="24"/>
          <w:highlight w:val="none"/>
          <w:lang w:val="en-US" w:eastAsia="zh-CN" w:bidi="ar-SA"/>
        </w:rPr>
      </w:pPr>
      <w:r>
        <w:rPr>
          <w:rFonts w:hint="eastAsia" w:cs="Times New Roman"/>
          <w:kern w:val="2"/>
          <w:sz w:val="32"/>
          <w:szCs w:val="24"/>
          <w:highlight w:val="none"/>
          <w:lang w:val="en-US" w:eastAsia="zh-CN" w:bidi="ar-SA"/>
        </w:rPr>
        <w:t>宝塔湖污水处理厂</w:t>
      </w:r>
      <w:r>
        <w:rPr>
          <w:rFonts w:hint="default" w:ascii="仿宋" w:hAnsi="仿宋" w:eastAsia="仿宋" w:cs="Times New Roman"/>
          <w:kern w:val="2"/>
          <w:sz w:val="32"/>
          <w:szCs w:val="24"/>
          <w:highlight w:val="none"/>
          <w:lang w:val="en-US" w:eastAsia="zh-CN" w:bidi="ar-SA"/>
        </w:rPr>
        <w:t>社会资本方北京首创股份有限公司</w:t>
      </w:r>
      <w:r>
        <w:rPr>
          <w:rFonts w:hint="eastAsia" w:cs="Times New Roman"/>
          <w:kern w:val="2"/>
          <w:sz w:val="32"/>
          <w:szCs w:val="24"/>
          <w:highlight w:val="none"/>
          <w:lang w:val="en-US" w:eastAsia="zh-CN" w:bidi="ar-SA"/>
        </w:rPr>
        <w:t>是</w:t>
      </w:r>
      <w:r>
        <w:rPr>
          <w:rFonts w:hint="default" w:ascii="仿宋" w:hAnsi="仿宋" w:eastAsia="仿宋" w:cs="Times New Roman"/>
          <w:kern w:val="2"/>
          <w:sz w:val="32"/>
          <w:szCs w:val="24"/>
          <w:highlight w:val="none"/>
          <w:lang w:val="en-US" w:eastAsia="zh-CN" w:bidi="ar-SA"/>
        </w:rPr>
        <w:t>国内环保产业的标杆</w:t>
      </w:r>
      <w:r>
        <w:rPr>
          <w:rFonts w:hint="eastAsia" w:cs="Times New Roman"/>
          <w:kern w:val="2"/>
          <w:sz w:val="32"/>
          <w:szCs w:val="24"/>
          <w:highlight w:val="none"/>
          <w:lang w:val="en-US" w:eastAsia="zh-CN" w:bidi="ar-SA"/>
        </w:rPr>
        <w:t>龙头</w:t>
      </w:r>
      <w:r>
        <w:rPr>
          <w:rFonts w:hint="default" w:ascii="仿宋" w:hAnsi="仿宋" w:eastAsia="仿宋" w:cs="Times New Roman"/>
          <w:kern w:val="2"/>
          <w:sz w:val="32"/>
          <w:szCs w:val="24"/>
          <w:highlight w:val="none"/>
          <w:lang w:val="en-US" w:eastAsia="zh-CN" w:bidi="ar-SA"/>
        </w:rPr>
        <w:t>企业</w:t>
      </w:r>
      <w:r>
        <w:rPr>
          <w:rFonts w:hint="eastAsia" w:cs="Times New Roman"/>
          <w:kern w:val="2"/>
          <w:sz w:val="32"/>
          <w:szCs w:val="24"/>
          <w:highlight w:val="none"/>
          <w:lang w:val="en-US" w:eastAsia="zh-CN" w:bidi="ar-SA"/>
        </w:rPr>
        <w:t>，技术实力突出，有着专业的运营管理团队，项目运行制定了详细的运营维护制度、安全保障制度和停水计划，并严格落实。但存在关键重要设备维护不到位、缺少记录的情况。</w:t>
      </w:r>
    </w:p>
    <w:p w14:paraId="1C04924F">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该类项目满分3分，评价得分</w:t>
      </w:r>
      <w:r>
        <w:rPr>
          <w:rFonts w:hint="eastAsia" w:cs="Times New Roman"/>
          <w:kern w:val="2"/>
          <w:sz w:val="32"/>
          <w:szCs w:val="24"/>
          <w:highlight w:val="none"/>
          <w:lang w:val="en-US" w:eastAsia="zh-CN" w:bidi="ar-SA"/>
        </w:rPr>
        <w:t>2</w:t>
      </w:r>
      <w:r>
        <w:rPr>
          <w:rFonts w:hint="default" w:ascii="仿宋" w:hAnsi="仿宋" w:eastAsia="仿宋" w:cs="Times New Roman"/>
          <w:kern w:val="2"/>
          <w:sz w:val="32"/>
          <w:szCs w:val="24"/>
          <w:highlight w:val="none"/>
          <w:lang w:val="en-US" w:eastAsia="zh-CN" w:bidi="ar-SA"/>
        </w:rPr>
        <w:t>分。</w:t>
      </w:r>
    </w:p>
    <w:p w14:paraId="0BE1E97C">
      <w:pPr>
        <w:numPr>
          <w:ilvl w:val="0"/>
          <w:numId w:val="0"/>
        </w:numPr>
        <w:bidi w:val="0"/>
        <w:ind w:left="0" w:leftChars="0" w:firstLine="640" w:firstLineChars="0"/>
        <w:jc w:val="both"/>
        <w:outlineLvl w:val="3"/>
        <w:rPr>
          <w:rFonts w:hint="default" w:ascii="仿宋" w:hAnsi="仿宋" w:eastAsia="仿宋" w:cs="Times New Roman"/>
          <w:b/>
          <w:bCs/>
          <w:kern w:val="2"/>
          <w:sz w:val="32"/>
          <w:szCs w:val="24"/>
          <w:highlight w:val="none"/>
          <w:lang w:val="en-US" w:eastAsia="zh-CN" w:bidi="ar-SA"/>
        </w:rPr>
      </w:pPr>
      <w:r>
        <w:rPr>
          <w:rFonts w:hint="default" w:ascii="仿宋" w:hAnsi="仿宋" w:eastAsia="仿宋" w:cs="Times New Roman"/>
          <w:b/>
          <w:bCs/>
          <w:kern w:val="2"/>
          <w:sz w:val="32"/>
          <w:szCs w:val="24"/>
          <w:highlight w:val="none"/>
          <w:lang w:val="en-US" w:eastAsia="zh-CN" w:bidi="ar-SA"/>
        </w:rPr>
        <w:t>（2）人力资源对项目可持续影响（</w:t>
      </w:r>
      <w:r>
        <w:rPr>
          <w:rFonts w:hint="eastAsia" w:cs="Times New Roman"/>
          <w:b/>
          <w:bCs/>
          <w:kern w:val="2"/>
          <w:sz w:val="32"/>
          <w:szCs w:val="24"/>
          <w:highlight w:val="none"/>
          <w:lang w:val="en-US" w:eastAsia="zh-CN" w:bidi="ar-SA"/>
        </w:rPr>
        <w:t>满分2</w:t>
      </w:r>
      <w:r>
        <w:rPr>
          <w:rFonts w:hint="default" w:ascii="仿宋" w:hAnsi="仿宋" w:eastAsia="仿宋" w:cs="Times New Roman"/>
          <w:b/>
          <w:bCs/>
          <w:kern w:val="2"/>
          <w:sz w:val="32"/>
          <w:szCs w:val="24"/>
          <w:highlight w:val="none"/>
          <w:lang w:val="en-US" w:eastAsia="zh-CN" w:bidi="ar-SA"/>
        </w:rPr>
        <w:t>分，实际评价得</w:t>
      </w:r>
      <w:r>
        <w:rPr>
          <w:rFonts w:hint="eastAsia" w:cs="Times New Roman"/>
          <w:b/>
          <w:bCs/>
          <w:kern w:val="2"/>
          <w:sz w:val="32"/>
          <w:szCs w:val="24"/>
          <w:highlight w:val="none"/>
          <w:lang w:val="en-US" w:eastAsia="zh-CN" w:bidi="ar-SA"/>
        </w:rPr>
        <w:t>2</w:t>
      </w:r>
      <w:r>
        <w:rPr>
          <w:rFonts w:hint="default" w:ascii="仿宋" w:hAnsi="仿宋" w:eastAsia="仿宋" w:cs="Times New Roman"/>
          <w:b/>
          <w:bCs/>
          <w:kern w:val="2"/>
          <w:sz w:val="32"/>
          <w:szCs w:val="24"/>
          <w:highlight w:val="none"/>
          <w:lang w:val="en-US" w:eastAsia="zh-CN" w:bidi="ar-SA"/>
        </w:rPr>
        <w:t>分）</w:t>
      </w:r>
    </w:p>
    <w:p w14:paraId="72D84A69">
      <w:pPr>
        <w:numPr>
          <w:ilvl w:val="0"/>
          <w:numId w:val="0"/>
        </w:numPr>
        <w:bidi w:val="0"/>
        <w:ind w:firstLine="640"/>
        <w:jc w:val="both"/>
        <w:rPr>
          <w:rFonts w:hint="default" w:cs="Times New Roman"/>
          <w:kern w:val="2"/>
          <w:sz w:val="32"/>
          <w:szCs w:val="24"/>
          <w:highlight w:val="none"/>
          <w:lang w:val="en-US" w:eastAsia="zh-CN" w:bidi="ar-SA"/>
        </w:rPr>
      </w:pPr>
      <w:r>
        <w:rPr>
          <w:rFonts w:hint="eastAsia" w:cs="Times New Roman"/>
          <w:kern w:val="2"/>
          <w:sz w:val="32"/>
          <w:szCs w:val="24"/>
          <w:highlight w:val="none"/>
          <w:lang w:val="en-US" w:eastAsia="zh-CN" w:bidi="ar-SA"/>
        </w:rPr>
        <w:t>首创水务公司</w:t>
      </w:r>
      <w:r>
        <w:rPr>
          <w:rFonts w:hint="default" w:ascii="仿宋" w:hAnsi="仿宋" w:eastAsia="仿宋" w:cs="Times New Roman"/>
          <w:kern w:val="2"/>
          <w:sz w:val="32"/>
          <w:szCs w:val="24"/>
          <w:highlight w:val="none"/>
          <w:lang w:val="en-US" w:eastAsia="zh-CN" w:bidi="ar-SA"/>
        </w:rPr>
        <w:t>对该项目有专业的人才培训和管理方式，定期对公司员工进行技术操作培训，每月进行安全生产培训，并开展应急演练。通过内部培训和外部引进相结合的方式，培养了一批专业技术人才和管理人才，为</w:t>
      </w:r>
      <w:r>
        <w:rPr>
          <w:rFonts w:hint="eastAsia" w:cs="Times New Roman"/>
          <w:kern w:val="2"/>
          <w:sz w:val="32"/>
          <w:szCs w:val="24"/>
          <w:highlight w:val="none"/>
          <w:lang w:val="en-US" w:eastAsia="zh-CN" w:bidi="ar-SA"/>
        </w:rPr>
        <w:t>污水处理厂</w:t>
      </w:r>
      <w:r>
        <w:rPr>
          <w:rFonts w:hint="default" w:ascii="仿宋" w:hAnsi="仿宋" w:eastAsia="仿宋" w:cs="Times New Roman"/>
          <w:kern w:val="2"/>
          <w:sz w:val="32"/>
          <w:szCs w:val="24"/>
          <w:highlight w:val="none"/>
          <w:lang w:val="en-US" w:eastAsia="zh-CN" w:bidi="ar-SA"/>
        </w:rPr>
        <w:t>的发展提供了人才保障。可以保证项目的人力资源保持可持续性。</w:t>
      </w:r>
    </w:p>
    <w:p w14:paraId="4963646F">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该类项目满分</w:t>
      </w:r>
      <w:r>
        <w:rPr>
          <w:rFonts w:hint="eastAsia" w:cs="Times New Roman"/>
          <w:kern w:val="2"/>
          <w:sz w:val="32"/>
          <w:szCs w:val="24"/>
          <w:highlight w:val="none"/>
          <w:lang w:val="en-US" w:eastAsia="zh-CN" w:bidi="ar-SA"/>
        </w:rPr>
        <w:t>2</w:t>
      </w:r>
      <w:r>
        <w:rPr>
          <w:rFonts w:hint="default" w:ascii="仿宋" w:hAnsi="仿宋" w:eastAsia="仿宋" w:cs="Times New Roman"/>
          <w:kern w:val="2"/>
          <w:sz w:val="32"/>
          <w:szCs w:val="24"/>
          <w:highlight w:val="none"/>
          <w:lang w:val="en-US" w:eastAsia="zh-CN" w:bidi="ar-SA"/>
        </w:rPr>
        <w:t>分，评价得分</w:t>
      </w:r>
      <w:r>
        <w:rPr>
          <w:rFonts w:hint="eastAsia" w:cs="Times New Roman"/>
          <w:kern w:val="2"/>
          <w:sz w:val="32"/>
          <w:szCs w:val="24"/>
          <w:highlight w:val="none"/>
          <w:lang w:val="en-US" w:eastAsia="zh-CN" w:bidi="ar-SA"/>
        </w:rPr>
        <w:t>2</w:t>
      </w:r>
      <w:r>
        <w:rPr>
          <w:rFonts w:hint="default" w:ascii="仿宋" w:hAnsi="仿宋" w:eastAsia="仿宋" w:cs="Times New Roman"/>
          <w:kern w:val="2"/>
          <w:sz w:val="32"/>
          <w:szCs w:val="24"/>
          <w:highlight w:val="none"/>
          <w:lang w:val="en-US" w:eastAsia="zh-CN" w:bidi="ar-SA"/>
        </w:rPr>
        <w:t>分。</w:t>
      </w:r>
    </w:p>
    <w:p w14:paraId="11AAC0C6">
      <w:pPr>
        <w:numPr>
          <w:ilvl w:val="0"/>
          <w:numId w:val="0"/>
        </w:numPr>
        <w:bidi w:val="0"/>
        <w:ind w:left="0" w:leftChars="0" w:firstLine="640" w:firstLineChars="0"/>
        <w:jc w:val="both"/>
        <w:outlineLvl w:val="3"/>
        <w:rPr>
          <w:rFonts w:hint="default" w:ascii="仿宋" w:hAnsi="仿宋" w:eastAsia="仿宋" w:cs="Times New Roman"/>
          <w:b/>
          <w:bCs/>
          <w:kern w:val="2"/>
          <w:sz w:val="32"/>
          <w:szCs w:val="24"/>
          <w:highlight w:val="none"/>
          <w:lang w:val="en-US" w:eastAsia="zh-CN" w:bidi="ar-SA"/>
        </w:rPr>
      </w:pPr>
      <w:r>
        <w:rPr>
          <w:rFonts w:hint="default" w:ascii="仿宋" w:hAnsi="仿宋" w:eastAsia="仿宋" w:cs="Times New Roman"/>
          <w:b/>
          <w:bCs/>
          <w:kern w:val="2"/>
          <w:sz w:val="32"/>
          <w:szCs w:val="24"/>
          <w:highlight w:val="none"/>
          <w:lang w:val="en-US" w:eastAsia="zh-CN" w:bidi="ar-SA"/>
        </w:rPr>
        <w:t>（3）硬件条件对项目发展作用（</w:t>
      </w:r>
      <w:r>
        <w:rPr>
          <w:rFonts w:hint="eastAsia" w:cs="Times New Roman"/>
          <w:b/>
          <w:bCs/>
          <w:kern w:val="2"/>
          <w:sz w:val="32"/>
          <w:szCs w:val="24"/>
          <w:highlight w:val="none"/>
          <w:lang w:val="en-US" w:eastAsia="zh-CN" w:bidi="ar-SA"/>
        </w:rPr>
        <w:t>满分2</w:t>
      </w:r>
      <w:r>
        <w:rPr>
          <w:rFonts w:hint="default" w:ascii="仿宋" w:hAnsi="仿宋" w:eastAsia="仿宋" w:cs="Times New Roman"/>
          <w:b/>
          <w:bCs/>
          <w:kern w:val="2"/>
          <w:sz w:val="32"/>
          <w:szCs w:val="24"/>
          <w:highlight w:val="none"/>
          <w:lang w:val="en-US" w:eastAsia="zh-CN" w:bidi="ar-SA"/>
        </w:rPr>
        <w:t>分，实际评价得1分）</w:t>
      </w:r>
    </w:p>
    <w:p w14:paraId="30B71D7D">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先进、高效且适配的</w:t>
      </w:r>
      <w:r>
        <w:rPr>
          <w:rFonts w:hint="eastAsia" w:cs="Times New Roman"/>
          <w:kern w:val="2"/>
          <w:sz w:val="32"/>
          <w:szCs w:val="24"/>
          <w:highlight w:val="none"/>
          <w:lang w:val="en-US" w:eastAsia="zh-CN" w:bidi="ar-SA"/>
        </w:rPr>
        <w:t>污水</w:t>
      </w:r>
      <w:r>
        <w:rPr>
          <w:rFonts w:hint="default" w:ascii="仿宋" w:hAnsi="仿宋" w:eastAsia="仿宋" w:cs="Times New Roman"/>
          <w:kern w:val="2"/>
          <w:sz w:val="32"/>
          <w:szCs w:val="24"/>
          <w:highlight w:val="none"/>
          <w:lang w:val="en-US" w:eastAsia="zh-CN" w:bidi="ar-SA"/>
        </w:rPr>
        <w:t>处理设施和设备，是保证</w:t>
      </w:r>
      <w:r>
        <w:rPr>
          <w:rFonts w:hint="eastAsia" w:cs="Times New Roman"/>
          <w:kern w:val="2"/>
          <w:sz w:val="32"/>
          <w:szCs w:val="24"/>
          <w:highlight w:val="none"/>
          <w:lang w:val="en-US" w:eastAsia="zh-CN" w:bidi="ar-SA"/>
        </w:rPr>
        <w:t>污水处理厂</w:t>
      </w:r>
      <w:r>
        <w:rPr>
          <w:rFonts w:hint="default" w:ascii="仿宋" w:hAnsi="仿宋" w:eastAsia="仿宋" w:cs="Times New Roman"/>
          <w:kern w:val="2"/>
          <w:sz w:val="32"/>
          <w:szCs w:val="24"/>
          <w:highlight w:val="none"/>
          <w:lang w:val="en-US" w:eastAsia="zh-CN" w:bidi="ar-SA"/>
        </w:rPr>
        <w:t>持续经营的核心硬件；</w:t>
      </w:r>
      <w:r>
        <w:rPr>
          <w:rFonts w:hint="eastAsia" w:cs="Times New Roman"/>
          <w:kern w:val="2"/>
          <w:sz w:val="32"/>
          <w:szCs w:val="24"/>
          <w:highlight w:val="none"/>
          <w:lang w:val="en-US" w:eastAsia="zh-CN" w:bidi="ar-SA"/>
        </w:rPr>
        <w:t>污水处理厂</w:t>
      </w:r>
      <w:r>
        <w:rPr>
          <w:rFonts w:hint="default" w:ascii="仿宋" w:hAnsi="仿宋" w:eastAsia="仿宋" w:cs="Times New Roman"/>
          <w:kern w:val="2"/>
          <w:sz w:val="32"/>
          <w:szCs w:val="24"/>
          <w:highlight w:val="none"/>
          <w:lang w:val="en-US" w:eastAsia="zh-CN" w:bidi="ar-SA"/>
        </w:rPr>
        <w:t>具备良好的道路网络和运输设备有助于</w:t>
      </w:r>
      <w:r>
        <w:rPr>
          <w:rFonts w:hint="eastAsia" w:cs="Times New Roman"/>
          <w:kern w:val="2"/>
          <w:sz w:val="32"/>
          <w:szCs w:val="24"/>
          <w:highlight w:val="none"/>
          <w:lang w:val="en-US" w:eastAsia="zh-CN" w:bidi="ar-SA"/>
        </w:rPr>
        <w:t>污泥</w:t>
      </w:r>
      <w:r>
        <w:rPr>
          <w:rFonts w:hint="default" w:ascii="仿宋" w:hAnsi="仿宋" w:eastAsia="仿宋" w:cs="Times New Roman"/>
          <w:kern w:val="2"/>
          <w:sz w:val="32"/>
          <w:szCs w:val="24"/>
          <w:highlight w:val="none"/>
          <w:lang w:val="en-US" w:eastAsia="zh-CN" w:bidi="ar-SA"/>
        </w:rPr>
        <w:t>的顺畅收集和运输，确保</w:t>
      </w:r>
      <w:r>
        <w:rPr>
          <w:rFonts w:hint="eastAsia" w:cs="Times New Roman"/>
          <w:kern w:val="2"/>
          <w:sz w:val="32"/>
          <w:szCs w:val="24"/>
          <w:highlight w:val="none"/>
          <w:lang w:val="en-US" w:eastAsia="zh-CN" w:bidi="ar-SA"/>
        </w:rPr>
        <w:t>污泥</w:t>
      </w:r>
      <w:r>
        <w:rPr>
          <w:rFonts w:hint="default" w:ascii="仿宋" w:hAnsi="仿宋" w:eastAsia="仿宋" w:cs="Times New Roman"/>
          <w:kern w:val="2"/>
          <w:sz w:val="32"/>
          <w:szCs w:val="24"/>
          <w:highlight w:val="none"/>
          <w:lang w:val="en-US" w:eastAsia="zh-CN" w:bidi="ar-SA"/>
        </w:rPr>
        <w:t>的快速</w:t>
      </w:r>
      <w:r>
        <w:rPr>
          <w:rFonts w:hint="eastAsia" w:cs="Times New Roman"/>
          <w:kern w:val="2"/>
          <w:sz w:val="32"/>
          <w:szCs w:val="24"/>
          <w:highlight w:val="none"/>
          <w:lang w:val="en-US" w:eastAsia="zh-CN" w:bidi="ar-SA"/>
        </w:rPr>
        <w:t>运输</w:t>
      </w:r>
      <w:r>
        <w:rPr>
          <w:rFonts w:hint="default" w:ascii="仿宋" w:hAnsi="仿宋" w:eastAsia="仿宋" w:cs="Times New Roman"/>
          <w:kern w:val="2"/>
          <w:sz w:val="32"/>
          <w:szCs w:val="24"/>
          <w:highlight w:val="none"/>
          <w:lang w:val="en-US" w:eastAsia="zh-CN" w:bidi="ar-SA"/>
        </w:rPr>
        <w:t>；项目建设有现代化的信息化系统和监控设备，可以实时掌握处理设备的运行状态、</w:t>
      </w:r>
      <w:r>
        <w:rPr>
          <w:rFonts w:hint="eastAsia" w:cs="Times New Roman"/>
          <w:kern w:val="2"/>
          <w:sz w:val="32"/>
          <w:szCs w:val="24"/>
          <w:highlight w:val="none"/>
          <w:lang w:val="en-US" w:eastAsia="zh-CN" w:bidi="ar-SA"/>
        </w:rPr>
        <w:t>水量</w:t>
      </w:r>
      <w:r>
        <w:rPr>
          <w:rFonts w:hint="default" w:ascii="仿宋" w:hAnsi="仿宋" w:eastAsia="仿宋" w:cs="Times New Roman"/>
          <w:kern w:val="2"/>
          <w:sz w:val="32"/>
          <w:szCs w:val="24"/>
          <w:highlight w:val="none"/>
          <w:lang w:val="en-US" w:eastAsia="zh-CN" w:bidi="ar-SA"/>
        </w:rPr>
        <w:t>和质量等信息，及时发现并解决问题，提高运营效率和安全性。</w:t>
      </w:r>
    </w:p>
    <w:p w14:paraId="6B2BF66A">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eastAsia" w:cs="Times New Roman"/>
          <w:kern w:val="2"/>
          <w:sz w:val="32"/>
          <w:szCs w:val="24"/>
          <w:highlight w:val="none"/>
          <w:lang w:val="en-US" w:eastAsia="zh-CN" w:bidi="ar-SA"/>
        </w:rPr>
        <w:t>但存在个别非核心设备维护不及时、节能措施不严格的问题</w:t>
      </w:r>
      <w:r>
        <w:rPr>
          <w:rFonts w:hint="default" w:ascii="仿宋" w:hAnsi="仿宋" w:eastAsia="仿宋" w:cs="Times New Roman"/>
          <w:kern w:val="2"/>
          <w:sz w:val="32"/>
          <w:szCs w:val="24"/>
          <w:highlight w:val="none"/>
          <w:lang w:val="en-US" w:eastAsia="zh-CN" w:bidi="ar-SA"/>
        </w:rPr>
        <w:t>，</w:t>
      </w:r>
      <w:r>
        <w:rPr>
          <w:rFonts w:hint="eastAsia" w:cs="Times New Roman"/>
          <w:kern w:val="2"/>
          <w:sz w:val="32"/>
          <w:szCs w:val="24"/>
          <w:highlight w:val="none"/>
          <w:lang w:val="en-US" w:eastAsia="zh-CN" w:bidi="ar-SA"/>
        </w:rPr>
        <w:t>一期</w:t>
      </w:r>
      <w:r>
        <w:rPr>
          <w:rFonts w:hint="default" w:ascii="仿宋" w:hAnsi="仿宋" w:eastAsia="仿宋" w:cs="Times New Roman"/>
          <w:kern w:val="2"/>
          <w:sz w:val="32"/>
          <w:szCs w:val="24"/>
          <w:highlight w:val="none"/>
          <w:lang w:val="en-US" w:eastAsia="zh-CN" w:bidi="ar-SA"/>
        </w:rPr>
        <w:t>沉淀池</w:t>
      </w:r>
      <w:r>
        <w:rPr>
          <w:rFonts w:hint="eastAsia" w:cs="Times New Roman"/>
          <w:kern w:val="2"/>
          <w:sz w:val="32"/>
          <w:szCs w:val="24"/>
          <w:highlight w:val="none"/>
          <w:lang w:val="en-US" w:eastAsia="zh-CN" w:bidi="ar-SA"/>
        </w:rPr>
        <w:t>改造</w:t>
      </w:r>
      <w:r>
        <w:rPr>
          <w:rFonts w:hint="default" w:ascii="仿宋" w:hAnsi="仿宋" w:eastAsia="仿宋" w:cs="Times New Roman"/>
          <w:kern w:val="2"/>
          <w:sz w:val="32"/>
          <w:szCs w:val="24"/>
          <w:highlight w:val="none"/>
          <w:lang w:val="en-US" w:eastAsia="zh-CN" w:bidi="ar-SA"/>
        </w:rPr>
        <w:t>不达</w:t>
      </w:r>
      <w:r>
        <w:rPr>
          <w:rFonts w:hint="eastAsia" w:cs="Times New Roman"/>
          <w:kern w:val="2"/>
          <w:sz w:val="32"/>
          <w:szCs w:val="24"/>
          <w:highlight w:val="none"/>
          <w:lang w:val="en-US" w:eastAsia="zh-CN" w:bidi="ar-SA"/>
        </w:rPr>
        <w:t>要求</w:t>
      </w:r>
      <w:r>
        <w:rPr>
          <w:rFonts w:hint="default" w:ascii="仿宋" w:hAnsi="仿宋" w:eastAsia="仿宋" w:cs="Times New Roman"/>
          <w:kern w:val="2"/>
          <w:sz w:val="32"/>
          <w:szCs w:val="24"/>
          <w:highlight w:val="none"/>
          <w:lang w:val="en-US" w:eastAsia="zh-CN" w:bidi="ar-SA"/>
        </w:rPr>
        <w:t>、</w:t>
      </w:r>
      <w:r>
        <w:rPr>
          <w:rFonts w:hint="eastAsia" w:cs="Times New Roman"/>
          <w:kern w:val="2"/>
          <w:sz w:val="32"/>
          <w:szCs w:val="24"/>
          <w:highlight w:val="none"/>
          <w:lang w:val="en-US" w:eastAsia="zh-CN" w:bidi="ar-SA"/>
        </w:rPr>
        <w:t>二期</w:t>
      </w:r>
      <w:r>
        <w:rPr>
          <w:rFonts w:hint="default" w:ascii="仿宋" w:hAnsi="仿宋" w:eastAsia="仿宋" w:cs="Times New Roman"/>
          <w:kern w:val="2"/>
          <w:sz w:val="32"/>
          <w:szCs w:val="24"/>
          <w:highlight w:val="none"/>
          <w:lang w:val="en-US" w:eastAsia="zh-CN" w:bidi="ar-SA"/>
        </w:rPr>
        <w:t>生化池存在工艺缺陷影响设备项目后期的功能。</w:t>
      </w:r>
    </w:p>
    <w:p w14:paraId="252CE9B3">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该类项目满分</w:t>
      </w:r>
      <w:r>
        <w:rPr>
          <w:rFonts w:hint="eastAsia" w:cs="Times New Roman"/>
          <w:kern w:val="2"/>
          <w:sz w:val="32"/>
          <w:szCs w:val="24"/>
          <w:highlight w:val="none"/>
          <w:lang w:val="en-US" w:eastAsia="zh-CN" w:bidi="ar-SA"/>
        </w:rPr>
        <w:t>2</w:t>
      </w:r>
      <w:r>
        <w:rPr>
          <w:rFonts w:hint="default" w:ascii="仿宋" w:hAnsi="仿宋" w:eastAsia="仿宋" w:cs="Times New Roman"/>
          <w:kern w:val="2"/>
          <w:sz w:val="32"/>
          <w:szCs w:val="24"/>
          <w:highlight w:val="none"/>
          <w:lang w:val="en-US" w:eastAsia="zh-CN" w:bidi="ar-SA"/>
        </w:rPr>
        <w:t>分，评价得分1分。</w:t>
      </w:r>
    </w:p>
    <w:p w14:paraId="37E263CA">
      <w:pPr>
        <w:numPr>
          <w:ilvl w:val="0"/>
          <w:numId w:val="0"/>
        </w:numPr>
        <w:bidi w:val="0"/>
        <w:ind w:left="0" w:leftChars="0" w:firstLine="640" w:firstLineChars="0"/>
        <w:jc w:val="both"/>
        <w:outlineLvl w:val="2"/>
        <w:rPr>
          <w:rFonts w:hint="default" w:ascii="仿宋" w:hAnsi="仿宋" w:eastAsia="仿宋" w:cs="Times New Roman"/>
          <w:b/>
          <w:bCs/>
          <w:kern w:val="2"/>
          <w:sz w:val="32"/>
          <w:szCs w:val="24"/>
          <w:highlight w:val="none"/>
          <w:lang w:val="en-US" w:eastAsia="zh-CN" w:bidi="ar-SA"/>
        </w:rPr>
      </w:pPr>
      <w:bookmarkStart w:id="76" w:name="_Toc6389"/>
      <w:r>
        <w:rPr>
          <w:rFonts w:hint="eastAsia" w:cs="Times New Roman"/>
          <w:b/>
          <w:bCs/>
          <w:kern w:val="2"/>
          <w:sz w:val="32"/>
          <w:szCs w:val="24"/>
          <w:highlight w:val="none"/>
          <w:lang w:val="en-US" w:eastAsia="zh-CN" w:bidi="ar-SA"/>
        </w:rPr>
        <w:t>2.</w:t>
      </w:r>
      <w:r>
        <w:rPr>
          <w:rFonts w:hint="default" w:ascii="仿宋" w:hAnsi="仿宋" w:eastAsia="仿宋" w:cs="Times New Roman"/>
          <w:b/>
          <w:bCs/>
          <w:kern w:val="2"/>
          <w:sz w:val="32"/>
          <w:szCs w:val="24"/>
          <w:highlight w:val="none"/>
          <w:lang w:val="en-US" w:eastAsia="zh-CN" w:bidi="ar-SA"/>
        </w:rPr>
        <w:t>受益群众满意度（</w:t>
      </w:r>
      <w:r>
        <w:rPr>
          <w:rFonts w:hint="eastAsia" w:cs="Times New Roman"/>
          <w:b/>
          <w:bCs/>
          <w:kern w:val="2"/>
          <w:sz w:val="32"/>
          <w:szCs w:val="24"/>
          <w:highlight w:val="none"/>
          <w:lang w:val="en-US" w:eastAsia="zh-CN" w:bidi="ar-SA"/>
        </w:rPr>
        <w:t>满分4</w:t>
      </w:r>
      <w:r>
        <w:rPr>
          <w:rFonts w:hint="default" w:ascii="仿宋" w:hAnsi="仿宋" w:eastAsia="仿宋" w:cs="Times New Roman"/>
          <w:b/>
          <w:bCs/>
          <w:kern w:val="2"/>
          <w:sz w:val="32"/>
          <w:szCs w:val="24"/>
          <w:highlight w:val="none"/>
          <w:lang w:val="en-US" w:eastAsia="zh-CN" w:bidi="ar-SA"/>
        </w:rPr>
        <w:t>分，实际评价得</w:t>
      </w:r>
      <w:r>
        <w:rPr>
          <w:rFonts w:hint="eastAsia" w:cs="Times New Roman"/>
          <w:b/>
          <w:bCs/>
          <w:kern w:val="2"/>
          <w:sz w:val="32"/>
          <w:szCs w:val="24"/>
          <w:highlight w:val="none"/>
          <w:lang w:val="en-US" w:eastAsia="zh-CN" w:bidi="ar-SA"/>
        </w:rPr>
        <w:t>4</w:t>
      </w:r>
      <w:r>
        <w:rPr>
          <w:rFonts w:hint="default" w:ascii="仿宋" w:hAnsi="仿宋" w:eastAsia="仿宋" w:cs="Times New Roman"/>
          <w:b/>
          <w:bCs/>
          <w:kern w:val="2"/>
          <w:sz w:val="32"/>
          <w:szCs w:val="24"/>
          <w:highlight w:val="none"/>
          <w:lang w:val="en-US" w:eastAsia="zh-CN" w:bidi="ar-SA"/>
        </w:rPr>
        <w:t>分）</w:t>
      </w:r>
      <w:bookmarkEnd w:id="76"/>
    </w:p>
    <w:p w14:paraId="690A7EDB">
      <w:pPr>
        <w:numPr>
          <w:ilvl w:val="0"/>
          <w:numId w:val="0"/>
        </w:numPr>
        <w:bidi w:val="0"/>
        <w:ind w:firstLine="640"/>
        <w:jc w:val="both"/>
        <w:rPr>
          <w:rFonts w:hint="default" w:ascii="仿宋" w:hAnsi="仿宋" w:eastAsia="仿宋" w:cs="Times New Roman"/>
          <w:kern w:val="2"/>
          <w:sz w:val="32"/>
          <w:szCs w:val="24"/>
          <w:highlight w:val="none"/>
          <w:lang w:val="en-US" w:eastAsia="zh-CN" w:bidi="ar-SA"/>
        </w:rPr>
      </w:pPr>
      <w:r>
        <w:rPr>
          <w:rFonts w:hint="default" w:ascii="仿宋" w:hAnsi="仿宋" w:eastAsia="仿宋" w:cs="Times New Roman"/>
          <w:kern w:val="2"/>
          <w:sz w:val="32"/>
          <w:szCs w:val="24"/>
          <w:highlight w:val="none"/>
          <w:lang w:val="en-US" w:eastAsia="zh-CN" w:bidi="ar-SA"/>
        </w:rPr>
        <w:t xml:space="preserve"> 为全面了解阳新县</w:t>
      </w:r>
      <w:r>
        <w:rPr>
          <w:rFonts w:hint="eastAsia" w:cs="Times New Roman"/>
          <w:kern w:val="2"/>
          <w:sz w:val="32"/>
          <w:szCs w:val="24"/>
          <w:highlight w:val="none"/>
          <w:lang w:val="en-US" w:eastAsia="zh-CN" w:bidi="ar-SA"/>
        </w:rPr>
        <w:t>宝塔湖污水处理厂扩建及提标升级工程</w:t>
      </w:r>
      <w:r>
        <w:rPr>
          <w:rFonts w:hint="default" w:ascii="仿宋" w:hAnsi="仿宋" w:eastAsia="仿宋" w:cs="Times New Roman"/>
          <w:kern w:val="2"/>
          <w:sz w:val="32"/>
          <w:szCs w:val="24"/>
          <w:highlight w:val="none"/>
          <w:lang w:val="en-US" w:eastAsia="zh-CN" w:bidi="ar-SA"/>
        </w:rPr>
        <w:t>项目对当地服务对象的满意度调查，评价组对现场工作人员和周边群众发放调查总卷</w:t>
      </w:r>
      <w:r>
        <w:rPr>
          <w:rFonts w:hint="eastAsia" w:cs="Times New Roman"/>
          <w:kern w:val="2"/>
          <w:sz w:val="32"/>
          <w:szCs w:val="24"/>
          <w:highlight w:val="none"/>
          <w:lang w:val="en-US" w:eastAsia="zh-CN" w:bidi="ar-SA"/>
        </w:rPr>
        <w:t>30</w:t>
      </w:r>
      <w:r>
        <w:rPr>
          <w:rFonts w:hint="default" w:ascii="仿宋" w:hAnsi="仿宋" w:eastAsia="仿宋" w:cs="Times New Roman"/>
          <w:kern w:val="2"/>
          <w:sz w:val="32"/>
          <w:szCs w:val="24"/>
          <w:highlight w:val="none"/>
          <w:lang w:val="en-US" w:eastAsia="zh-CN" w:bidi="ar-SA"/>
        </w:rPr>
        <w:t>份，</w:t>
      </w:r>
      <w:r>
        <w:rPr>
          <w:rFonts w:hint="eastAsia" w:cs="Times New Roman"/>
          <w:kern w:val="2"/>
          <w:sz w:val="32"/>
          <w:szCs w:val="24"/>
          <w:highlight w:val="none"/>
          <w:lang w:val="en-US" w:eastAsia="zh-CN" w:bidi="ar-SA"/>
        </w:rPr>
        <w:t>收回30份，满意度100%</w:t>
      </w:r>
      <w:r>
        <w:rPr>
          <w:rFonts w:hint="default" w:ascii="仿宋" w:hAnsi="仿宋" w:eastAsia="仿宋" w:cs="Times New Roman"/>
          <w:kern w:val="2"/>
          <w:sz w:val="32"/>
          <w:szCs w:val="24"/>
          <w:highlight w:val="none"/>
          <w:lang w:val="en-US" w:eastAsia="zh-CN" w:bidi="ar-SA"/>
        </w:rPr>
        <w:t>。</w:t>
      </w:r>
    </w:p>
    <w:p w14:paraId="463EACB3">
      <w:pPr>
        <w:tabs>
          <w:tab w:val="left" w:pos="1026"/>
        </w:tabs>
        <w:bidi w:val="0"/>
        <w:ind w:firstLine="640" w:firstLineChars="200"/>
        <w:jc w:val="left"/>
        <w:rPr>
          <w:rFonts w:hint="eastAsia" w:cs="Times New Roman"/>
          <w:kern w:val="2"/>
          <w:sz w:val="32"/>
          <w:szCs w:val="24"/>
          <w:lang w:val="en-US" w:eastAsia="zh-CN" w:bidi="ar-SA"/>
        </w:rPr>
      </w:pPr>
      <w:r>
        <w:rPr>
          <w:rFonts w:hint="eastAsia" w:cs="Times New Roman"/>
          <w:kern w:val="2"/>
          <w:sz w:val="32"/>
          <w:szCs w:val="24"/>
          <w:lang w:val="en-US" w:eastAsia="zh-CN" w:bidi="ar-SA"/>
        </w:rPr>
        <w:t>该类项目满分4分，评价得分4分。</w:t>
      </w:r>
    </w:p>
    <w:p w14:paraId="5F9275CC">
      <w:pPr>
        <w:tabs>
          <w:tab w:val="left" w:pos="1026"/>
        </w:tabs>
        <w:bidi w:val="0"/>
        <w:jc w:val="left"/>
        <w:outlineLvl w:val="0"/>
        <w:rPr>
          <w:rFonts w:hint="default" w:cs="Times New Roman"/>
          <w:kern w:val="2"/>
          <w:sz w:val="32"/>
          <w:szCs w:val="24"/>
          <w:lang w:val="en-US" w:eastAsia="zh-CN" w:bidi="ar-SA"/>
        </w:rPr>
      </w:pPr>
      <w:bookmarkStart w:id="77" w:name="_Toc25302"/>
      <w:r>
        <w:rPr>
          <w:rFonts w:hint="eastAsia" w:ascii="黑体" w:hAnsi="黑体" w:eastAsia="黑体" w:cs="黑体"/>
          <w:kern w:val="2"/>
          <w:sz w:val="32"/>
          <w:szCs w:val="24"/>
          <w:lang w:val="en-US" w:eastAsia="zh-CN" w:bidi="ar-SA"/>
        </w:rPr>
        <w:t>七、其他</w:t>
      </w:r>
      <w:bookmarkEnd w:id="77"/>
      <w:r>
        <w:rPr>
          <w:rFonts w:hint="eastAsia" w:ascii="黑体" w:hAnsi="黑体" w:eastAsia="黑体" w:cs="黑体"/>
          <w:kern w:val="2"/>
          <w:sz w:val="32"/>
          <w:szCs w:val="24"/>
          <w:lang w:val="en-US" w:eastAsia="zh-CN" w:bidi="ar-SA"/>
        </w:rPr>
        <w:t xml:space="preserve">  </w:t>
      </w:r>
      <w:r>
        <w:rPr>
          <w:rFonts w:hint="default" w:cs="Times New Roman"/>
          <w:kern w:val="2"/>
          <w:sz w:val="32"/>
          <w:szCs w:val="24"/>
          <w:lang w:val="en-US" w:eastAsia="zh-CN" w:bidi="ar-SA"/>
        </w:rPr>
        <w:t xml:space="preserve">   </w:t>
      </w:r>
    </w:p>
    <w:p w14:paraId="7A5E07C2">
      <w:pPr>
        <w:tabs>
          <w:tab w:val="left" w:pos="1026"/>
        </w:tabs>
        <w:bidi w:val="0"/>
        <w:ind w:firstLine="640" w:firstLineChars="200"/>
        <w:jc w:val="left"/>
        <w:rPr>
          <w:rFonts w:hint="default" w:cs="Times New Roman"/>
          <w:kern w:val="2"/>
          <w:sz w:val="32"/>
          <w:szCs w:val="24"/>
          <w:lang w:val="en-US" w:eastAsia="zh-CN" w:bidi="ar-SA"/>
        </w:rPr>
      </w:pPr>
      <w:r>
        <w:rPr>
          <w:rFonts w:hint="default" w:cs="Times New Roman"/>
          <w:kern w:val="2"/>
          <w:sz w:val="32"/>
          <w:szCs w:val="24"/>
          <w:lang w:val="en-US" w:eastAsia="zh-CN" w:bidi="ar-SA"/>
        </w:rPr>
        <w:t>本报告专为委托方为本报告所列明的目的以及报送有关部门服务，绩效评价报告书的使用权归委托方所有，除依据法律规定需要公开的情形外，报告的全部或部分内容不得见诸于媒体。</w:t>
      </w:r>
    </w:p>
    <w:p w14:paraId="5E394392">
      <w:pPr>
        <w:tabs>
          <w:tab w:val="left" w:pos="1026"/>
        </w:tabs>
        <w:bidi w:val="0"/>
        <w:ind w:firstLine="640" w:firstLineChars="200"/>
        <w:jc w:val="left"/>
        <w:rPr>
          <w:rFonts w:hint="default" w:cs="Times New Roman"/>
          <w:kern w:val="2"/>
          <w:sz w:val="32"/>
          <w:szCs w:val="24"/>
          <w:lang w:val="en-US" w:eastAsia="zh-CN" w:bidi="ar-SA"/>
        </w:rPr>
      </w:pPr>
    </w:p>
    <w:p w14:paraId="1F720AD5">
      <w:pPr>
        <w:tabs>
          <w:tab w:val="left" w:pos="1026"/>
        </w:tabs>
        <w:bidi w:val="0"/>
        <w:ind w:firstLine="640" w:firstLineChars="200"/>
        <w:jc w:val="left"/>
        <w:rPr>
          <w:rFonts w:hint="default" w:cs="Times New Roman"/>
          <w:kern w:val="2"/>
          <w:sz w:val="32"/>
          <w:szCs w:val="24"/>
          <w:lang w:val="en-US" w:eastAsia="zh-CN" w:bidi="ar-SA"/>
        </w:rPr>
      </w:pPr>
      <w:r>
        <w:rPr>
          <w:rFonts w:hint="default" w:cs="Times New Roman"/>
          <w:kern w:val="2"/>
          <w:sz w:val="32"/>
          <w:szCs w:val="24"/>
          <w:lang w:val="en-US" w:eastAsia="zh-CN" w:bidi="ar-SA"/>
        </w:rPr>
        <w:t xml:space="preserve">组长：                     </w:t>
      </w:r>
    </w:p>
    <w:p w14:paraId="379282CB">
      <w:pPr>
        <w:tabs>
          <w:tab w:val="left" w:pos="1026"/>
        </w:tabs>
        <w:bidi w:val="0"/>
        <w:jc w:val="left"/>
        <w:rPr>
          <w:rFonts w:hint="default" w:cs="Times New Roman"/>
          <w:kern w:val="2"/>
          <w:sz w:val="32"/>
          <w:szCs w:val="24"/>
          <w:lang w:val="en-US" w:eastAsia="zh-CN" w:bidi="ar-SA"/>
        </w:rPr>
      </w:pPr>
    </w:p>
    <w:p w14:paraId="39B0E394">
      <w:pPr>
        <w:tabs>
          <w:tab w:val="left" w:pos="1026"/>
        </w:tabs>
        <w:bidi w:val="0"/>
        <w:ind w:firstLine="640" w:firstLineChars="200"/>
        <w:jc w:val="left"/>
        <w:rPr>
          <w:rFonts w:hint="default" w:cs="Times New Roman"/>
          <w:kern w:val="2"/>
          <w:sz w:val="32"/>
          <w:szCs w:val="24"/>
          <w:lang w:val="en-US" w:eastAsia="zh-CN" w:bidi="ar-SA"/>
        </w:rPr>
      </w:pPr>
      <w:r>
        <w:rPr>
          <w:rFonts w:hint="default" w:cs="Times New Roman"/>
          <w:kern w:val="2"/>
          <w:sz w:val="32"/>
          <w:szCs w:val="24"/>
          <w:lang w:val="en-US" w:eastAsia="zh-CN" w:bidi="ar-SA"/>
        </w:rPr>
        <w:t>成员：</w:t>
      </w:r>
    </w:p>
    <w:p w14:paraId="63696404">
      <w:pPr>
        <w:tabs>
          <w:tab w:val="left" w:pos="1026"/>
        </w:tabs>
        <w:bidi w:val="0"/>
        <w:ind w:firstLine="640" w:firstLineChars="200"/>
        <w:jc w:val="left"/>
        <w:rPr>
          <w:rFonts w:hint="default" w:cs="Times New Roman"/>
          <w:kern w:val="2"/>
          <w:sz w:val="32"/>
          <w:szCs w:val="24"/>
          <w:lang w:val="en-US" w:eastAsia="zh-CN" w:bidi="ar-SA"/>
        </w:rPr>
        <w:sectPr>
          <w:footerReference r:id="rId5" w:type="default"/>
          <w:pgSz w:w="11906" w:h="16838"/>
          <w:pgMar w:top="1440" w:right="1800" w:bottom="1440" w:left="1800" w:header="851" w:footer="992" w:gutter="0"/>
          <w:pgNumType w:start="1"/>
          <w:cols w:space="425" w:num="1"/>
          <w:docGrid w:type="lines" w:linePitch="312" w:charSpace="0"/>
        </w:sectPr>
      </w:pPr>
    </w:p>
    <w:tbl>
      <w:tblPr>
        <w:tblStyle w:val="1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5"/>
        <w:gridCol w:w="513"/>
        <w:gridCol w:w="538"/>
        <w:gridCol w:w="1208"/>
        <w:gridCol w:w="615"/>
        <w:gridCol w:w="2970"/>
        <w:gridCol w:w="690"/>
        <w:gridCol w:w="690"/>
        <w:gridCol w:w="645"/>
        <w:gridCol w:w="795"/>
        <w:gridCol w:w="4912"/>
      </w:tblGrid>
      <w:tr w14:paraId="59B11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408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7919A8D7">
            <w:pPr>
              <w:keepNext w:val="0"/>
              <w:keepLines w:val="0"/>
              <w:widowControl/>
              <w:suppressLineNumbers w:val="0"/>
              <w:jc w:val="center"/>
              <w:textAlignment w:val="center"/>
              <w:rPr>
                <w:rFonts w:ascii="方正大标宋_GBK" w:hAnsi="方正大标宋_GBK" w:eastAsia="方正大标宋_GBK" w:cs="方正大标宋_GBK"/>
                <w:i w:val="0"/>
                <w:iCs w:val="0"/>
                <w:color w:val="000000"/>
                <w:sz w:val="44"/>
                <w:szCs w:val="44"/>
                <w:u w:val="none"/>
              </w:rPr>
            </w:pPr>
            <w:r>
              <w:rPr>
                <w:rFonts w:hint="eastAsia" w:ascii="方正大标宋_GBK" w:hAnsi="方正大标宋_GBK" w:eastAsia="方正大标宋_GBK" w:cs="方正大标宋_GBK"/>
                <w:i w:val="0"/>
                <w:iCs w:val="0"/>
                <w:color w:val="000000"/>
                <w:kern w:val="0"/>
                <w:sz w:val="44"/>
                <w:szCs w:val="44"/>
                <w:u w:val="none"/>
                <w:lang w:val="en-US" w:eastAsia="zh-CN" w:bidi="ar"/>
              </w:rPr>
              <w:t>阳新县宝塔湖污水处理厂扩建及提标升级工程绩效评价指标体系</w:t>
            </w:r>
          </w:p>
        </w:tc>
      </w:tr>
      <w:tr w14:paraId="6909A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799C">
            <w:pPr>
              <w:keepNext w:val="0"/>
              <w:keepLines w:val="0"/>
              <w:widowControl/>
              <w:suppressLineNumbers w:val="0"/>
              <w:jc w:val="center"/>
              <w:textAlignment w:val="center"/>
              <w:rPr>
                <w:rFonts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一级指标</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85FCA">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二级指标</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1BAF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得分</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81D7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三级指标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1466D">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指标分</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FBA25">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指标评审要求</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69FA2">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计划</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8320E">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实际</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1122B">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比率</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414BC">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实得分</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1618">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部分完成或未完成原因和改进措施</w:t>
            </w:r>
          </w:p>
        </w:tc>
      </w:tr>
      <w:tr w14:paraId="36A67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F967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项目决策15分</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3004FE">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决策过程</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5DF39B">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4</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3A8B76">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项目决策依据</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C89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7FC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符合社会经济及政府发展规划</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8CB9">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9AF40">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B4814">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43A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2E7AB">
            <w:pPr>
              <w:jc w:val="center"/>
              <w:rPr>
                <w:rFonts w:hint="eastAsia" w:ascii="仿宋" w:hAnsi="仿宋" w:eastAsia="仿宋" w:cs="仿宋"/>
                <w:i w:val="0"/>
                <w:iCs w:val="0"/>
                <w:color w:val="000000"/>
                <w:sz w:val="21"/>
                <w:szCs w:val="21"/>
                <w:u w:val="none"/>
              </w:rPr>
            </w:pPr>
          </w:p>
        </w:tc>
      </w:tr>
      <w:tr w14:paraId="51C13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6AFFD">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E9703">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8B78DD">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9D95DC">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8F65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911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符合部门年度工作计划</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79F7E">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7572B">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01FF3">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0BA4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3891B">
            <w:pPr>
              <w:jc w:val="center"/>
              <w:rPr>
                <w:rFonts w:hint="eastAsia" w:ascii="仿宋" w:hAnsi="仿宋" w:eastAsia="仿宋" w:cs="仿宋"/>
                <w:i w:val="0"/>
                <w:iCs w:val="0"/>
                <w:color w:val="000000"/>
                <w:sz w:val="21"/>
                <w:szCs w:val="21"/>
                <w:u w:val="none"/>
              </w:rPr>
            </w:pPr>
          </w:p>
        </w:tc>
      </w:tr>
      <w:tr w14:paraId="1297E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FC49B6">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943646">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4162C">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5B821">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930D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26F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针对某一实际问题和需求</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0E499">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CAEFE">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2B33E">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2A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13BF9">
            <w:pPr>
              <w:jc w:val="center"/>
              <w:rPr>
                <w:rFonts w:hint="eastAsia" w:ascii="仿宋" w:hAnsi="仿宋" w:eastAsia="仿宋" w:cs="仿宋"/>
                <w:i w:val="0"/>
                <w:iCs w:val="0"/>
                <w:color w:val="000000"/>
                <w:sz w:val="21"/>
                <w:szCs w:val="21"/>
                <w:u w:val="none"/>
              </w:rPr>
            </w:pPr>
          </w:p>
        </w:tc>
      </w:tr>
      <w:tr w14:paraId="7739A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209C0">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8BFF3">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A7515E">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0CEC1">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1EE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998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制定中长期实施规划</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E1B6">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64A1D">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5FF96">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A81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0F4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项目可研规划与实际运行数据相差偏大</w:t>
            </w:r>
          </w:p>
        </w:tc>
      </w:tr>
      <w:tr w14:paraId="19383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4A9CF">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1F51F">
            <w:pPr>
              <w:jc w:val="center"/>
              <w:rPr>
                <w:rFonts w:hint="eastAsia" w:ascii="仿宋" w:hAnsi="仿宋" w:eastAsia="仿宋" w:cs="仿宋"/>
                <w:i w:val="0"/>
                <w:iCs w:val="0"/>
                <w:color w:val="333333"/>
                <w:sz w:val="21"/>
                <w:szCs w:val="21"/>
                <w:u w:val="none"/>
              </w:rPr>
            </w:pP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172D10">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3</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4B7B51">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决策程序</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10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1C9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项目符合申报条件</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6D354">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98D73">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B4D4">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C1B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741DB">
            <w:pPr>
              <w:jc w:val="center"/>
              <w:rPr>
                <w:rFonts w:hint="eastAsia" w:ascii="仿宋" w:hAnsi="仿宋" w:eastAsia="仿宋" w:cs="仿宋"/>
                <w:i w:val="0"/>
                <w:iCs w:val="0"/>
                <w:color w:val="000000"/>
                <w:sz w:val="21"/>
                <w:szCs w:val="21"/>
                <w:u w:val="none"/>
              </w:rPr>
            </w:pPr>
          </w:p>
        </w:tc>
      </w:tr>
      <w:tr w14:paraId="48181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6B7338">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88A00">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8FAA3">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AFACF1">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ED1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1B6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申报、批复程序符合相关管理方法</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CCA99">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37FF">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0F6D3">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0DE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73CC1">
            <w:pPr>
              <w:jc w:val="center"/>
              <w:rPr>
                <w:rFonts w:hint="eastAsia" w:ascii="仿宋" w:hAnsi="仿宋" w:eastAsia="仿宋" w:cs="仿宋"/>
                <w:i w:val="0"/>
                <w:iCs w:val="0"/>
                <w:color w:val="000000"/>
                <w:sz w:val="21"/>
                <w:szCs w:val="21"/>
                <w:u w:val="none"/>
              </w:rPr>
            </w:pPr>
          </w:p>
        </w:tc>
      </w:tr>
      <w:tr w14:paraId="0E1E8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8EE1B">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2FA89">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E73CE">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8B34B">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3C5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D5C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项目调整履行了相应手续</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6002A">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BC843">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CFCA4">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9BD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240AB">
            <w:pPr>
              <w:jc w:val="center"/>
              <w:rPr>
                <w:rFonts w:hint="eastAsia" w:ascii="仿宋" w:hAnsi="仿宋" w:eastAsia="仿宋" w:cs="仿宋"/>
                <w:i w:val="0"/>
                <w:iCs w:val="0"/>
                <w:color w:val="000000"/>
                <w:sz w:val="21"/>
                <w:szCs w:val="21"/>
                <w:u w:val="none"/>
              </w:rPr>
            </w:pPr>
          </w:p>
        </w:tc>
      </w:tr>
      <w:tr w14:paraId="2D5A6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7A6AC">
            <w:pPr>
              <w:jc w:val="center"/>
              <w:rPr>
                <w:rFonts w:hint="eastAsia" w:ascii="仿宋" w:hAnsi="仿宋" w:eastAsia="仿宋" w:cs="仿宋"/>
                <w:i w:val="0"/>
                <w:iCs w:val="0"/>
                <w:color w:val="000000"/>
                <w:sz w:val="21"/>
                <w:szCs w:val="21"/>
                <w:u w:val="none"/>
              </w:rPr>
            </w:pP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276F2">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项目目标</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E5406A">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4</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116CA6">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目标内容</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B5E2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1F3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设立绩效目标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383F8">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61A4">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0F084">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7A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2105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可研报告目标量与实际相差近一半，导致污水处理负荷率偏低</w:t>
            </w:r>
          </w:p>
        </w:tc>
      </w:tr>
      <w:tr w14:paraId="4F5D6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D431E">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3430B6">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84A78">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1CD8B">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083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42F5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目标明确</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929FD">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D44AF">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F503">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8E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5F2B7C">
            <w:pPr>
              <w:jc w:val="center"/>
              <w:rPr>
                <w:rFonts w:hint="eastAsia" w:ascii="仿宋" w:hAnsi="仿宋" w:eastAsia="仿宋" w:cs="仿宋"/>
                <w:i w:val="0"/>
                <w:iCs w:val="0"/>
                <w:color w:val="000000"/>
                <w:sz w:val="21"/>
                <w:szCs w:val="21"/>
                <w:u w:val="none"/>
              </w:rPr>
            </w:pPr>
          </w:p>
        </w:tc>
      </w:tr>
      <w:tr w14:paraId="73ABF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88B6B">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13EF4">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503B4">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34237">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8A3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43F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目标细化</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BF941">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B80C0">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ECCD9">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12E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4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B0954">
            <w:pPr>
              <w:jc w:val="center"/>
              <w:rPr>
                <w:rFonts w:hint="eastAsia" w:ascii="仿宋" w:hAnsi="仿宋" w:eastAsia="仿宋" w:cs="仿宋"/>
                <w:i w:val="0"/>
                <w:iCs w:val="0"/>
                <w:color w:val="000000"/>
                <w:sz w:val="21"/>
                <w:szCs w:val="21"/>
                <w:u w:val="none"/>
              </w:rPr>
            </w:pPr>
          </w:p>
        </w:tc>
      </w:tr>
      <w:tr w14:paraId="0C936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DC2E5">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78E15">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BD3D25">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08DB1A">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635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9CF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目标量化</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D00BC">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6216B">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F6F9B">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093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49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78930">
            <w:pPr>
              <w:jc w:val="center"/>
              <w:rPr>
                <w:rFonts w:hint="eastAsia" w:ascii="仿宋" w:hAnsi="仿宋" w:eastAsia="仿宋" w:cs="仿宋"/>
                <w:i w:val="0"/>
                <w:iCs w:val="0"/>
                <w:color w:val="000000"/>
                <w:sz w:val="21"/>
                <w:szCs w:val="21"/>
                <w:u w:val="none"/>
              </w:rPr>
            </w:pPr>
          </w:p>
        </w:tc>
      </w:tr>
      <w:tr w14:paraId="3BC94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AC9DA">
            <w:pPr>
              <w:jc w:val="center"/>
              <w:rPr>
                <w:rFonts w:hint="eastAsia" w:ascii="仿宋" w:hAnsi="仿宋" w:eastAsia="仿宋" w:cs="仿宋"/>
                <w:i w:val="0"/>
                <w:iCs w:val="0"/>
                <w:color w:val="000000"/>
                <w:sz w:val="21"/>
                <w:szCs w:val="21"/>
                <w:u w:val="none"/>
              </w:rPr>
            </w:pP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EB34B4">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资金分配</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641392">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2</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6FCC35">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分配办法</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A35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60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有相应的资金管理办法</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A38B">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BB4EC">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798E1">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C0B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08FC">
            <w:pPr>
              <w:jc w:val="center"/>
              <w:rPr>
                <w:rFonts w:hint="eastAsia" w:ascii="仿宋" w:hAnsi="仿宋" w:eastAsia="仿宋" w:cs="仿宋"/>
                <w:i w:val="0"/>
                <w:iCs w:val="0"/>
                <w:color w:val="000000"/>
                <w:sz w:val="21"/>
                <w:szCs w:val="21"/>
                <w:u w:val="none"/>
              </w:rPr>
            </w:pPr>
          </w:p>
        </w:tc>
      </w:tr>
      <w:tr w14:paraId="43BFB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C51BE">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AF22A">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070A2D">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6B1DC">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3D4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7871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资金分配因素全面、合理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D6595">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6B5E7">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3D50A">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6B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6945">
            <w:pPr>
              <w:jc w:val="center"/>
              <w:rPr>
                <w:rFonts w:hint="eastAsia" w:ascii="仿宋" w:hAnsi="仿宋" w:eastAsia="仿宋" w:cs="仿宋"/>
                <w:i w:val="0"/>
                <w:iCs w:val="0"/>
                <w:color w:val="000000"/>
                <w:sz w:val="21"/>
                <w:szCs w:val="21"/>
                <w:u w:val="none"/>
              </w:rPr>
            </w:pPr>
          </w:p>
        </w:tc>
      </w:tr>
      <w:tr w14:paraId="1D75F2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3DA0E">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8D0A62">
            <w:pPr>
              <w:jc w:val="center"/>
              <w:rPr>
                <w:rFonts w:hint="eastAsia" w:ascii="仿宋" w:hAnsi="仿宋" w:eastAsia="仿宋" w:cs="仿宋"/>
                <w:i w:val="0"/>
                <w:iCs w:val="0"/>
                <w:color w:val="333333"/>
                <w:sz w:val="21"/>
                <w:szCs w:val="21"/>
                <w:u w:val="none"/>
              </w:rPr>
            </w:pP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371DF6">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2</w:t>
            </w:r>
          </w:p>
        </w:tc>
        <w:tc>
          <w:tcPr>
            <w:tcW w:w="12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14D8A6">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分配结果</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CA8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AD4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项目符合相关分配办法</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128F3">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5492">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CA0EC">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613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70BA">
            <w:pPr>
              <w:jc w:val="center"/>
              <w:rPr>
                <w:rFonts w:hint="eastAsia" w:ascii="仿宋" w:hAnsi="仿宋" w:eastAsia="仿宋" w:cs="仿宋"/>
                <w:i w:val="0"/>
                <w:iCs w:val="0"/>
                <w:color w:val="000000"/>
                <w:sz w:val="21"/>
                <w:szCs w:val="21"/>
                <w:u w:val="none"/>
              </w:rPr>
            </w:pPr>
          </w:p>
        </w:tc>
      </w:tr>
      <w:tr w14:paraId="72B56F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FD4F5">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592D7">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C22AE1">
            <w:pPr>
              <w:jc w:val="center"/>
              <w:rPr>
                <w:rFonts w:hint="eastAsia" w:ascii="仿宋" w:hAnsi="仿宋" w:eastAsia="仿宋" w:cs="仿宋"/>
                <w:i w:val="0"/>
                <w:iCs w:val="0"/>
                <w:color w:val="333333"/>
                <w:sz w:val="21"/>
                <w:szCs w:val="21"/>
                <w:u w:val="none"/>
              </w:rPr>
            </w:pPr>
          </w:p>
        </w:tc>
        <w:tc>
          <w:tcPr>
            <w:tcW w:w="12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F805D3">
            <w:pPr>
              <w:jc w:val="center"/>
              <w:rPr>
                <w:rFonts w:hint="eastAsia" w:ascii="仿宋" w:hAnsi="仿宋" w:eastAsia="仿宋" w:cs="仿宋"/>
                <w:i w:val="0"/>
                <w:iCs w:val="0"/>
                <w:color w:val="0D0D0D"/>
                <w:sz w:val="21"/>
                <w:szCs w:val="21"/>
                <w:u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4B0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BF7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资金分配合理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11078">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9F1CA">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175ED">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B7BD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CF280">
            <w:pPr>
              <w:jc w:val="center"/>
              <w:rPr>
                <w:rFonts w:hint="eastAsia" w:ascii="仿宋" w:hAnsi="仿宋" w:eastAsia="仿宋" w:cs="仿宋"/>
                <w:i w:val="0"/>
                <w:iCs w:val="0"/>
                <w:color w:val="000000"/>
                <w:sz w:val="21"/>
                <w:szCs w:val="21"/>
                <w:u w:val="none"/>
              </w:rPr>
            </w:pPr>
          </w:p>
        </w:tc>
      </w:tr>
      <w:tr w14:paraId="32ED2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D767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项目管理15分</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38267">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投入管理</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152F">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4</w:t>
            </w:r>
          </w:p>
        </w:tc>
        <w:tc>
          <w:tcPr>
            <w:tcW w:w="1208" w:type="dxa"/>
            <w:tcBorders>
              <w:top w:val="single" w:color="000000" w:sz="4" w:space="0"/>
              <w:left w:val="single" w:color="000000" w:sz="4" w:space="0"/>
              <w:right w:val="single" w:color="000000" w:sz="4" w:space="0"/>
            </w:tcBorders>
            <w:shd w:val="clear" w:color="auto" w:fill="auto"/>
            <w:vAlign w:val="center"/>
          </w:tcPr>
          <w:p w14:paraId="0E138C47">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资金拨付率</w:t>
            </w:r>
          </w:p>
        </w:tc>
        <w:tc>
          <w:tcPr>
            <w:tcW w:w="615" w:type="dxa"/>
            <w:tcBorders>
              <w:top w:val="single" w:color="000000" w:sz="4" w:space="0"/>
              <w:left w:val="single" w:color="000000" w:sz="4" w:space="0"/>
              <w:right w:val="single" w:color="000000" w:sz="4" w:space="0"/>
            </w:tcBorders>
            <w:shd w:val="clear" w:color="auto" w:fill="auto"/>
            <w:vAlign w:val="center"/>
          </w:tcPr>
          <w:p w14:paraId="472C45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cs="仿宋"/>
                <w:i w:val="0"/>
                <w:iCs w:val="0"/>
                <w:color w:val="000000"/>
                <w:kern w:val="0"/>
                <w:sz w:val="21"/>
                <w:szCs w:val="21"/>
                <w:u w:val="none"/>
                <w:lang w:val="en-US" w:eastAsia="zh-CN" w:bidi="ar"/>
              </w:rPr>
              <w:t>4</w:t>
            </w:r>
          </w:p>
        </w:tc>
        <w:tc>
          <w:tcPr>
            <w:tcW w:w="2970" w:type="dxa"/>
            <w:tcBorders>
              <w:top w:val="single" w:color="000000" w:sz="4" w:space="0"/>
              <w:left w:val="single" w:color="000000" w:sz="4" w:space="0"/>
              <w:right w:val="single" w:color="000000" w:sz="4" w:space="0"/>
            </w:tcBorders>
            <w:shd w:val="clear" w:color="auto" w:fill="auto"/>
            <w:vAlign w:val="center"/>
          </w:tcPr>
          <w:p w14:paraId="1554E78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资金及时拨付</w:t>
            </w:r>
          </w:p>
          <w:p w14:paraId="1ED685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right w:val="single" w:color="000000" w:sz="4" w:space="0"/>
            </w:tcBorders>
            <w:shd w:val="clear" w:color="auto" w:fill="auto"/>
            <w:vAlign w:val="center"/>
          </w:tcPr>
          <w:p w14:paraId="2A2859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10209.54</w:t>
            </w:r>
          </w:p>
        </w:tc>
        <w:tc>
          <w:tcPr>
            <w:tcW w:w="690" w:type="dxa"/>
            <w:tcBorders>
              <w:top w:val="single" w:color="000000" w:sz="4" w:space="0"/>
              <w:left w:val="single" w:color="000000" w:sz="4" w:space="0"/>
              <w:right w:val="single" w:color="000000" w:sz="4" w:space="0"/>
            </w:tcBorders>
            <w:shd w:val="clear" w:color="auto" w:fill="auto"/>
            <w:vAlign w:val="center"/>
          </w:tcPr>
          <w:p w14:paraId="77450F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9339.67</w:t>
            </w:r>
          </w:p>
        </w:tc>
        <w:tc>
          <w:tcPr>
            <w:tcW w:w="645" w:type="dxa"/>
            <w:tcBorders>
              <w:top w:val="single" w:color="000000" w:sz="4" w:space="0"/>
              <w:left w:val="single" w:color="000000" w:sz="4" w:space="0"/>
              <w:right w:val="single" w:color="000000" w:sz="4" w:space="0"/>
            </w:tcBorders>
            <w:shd w:val="clear" w:color="auto" w:fill="auto"/>
            <w:vAlign w:val="center"/>
          </w:tcPr>
          <w:p w14:paraId="1FFCD8B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cs="仿宋"/>
                <w:i w:val="0"/>
                <w:iCs w:val="0"/>
                <w:color w:val="000000"/>
                <w:kern w:val="0"/>
                <w:sz w:val="21"/>
                <w:szCs w:val="21"/>
                <w:u w:val="none"/>
                <w:lang w:val="en-US" w:eastAsia="zh-CN" w:bidi="ar"/>
              </w:rPr>
              <w:t>91.48</w:t>
            </w:r>
            <w:r>
              <w:rPr>
                <w:rFonts w:hint="eastAsia" w:ascii="仿宋" w:hAnsi="仿宋" w:eastAsia="仿宋" w:cs="仿宋"/>
                <w:i w:val="0"/>
                <w:iCs w:val="0"/>
                <w:color w:val="000000"/>
                <w:kern w:val="0"/>
                <w:sz w:val="21"/>
                <w:szCs w:val="21"/>
                <w:u w:val="none"/>
                <w:lang w:val="en-US" w:eastAsia="zh-CN" w:bidi="ar"/>
              </w:rPr>
              <w:t>%</w:t>
            </w:r>
          </w:p>
        </w:tc>
        <w:tc>
          <w:tcPr>
            <w:tcW w:w="795" w:type="dxa"/>
            <w:tcBorders>
              <w:top w:val="single" w:color="000000" w:sz="4" w:space="0"/>
              <w:left w:val="single" w:color="000000" w:sz="4" w:space="0"/>
              <w:right w:val="single" w:color="000000" w:sz="4" w:space="0"/>
            </w:tcBorders>
            <w:shd w:val="clear" w:color="auto" w:fill="auto"/>
            <w:vAlign w:val="center"/>
          </w:tcPr>
          <w:p w14:paraId="4CAA601C">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cs="仿宋"/>
                <w:i w:val="0"/>
                <w:iCs w:val="0"/>
                <w:color w:val="000000"/>
                <w:kern w:val="0"/>
                <w:sz w:val="21"/>
                <w:szCs w:val="21"/>
                <w:u w:val="none"/>
                <w:lang w:val="en-US" w:eastAsia="zh-CN" w:bidi="ar"/>
              </w:rPr>
              <w:t>3.66</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C6FB2">
            <w:pPr>
              <w:keepNext w:val="0"/>
              <w:keepLines w:val="0"/>
              <w:widowControl/>
              <w:suppressLineNumbers w:val="0"/>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sz w:val="21"/>
                <w:szCs w:val="21"/>
                <w:u w:val="none"/>
              </w:rPr>
              <w:t>目一期残值3399万元由北京首创收购后支付计入总投资；项目二期改扩建计划投入资金6810.54万元，根据项目审计报告，二期实际总投资5940.67万元，合计总投资9339.67万元，资金拨付率91.48%。</w:t>
            </w:r>
          </w:p>
        </w:tc>
      </w:tr>
      <w:tr w14:paraId="0BB6B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D2FFC4">
            <w:pPr>
              <w:jc w:val="center"/>
              <w:rPr>
                <w:rFonts w:hint="eastAsia" w:ascii="仿宋" w:hAnsi="仿宋" w:eastAsia="仿宋" w:cs="仿宋"/>
                <w:i w:val="0"/>
                <w:iCs w:val="0"/>
                <w:color w:val="000000"/>
                <w:sz w:val="21"/>
                <w:szCs w:val="21"/>
                <w:u w:val="none"/>
              </w:rPr>
            </w:pP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36DBD5">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资金管理</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72F58F">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F77E">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资金到位及时率</w:t>
            </w:r>
            <w:r>
              <w:rPr>
                <w:rFonts w:hint="eastAsia" w:cs="仿宋"/>
                <w:i w:val="0"/>
                <w:iCs w:val="0"/>
                <w:color w:val="0D0D0D"/>
                <w:kern w:val="0"/>
                <w:sz w:val="21"/>
                <w:szCs w:val="21"/>
                <w:u w:val="none"/>
                <w:lang w:val="en-US" w:eastAsia="zh-CN" w:bidi="ar"/>
              </w:rPr>
              <w:t>－</w:t>
            </w:r>
            <w:r>
              <w:rPr>
                <w:rFonts w:hint="eastAsia" w:ascii="仿宋" w:hAnsi="仿宋" w:eastAsia="仿宋" w:cs="仿宋"/>
                <w:i w:val="0"/>
                <w:iCs w:val="0"/>
                <w:color w:val="0D0D0D"/>
                <w:kern w:val="0"/>
                <w:sz w:val="21"/>
                <w:szCs w:val="21"/>
                <w:u w:val="none"/>
                <w:lang w:val="en-US" w:eastAsia="zh-CN" w:bidi="ar"/>
              </w:rPr>
              <w:t>投入资本</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49F3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0D0B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资金到位及时</w:t>
            </w:r>
            <w:r>
              <w:rPr>
                <w:rFonts w:hint="eastAsia" w:cs="仿宋"/>
                <w:i w:val="0"/>
                <w:iCs w:val="0"/>
                <w:color w:val="000000"/>
                <w:kern w:val="0"/>
                <w:sz w:val="21"/>
                <w:szCs w:val="21"/>
                <w:u w:val="none"/>
                <w:lang w:val="en-US" w:eastAsia="zh-CN" w:bidi="ar"/>
              </w:rPr>
              <w:t>－</w:t>
            </w:r>
            <w:r>
              <w:rPr>
                <w:rFonts w:hint="eastAsia" w:ascii="仿宋" w:hAnsi="仿宋" w:eastAsia="仿宋" w:cs="仿宋"/>
                <w:i w:val="0"/>
                <w:iCs w:val="0"/>
                <w:color w:val="000000"/>
                <w:kern w:val="0"/>
                <w:sz w:val="21"/>
                <w:szCs w:val="21"/>
                <w:u w:val="none"/>
                <w:lang w:val="en-US" w:eastAsia="zh-CN" w:bidi="ar"/>
              </w:rPr>
              <w:t>投入资本</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67F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3070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28D0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3070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D5B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89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6A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cs="仿宋"/>
                <w:i w:val="0"/>
                <w:iCs w:val="0"/>
                <w:color w:val="000000"/>
                <w:kern w:val="0"/>
                <w:sz w:val="21"/>
                <w:szCs w:val="21"/>
                <w:u w:val="none"/>
                <w:lang w:val="en-US" w:eastAsia="zh-CN" w:bidi="ar"/>
              </w:rPr>
              <w:t>截至</w:t>
            </w:r>
            <w:r>
              <w:rPr>
                <w:rFonts w:hint="eastAsia" w:ascii="仿宋" w:hAnsi="仿宋" w:eastAsia="仿宋" w:cs="仿宋"/>
                <w:i w:val="0"/>
                <w:iCs w:val="0"/>
                <w:color w:val="000000"/>
                <w:kern w:val="0"/>
                <w:sz w:val="21"/>
                <w:szCs w:val="21"/>
                <w:u w:val="none"/>
                <w:lang w:val="en-US" w:eastAsia="zh-CN" w:bidi="ar"/>
              </w:rPr>
              <w:t>报告日，北京首创生态环保集团股份有限公司3070万资本金已到位，占股100%，县城投公司未出资占股；但未影响项目建设</w:t>
            </w:r>
          </w:p>
        </w:tc>
      </w:tr>
      <w:tr w14:paraId="0BFBB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BEA92">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AF2E4">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A9568">
            <w:pPr>
              <w:jc w:val="center"/>
              <w:rPr>
                <w:rFonts w:hint="eastAsia" w:ascii="仿宋" w:hAnsi="仿宋" w:eastAsia="仿宋" w:cs="仿宋"/>
                <w:i w:val="0"/>
                <w:iCs w:val="0"/>
                <w:color w:val="333333"/>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F1E8D">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资金到位及时率</w:t>
            </w:r>
            <w:r>
              <w:rPr>
                <w:rFonts w:hint="eastAsia" w:cs="仿宋"/>
                <w:i w:val="0"/>
                <w:iCs w:val="0"/>
                <w:color w:val="0D0D0D"/>
                <w:kern w:val="0"/>
                <w:sz w:val="21"/>
                <w:szCs w:val="21"/>
                <w:u w:val="none"/>
                <w:lang w:val="en-US" w:eastAsia="zh-CN" w:bidi="ar"/>
              </w:rPr>
              <w:t>－</w:t>
            </w:r>
            <w:r>
              <w:rPr>
                <w:rFonts w:hint="eastAsia" w:ascii="仿宋" w:hAnsi="仿宋" w:eastAsia="仿宋" w:cs="仿宋"/>
                <w:i w:val="0"/>
                <w:iCs w:val="0"/>
                <w:color w:val="0D0D0D"/>
                <w:kern w:val="0"/>
                <w:sz w:val="21"/>
                <w:szCs w:val="21"/>
                <w:u w:val="none"/>
                <w:lang w:val="en-US" w:eastAsia="zh-CN" w:bidi="ar"/>
              </w:rPr>
              <w:t>污水处理费</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0B69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C59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资金到位及时-污水处理费</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462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9241.285691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154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8590.421073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2D9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92.96%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314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1.86 </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BD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cs="仿宋"/>
                <w:i w:val="0"/>
                <w:iCs w:val="0"/>
                <w:color w:val="000000"/>
                <w:kern w:val="0"/>
                <w:sz w:val="21"/>
                <w:szCs w:val="21"/>
                <w:u w:val="none"/>
                <w:lang w:val="en-US" w:eastAsia="zh-CN" w:bidi="ar"/>
              </w:rPr>
              <w:t>截至</w:t>
            </w:r>
            <w:r>
              <w:rPr>
                <w:rFonts w:hint="eastAsia" w:ascii="仿宋" w:hAnsi="仿宋" w:eastAsia="仿宋" w:cs="仿宋"/>
                <w:i w:val="0"/>
                <w:iCs w:val="0"/>
                <w:color w:val="000000"/>
                <w:kern w:val="0"/>
                <w:sz w:val="21"/>
                <w:szCs w:val="21"/>
                <w:u w:val="none"/>
                <w:lang w:val="en-US" w:eastAsia="zh-CN" w:bidi="ar"/>
              </w:rPr>
              <w:t>2024年12月31日，宝塔湖污水处理厂运营方黄石首创水务公司实收污水处理费85904210.73元，应收污水处理费92412856.91元，下差6494671.63元，拨付率92.96%。</w:t>
            </w:r>
            <w:r>
              <w:rPr>
                <w:rFonts w:hint="eastAsia" w:ascii="仿宋" w:hAnsi="仿宋" w:eastAsia="仿宋" w:cs="仿宋"/>
                <w:i w:val="0"/>
                <w:iCs w:val="0"/>
                <w:color w:val="FF0000"/>
                <w:kern w:val="0"/>
                <w:sz w:val="21"/>
                <w:szCs w:val="21"/>
                <w:u w:val="none"/>
                <w:lang w:val="en-US" w:eastAsia="zh-CN" w:bidi="ar"/>
              </w:rPr>
              <w:t>2018年10月运营以来，政府每月按实际处理量100%付费，但存在费用结算计算方式的问题，实际收到污水处理费85904210.73元，应收污水处理费92412856.91元，下差6494671.63元，拨付率92.96%。</w:t>
            </w:r>
          </w:p>
        </w:tc>
      </w:tr>
      <w:tr w14:paraId="780EF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37AB4">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5729D">
            <w:pPr>
              <w:jc w:val="center"/>
              <w:rPr>
                <w:rFonts w:hint="eastAsia" w:ascii="仿宋" w:hAnsi="仿宋" w:eastAsia="仿宋" w:cs="仿宋"/>
                <w:i w:val="0"/>
                <w:iCs w:val="0"/>
                <w:color w:val="333333"/>
                <w:sz w:val="21"/>
                <w:szCs w:val="21"/>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B6251">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87C95">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资金使用合规性</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91DC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696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无虚列</w:t>
            </w:r>
            <w:r>
              <w:rPr>
                <w:rFonts w:hint="eastAsia" w:cs="仿宋"/>
                <w:i w:val="0"/>
                <w:iCs w:val="0"/>
                <w:color w:val="000000"/>
                <w:kern w:val="0"/>
                <w:sz w:val="21"/>
                <w:szCs w:val="21"/>
                <w:u w:val="none"/>
                <w:lang w:val="en-US" w:eastAsia="zh-CN" w:bidi="ar"/>
              </w:rPr>
              <w:t>－</w:t>
            </w:r>
            <w:r>
              <w:rPr>
                <w:rFonts w:hint="eastAsia" w:ascii="仿宋" w:hAnsi="仿宋" w:eastAsia="仿宋" w:cs="仿宋"/>
                <w:i w:val="0"/>
                <w:iCs w:val="0"/>
                <w:color w:val="000000"/>
                <w:kern w:val="0"/>
                <w:sz w:val="21"/>
                <w:szCs w:val="21"/>
                <w:u w:val="none"/>
                <w:lang w:val="en-US" w:eastAsia="zh-CN" w:bidi="ar"/>
              </w:rPr>
              <w:t>套取；支出依据合理合规；无截留、挤占、挪用超标准、超预算开支</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1F0B5">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10D74">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4FD01">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753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C24AE">
            <w:pPr>
              <w:jc w:val="center"/>
              <w:rPr>
                <w:rFonts w:hint="eastAsia" w:ascii="仿宋" w:hAnsi="仿宋" w:eastAsia="仿宋" w:cs="仿宋"/>
                <w:i w:val="0"/>
                <w:iCs w:val="0"/>
                <w:color w:val="000000"/>
                <w:sz w:val="21"/>
                <w:szCs w:val="21"/>
                <w:u w:val="none"/>
              </w:rPr>
            </w:pPr>
          </w:p>
        </w:tc>
      </w:tr>
      <w:tr w14:paraId="62061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7166E4">
            <w:pPr>
              <w:jc w:val="center"/>
              <w:rPr>
                <w:rFonts w:hint="eastAsia" w:ascii="仿宋" w:hAnsi="仿宋" w:eastAsia="仿宋" w:cs="仿宋"/>
                <w:i w:val="0"/>
                <w:iCs w:val="0"/>
                <w:color w:val="000000"/>
                <w:sz w:val="21"/>
                <w:szCs w:val="21"/>
                <w:u w:val="none"/>
              </w:rPr>
            </w:pP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A04FC2">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项目实施</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31938B">
            <w:pPr>
              <w:keepNext w:val="0"/>
              <w:keepLines w:val="0"/>
              <w:widowControl/>
              <w:suppressLineNumbers w:val="0"/>
              <w:jc w:val="center"/>
              <w:textAlignment w:val="center"/>
              <w:rPr>
                <w:rFonts w:hint="eastAsia" w:ascii="仿宋" w:hAnsi="仿宋" w:eastAsia="仿宋" w:cs="仿宋"/>
                <w:i w:val="0"/>
                <w:iCs w:val="0"/>
                <w:color w:val="333333"/>
                <w:sz w:val="21"/>
                <w:szCs w:val="21"/>
                <w:u w:val="none"/>
              </w:rPr>
            </w:pPr>
            <w:r>
              <w:rPr>
                <w:rFonts w:hint="eastAsia" w:ascii="仿宋" w:hAnsi="仿宋" w:eastAsia="仿宋" w:cs="仿宋"/>
                <w:i w:val="0"/>
                <w:iCs w:val="0"/>
                <w:color w:val="333333"/>
                <w:kern w:val="0"/>
                <w:sz w:val="21"/>
                <w:szCs w:val="21"/>
                <w:u w:val="none"/>
                <w:lang w:val="en-US" w:eastAsia="zh-CN" w:bidi="ar"/>
              </w:rPr>
              <w:t>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45809">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组织机构</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189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82B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机构健全、分工明确</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0A0D">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7BB42">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CCA32">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8A1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A34A3">
            <w:pPr>
              <w:jc w:val="center"/>
              <w:rPr>
                <w:rFonts w:hint="eastAsia" w:ascii="仿宋" w:hAnsi="仿宋" w:eastAsia="仿宋" w:cs="仿宋"/>
                <w:i w:val="0"/>
                <w:iCs w:val="0"/>
                <w:color w:val="000000"/>
                <w:sz w:val="21"/>
                <w:szCs w:val="21"/>
                <w:u w:val="none"/>
              </w:rPr>
            </w:pPr>
          </w:p>
        </w:tc>
      </w:tr>
      <w:tr w14:paraId="3AE37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7753D">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0973EA">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A29F21">
            <w:pPr>
              <w:jc w:val="center"/>
              <w:rPr>
                <w:rFonts w:hint="eastAsia" w:ascii="仿宋" w:hAnsi="仿宋" w:eastAsia="仿宋" w:cs="仿宋"/>
                <w:i w:val="0"/>
                <w:iCs w:val="0"/>
                <w:color w:val="333333"/>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0783">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制度执行有效性</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14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3A6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建立健全项目管理制度</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6AB6A">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90177">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2512E">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3F6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D70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应急管理、财务管理</w:t>
            </w:r>
          </w:p>
        </w:tc>
      </w:tr>
      <w:tr w14:paraId="1E2D5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56A82">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17092">
            <w:pPr>
              <w:jc w:val="center"/>
              <w:rPr>
                <w:rFonts w:hint="eastAsia" w:ascii="仿宋" w:hAnsi="仿宋" w:eastAsia="仿宋" w:cs="仿宋"/>
                <w:i w:val="0"/>
                <w:iCs w:val="0"/>
                <w:color w:val="333333"/>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86123D">
            <w:pPr>
              <w:jc w:val="center"/>
              <w:rPr>
                <w:rFonts w:hint="eastAsia" w:ascii="仿宋" w:hAnsi="仿宋" w:eastAsia="仿宋" w:cs="仿宋"/>
                <w:i w:val="0"/>
                <w:iCs w:val="0"/>
                <w:color w:val="333333"/>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69CD8">
            <w:pPr>
              <w:keepNext w:val="0"/>
              <w:keepLines w:val="0"/>
              <w:widowControl/>
              <w:suppressLineNumbers w:val="0"/>
              <w:jc w:val="center"/>
              <w:textAlignment w:val="center"/>
              <w:rPr>
                <w:rFonts w:hint="eastAsia" w:ascii="仿宋" w:hAnsi="仿宋" w:eastAsia="仿宋" w:cs="仿宋"/>
                <w:i w:val="0"/>
                <w:iCs w:val="0"/>
                <w:color w:val="0D0D0D"/>
                <w:sz w:val="21"/>
                <w:szCs w:val="21"/>
                <w:u w:val="none"/>
              </w:rPr>
            </w:pPr>
            <w:r>
              <w:rPr>
                <w:rFonts w:hint="eastAsia" w:ascii="仿宋" w:hAnsi="仿宋" w:eastAsia="仿宋" w:cs="仿宋"/>
                <w:i w:val="0"/>
                <w:iCs w:val="0"/>
                <w:color w:val="0D0D0D"/>
                <w:kern w:val="0"/>
                <w:sz w:val="21"/>
                <w:szCs w:val="21"/>
                <w:u w:val="none"/>
                <w:lang w:val="en-US" w:eastAsia="zh-CN" w:bidi="ar"/>
              </w:rPr>
              <w:t>项目监督</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3A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92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内部控制制度符合具体情况，可操作性强</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7314A">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F543F">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AA20F">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D3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1F3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针对月度考核中需要整改的工作，能够按时整改到位的，得2.5分；不能在规定时间内整改到位的，视情况扣分，对运营单位提出的提高污水、污泥收费标准的合理</w:t>
            </w:r>
            <w:r>
              <w:rPr>
                <w:rFonts w:hint="eastAsia" w:cs="仿宋"/>
                <w:i w:val="0"/>
                <w:iCs w:val="0"/>
                <w:color w:val="000000"/>
                <w:kern w:val="0"/>
                <w:sz w:val="21"/>
                <w:szCs w:val="21"/>
                <w:u w:val="none"/>
                <w:lang w:val="en-US" w:eastAsia="zh-CN" w:bidi="ar"/>
              </w:rPr>
              <w:t>诉求</w:t>
            </w:r>
            <w:r>
              <w:rPr>
                <w:rFonts w:hint="eastAsia" w:ascii="仿宋" w:hAnsi="仿宋" w:eastAsia="仿宋" w:cs="仿宋"/>
                <w:i w:val="0"/>
                <w:iCs w:val="0"/>
                <w:color w:val="000000"/>
                <w:kern w:val="0"/>
                <w:sz w:val="21"/>
                <w:szCs w:val="21"/>
                <w:u w:val="none"/>
                <w:lang w:val="en-US" w:eastAsia="zh-CN" w:bidi="ar"/>
              </w:rPr>
              <w:t>回应不及时</w:t>
            </w:r>
          </w:p>
        </w:tc>
      </w:tr>
      <w:tr w14:paraId="68840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37E1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项目产出50分</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5A99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数量指标</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72E2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D097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年污水处理率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1BD1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EEC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第一、二、三、四、五、六个运营年分</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别按污水处理厂设计规模的 60%、60%、70%、80%、85%、90%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6394">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51AA9">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287C3">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140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77D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其中2019、2020年未达到规划预期的60%，2024年未达到规划预期的90%。</w:t>
            </w:r>
          </w:p>
        </w:tc>
      </w:tr>
      <w:tr w14:paraId="45761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BD9E1">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77CEE">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2B407">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584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污水处理厂负荷率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0CF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AD8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评估2019年-2024年末，污水处理厂负荷率达到90%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A09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215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71.31%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789D3">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26A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3.17 </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995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2018年10月以来，污水处理量逐年提升，2023年达到峰值后，2024年出现小幅下降，6年污水处理平均负荷率71.31%，运行效率偏低。</w:t>
            </w:r>
          </w:p>
        </w:tc>
      </w:tr>
      <w:tr w14:paraId="307DC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AA838">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CC46A9">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BA86B">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C38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绩效考核达标率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38B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079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总评分连续两次以上不及格或总评分累计四次不及格，可提取运维保函或采取其他违约措施</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A331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22647">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1CA18">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BA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 xml:space="preserve">2.25 </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0FAE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根据现有提供的资料，2021年绩效考核得分95.3分，2022年绩效考核得分97.25分，2023年绩效考核得分94.1分，2024年绩效考核得分96.16分，其中2023年未达到95分。</w:t>
            </w:r>
          </w:p>
        </w:tc>
      </w:tr>
      <w:tr w14:paraId="5C9A6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2D947E">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207BFF">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EF91F">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3DC2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投资收益率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675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059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运营方是否获得合理收益</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EA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7A7B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C28D2">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CACB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5E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投资收益率未达到可研报告预期，按比例扣分</w:t>
            </w:r>
          </w:p>
        </w:tc>
      </w:tr>
      <w:tr w14:paraId="01230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06F31C">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40937">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5545F">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85C4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设备日常维护率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EA0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5684">
            <w:pPr>
              <w:jc w:val="center"/>
              <w:rPr>
                <w:rFonts w:hint="default" w:ascii="仿宋" w:hAnsi="仿宋" w:eastAsia="仿宋" w:cs="仿宋"/>
                <w:i w:val="0"/>
                <w:iCs w:val="0"/>
                <w:color w:val="000000"/>
                <w:sz w:val="21"/>
                <w:szCs w:val="21"/>
                <w:u w:val="none"/>
                <w:lang w:val="en-US" w:eastAsia="zh-CN"/>
              </w:rPr>
            </w:pPr>
            <w:r>
              <w:rPr>
                <w:rFonts w:hint="eastAsia" w:ascii="仿宋" w:hAnsi="仿宋" w:eastAsia="仿宋" w:cs="仿宋"/>
                <w:i w:val="0"/>
                <w:iCs w:val="0"/>
                <w:color w:val="000000"/>
                <w:sz w:val="21"/>
                <w:szCs w:val="21"/>
                <w:u w:val="none"/>
                <w:lang w:val="en-US" w:eastAsia="zh-CN"/>
              </w:rPr>
              <w:t>设备日常维护情况</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E79A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24C7C">
            <w:pPr>
              <w:jc w:val="center"/>
              <w:rPr>
                <w:rFonts w:hint="eastAsia" w:ascii="宋体" w:hAnsi="宋体" w:eastAsia="宋体" w:cs="宋体"/>
                <w:i w:val="0"/>
                <w:iCs w:val="0"/>
                <w:color w:val="000000"/>
                <w:sz w:val="22"/>
                <w:szCs w:val="22"/>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597E0">
            <w:pPr>
              <w:jc w:val="center"/>
              <w:rPr>
                <w:rFonts w:hint="eastAsia" w:ascii="宋体" w:hAnsi="宋体" w:eastAsia="宋体" w:cs="宋体"/>
                <w:i w:val="0"/>
                <w:iCs w:val="0"/>
                <w:color w:val="000000"/>
                <w:sz w:val="22"/>
                <w:szCs w:val="2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463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F927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设备</w:t>
            </w:r>
            <w:r>
              <w:rPr>
                <w:rFonts w:hint="eastAsia" w:cs="仿宋"/>
                <w:i w:val="0"/>
                <w:iCs w:val="0"/>
                <w:color w:val="000000"/>
                <w:kern w:val="0"/>
                <w:sz w:val="21"/>
                <w:szCs w:val="21"/>
                <w:u w:val="none"/>
                <w:lang w:val="en-US" w:eastAsia="zh-CN" w:bidi="ar"/>
              </w:rPr>
              <w:t>维护</w:t>
            </w:r>
            <w:r>
              <w:rPr>
                <w:rFonts w:hint="eastAsia" w:ascii="仿宋" w:hAnsi="仿宋" w:eastAsia="仿宋" w:cs="仿宋"/>
                <w:i w:val="0"/>
                <w:iCs w:val="0"/>
                <w:color w:val="000000"/>
                <w:kern w:val="0"/>
                <w:sz w:val="21"/>
                <w:szCs w:val="21"/>
                <w:u w:val="none"/>
                <w:lang w:val="en-US" w:eastAsia="zh-CN" w:bidi="ar"/>
              </w:rPr>
              <w:t>不到位、缺少记录</w:t>
            </w:r>
          </w:p>
        </w:tc>
      </w:tr>
      <w:tr w14:paraId="55808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136ED">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0EB12">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AF583">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5FA0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应急预案</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FB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EB9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cs="仿宋"/>
                <w:i w:val="0"/>
                <w:iCs w:val="0"/>
                <w:color w:val="000000"/>
                <w:kern w:val="0"/>
                <w:sz w:val="21"/>
                <w:szCs w:val="21"/>
                <w:u w:val="none"/>
                <w:lang w:val="en-US" w:eastAsia="zh-CN" w:bidi="ar"/>
              </w:rPr>
              <w:t>项目</w:t>
            </w:r>
            <w:r>
              <w:rPr>
                <w:rFonts w:hint="eastAsia" w:ascii="仿宋" w:hAnsi="仿宋" w:eastAsia="仿宋" w:cs="仿宋"/>
                <w:i w:val="0"/>
                <w:iCs w:val="0"/>
                <w:color w:val="000000"/>
                <w:kern w:val="0"/>
                <w:sz w:val="21"/>
                <w:szCs w:val="21"/>
                <w:u w:val="none"/>
                <w:lang w:val="en-US" w:eastAsia="zh-CN" w:bidi="ar"/>
              </w:rPr>
              <w:t>应急反应机制</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0613D">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1E093">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65136">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C66E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E6F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应急预案执行及应急演练等未完全按预案要求执行</w:t>
            </w:r>
          </w:p>
        </w:tc>
      </w:tr>
      <w:tr w14:paraId="3E64C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4AA64">
            <w:pPr>
              <w:jc w:val="center"/>
              <w:rPr>
                <w:rFonts w:hint="eastAsia" w:ascii="仿宋" w:hAnsi="仿宋" w:eastAsia="仿宋" w:cs="仿宋"/>
                <w:i w:val="0"/>
                <w:iCs w:val="0"/>
                <w:color w:val="000000"/>
                <w:sz w:val="21"/>
                <w:szCs w:val="21"/>
                <w:u w:val="none"/>
              </w:rPr>
            </w:pP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1E692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质量指标</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0C2C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BA47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污泥规范化处置情况</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DDC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950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95%污水处理率（%）=污水处理量（m3/d）/排放污水总量（m3/d）*100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AA373">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18B7B">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71E4F">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BA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E14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出水质量：符合《城镇污水处理厂污染物排放标准》（GB18918-2002）中一级 A 标准</w:t>
            </w:r>
          </w:p>
        </w:tc>
      </w:tr>
      <w:tr w14:paraId="1779A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A4F0C">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E10095">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908B9">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4D2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室内室外环境达标率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C09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57C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评价污水处理厂室内室外环境及危废管理情况。</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38D5C">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E1AA4">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838D">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093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4F62C">
            <w:pPr>
              <w:jc w:val="center"/>
              <w:rPr>
                <w:rFonts w:hint="eastAsia" w:ascii="仿宋" w:hAnsi="仿宋" w:eastAsia="仿宋" w:cs="仿宋"/>
                <w:i w:val="0"/>
                <w:iCs w:val="0"/>
                <w:color w:val="000000"/>
                <w:sz w:val="21"/>
                <w:szCs w:val="21"/>
                <w:u w:val="none"/>
              </w:rPr>
            </w:pPr>
          </w:p>
        </w:tc>
      </w:tr>
      <w:tr w14:paraId="7F0D67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62AD9">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3B636">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1335A">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57F6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出水指标达标率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BCF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40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共考核COD、PH、氨氮（NH3-N）、总氮（TN）、总磷（TP）5个指标，每个指标均须按环保部门相关要求进行监测，取日平均值，出水水质执行一级A标准</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93BC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9F647">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D5C0E">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9870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cs="仿宋"/>
                <w:i w:val="0"/>
                <w:iCs w:val="0"/>
                <w:color w:val="000000"/>
                <w:kern w:val="0"/>
                <w:sz w:val="21"/>
                <w:szCs w:val="21"/>
                <w:u w:val="none"/>
                <w:lang w:val="en-US" w:eastAsia="zh-CN" w:bidi="ar"/>
              </w:rPr>
              <w:t>4</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1E3A8">
            <w:pPr>
              <w:jc w:val="center"/>
              <w:rPr>
                <w:rFonts w:hint="eastAsia" w:ascii="宋体" w:hAnsi="宋体" w:eastAsia="宋体" w:cs="宋体"/>
                <w:i w:val="0"/>
                <w:iCs w:val="0"/>
                <w:color w:val="000000"/>
                <w:sz w:val="22"/>
                <w:szCs w:val="22"/>
                <w:u w:val="none"/>
              </w:rPr>
            </w:pPr>
          </w:p>
        </w:tc>
      </w:tr>
      <w:tr w14:paraId="16B4B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79C05">
            <w:pPr>
              <w:jc w:val="center"/>
              <w:rPr>
                <w:rFonts w:hint="eastAsia" w:ascii="仿宋" w:hAnsi="仿宋" w:eastAsia="仿宋" w:cs="仿宋"/>
                <w:i w:val="0"/>
                <w:iCs w:val="0"/>
                <w:color w:val="000000"/>
                <w:sz w:val="21"/>
                <w:szCs w:val="21"/>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74A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时效指标</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9A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D9A8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项目施工时间</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4EEC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EF6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2022年</w:t>
            </w:r>
            <w:r>
              <w:rPr>
                <w:rFonts w:hint="eastAsia" w:cs="仿宋"/>
                <w:i w:val="0"/>
                <w:iCs w:val="0"/>
                <w:color w:val="000000"/>
                <w:kern w:val="0"/>
                <w:sz w:val="21"/>
                <w:szCs w:val="21"/>
                <w:u w:val="none"/>
                <w:lang w:val="en-US" w:eastAsia="zh-CN" w:bidi="ar"/>
              </w:rPr>
              <w:t>—</w:t>
            </w:r>
            <w:r>
              <w:rPr>
                <w:rFonts w:hint="eastAsia" w:ascii="仿宋" w:hAnsi="仿宋" w:eastAsia="仿宋" w:cs="仿宋"/>
                <w:i w:val="0"/>
                <w:iCs w:val="0"/>
                <w:color w:val="000000"/>
                <w:kern w:val="0"/>
                <w:sz w:val="21"/>
                <w:szCs w:val="21"/>
                <w:u w:val="none"/>
                <w:lang w:val="en-US" w:eastAsia="zh-CN" w:bidi="ar"/>
              </w:rPr>
              <w:t>2024年</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A7C76">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EC600">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A0114">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5347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E839BEB">
            <w:pPr>
              <w:jc w:val="center"/>
              <w:rPr>
                <w:rFonts w:hint="eastAsia" w:ascii="仿宋" w:hAnsi="仿宋" w:eastAsia="仿宋" w:cs="仿宋"/>
                <w:i w:val="0"/>
                <w:iCs w:val="0"/>
                <w:color w:val="000000"/>
                <w:sz w:val="21"/>
                <w:szCs w:val="21"/>
                <w:u w:val="none"/>
              </w:rPr>
            </w:pPr>
          </w:p>
        </w:tc>
      </w:tr>
      <w:tr w14:paraId="54B1E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9E864">
            <w:pPr>
              <w:jc w:val="center"/>
              <w:rPr>
                <w:rFonts w:hint="eastAsia" w:ascii="仿宋" w:hAnsi="仿宋" w:eastAsia="仿宋" w:cs="仿宋"/>
                <w:i w:val="0"/>
                <w:iCs w:val="0"/>
                <w:color w:val="000000"/>
                <w:sz w:val="21"/>
                <w:szCs w:val="21"/>
                <w:u w:val="none"/>
              </w:rPr>
            </w:pP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BCB1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成本指标</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6F1BF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B9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经济成本指标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AE7F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304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≤7081.43万元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E6444">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79FF3">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3361E">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B52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73696B6">
            <w:pPr>
              <w:keepNext w:val="0"/>
              <w:keepLines w:val="0"/>
              <w:widowControl/>
              <w:suppressLineNumbers w:val="0"/>
              <w:jc w:val="center"/>
              <w:textAlignment w:val="bottom"/>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实际投资项目审计确定项目总投资 5940.67万元</w:t>
            </w:r>
          </w:p>
        </w:tc>
      </w:tr>
      <w:tr w14:paraId="20950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59D56">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9FA78">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B167C">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8CF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污水处理费</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919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E95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0.92元/吨</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0DA1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0.92元/吨</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E8E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0.92元/吨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D4849">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12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FCC6B18">
            <w:pPr>
              <w:jc w:val="center"/>
              <w:rPr>
                <w:rFonts w:hint="eastAsia" w:ascii="仿宋" w:hAnsi="仿宋" w:eastAsia="仿宋" w:cs="仿宋"/>
                <w:i w:val="0"/>
                <w:iCs w:val="0"/>
                <w:color w:val="000000"/>
                <w:sz w:val="21"/>
                <w:szCs w:val="21"/>
                <w:u w:val="none"/>
              </w:rPr>
            </w:pPr>
          </w:p>
        </w:tc>
      </w:tr>
      <w:tr w14:paraId="377C7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F6461">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A7C9E">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BB5A1">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681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污泥补贴</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1EC8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C85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月运输费=1.2元/公里/吨×65公里×当月政府确认汇总数</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71E1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1.2元/公里</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0C88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1.2元/公里</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C43AB">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91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094DA715">
            <w:pPr>
              <w:jc w:val="center"/>
              <w:rPr>
                <w:rFonts w:hint="eastAsia" w:ascii="仿宋" w:hAnsi="仿宋" w:eastAsia="仿宋" w:cs="仿宋"/>
                <w:i w:val="0"/>
                <w:iCs w:val="0"/>
                <w:color w:val="000000"/>
                <w:sz w:val="21"/>
                <w:szCs w:val="21"/>
                <w:u w:val="none"/>
              </w:rPr>
            </w:pPr>
          </w:p>
        </w:tc>
      </w:tr>
      <w:tr w14:paraId="21F7D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B7350">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65F40">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131093">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AE1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社会成本指标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1EA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582E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对社会发展无负面影响</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3AD7A">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360B">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E81DE">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276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D2D91">
            <w:pPr>
              <w:jc w:val="center"/>
              <w:rPr>
                <w:rFonts w:hint="eastAsia" w:ascii="仿宋" w:hAnsi="仿宋" w:eastAsia="仿宋" w:cs="仿宋"/>
                <w:i w:val="0"/>
                <w:iCs w:val="0"/>
                <w:color w:val="000000"/>
                <w:sz w:val="21"/>
                <w:szCs w:val="21"/>
                <w:u w:val="none"/>
              </w:rPr>
            </w:pPr>
          </w:p>
        </w:tc>
      </w:tr>
      <w:tr w14:paraId="4586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61A442">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6BE15A">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EBB8B">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0C0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生态环境成本指标</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3F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EE63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对生态环境无负面影响</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43CE1">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BB7A2">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816CA">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2E7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9F25B">
            <w:pPr>
              <w:jc w:val="center"/>
              <w:rPr>
                <w:rFonts w:hint="eastAsia" w:ascii="仿宋" w:hAnsi="仿宋" w:eastAsia="仿宋" w:cs="仿宋"/>
                <w:i w:val="0"/>
                <w:iCs w:val="0"/>
                <w:color w:val="000000"/>
                <w:sz w:val="21"/>
                <w:szCs w:val="21"/>
                <w:u w:val="none"/>
              </w:rPr>
            </w:pPr>
          </w:p>
        </w:tc>
      </w:tr>
      <w:tr w14:paraId="650C8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7EBD1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项目效益10分</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573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经济效益</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02F9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1E2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为当地经济发展的积极影响</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E24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D9774F4">
            <w:pPr>
              <w:keepNext w:val="0"/>
              <w:keepLines w:val="0"/>
              <w:widowControl/>
              <w:suppressLineNumbers w:val="0"/>
              <w:jc w:val="center"/>
              <w:textAlignment w:val="bottom"/>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对当地经济发展是否存在积极影响</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A36925E">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bottom"/>
          </w:tcPr>
          <w:p w14:paraId="4A3F6EE4">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E218EC0">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B5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9EAB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1.依法足额缴纳税款，得0.25分。不符合要求 的，不得分。2.依法足额缴纳职工社保，得 0.25分。不符合要求的，不得分。</w:t>
            </w:r>
          </w:p>
        </w:tc>
      </w:tr>
      <w:tr w14:paraId="48998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13F94">
            <w:pPr>
              <w:jc w:val="center"/>
              <w:rPr>
                <w:rFonts w:hint="eastAsia" w:ascii="仿宋" w:hAnsi="仿宋" w:eastAsia="仿宋" w:cs="仿宋"/>
                <w:i w:val="0"/>
                <w:iCs w:val="0"/>
                <w:color w:val="000000"/>
                <w:sz w:val="21"/>
                <w:szCs w:val="21"/>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C94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社会效益</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D6D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CB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带动当地就业、改善生活环境</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65F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77E4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带动当地就业人数达成率</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0BF3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4C9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F0146">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E95A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2.75</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BCC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实际解决22人</w:t>
            </w:r>
          </w:p>
        </w:tc>
      </w:tr>
      <w:tr w14:paraId="6ACCC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7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CF9919">
            <w:pPr>
              <w:jc w:val="center"/>
              <w:rPr>
                <w:rFonts w:hint="eastAsia" w:ascii="仿宋" w:hAnsi="仿宋" w:eastAsia="仿宋" w:cs="仿宋"/>
                <w:i w:val="0"/>
                <w:iCs w:val="0"/>
                <w:color w:val="000000"/>
                <w:sz w:val="21"/>
                <w:szCs w:val="21"/>
                <w:u w:val="none"/>
              </w:rPr>
            </w:pP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696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生态效益</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927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6D98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减少污水排放量，降低环境污染</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366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8F83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降低环境污染，水资源循环利用</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7797">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147E6">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18708">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8B10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48634">
            <w:pPr>
              <w:keepNext w:val="0"/>
              <w:keepLines w:val="0"/>
              <w:widowControl/>
              <w:suppressLineNumbers w:val="0"/>
              <w:jc w:val="left"/>
              <w:textAlignment w:val="center"/>
              <w:rPr>
                <w:rFonts w:ascii="宋体" w:hAnsi="宋体" w:eastAsia="宋体" w:cs="宋体"/>
                <w:i w:val="0"/>
                <w:iCs w:val="0"/>
                <w:color w:val="000000"/>
                <w:sz w:val="21"/>
                <w:szCs w:val="21"/>
                <w:u w:val="none"/>
              </w:rPr>
            </w:pPr>
          </w:p>
        </w:tc>
      </w:tr>
      <w:tr w14:paraId="426C8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1EFB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能力建设10分</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09D9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可持续影响指标</w:t>
            </w:r>
          </w:p>
        </w:tc>
        <w:tc>
          <w:tcPr>
            <w:tcW w:w="5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22BF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DCE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长效机制建设</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BA8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048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考察项目后续运行及成效发挥的可持续影响情况</w:t>
            </w:r>
            <w:r>
              <w:rPr>
                <w:rFonts w:hint="eastAsia" w:cs="仿宋"/>
                <w:i w:val="0"/>
                <w:iCs w:val="0"/>
                <w:color w:val="000000"/>
                <w:kern w:val="0"/>
                <w:sz w:val="21"/>
                <w:szCs w:val="21"/>
                <w:u w:val="none"/>
                <w:lang w:val="en-US" w:eastAsia="zh-CN" w:bidi="ar"/>
              </w:rPr>
              <w:t>，</w:t>
            </w:r>
            <w:r>
              <w:rPr>
                <w:rFonts w:hint="eastAsia" w:ascii="仿宋" w:hAnsi="仿宋" w:eastAsia="仿宋" w:cs="仿宋"/>
                <w:i w:val="0"/>
                <w:iCs w:val="0"/>
                <w:color w:val="000000"/>
                <w:kern w:val="0"/>
                <w:sz w:val="21"/>
                <w:szCs w:val="21"/>
                <w:u w:val="none"/>
                <w:lang w:val="en-US" w:eastAsia="zh-CN" w:bidi="ar"/>
              </w:rPr>
              <w:t>以及项目工程后期管护情况</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5113">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3B502">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27B14">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5491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27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存在设备</w:t>
            </w:r>
            <w:r>
              <w:rPr>
                <w:rFonts w:hint="eastAsia" w:cs="仿宋"/>
                <w:i w:val="0"/>
                <w:iCs w:val="0"/>
                <w:color w:val="000000"/>
                <w:kern w:val="0"/>
                <w:sz w:val="21"/>
                <w:szCs w:val="21"/>
                <w:u w:val="none"/>
                <w:lang w:val="en-US" w:eastAsia="zh-CN" w:bidi="ar"/>
              </w:rPr>
              <w:t>维护</w:t>
            </w:r>
            <w:r>
              <w:rPr>
                <w:rFonts w:hint="eastAsia" w:ascii="仿宋" w:hAnsi="仿宋" w:eastAsia="仿宋" w:cs="仿宋"/>
                <w:i w:val="0"/>
                <w:iCs w:val="0"/>
                <w:color w:val="000000"/>
                <w:kern w:val="0"/>
                <w:sz w:val="21"/>
                <w:szCs w:val="21"/>
                <w:u w:val="none"/>
                <w:lang w:val="en-US" w:eastAsia="zh-CN" w:bidi="ar"/>
              </w:rPr>
              <w:t>不到位、缺少记录的情况</w:t>
            </w:r>
          </w:p>
        </w:tc>
      </w:tr>
      <w:tr w14:paraId="133ED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56C01">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1F04D">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30E68">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DEA7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人力资源对项目可持续影响</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8C1C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C0D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项目实施后人力资源水平改善状况对项目及单位可持续发展的影响</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AAAE6">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10BEF">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1D6D8">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C23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8CB3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存在日常考核未严格落实的问题，影响员工工作积极性和整体工作效率的进一步提升</w:t>
            </w:r>
          </w:p>
        </w:tc>
      </w:tr>
      <w:tr w14:paraId="15F69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495D2">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67AD3">
            <w:pPr>
              <w:jc w:val="center"/>
              <w:rPr>
                <w:rFonts w:hint="eastAsia" w:ascii="仿宋" w:hAnsi="仿宋" w:eastAsia="仿宋" w:cs="仿宋"/>
                <w:i w:val="0"/>
                <w:iCs w:val="0"/>
                <w:color w:val="000000"/>
                <w:sz w:val="21"/>
                <w:szCs w:val="21"/>
                <w:u w:val="none"/>
              </w:rPr>
            </w:pPr>
          </w:p>
        </w:tc>
        <w:tc>
          <w:tcPr>
            <w:tcW w:w="5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0A1110">
            <w:pPr>
              <w:jc w:val="center"/>
              <w:rPr>
                <w:rFonts w:hint="eastAsia" w:ascii="仿宋" w:hAnsi="仿宋" w:eastAsia="仿宋" w:cs="仿宋"/>
                <w:i w:val="0"/>
                <w:iCs w:val="0"/>
                <w:color w:val="000000"/>
                <w:sz w:val="21"/>
                <w:szCs w:val="21"/>
                <w:u w:val="none"/>
              </w:rPr>
            </w:pP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ACE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硬件条件对项目发展作用</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945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81E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项目实施过程中设备条件的改善对项目及单位可持续发展的意义</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DA9CA">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0605E">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AB24">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893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FBEA091">
            <w:pPr>
              <w:keepNext w:val="0"/>
              <w:keepLines w:val="0"/>
              <w:widowControl/>
              <w:suppressLineNumbers w:val="0"/>
              <w:jc w:val="center"/>
              <w:textAlignment w:val="bottom"/>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存在个别非核心设备维护不及时、</w:t>
            </w:r>
          </w:p>
        </w:tc>
      </w:tr>
      <w:tr w14:paraId="38309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3FDB8">
            <w:pPr>
              <w:jc w:val="center"/>
              <w:rPr>
                <w:rFonts w:hint="eastAsia" w:ascii="仿宋" w:hAnsi="仿宋" w:eastAsia="仿宋" w:cs="仿宋"/>
                <w:i w:val="0"/>
                <w:iCs w:val="0"/>
                <w:color w:val="000000"/>
                <w:sz w:val="21"/>
                <w:szCs w:val="21"/>
                <w:u w:val="none"/>
              </w:rPr>
            </w:pP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D912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满意度指标</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A70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F07C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周边居民对污水处理厂满意度</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B371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44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项目区域周边居民对项目效果认可程度。得分</w:t>
            </w:r>
            <w:r>
              <w:rPr>
                <w:rFonts w:hint="eastAsia" w:ascii="仿宋" w:hAnsi="仿宋" w:eastAsia="仿宋" w:cs="仿宋"/>
                <w:i w:val="0"/>
                <w:iCs w:val="0"/>
                <w:color w:val="000000"/>
                <w:kern w:val="0"/>
                <w:sz w:val="20"/>
                <w:szCs w:val="20"/>
                <w:u w:val="none"/>
                <w:lang w:val="en-US" w:eastAsia="zh-CN" w:bidi="ar"/>
              </w:rPr>
              <w:t>=满意度*分值。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9D80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EE56">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F8BF8">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D324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12" w:type="dxa"/>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14:paraId="3B214A8D">
            <w:pPr>
              <w:jc w:val="center"/>
              <w:rPr>
                <w:rFonts w:hint="eastAsia" w:ascii="仿宋" w:hAnsi="仿宋" w:eastAsia="仿宋" w:cs="仿宋"/>
                <w:i w:val="0"/>
                <w:iCs w:val="0"/>
                <w:color w:val="000000"/>
                <w:sz w:val="21"/>
                <w:szCs w:val="21"/>
                <w:u w:val="none"/>
              </w:rPr>
            </w:pPr>
          </w:p>
        </w:tc>
      </w:tr>
      <w:tr w14:paraId="04405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13E1F2">
            <w:pPr>
              <w:jc w:val="center"/>
              <w:rPr>
                <w:rFonts w:hint="eastAsia" w:ascii="仿宋" w:hAnsi="仿宋" w:eastAsia="仿宋" w:cs="仿宋"/>
                <w:i w:val="0"/>
                <w:iCs w:val="0"/>
                <w:color w:val="000000"/>
                <w:sz w:val="21"/>
                <w:szCs w:val="21"/>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821A9">
            <w:pPr>
              <w:jc w:val="center"/>
              <w:rPr>
                <w:rFonts w:hint="eastAsia" w:ascii="仿宋" w:hAnsi="仿宋" w:eastAsia="仿宋" w:cs="仿宋"/>
                <w:i w:val="0"/>
                <w:iCs w:val="0"/>
                <w:color w:val="000000"/>
                <w:sz w:val="21"/>
                <w:szCs w:val="21"/>
                <w:u w:val="none"/>
              </w:rPr>
            </w:pP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ABB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12CC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职工对污水处理厂满意度</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C87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797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项目职员对项目效果认可程度。得分</w:t>
            </w:r>
            <w:r>
              <w:rPr>
                <w:rFonts w:hint="eastAsia" w:ascii="仿宋" w:hAnsi="仿宋" w:eastAsia="仿宋" w:cs="仿宋"/>
                <w:i w:val="0"/>
                <w:iCs w:val="0"/>
                <w:color w:val="000000"/>
                <w:kern w:val="0"/>
                <w:sz w:val="20"/>
                <w:szCs w:val="20"/>
                <w:u w:val="none"/>
                <w:lang w:val="en-US" w:eastAsia="zh-CN" w:bidi="ar"/>
              </w:rPr>
              <w:t>=满意度*分值。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D1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AF5AF">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542B3">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5B98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491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14:paraId="53FFF069">
            <w:pPr>
              <w:jc w:val="center"/>
              <w:rPr>
                <w:rFonts w:hint="eastAsia" w:ascii="仿宋" w:hAnsi="仿宋" w:eastAsia="仿宋" w:cs="仿宋"/>
                <w:i w:val="0"/>
                <w:iCs w:val="0"/>
                <w:color w:val="000000"/>
                <w:sz w:val="21"/>
                <w:szCs w:val="21"/>
                <w:u w:val="none"/>
              </w:rPr>
            </w:pPr>
          </w:p>
        </w:tc>
      </w:tr>
      <w:tr w14:paraId="52C99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5"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73A93">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绩效总得分</w:t>
            </w:r>
          </w:p>
        </w:tc>
        <w:tc>
          <w:tcPr>
            <w:tcW w:w="5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B58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5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511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F79E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65C9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w:t>
            </w:r>
          </w:p>
        </w:tc>
        <w:tc>
          <w:tcPr>
            <w:tcW w:w="29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65F">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6D6E">
            <w:pPr>
              <w:jc w:val="center"/>
              <w:rPr>
                <w:rFonts w:hint="eastAsia" w:ascii="仿宋" w:hAnsi="仿宋" w:eastAsia="仿宋" w:cs="仿宋"/>
                <w:i w:val="0"/>
                <w:iCs w:val="0"/>
                <w:color w:val="000000"/>
                <w:sz w:val="21"/>
                <w:szCs w:val="21"/>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78F4F">
            <w:pPr>
              <w:jc w:val="center"/>
              <w:rPr>
                <w:rFonts w:hint="eastAsia" w:ascii="仿宋" w:hAnsi="仿宋" w:eastAsia="仿宋" w:cs="仿宋"/>
                <w:i w:val="0"/>
                <w:iCs w:val="0"/>
                <w:color w:val="000000"/>
                <w:sz w:val="21"/>
                <w:szCs w:val="21"/>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8232C">
            <w:pPr>
              <w:jc w:val="center"/>
              <w:rPr>
                <w:rFonts w:hint="eastAsia" w:ascii="仿宋" w:hAnsi="仿宋" w:eastAsia="仿宋" w:cs="仿宋"/>
                <w:i w:val="0"/>
                <w:iCs w:val="0"/>
                <w:color w:val="000000"/>
                <w:sz w:val="21"/>
                <w:szCs w:val="21"/>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B2E1D">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8</w:t>
            </w:r>
            <w:r>
              <w:rPr>
                <w:rFonts w:hint="eastAsia" w:cs="仿宋"/>
                <w:i w:val="0"/>
                <w:iCs w:val="0"/>
                <w:color w:val="000000"/>
                <w:kern w:val="0"/>
                <w:sz w:val="21"/>
                <w:szCs w:val="21"/>
                <w:u w:val="none"/>
                <w:lang w:val="en-US" w:eastAsia="zh-CN" w:bidi="ar"/>
              </w:rPr>
              <w:t>1</w:t>
            </w:r>
            <w:r>
              <w:rPr>
                <w:rFonts w:hint="eastAsia" w:ascii="仿宋" w:hAnsi="仿宋" w:eastAsia="仿宋" w:cs="仿宋"/>
                <w:i w:val="0"/>
                <w:iCs w:val="0"/>
                <w:color w:val="000000"/>
                <w:kern w:val="0"/>
                <w:sz w:val="21"/>
                <w:szCs w:val="21"/>
                <w:u w:val="none"/>
                <w:lang w:val="en-US" w:eastAsia="zh-CN" w:bidi="ar"/>
              </w:rPr>
              <w:t>.</w:t>
            </w:r>
            <w:r>
              <w:rPr>
                <w:rFonts w:hint="eastAsia" w:cs="仿宋"/>
                <w:i w:val="0"/>
                <w:iCs w:val="0"/>
                <w:color w:val="000000"/>
                <w:kern w:val="0"/>
                <w:sz w:val="21"/>
                <w:szCs w:val="21"/>
                <w:u w:val="none"/>
                <w:lang w:val="en-US" w:eastAsia="zh-CN" w:bidi="ar"/>
              </w:rPr>
              <w:t>49</w:t>
            </w:r>
          </w:p>
        </w:tc>
        <w:tc>
          <w:tcPr>
            <w:tcW w:w="4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9439B">
            <w:pPr>
              <w:jc w:val="center"/>
              <w:rPr>
                <w:rFonts w:hint="eastAsia" w:ascii="宋体" w:hAnsi="宋体" w:eastAsia="宋体" w:cs="宋体"/>
                <w:i w:val="0"/>
                <w:iCs w:val="0"/>
                <w:color w:val="000000"/>
                <w:sz w:val="22"/>
                <w:szCs w:val="22"/>
                <w:u w:val="none"/>
              </w:rPr>
            </w:pPr>
          </w:p>
        </w:tc>
      </w:tr>
    </w:tbl>
    <w:p w14:paraId="210EC8F4">
      <w:pPr>
        <w:tabs>
          <w:tab w:val="left" w:pos="1026"/>
        </w:tabs>
        <w:bidi w:val="0"/>
        <w:jc w:val="left"/>
        <w:rPr>
          <w:rFonts w:hint="default" w:cs="Times New Roman"/>
          <w:kern w:val="2"/>
          <w:sz w:val="32"/>
          <w:szCs w:val="24"/>
          <w:lang w:val="en-US" w:eastAsia="zh-CN" w:bidi="ar-S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E4F937-EACD-4CF5-A5AD-C3554E9E46E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D4B740BD-FDDD-4CF4-8F3E-718F6D33CAD1}"/>
  </w:font>
  <w:font w:name="方正小标宋_GBK">
    <w:panose1 w:val="02000000000000000000"/>
    <w:charset w:val="86"/>
    <w:family w:val="auto"/>
    <w:pitch w:val="default"/>
    <w:sig w:usb0="A00002BF" w:usb1="38CF7CFA" w:usb2="00082016" w:usb3="00000000" w:csb0="00040001" w:csb1="00000000"/>
    <w:embedRegular r:id="rId3" w:fontKey="{3DFCF206-BFD7-4E8A-A63F-BF70A0A0E65F}"/>
  </w:font>
  <w:font w:name="仿宋_GB2312">
    <w:altName w:val="仿宋"/>
    <w:panose1 w:val="02010609030101010101"/>
    <w:charset w:val="86"/>
    <w:family w:val="modern"/>
    <w:pitch w:val="default"/>
    <w:sig w:usb0="00000000" w:usb1="00000000" w:usb2="00000000" w:usb3="00000000" w:csb0="00040000" w:csb1="00000000"/>
  </w:font>
  <w:font w:name="方正公文小标宋">
    <w:panose1 w:val="02000500000000000000"/>
    <w:charset w:val="86"/>
    <w:family w:val="auto"/>
    <w:pitch w:val="default"/>
    <w:sig w:usb0="A00002BF" w:usb1="38CF7CFA" w:usb2="00000016" w:usb3="00000000" w:csb0="00040001" w:csb1="00000000"/>
    <w:embedRegular r:id="rId4" w:fontKey="{4AA24746-73A2-4360-9022-AC9BCF3EB7DE}"/>
  </w:font>
  <w:font w:name="楷体">
    <w:panose1 w:val="02010609060101010101"/>
    <w:charset w:val="86"/>
    <w:family w:val="auto"/>
    <w:pitch w:val="default"/>
    <w:sig w:usb0="800002BF" w:usb1="38CF7CFA" w:usb2="00000016" w:usb3="00000000" w:csb0="00040001" w:csb1="00000000"/>
    <w:embedRegular r:id="rId5" w:fontKey="{0331E527-1DE1-4DA8-8E57-5328BFD7A863}"/>
  </w:font>
  <w:font w:name="微软雅黑">
    <w:panose1 w:val="020B0503020204020204"/>
    <w:charset w:val="86"/>
    <w:family w:val="auto"/>
    <w:pitch w:val="default"/>
    <w:sig w:usb0="80000287" w:usb1="2ACF3C50" w:usb2="00000016" w:usb3="00000000" w:csb0="0004001F" w:csb1="00000000"/>
  </w:font>
  <w:font w:name="方正大标宋_GBK">
    <w:panose1 w:val="02000000000000000000"/>
    <w:charset w:val="86"/>
    <w:family w:val="auto"/>
    <w:pitch w:val="default"/>
    <w:sig w:usb0="A00002BF" w:usb1="08CF7CFA" w:usb2="00000000" w:usb3="00000000" w:csb0="00040001" w:csb1="00000000"/>
    <w:embedRegular r:id="rId6" w:fontKey="{DD3787B1-906B-46E8-99CE-81AA5060E2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A1A5E">
    <w:pPr>
      <w:pStyle w:val="7"/>
      <w:ind w:firstLine="0" w:firstLineChars="0"/>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BB5D1F">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20BB5D1F">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769B9">
    <w:pPr>
      <w:pStyle w:val="7"/>
      <w:ind w:firstLine="0" w:firstLineChars="0"/>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604F3E">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E604F3E">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E6DD9">
    <w:pPr>
      <w:pStyle w:val="8"/>
      <w:ind w:left="3060" w:hanging="3060" w:hangingChars="1700"/>
      <w:jc w:val="left"/>
    </w:pPr>
    <w:r>
      <w:rPr>
        <w:rFonts w:hint="eastAsia"/>
      </w:rPr>
      <w:t>阳新县恒泰会计事务服务有限公司          阳新县宝塔湖污水处理厂扩建及提标升级工程绩效评价报告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3B0396"/>
    <w:multiLevelType w:val="singleLevel"/>
    <w:tmpl w:val="7E3B0396"/>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D39FF"/>
    <w:rsid w:val="002410B0"/>
    <w:rsid w:val="05212B27"/>
    <w:rsid w:val="0A330EAD"/>
    <w:rsid w:val="0D96166D"/>
    <w:rsid w:val="107714E3"/>
    <w:rsid w:val="11DD37F5"/>
    <w:rsid w:val="12767D92"/>
    <w:rsid w:val="12E568BA"/>
    <w:rsid w:val="18A932A1"/>
    <w:rsid w:val="18C33745"/>
    <w:rsid w:val="191748C4"/>
    <w:rsid w:val="196B1330"/>
    <w:rsid w:val="1B47294A"/>
    <w:rsid w:val="1CCE4B8B"/>
    <w:rsid w:val="1D9F2335"/>
    <w:rsid w:val="1E9A4645"/>
    <w:rsid w:val="2296797E"/>
    <w:rsid w:val="22B74B16"/>
    <w:rsid w:val="298634D8"/>
    <w:rsid w:val="29C32775"/>
    <w:rsid w:val="2BA521B9"/>
    <w:rsid w:val="2D095047"/>
    <w:rsid w:val="2D7B5EAC"/>
    <w:rsid w:val="2F087C0F"/>
    <w:rsid w:val="2FB87F3E"/>
    <w:rsid w:val="34B34216"/>
    <w:rsid w:val="35B544AB"/>
    <w:rsid w:val="37BF6B1E"/>
    <w:rsid w:val="38480B98"/>
    <w:rsid w:val="3879591B"/>
    <w:rsid w:val="388614C8"/>
    <w:rsid w:val="3A6677DF"/>
    <w:rsid w:val="3B632E9D"/>
    <w:rsid w:val="3ECE1855"/>
    <w:rsid w:val="42814DAE"/>
    <w:rsid w:val="44E81DAE"/>
    <w:rsid w:val="45636D8D"/>
    <w:rsid w:val="469758EC"/>
    <w:rsid w:val="499C7517"/>
    <w:rsid w:val="4A8B5979"/>
    <w:rsid w:val="4AF6627E"/>
    <w:rsid w:val="4D2F3630"/>
    <w:rsid w:val="50D31CBA"/>
    <w:rsid w:val="532173E7"/>
    <w:rsid w:val="559D39FF"/>
    <w:rsid w:val="574C57C7"/>
    <w:rsid w:val="58B22A1A"/>
    <w:rsid w:val="5BF768CF"/>
    <w:rsid w:val="5EF2720A"/>
    <w:rsid w:val="656B62C3"/>
    <w:rsid w:val="6B794FED"/>
    <w:rsid w:val="6B8A2269"/>
    <w:rsid w:val="6D245906"/>
    <w:rsid w:val="6E0E1EE1"/>
    <w:rsid w:val="6EAD37D5"/>
    <w:rsid w:val="74063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imes New Roman"/>
      <w:kern w:val="2"/>
      <w:sz w:val="32"/>
      <w:szCs w:val="24"/>
      <w:lang w:val="en-US" w:eastAsia="zh-CN" w:bidi="ar-SA"/>
    </w:rPr>
  </w:style>
  <w:style w:type="paragraph" w:styleId="2">
    <w:name w:val="heading 1"/>
    <w:basedOn w:val="1"/>
    <w:next w:val="1"/>
    <w:link w:val="16"/>
    <w:qFormat/>
    <w:uiPriority w:val="0"/>
    <w:pPr>
      <w:keepNext/>
      <w:keepLines/>
      <w:spacing w:before="340" w:after="330" w:line="480" w:lineRule="auto"/>
      <w:jc w:val="center"/>
      <w:outlineLvl w:val="0"/>
    </w:pPr>
    <w:rPr>
      <w:rFonts w:ascii="方正小标宋_GBK" w:hAnsi="方正小标宋_GBK" w:eastAsia="方正小标宋_GBK"/>
      <w:bCs/>
      <w:kern w:val="44"/>
      <w:sz w:val="44"/>
      <w:szCs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bCs/>
    </w:r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customStyle="1" w:styleId="16">
    <w:name w:val="标题 1 Char"/>
    <w:link w:val="2"/>
    <w:qFormat/>
    <w:uiPriority w:val="0"/>
    <w:rPr>
      <w:rFonts w:ascii="方正小标宋_GBK" w:hAnsi="方正小标宋_GBK" w:eastAsia="方正小标宋_GBK"/>
      <w:bCs/>
      <w:kern w:val="44"/>
      <w:sz w:val="44"/>
      <w:szCs w:val="44"/>
    </w:rPr>
  </w:style>
  <w:style w:type="paragraph" w:customStyle="1" w:styleId="17">
    <w:name w:val="闻政正文"/>
    <w:basedOn w:val="1"/>
    <w:autoRedefine/>
    <w:qFormat/>
    <w:uiPriority w:val="3"/>
    <w:pPr>
      <w:spacing w:line="500" w:lineRule="exact"/>
      <w:ind w:firstLine="200" w:firstLineChars="200"/>
    </w:pPr>
    <w:rPr>
      <w:rFonts w:ascii="Times New Roman" w:hAnsi="Times New Roman" w:eastAsia="仿宋_GB2312"/>
      <w:kern w:val="0"/>
      <w:sz w:val="28"/>
      <w:szCs w:val="28"/>
      <w:lang w:val="zh-CN"/>
    </w:rPr>
  </w:style>
  <w:style w:type="paragraph" w:customStyle="1" w:styleId="18">
    <w:name w:val="Table Text"/>
    <w:basedOn w:val="1"/>
    <w:semiHidden/>
    <w:qFormat/>
    <w:uiPriority w:val="0"/>
    <w:rPr>
      <w:rFonts w:ascii="宋体" w:hAnsi="宋体" w:eastAsia="宋体" w:cs="宋体"/>
      <w:sz w:val="21"/>
      <w:szCs w:val="21"/>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 w:type="character" w:customStyle="1" w:styleId="20">
    <w:name w:val="font31"/>
    <w:basedOn w:val="14"/>
    <w:qFormat/>
    <w:uiPriority w:val="0"/>
    <w:rPr>
      <w:rFonts w:hint="eastAsia" w:ascii="仿宋" w:hAnsi="仿宋" w:eastAsia="仿宋" w:cs="仿宋"/>
      <w:color w:val="000000"/>
      <w:sz w:val="21"/>
      <w:szCs w:val="21"/>
      <w:u w:val="none"/>
    </w:rPr>
  </w:style>
  <w:style w:type="character" w:customStyle="1" w:styleId="21">
    <w:name w:val="font91"/>
    <w:basedOn w:val="14"/>
    <w:qFormat/>
    <w:uiPriority w:val="0"/>
    <w:rPr>
      <w:rFonts w:hint="eastAsia" w:ascii="仿宋" w:hAnsi="仿宋" w:eastAsia="仿宋" w:cs="仿宋"/>
      <w:color w:val="FF0000"/>
      <w:sz w:val="21"/>
      <w:szCs w:val="21"/>
      <w:u w:val="none"/>
    </w:rPr>
  </w:style>
  <w:style w:type="character" w:customStyle="1" w:styleId="22">
    <w:name w:val="font81"/>
    <w:basedOn w:val="14"/>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defTabSz="914400">
              <a:defRPr lang="zh-CN" sz="1200" b="0" i="0" u="none" strike="noStrike" kern="1200" spc="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r>
              <a:rPr sz="1200"/>
              <a:t>宝塔湖污水处理厂2019-2024年污水处理量</a:t>
            </a:r>
            <a:endParaRPr sz="1200"/>
          </a:p>
        </c:rich>
      </c:tx>
      <c:layout/>
      <c:overlay val="0"/>
      <c:spPr>
        <a:noFill/>
        <a:ln>
          <a:noFill/>
        </a:ln>
        <a:effectLst/>
      </c:spPr>
    </c:title>
    <c:autoTitleDeleted val="0"/>
    <c:plotArea>
      <c:layout>
        <c:manualLayout>
          <c:layoutTarget val="inner"/>
          <c:xMode val="edge"/>
          <c:yMode val="edge"/>
          <c:x val="0.0833051461705726"/>
          <c:y val="0.258606034849129"/>
          <c:w val="0.890118386083595"/>
          <c:h val="0.628219294517637"/>
        </c:manualLayout>
      </c:layout>
      <c:lineChart>
        <c:grouping val="standard"/>
        <c:varyColors val="0"/>
        <c:ser>
          <c:idx val="0"/>
          <c:order val="0"/>
          <c:tx>
            <c:strRef>
              <c:f>Sheet1!$B$1</c:f>
              <c:strCache>
                <c:ptCount val="1"/>
                <c:pt idx="0">
                  <c:v>实际污水处理量（万吨）</c:v>
                </c:pt>
              </c:strCache>
            </c:strRef>
          </c:tx>
          <c:spPr>
            <a:ln w="25400" cap="rnd" cmpd="sng">
              <a:solidFill>
                <a:schemeClr val="accent1"/>
              </a:solidFill>
              <a:prstDash val="solid"/>
              <a:round/>
            </a:ln>
            <a:effectLst/>
          </c:spPr>
          <c:marker>
            <c:symbol val="circle"/>
            <c:size val="8"/>
            <c:spPr>
              <a:solidFill>
                <a:schemeClr val="accent1"/>
              </a:solidFill>
              <a:ln w="15875">
                <a:noFill/>
              </a:ln>
              <a:effectLst/>
            </c:spPr>
          </c:marker>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Sheet1!$A$2:$A$7</c:f>
              <c:numCache>
                <c:formatCode>General</c:formatCode>
                <c:ptCount val="6"/>
                <c:pt idx="0">
                  <c:v>2019</c:v>
                </c:pt>
                <c:pt idx="1">
                  <c:v>2020</c:v>
                </c:pt>
                <c:pt idx="2">
                  <c:v>2021</c:v>
                </c:pt>
                <c:pt idx="3">
                  <c:v>2022</c:v>
                </c:pt>
                <c:pt idx="4">
                  <c:v>2023</c:v>
                </c:pt>
                <c:pt idx="5">
                  <c:v>2024</c:v>
                </c:pt>
              </c:numCache>
            </c:numRef>
          </c:cat>
          <c:val>
            <c:numRef>
              <c:f>Sheet1!$B$2:$B$7</c:f>
              <c:numCache>
                <c:formatCode>General</c:formatCode>
                <c:ptCount val="6"/>
                <c:pt idx="0">
                  <c:v>1216.1544</c:v>
                </c:pt>
                <c:pt idx="1">
                  <c:v>1144.5389</c:v>
                </c:pt>
                <c:pt idx="2">
                  <c:v>1624.344</c:v>
                </c:pt>
                <c:pt idx="3">
                  <c:v>1754.15</c:v>
                </c:pt>
                <c:pt idx="4">
                  <c:v>1872.587</c:v>
                </c:pt>
                <c:pt idx="5">
                  <c:v>1683.9856</c:v>
                </c:pt>
              </c:numCache>
            </c:numRef>
          </c:val>
          <c:smooth val="0"/>
        </c:ser>
        <c:ser>
          <c:idx val="1"/>
          <c:order val="1"/>
          <c:tx>
            <c:strRef>
              <c:f>Sheet1!$C$1</c:f>
              <c:strCache>
                <c:ptCount val="1"/>
                <c:pt idx="0">
                  <c:v>污水处理保底量（万吨）</c:v>
                </c:pt>
              </c:strCache>
            </c:strRef>
          </c:tx>
          <c:spPr>
            <a:ln w="25400" cap="rnd" cmpd="sng">
              <a:solidFill>
                <a:schemeClr val="accent2"/>
              </a:solidFill>
              <a:prstDash val="solid"/>
              <a:round/>
            </a:ln>
            <a:effectLst/>
          </c:spPr>
          <c:marker>
            <c:symbol val="circle"/>
            <c:size val="8"/>
            <c:spPr>
              <a:solidFill>
                <a:schemeClr val="accent2"/>
              </a:solidFill>
              <a:ln w="15875">
                <a:noFill/>
              </a:ln>
              <a:effectLst/>
            </c:spPr>
          </c:marker>
          <c:dLbls>
            <c:delete val="1"/>
          </c:dLbls>
          <c:cat>
            <c:numRef>
              <c:f>Sheet1!$A$2:$A$7</c:f>
              <c:numCache>
                <c:formatCode>General</c:formatCode>
                <c:ptCount val="6"/>
                <c:pt idx="0">
                  <c:v>2019</c:v>
                </c:pt>
                <c:pt idx="1">
                  <c:v>2020</c:v>
                </c:pt>
                <c:pt idx="2">
                  <c:v>2021</c:v>
                </c:pt>
                <c:pt idx="3">
                  <c:v>2022</c:v>
                </c:pt>
                <c:pt idx="4">
                  <c:v>2023</c:v>
                </c:pt>
                <c:pt idx="5">
                  <c:v>2024</c:v>
                </c:pt>
              </c:numCache>
            </c:numRef>
          </c:cat>
          <c:val>
            <c:numRef>
              <c:f>Sheet1!$C$2:$C$7</c:f>
              <c:numCache>
                <c:formatCode>General</c:formatCode>
                <c:ptCount val="6"/>
                <c:pt idx="0">
                  <c:v>1314</c:v>
                </c:pt>
                <c:pt idx="1">
                  <c:v>1271.4</c:v>
                </c:pt>
                <c:pt idx="2">
                  <c:v>1588.2</c:v>
                </c:pt>
                <c:pt idx="3">
                  <c:v>1807</c:v>
                </c:pt>
                <c:pt idx="4">
                  <c:v>2026.2</c:v>
                </c:pt>
                <c:pt idx="5">
                  <c:v>2196</c:v>
                </c:pt>
              </c:numCache>
            </c:numRef>
          </c:val>
          <c:smooth val="0"/>
        </c:ser>
        <c:dLbls>
          <c:showLegendKey val="0"/>
          <c:showVal val="0"/>
          <c:showCatName val="0"/>
          <c:showSerName val="0"/>
          <c:showPercent val="0"/>
          <c:showBubbleSize val="0"/>
        </c:dLbls>
        <c:marker val="1"/>
        <c:smooth val="0"/>
        <c:axId val="25927577"/>
        <c:axId val="448116966"/>
      </c:lineChart>
      <c:catAx>
        <c:axId val="25927577"/>
        <c:scaling>
          <c:orientation val="minMax"/>
        </c:scaling>
        <c:delete val="0"/>
        <c:axPos val="b"/>
        <c:majorGridlines>
          <c:spPr>
            <a:ln w="9525" cap="flat" cmpd="sng" algn="ctr">
              <a:solidFill>
                <a:schemeClr val="tx1">
                  <a:lumMod val="50000"/>
                  <a:lumOff val="50000"/>
                  <a:alpha val="25000"/>
                </a:schemeClr>
              </a:solidFill>
              <a:round/>
            </a:ln>
            <a:effectLst/>
          </c:spPr>
        </c:majorGridlines>
        <c:numFmt formatCode="General" sourceLinked="1"/>
        <c:majorTickMark val="out"/>
        <c:minorTickMark val="none"/>
        <c:tickLblPos val="nextTo"/>
        <c:spPr>
          <a:noFill/>
          <a:ln w="6350" cap="flat" cmpd="sng" algn="ctr">
            <a:solidFill>
              <a:schemeClr val="tx1">
                <a:lumMod val="50000"/>
                <a:lumOff val="50000"/>
                <a:alpha val="25000"/>
              </a:schemeClr>
            </a:solidFill>
            <a:round/>
          </a:ln>
          <a:effectLst/>
        </c:spPr>
        <c:txPr>
          <a:bodyPr rot="-60000000" spcFirstLastPara="0" vertOverflow="ellipsis" vert="horz" wrap="square"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crossAx val="448116966"/>
        <c:crosses val="autoZero"/>
        <c:auto val="1"/>
        <c:lblAlgn val="ctr"/>
        <c:lblOffset val="100"/>
        <c:noMultiLvlLbl val="0"/>
      </c:catAx>
      <c:valAx>
        <c:axId val="448116966"/>
        <c:scaling>
          <c:orientation val="minMax"/>
        </c:scaling>
        <c:delete val="0"/>
        <c:axPos val="l"/>
        <c:majorGridlines>
          <c:spPr>
            <a:ln w="6350" cap="flat" cmpd="sng" algn="ctr">
              <a:solidFill>
                <a:schemeClr val="tx1">
                  <a:lumMod val="50000"/>
                  <a:lumOff val="50000"/>
                  <a:alpha val="25000"/>
                </a:schemeClr>
              </a:solidFill>
              <a:round/>
            </a:ln>
            <a:effectLst/>
          </c:spPr>
        </c:majorGridlines>
        <c:numFmt formatCode="General" sourceLinked="1"/>
        <c:majorTickMark val="none"/>
        <c:minorTickMark val="none"/>
        <c:tickLblPos val="nextTo"/>
        <c:spPr>
          <a:noFill/>
          <a:ln w="9525" cap="flat" cmpd="sng" algn="ctr">
            <a:noFill/>
            <a:round/>
          </a:ln>
          <a:effectLst/>
        </c:spPr>
        <c:txPr>
          <a:bodyPr rot="-60000000" spcFirstLastPara="0" vertOverflow="ellipsis" vert="horz" wrap="square"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crossAx val="25927577"/>
        <c:crosses val="autoZero"/>
        <c:crossBetween val="between"/>
      </c:valAx>
      <c:spPr>
        <a:noFill/>
        <a:ln>
          <a:noFill/>
        </a:ln>
        <a:effectLst>
          <a:outerShdw blurRad="50800" dist="38100" dir="2700000" algn="tl" rotWithShape="0">
            <a:prstClr val="black">
              <a:alpha val="20000"/>
            </a:prstClr>
          </a:outerShdw>
        </a:effectLst>
      </c:spPr>
    </c:plotArea>
    <c:legend>
      <c:legendPos val="t"/>
      <c:legendEntry>
        <c:idx val="0"/>
        <c:txPr>
          <a:bodyPr rot="0" spcFirstLastPara="0" vertOverflow="ellipsis" vert="horz" wrap="square"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egendEntry>
        <c:idx val="1"/>
        <c:txPr>
          <a:bodyPr rot="0" spcFirstLastPara="0" vertOverflow="ellipsis" vert="horz" wrap="square"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Entry>
      <c:layout>
        <c:manualLayout>
          <c:xMode val="edge"/>
          <c:yMode val="edge"/>
          <c:x val="0.188994926310703"/>
          <c:y val="0.149383765405865"/>
        </c:manualLayout>
      </c:layout>
      <c:overlay val="0"/>
      <c:spPr>
        <a:noFill/>
        <a:ln>
          <a:noFill/>
        </a:ln>
        <a:effectLst/>
      </c:spPr>
      <c:txPr>
        <a:bodyPr rot="0" spcFirstLastPara="0" vertOverflow="ellipsis" vert="horz" wrap="square"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09f26806-ba9b-463d-a992-d5751928c2d7}"/>
      </c:ext>
    </c:extLst>
  </c:chart>
  <c:spPr>
    <a:solidFill>
      <a:schemeClr val="bg1"/>
    </a:solidFill>
    <a:ln w="6350" cap="rnd" cmpd="sng" algn="ctr">
      <a:solidFill>
        <a:schemeClr val="tx1">
          <a:lumMod val="50000"/>
          <a:lumOff val="50000"/>
          <a:alpha val="25000"/>
        </a:schemeClr>
      </a:solidFill>
      <a:round/>
    </a:ln>
    <a:effectLst>
      <a:outerShdw blurRad="63500" dist="37357" dir="2700000" sx="0" sy="0" rotWithShape="0">
        <a:scrgbClr r="0" g="0" b="0"/>
      </a:outerShdw>
    </a:effectLst>
  </c:spPr>
  <c:txPr>
    <a:bodyPr/>
    <a:lstStyle/>
    <a:p>
      <a:pPr>
        <a:defRPr lang="zh-CN" sz="100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商务绿">
    <a:dk1>
      <a:srgbClr val="000000"/>
    </a:dk1>
    <a:lt1>
      <a:srgbClr val="FFFFFF"/>
    </a:lt1>
    <a:dk2>
      <a:srgbClr val="44546A"/>
    </a:dk2>
    <a:lt2>
      <a:srgbClr val="E7E6E6"/>
    </a:lt2>
    <a:accent1>
      <a:srgbClr val="1FAF97"/>
    </a:accent1>
    <a:accent2>
      <a:srgbClr val="474747"/>
    </a:accent2>
    <a:accent3>
      <a:srgbClr val="D9D9D9"/>
    </a:accent3>
    <a:accent4>
      <a:srgbClr val="9CD9DF"/>
    </a:accent4>
    <a:accent5>
      <a:srgbClr val="D9F3F6"/>
    </a:accent5>
    <a:accent6>
      <a:srgbClr val="3A6760"/>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17725</Words>
  <Characters>19006</Characters>
  <Lines>0</Lines>
  <Paragraphs>0</Paragraphs>
  <TotalTime>0</TotalTime>
  <ScaleCrop>false</ScaleCrop>
  <LinksUpToDate>false</LinksUpToDate>
  <CharactersWithSpaces>19219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2025-07-02T02:45:00Z</dcterms:created>
  <dc:creator>张建刚</dc:creator>
  <cp:lastModifiedBy>微信用户</cp:lastModifiedBy>
  <dcterms:modified xsi:type="dcterms:W3CDTF">2025-10-15T10:45:54Z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0A9EFC07B58945E885AF18D5B1E61261_13</vt:lpwstr>
  </property>
  <property fmtid="{D5CDD505-2E9C-101B-9397-08002B2CF9AE}" pid="4" name="KSOTemplateDocerSaveRecord">
    <vt:lpwstr>eyJoZGlkIjoiMzI2OGQwNzdhM2RhMTJmMmFiMWFkNWQ5NTFlMTMzYzYiLCJ1c2VySWQiOiIxMjYzMjc3NDE2In0=</vt:lpwstr>
  </property>
</Properties>
</file>