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姚体" w:hAnsi="方正姚体" w:eastAsia="方正姚体" w:cs="方正姚体"/>
          <w:b/>
          <w:color w:val="auto"/>
          <w:kern w:val="2"/>
          <w:sz w:val="56"/>
          <w:szCs w:val="56"/>
        </w:rPr>
      </w:pPr>
      <w:bookmarkStart w:id="0" w:name="_Hlk8285452"/>
    </w:p>
    <w:p>
      <w:pPr>
        <w:ind w:left="0" w:leftChars="0" w:firstLine="0" w:firstLineChars="0"/>
        <w:jc w:val="center"/>
        <w:rPr>
          <w:rFonts w:ascii="Times New Roman" w:hAnsi="Times New Roman" w:cs="Times New Roman"/>
          <w:b/>
          <w:bCs/>
          <w:spacing w:val="50"/>
          <w:sz w:val="44"/>
          <w:szCs w:val="44"/>
        </w:rPr>
      </w:pPr>
    </w:p>
    <w:p>
      <w:pPr>
        <w:snapToGrid w:val="0"/>
        <w:ind w:firstLine="0" w:firstLineChars="0"/>
        <w:jc w:val="center"/>
        <w:outlineLvl w:val="0"/>
        <w:rPr>
          <w:rFonts w:hint="eastAsia" w:ascii="Times New Roman" w:hAnsi="Times New Roman" w:eastAsia="方正姚体" w:cs="Times New Roman"/>
          <w:b/>
          <w:color w:val="auto"/>
          <w:sz w:val="44"/>
          <w:szCs w:val="44"/>
          <w:lang w:eastAsia="zh-CN"/>
        </w:rPr>
      </w:pPr>
      <w:bookmarkStart w:id="1" w:name="_Toc25999"/>
      <w:r>
        <w:rPr>
          <w:rFonts w:hint="eastAsia" w:ascii="Times New Roman" w:hAnsi="Times New Roman" w:eastAsia="方正姚体" w:cs="Times New Roman"/>
          <w:b/>
          <w:color w:val="auto"/>
          <w:sz w:val="44"/>
          <w:szCs w:val="44"/>
          <w:lang w:val="en-US" w:eastAsia="zh-CN"/>
        </w:rPr>
        <w:t>阳新经济开发区滨江工业园（医药化工园区）</w:t>
      </w:r>
      <w:r>
        <w:rPr>
          <w:rFonts w:hint="eastAsia" w:ascii="Times New Roman" w:hAnsi="Times New Roman" w:eastAsia="方正姚体" w:cs="Times New Roman"/>
          <w:b/>
          <w:color w:val="auto"/>
          <w:sz w:val="44"/>
          <w:szCs w:val="44"/>
        </w:rPr>
        <w:t>总体规划</w:t>
      </w:r>
      <w:r>
        <w:rPr>
          <w:rFonts w:hint="eastAsia" w:ascii="Times New Roman" w:hAnsi="Times New Roman" w:eastAsia="方正姚体" w:cs="Times New Roman"/>
          <w:b/>
          <w:color w:val="auto"/>
          <w:sz w:val="44"/>
          <w:szCs w:val="44"/>
          <w:lang w:eastAsia="zh-CN"/>
        </w:rPr>
        <w:t>（</w:t>
      </w:r>
      <w:r>
        <w:rPr>
          <w:rFonts w:hint="eastAsia" w:ascii="Times New Roman" w:hAnsi="Times New Roman" w:eastAsia="方正姚体" w:cs="Times New Roman"/>
          <w:b/>
          <w:color w:val="auto"/>
          <w:sz w:val="44"/>
          <w:szCs w:val="44"/>
          <w:lang w:val="en-US" w:eastAsia="zh-CN"/>
        </w:rPr>
        <w:t>2022-2035年</w:t>
      </w:r>
      <w:r>
        <w:rPr>
          <w:rFonts w:hint="eastAsia" w:ascii="Times New Roman" w:hAnsi="Times New Roman" w:eastAsia="方正姚体" w:cs="Times New Roman"/>
          <w:b/>
          <w:color w:val="auto"/>
          <w:sz w:val="44"/>
          <w:szCs w:val="44"/>
          <w:lang w:eastAsia="zh-CN"/>
        </w:rPr>
        <w:t>）</w:t>
      </w:r>
      <w:bookmarkEnd w:id="1"/>
    </w:p>
    <w:p>
      <w:pPr>
        <w:snapToGrid w:val="0"/>
        <w:ind w:firstLine="0" w:firstLineChars="0"/>
        <w:jc w:val="center"/>
        <w:outlineLvl w:val="0"/>
        <w:rPr>
          <w:rFonts w:hint="default" w:ascii="Times New Roman" w:hAnsi="Times New Roman" w:eastAsia="方正姚体" w:cs="Times New Roman"/>
          <w:b/>
          <w:color w:val="auto"/>
          <w:sz w:val="44"/>
          <w:szCs w:val="44"/>
        </w:rPr>
      </w:pPr>
      <w:bookmarkStart w:id="2" w:name="_Toc7724"/>
      <w:r>
        <w:rPr>
          <w:rFonts w:hint="default" w:ascii="Times New Roman" w:hAnsi="Times New Roman" w:eastAsia="方正姚体" w:cs="Times New Roman"/>
          <w:b/>
          <w:color w:val="auto"/>
          <w:sz w:val="44"/>
          <w:szCs w:val="44"/>
        </w:rPr>
        <w:t>环境影响报告书</w:t>
      </w:r>
      <w:bookmarkEnd w:id="2"/>
    </w:p>
    <w:p>
      <w:pPr>
        <w:ind w:left="0" w:leftChars="0" w:firstLine="0" w:firstLineChars="0"/>
        <w:jc w:val="center"/>
        <w:outlineLvl w:val="0"/>
        <w:rPr>
          <w:rFonts w:ascii="Times New Roman" w:hAnsi="Times New Roman" w:eastAsia="黑体" w:cs="Times New Roman"/>
          <w:b/>
          <w:bCs/>
          <w:spacing w:val="20"/>
          <w:sz w:val="48"/>
        </w:rPr>
      </w:pPr>
      <w:bookmarkStart w:id="3" w:name="_Toc10906"/>
      <w:r>
        <w:rPr>
          <w:rFonts w:hint="eastAsia" w:ascii="方正姚体" w:eastAsia="方正姚体"/>
          <w:b/>
          <w:sz w:val="36"/>
          <w:szCs w:val="36"/>
        </w:rPr>
        <w:t>（</w:t>
      </w:r>
      <w:r>
        <w:rPr>
          <w:rFonts w:hint="eastAsia" w:ascii="方正姚体" w:eastAsia="方正姚体"/>
          <w:b/>
          <w:sz w:val="36"/>
          <w:szCs w:val="36"/>
          <w:lang w:val="en-US" w:eastAsia="zh-CN"/>
        </w:rPr>
        <w:t>征求意见</w:t>
      </w:r>
      <w:r>
        <w:rPr>
          <w:rFonts w:hint="eastAsia" w:ascii="方正姚体" w:eastAsia="方正姚体"/>
          <w:b/>
          <w:sz w:val="36"/>
          <w:szCs w:val="36"/>
        </w:rPr>
        <w:t>稿）</w:t>
      </w:r>
      <w:bookmarkEnd w:id="3"/>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jc w:val="center"/>
        <w:rPr>
          <w:rFonts w:ascii="Times New Roman" w:hAnsi="Times New Roman" w:cs="Times New Roman"/>
          <w:b/>
          <w:bCs/>
          <w:spacing w:val="20"/>
          <w:sz w:val="36"/>
          <w:szCs w:val="36"/>
        </w:rPr>
      </w:pPr>
    </w:p>
    <w:p>
      <w:pPr>
        <w:ind w:left="0" w:leftChars="0" w:firstLine="0" w:firstLineChars="0"/>
        <w:rPr>
          <w:rFonts w:ascii="Times New Roman" w:hAnsi="Times New Roman" w:cs="Times New Roman"/>
        </w:rPr>
      </w:pPr>
    </w:p>
    <w:p>
      <w:pPr>
        <w:ind w:left="0" w:leftChars="0" w:firstLine="0" w:firstLineChars="0"/>
        <w:rPr>
          <w:rFonts w:ascii="Times New Roman" w:hAnsi="Times New Roman" w:cs="Times New Roman"/>
        </w:rPr>
      </w:pPr>
    </w:p>
    <w:p>
      <w:pPr>
        <w:ind w:left="0" w:leftChars="0" w:firstLine="0" w:firstLineChars="0"/>
        <w:rPr>
          <w:rFonts w:ascii="Times New Roman" w:hAnsi="Times New Roman" w:cs="Times New Roman"/>
        </w:rPr>
      </w:pPr>
    </w:p>
    <w:p>
      <w:pPr>
        <w:ind w:left="0" w:leftChars="0" w:firstLine="0" w:firstLineChars="0"/>
        <w:jc w:val="center"/>
        <w:outlineLvl w:val="0"/>
        <w:rPr>
          <w:rFonts w:ascii="方正姚体" w:hAnsi="Times New Roman" w:eastAsia="方正姚体" w:cs="Times New Roman"/>
          <w:b/>
          <w:sz w:val="36"/>
          <w:szCs w:val="32"/>
        </w:rPr>
      </w:pPr>
      <w:bookmarkStart w:id="4" w:name="_Toc22297"/>
      <w:bookmarkStart w:id="5" w:name="_Toc562"/>
      <w:r>
        <w:rPr>
          <w:rFonts w:ascii="方正姚体" w:hAnsi="Times New Roman" w:eastAsia="方正姚体" w:cs="Times New Roman"/>
          <w:b/>
          <w:sz w:val="36"/>
          <w:szCs w:val="32"/>
        </w:rPr>
        <w:t>委托单位：</w:t>
      </w:r>
      <w:bookmarkEnd w:id="4"/>
      <w:r>
        <w:rPr>
          <w:rFonts w:hint="eastAsia" w:ascii="方正姚体" w:hAnsi="Times New Roman" w:eastAsia="方正姚体" w:cs="Times New Roman"/>
          <w:b/>
          <w:sz w:val="36"/>
          <w:szCs w:val="32"/>
          <w:highlight w:val="none"/>
        </w:rPr>
        <w:t>阳新县富池镇人民政府</w:t>
      </w:r>
      <w:bookmarkEnd w:id="5"/>
    </w:p>
    <w:p>
      <w:pPr>
        <w:ind w:left="0" w:leftChars="0" w:firstLine="0" w:firstLineChars="0"/>
        <w:jc w:val="center"/>
        <w:outlineLvl w:val="0"/>
        <w:rPr>
          <w:rFonts w:ascii="方正姚体" w:hAnsi="Times New Roman" w:eastAsia="方正姚体" w:cs="Times New Roman"/>
          <w:b/>
          <w:sz w:val="36"/>
          <w:szCs w:val="32"/>
        </w:rPr>
      </w:pPr>
      <w:bookmarkStart w:id="6" w:name="_Toc26032"/>
      <w:bookmarkStart w:id="7" w:name="_Toc15685"/>
      <w:r>
        <w:rPr>
          <w:rFonts w:ascii="方正姚体" w:hAnsi="Times New Roman" w:eastAsia="方正姚体" w:cs="Times New Roman"/>
          <w:b/>
          <w:sz w:val="36"/>
          <w:szCs w:val="32"/>
        </w:rPr>
        <w:t>评价单位：中南安全环境技术研究院股份有限公司</w:t>
      </w:r>
      <w:bookmarkEnd w:id="6"/>
      <w:bookmarkEnd w:id="7"/>
    </w:p>
    <w:p>
      <w:pPr>
        <w:bidi w:val="0"/>
        <w:ind w:left="0" w:leftChars="0" w:firstLine="0" w:firstLineChars="0"/>
        <w:jc w:val="center"/>
        <w:rPr>
          <w:rFonts w:hint="default" w:ascii="Times New Roman" w:hAnsi="Times New Roman" w:eastAsia="方正姚体" w:cs="Times New Roman"/>
          <w:b/>
          <w:color w:val="auto"/>
          <w:sz w:val="36"/>
          <w:szCs w:val="32"/>
        </w:rPr>
      </w:pPr>
      <w:r>
        <w:rPr>
          <w:rFonts w:hint="default" w:ascii="Times New Roman" w:hAnsi="Times New Roman" w:eastAsia="方正姚体" w:cs="Times New Roman"/>
          <w:b/>
          <w:color w:val="auto"/>
          <w:sz w:val="36"/>
          <w:szCs w:val="32"/>
        </w:rPr>
        <w:t>二零二二年</w:t>
      </w:r>
      <w:r>
        <w:rPr>
          <w:rFonts w:hint="eastAsia" w:ascii="Times New Roman" w:hAnsi="Times New Roman" w:eastAsia="方正姚体" w:cs="Times New Roman"/>
          <w:b/>
          <w:color w:val="auto"/>
          <w:sz w:val="36"/>
          <w:szCs w:val="32"/>
          <w:lang w:val="en-US" w:eastAsia="zh-CN"/>
        </w:rPr>
        <w:t>十</w:t>
      </w:r>
      <w:r>
        <w:rPr>
          <w:rFonts w:hint="default" w:ascii="Times New Roman" w:hAnsi="Times New Roman" w:eastAsia="方正姚体" w:cs="Times New Roman"/>
          <w:b/>
          <w:color w:val="auto"/>
          <w:sz w:val="36"/>
          <w:szCs w:val="32"/>
        </w:rPr>
        <w:t>月</w:t>
      </w:r>
    </w:p>
    <w:p>
      <w:pPr>
        <w:pStyle w:val="15"/>
        <w:ind w:left="0" w:leftChars="0" w:firstLine="0" w:firstLineChars="0"/>
      </w:pPr>
    </w:p>
    <w:bookmarkEnd w:id="0"/>
    <w:sdt>
      <w:sdtPr>
        <w:rPr>
          <w:rFonts w:ascii="宋体" w:hAnsi="宋体" w:eastAsia="宋体" w:cstheme="minorBidi"/>
          <w:kern w:val="2"/>
          <w:sz w:val="21"/>
          <w:szCs w:val="24"/>
          <w:lang w:val="en-US" w:eastAsia="zh-CN" w:bidi="ar-SA"/>
        </w:rPr>
        <w:id w:val="147453270"/>
        <w15:color w:val="DBDBDB"/>
        <w:docPartObj>
          <w:docPartGallery w:val="Table of Contents"/>
          <w:docPartUnique/>
        </w:docPartObj>
      </w:sdtPr>
      <w:sdtEndPr>
        <w:rPr>
          <w:rFonts w:hint="eastAsia" w:ascii="宋体" w:hAnsi="宋体" w:eastAsia="宋体" w:cstheme="minorBidi"/>
          <w:b/>
          <w:bCs/>
          <w:kern w:val="2"/>
          <w:sz w:val="24"/>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45"/>
            <w:tabs>
              <w:tab w:val="right" w:leader="dot" w:pos="8306"/>
            </w:tabs>
            <w:jc w:val="center"/>
            <w:rPr>
              <w:rFonts w:hint="eastAsia" w:ascii="宋体" w:hAnsi="宋体" w:eastAsia="宋体"/>
              <w:b/>
              <w:bCs/>
              <w:sz w:val="28"/>
              <w:szCs w:val="28"/>
              <w:lang w:val="en-US" w:eastAsia="zh-CN"/>
            </w:rPr>
          </w:pPr>
          <w:r>
            <w:rPr>
              <w:rFonts w:hint="eastAsia" w:ascii="宋体" w:hAnsi="宋体" w:eastAsia="宋体"/>
              <w:b/>
              <w:bCs/>
              <w:sz w:val="32"/>
              <w:szCs w:val="32"/>
              <w:lang w:val="en-US" w:eastAsia="zh-CN"/>
            </w:rPr>
            <w:t>目  录</w:t>
          </w:r>
          <w:r>
            <w:rPr>
              <w:rFonts w:hint="eastAsia" w:ascii="宋体" w:hAnsi="宋体" w:eastAsia="宋体"/>
              <w:b/>
              <w:bCs/>
              <w:sz w:val="28"/>
              <w:szCs w:val="28"/>
              <w:lang w:val="en-US" w:eastAsia="zh-CN"/>
            </w:rPr>
            <w:fldChar w:fldCharType="begin"/>
          </w:r>
          <w:r>
            <w:rPr>
              <w:rFonts w:hint="eastAsia" w:ascii="宋体" w:hAnsi="宋体" w:eastAsia="宋体"/>
              <w:b/>
              <w:bCs/>
              <w:sz w:val="28"/>
              <w:szCs w:val="28"/>
              <w:lang w:val="en-US" w:eastAsia="zh-CN"/>
            </w:rPr>
            <w:instrText xml:space="preserve">TOC \o "1-2" \h \u </w:instrText>
          </w:r>
          <w:r>
            <w:rPr>
              <w:rFonts w:hint="eastAsia" w:ascii="宋体" w:hAnsi="宋体" w:eastAsia="宋体"/>
              <w:b/>
              <w:bCs/>
              <w:sz w:val="28"/>
              <w:szCs w:val="28"/>
              <w:lang w:val="en-US" w:eastAsia="zh-CN"/>
            </w:rPr>
            <w:fldChar w:fldCharType="separate"/>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_Toc6549 </w:instrText>
          </w:r>
          <w:r>
            <w:rPr>
              <w:rFonts w:hint="eastAsia" w:ascii="宋体" w:hAnsi="宋体" w:eastAsia="宋体"/>
              <w:b/>
              <w:bCs/>
              <w:szCs w:val="28"/>
              <w:lang w:val="en-US" w:eastAsia="zh-CN"/>
            </w:rPr>
            <w:fldChar w:fldCharType="separate"/>
          </w:r>
          <w:r>
            <w:rPr>
              <w:rFonts w:hint="default" w:ascii="Times New Roman" w:hAnsi="Times New Roman" w:eastAsia="黑体"/>
              <w:b/>
              <w:i w:val="0"/>
            </w:rPr>
            <w:t xml:space="preserve">1 </w:t>
          </w:r>
          <w:r>
            <w:rPr>
              <w:rFonts w:hint="eastAsia"/>
              <w:b/>
              <w:lang w:val="en-US" w:eastAsia="zh-CN"/>
            </w:rPr>
            <w:t>总则</w:t>
          </w:r>
          <w:r>
            <w:rPr>
              <w:b/>
            </w:rPr>
            <w:tab/>
          </w:r>
          <w:r>
            <w:rPr>
              <w:b/>
            </w:rPr>
            <w:fldChar w:fldCharType="begin"/>
          </w:r>
          <w:r>
            <w:rPr>
              <w:b/>
            </w:rPr>
            <w:instrText xml:space="preserve"> PAGEREF _Toc6549 \h </w:instrText>
          </w:r>
          <w:r>
            <w:rPr>
              <w:b/>
            </w:rPr>
            <w:fldChar w:fldCharType="separate"/>
          </w:r>
          <w:r>
            <w:rPr>
              <w:b/>
            </w:rPr>
            <w:t>1</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_Toc19255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1.1 </w:t>
          </w:r>
          <w:r>
            <w:rPr>
              <w:rFonts w:hint="eastAsia"/>
              <w:lang w:val="en-US" w:eastAsia="zh-CN"/>
            </w:rPr>
            <w:t>项目背景</w:t>
          </w:r>
          <w:r>
            <w:tab/>
          </w:r>
          <w:r>
            <w:fldChar w:fldCharType="begin"/>
          </w:r>
          <w:r>
            <w:instrText xml:space="preserve"> PAGEREF _Toc19255 \h </w:instrText>
          </w:r>
          <w:r>
            <w:fldChar w:fldCharType="separate"/>
          </w:r>
          <w:r>
            <w:t>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_Toc21773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1.2 </w:t>
          </w:r>
          <w:r>
            <w:rPr>
              <w:rFonts w:hint="eastAsia" w:ascii="Times New Roman" w:hAnsi="Times New Roman"/>
              <w:lang w:val="en-US" w:eastAsia="zh-CN"/>
            </w:rPr>
            <w:t>评价目的与原则</w:t>
          </w:r>
          <w:r>
            <w:tab/>
          </w:r>
          <w:r>
            <w:fldChar w:fldCharType="begin"/>
          </w:r>
          <w:r>
            <w:instrText xml:space="preserve"> PAGEREF _Toc21773 \h </w:instrText>
          </w:r>
          <w:r>
            <w:fldChar w:fldCharType="separate"/>
          </w:r>
          <w:r>
            <w:t>3</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_Toc1869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1.3 </w:t>
          </w:r>
          <w:r>
            <w:rPr>
              <w:rFonts w:hint="eastAsia" w:ascii="Times New Roman" w:hAnsi="Times New Roman"/>
              <w:lang w:val="en-US" w:eastAsia="zh-CN"/>
            </w:rPr>
            <w:t>评价范围与时段</w:t>
          </w:r>
          <w:r>
            <w:tab/>
          </w:r>
          <w:r>
            <w:fldChar w:fldCharType="begin"/>
          </w:r>
          <w:r>
            <w:instrText xml:space="preserve"> PAGEREF _Toc1869 \h </w:instrText>
          </w:r>
          <w:r>
            <w:fldChar w:fldCharType="separate"/>
          </w:r>
          <w:r>
            <w:t>4</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_Toc15735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1.4 </w:t>
          </w:r>
          <w:r>
            <w:rPr>
              <w:rFonts w:hint="eastAsia" w:ascii="Times New Roman" w:hAnsi="Times New Roman"/>
              <w:lang w:val="en-US" w:eastAsia="zh-CN"/>
            </w:rPr>
            <w:t>评价重点</w:t>
          </w:r>
          <w:r>
            <w:tab/>
          </w:r>
          <w:r>
            <w:fldChar w:fldCharType="begin"/>
          </w:r>
          <w:r>
            <w:instrText xml:space="preserve"> PAGEREF _Toc15735 \h </w:instrText>
          </w:r>
          <w:r>
            <w:fldChar w:fldCharType="separate"/>
          </w:r>
          <w:r>
            <w:t>5</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_Toc16293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rPr>
            <w:t xml:space="preserve">1.5 </w:t>
          </w:r>
          <w:r>
            <w:rPr>
              <w:rFonts w:hint="eastAsia"/>
              <w:lang w:val="en-US" w:eastAsia="zh-CN"/>
            </w:rPr>
            <w:t>环境功能区划与评价标准</w:t>
          </w:r>
          <w:r>
            <w:tab/>
          </w:r>
          <w:r>
            <w:fldChar w:fldCharType="begin"/>
          </w:r>
          <w:r>
            <w:instrText xml:space="preserve"> PAGEREF _Toc16293 \h </w:instrText>
          </w:r>
          <w:r>
            <w:fldChar w:fldCharType="separate"/>
          </w:r>
          <w:r>
            <w:t>6</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_Toc26825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rPr>
            <w:t xml:space="preserve">1.6 </w:t>
          </w:r>
          <w:r>
            <w:rPr>
              <w:rFonts w:hint="eastAsia" w:ascii="Times New Roman" w:hAnsi="Times New Roman"/>
              <w:lang w:val="en-US" w:eastAsia="zh-CN"/>
            </w:rPr>
            <w:t>评价总体思路及技术路线</w:t>
          </w:r>
          <w:r>
            <w:tab/>
          </w:r>
          <w:r>
            <w:fldChar w:fldCharType="begin"/>
          </w:r>
          <w:r>
            <w:instrText xml:space="preserve"> PAGEREF _Toc26825 \h </w:instrText>
          </w:r>
          <w:r>
            <w:fldChar w:fldCharType="separate"/>
          </w:r>
          <w:r>
            <w:t>8</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_Toc17734 </w:instrText>
          </w:r>
          <w:r>
            <w:rPr>
              <w:rFonts w:hint="eastAsia" w:ascii="宋体" w:hAnsi="宋体" w:eastAsia="宋体"/>
              <w:b/>
              <w:bCs/>
              <w:szCs w:val="28"/>
              <w:lang w:val="en-US" w:eastAsia="zh-CN"/>
            </w:rPr>
            <w:fldChar w:fldCharType="separate"/>
          </w:r>
          <w:r>
            <w:rPr>
              <w:rFonts w:hint="default" w:ascii="Times New Roman" w:hAnsi="Times New Roman" w:eastAsia="黑体"/>
              <w:b/>
              <w:i w:val="0"/>
            </w:rPr>
            <w:t xml:space="preserve">2 </w:t>
          </w:r>
          <w:r>
            <w:rPr>
              <w:rFonts w:hint="eastAsia"/>
              <w:b/>
              <w:lang w:val="en-US" w:eastAsia="zh-CN"/>
            </w:rPr>
            <w:t>规划方案分析</w:t>
          </w:r>
          <w:r>
            <w:rPr>
              <w:b/>
            </w:rPr>
            <w:tab/>
          </w:r>
          <w:r>
            <w:rPr>
              <w:b/>
            </w:rPr>
            <w:fldChar w:fldCharType="begin"/>
          </w:r>
          <w:r>
            <w:rPr>
              <w:b/>
            </w:rPr>
            <w:instrText xml:space="preserve"> PAGEREF _Toc17734 \h </w:instrText>
          </w:r>
          <w:r>
            <w:rPr>
              <w:b/>
            </w:rPr>
            <w:fldChar w:fldCharType="separate"/>
          </w:r>
          <w:r>
            <w:rPr>
              <w:b/>
            </w:rPr>
            <w:t>11</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_Toc13123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2.1 </w:t>
          </w:r>
          <w:r>
            <w:rPr>
              <w:rFonts w:hint="eastAsia" w:ascii="Times New Roman" w:hAnsi="Times New Roman"/>
              <w:lang w:val="en-US" w:eastAsia="zh-CN"/>
            </w:rPr>
            <w:t>规划方案概述</w:t>
          </w:r>
          <w:r>
            <w:tab/>
          </w:r>
          <w:r>
            <w:fldChar w:fldCharType="begin"/>
          </w:r>
          <w:r>
            <w:instrText xml:space="preserve"> PAGEREF _Toc13123 \h </w:instrText>
          </w:r>
          <w:r>
            <w:fldChar w:fldCharType="separate"/>
          </w:r>
          <w:r>
            <w:t>11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_Toc32093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2.2 </w:t>
          </w:r>
          <w:r>
            <w:rPr>
              <w:rFonts w:hint="eastAsia"/>
              <w:lang w:val="en-US" w:eastAsia="zh-CN"/>
            </w:rPr>
            <w:t>规划协调性分析</w:t>
          </w:r>
          <w:r>
            <w:tab/>
          </w:r>
          <w:r>
            <w:fldChar w:fldCharType="begin"/>
          </w:r>
          <w:r>
            <w:instrText xml:space="preserve"> PAGEREF _Toc32093 \h </w:instrText>
          </w:r>
          <w:r>
            <w:fldChar w:fldCharType="separate"/>
          </w:r>
          <w:r>
            <w:t>28</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_Toc18315 </w:instrText>
          </w:r>
          <w:r>
            <w:rPr>
              <w:rFonts w:hint="eastAsia" w:ascii="宋体" w:hAnsi="宋体" w:eastAsia="宋体"/>
              <w:b/>
              <w:bCs/>
              <w:szCs w:val="28"/>
              <w:lang w:val="en-US" w:eastAsia="zh-CN"/>
            </w:rPr>
            <w:fldChar w:fldCharType="separate"/>
          </w:r>
          <w:r>
            <w:rPr>
              <w:rFonts w:hint="default" w:ascii="Times New Roman" w:hAnsi="Times New Roman" w:eastAsia="黑体"/>
              <w:b/>
              <w:i w:val="0"/>
              <w:lang w:val="en-US" w:eastAsia="zh-CN"/>
            </w:rPr>
            <w:t xml:space="preserve">3 </w:t>
          </w:r>
          <w:r>
            <w:rPr>
              <w:rFonts w:hint="default" w:ascii="Times New Roman" w:hAnsi="Times New Roman" w:cs="Times New Roman"/>
              <w:b/>
              <w:lang w:val="en-US" w:eastAsia="zh-CN"/>
            </w:rPr>
            <w:t>区域环境质量现状调查及变化趋势分析</w:t>
          </w:r>
          <w:r>
            <w:rPr>
              <w:b/>
            </w:rPr>
            <w:tab/>
          </w:r>
          <w:r>
            <w:rPr>
              <w:b/>
            </w:rPr>
            <w:fldChar w:fldCharType="begin"/>
          </w:r>
          <w:r>
            <w:rPr>
              <w:b/>
            </w:rPr>
            <w:instrText xml:space="preserve"> PAGEREF _Toc18315 \h </w:instrText>
          </w:r>
          <w:r>
            <w:rPr>
              <w:b/>
            </w:rPr>
            <w:fldChar w:fldCharType="separate"/>
          </w:r>
          <w:r>
            <w:rPr>
              <w:b/>
            </w:rPr>
            <w:t>31</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_Toc383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3.1 </w:t>
          </w:r>
          <w:r>
            <w:t>化工园环境质量现状调查</w:t>
          </w:r>
          <w:r>
            <w:tab/>
          </w:r>
          <w:r>
            <w:fldChar w:fldCharType="begin"/>
          </w:r>
          <w:r>
            <w:instrText xml:space="preserve"> PAGEREF _Toc383 \h </w:instrText>
          </w:r>
          <w:r>
            <w:fldChar w:fldCharType="separate"/>
          </w:r>
          <w:r>
            <w:t>31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_Toc5212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3.2 </w:t>
          </w:r>
          <w:r>
            <w:t>化工园环境质量变化趋势分析</w:t>
          </w:r>
          <w:r>
            <w:tab/>
          </w:r>
          <w:r>
            <w:fldChar w:fldCharType="begin"/>
          </w:r>
          <w:r>
            <w:instrText xml:space="preserve"> PAGEREF _Toc5212 \h </w:instrText>
          </w:r>
          <w:r>
            <w:fldChar w:fldCharType="separate"/>
          </w:r>
          <w:r>
            <w:t>34</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_Toc15113 </w:instrText>
          </w:r>
          <w:r>
            <w:rPr>
              <w:rFonts w:hint="eastAsia" w:ascii="宋体" w:hAnsi="宋体" w:eastAsia="宋体"/>
              <w:b/>
              <w:bCs/>
              <w:szCs w:val="28"/>
              <w:lang w:val="en-US" w:eastAsia="zh-CN"/>
            </w:rPr>
            <w:fldChar w:fldCharType="separate"/>
          </w:r>
          <w:r>
            <w:rPr>
              <w:rFonts w:hint="default" w:ascii="Times New Roman" w:hAnsi="Times New Roman" w:eastAsia="黑体"/>
              <w:b/>
              <w:i w:val="0"/>
            </w:rPr>
            <w:t xml:space="preserve">4 </w:t>
          </w:r>
          <w:r>
            <w:rPr>
              <w:rFonts w:hint="default"/>
              <w:b/>
            </w:rPr>
            <w:t>规划区域开发现状概述、规划制约因素</w:t>
          </w:r>
          <w:r>
            <w:rPr>
              <w:b/>
            </w:rPr>
            <w:tab/>
          </w:r>
          <w:r>
            <w:rPr>
              <w:b/>
            </w:rPr>
            <w:fldChar w:fldCharType="begin"/>
          </w:r>
          <w:r>
            <w:rPr>
              <w:b/>
            </w:rPr>
            <w:instrText xml:space="preserve"> PAGEREF _Toc15113 \h </w:instrText>
          </w:r>
          <w:r>
            <w:rPr>
              <w:b/>
            </w:rPr>
            <w:fldChar w:fldCharType="separate"/>
          </w:r>
          <w:r>
            <w:rPr>
              <w:b/>
            </w:rPr>
            <w:t>38</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_Toc1256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4.1 </w:t>
          </w:r>
          <w:r>
            <w:rPr>
              <w:rFonts w:hint="eastAsia"/>
              <w:lang w:val="en-US" w:eastAsia="zh-CN"/>
            </w:rPr>
            <w:t>园区开发建设现状</w:t>
          </w:r>
          <w:r>
            <w:tab/>
          </w:r>
          <w:r>
            <w:fldChar w:fldCharType="begin"/>
          </w:r>
          <w:r>
            <w:instrText xml:space="preserve"> PAGEREF _Toc1256 \h </w:instrText>
          </w:r>
          <w:r>
            <w:fldChar w:fldCharType="separate"/>
          </w:r>
          <w:r>
            <w:t>38</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_Toc6790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4.2 </w:t>
          </w:r>
          <w:r>
            <w:rPr>
              <w:rFonts w:hint="eastAsia"/>
              <w:lang w:val="en-US" w:eastAsia="zh-CN"/>
            </w:rPr>
            <w:t>园区基础设施现状</w:t>
          </w:r>
          <w:r>
            <w:tab/>
          </w:r>
          <w:r>
            <w:fldChar w:fldCharType="begin"/>
          </w:r>
          <w:r>
            <w:instrText xml:space="preserve"> PAGEREF _Toc6790 \h </w:instrText>
          </w:r>
          <w:r>
            <w:fldChar w:fldCharType="separate"/>
          </w:r>
          <w:r>
            <w:t>40</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_Toc14632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4.3 </w:t>
          </w:r>
          <w:r>
            <w:rPr>
              <w:rFonts w:hint="eastAsia"/>
              <w:lang w:val="en-US" w:eastAsia="zh-CN"/>
            </w:rPr>
            <w:t>园区环境管理现状</w:t>
          </w:r>
          <w:r>
            <w:tab/>
          </w:r>
          <w:r>
            <w:fldChar w:fldCharType="begin"/>
          </w:r>
          <w:r>
            <w:instrText xml:space="preserve"> PAGEREF _Toc14632 \h </w:instrText>
          </w:r>
          <w:r>
            <w:fldChar w:fldCharType="separate"/>
          </w:r>
          <w:r>
            <w:t>42</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_Toc21315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4.4 </w:t>
          </w:r>
          <w:r>
            <w:rPr>
              <w:rFonts w:hint="eastAsia"/>
              <w:lang w:val="en-US" w:eastAsia="zh-CN"/>
            </w:rPr>
            <w:t>园区环境</w:t>
          </w:r>
          <w:r>
            <w:rPr>
              <w:rFonts w:hint="eastAsia" w:ascii="Times New Roman" w:hAnsi="Times New Roman"/>
              <w:lang w:val="en-US" w:eastAsia="zh-CN"/>
            </w:rPr>
            <w:t>监管</w:t>
          </w:r>
          <w:r>
            <w:rPr>
              <w:rFonts w:hint="eastAsia"/>
              <w:lang w:val="en-US" w:eastAsia="zh-CN"/>
            </w:rPr>
            <w:t>能力现状</w:t>
          </w:r>
          <w:r>
            <w:tab/>
          </w:r>
          <w:r>
            <w:fldChar w:fldCharType="begin"/>
          </w:r>
          <w:r>
            <w:instrText xml:space="preserve"> PAGEREF _Toc21315 \h </w:instrText>
          </w:r>
          <w:r>
            <w:fldChar w:fldCharType="separate"/>
          </w:r>
          <w:r>
            <w:t>43</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_Toc9630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4.5 </w:t>
          </w:r>
          <w:r>
            <w:rPr>
              <w:rFonts w:hint="eastAsia"/>
              <w:lang w:val="en-US" w:eastAsia="zh-CN"/>
            </w:rPr>
            <w:t>规划区</w:t>
          </w:r>
          <w:r>
            <w:rPr>
              <w:rFonts w:hint="eastAsia" w:ascii="Times New Roman" w:hAnsi="Times New Roman"/>
              <w:lang w:val="en-US" w:eastAsia="zh-CN"/>
            </w:rPr>
            <w:t>资源</w:t>
          </w:r>
          <w:r>
            <w:rPr>
              <w:rFonts w:hint="eastAsia"/>
              <w:lang w:val="en-US" w:eastAsia="zh-CN"/>
            </w:rPr>
            <w:t>能源利用现状</w:t>
          </w:r>
          <w:r>
            <w:tab/>
          </w:r>
          <w:r>
            <w:fldChar w:fldCharType="begin"/>
          </w:r>
          <w:r>
            <w:instrText xml:space="preserve"> PAGEREF _Toc9630 \h </w:instrText>
          </w:r>
          <w:r>
            <w:fldChar w:fldCharType="separate"/>
          </w:r>
          <w:r>
            <w:t>45</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_Toc1142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4.6 </w:t>
          </w:r>
          <w:r>
            <w:rPr>
              <w:rFonts w:hint="eastAsia"/>
              <w:lang w:val="en-US" w:eastAsia="zh-CN"/>
            </w:rPr>
            <w:t>园区环境风险与管理现状调查</w:t>
          </w:r>
          <w:r>
            <w:tab/>
          </w:r>
          <w:r>
            <w:fldChar w:fldCharType="begin"/>
          </w:r>
          <w:r>
            <w:instrText xml:space="preserve"> PAGEREF _Toc1142 \h </w:instrText>
          </w:r>
          <w:r>
            <w:fldChar w:fldCharType="separate"/>
          </w:r>
          <w:r>
            <w:t>51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_Toc32358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4.7 </w:t>
          </w:r>
          <w:r>
            <w:rPr>
              <w:rFonts w:hint="eastAsia"/>
              <w:lang w:val="en-US" w:eastAsia="zh-CN"/>
            </w:rPr>
            <w:t>现状问题和制约因素分析</w:t>
          </w:r>
          <w:r>
            <w:tab/>
          </w:r>
          <w:r>
            <w:fldChar w:fldCharType="begin"/>
          </w:r>
          <w:r>
            <w:instrText xml:space="preserve"> PAGEREF _Toc32358 \h </w:instrText>
          </w:r>
          <w:r>
            <w:fldChar w:fldCharType="separate"/>
          </w:r>
          <w:r>
            <w:t>52</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_Toc17568 </w:instrText>
          </w:r>
          <w:r>
            <w:rPr>
              <w:rFonts w:hint="eastAsia" w:ascii="宋体" w:hAnsi="宋体" w:eastAsia="宋体"/>
              <w:b/>
              <w:bCs/>
              <w:szCs w:val="28"/>
              <w:lang w:val="en-US" w:eastAsia="zh-CN"/>
            </w:rPr>
            <w:fldChar w:fldCharType="separate"/>
          </w:r>
          <w:r>
            <w:rPr>
              <w:rFonts w:hint="default" w:ascii="Times New Roman" w:hAnsi="Times New Roman" w:eastAsia="黑体"/>
              <w:b/>
              <w:i w:val="0"/>
            </w:rPr>
            <w:t xml:space="preserve">5 </w:t>
          </w:r>
          <w:r>
            <w:rPr>
              <w:rFonts w:hint="default"/>
              <w:b/>
            </w:rPr>
            <w:t>环境影响预测与分析</w:t>
          </w:r>
          <w:r>
            <w:rPr>
              <w:b/>
            </w:rPr>
            <w:tab/>
          </w:r>
          <w:r>
            <w:rPr>
              <w:b/>
            </w:rPr>
            <w:fldChar w:fldCharType="begin"/>
          </w:r>
          <w:r>
            <w:rPr>
              <w:b/>
            </w:rPr>
            <w:instrText xml:space="preserve"> PAGEREF _Toc17568 \h </w:instrText>
          </w:r>
          <w:r>
            <w:rPr>
              <w:b/>
            </w:rPr>
            <w:fldChar w:fldCharType="separate"/>
          </w:r>
          <w:r>
            <w:rPr>
              <w:b/>
            </w:rPr>
            <w:t>54</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_Toc12162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5.1 </w:t>
          </w:r>
          <w:r>
            <w:rPr>
              <w:rFonts w:hint="default"/>
            </w:rPr>
            <w:t>大气环境影响预测与评价</w:t>
          </w:r>
          <w:r>
            <w:tab/>
          </w:r>
          <w:r>
            <w:fldChar w:fldCharType="begin"/>
          </w:r>
          <w:r>
            <w:instrText xml:space="preserve"> PAGEREF _Toc12162 \h </w:instrText>
          </w:r>
          <w:r>
            <w:fldChar w:fldCharType="separate"/>
          </w:r>
          <w:r>
            <w:t>54</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_Toc26907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5.2 </w:t>
          </w:r>
          <w:r>
            <w:rPr>
              <w:rFonts w:hint="default"/>
            </w:rPr>
            <w:t>地表水环境影响预测与评价</w:t>
          </w:r>
          <w:r>
            <w:tab/>
          </w:r>
          <w:r>
            <w:fldChar w:fldCharType="begin"/>
          </w:r>
          <w:r>
            <w:instrText xml:space="preserve"> PAGEREF _Toc26907 \h </w:instrText>
          </w:r>
          <w:r>
            <w:fldChar w:fldCharType="separate"/>
          </w:r>
          <w:r>
            <w:t>54</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_Toc29890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5.3 </w:t>
          </w:r>
          <w:r>
            <w:rPr>
              <w:rFonts w:hint="eastAsia" w:ascii="Times New Roman" w:hAnsi="Times New Roman"/>
              <w:lang w:val="en-US" w:eastAsia="zh-CN"/>
            </w:rPr>
            <w:t>声环境影响分析与评价</w:t>
          </w:r>
          <w:r>
            <w:tab/>
          </w:r>
          <w:r>
            <w:fldChar w:fldCharType="begin"/>
          </w:r>
          <w:r>
            <w:instrText xml:space="preserve"> PAGEREF _Toc29890 \h </w:instrText>
          </w:r>
          <w:r>
            <w:fldChar w:fldCharType="separate"/>
          </w:r>
          <w:r>
            <w:t>55</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_Toc29421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5.4 </w:t>
          </w:r>
          <w:r>
            <w:rPr>
              <w:rFonts w:hint="eastAsia" w:ascii="Times New Roman" w:hAnsi="Times New Roman"/>
              <w:lang w:val="en-US" w:eastAsia="zh-CN"/>
            </w:rPr>
            <w:t>固体废物环境影响评价</w:t>
          </w:r>
          <w:r>
            <w:tab/>
          </w:r>
          <w:r>
            <w:fldChar w:fldCharType="begin"/>
          </w:r>
          <w:r>
            <w:instrText xml:space="preserve"> PAGEREF _Toc29421 \h </w:instrText>
          </w:r>
          <w:r>
            <w:fldChar w:fldCharType="separate"/>
          </w:r>
          <w:r>
            <w:t>56</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_Toc30138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5.5 </w:t>
          </w:r>
          <w:r>
            <w:t>地下水</w:t>
          </w:r>
          <w:r>
            <w:rPr>
              <w:rFonts w:hint="eastAsia" w:ascii="Times New Roman" w:hAnsi="Times New Roman"/>
              <w:lang w:val="en-US" w:eastAsia="zh-CN"/>
            </w:rPr>
            <w:t>环境</w:t>
          </w:r>
          <w:r>
            <w:t>影响预测与评价</w:t>
          </w:r>
          <w:r>
            <w:tab/>
          </w:r>
          <w:r>
            <w:fldChar w:fldCharType="begin"/>
          </w:r>
          <w:r>
            <w:instrText xml:space="preserve"> PAGEREF _Toc30138 \h </w:instrText>
          </w:r>
          <w:r>
            <w:fldChar w:fldCharType="separate"/>
          </w:r>
          <w:r>
            <w:t>57</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_Toc4950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5.6 </w:t>
          </w:r>
          <w:r>
            <w:t>土壤环境影响预测与评价</w:t>
          </w:r>
          <w:r>
            <w:tab/>
          </w:r>
          <w:r>
            <w:fldChar w:fldCharType="begin"/>
          </w:r>
          <w:r>
            <w:instrText xml:space="preserve"> PAGEREF _Toc4950 \h </w:instrText>
          </w:r>
          <w:r>
            <w:fldChar w:fldCharType="separate"/>
          </w:r>
          <w:r>
            <w:t>59</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_Toc11942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5.7 </w:t>
          </w:r>
          <w:r>
            <w:rPr>
              <w:rFonts w:hint="eastAsia"/>
            </w:rPr>
            <w:t>生态环境影响评价</w:t>
          </w:r>
          <w:r>
            <w:tab/>
          </w:r>
          <w:r>
            <w:fldChar w:fldCharType="begin"/>
          </w:r>
          <w:r>
            <w:instrText xml:space="preserve"> PAGEREF _Toc11942 \h </w:instrText>
          </w:r>
          <w:r>
            <w:fldChar w:fldCharType="separate"/>
          </w:r>
          <w:r>
            <w:t>60</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_Toc3512 </w:instrText>
          </w:r>
          <w:r>
            <w:rPr>
              <w:rFonts w:hint="eastAsia" w:ascii="宋体" w:hAnsi="宋体" w:eastAsia="宋体"/>
              <w:b/>
              <w:bCs/>
              <w:szCs w:val="28"/>
              <w:lang w:val="en-US" w:eastAsia="zh-CN"/>
            </w:rPr>
            <w:fldChar w:fldCharType="separate"/>
          </w:r>
          <w:r>
            <w:rPr>
              <w:rFonts w:hint="default" w:ascii="Times New Roman" w:hAnsi="Times New Roman" w:eastAsia="黑体" w:cs="Times New Roman"/>
              <w:b/>
              <w:i w:val="0"/>
            </w:rPr>
            <w:t xml:space="preserve">6 </w:t>
          </w:r>
          <w:r>
            <w:rPr>
              <w:b/>
            </w:rPr>
            <w:t>规划优化调整建议</w:t>
          </w:r>
          <w:r>
            <w:rPr>
              <w:b/>
            </w:rPr>
            <w:tab/>
          </w:r>
          <w:r>
            <w:rPr>
              <w:b/>
            </w:rPr>
            <w:fldChar w:fldCharType="begin"/>
          </w:r>
          <w:r>
            <w:rPr>
              <w:b/>
            </w:rPr>
            <w:instrText xml:space="preserve"> PAGEREF _Toc3512 \h </w:instrText>
          </w:r>
          <w:r>
            <w:rPr>
              <w:b/>
            </w:rPr>
            <w:fldChar w:fldCharType="separate"/>
          </w:r>
          <w:r>
            <w:rPr>
              <w:b/>
            </w:rPr>
            <w:t>61</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_Toc29996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6.1 </w:t>
          </w:r>
          <w:r>
            <w:rPr>
              <w:rFonts w:hint="eastAsia"/>
            </w:rPr>
            <w:t>规划产业调整建议</w:t>
          </w:r>
          <w:r>
            <w:tab/>
          </w:r>
          <w:r>
            <w:fldChar w:fldCharType="begin"/>
          </w:r>
          <w:r>
            <w:instrText xml:space="preserve"> PAGEREF _Toc29996 \h </w:instrText>
          </w:r>
          <w:r>
            <w:fldChar w:fldCharType="separate"/>
          </w:r>
          <w:r>
            <w:t>61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_Toc10691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6.2 </w:t>
          </w:r>
          <w:r>
            <w:rPr>
              <w:rFonts w:hint="default"/>
              <w:lang w:val="en-US" w:eastAsia="zh-CN"/>
            </w:rPr>
            <w:t>规划总体布局调整建议</w:t>
          </w:r>
          <w:r>
            <w:tab/>
          </w:r>
          <w:r>
            <w:fldChar w:fldCharType="begin"/>
          </w:r>
          <w:r>
            <w:instrText xml:space="preserve"> PAGEREF _Toc10691 \h </w:instrText>
          </w:r>
          <w:r>
            <w:fldChar w:fldCharType="separate"/>
          </w:r>
          <w:r>
            <w:t>61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_Toc8276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6.3 </w:t>
          </w:r>
          <w:r>
            <w:rPr>
              <w:rFonts w:hint="eastAsia" w:ascii="Times New Roman" w:hAnsi="Times New Roman"/>
              <w:lang w:val="en-US" w:eastAsia="zh-CN"/>
            </w:rPr>
            <w:t>规划总体布局调整建议</w:t>
          </w:r>
          <w:r>
            <w:tab/>
          </w:r>
          <w:r>
            <w:fldChar w:fldCharType="begin"/>
          </w:r>
          <w:r>
            <w:instrText xml:space="preserve"> PAGEREF _Toc8276 \h </w:instrText>
          </w:r>
          <w:r>
            <w:fldChar w:fldCharType="separate"/>
          </w:r>
          <w:r>
            <w:t>61</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_Toc16403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6.4 </w:t>
          </w:r>
          <w:r>
            <w:rPr>
              <w:rFonts w:hint="eastAsia" w:ascii="Times New Roman" w:hAnsi="Times New Roman"/>
              <w:lang w:val="en-US" w:eastAsia="zh-CN"/>
            </w:rPr>
            <w:t>基础设施规划调整建议</w:t>
          </w:r>
          <w:r>
            <w:tab/>
          </w:r>
          <w:r>
            <w:fldChar w:fldCharType="begin"/>
          </w:r>
          <w:r>
            <w:instrText xml:space="preserve"> PAGEREF _Toc16403 \h </w:instrText>
          </w:r>
          <w:r>
            <w:fldChar w:fldCharType="separate"/>
          </w:r>
          <w:r>
            <w:t>62</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_Toc21814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6.5 </w:t>
          </w:r>
          <w:r>
            <w:rPr>
              <w:rFonts w:hint="eastAsia" w:ascii="Times New Roman" w:hAnsi="Times New Roman"/>
              <w:lang w:val="en-US" w:eastAsia="zh-CN"/>
            </w:rPr>
            <w:t>补充规划内容调整建议</w:t>
          </w:r>
          <w:r>
            <w:tab/>
          </w:r>
          <w:r>
            <w:fldChar w:fldCharType="begin"/>
          </w:r>
          <w:r>
            <w:instrText xml:space="preserve"> PAGEREF _Toc21814 \h </w:instrText>
          </w:r>
          <w:r>
            <w:fldChar w:fldCharType="separate"/>
          </w:r>
          <w:r>
            <w:t>62</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_Toc31898 </w:instrText>
          </w:r>
          <w:r>
            <w:rPr>
              <w:rFonts w:hint="eastAsia" w:ascii="宋体" w:hAnsi="宋体" w:eastAsia="宋体"/>
              <w:b/>
              <w:bCs/>
              <w:szCs w:val="28"/>
              <w:lang w:val="en-US" w:eastAsia="zh-CN"/>
            </w:rPr>
            <w:fldChar w:fldCharType="separate"/>
          </w:r>
          <w:r>
            <w:rPr>
              <w:rFonts w:hint="default" w:ascii="Times New Roman" w:hAnsi="Times New Roman" w:eastAsia="黑体"/>
              <w:b/>
              <w:i w:val="0"/>
              <w:lang w:val="en-US" w:eastAsia="zh-CN"/>
            </w:rPr>
            <w:t xml:space="preserve">7 </w:t>
          </w:r>
          <w:r>
            <w:rPr>
              <w:rFonts w:hint="default"/>
              <w:b/>
              <w:lang w:val="en-US" w:eastAsia="zh-CN"/>
            </w:rPr>
            <w:t>生态</w:t>
          </w:r>
          <w:r>
            <w:rPr>
              <w:rFonts w:hint="default"/>
              <w:b/>
            </w:rPr>
            <w:t>环境准入</w:t>
          </w:r>
          <w:r>
            <w:rPr>
              <w:rFonts w:hint="default"/>
              <w:b/>
              <w:lang w:val="en-US" w:eastAsia="zh-CN"/>
            </w:rPr>
            <w:t>要求</w:t>
          </w:r>
          <w:r>
            <w:rPr>
              <w:b/>
            </w:rPr>
            <w:tab/>
          </w:r>
          <w:r>
            <w:rPr>
              <w:b/>
            </w:rPr>
            <w:fldChar w:fldCharType="begin"/>
          </w:r>
          <w:r>
            <w:rPr>
              <w:b/>
            </w:rPr>
            <w:instrText xml:space="preserve"> PAGEREF _Toc31898 \h </w:instrText>
          </w:r>
          <w:r>
            <w:rPr>
              <w:b/>
            </w:rPr>
            <w:fldChar w:fldCharType="separate"/>
          </w:r>
          <w:r>
            <w:rPr>
              <w:b/>
            </w:rPr>
            <w:t>63</w:t>
          </w:r>
          <w:r>
            <w:rPr>
              <w:b/>
            </w:rPr>
            <w:fldChar w:fldCharType="end"/>
          </w:r>
          <w:r>
            <w:rPr>
              <w:rFonts w:hint="eastAsia" w:ascii="宋体" w:hAnsi="宋体" w:eastAsia="宋体"/>
              <w:b/>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_Toc17970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7.1 </w:t>
          </w:r>
          <w:r>
            <w:rPr>
              <w:rFonts w:hint="default"/>
            </w:rPr>
            <w:t>空间布局约束</w:t>
          </w:r>
          <w:r>
            <w:tab/>
          </w:r>
          <w:r>
            <w:fldChar w:fldCharType="begin"/>
          </w:r>
          <w:r>
            <w:instrText xml:space="preserve"> PAGEREF _Toc17970 \h </w:instrText>
          </w:r>
          <w:r>
            <w:fldChar w:fldCharType="separate"/>
          </w:r>
          <w:r>
            <w:t>63</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_Toc3476 </w:instrText>
          </w:r>
          <w:r>
            <w:rPr>
              <w:rFonts w:hint="eastAsia" w:ascii="宋体" w:hAnsi="宋体" w:eastAsia="宋体"/>
              <w:bCs/>
              <w:szCs w:val="28"/>
              <w:lang w:val="en-US" w:eastAsia="zh-CN"/>
            </w:rPr>
            <w:fldChar w:fldCharType="separate"/>
          </w:r>
          <w:r>
            <w:rPr>
              <w:rFonts w:hint="default" w:ascii="Times New Roman" w:hAnsi="Times New Roman" w:eastAsia="黑体"/>
              <w:i w:val="0"/>
              <w:lang w:val="en-US" w:eastAsia="zh-CN"/>
            </w:rPr>
            <w:t xml:space="preserve">7.2 </w:t>
          </w:r>
          <w:r>
            <w:rPr>
              <w:rFonts w:hint="default"/>
              <w:lang w:val="en-US" w:eastAsia="zh-CN"/>
            </w:rPr>
            <w:t>污染物排放管控</w:t>
          </w:r>
          <w:r>
            <w:tab/>
          </w:r>
          <w:r>
            <w:fldChar w:fldCharType="begin"/>
          </w:r>
          <w:r>
            <w:instrText xml:space="preserve"> PAGEREF _Toc3476 \h </w:instrText>
          </w:r>
          <w:r>
            <w:fldChar w:fldCharType="separate"/>
          </w:r>
          <w:r>
            <w:t>66</w:t>
          </w:r>
          <w:r>
            <w:fldChar w:fldCharType="end"/>
          </w:r>
          <w:r>
            <w:rPr>
              <w:rFonts w:hint="eastAsia" w:ascii="宋体" w:hAnsi="宋体" w:eastAsia="宋体"/>
              <w:bCs/>
              <w:szCs w:val="28"/>
              <w:lang w:val="en-US" w:eastAsia="zh-CN"/>
            </w:rPr>
            <w:fldChar w:fldCharType="end"/>
          </w:r>
        </w:p>
        <w:p>
          <w:pPr>
            <w:pStyle w:val="46"/>
            <w:tabs>
              <w:tab w:val="right" w:leader="dot" w:pos="8306"/>
            </w:tabs>
          </w:pPr>
          <w:r>
            <w:rPr>
              <w:rFonts w:hint="eastAsia" w:ascii="宋体" w:hAnsi="宋体" w:eastAsia="宋体"/>
              <w:bCs/>
              <w:szCs w:val="28"/>
              <w:lang w:val="en-US" w:eastAsia="zh-CN"/>
            </w:rPr>
            <w:fldChar w:fldCharType="begin"/>
          </w:r>
          <w:r>
            <w:rPr>
              <w:rFonts w:hint="eastAsia" w:ascii="宋体" w:hAnsi="宋体" w:eastAsia="宋体"/>
              <w:bCs/>
              <w:szCs w:val="28"/>
              <w:lang w:val="en-US" w:eastAsia="zh-CN"/>
            </w:rPr>
            <w:instrText xml:space="preserve"> HYPERLINK \l _Toc24736 </w:instrText>
          </w:r>
          <w:r>
            <w:rPr>
              <w:rFonts w:hint="eastAsia" w:ascii="宋体" w:hAnsi="宋体" w:eastAsia="宋体"/>
              <w:bCs/>
              <w:szCs w:val="28"/>
              <w:lang w:val="en-US" w:eastAsia="zh-CN"/>
            </w:rPr>
            <w:fldChar w:fldCharType="separate"/>
          </w:r>
          <w:r>
            <w:rPr>
              <w:rFonts w:hint="default" w:ascii="Times New Roman" w:hAnsi="Times New Roman" w:eastAsia="黑体"/>
              <w:i w:val="0"/>
            </w:rPr>
            <w:t xml:space="preserve">7.3 </w:t>
          </w:r>
          <w:r>
            <w:rPr>
              <w:rFonts w:hint="default"/>
            </w:rPr>
            <w:t>资源开发利用</w:t>
          </w:r>
          <w:r>
            <w:tab/>
          </w:r>
          <w:r>
            <w:fldChar w:fldCharType="begin"/>
          </w:r>
          <w:r>
            <w:instrText xml:space="preserve"> PAGEREF _Toc24736 \h </w:instrText>
          </w:r>
          <w:r>
            <w:fldChar w:fldCharType="separate"/>
          </w:r>
          <w:r>
            <w:t>68</w:t>
          </w:r>
          <w:r>
            <w:fldChar w:fldCharType="end"/>
          </w:r>
          <w:r>
            <w:rPr>
              <w:rFonts w:hint="eastAsia" w:ascii="宋体" w:hAnsi="宋体" w:eastAsia="宋体"/>
              <w:bCs/>
              <w:szCs w:val="28"/>
              <w:lang w:val="en-US" w:eastAsia="zh-CN"/>
            </w:rPr>
            <w:fldChar w:fldCharType="end"/>
          </w:r>
        </w:p>
        <w:p>
          <w:pPr>
            <w:pStyle w:val="45"/>
            <w:tabs>
              <w:tab w:val="right" w:leader="dot" w:pos="8306"/>
            </w:tabs>
            <w:rPr>
              <w:b/>
            </w:rPr>
          </w:pPr>
          <w:r>
            <w:rPr>
              <w:rFonts w:hint="eastAsia" w:ascii="宋体" w:hAnsi="宋体" w:eastAsia="宋体"/>
              <w:b/>
              <w:bCs/>
              <w:szCs w:val="28"/>
              <w:lang w:val="en-US" w:eastAsia="zh-CN"/>
            </w:rPr>
            <w:fldChar w:fldCharType="begin"/>
          </w:r>
          <w:r>
            <w:rPr>
              <w:rFonts w:hint="eastAsia" w:ascii="宋体" w:hAnsi="宋体" w:eastAsia="宋体"/>
              <w:b/>
              <w:bCs/>
              <w:szCs w:val="28"/>
              <w:lang w:val="en-US" w:eastAsia="zh-CN"/>
            </w:rPr>
            <w:instrText xml:space="preserve"> HYPERLINK \l _Toc27347 </w:instrText>
          </w:r>
          <w:r>
            <w:rPr>
              <w:rFonts w:hint="eastAsia" w:ascii="宋体" w:hAnsi="宋体" w:eastAsia="宋体"/>
              <w:b/>
              <w:bCs/>
              <w:szCs w:val="28"/>
              <w:lang w:val="en-US" w:eastAsia="zh-CN"/>
            </w:rPr>
            <w:fldChar w:fldCharType="separate"/>
          </w:r>
          <w:r>
            <w:rPr>
              <w:rFonts w:hint="default" w:ascii="Times New Roman" w:hAnsi="Times New Roman" w:eastAsia="黑体"/>
              <w:b/>
              <w:i w:val="0"/>
              <w:lang w:val="en-US" w:eastAsia="zh-CN"/>
            </w:rPr>
            <w:t xml:space="preserve">8 </w:t>
          </w:r>
          <w:r>
            <w:rPr>
              <w:rFonts w:hint="eastAsia"/>
              <w:b/>
              <w:lang w:val="en-US" w:eastAsia="zh-CN"/>
            </w:rPr>
            <w:t>评价结论</w:t>
          </w:r>
          <w:r>
            <w:rPr>
              <w:b/>
            </w:rPr>
            <w:tab/>
          </w:r>
          <w:r>
            <w:rPr>
              <w:b/>
            </w:rPr>
            <w:fldChar w:fldCharType="begin"/>
          </w:r>
          <w:r>
            <w:rPr>
              <w:b/>
            </w:rPr>
            <w:instrText xml:space="preserve"> PAGEREF _Toc27347 \h </w:instrText>
          </w:r>
          <w:r>
            <w:rPr>
              <w:b/>
            </w:rPr>
            <w:fldChar w:fldCharType="separate"/>
          </w:r>
          <w:r>
            <w:rPr>
              <w:b/>
            </w:rPr>
            <w:t>69</w:t>
          </w:r>
          <w:r>
            <w:rPr>
              <w:b/>
            </w:rPr>
            <w:fldChar w:fldCharType="end"/>
          </w:r>
          <w:r>
            <w:rPr>
              <w:rFonts w:hint="eastAsia" w:ascii="宋体" w:hAnsi="宋体" w:eastAsia="宋体"/>
              <w:b/>
              <w:bCs/>
              <w:szCs w:val="28"/>
              <w:lang w:val="en-US" w:eastAsia="zh-CN"/>
            </w:rPr>
            <w:fldChar w:fldCharType="end"/>
          </w:r>
        </w:p>
        <w:p>
          <w:pPr>
            <w:spacing w:before="0" w:beforeLines="0" w:after="0" w:afterLines="0" w:line="240" w:lineRule="auto"/>
            <w:ind w:left="0" w:leftChars="0" w:right="0" w:rightChars="0" w:firstLine="0" w:firstLineChars="0"/>
            <w:jc w:val="center"/>
            <w:rPr>
              <w:rFonts w:hint="eastAsia" w:ascii="宋体" w:hAnsi="宋体" w:eastAsia="宋体"/>
              <w:b/>
              <w:bCs/>
              <w:sz w:val="28"/>
              <w:szCs w:val="28"/>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宋体" w:hAnsi="宋体" w:eastAsia="宋体"/>
              <w:b/>
              <w:bCs/>
              <w:szCs w:val="28"/>
              <w:lang w:val="en-US" w:eastAsia="zh-CN"/>
            </w:rPr>
            <w:fldChar w:fldCharType="end"/>
          </w:r>
        </w:p>
      </w:sdtContent>
    </w:sdt>
    <w:p>
      <w:pPr>
        <w:pStyle w:val="3"/>
        <w:bidi w:val="0"/>
        <w:rPr>
          <w:color w:val="auto"/>
        </w:rPr>
      </w:pPr>
      <w:bookmarkStart w:id="8" w:name="_Toc6549"/>
      <w:r>
        <w:rPr>
          <w:rFonts w:hint="eastAsia"/>
          <w:color w:val="auto"/>
          <w:lang w:val="en-US" w:eastAsia="zh-CN"/>
        </w:rPr>
        <w:t>总则</w:t>
      </w:r>
      <w:bookmarkEnd w:id="8"/>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rPr>
      </w:pPr>
      <w:bookmarkStart w:id="9" w:name="_Toc19255"/>
      <w:r>
        <w:rPr>
          <w:rFonts w:hint="eastAsia"/>
          <w:color w:val="auto"/>
          <w:lang w:val="en-US" w:eastAsia="zh-CN"/>
        </w:rPr>
        <w:t>项目背景</w:t>
      </w:r>
      <w:bookmarkEnd w:id="9"/>
    </w:p>
    <w:p>
      <w:pPr>
        <w:rPr>
          <w:rFonts w:hint="default" w:eastAsia="宋体"/>
          <w:lang w:val="en-US" w:eastAsia="zh-CN"/>
        </w:rPr>
      </w:pPr>
      <w:r>
        <w:rPr>
          <w:rFonts w:hint="eastAsia"/>
        </w:rPr>
        <w:t>阳新经济开发区滨江工业园（医药化工园区）前身为湖北阳新工业园。湖北阳新工业园</w:t>
      </w:r>
      <w:r>
        <w:rPr>
          <w:rFonts w:hint="eastAsia"/>
          <w:lang w:eastAsia="zh-CN"/>
        </w:rPr>
        <w:t>（富池化工园区）</w:t>
      </w:r>
      <w:r>
        <w:rPr>
          <w:rFonts w:hint="eastAsia"/>
        </w:rPr>
        <w:t>是2006年9月经中华人民共和国发展和改革委员会批准的省级工业园（第</w:t>
      </w:r>
      <w:r>
        <w:rPr>
          <w:rFonts w:hint="eastAsia"/>
          <w:lang w:val="en-US" w:eastAsia="zh-CN"/>
        </w:rPr>
        <w:t>八</w:t>
      </w:r>
      <w:r>
        <w:rPr>
          <w:rFonts w:hint="eastAsia"/>
        </w:rPr>
        <w:t>批通过审核公告的省级开发区），2013年4月，湖北省环境保护厅对《湖北阳新工业园规划环境影响报告书》出具了书面审查意见（鄂环函[2013]198 号），规划范围为西至镇区和远大富池公司老厂区的结合部、南靠大岭山、东抵上巢村、北临长江所围成的区域，规划面积为1.69km</w:t>
      </w:r>
      <w:r>
        <w:rPr>
          <w:rFonts w:hint="eastAsia"/>
          <w:vertAlign w:val="superscript"/>
        </w:rPr>
        <w:t>2</w:t>
      </w:r>
      <w:r>
        <w:rPr>
          <w:rFonts w:hint="eastAsia"/>
        </w:rPr>
        <w:t>（含2006版国省开发区名录中核准面积42.31公顷）。</w:t>
      </w:r>
      <w:r>
        <w:rPr>
          <w:rFonts w:hint="eastAsia"/>
          <w:lang w:val="en-US" w:eastAsia="zh-CN"/>
        </w:rPr>
        <w:t>同年，园区经湖北省经信委批准为医药化工产业集群区。</w:t>
      </w:r>
    </w:p>
    <w:p>
      <w:pPr>
        <w:rPr>
          <w:rFonts w:hint="eastAsia"/>
        </w:rPr>
      </w:pPr>
      <w:r>
        <w:rPr>
          <w:rFonts w:hint="eastAsia"/>
        </w:rPr>
        <w:t>2018年，综合考虑地理条件、经济条件和辖内工业园区现状企业布局，并为今后发展预留足够弹性，</w:t>
      </w:r>
      <w:r>
        <w:rPr>
          <w:rFonts w:hint="eastAsia"/>
          <w:lang w:val="en-US" w:eastAsia="zh-CN"/>
        </w:rPr>
        <w:t>阳新县人民政府</w:t>
      </w:r>
      <w:r>
        <w:rPr>
          <w:rFonts w:hint="eastAsia"/>
        </w:rPr>
        <w:t>决定对阳新县开发区、部分工业园区实行整合和统一管理。其中，对阳新县工业园城北工业区的原有规划范围进行了扩容，形成新的城北工业园；对湖北阳新工业园（富池化工园区）和阳新滨江开发试验区循环经济工业园的原规划范围上进行了连通及扩容，形成滨江工业园</w:t>
      </w:r>
      <w:r>
        <w:rPr>
          <w:rFonts w:hint="eastAsia"/>
          <w:lang w:eastAsia="zh-CN"/>
        </w:rPr>
        <w:t>。</w:t>
      </w:r>
      <w:r>
        <w:rPr>
          <w:rFonts w:hint="eastAsia"/>
        </w:rPr>
        <w:t>整合后规划面积共计30.4km</w:t>
      </w:r>
      <w:r>
        <w:rPr>
          <w:rFonts w:hint="eastAsia"/>
          <w:vertAlign w:val="superscript"/>
        </w:rPr>
        <w:t>2</w:t>
      </w:r>
      <w:r>
        <w:rPr>
          <w:rFonts w:hint="eastAsia"/>
        </w:rPr>
        <w:t>，</w:t>
      </w:r>
      <w:r>
        <w:rPr>
          <w:rFonts w:hint="eastAsia"/>
          <w:lang w:val="en-US" w:eastAsia="zh-CN"/>
        </w:rPr>
        <w:t>结构为“一区两园”。</w:t>
      </w:r>
      <w:r>
        <w:rPr>
          <w:rFonts w:hint="eastAsia"/>
        </w:rPr>
        <w:t>在此基础上编制形成《湖北阳新经济开发区总体规划（2015-2030）》</w:t>
      </w:r>
      <w:r>
        <w:rPr>
          <w:rFonts w:hint="eastAsia"/>
          <w:lang w:eastAsia="zh-CN"/>
        </w:rPr>
        <w:t>；</w:t>
      </w:r>
      <w:r>
        <w:rPr>
          <w:rFonts w:hint="eastAsia"/>
        </w:rPr>
        <w:t>2018年7月16日，原湖北省环境保护厅对《湖北阳新经济开发区总体规划环境影响报告书》出具了书面审查意见（鄂环审[2018]94号）。</w:t>
      </w:r>
    </w:p>
    <w:p>
      <w:pPr>
        <w:rPr>
          <w:rFonts w:hint="eastAsia"/>
          <w:lang w:val="en-US" w:eastAsia="zh-CN"/>
        </w:rPr>
      </w:pPr>
      <w:r>
        <w:rPr>
          <w:rFonts w:hint="eastAsia"/>
          <w:lang w:val="en-US" w:eastAsia="zh-CN"/>
        </w:rPr>
        <w:t>2019年，在湖北阳新经济开发区扩区调区工作中，阳新县统筹考虑开发区土地利用不足、园区发展受限等问题，以及长江沿线生态保护、产业布局和企业“关改搬转”等相关要求，在原“一区两园”的基础上整合新港（物流）工业园区协同发展，同时将一区两园中滨江工业园位于长江 1 公里范围内用地全部调出，形成“一区三园五块”协同发展的格局，规划面积共1867.99公顷。2019年10月，原湖北省环境保护厅对《湖北阳新经济开发区总体规划（2019-2030）环境影响报告书》出具了书面审查意见（鄂环函[2019]69号）。自此，滨江工业园中位于长江1公里控制线内的富池医药化工园从湖北阳新经济开发区中全部调出，同时新增区块5（东至长江一公里控制线，南至猫儿头山，西至甘宁公园，北至富丰路）用以承接富池医药化工园企业转移，主要布局生物医药产业，邻近富池镇区域拟设置混配型医药化工产业。</w:t>
      </w:r>
    </w:p>
    <w:p>
      <w:pPr>
        <w:rPr>
          <w:rFonts w:hint="eastAsia"/>
          <w:lang w:val="en-US" w:eastAsia="zh-CN"/>
        </w:rPr>
      </w:pPr>
      <w:r>
        <w:rPr>
          <w:rFonts w:hint="eastAsia"/>
          <w:lang w:val="en-US" w:eastAsia="zh-CN"/>
        </w:rPr>
        <w:t>考虑到富池医药化工园内现有企业均为</w:t>
      </w:r>
      <w:r>
        <w:rPr>
          <w:rFonts w:hint="default"/>
          <w:lang w:val="en-US" w:eastAsia="zh-CN"/>
        </w:rPr>
        <w:t>富池镇龙头产业</w:t>
      </w:r>
      <w:r>
        <w:rPr>
          <w:rFonts w:hint="eastAsia"/>
          <w:lang w:val="en-US" w:eastAsia="zh-CN"/>
        </w:rPr>
        <w:t>，是阳新工业经济的重要组成部分；同时黄石市人民政府已在2021年2月以黄石政函[2021]37号确认“阳新经济开发区滨江工业园（医药化工园区）”为合规园区；湖北省发展与改革委员会于2021年4月确认“阳新经济开发区滨江工业园（医药化工园区）”为省级化工园区，规划面积169.45公顷。</w:t>
      </w:r>
    </w:p>
    <w:p>
      <w:pPr>
        <w:rPr>
          <w:rFonts w:hint="eastAsia"/>
          <w:lang w:val="en-US" w:eastAsia="zh-CN"/>
        </w:rPr>
      </w:pPr>
      <w:r>
        <w:rPr>
          <w:rFonts w:hint="eastAsia"/>
          <w:lang w:val="en-US" w:eastAsia="zh-CN"/>
        </w:rPr>
        <w:t>基于此，富池镇人民政府结合实际经济发展需求，兼顾富池医药化工园现有企业分布范围及后续发展用地需求，委托黄石市城乡规划建筑设计院有限公司编制完成《阳新经济开发区滨江工业园（医药化工园区）总体规划》，2022年8月阳新县人民政府以阳新政函[2022]46号对其进行了批复，批复中明确阳新经济开发区滨江工业园（医药化工园区）规划面积169.45公顷，四至范围为西至镇区和远大富驰公司老厂区的结合部、南靠大岭山、东抵上巢村、北临长江所围成的区域。</w:t>
      </w:r>
    </w:p>
    <w:p>
      <w:pPr>
        <w:rPr>
          <w:rFonts w:hint="eastAsia"/>
          <w:lang w:val="en-US" w:eastAsia="zh-CN"/>
        </w:rPr>
      </w:pPr>
      <w:r>
        <w:rPr>
          <w:rFonts w:hint="eastAsia"/>
          <w:lang w:val="en-US" w:eastAsia="zh-CN"/>
        </w:rPr>
        <w:t>目前，阳新县富池镇人民政府拟启动化工园区认定工作。根据《湖北省化工园区建设标准和认定管理实施细则（试行）》（鄂经信原材料﹝2022﹞86号），化工园区管理机构应编制总体规划，并依法开展规划环境影响评价。依照规划环评全程互动、早期介入的原则，阳新经济开发区滨江工业园（医药化工园区）总体规划环境影响工作应同步开展。</w:t>
      </w:r>
    </w:p>
    <w:p>
      <w:pPr>
        <w:rPr>
          <w:rFonts w:hint="eastAsia"/>
          <w:lang w:val="en-US" w:eastAsia="zh-CN"/>
        </w:rPr>
      </w:pPr>
      <w:r>
        <w:rPr>
          <w:rFonts w:hint="eastAsia"/>
          <w:lang w:val="en-US" w:eastAsia="zh-CN"/>
        </w:rPr>
        <w:t>根据《中华人民共和国环境保护法》、《中华人民共和国环境影响评价法》、《规划环境影响评价条例》等法规、政策的相关要求，阳新县</w:t>
      </w:r>
      <w:r>
        <w:rPr>
          <w:rFonts w:hint="eastAsia"/>
          <w:highlight w:val="none"/>
          <w:lang w:val="en-US" w:eastAsia="zh-CN"/>
        </w:rPr>
        <w:t>富池镇人民政府委托中南安全环境技术研究院股份有限公司对《阳新经济开发区滨江工业园（医药化工园区）总体规划》开展环境影响评价工作。接受委托后，我单位立即成立项目组，进行了详细的现场调研和资料收集，并委托监测单位开展了环境现状监测，识别可能带来的环境影响以及可能制约园区发展的因素，分析规划相关环境介质的容量，研究并提出污染物总量控制方案，从环境保护的角度论证规划环境保护方案，提出改善园区规划的建议和对策、明确生态环境准入的建议要求，编制完成了《阳新经济开发区滨江工业园（医药化工园区）总体规划环境影响报告书（送审稿）》，提交阳新县富池镇人民政府</w:t>
      </w:r>
      <w:r>
        <w:rPr>
          <w:rFonts w:hint="eastAsia"/>
          <w:lang w:val="en-US" w:eastAsia="zh-CN"/>
        </w:rPr>
        <w:t>呈报黄石市生态环境局进行技术审查。</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ascii="Times New Roman" w:hAnsi="Times New Roman"/>
          <w:color w:val="auto"/>
          <w:lang w:val="en-US" w:eastAsia="zh-CN"/>
        </w:rPr>
      </w:pPr>
      <w:bookmarkStart w:id="10" w:name="_Toc21773"/>
      <w:r>
        <w:rPr>
          <w:rFonts w:hint="eastAsia" w:ascii="Times New Roman" w:hAnsi="Times New Roman"/>
          <w:color w:val="auto"/>
          <w:lang w:val="en-US" w:eastAsia="zh-CN"/>
        </w:rPr>
        <w:t>评价目的与原则</w:t>
      </w:r>
      <w:bookmarkEnd w:id="10"/>
    </w:p>
    <w:p>
      <w:pPr>
        <w:pStyle w:val="5"/>
        <w:bidi w:val="0"/>
      </w:pPr>
      <w:r>
        <w:rPr>
          <w:rFonts w:hint="eastAsia"/>
          <w:lang w:val="en-US" w:eastAsia="zh-CN"/>
        </w:rPr>
        <w:t>评价目的</w:t>
      </w:r>
    </w:p>
    <w:p>
      <w:pPr>
        <w:rPr>
          <w:rFonts w:hint="eastAsia"/>
          <w:lang w:val="en-US" w:eastAsia="zh-CN"/>
        </w:rPr>
      </w:pPr>
      <w:r>
        <w:rPr>
          <w:rFonts w:hint="eastAsia"/>
          <w:lang w:val="en-US" w:eastAsia="zh-CN"/>
        </w:rPr>
        <w:t>（1）从切实加强环境保护和生态建设的角度，以降低区域发展和经济增长对生态环境的不利影响为目标，以资源环境承载力和生态适宜性为约束条件，分析、识别、评价规划区域的城市化可能产生的长时间、大范围、系统的、累积的生态环境影响。</w:t>
      </w:r>
    </w:p>
    <w:p>
      <w:pPr>
        <w:rPr>
          <w:rFonts w:hint="eastAsia"/>
          <w:lang w:val="en-US" w:eastAsia="zh-CN"/>
        </w:rPr>
      </w:pPr>
      <w:r>
        <w:rPr>
          <w:rFonts w:hint="eastAsia"/>
          <w:lang w:val="en-US" w:eastAsia="zh-CN"/>
        </w:rPr>
        <w:t>（2）基于环境承载力分析与生态适宜性分析结果，充分论证规划选址及发展目标、定位的环境合理性，深入分析和论证规划重点产业的规模、结构、布局的合理性及先进性。</w:t>
      </w:r>
    </w:p>
    <w:p>
      <w:pPr>
        <w:rPr>
          <w:rFonts w:hint="eastAsia"/>
          <w:lang w:val="en-US" w:eastAsia="zh-CN"/>
        </w:rPr>
      </w:pPr>
      <w:r>
        <w:rPr>
          <w:rFonts w:hint="eastAsia"/>
          <w:lang w:val="en-US" w:eastAsia="zh-CN"/>
        </w:rPr>
        <w:t>（3）从社会、经济与环境协调发展的角度对规划提出优化调整的建议和污染防治对策，从决策源头来预防环境污染和生态破坏。</w:t>
      </w:r>
    </w:p>
    <w:p>
      <w:pPr>
        <w:rPr>
          <w:rFonts w:hint="eastAsia"/>
          <w:lang w:val="en-US" w:eastAsia="zh-CN"/>
        </w:rPr>
      </w:pPr>
      <w:r>
        <w:rPr>
          <w:rFonts w:hint="eastAsia"/>
          <w:lang w:val="en-US" w:eastAsia="zh-CN"/>
        </w:rPr>
        <w:t>（4）基于区域的环境容量，确定区域各类污染排放的总量控制限值，制定重点规划项目的环境准入标准（门槛）；提出不利环境影响的防治对策，以及指导下一级建设项目环境影响评价的意见和要求。</w:t>
      </w:r>
    </w:p>
    <w:p>
      <w:pPr>
        <w:rPr>
          <w:rFonts w:hint="eastAsia"/>
          <w:lang w:val="en-US" w:eastAsia="zh-CN"/>
        </w:rPr>
      </w:pPr>
      <w:r>
        <w:rPr>
          <w:rFonts w:hint="eastAsia"/>
          <w:lang w:val="en-US" w:eastAsia="zh-CN"/>
        </w:rPr>
        <w:t>（5）通过建立规划区域环境管理和环境监测体系，切实保护区域的环境质量，实现区域环境保护目标。</w:t>
      </w:r>
    </w:p>
    <w:p>
      <w:pPr>
        <w:rPr>
          <w:rFonts w:hint="eastAsia"/>
          <w:lang w:val="en-US" w:eastAsia="zh-CN"/>
        </w:rPr>
      </w:pPr>
      <w:r>
        <w:rPr>
          <w:rFonts w:hint="eastAsia"/>
          <w:lang w:val="en-US" w:eastAsia="zh-CN"/>
        </w:rPr>
        <w:t>（6）在评价理论与方法、过程组织和实施等方面为规划环境影响评价积累理论和实践经验。</w:t>
      </w:r>
    </w:p>
    <w:p>
      <w:pPr>
        <w:pStyle w:val="5"/>
        <w:bidi w:val="0"/>
      </w:pPr>
      <w:r>
        <w:rPr>
          <w:rFonts w:hint="eastAsia"/>
          <w:lang w:val="en-US" w:eastAsia="zh-CN"/>
        </w:rPr>
        <w:t>评价原则</w:t>
      </w:r>
    </w:p>
    <w:p>
      <w:pPr>
        <w:pStyle w:val="25"/>
        <w:bidi w:val="0"/>
      </w:pPr>
      <w:r>
        <w:rPr>
          <w:rFonts w:hint="eastAsia"/>
        </w:rPr>
        <w:t>（1）系统与整体性原则——体现在三个方面，一是对评价对象进行整体、系统的评价，二是对环境要素实施系统分析预测，三是制定全面系统的对策方案。</w:t>
      </w:r>
    </w:p>
    <w:p>
      <w:pPr>
        <w:pStyle w:val="25"/>
        <w:bidi w:val="0"/>
      </w:pPr>
      <w:r>
        <w:rPr>
          <w:rFonts w:hint="eastAsia"/>
        </w:rPr>
        <w:t>（2）最敏感约束性原则——做好几个层次间的衔接，对区域内的重点板块、产业和重点资源、环境要素、重点环境敏感目标进行有针对性的影响分析与评价。识别最敏感的环境要素、最脆弱的生态功能因子，判断瓶颈因素，以此为基础，设定环境承载力的主要指标，从环境约束的角度评价规划的环境合理性和可行性。</w:t>
      </w:r>
    </w:p>
    <w:p>
      <w:pPr>
        <w:pStyle w:val="25"/>
        <w:bidi w:val="0"/>
      </w:pPr>
      <w:r>
        <w:rPr>
          <w:rFonts w:hint="eastAsia"/>
        </w:rPr>
        <w:t>（3）突出资源合理利用，循环经济的理念——提出达到先进的节能、节水等指标，降低人类活动对环境的损害，贯彻污染防治和生态环境保护并重的方针。</w:t>
      </w:r>
    </w:p>
    <w:p>
      <w:pPr>
        <w:pStyle w:val="25"/>
        <w:bidi w:val="0"/>
      </w:pPr>
      <w:r>
        <w:rPr>
          <w:rFonts w:hint="eastAsia"/>
        </w:rPr>
        <w:t>（4）前瞻性和指导性原则——根据区域环境发展趋势，分析规划实施后带来的环境变化和影响，并通过对规划的调整优化，减轻其对环境的不良影响；为下阶段建设项目的设计及其环境影响评价工作，提供切实有效的对策措施和指导性意见。</w:t>
      </w:r>
    </w:p>
    <w:p>
      <w:pPr>
        <w:pStyle w:val="25"/>
        <w:bidi w:val="0"/>
      </w:pPr>
      <w:r>
        <w:rPr>
          <w:rFonts w:hint="eastAsia"/>
        </w:rPr>
        <w:t>（5）一致性原则——环境影响评价的工作深度应当与规划的层次、详尽程度相一致。</w:t>
      </w:r>
    </w:p>
    <w:p>
      <w:pPr>
        <w:pStyle w:val="25"/>
        <w:bidi w:val="0"/>
      </w:pPr>
      <w:r>
        <w:rPr>
          <w:rFonts w:hint="eastAsia"/>
        </w:rPr>
        <w:t>（6）环境保护目标应与湖北省、</w:t>
      </w:r>
      <w:r>
        <w:rPr>
          <w:rFonts w:hint="eastAsia"/>
          <w:lang w:val="en-US" w:eastAsia="zh-CN"/>
        </w:rPr>
        <w:t>黄石</w:t>
      </w:r>
      <w:r>
        <w:rPr>
          <w:rFonts w:hint="eastAsia"/>
        </w:rPr>
        <w:t>市、</w:t>
      </w:r>
      <w:r>
        <w:rPr>
          <w:rFonts w:hint="eastAsia"/>
          <w:lang w:val="en-US" w:eastAsia="zh-CN"/>
        </w:rPr>
        <w:t>阳新县</w:t>
      </w:r>
      <w:r>
        <w:rPr>
          <w:rFonts w:hint="eastAsia"/>
        </w:rPr>
        <w:t>环境保护规划目标相一致，在环境影响评价中体现省、市、区环境保护规划目标的总体要求。</w:t>
      </w:r>
    </w:p>
    <w:p>
      <w:pPr>
        <w:pStyle w:val="25"/>
        <w:bidi w:val="0"/>
      </w:pPr>
      <w:r>
        <w:rPr>
          <w:rFonts w:hint="eastAsia"/>
        </w:rPr>
        <w:t>（7）过程导向性原则——采用定期会议与不定期交流反馈相结合的方式，结合广泛的公众参与、实地调查，及时把意见反馈到规划的改进中，及时完善评价结论。</w:t>
      </w:r>
    </w:p>
    <w:p>
      <w:pPr>
        <w:pStyle w:val="25"/>
        <w:bidi w:val="0"/>
      </w:pPr>
      <w:r>
        <w:rPr>
          <w:rFonts w:hint="eastAsia"/>
        </w:rPr>
        <w:t>（8）为环境规划与环境管理服务的原则——通过区域环境容量的论证分析研究，提出污染物排放总量控制计划和生态建设规划目标，同时提出适合于开发区的环境管理和环境监测计划，为环境规划和环境管理提供科学依据。</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ascii="Times New Roman" w:hAnsi="Times New Roman"/>
          <w:color w:val="auto"/>
          <w:lang w:val="en-US" w:eastAsia="zh-CN"/>
        </w:rPr>
      </w:pPr>
      <w:bookmarkStart w:id="11" w:name="_Toc1869"/>
      <w:r>
        <w:rPr>
          <w:rFonts w:hint="eastAsia" w:ascii="Times New Roman" w:hAnsi="Times New Roman"/>
          <w:color w:val="auto"/>
          <w:lang w:val="en-US" w:eastAsia="zh-CN"/>
        </w:rPr>
        <w:t>评价范围与时段</w:t>
      </w:r>
      <w:bookmarkEnd w:id="11"/>
    </w:p>
    <w:p>
      <w:pPr>
        <w:pStyle w:val="5"/>
        <w:bidi w:val="0"/>
        <w:ind w:left="0" w:leftChars="0" w:firstLine="0" w:firstLineChars="0"/>
        <w:rPr>
          <w:rFonts w:hint="default" w:eastAsia="宋体"/>
          <w:lang w:val="en-US" w:eastAsia="zh-CN"/>
        </w:rPr>
      </w:pPr>
      <w:r>
        <w:rPr>
          <w:rFonts w:hint="eastAsia"/>
          <w:lang w:val="en-US" w:eastAsia="zh-CN"/>
        </w:rPr>
        <w:t>评价范围</w:t>
      </w:r>
    </w:p>
    <w:p>
      <w:pPr>
        <w:pStyle w:val="25"/>
        <w:bidi w:val="0"/>
      </w:pPr>
      <w:r>
        <w:rPr>
          <w:rFonts w:hint="eastAsia"/>
        </w:rPr>
        <w:t>评价范围以规划建成区范围为重点，并按照导则要求考虑与周边区域的相互影响。由于区域开发活动具有综合性与整体性的特点，本评价环境影响评价范围考虑以下因素：</w:t>
      </w:r>
    </w:p>
    <w:p>
      <w:pPr>
        <w:pStyle w:val="25"/>
        <w:bidi w:val="0"/>
      </w:pPr>
      <w:r>
        <w:rPr>
          <w:rFonts w:hint="eastAsia"/>
        </w:rPr>
        <w:t>（1）区域自然、社会环境系统的完整性：开发区的能源供给、人口流动、废物排放等已构成一个开放式、依赖性很强的城市生态系统，因此，对社会经济的评价范围应包括镇域生态系统和周边区域的相互关系，并延伸到对</w:t>
      </w:r>
      <w:r>
        <w:rPr>
          <w:rFonts w:hint="eastAsia"/>
          <w:lang w:val="en-US" w:eastAsia="zh-CN"/>
        </w:rPr>
        <w:t>黄石</w:t>
      </w:r>
      <w:r>
        <w:rPr>
          <w:rFonts w:hint="eastAsia"/>
        </w:rPr>
        <w:t>市的影响。</w:t>
      </w:r>
    </w:p>
    <w:p>
      <w:pPr>
        <w:pStyle w:val="25"/>
        <w:bidi w:val="0"/>
      </w:pPr>
      <w:r>
        <w:rPr>
          <w:rFonts w:hint="eastAsia"/>
        </w:rPr>
        <w:t>（2）敏感性因素或重要保护对象：在确定评价范围时尽可能考虑周围地区的敏感性因素或重要保护对象等。</w:t>
      </w:r>
    </w:p>
    <w:p>
      <w:pPr>
        <w:pStyle w:val="25"/>
        <w:bidi w:val="0"/>
      </w:pPr>
      <w:r>
        <w:rPr>
          <w:rFonts w:hint="eastAsia"/>
        </w:rPr>
        <w:t>（3）开发活动的影响范围：评价范围内重点考虑开发区建设施工活动和运营期产生的废气、废水、噪声和固体废物等对区域环境空气、地表水环境、声环境等的污染；同时考虑周边的各种生活、生产活动对开发区生态环境的影响。</w:t>
      </w:r>
    </w:p>
    <w:p>
      <w:pPr>
        <w:pStyle w:val="25"/>
        <w:bidi w:val="0"/>
      </w:pPr>
      <w:r>
        <w:rPr>
          <w:rFonts w:hint="eastAsia"/>
        </w:rPr>
        <w:t>（4）周边重大规划的内容及影响范围：重点考虑开发区所在的湖北省、</w:t>
      </w:r>
      <w:r>
        <w:rPr>
          <w:rFonts w:hint="eastAsia"/>
          <w:lang w:val="en-US" w:eastAsia="zh-CN"/>
        </w:rPr>
        <w:t>黄石市</w:t>
      </w:r>
      <w:r>
        <w:rPr>
          <w:rFonts w:hint="eastAsia"/>
        </w:rPr>
        <w:t>、</w:t>
      </w:r>
      <w:r>
        <w:rPr>
          <w:rFonts w:hint="eastAsia"/>
          <w:lang w:val="en-US" w:eastAsia="zh-CN"/>
        </w:rPr>
        <w:t>阳新县</w:t>
      </w:r>
      <w:r>
        <w:rPr>
          <w:rFonts w:hint="eastAsia"/>
        </w:rPr>
        <w:t>等</w:t>
      </w:r>
      <w:r>
        <w:rPr>
          <w:rFonts w:hint="eastAsia"/>
          <w:lang w:val="en-US" w:eastAsia="zh-CN"/>
        </w:rPr>
        <w:t>区域</w:t>
      </w:r>
      <w:r>
        <w:rPr>
          <w:rFonts w:hint="eastAsia"/>
        </w:rPr>
        <w:t>相关上位规划、国家有关产业规划、行业准入对本规划的相关要求及制约。</w:t>
      </w:r>
    </w:p>
    <w:p>
      <w:pPr>
        <w:pStyle w:val="25"/>
        <w:bidi w:val="0"/>
        <w:rPr>
          <w:rFonts w:hint="eastAsia"/>
        </w:rPr>
      </w:pPr>
      <w:r>
        <w:rPr>
          <w:rFonts w:hint="eastAsia"/>
        </w:rPr>
        <w:t>根据工业园及区域重要保护对象和区域开发建设活动可能影响的范围，确定评价范围见表1.4-1。</w:t>
      </w:r>
    </w:p>
    <w:p>
      <w:pPr>
        <w:pStyle w:val="26"/>
        <w:bidi w:val="0"/>
        <w:ind w:left="0" w:leftChars="0" w:firstLine="0" w:firstLineChars="0"/>
        <w:rPr>
          <w:rFonts w:hint="eastAsia"/>
        </w:rPr>
      </w:pPr>
      <w:r>
        <w:rPr>
          <w:rFonts w:hint="eastAsia"/>
          <w:lang w:val="en-US" w:eastAsia="zh-CN"/>
        </w:rPr>
        <w:t xml:space="preserve">表1.4-1 </w:t>
      </w:r>
      <w:r>
        <w:rPr>
          <w:rFonts w:hint="eastAsia"/>
        </w:rPr>
        <w:t>规划环境影响评价的范围</w:t>
      </w:r>
    </w:p>
    <w:tbl>
      <w:tblPr>
        <w:tblStyle w:val="16"/>
        <w:tblW w:w="8429"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493"/>
        <w:gridCol w:w="693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类型</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评价范围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基本调查范围</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阳新经济开发区滨江工业园（医药化工园区）规划范围，规划面积1.69平方公里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地表水环境</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长江（阳新段）水域、规划区域内及周边港渠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环境空气</w:t>
            </w:r>
          </w:p>
        </w:tc>
        <w:tc>
          <w:tcPr>
            <w:tcW w:w="6936" w:type="dxa"/>
            <w:tcBorders>
              <w:tl2br w:val="nil"/>
              <w:tr2bl w:val="nil"/>
            </w:tcBorders>
            <w:shd w:val="clear" w:color="auto" w:fill="auto"/>
            <w:noWrap/>
            <w:vAlign w:val="center"/>
          </w:tcPr>
          <w:p>
            <w:pPr>
              <w:pStyle w:val="28"/>
              <w:bidi w:val="0"/>
              <w:jc w:val="center"/>
              <w:rPr>
                <w:rFonts w:hint="eastAsia"/>
                <w:highlight w:val="none"/>
              </w:rPr>
            </w:pPr>
            <w:r>
              <w:rPr>
                <w:rFonts w:hint="eastAsia"/>
                <w:highlight w:val="none"/>
                <w:lang w:val="en-US" w:eastAsia="zh-CN"/>
              </w:rPr>
              <w:t>以规划边界为起点，外延规划项目排放污染物最远影响距离D10%（本次规划D10%小于2.5km），评价范围为规划区域外扩2.5km的范围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地下水环境</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规划区范围内水文地质单元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声环境</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规划用地范围内，规划边界外扩200m的范围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生态环境</w:t>
            </w:r>
          </w:p>
        </w:tc>
        <w:tc>
          <w:tcPr>
            <w:tcW w:w="6936" w:type="dxa"/>
            <w:tcBorders>
              <w:tl2br w:val="nil"/>
              <w:tr2bl w:val="nil"/>
            </w:tcBorders>
            <w:shd w:val="clear" w:color="auto" w:fill="auto"/>
            <w:noWrap/>
            <w:vAlign w:val="center"/>
          </w:tcPr>
          <w:p>
            <w:pPr>
              <w:pStyle w:val="28"/>
              <w:bidi w:val="0"/>
              <w:jc w:val="center"/>
              <w:rPr>
                <w:rFonts w:hint="default"/>
                <w:lang w:val="en-US"/>
              </w:rPr>
            </w:pPr>
            <w:r>
              <w:rPr>
                <w:rFonts w:hint="eastAsia"/>
                <w:lang w:val="en-US" w:eastAsia="zh-CN"/>
              </w:rPr>
              <w:t>规划范围及周边区域重要生态敏感目标，含湖北网湖省级湿地自然保护区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土壤环境</w:t>
            </w:r>
          </w:p>
        </w:tc>
        <w:tc>
          <w:tcPr>
            <w:tcW w:w="6936" w:type="dxa"/>
            <w:tcBorders>
              <w:tl2br w:val="nil"/>
              <w:tr2bl w:val="nil"/>
            </w:tcBorders>
            <w:shd w:val="clear" w:color="auto" w:fill="auto"/>
            <w:noWrap/>
            <w:vAlign w:val="center"/>
          </w:tcPr>
          <w:p>
            <w:pPr>
              <w:pStyle w:val="28"/>
              <w:bidi w:val="0"/>
              <w:jc w:val="center"/>
              <w:rPr>
                <w:rFonts w:hint="eastAsia"/>
              </w:rPr>
            </w:pPr>
            <w:r>
              <w:rPr>
                <w:rFonts w:hint="eastAsia"/>
                <w:lang w:val="en-US" w:eastAsia="zh-CN"/>
              </w:rPr>
              <w:t>规划用地范围内，规划边界外扩1km的范围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vMerge w:val="restart"/>
            <w:tcBorders>
              <w:tl2br w:val="nil"/>
              <w:tr2bl w:val="nil"/>
            </w:tcBorders>
            <w:shd w:val="clear" w:color="auto" w:fill="auto"/>
            <w:noWrap/>
            <w:vAlign w:val="center"/>
          </w:tcPr>
          <w:p>
            <w:pPr>
              <w:pStyle w:val="28"/>
              <w:bidi w:val="0"/>
              <w:jc w:val="center"/>
              <w:rPr>
                <w:rFonts w:hint="eastAsia"/>
              </w:rPr>
            </w:pPr>
            <w:r>
              <w:rPr>
                <w:rFonts w:hint="eastAsia"/>
                <w:lang w:val="en-US" w:eastAsia="zh-CN"/>
              </w:rPr>
              <w:t>环境风险</w:t>
            </w:r>
          </w:p>
        </w:tc>
        <w:tc>
          <w:tcPr>
            <w:tcW w:w="6936" w:type="dxa"/>
            <w:tcBorders>
              <w:tl2br w:val="nil"/>
              <w:tr2bl w:val="nil"/>
            </w:tcBorders>
            <w:shd w:val="clear" w:color="auto" w:fill="auto"/>
            <w:noWrap/>
            <w:vAlign w:val="center"/>
          </w:tcPr>
          <w:p>
            <w:pPr>
              <w:pStyle w:val="28"/>
              <w:bidi w:val="0"/>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大气环境风险：园区周边5km范围内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493" w:type="dxa"/>
            <w:vMerge w:val="continue"/>
            <w:tcBorders>
              <w:tl2br w:val="nil"/>
              <w:tr2bl w:val="nil"/>
            </w:tcBorders>
            <w:shd w:val="clear" w:color="auto" w:fill="auto"/>
            <w:noWrap/>
            <w:vAlign w:val="center"/>
          </w:tcPr>
          <w:p>
            <w:pPr>
              <w:pStyle w:val="28"/>
              <w:bidi w:val="0"/>
              <w:jc w:val="center"/>
            </w:pPr>
          </w:p>
        </w:tc>
        <w:tc>
          <w:tcPr>
            <w:tcW w:w="6936" w:type="dxa"/>
            <w:tcBorders>
              <w:tl2br w:val="nil"/>
              <w:tr2bl w:val="nil"/>
            </w:tcBorders>
            <w:shd w:val="clear" w:color="auto" w:fill="auto"/>
            <w:noWrap/>
            <w:vAlign w:val="center"/>
          </w:tcPr>
          <w:p>
            <w:pPr>
              <w:pStyle w:val="28"/>
              <w:bidi w:val="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水环境风险：污水处理厂排污口下游10km</w:t>
            </w:r>
          </w:p>
        </w:tc>
      </w:tr>
    </w:tbl>
    <w:p>
      <w:pPr>
        <w:pStyle w:val="5"/>
        <w:bidi w:val="0"/>
        <w:ind w:left="0" w:leftChars="0" w:firstLine="0" w:firstLineChars="0"/>
        <w:rPr>
          <w:rFonts w:hint="default"/>
          <w:color w:val="auto"/>
          <w:lang w:val="en-US" w:eastAsia="zh-CN"/>
        </w:rPr>
      </w:pPr>
      <w:r>
        <w:rPr>
          <w:rFonts w:hint="eastAsia"/>
          <w:color w:val="auto"/>
          <w:lang w:val="en-US" w:eastAsia="zh-CN"/>
        </w:rPr>
        <w:t xml:space="preserve">评价时段 </w:t>
      </w:r>
    </w:p>
    <w:p>
      <w:pPr>
        <w:pStyle w:val="25"/>
        <w:bidi w:val="0"/>
        <w:rPr>
          <w:rFonts w:hint="default"/>
          <w:lang w:val="en-US" w:eastAsia="zh-CN"/>
        </w:rPr>
      </w:pPr>
      <w:r>
        <w:rPr>
          <w:rFonts w:hint="eastAsia"/>
          <w:lang w:val="en-US" w:eastAsia="zh-CN"/>
        </w:rPr>
        <w:t>《阳新经济开发区滨江工业园（医药化工园区）总体规划》规划期限为2022-2035年，</w:t>
      </w:r>
      <w:r>
        <w:rPr>
          <w:rFonts w:hint="eastAsia"/>
        </w:rPr>
        <w:t>近期为2022-2025年，远期为2026-2035年。本次</w:t>
      </w:r>
      <w:r>
        <w:rPr>
          <w:rFonts w:hint="eastAsia"/>
          <w:lang w:val="en-US" w:eastAsia="zh-CN"/>
        </w:rPr>
        <w:t>评价的评价时段与《阳新经济开发区滨江工业园（医药化工园区）总体规划》规划时期相一致，</w:t>
      </w:r>
      <w:r>
        <w:rPr>
          <w:rFonts w:hint="eastAsia"/>
        </w:rPr>
        <w:t>评价时段以近期为主，兼顾考虑远期。</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ascii="Times New Roman" w:hAnsi="Times New Roman"/>
          <w:color w:val="auto"/>
          <w:lang w:val="en-US" w:eastAsia="zh-CN"/>
        </w:rPr>
      </w:pPr>
      <w:bookmarkStart w:id="12" w:name="_Toc15735"/>
      <w:r>
        <w:rPr>
          <w:rFonts w:hint="eastAsia" w:ascii="Times New Roman" w:hAnsi="Times New Roman"/>
          <w:color w:val="auto"/>
          <w:lang w:val="en-US" w:eastAsia="zh-CN"/>
        </w:rPr>
        <w:t>评价重点</w:t>
      </w:r>
      <w:bookmarkEnd w:id="12"/>
    </w:p>
    <w:p>
      <w:pPr>
        <w:pStyle w:val="25"/>
        <w:bidi w:val="0"/>
        <w:outlineLvl w:val="9"/>
      </w:pPr>
      <w:r>
        <w:rPr>
          <w:rFonts w:hint="eastAsia"/>
        </w:rPr>
        <w:t>（1）规划解读及环境影响识别。</w:t>
      </w:r>
    </w:p>
    <w:p>
      <w:pPr>
        <w:pStyle w:val="25"/>
        <w:bidi w:val="0"/>
      </w:pPr>
      <w:r>
        <w:rPr>
          <w:rFonts w:hint="eastAsia"/>
        </w:rPr>
        <w:t>对规划从宏观和中观层面上进行分析，总体上把握</w:t>
      </w:r>
      <w:r>
        <w:rPr>
          <w:rFonts w:hint="eastAsia"/>
          <w:lang w:val="en-US" w:eastAsia="zh-CN"/>
        </w:rPr>
        <w:t>本规划与</w:t>
      </w:r>
      <w:r>
        <w:rPr>
          <w:rFonts w:hint="eastAsia"/>
        </w:rPr>
        <w:t>湖北省、</w:t>
      </w:r>
      <w:r>
        <w:rPr>
          <w:rFonts w:hint="eastAsia"/>
          <w:lang w:val="en-US" w:eastAsia="zh-CN"/>
        </w:rPr>
        <w:t>黄石</w:t>
      </w:r>
      <w:r>
        <w:rPr>
          <w:rFonts w:hint="eastAsia"/>
        </w:rPr>
        <w:t>市、</w:t>
      </w:r>
      <w:r>
        <w:rPr>
          <w:rFonts w:hint="eastAsia"/>
          <w:lang w:val="en-US" w:eastAsia="zh-CN"/>
        </w:rPr>
        <w:t>阳新县</w:t>
      </w:r>
      <w:r>
        <w:rPr>
          <w:rFonts w:hint="eastAsia"/>
        </w:rPr>
        <w:t>等</w:t>
      </w:r>
      <w:r>
        <w:rPr>
          <w:rFonts w:hint="eastAsia"/>
          <w:lang w:val="en-US" w:eastAsia="zh-CN"/>
        </w:rPr>
        <w:t>区域</w:t>
      </w:r>
      <w:r>
        <w:rPr>
          <w:rFonts w:hint="eastAsia"/>
        </w:rPr>
        <w:t>相关</w:t>
      </w:r>
      <w:r>
        <w:rPr>
          <w:rFonts w:hint="eastAsia"/>
          <w:lang w:val="en-US" w:eastAsia="zh-CN"/>
        </w:rPr>
        <w:t>上位</w:t>
      </w:r>
      <w:r>
        <w:rPr>
          <w:rFonts w:hint="eastAsia"/>
        </w:rPr>
        <w:t>规划的相符性分析，初步确定规划产生的主要环境影响，并紧紧把握规划评价的四大核心要素，从“定位、规模、产业结构、布局、开发时序”等方面确定产生重大环境影响的规划行为及环境制约因素。</w:t>
      </w:r>
    </w:p>
    <w:p>
      <w:pPr>
        <w:pStyle w:val="25"/>
        <w:bidi w:val="0"/>
      </w:pPr>
      <w:r>
        <w:rPr>
          <w:rFonts w:hint="eastAsia"/>
        </w:rPr>
        <w:t>（2）区域的环境承载力分析及规划定位、规模、布局、开发时序的环境合理性分析。</w:t>
      </w:r>
    </w:p>
    <w:p>
      <w:pPr>
        <w:pStyle w:val="25"/>
        <w:bidi w:val="0"/>
      </w:pPr>
      <w:r>
        <w:rPr>
          <w:rFonts w:hint="eastAsia"/>
        </w:rPr>
        <w:t>通过收集和分析区域发展历史和现状的各种社会经济资料，研究区域发展对环境的需求及环境对区域发展的制约性，从而分析区域开发建设规划总目标的合理性。分析园区规划与周围其它系统之间的关系，并对其以后的发展方向提出建议。</w:t>
      </w:r>
    </w:p>
    <w:p>
      <w:pPr>
        <w:pStyle w:val="25"/>
        <w:bidi w:val="0"/>
      </w:pPr>
      <w:r>
        <w:rPr>
          <w:rFonts w:hint="eastAsia"/>
        </w:rPr>
        <w:t>（3）论证规划区专项规划：评价基础设施与园区发展的适宜性，确定区域环境承载能力。</w:t>
      </w:r>
    </w:p>
    <w:p>
      <w:pPr>
        <w:pStyle w:val="25"/>
        <w:bidi w:val="0"/>
      </w:pPr>
      <w:r>
        <w:rPr>
          <w:rFonts w:hint="eastAsia"/>
        </w:rPr>
        <w:t>（4）规划的调整和环境减缓措施，将资源节约、环境友好、节能减排等原则纳入到规划中。优化生态环境的保护方案，研究和制定园区的产业环境准入门槛。促进园区经济和环境保护协调可持续发展，并符合省、市、区总体规划的要求。</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lang w:val="en-US"/>
        </w:rPr>
      </w:pPr>
      <w:bookmarkStart w:id="13" w:name="_Toc16293"/>
      <w:r>
        <w:rPr>
          <w:rFonts w:hint="eastAsia"/>
          <w:lang w:val="en-US" w:eastAsia="zh-CN"/>
        </w:rPr>
        <w:t>环境功能区划与评价标准</w:t>
      </w:r>
      <w:bookmarkEnd w:id="13"/>
    </w:p>
    <w:p>
      <w:pPr>
        <w:pStyle w:val="5"/>
        <w:bidi w:val="0"/>
        <w:ind w:left="0" w:leftChars="0" w:firstLine="0" w:firstLineChars="0"/>
        <w:rPr>
          <w:rFonts w:hint="default"/>
          <w:lang w:val="en-US" w:eastAsia="zh-CN"/>
        </w:rPr>
      </w:pPr>
      <w:r>
        <w:rPr>
          <w:rFonts w:hint="eastAsia"/>
          <w:lang w:val="en-US" w:eastAsia="zh-CN"/>
        </w:rPr>
        <w:t>环境</w:t>
      </w:r>
      <w:r>
        <w:rPr>
          <w:rFonts w:hint="eastAsia" w:ascii="Times New Roman" w:hAnsi="Times New Roman"/>
          <w:color w:val="auto"/>
          <w:lang w:val="en-US" w:eastAsia="zh-CN"/>
        </w:rPr>
        <w:t>功能</w:t>
      </w:r>
      <w:r>
        <w:rPr>
          <w:rFonts w:hint="eastAsia"/>
          <w:lang w:val="en-US" w:eastAsia="zh-CN"/>
        </w:rPr>
        <w:t>区划</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 xml:space="preserve">）环境空气 </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区域未划分环境空气功能区划，规划范围内现状以工业用地、农林用地为主。规划范围外周边以居住区、商业交通居民混合区为主，根据《环境空气质量标准》</w:t>
      </w:r>
      <w:r>
        <w:rPr>
          <w:rFonts w:hint="default" w:ascii="Times New Roman" w:hAnsi="Times New Roman" w:eastAsia="宋体" w:cs="Times New Roman"/>
          <w:color w:val="000000"/>
          <w:kern w:val="0"/>
          <w:sz w:val="24"/>
          <w:szCs w:val="24"/>
          <w:lang w:val="en-US" w:eastAsia="zh-CN" w:bidi="ar"/>
        </w:rPr>
        <w:t>(GB3095-2012)</w:t>
      </w:r>
      <w:r>
        <w:rPr>
          <w:rFonts w:hint="eastAsia" w:ascii="宋体" w:hAnsi="宋体" w:eastAsia="宋体" w:cs="宋体"/>
          <w:color w:val="000000"/>
          <w:kern w:val="0"/>
          <w:sz w:val="24"/>
          <w:szCs w:val="24"/>
          <w:lang w:val="en-US" w:eastAsia="zh-CN" w:bidi="ar"/>
        </w:rPr>
        <w:t>，所在区域环境空气执行《环境空气质量标准》</w:t>
      </w:r>
      <w:r>
        <w:rPr>
          <w:rFonts w:hint="default" w:ascii="Times New Roman" w:hAnsi="Times New Roman" w:eastAsia="宋体" w:cs="Times New Roman"/>
          <w:color w:val="000000"/>
          <w:kern w:val="0"/>
          <w:sz w:val="24"/>
          <w:szCs w:val="24"/>
          <w:lang w:val="en-US" w:eastAsia="zh-CN" w:bidi="ar"/>
        </w:rPr>
        <w:t>(GB3095-2012)</w:t>
      </w:r>
      <w:r>
        <w:rPr>
          <w:rFonts w:hint="eastAsia"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级标准。</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 xml:space="preserve">）地表水环境 </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根据《湖北省地表水环境功能区类别》（鄂政办发</w:t>
      </w:r>
      <w:r>
        <w:rPr>
          <w:rFonts w:hint="default" w:ascii="Times New Roman" w:hAnsi="Times New Roman" w:eastAsia="宋体" w:cs="Times New Roman"/>
          <w:color w:val="000000"/>
          <w:kern w:val="0"/>
          <w:sz w:val="24"/>
          <w:szCs w:val="24"/>
          <w:lang w:val="en-US" w:eastAsia="zh-CN" w:bidi="ar"/>
        </w:rPr>
        <w:t xml:space="preserve">[2000]10 </w:t>
      </w:r>
      <w:r>
        <w:rPr>
          <w:rFonts w:hint="eastAsia" w:ascii="宋体" w:hAnsi="宋体" w:eastAsia="宋体" w:cs="宋体"/>
          <w:color w:val="000000"/>
          <w:kern w:val="0"/>
          <w:sz w:val="24"/>
          <w:szCs w:val="24"/>
          <w:lang w:val="en-US" w:eastAsia="zh-CN" w:bidi="ar"/>
        </w:rPr>
        <w:t>号）以及《关于调整</w:t>
      </w:r>
      <w:r>
        <w:rPr>
          <w:rFonts w:hint="eastAsia" w:ascii="Times New Roman" w:hAnsi="Times New Roman" w:eastAsia="宋体" w:cs="Times New Roman"/>
          <w:lang w:val="en-US" w:eastAsia="zh-CN"/>
        </w:rPr>
        <w:t>长江黄石市阳新段水环境功能区类别有关意见的函》（鄂环函</w:t>
      </w:r>
      <w:r>
        <w:rPr>
          <w:rFonts w:hint="default" w:ascii="Times New Roman" w:hAnsi="Times New Roman" w:eastAsia="宋体" w:cs="Times New Roman"/>
          <w:lang w:val="en-US" w:eastAsia="zh-CN"/>
        </w:rPr>
        <w:t xml:space="preserve">[2012]715 </w:t>
      </w:r>
      <w:r>
        <w:rPr>
          <w:rFonts w:hint="eastAsia" w:ascii="Times New Roman" w:hAnsi="Times New Roman" w:eastAsia="宋体" w:cs="Times New Roman"/>
          <w:lang w:val="en-US" w:eastAsia="zh-CN"/>
        </w:rPr>
        <w:t>号，附件</w:t>
      </w:r>
      <w:r>
        <w:rPr>
          <w:rFonts w:hint="default" w:ascii="Times New Roman" w:hAnsi="Times New Roman" w:eastAsia="宋体" w:cs="Times New Roman"/>
          <w:lang w:val="en-US" w:eastAsia="zh-CN"/>
        </w:rPr>
        <w:t>4</w:t>
      </w:r>
      <w:r>
        <w:rPr>
          <w:rFonts w:hint="eastAsia" w:ascii="Times New Roman" w:hAnsi="Times New Roman" w:eastAsia="宋体" w:cs="Times New Roman"/>
          <w:lang w:val="en-US" w:eastAsia="zh-CN"/>
        </w:rPr>
        <w:t>），长江阳新段</w:t>
      </w:r>
      <w:r>
        <w:rPr>
          <w:rFonts w:hint="default" w:ascii="Times New Roman" w:hAnsi="Times New Roman" w:eastAsia="宋体" w:cs="Times New Roman"/>
          <w:lang w:val="en-US" w:eastAsia="zh-CN"/>
        </w:rPr>
        <w:t>E115°19′12″</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 xml:space="preserve">N30°01′18.7″ </w:t>
      </w:r>
      <w:r>
        <w:rPr>
          <w:rFonts w:hint="eastAsia" w:ascii="Times New Roman" w:hAnsi="Times New Roman" w:eastAsia="宋体" w:cs="Times New Roman"/>
          <w:lang w:val="en-US" w:eastAsia="zh-CN"/>
        </w:rPr>
        <w:t xml:space="preserve">至 </w:t>
      </w:r>
      <w:r>
        <w:rPr>
          <w:rFonts w:hint="default" w:ascii="Times New Roman" w:hAnsi="Times New Roman" w:eastAsia="宋体" w:cs="Times New Roman"/>
          <w:lang w:val="en-US" w:eastAsia="zh-CN"/>
        </w:rPr>
        <w:t>E115°23′48″</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N29°57′01.7″</w:t>
      </w:r>
      <w:r>
        <w:rPr>
          <w:rFonts w:hint="eastAsia" w:ascii="Times New Roman" w:hAnsi="Times New Roman" w:eastAsia="宋体" w:cs="Times New Roman"/>
          <w:lang w:val="en-US" w:eastAsia="zh-CN"/>
        </w:rPr>
        <w:t>段以及</w:t>
      </w:r>
      <w:r>
        <w:rPr>
          <w:rFonts w:hint="default" w:ascii="Times New Roman" w:hAnsi="Times New Roman" w:eastAsia="宋体" w:cs="Times New Roman"/>
          <w:lang w:val="en-US" w:eastAsia="zh-CN"/>
        </w:rPr>
        <w:t>E115°25′51″</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N29°51′00″</w:t>
      </w:r>
      <w:r>
        <w:rPr>
          <w:rFonts w:hint="eastAsia" w:ascii="Times New Roman" w:hAnsi="Times New Roman" w:eastAsia="宋体" w:cs="Times New Roman"/>
          <w:lang w:val="en-US" w:eastAsia="zh-CN"/>
        </w:rPr>
        <w:t xml:space="preserve">至 </w:t>
      </w:r>
      <w:r>
        <w:rPr>
          <w:rFonts w:hint="default" w:ascii="Times New Roman" w:hAnsi="Times New Roman" w:eastAsia="宋体" w:cs="Times New Roman"/>
          <w:lang w:val="en-US" w:eastAsia="zh-CN"/>
        </w:rPr>
        <w:t>E115°28′55.5″</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N29°50′15.7″</w:t>
      </w:r>
      <w:r>
        <w:rPr>
          <w:rFonts w:hint="eastAsia" w:ascii="Times New Roman" w:hAnsi="Times New Roman" w:eastAsia="宋体" w:cs="Times New Roman"/>
          <w:lang w:val="en-US" w:eastAsia="zh-CN"/>
        </w:rPr>
        <w:t>段</w:t>
      </w:r>
      <w:r>
        <w:rPr>
          <w:rFonts w:hint="eastAsia" w:cs="Times New Roman"/>
          <w:lang w:val="en-US" w:eastAsia="zh-CN"/>
        </w:rPr>
        <w:t>（即</w:t>
      </w:r>
      <w:r>
        <w:rPr>
          <w:rFonts w:hint="eastAsia"/>
          <w:szCs w:val="24"/>
        </w:rPr>
        <w:t>黄颡口泵站村至王曙村和富驰化工公司至张湾村两个江段</w:t>
      </w:r>
      <w:r>
        <w:rPr>
          <w:rFonts w:hint="eastAsia"/>
          <w:szCs w:val="24"/>
          <w:lang w:eastAsia="zh-CN"/>
        </w:rPr>
        <w:t>）</w:t>
      </w:r>
      <w:r>
        <w:rPr>
          <w:rFonts w:hint="eastAsia" w:ascii="Times New Roman" w:hAnsi="Times New Roman" w:eastAsia="宋体" w:cs="Times New Roman"/>
          <w:lang w:val="en-US" w:eastAsia="zh-CN"/>
        </w:rPr>
        <w:t>水环境功能区类别为Ⅲ类，其余段为Ⅱ类</w:t>
      </w:r>
      <w:r>
        <w:rPr>
          <w:rFonts w:hint="eastAsia" w:cs="Times New Roman"/>
          <w:lang w:val="en-US" w:eastAsia="zh-CN"/>
        </w:rPr>
        <w:t>，本规划区及集中污水处理厂排污口所在</w:t>
      </w:r>
      <w:r>
        <w:rPr>
          <w:rFonts w:hint="eastAsia" w:ascii="宋体" w:hAnsi="宋体" w:eastAsia="宋体" w:cs="宋体"/>
          <w:color w:val="000000"/>
          <w:kern w:val="0"/>
          <w:sz w:val="24"/>
          <w:szCs w:val="24"/>
          <w:lang w:val="en-US" w:eastAsia="zh-CN" w:bidi="ar"/>
        </w:rPr>
        <w:t>江段位于富驰化工公司至张湾村江段，属于Ⅲ类功能区范围。</w:t>
      </w:r>
    </w:p>
    <w:p>
      <w:pPr>
        <w:keepNext w:val="0"/>
        <w:keepLines w:val="0"/>
        <w:widowControl/>
        <w:suppressLineNumbers w:val="0"/>
        <w:jc w:val="both"/>
        <w:rPr>
          <w:rFonts w:hint="eastAsia" w:ascii="Times New Roman" w:hAnsi="Times New Roman" w:eastAsia="宋体" w:cs="Times New Roman"/>
        </w:rPr>
      </w:pPr>
      <w:r>
        <w:rPr>
          <w:rFonts w:hint="eastAsia" w:ascii="宋体" w:hAnsi="宋体" w:eastAsia="宋体" w:cs="宋体"/>
          <w:color w:val="000000"/>
          <w:kern w:val="0"/>
          <w:sz w:val="24"/>
          <w:szCs w:val="24"/>
          <w:lang w:val="en-US" w:eastAsia="zh-CN" w:bidi="ar"/>
        </w:rPr>
        <w:t>开发区周边朱婆湖、网湖、养马湖水环境功能区类别</w:t>
      </w:r>
      <w:r>
        <w:rPr>
          <w:rFonts w:hint="eastAsia" w:ascii="Times New Roman" w:hAnsi="Times New Roman" w:eastAsia="宋体" w:cs="Times New Roman"/>
          <w:lang w:val="en-US" w:eastAsia="zh-CN"/>
        </w:rPr>
        <w:t xml:space="preserve">为Ⅲ类。 </w:t>
      </w:r>
    </w:p>
    <w:p>
      <w:pPr>
        <w:keepNext w:val="0"/>
        <w:keepLines w:val="0"/>
        <w:widowControl/>
        <w:suppressLineNumbers w:val="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）声环境</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区域未划分声环境功能区划，但根据《声环境质量标准》（</w:t>
      </w:r>
      <w:r>
        <w:rPr>
          <w:rFonts w:hint="default" w:ascii="Times New Roman" w:hAnsi="Times New Roman" w:eastAsia="宋体" w:cs="Times New Roman"/>
          <w:color w:val="000000"/>
          <w:kern w:val="0"/>
          <w:sz w:val="24"/>
          <w:szCs w:val="24"/>
          <w:lang w:val="en-US" w:eastAsia="zh-CN" w:bidi="ar"/>
        </w:rPr>
        <w:t>GB3096-2008</w:t>
      </w:r>
      <w:r>
        <w:rPr>
          <w:rFonts w:hint="eastAsia" w:ascii="宋体" w:hAnsi="宋体" w:eastAsia="宋体" w:cs="宋体"/>
          <w:color w:val="000000"/>
          <w:kern w:val="0"/>
          <w:sz w:val="24"/>
          <w:szCs w:val="24"/>
          <w:lang w:val="en-US" w:eastAsia="zh-CN" w:bidi="ar"/>
        </w:rPr>
        <w:t>），结合开发区规划分区，规划范围内均为工业用地，区内执行</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类功能区标准；交通干线两侧区域执行 </w:t>
      </w:r>
      <w:r>
        <w:rPr>
          <w:rFonts w:hint="default" w:ascii="Times New Roman" w:hAnsi="Times New Roman" w:eastAsia="宋体" w:cs="Times New Roman"/>
          <w:color w:val="000000"/>
          <w:kern w:val="0"/>
          <w:sz w:val="24"/>
          <w:szCs w:val="24"/>
          <w:lang w:val="en-US" w:eastAsia="zh-CN" w:bidi="ar"/>
        </w:rPr>
        <w:t xml:space="preserve">4a </w:t>
      </w:r>
      <w:r>
        <w:rPr>
          <w:rFonts w:hint="eastAsia" w:ascii="宋体" w:hAnsi="宋体" w:eastAsia="宋体" w:cs="宋体"/>
          <w:color w:val="000000"/>
          <w:kern w:val="0"/>
          <w:sz w:val="24"/>
          <w:szCs w:val="24"/>
          <w:lang w:val="en-US" w:eastAsia="zh-CN" w:bidi="ar"/>
        </w:rPr>
        <w:t>类功能区标准。</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4</w:t>
      </w:r>
      <w:r>
        <w:rPr>
          <w:rFonts w:hint="eastAsia" w:ascii="宋体" w:hAnsi="宋体" w:eastAsia="宋体" w:cs="宋体"/>
          <w:b/>
          <w:bCs/>
          <w:color w:val="000000"/>
          <w:kern w:val="0"/>
          <w:sz w:val="24"/>
          <w:szCs w:val="24"/>
          <w:lang w:val="en-US" w:eastAsia="zh-CN" w:bidi="ar"/>
        </w:rPr>
        <w:t xml:space="preserve">）地下水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区域未划分地下水环境功能区划，根据规划范围内地下水功能，执行《地下水质量标准》（</w:t>
      </w:r>
      <w:r>
        <w:rPr>
          <w:rFonts w:hint="default" w:ascii="Times New Roman" w:hAnsi="Times New Roman" w:eastAsia="宋体" w:cs="Times New Roman"/>
          <w:color w:val="000000"/>
          <w:kern w:val="0"/>
          <w:sz w:val="24"/>
          <w:szCs w:val="24"/>
          <w:lang w:val="en-US" w:eastAsia="zh-CN" w:bidi="ar"/>
        </w:rPr>
        <w:t>GB/T14848-2017</w:t>
      </w:r>
      <w:r>
        <w:rPr>
          <w:rFonts w:hint="eastAsia" w:ascii="宋体" w:hAnsi="宋体" w:eastAsia="宋体" w:cs="宋体"/>
          <w:color w:val="000000"/>
          <w:kern w:val="0"/>
          <w:sz w:val="24"/>
          <w:szCs w:val="24"/>
          <w:lang w:val="en-US" w:eastAsia="zh-CN" w:bidi="ar"/>
        </w:rPr>
        <w:t xml:space="preserve">）中Ⅲ类标准。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5</w:t>
      </w:r>
      <w:r>
        <w:rPr>
          <w:rFonts w:hint="eastAsia" w:ascii="宋体" w:hAnsi="宋体" w:eastAsia="宋体" w:cs="宋体"/>
          <w:b/>
          <w:bCs/>
          <w:color w:val="000000"/>
          <w:kern w:val="0"/>
          <w:sz w:val="24"/>
          <w:szCs w:val="24"/>
          <w:lang w:val="en-US" w:eastAsia="zh-CN" w:bidi="ar"/>
        </w:rPr>
        <w:t xml:space="preserve">）土壤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园区范围内土壤执行《土壤环境质量标准建设用地土壤污染风险管控标准（试行）》中二类建设用地要求。</w:t>
      </w:r>
    </w:p>
    <w:p>
      <w:pPr>
        <w:pStyle w:val="5"/>
        <w:bidi w:val="0"/>
        <w:ind w:left="0" w:leftChars="0" w:firstLine="0" w:firstLineChars="0"/>
        <w:rPr>
          <w:rFonts w:hint="default" w:ascii="Times New Roman" w:hAnsi="Times New Roman"/>
          <w:color w:val="auto"/>
          <w:lang w:val="en-US" w:eastAsia="zh-CN"/>
        </w:rPr>
      </w:pPr>
      <w:r>
        <w:rPr>
          <w:rFonts w:hint="eastAsia" w:ascii="Times New Roman" w:hAnsi="Times New Roman"/>
          <w:color w:val="auto"/>
          <w:lang w:val="en-US" w:eastAsia="zh-CN"/>
        </w:rPr>
        <w:t>评价标准</w:t>
      </w:r>
    </w:p>
    <w:p>
      <w:pPr>
        <w:pStyle w:val="25"/>
        <w:bidi w:val="0"/>
        <w:rPr>
          <w:rFonts w:hint="eastAsia"/>
        </w:rPr>
      </w:pPr>
      <w:r>
        <w:rPr>
          <w:rFonts w:hint="eastAsia"/>
        </w:rPr>
        <w:t>根据区域环境影响评价的特点，结合开发区所在区域环境功能区划要求，本次环评拟采用的评价标准见表1.5.2-1。</w:t>
      </w:r>
    </w:p>
    <w:p>
      <w:pPr>
        <w:pStyle w:val="26"/>
        <w:bidi w:val="0"/>
      </w:pPr>
      <w:r>
        <w:rPr>
          <w:rFonts w:hint="eastAsia"/>
          <w:lang w:val="en-US" w:eastAsia="zh-CN"/>
        </w:rPr>
        <w:t xml:space="preserve">表1.5.2-1 </w:t>
      </w:r>
      <w:r>
        <w:rPr>
          <w:rFonts w:hint="eastAsia"/>
        </w:rPr>
        <w:t>规划环境影响评价的标准</w:t>
      </w:r>
    </w:p>
    <w:tbl>
      <w:tblPr>
        <w:tblStyle w:val="16"/>
        <w:tblW w:w="8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33"/>
        <w:gridCol w:w="968"/>
        <w:gridCol w:w="2835"/>
        <w:gridCol w:w="2287"/>
        <w:gridCol w:w="1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tblHeader/>
          <w:jc w:val="center"/>
        </w:trPr>
        <w:tc>
          <w:tcPr>
            <w:tcW w:w="73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类别</w:t>
            </w:r>
          </w:p>
        </w:tc>
        <w:tc>
          <w:tcPr>
            <w:tcW w:w="968"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评价</w:t>
            </w:r>
          </w:p>
          <w:p>
            <w:pPr>
              <w:pStyle w:val="28"/>
              <w:keepNext w:val="0"/>
              <w:keepLines w:val="0"/>
              <w:pageBreakBefore w:val="0"/>
              <w:widowControl w:val="0"/>
              <w:kinsoku/>
              <w:wordWrap/>
              <w:overflowPunct/>
              <w:topLinePunct w:val="0"/>
              <w:autoSpaceDE/>
              <w:autoSpaceDN/>
              <w:bidi w:val="0"/>
              <w:adjustRightInd/>
              <w:snapToGrid w:val="0"/>
              <w:textAlignment w:val="auto"/>
            </w:pPr>
            <w:r>
              <w:t>要素</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标准名称</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评价对象</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类（级）别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环</w:t>
            </w:r>
          </w:p>
          <w:p>
            <w:pPr>
              <w:pStyle w:val="28"/>
              <w:keepNext w:val="0"/>
              <w:keepLines w:val="0"/>
              <w:pageBreakBefore w:val="0"/>
              <w:widowControl w:val="0"/>
              <w:kinsoku/>
              <w:wordWrap/>
              <w:overflowPunct/>
              <w:topLinePunct w:val="0"/>
              <w:autoSpaceDE/>
              <w:autoSpaceDN/>
              <w:bidi w:val="0"/>
              <w:adjustRightInd/>
              <w:snapToGrid w:val="0"/>
              <w:textAlignment w:val="auto"/>
            </w:pPr>
            <w:r>
              <w:t>境</w:t>
            </w:r>
          </w:p>
          <w:p>
            <w:pPr>
              <w:pStyle w:val="28"/>
              <w:keepNext w:val="0"/>
              <w:keepLines w:val="0"/>
              <w:pageBreakBefore w:val="0"/>
              <w:widowControl w:val="0"/>
              <w:kinsoku/>
              <w:wordWrap/>
              <w:overflowPunct/>
              <w:topLinePunct w:val="0"/>
              <w:autoSpaceDE/>
              <w:autoSpaceDN/>
              <w:bidi w:val="0"/>
              <w:adjustRightInd/>
              <w:snapToGrid w:val="0"/>
              <w:textAlignment w:val="auto"/>
            </w:pPr>
            <w:r>
              <w:t>质</w:t>
            </w:r>
          </w:p>
          <w:p>
            <w:pPr>
              <w:pStyle w:val="28"/>
              <w:keepNext w:val="0"/>
              <w:keepLines w:val="0"/>
              <w:pageBreakBefore w:val="0"/>
              <w:widowControl w:val="0"/>
              <w:kinsoku/>
              <w:wordWrap/>
              <w:overflowPunct/>
              <w:topLinePunct w:val="0"/>
              <w:autoSpaceDE/>
              <w:autoSpaceDN/>
              <w:bidi w:val="0"/>
              <w:adjustRightInd/>
              <w:snapToGrid w:val="0"/>
              <w:textAlignment w:val="auto"/>
            </w:pPr>
            <w:r>
              <w:t>量</w:t>
            </w:r>
          </w:p>
          <w:p>
            <w:pPr>
              <w:pStyle w:val="28"/>
              <w:keepNext w:val="0"/>
              <w:keepLines w:val="0"/>
              <w:pageBreakBefore w:val="0"/>
              <w:widowControl w:val="0"/>
              <w:kinsoku/>
              <w:wordWrap/>
              <w:overflowPunct/>
              <w:topLinePunct w:val="0"/>
              <w:autoSpaceDE/>
              <w:autoSpaceDN/>
              <w:bidi w:val="0"/>
              <w:adjustRightInd/>
              <w:snapToGrid w:val="0"/>
              <w:textAlignment w:val="auto"/>
            </w:pPr>
            <w:r>
              <w:t>标</w:t>
            </w:r>
          </w:p>
          <w:p>
            <w:pPr>
              <w:pStyle w:val="28"/>
              <w:keepNext w:val="0"/>
              <w:keepLines w:val="0"/>
              <w:pageBreakBefore w:val="0"/>
              <w:widowControl w:val="0"/>
              <w:kinsoku/>
              <w:wordWrap/>
              <w:overflowPunct/>
              <w:topLinePunct w:val="0"/>
              <w:autoSpaceDE/>
              <w:autoSpaceDN/>
              <w:bidi w:val="0"/>
              <w:adjustRightInd/>
              <w:snapToGrid w:val="0"/>
              <w:textAlignment w:val="auto"/>
            </w:pPr>
            <w:r>
              <w:t>准</w:t>
            </w: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环境</w:t>
            </w:r>
          </w:p>
          <w:p>
            <w:pPr>
              <w:pStyle w:val="28"/>
              <w:keepNext w:val="0"/>
              <w:keepLines w:val="0"/>
              <w:pageBreakBefore w:val="0"/>
              <w:widowControl w:val="0"/>
              <w:kinsoku/>
              <w:wordWrap/>
              <w:overflowPunct/>
              <w:topLinePunct w:val="0"/>
              <w:autoSpaceDE/>
              <w:autoSpaceDN/>
              <w:bidi w:val="0"/>
              <w:adjustRightInd/>
              <w:snapToGrid w:val="0"/>
              <w:textAlignment w:val="auto"/>
            </w:pPr>
            <w:r>
              <w:t>空气</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《环境空气质量标准》（GB3095-2012）</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规划区及其周边区域</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《环境影响评价技术导则－大气环境》（HJ2.2-2018）</w:t>
            </w:r>
          </w:p>
          <w:p>
            <w:pPr>
              <w:pStyle w:val="28"/>
              <w:keepNext w:val="0"/>
              <w:keepLines w:val="0"/>
              <w:pageBreakBefore w:val="0"/>
              <w:widowControl w:val="0"/>
              <w:kinsoku/>
              <w:wordWrap/>
              <w:overflowPunct/>
              <w:topLinePunct w:val="0"/>
              <w:autoSpaceDE/>
              <w:autoSpaceDN/>
              <w:bidi w:val="0"/>
              <w:adjustRightInd/>
              <w:snapToGrid w:val="0"/>
              <w:textAlignment w:val="auto"/>
            </w:pPr>
            <w:r>
              <w:t>附录D</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全部</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地表水</w:t>
            </w:r>
          </w:p>
        </w:tc>
        <w:tc>
          <w:tcPr>
            <w:tcW w:w="2835"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《地表水环境质量标准》（GB3838-2002）</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rPr>
                <w:rFonts w:hint="eastAsia"/>
                <w:lang w:val="en-US" w:eastAsia="zh-CN"/>
              </w:rPr>
              <w:t>长江</w:t>
            </w:r>
            <w:r>
              <w:t>干流</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2835"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规划区内及周边港渠</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地下水</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《地下水质量标准》（GB/T14848-2017）</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规划区及其周边区域</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声环境</w:t>
            </w:r>
          </w:p>
        </w:tc>
        <w:tc>
          <w:tcPr>
            <w:tcW w:w="2835"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《声环境质量标准》（GB3096-2008）</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pPr>
            <w:r>
              <w:t>规划区域内工业区</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pPr>
            <w:r>
              <w:t>3类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2835"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道路交通干线两侧</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4a类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p>
        </w:tc>
        <w:tc>
          <w:tcPr>
            <w:tcW w:w="968"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土壤</w:t>
            </w:r>
          </w:p>
          <w:p>
            <w:pPr>
              <w:pStyle w:val="28"/>
              <w:keepNext w:val="0"/>
              <w:keepLines w:val="0"/>
              <w:pageBreakBefore w:val="0"/>
              <w:widowControl w:val="0"/>
              <w:kinsoku/>
              <w:wordWrap/>
              <w:overflowPunct/>
              <w:topLinePunct w:val="0"/>
              <w:autoSpaceDE/>
              <w:autoSpaceDN/>
              <w:bidi w:val="0"/>
              <w:adjustRightInd/>
              <w:snapToGrid w:val="0"/>
              <w:textAlignment w:val="auto"/>
            </w:pPr>
            <w:r>
              <w:t>环境</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pPr>
            <w:r>
              <w:t>《土壤环境质量标准建设用地土壤污染风险管控标准（试行）》（GB36600-2018）</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pPr>
            <w:r>
              <w:t>第二类用地</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pPr>
            <w:r>
              <w:t>筛选值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污</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染</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物</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排</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放</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标</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准</w:t>
            </w: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废水</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rFonts w:hint="eastAsia"/>
                <w:highlight w:val="none"/>
                <w:lang w:val="en-US" w:eastAsia="zh-CN"/>
              </w:rPr>
              <w:t>富池镇</w:t>
            </w:r>
            <w:r>
              <w:rPr>
                <w:highlight w:val="none"/>
              </w:rPr>
              <w:t>污水处理厂接管水质标准</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规划区生产废水和生活污水</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接管标准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《污水综合排放标准》（GB8978-1996）</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规划区生产废水和生活污水</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《城镇污水处理厂污染物排放标准》（GB18918-2002）</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rFonts w:hint="eastAsia"/>
                <w:highlight w:val="none"/>
                <w:lang w:val="en-US" w:eastAsia="zh-CN"/>
              </w:rPr>
              <w:t>富池镇</w:t>
            </w:r>
            <w:r>
              <w:rPr>
                <w:highlight w:val="none"/>
              </w:rPr>
              <w:t>污水处理厂总排口</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一级A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相关行业排放标准</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企业生产废水</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废气</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《大气污染物综合排放标准》（GB16297-1996）表2</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工艺废气</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《恶臭污染物排放标准》</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（GB14554-93）</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恶臭气体</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《锅炉大气污染物排放标准》（GB13271-2014）</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锅炉废气</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eastAsia="宋体"/>
                <w:highlight w:val="none"/>
                <w:lang w:val="en-US" w:eastAsia="zh-CN"/>
              </w:rPr>
            </w:pPr>
            <w:r>
              <w:rPr>
                <w:highlight w:val="none"/>
              </w:rPr>
              <w:t>相应</w:t>
            </w:r>
            <w:r>
              <w:rPr>
                <w:rFonts w:hint="eastAsia"/>
                <w:highlight w:val="none"/>
                <w:lang w:val="en-US" w:eastAsia="zh-CN"/>
              </w:rPr>
              <w:t>特别排放</w:t>
            </w:r>
            <w:r>
              <w:rPr>
                <w:highlight w:val="none"/>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《挥发性有机物无组织排放控制标准》（GB37822-2019）附录A中表A.1</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无组织排放挥发性有机物</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《饮食业油烟排放标准（试行）》（GB18483-2001）</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油烟</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相关行业排放标准</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工艺废气</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噪声</w:t>
            </w:r>
          </w:p>
        </w:tc>
        <w:tc>
          <w:tcPr>
            <w:tcW w:w="2835"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《工业企业厂界环境噪声排放标准》（GB12348-2008）</w:t>
            </w:r>
          </w:p>
        </w:tc>
        <w:tc>
          <w:tcPr>
            <w:tcW w:w="2287"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工业企业厂界噪声</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3类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287"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4a类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《建筑施工场界环境噪声排放标准》（GB12523-2011）</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施工场界噪声</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其</w:t>
            </w:r>
          </w:p>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它</w:t>
            </w:r>
          </w:p>
        </w:tc>
        <w:tc>
          <w:tcPr>
            <w:tcW w:w="968" w:type="dxa"/>
            <w:vMerge w:val="restart"/>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固废</w:t>
            </w: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《一般工业固体废物贮存和填埋污染控制标准》（GB18599-2020）</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一般工业固体废物贮存、处置</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33"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968" w:type="dxa"/>
            <w:vMerge w:val="continue"/>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p>
        </w:tc>
        <w:tc>
          <w:tcPr>
            <w:tcW w:w="2835"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《危险废物贮存污染控制标准》（GB18597-2001）及其修改单</w:t>
            </w:r>
          </w:p>
        </w:tc>
        <w:tc>
          <w:tcPr>
            <w:tcW w:w="2287"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危险废物贮存</w:t>
            </w:r>
          </w:p>
        </w:tc>
        <w:tc>
          <w:tcPr>
            <w:tcW w:w="1483" w:type="dxa"/>
            <w:tcMar>
              <w:left w:w="113" w:type="dxa"/>
              <w:right w:w="113" w:type="dxa"/>
            </w:tcMar>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highlight w:val="none"/>
              </w:rPr>
            </w:pPr>
            <w:r>
              <w:rPr>
                <w:highlight w:val="none"/>
              </w:rPr>
              <w:t>相应要求</w:t>
            </w:r>
          </w:p>
        </w:tc>
      </w:tr>
    </w:tbl>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ascii="Times New Roman" w:hAnsi="Times New Roman"/>
          <w:lang w:val="en-US"/>
        </w:rPr>
      </w:pPr>
      <w:bookmarkStart w:id="14" w:name="_Toc26825"/>
      <w:r>
        <w:rPr>
          <w:rFonts w:hint="eastAsia" w:ascii="Times New Roman" w:hAnsi="Times New Roman"/>
          <w:lang w:val="en-US" w:eastAsia="zh-CN"/>
        </w:rPr>
        <w:t>评价总体思路及技术路线</w:t>
      </w:r>
      <w:bookmarkEnd w:id="14"/>
    </w:p>
    <w:p>
      <w:pPr>
        <w:pStyle w:val="5"/>
        <w:bidi w:val="0"/>
        <w:rPr>
          <w:rFonts w:hint="eastAsia"/>
        </w:rPr>
      </w:pPr>
      <w:r>
        <w:rPr>
          <w:rFonts w:hint="eastAsia"/>
        </w:rPr>
        <w:t>评价总体思路</w:t>
      </w:r>
    </w:p>
    <w:p>
      <w:pPr>
        <w:ind w:firstLine="480"/>
        <w:rPr>
          <w:rFonts w:hint="eastAsia"/>
        </w:rPr>
      </w:pPr>
      <w:r>
        <w:rPr>
          <w:rFonts w:hint="eastAsia"/>
        </w:rPr>
        <w:t>将宏观分析与微观分析相结合，分析和评价</w:t>
      </w:r>
      <w:r>
        <w:rPr>
          <w:rFonts w:hint="default"/>
          <w:lang w:val="en-US" w:eastAsia="zh-CN"/>
        </w:rPr>
        <w:t>阳新经济开发区滨江工业园</w:t>
      </w:r>
      <w:r>
        <w:rPr>
          <w:rFonts w:hint="eastAsia"/>
          <w:lang w:val="en-US" w:eastAsia="zh-CN"/>
        </w:rPr>
        <w:t>（医药化工园）</w:t>
      </w:r>
      <w:r>
        <w:rPr>
          <w:rFonts w:hint="eastAsia"/>
        </w:rPr>
        <w:t>区域环境经济现状；根据规划区企业污染物排放现状和环境现状特点，依据对规划区各项资源环境承载能力和环境容量等方面的综合分析，评估规划区总体规划的环境影响；以改善环境质量和保障生态安全为目标，论证规划方案的生态环境合理性和环境效益，提出规划优化调整建议，明确不良生态环境影响的减缓措施，提出生态环境保护建议和管控要求，为规划决策和规划实施过程中的生态环境管理提供依据。</w:t>
      </w:r>
    </w:p>
    <w:p>
      <w:pPr>
        <w:pStyle w:val="5"/>
        <w:bidi w:val="0"/>
        <w:rPr>
          <w:rFonts w:hint="eastAsia"/>
        </w:rPr>
      </w:pPr>
      <w:r>
        <w:rPr>
          <w:rFonts w:hint="eastAsia"/>
        </w:rPr>
        <w:t>评价工作流程</w:t>
      </w:r>
    </w:p>
    <w:p>
      <w:pPr>
        <w:ind w:firstLine="480"/>
        <w:rPr>
          <w:rFonts w:hint="eastAsia"/>
        </w:rPr>
      </w:pPr>
      <w:r>
        <w:rPr>
          <w:rFonts w:hint="eastAsia"/>
        </w:rPr>
        <w:t>通过对规划内容的分析，收集与规划相关的法律法规、环境政策等，收集上位规划及“三线一单”成果，对规划区域及可能受影响的区域进行现场踏勘，收集相关基础数据资料，初步调查环境敏感目标情况，识别规划实施的主要环境影响，分析提出规划实施的资源、生态、环境制约因素。</w:t>
      </w:r>
    </w:p>
    <w:p>
      <w:pPr>
        <w:ind w:firstLine="480"/>
        <w:rPr>
          <w:rFonts w:hint="eastAsia"/>
        </w:rPr>
      </w:pPr>
      <w:r>
        <w:rPr>
          <w:rFonts w:hint="eastAsia"/>
        </w:rPr>
        <w:t>完成现状调查与评价，提出环境影响评价指标体系，分析、预测和评价拟定规划方案实施的资源、生态、环境影响，作为规划优化调整的参考和依据。</w:t>
      </w:r>
    </w:p>
    <w:p>
      <w:pPr>
        <w:ind w:firstLine="480"/>
        <w:rPr>
          <w:rFonts w:hint="eastAsia"/>
        </w:rPr>
      </w:pPr>
      <w:r>
        <w:rPr>
          <w:rFonts w:hint="eastAsia"/>
        </w:rPr>
        <w:t>进一步论证拟推荐的规划方案的环境合理性，形成必要的优化调整建议，反馈给规划编制机关。针对规划方案提出不良环境影响减缓措施和环境影响跟踪评价计划，编制环境影响报告书。</w:t>
      </w:r>
    </w:p>
    <w:p>
      <w:pPr>
        <w:pStyle w:val="5"/>
        <w:bidi w:val="0"/>
        <w:rPr>
          <w:rFonts w:hint="eastAsia"/>
        </w:rPr>
      </w:pPr>
      <w:r>
        <w:rPr>
          <w:rFonts w:hint="eastAsia"/>
        </w:rPr>
        <w:t>评价技术路线</w:t>
      </w:r>
    </w:p>
    <w:p>
      <w:pPr>
        <w:ind w:firstLine="480"/>
      </w:pPr>
      <w:r>
        <w:rPr>
          <w:rFonts w:hint="eastAsia"/>
        </w:rPr>
        <w:t>本规划环境影响评价的工作流程见图1</w:t>
      </w:r>
      <w:r>
        <w:rPr>
          <w:rFonts w:hint="eastAsia"/>
          <w:lang w:val="en-US" w:eastAsia="zh-CN"/>
        </w:rPr>
        <w:t>.6.3</w:t>
      </w:r>
      <w:r>
        <w:rPr>
          <w:rFonts w:hint="eastAsia"/>
        </w:rPr>
        <w:t>-1。</w:t>
      </w:r>
    </w:p>
    <w:p>
      <w:pPr>
        <w:ind w:left="0" w:leftChars="0" w:firstLine="0" w:firstLineChars="0"/>
      </w:pPr>
      <w:r>
        <w:rPr>
          <w:rFonts w:hint="default" w:ascii="Times New Roman" w:hAnsi="Times New Roman" w:eastAsia="宋体" w:cs="Times New Roman"/>
          <w:color w:val="auto"/>
        </w:rPr>
        <w:drawing>
          <wp:inline distT="0" distB="0" distL="0" distR="0">
            <wp:extent cx="5273040" cy="6027420"/>
            <wp:effectExtent l="0" t="0" r="3810" b="11430"/>
            <wp:docPr id="2" name="图片 2" descr="165960101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96010179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3040" cy="6027420"/>
                    </a:xfrm>
                    <a:prstGeom prst="rect">
                      <a:avLst/>
                    </a:prstGeom>
                    <a:noFill/>
                    <a:ln>
                      <a:noFill/>
                    </a:ln>
                  </pic:spPr>
                </pic:pic>
              </a:graphicData>
            </a:graphic>
          </wp:inline>
        </w:drawing>
      </w:r>
    </w:p>
    <w:p>
      <w:pPr>
        <w:pStyle w:val="26"/>
        <w:bidi w:val="0"/>
        <w:rPr>
          <w:rFonts w:hint="eastAsia"/>
          <w:lang w:val="en-US" w:eastAsia="zh-CN"/>
        </w:rPr>
      </w:pPr>
      <w:r>
        <w:rPr>
          <w:rFonts w:hint="eastAsia"/>
        </w:rPr>
        <w:t>图1.</w:t>
      </w:r>
      <w:r>
        <w:rPr>
          <w:rFonts w:hint="eastAsia"/>
          <w:lang w:val="en-US" w:eastAsia="zh-CN"/>
        </w:rPr>
        <w:t>6.3</w:t>
      </w:r>
      <w:r>
        <w:rPr>
          <w:rFonts w:hint="eastAsia"/>
        </w:rPr>
        <w:t>-1 环境影响评价工作流程图</w:t>
      </w:r>
    </w:p>
    <w:p>
      <w:pPr>
        <w:rPr>
          <w:rFonts w:hint="default"/>
          <w:lang w:val="en-US"/>
        </w:rPr>
      </w:pPr>
    </w:p>
    <w:p>
      <w:pPr>
        <w:rPr>
          <w:color w:val="auto"/>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bidi w:val="0"/>
        <w:rPr>
          <w:color w:val="auto"/>
        </w:rPr>
      </w:pPr>
      <w:bookmarkStart w:id="15" w:name="_Toc17734"/>
      <w:r>
        <w:rPr>
          <w:rFonts w:hint="eastAsia"/>
          <w:color w:val="auto"/>
          <w:lang w:val="en-US" w:eastAsia="zh-CN"/>
        </w:rPr>
        <w:t>规划方案分析</w:t>
      </w:r>
      <w:bookmarkEnd w:id="15"/>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ascii="Times New Roman" w:hAnsi="Times New Roman"/>
          <w:lang w:val="en-US" w:eastAsia="zh-CN"/>
        </w:rPr>
      </w:pPr>
      <w:bookmarkStart w:id="16" w:name="_Toc13123"/>
      <w:r>
        <w:rPr>
          <w:rFonts w:hint="eastAsia" w:ascii="Times New Roman" w:hAnsi="Times New Roman"/>
          <w:lang w:val="en-US" w:eastAsia="zh-CN"/>
        </w:rPr>
        <w:t>规划方案概述</w:t>
      </w:r>
      <w:bookmarkEnd w:id="16"/>
    </w:p>
    <w:p>
      <w:pPr>
        <w:pStyle w:val="5"/>
        <w:bidi w:val="0"/>
        <w:rPr>
          <w:rFonts w:hint="default"/>
          <w:lang w:val="en-US" w:eastAsia="zh-CN"/>
        </w:rPr>
      </w:pPr>
      <w:r>
        <w:rPr>
          <w:rFonts w:hint="eastAsia"/>
          <w:lang w:val="en-US" w:eastAsia="zh-CN"/>
        </w:rPr>
        <w:t>规划范围</w:t>
      </w:r>
    </w:p>
    <w:p>
      <w:pPr>
        <w:bidi w:val="0"/>
        <w:rPr>
          <w:rFonts w:hint="default"/>
          <w:lang w:val="en-US" w:eastAsia="zh-CN"/>
        </w:rPr>
      </w:pPr>
      <w:r>
        <w:rPr>
          <w:rFonts w:hint="default"/>
          <w:lang w:val="en-US" w:eastAsia="zh-CN"/>
        </w:rPr>
        <w:t>阳新经济开发区滨江工业园</w:t>
      </w:r>
      <w:r>
        <w:rPr>
          <w:rFonts w:hint="eastAsia"/>
          <w:lang w:val="en-US" w:eastAsia="zh-CN"/>
        </w:rPr>
        <w:t>（医药化工园）</w:t>
      </w:r>
      <w:r>
        <w:rPr>
          <w:rFonts w:hint="default"/>
          <w:lang w:val="en-US" w:eastAsia="zh-CN"/>
        </w:rPr>
        <w:t>位于阳新县富池镇东南部</w:t>
      </w:r>
      <w:r>
        <w:rPr>
          <w:rFonts w:hint="eastAsia"/>
          <w:lang w:val="en-US" w:eastAsia="zh-CN"/>
        </w:rPr>
        <w:t>，四至范围为：西至镇区和远大富驰公司老厂区的结合部、南靠大岭山、东抵上巢村、北临长江所围成的区域，</w:t>
      </w:r>
      <w:r>
        <w:rPr>
          <w:rFonts w:hint="default"/>
          <w:lang w:val="en-US" w:eastAsia="zh-CN"/>
        </w:rPr>
        <w:t>规划用地面积169.45公顷。</w:t>
      </w:r>
    </w:p>
    <w:p>
      <w:pPr>
        <w:pStyle w:val="5"/>
        <w:bidi w:val="0"/>
        <w:rPr>
          <w:rFonts w:hint="default"/>
          <w:lang w:val="en-US" w:eastAsia="zh-CN"/>
        </w:rPr>
      </w:pPr>
      <w:r>
        <w:rPr>
          <w:rFonts w:hint="eastAsia"/>
          <w:lang w:val="en-US" w:eastAsia="zh-CN"/>
        </w:rPr>
        <w:t>规划时限</w:t>
      </w:r>
    </w:p>
    <w:p>
      <w:pPr>
        <w:rPr>
          <w:rFonts w:hint="eastAsia"/>
          <w:lang w:val="en-US" w:eastAsia="zh-CN"/>
        </w:rPr>
      </w:pPr>
      <w:r>
        <w:rPr>
          <w:rFonts w:hint="default"/>
          <w:lang w:val="en-US" w:eastAsia="zh-CN"/>
        </w:rPr>
        <w:t>阳新经济开发区滨江工业园（医药化工园区）总体规划的时间期限为2022-2035年</w:t>
      </w:r>
      <w:r>
        <w:rPr>
          <w:rFonts w:hint="eastAsia"/>
          <w:lang w:val="en-US" w:eastAsia="zh-CN"/>
        </w:rPr>
        <w:t>。</w:t>
      </w:r>
      <w:r>
        <w:rPr>
          <w:rFonts w:hint="default"/>
          <w:lang w:val="en-US" w:eastAsia="zh-CN"/>
        </w:rPr>
        <w:t>分两期实施</w:t>
      </w:r>
      <w:r>
        <w:rPr>
          <w:rFonts w:hint="eastAsia"/>
          <w:lang w:val="en-US" w:eastAsia="zh-CN"/>
        </w:rPr>
        <w:t>，其中</w:t>
      </w:r>
      <w:r>
        <w:rPr>
          <w:rFonts w:hint="default"/>
          <w:lang w:val="en-US" w:eastAsia="zh-CN"/>
        </w:rPr>
        <w:t>近期为2022-2025年</w:t>
      </w:r>
      <w:r>
        <w:rPr>
          <w:rFonts w:hint="eastAsia"/>
          <w:lang w:val="en-US" w:eastAsia="zh-CN"/>
        </w:rPr>
        <w:t>，</w:t>
      </w:r>
      <w:r>
        <w:rPr>
          <w:rFonts w:hint="default"/>
          <w:lang w:val="en-US" w:eastAsia="zh-CN"/>
        </w:rPr>
        <w:t>远期为2026-2035年</w:t>
      </w:r>
      <w:r>
        <w:rPr>
          <w:rFonts w:hint="eastAsia"/>
          <w:lang w:val="en-US" w:eastAsia="zh-CN"/>
        </w:rPr>
        <w:t>。</w:t>
      </w:r>
    </w:p>
    <w:p>
      <w:pPr>
        <w:pStyle w:val="5"/>
        <w:bidi w:val="0"/>
        <w:rPr>
          <w:rFonts w:hint="default"/>
          <w:lang w:val="en-US" w:eastAsia="zh-CN"/>
        </w:rPr>
      </w:pPr>
      <w:r>
        <w:rPr>
          <w:rFonts w:hint="eastAsia"/>
          <w:lang w:val="en-US" w:eastAsia="zh-CN"/>
        </w:rPr>
        <w:t>功能定位及发展规模</w:t>
      </w:r>
    </w:p>
    <w:p>
      <w:pPr>
        <w:pStyle w:val="6"/>
        <w:bidi w:val="0"/>
        <w:rPr>
          <w:rFonts w:hint="default"/>
          <w:lang w:val="en-US" w:eastAsia="zh-CN"/>
        </w:rPr>
      </w:pPr>
      <w:r>
        <w:rPr>
          <w:rFonts w:hint="eastAsia"/>
          <w:lang w:val="en-US" w:eastAsia="zh-CN"/>
        </w:rPr>
        <w:t>功能定位</w:t>
      </w:r>
    </w:p>
    <w:p>
      <w:pPr>
        <w:bidi w:val="0"/>
        <w:rPr>
          <w:rFonts w:hint="eastAsia"/>
          <w:lang w:val="en-US" w:eastAsia="zh-CN"/>
        </w:rPr>
      </w:pPr>
      <w:r>
        <w:rPr>
          <w:lang w:val="en-US" w:eastAsia="zh-CN"/>
        </w:rPr>
        <w:t>阳新经济开发区滨江工业园</w:t>
      </w:r>
      <w:r>
        <w:rPr>
          <w:rFonts w:hint="eastAsia"/>
          <w:lang w:val="en-US" w:eastAsia="zh-CN"/>
        </w:rPr>
        <w:t>是</w:t>
      </w:r>
      <w:r>
        <w:rPr>
          <w:lang w:val="en-US" w:eastAsia="zh-CN"/>
        </w:rPr>
        <w:t>阳新</w:t>
      </w:r>
      <w:r>
        <w:rPr>
          <w:rFonts w:hint="eastAsia"/>
          <w:lang w:val="en-US" w:eastAsia="zh-CN"/>
        </w:rPr>
        <w:t>县</w:t>
      </w:r>
      <w:r>
        <w:rPr>
          <w:lang w:val="en-US" w:eastAsia="zh-CN"/>
        </w:rPr>
        <w:t>重点产业园区</w:t>
      </w:r>
      <w:r>
        <w:rPr>
          <w:rFonts w:hint="eastAsia"/>
          <w:lang w:val="en-US" w:eastAsia="zh-CN"/>
        </w:rPr>
        <w:t>之一，也是阳新县乃至</w:t>
      </w:r>
      <w:r>
        <w:rPr>
          <w:lang w:val="en-US" w:eastAsia="zh-CN"/>
        </w:rPr>
        <w:t>黄石高质量</w:t>
      </w:r>
      <w:r>
        <w:rPr>
          <w:rFonts w:hint="default"/>
          <w:lang w:val="en-US" w:eastAsia="zh-CN"/>
        </w:rPr>
        <w:t>发展的</w:t>
      </w:r>
      <w:r>
        <w:rPr>
          <w:rFonts w:hint="eastAsia"/>
          <w:lang w:val="en-US" w:eastAsia="zh-CN"/>
        </w:rPr>
        <w:t>重要</w:t>
      </w:r>
      <w:r>
        <w:rPr>
          <w:rFonts w:hint="default"/>
          <w:lang w:val="en-US" w:eastAsia="zh-CN"/>
        </w:rPr>
        <w:t>引擎。</w:t>
      </w:r>
      <w:r>
        <w:rPr>
          <w:rFonts w:hint="eastAsia"/>
          <w:lang w:val="en-US" w:eastAsia="zh-CN"/>
        </w:rPr>
        <w:t>园区拟</w:t>
      </w:r>
      <w:r>
        <w:rPr>
          <w:rFonts w:hint="default"/>
          <w:lang w:val="en-US" w:eastAsia="zh-CN"/>
        </w:rPr>
        <w:t>以精品制药、生物医药、食品添加剂、精细化工、化工新材料研发、生产为主，打造高新技术产业集聚地、绿色化工企业典范区</w:t>
      </w:r>
      <w:r>
        <w:rPr>
          <w:rFonts w:hint="eastAsia"/>
          <w:lang w:val="en-US" w:eastAsia="zh-CN"/>
        </w:rPr>
        <w:t>。</w:t>
      </w:r>
    </w:p>
    <w:p>
      <w:pPr>
        <w:pStyle w:val="6"/>
        <w:bidi w:val="0"/>
        <w:rPr>
          <w:rFonts w:hint="default"/>
          <w:lang w:val="en-US" w:eastAsia="zh-CN"/>
        </w:rPr>
      </w:pPr>
      <w:r>
        <w:rPr>
          <w:rFonts w:hint="eastAsia"/>
          <w:lang w:val="en-US" w:eastAsia="zh-CN"/>
        </w:rPr>
        <w:t>用地规模</w:t>
      </w:r>
    </w:p>
    <w:p>
      <w:pPr>
        <w:rPr>
          <w:rFonts w:hint="default"/>
          <w:lang w:val="en-US" w:eastAsia="zh-CN"/>
        </w:rPr>
      </w:pPr>
      <w:r>
        <w:rPr>
          <w:rFonts w:hint="default"/>
          <w:lang w:val="en-US" w:eastAsia="zh-CN"/>
        </w:rPr>
        <w:t>园区规划用地面积为169.45公顷，其中城镇建设用地158.76公顷。</w:t>
      </w:r>
    </w:p>
    <w:p>
      <w:pPr>
        <w:pStyle w:val="6"/>
        <w:bidi w:val="0"/>
        <w:rPr>
          <w:rFonts w:hint="default"/>
          <w:lang w:val="en-US" w:eastAsia="zh-CN"/>
        </w:rPr>
      </w:pPr>
      <w:r>
        <w:rPr>
          <w:rFonts w:hint="eastAsia"/>
          <w:lang w:val="en-US" w:eastAsia="zh-CN"/>
        </w:rPr>
        <w:t>人口规模</w:t>
      </w:r>
    </w:p>
    <w:p>
      <w:pPr>
        <w:rPr>
          <w:rFonts w:hint="eastAsia"/>
          <w:lang w:val="en-US" w:eastAsia="zh-CN"/>
        </w:rPr>
      </w:pPr>
      <w:r>
        <w:rPr>
          <w:rFonts w:hint="eastAsia"/>
          <w:lang w:val="en-US" w:eastAsia="zh-CN"/>
        </w:rPr>
        <w:t>本园区为规划的化工园，未规划居住用地，无常住人口。经规划预测，2025年园区人口约为4000-4500人，2035年约为1.2-1.25万人。</w:t>
      </w:r>
    </w:p>
    <w:p>
      <w:pPr>
        <w:pStyle w:val="6"/>
        <w:bidi w:val="0"/>
        <w:rPr>
          <w:rFonts w:hint="default"/>
          <w:lang w:val="en-US" w:eastAsia="zh-CN"/>
        </w:rPr>
      </w:pPr>
      <w:r>
        <w:rPr>
          <w:rFonts w:hint="eastAsia"/>
          <w:lang w:val="en-US" w:eastAsia="zh-CN"/>
        </w:rPr>
        <w:t>产业规模</w:t>
      </w:r>
    </w:p>
    <w:p>
      <w:pPr>
        <w:rPr>
          <w:rFonts w:hint="eastAsia"/>
          <w:lang w:val="en-US" w:eastAsia="zh-CN"/>
        </w:rPr>
      </w:pPr>
      <w:r>
        <w:rPr>
          <w:rFonts w:hint="eastAsia"/>
          <w:lang w:val="en-US" w:eastAsia="zh-CN"/>
        </w:rPr>
        <w:t>规划近期（至2025年），实现产值50亿元左右的规模；规划远期（至2035年），实现产值100亿元左右的规模。</w:t>
      </w:r>
    </w:p>
    <w:p>
      <w:pPr>
        <w:pStyle w:val="5"/>
        <w:bidi w:val="0"/>
        <w:rPr>
          <w:rFonts w:hint="default"/>
          <w:lang w:val="en-US" w:eastAsia="zh-CN"/>
        </w:rPr>
      </w:pPr>
      <w:r>
        <w:rPr>
          <w:rFonts w:hint="eastAsia"/>
          <w:lang w:val="en-US" w:eastAsia="zh-CN"/>
        </w:rPr>
        <w:t>产业发展规划</w:t>
      </w:r>
    </w:p>
    <w:p>
      <w:pPr>
        <w:pStyle w:val="6"/>
        <w:bidi w:val="0"/>
        <w:rPr>
          <w:rFonts w:hint="default"/>
          <w:lang w:val="en-US" w:eastAsia="zh-CN"/>
        </w:rPr>
      </w:pPr>
      <w:r>
        <w:rPr>
          <w:rFonts w:hint="eastAsia"/>
          <w:lang w:val="en-US" w:eastAsia="zh-CN"/>
        </w:rPr>
        <w:t>总体发展思路</w:t>
      </w:r>
    </w:p>
    <w:p>
      <w:pPr>
        <w:rPr>
          <w:rFonts w:hint="default"/>
          <w:lang w:val="en-US" w:eastAsia="zh-CN"/>
        </w:rPr>
      </w:pPr>
      <w:r>
        <w:rPr>
          <w:rFonts w:hint="default"/>
          <w:lang w:val="en-US" w:eastAsia="zh-CN"/>
        </w:rPr>
        <w:t>阳新经济开发区滨江工业园（医药化工园区）产业发展以精品制药、生物医药、食品添加剂、精细化工、化工新材料为主导，依托湖北远大富驰医药化工股份有限公司为母公司，带动子公司湖北富博化工有限责任公司、湖北富驰化工设备有限公司医药化工产业发展；以及壮大提升现有武汉武药制药有限公司、湖北远大生命科学与技术有限责任公司、湖北远大生物技术有限公司、黄石市利福达医药化工有限公司生物医药产业基础，强化优势产品地位，同时与新材料产业发展相衔接，培育壮大氨基酸产业链、食品添加剂及精品制药板块，将阳新经济开发区打造为华中地区重要的医药及高新技术产业基地。</w:t>
      </w:r>
    </w:p>
    <w:p>
      <w:pPr>
        <w:pStyle w:val="6"/>
        <w:bidi w:val="0"/>
        <w:rPr>
          <w:rFonts w:hint="default"/>
          <w:lang w:val="en-US" w:eastAsia="zh-CN"/>
        </w:rPr>
      </w:pPr>
      <w:r>
        <w:rPr>
          <w:rFonts w:hint="eastAsia"/>
          <w:lang w:val="en-US" w:eastAsia="zh-CN"/>
        </w:rPr>
        <w:t>重点企业发展规划</w:t>
      </w:r>
    </w:p>
    <w:p>
      <w:pPr>
        <w:rPr>
          <w:rFonts w:hint="eastAsia"/>
          <w:b/>
          <w:bCs/>
          <w:lang w:val="en-US" w:eastAsia="zh-CN"/>
        </w:rPr>
      </w:pPr>
      <w:r>
        <w:rPr>
          <w:rFonts w:hint="eastAsia"/>
          <w:b/>
          <w:bCs/>
          <w:lang w:val="en-US" w:eastAsia="zh-CN"/>
        </w:rPr>
        <w:t>（1）湖北远大富驰医药化工股份有限公司</w:t>
      </w:r>
    </w:p>
    <w:p>
      <w:pPr>
        <w:rPr>
          <w:rFonts w:hint="default"/>
          <w:lang w:val="en-US" w:eastAsia="zh-CN"/>
        </w:rPr>
      </w:pPr>
      <w:r>
        <w:rPr>
          <w:rFonts w:hint="default"/>
          <w:lang w:val="en-US" w:eastAsia="zh-CN"/>
        </w:rPr>
        <w:t>维持硫酸、硫酸二甲酯、硝基甲烷传统化工原料规模、配套园区基础原料保供及外部高端客户需求；做好现有原料药及生物产品的配套产品及发展“两低一高”医药中间体产品。</w:t>
      </w:r>
    </w:p>
    <w:p>
      <w:pPr>
        <w:rPr>
          <w:rFonts w:hint="eastAsia"/>
          <w:b/>
          <w:bCs/>
          <w:lang w:val="en-US" w:eastAsia="zh-CN"/>
        </w:rPr>
      </w:pPr>
      <w:r>
        <w:rPr>
          <w:rFonts w:hint="eastAsia"/>
          <w:b/>
          <w:bCs/>
          <w:lang w:val="en-US" w:eastAsia="zh-CN"/>
        </w:rPr>
        <w:t xml:space="preserve">（2）湖北远大生物技术有限公司 </w:t>
      </w:r>
    </w:p>
    <w:p>
      <w:pPr>
        <w:rPr>
          <w:rFonts w:hint="default"/>
          <w:lang w:val="en-US" w:eastAsia="zh-CN"/>
        </w:rPr>
      </w:pPr>
      <w:r>
        <w:rPr>
          <w:rFonts w:hint="default"/>
          <w:lang w:val="en-US" w:eastAsia="zh-CN"/>
        </w:rPr>
        <w:t>将进一步以生物技术为手段，充分利用公司原有生产氨基酸系列产品的全套生产设备、生产厂房和公用工程设施，重点开展小品种氨基酸及衍生物等营养保健品类生物制造与酶反应的技术。</w:t>
      </w:r>
    </w:p>
    <w:p>
      <w:pPr>
        <w:rPr>
          <w:rFonts w:hint="eastAsia"/>
          <w:b/>
          <w:bCs/>
          <w:lang w:val="en-US" w:eastAsia="zh-CN"/>
        </w:rPr>
      </w:pPr>
      <w:r>
        <w:rPr>
          <w:rFonts w:hint="eastAsia"/>
          <w:b/>
          <w:bCs/>
          <w:lang w:val="en-US" w:eastAsia="zh-CN"/>
        </w:rPr>
        <w:t xml:space="preserve">（3）湖北远大生命科学与技术有限责任公司 </w:t>
      </w:r>
    </w:p>
    <w:p>
      <w:pPr>
        <w:rPr>
          <w:rFonts w:hint="eastAsia"/>
          <w:lang w:val="en-US" w:eastAsia="zh-CN"/>
        </w:rPr>
      </w:pPr>
      <w:r>
        <w:rPr>
          <w:rFonts w:hint="eastAsia"/>
          <w:lang w:val="en-US" w:eastAsia="zh-CN"/>
        </w:rPr>
        <w:t>药用氨基酸及食品添加剂类开发的产品主要是氨基酸系列产品：做营养、健康、绿色产业的倡导者，探索者、实践者、引领都，成为全球大健康领域高端品牌公司的稳定原料供应商。</w:t>
      </w:r>
    </w:p>
    <w:p>
      <w:pPr>
        <w:rPr>
          <w:rFonts w:hint="eastAsia"/>
          <w:lang w:val="en-US" w:eastAsia="zh-CN"/>
        </w:rPr>
      </w:pPr>
      <w:r>
        <w:rPr>
          <w:rFonts w:hint="eastAsia"/>
          <w:lang w:val="en-US" w:eastAsia="zh-CN"/>
        </w:rPr>
        <w:t>饲料添加剂及混合型饲料类开发的产品是新的饲料添加剂品种：做到技术引领、成本领先，构筑产业影响力和市场控制力，成为“话语权”为王的企业，在核心品种上原料技术做到世界一流。</w:t>
      </w:r>
    </w:p>
    <w:p>
      <w:pPr>
        <w:rPr>
          <w:rFonts w:hint="eastAsia"/>
          <w:lang w:val="en-US" w:eastAsia="zh-CN"/>
        </w:rPr>
      </w:pPr>
      <w:r>
        <w:rPr>
          <w:rFonts w:hint="eastAsia"/>
          <w:lang w:val="en-US" w:eastAsia="zh-CN"/>
        </w:rPr>
        <w:t>生物农药、生物肥料及生物刺激素类开发的产品是农药、肥料、刺激素的新品种：在安全、环保、质量管理体系上，建国内国际标杆，成为生物农业第一品牌划相符性分析</w:t>
      </w:r>
    </w:p>
    <w:p>
      <w:pPr>
        <w:rPr>
          <w:rFonts w:hint="default"/>
          <w:b/>
          <w:bCs/>
          <w:lang w:val="en-US" w:eastAsia="zh-CN"/>
        </w:rPr>
      </w:pPr>
      <w:r>
        <w:rPr>
          <w:rFonts w:hint="eastAsia"/>
          <w:b/>
          <w:bCs/>
          <w:lang w:val="en-US" w:eastAsia="zh-CN"/>
        </w:rPr>
        <w:t>（4）武汉武药制药有限公司</w:t>
      </w:r>
    </w:p>
    <w:p>
      <w:pPr>
        <w:rPr>
          <w:rFonts w:hint="eastAsia"/>
          <w:lang w:val="en-US" w:eastAsia="zh-CN"/>
        </w:rPr>
      </w:pPr>
      <w:r>
        <w:rPr>
          <w:rFonts w:hint="eastAsia"/>
          <w:lang w:val="en-US" w:eastAsia="zh-CN"/>
        </w:rPr>
        <w:t>着力发展特色定制原料药，做标准及认证，在技术及环保上做壁垒，把依诺沙星、盐酸替罗非班、吡诺克辛钠、硫普罗宁、重酒石酸去甲肾上腺素系 列产品等特色原料药及医药中间体做好做强，培养氯霉素、乙胺丁醇过亿产品，传统优势原料药安乃近、甲硝唑及甲硝唑微粉以环保及利润为导向做精做优，主抓产品标准及国际认证，不追求规模，以利润为主；进一步加大专利研发与转化，在取证产品框中以做核心产品及认证产品为导向，突出对制剂板块原料保供功能，强化特色定制原料药全球知名供应商地位。</w:t>
      </w:r>
    </w:p>
    <w:p>
      <w:pPr>
        <w:pStyle w:val="6"/>
        <w:bidi w:val="0"/>
        <w:rPr>
          <w:rFonts w:hint="eastAsia"/>
          <w:lang w:val="en-US" w:eastAsia="zh-CN"/>
        </w:rPr>
      </w:pPr>
      <w:r>
        <w:rPr>
          <w:rFonts w:hint="eastAsia"/>
          <w:lang w:val="en-US" w:eastAsia="zh-CN"/>
        </w:rPr>
        <w:t>产业发展空间布局</w:t>
      </w:r>
    </w:p>
    <w:p>
      <w:pPr>
        <w:rPr>
          <w:rFonts w:hint="eastAsia"/>
          <w:lang w:val="en-US" w:eastAsia="zh-CN"/>
        </w:rPr>
      </w:pPr>
      <w:r>
        <w:rPr>
          <w:rFonts w:hint="eastAsia"/>
          <w:lang w:val="en-US" w:eastAsia="zh-CN"/>
        </w:rPr>
        <w:t>园区结合地理位置、主导风向、</w:t>
      </w:r>
      <w:r>
        <w:rPr>
          <w:rFonts w:hint="default"/>
          <w:lang w:val="en-US" w:eastAsia="zh-CN"/>
        </w:rPr>
        <w:t>环境保护和安全卫生及营运对周边环境的影响程度等因素</w:t>
      </w:r>
      <w:r>
        <w:rPr>
          <w:rFonts w:hint="eastAsia"/>
          <w:lang w:val="en-US" w:eastAsia="zh-CN"/>
        </w:rPr>
        <w:t>将产业用地划分为二个发展区，即核心产业区及新兴产业区。</w:t>
      </w:r>
    </w:p>
    <w:p>
      <w:pPr>
        <w:rPr>
          <w:rFonts w:hint="eastAsia"/>
          <w:lang w:val="en-US" w:eastAsia="zh-CN"/>
        </w:rPr>
      </w:pPr>
      <w:r>
        <w:rPr>
          <w:rFonts w:hint="eastAsia"/>
          <w:lang w:val="en-US" w:eastAsia="zh-CN"/>
        </w:rPr>
        <w:t>（1）核心产业区：该区为医药化工园区老厂区所在地，位于工业园的中北部，绝大部分用地位于长江1公里生态保护范围内。规划对原有传统医药化工产业进行转型升级，拓展远大新型生物医药的产业功能，引进新的食品级甘氨酸和新材料项目，淘汰落后产能，依法依规加快推进不达标或不合规落后生产技术、装备和生产企业淘汰，研发低污染高效能的产业发展路径。该区现状主要分布有远大的一些厂房和金达翔、兴达等旧厂，规划将土地资源予以整合，关停不达标的老厂、小厂，集阳新经济开发区滨江工业园（医药化工园区）产业规划中打造现代高端生物医药品牌。科学合理布局、严格环评制度、严格环境准入、加强环境管理，污染企业严禁入园。</w:t>
      </w:r>
    </w:p>
    <w:p>
      <w:pPr>
        <w:rPr>
          <w:rFonts w:hint="eastAsia"/>
          <w:lang w:val="en-US" w:eastAsia="zh-CN"/>
        </w:rPr>
      </w:pPr>
      <w:r>
        <w:rPr>
          <w:rFonts w:hint="eastAsia"/>
          <w:lang w:val="en-US" w:eastAsia="zh-CN"/>
        </w:rPr>
        <w:t>（2）新兴产业区：该区位于工业园的东部，距武穴长江大桥最近，用地全部位于长江1公里生态控制范围内。规划关停原有零散小厂、矿山企业，重点以一类工业为主，大力发展氨基酸研发、精品制药类等无污染、无劳动密集型产业。</w:t>
      </w:r>
    </w:p>
    <w:p>
      <w:pPr>
        <w:pStyle w:val="5"/>
        <w:bidi w:val="0"/>
        <w:rPr>
          <w:rFonts w:hint="default"/>
          <w:lang w:val="en-US" w:eastAsia="zh-CN"/>
        </w:rPr>
      </w:pPr>
      <w:r>
        <w:rPr>
          <w:rFonts w:hint="eastAsia"/>
          <w:lang w:val="en-US" w:eastAsia="zh-CN"/>
        </w:rPr>
        <w:t>土地利用规划</w:t>
      </w:r>
    </w:p>
    <w:p>
      <w:pPr>
        <w:pStyle w:val="6"/>
        <w:bidi w:val="0"/>
        <w:rPr>
          <w:rFonts w:hint="default"/>
          <w:lang w:val="en-US" w:eastAsia="zh-CN"/>
        </w:rPr>
      </w:pPr>
      <w:r>
        <w:rPr>
          <w:rFonts w:hint="eastAsia"/>
          <w:lang w:val="en-US" w:eastAsia="zh-CN"/>
        </w:rPr>
        <w:t>用地规划结构</w:t>
      </w:r>
    </w:p>
    <w:p>
      <w:pPr>
        <w:rPr>
          <w:rFonts w:hint="eastAsia"/>
          <w:lang w:val="en-US" w:eastAsia="zh-CN"/>
        </w:rPr>
      </w:pPr>
      <w:r>
        <w:rPr>
          <w:rFonts w:hint="eastAsia"/>
          <w:lang w:val="en-US" w:eastAsia="zh-CN"/>
        </w:rPr>
        <w:t>园区规划形成“一心、一轴、二区”的总体功能布局结构。</w:t>
      </w:r>
    </w:p>
    <w:p>
      <w:pPr>
        <w:rPr>
          <w:rFonts w:hint="eastAsia"/>
          <w:lang w:val="en-US" w:eastAsia="zh-CN"/>
        </w:rPr>
      </w:pPr>
      <w:r>
        <w:rPr>
          <w:rFonts w:hint="eastAsia"/>
          <w:lang w:val="en-US" w:eastAsia="zh-CN"/>
        </w:rPr>
        <w:t>一心：即园区综合服务中心，结合富池镇政府设置园区对外招商、内部行政的综合平台。</w:t>
      </w:r>
    </w:p>
    <w:p>
      <w:pPr>
        <w:rPr>
          <w:rFonts w:hint="eastAsia"/>
          <w:lang w:val="en-US" w:eastAsia="zh-CN"/>
        </w:rPr>
      </w:pPr>
      <w:r>
        <w:rPr>
          <w:rFonts w:hint="eastAsia"/>
          <w:lang w:val="en-US" w:eastAsia="zh-CN"/>
        </w:rPr>
        <w:t>一轴：即沿高速连接线形成的沿路产业发展轴。向北对接兴富一级公路（S308）、串联镇区北部组团；向东延伸至麻阳高速，在富池段设置高速互通口对接武穴长江大桥连接线，打通园区对外的快速通道。</w:t>
      </w:r>
    </w:p>
    <w:p>
      <w:pPr>
        <w:rPr>
          <w:rFonts w:hint="eastAsia"/>
          <w:lang w:val="en-US" w:eastAsia="zh-CN"/>
        </w:rPr>
      </w:pPr>
      <w:r>
        <w:rPr>
          <w:rFonts w:hint="eastAsia"/>
          <w:lang w:val="en-US" w:eastAsia="zh-CN"/>
        </w:rPr>
        <w:t>二：即核心产业区及新兴产业区。</w:t>
      </w:r>
    </w:p>
    <w:p>
      <w:pPr>
        <w:ind w:left="0" w:leftChars="0" w:firstLine="0" w:firstLineChars="0"/>
        <w:rPr>
          <w:rFonts w:hint="eastAsia" w:eastAsia="宋体"/>
          <w:lang w:eastAsia="zh-CN"/>
        </w:rPr>
      </w:pPr>
      <w:r>
        <w:rPr>
          <w:rFonts w:hint="eastAsia" w:eastAsia="宋体"/>
          <w:lang w:eastAsia="zh-CN"/>
        </w:rPr>
        <w:drawing>
          <wp:inline distT="0" distB="0" distL="114300" distR="114300">
            <wp:extent cx="5342255" cy="3868420"/>
            <wp:effectExtent l="0" t="0" r="10795" b="17780"/>
            <wp:docPr id="23" name="图片 23" descr="6e9e6ef1f9ce2f8d8498dc43922af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e9e6ef1f9ce2f8d8498dc43922af4f"/>
                    <pic:cNvPicPr>
                      <a:picLocks noChangeAspect="1"/>
                    </pic:cNvPicPr>
                  </pic:nvPicPr>
                  <pic:blipFill>
                    <a:blip r:embed="rId11"/>
                    <a:srcRect l="3753" t="1536" r="3476" b="3481"/>
                    <a:stretch>
                      <a:fillRect/>
                    </a:stretch>
                  </pic:blipFill>
                  <pic:spPr>
                    <a:xfrm>
                      <a:off x="0" y="0"/>
                      <a:ext cx="5342255" cy="3868420"/>
                    </a:xfrm>
                    <a:prstGeom prst="rect">
                      <a:avLst/>
                    </a:prstGeom>
                  </pic:spPr>
                </pic:pic>
              </a:graphicData>
            </a:graphic>
          </wp:inline>
        </w:drawing>
      </w:r>
    </w:p>
    <w:p>
      <w:pPr>
        <w:pStyle w:val="30"/>
        <w:bidi w:val="0"/>
        <w:rPr>
          <w:rFonts w:hint="eastAsia"/>
          <w:lang w:val="en-US" w:eastAsia="zh-CN"/>
        </w:rPr>
      </w:pPr>
      <w:r>
        <w:rPr>
          <w:rFonts w:hint="eastAsia"/>
          <w:lang w:val="en-US" w:eastAsia="zh-CN"/>
        </w:rPr>
        <w:t>图2.1.5-1规划空间结构</w:t>
      </w:r>
    </w:p>
    <w:p>
      <w:pPr>
        <w:pStyle w:val="6"/>
        <w:bidi w:val="0"/>
        <w:rPr>
          <w:rFonts w:hint="default"/>
          <w:lang w:val="en-US" w:eastAsia="zh-CN"/>
        </w:rPr>
      </w:pPr>
      <w:r>
        <w:rPr>
          <w:rFonts w:hint="eastAsia"/>
          <w:lang w:val="en-US" w:eastAsia="zh-CN"/>
        </w:rPr>
        <w:t>土地利用规划</w:t>
      </w:r>
    </w:p>
    <w:p>
      <w:pPr>
        <w:rPr>
          <w:rFonts w:hint="eastAsia"/>
          <w:lang w:val="en-US" w:eastAsia="zh-CN"/>
        </w:rPr>
      </w:pPr>
      <w:r>
        <w:rPr>
          <w:rFonts w:hint="eastAsia"/>
          <w:lang w:val="en-US" w:eastAsia="zh-CN"/>
        </w:rPr>
        <w:t>园区规划用地面积为169.45公顷，其中城镇建设用地157.77公顷，具体如下：</w:t>
      </w:r>
    </w:p>
    <w:p>
      <w:pPr>
        <w:rPr>
          <w:rFonts w:hint="eastAsia"/>
          <w:lang w:val="en-US" w:eastAsia="zh-CN"/>
        </w:rPr>
      </w:pPr>
      <w:r>
        <w:rPr>
          <w:rFonts w:hint="eastAsia"/>
          <w:lang w:val="en-US" w:eastAsia="zh-CN"/>
        </w:rPr>
        <w:t>（1）公共管理与公共服务设施用地：总面积0.24公顷，占建设用地0.15%。</w:t>
      </w:r>
    </w:p>
    <w:p>
      <w:pPr>
        <w:rPr>
          <w:rFonts w:hint="eastAsia"/>
          <w:lang w:val="en-US" w:eastAsia="zh-CN"/>
        </w:rPr>
      </w:pPr>
      <w:r>
        <w:rPr>
          <w:rFonts w:hint="eastAsia"/>
          <w:lang w:val="en-US" w:eastAsia="zh-CN"/>
        </w:rPr>
        <w:t>（2）工业用地：总面积132.15公顷。其中一类工业用地面积为75.36公顷，占城镇建设用地面积的47.77％；二类工业用地面积为56.79公顷，占城镇建设用地面积的36.00％。</w:t>
      </w:r>
    </w:p>
    <w:p>
      <w:pPr>
        <w:rPr>
          <w:rFonts w:hint="eastAsia"/>
          <w:lang w:val="en-US" w:eastAsia="zh-CN"/>
        </w:rPr>
      </w:pPr>
      <w:r>
        <w:rPr>
          <w:rFonts w:hint="eastAsia"/>
          <w:lang w:val="en-US" w:eastAsia="zh-CN"/>
        </w:rPr>
        <w:t>（3）道路与交通设施用地：道路与交通设施用地主要包括城市道路用地和交通场站用地，用地面积为10.53公顷，占城镇建设用地的6.67％。园区道路宽度分别为12米、15米、18米及25.5米，与位于园区中部的1处危化品停车场共同构建园区道路网体系。</w:t>
      </w:r>
    </w:p>
    <w:p>
      <w:pPr>
        <w:rPr>
          <w:rFonts w:hint="eastAsia"/>
          <w:lang w:val="en-US" w:eastAsia="zh-CN"/>
        </w:rPr>
      </w:pPr>
      <w:r>
        <w:rPr>
          <w:rFonts w:hint="eastAsia"/>
          <w:lang w:val="en-US" w:eastAsia="zh-CN"/>
        </w:rPr>
        <w:t>（4）公用设施用地：主要包括污水处理厂、保留现状消防站、新建特勤消防站及垃圾转运站，总用地面积5.78公顷，占城镇建设用地的3.66%。</w:t>
      </w:r>
    </w:p>
    <w:p>
      <w:pPr>
        <w:rPr>
          <w:rFonts w:hint="eastAsia"/>
          <w:lang w:val="en-US" w:eastAsia="zh-CN"/>
        </w:rPr>
      </w:pPr>
      <w:r>
        <w:rPr>
          <w:rFonts w:hint="eastAsia"/>
          <w:lang w:val="en-US" w:eastAsia="zh-CN"/>
        </w:rPr>
        <w:t>（5）绿地与广场用地：主要为防护绿地，总面积9.07公顷，占城镇建设用地面积的5.75％。</w:t>
      </w:r>
    </w:p>
    <w:p>
      <w:pPr>
        <w:rPr>
          <w:rFonts w:hint="default"/>
          <w:lang w:val="en-US" w:eastAsia="zh-CN"/>
        </w:rPr>
      </w:pPr>
      <w:r>
        <w:rPr>
          <w:rFonts w:hint="eastAsia"/>
          <w:lang w:val="en-US" w:eastAsia="zh-CN"/>
        </w:rPr>
        <w:t>（6）公路用地：主要为过境的高速连接线，用地面积4.48公顷。规划划定公路沿线两侧 100 米安全控制线，控制线内禁止设立生产、储存、销售易燃、易爆、剧毒、放射性等危险物品的场所、设施等活动。同时划定高速连接线两侧建筑退线15米安全距离要求。</w:t>
      </w:r>
    </w:p>
    <w:p>
      <w:pPr>
        <w:rPr>
          <w:rFonts w:hint="default"/>
          <w:lang w:val="en-US" w:eastAsia="zh-CN"/>
        </w:rPr>
      </w:pPr>
      <w:r>
        <w:rPr>
          <w:rFonts w:hint="eastAsia"/>
          <w:lang w:val="en-US" w:eastAsia="zh-CN"/>
        </w:rPr>
        <w:t>（7）水域及其它用地：主要为园区内部养马湖水体，用地面积7.20公顷。</w:t>
      </w:r>
    </w:p>
    <w:p>
      <w:pPr>
        <w:pStyle w:val="26"/>
        <w:bidi w:val="0"/>
        <w:rPr>
          <w:rFonts w:hint="default"/>
          <w:lang w:val="en-US" w:eastAsia="zh-CN"/>
        </w:rPr>
      </w:pPr>
      <w:r>
        <w:rPr>
          <w:rFonts w:hint="eastAsia"/>
          <w:lang w:val="en-US" w:eastAsia="zh-CN"/>
        </w:rPr>
        <w:t>表2.1.5-1 规划用地平衡表</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02"/>
        <w:gridCol w:w="530"/>
        <w:gridCol w:w="672"/>
        <w:gridCol w:w="2631"/>
        <w:gridCol w:w="1567"/>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58" w:type="pct"/>
            <w:gridSpan w:val="3"/>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用地代码</w:t>
            </w:r>
          </w:p>
        </w:tc>
        <w:tc>
          <w:tcPr>
            <w:tcW w:w="154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用地名称</w:t>
            </w:r>
          </w:p>
        </w:tc>
        <w:tc>
          <w:tcPr>
            <w:tcW w:w="91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default" w:ascii="Times New Roman" w:hAnsi="Times New Roman" w:cs="Times New Roman"/>
                <w:sz w:val="21"/>
                <w:szCs w:val="21"/>
                <w:lang w:val="en-US" w:eastAsia="zh-CN" w:bidi="ar"/>
              </w:rPr>
              <w:t>用地面积</w:t>
            </w:r>
            <w:r>
              <w:rPr>
                <w:rFonts w:hint="eastAsia" w:ascii="Times New Roman" w:hAnsi="Times New Roman" w:cs="Times New Roman"/>
                <w:sz w:val="21"/>
                <w:szCs w:val="21"/>
                <w:lang w:val="en-US" w:eastAsia="zh-CN" w:bidi="ar"/>
              </w:rPr>
              <w:t>（hm</w:t>
            </w:r>
            <w:r>
              <w:rPr>
                <w:rFonts w:hint="eastAsia" w:ascii="Times New Roman" w:hAnsi="Times New Roman" w:cs="Times New Roman"/>
                <w:sz w:val="21"/>
                <w:szCs w:val="21"/>
                <w:vertAlign w:val="superscript"/>
                <w:lang w:val="en-US" w:eastAsia="zh-CN" w:bidi="ar"/>
              </w:rPr>
              <w:t>2</w:t>
            </w:r>
            <w:r>
              <w:rPr>
                <w:rFonts w:hint="eastAsia" w:ascii="宋体" w:hAnsi="宋体" w:eastAsia="宋体" w:cs="宋体"/>
                <w:sz w:val="21"/>
                <w:szCs w:val="21"/>
                <w:vertAlign w:val="baseline"/>
                <w:lang w:val="en-US" w:eastAsia="zh-CN" w:bidi="ar"/>
              </w:rPr>
              <w:t>)</w:t>
            </w:r>
          </w:p>
        </w:tc>
        <w:tc>
          <w:tcPr>
            <w:tcW w:w="1478"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占城市建设用地比例（</w:t>
            </w:r>
            <w:r>
              <w:rPr>
                <w:rFonts w:hint="default" w:ascii="Times New Roman" w:hAnsi="Times New Roman" w:eastAsia="等线" w:cs="Times New Roman"/>
                <w:sz w:val="21"/>
                <w:szCs w:val="21"/>
                <w:lang w:val="en-US" w:eastAsia="zh-CN" w:bidi="ar"/>
              </w:rPr>
              <w:t>%</w:t>
            </w:r>
            <w:r>
              <w:rPr>
                <w:rFonts w:hint="default" w:ascii="Times New Roman" w:hAnsi="Times New Roman" w:cs="Times New Roman"/>
                <w:sz w:val="21"/>
                <w:szCs w:val="21"/>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大类</w:t>
            </w:r>
          </w:p>
        </w:tc>
        <w:tc>
          <w:tcPr>
            <w:tcW w:w="70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中类</w:t>
            </w:r>
            <w:r>
              <w:rPr>
                <w:rFonts w:hint="default" w:ascii="Times New Roman" w:hAnsi="Times New Roman" w:eastAsia="等线" w:cs="Times New Roman"/>
                <w:sz w:val="21"/>
                <w:szCs w:val="21"/>
                <w:lang w:val="en-US" w:eastAsia="zh-CN" w:bidi="ar"/>
              </w:rPr>
              <w:t>/</w:t>
            </w:r>
            <w:r>
              <w:rPr>
                <w:rFonts w:hint="default" w:ascii="Times New Roman" w:hAnsi="Times New Roman" w:cs="Times New Roman"/>
                <w:sz w:val="21"/>
                <w:szCs w:val="21"/>
                <w:lang w:val="en-US" w:eastAsia="zh-CN" w:bidi="ar"/>
              </w:rPr>
              <w:t>小类</w:t>
            </w:r>
          </w:p>
        </w:tc>
        <w:tc>
          <w:tcPr>
            <w:tcW w:w="1543"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91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478"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A</w:t>
            </w:r>
          </w:p>
        </w:tc>
        <w:tc>
          <w:tcPr>
            <w:tcW w:w="70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54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公共管理与公共服务设施用地</w:t>
            </w:r>
          </w:p>
        </w:tc>
        <w:tc>
          <w:tcPr>
            <w:tcW w:w="91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0.24</w:t>
            </w:r>
          </w:p>
        </w:tc>
        <w:tc>
          <w:tcPr>
            <w:tcW w:w="14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continue"/>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705" w:type="pct"/>
            <w:gridSpan w:val="2"/>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A7</w:t>
            </w:r>
          </w:p>
        </w:tc>
        <w:tc>
          <w:tcPr>
            <w:tcW w:w="1543"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文物古迹设施用地</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0.24</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restar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M</w:t>
            </w:r>
          </w:p>
        </w:tc>
        <w:tc>
          <w:tcPr>
            <w:tcW w:w="705" w:type="pct"/>
            <w:gridSpan w:val="2"/>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543"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工业用地</w:t>
            </w:r>
          </w:p>
        </w:tc>
        <w:tc>
          <w:tcPr>
            <w:tcW w:w="919"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132.15</w:t>
            </w:r>
          </w:p>
        </w:tc>
        <w:tc>
          <w:tcPr>
            <w:tcW w:w="1478"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83.76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70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M1</w:t>
            </w:r>
          </w:p>
        </w:tc>
        <w:tc>
          <w:tcPr>
            <w:tcW w:w="154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一类工业用地</w:t>
            </w:r>
          </w:p>
        </w:tc>
        <w:tc>
          <w:tcPr>
            <w:tcW w:w="91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75.36</w:t>
            </w:r>
          </w:p>
        </w:tc>
        <w:tc>
          <w:tcPr>
            <w:tcW w:w="14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47.77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continue"/>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705" w:type="pct"/>
            <w:gridSpan w:val="2"/>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M2</w:t>
            </w:r>
          </w:p>
        </w:tc>
        <w:tc>
          <w:tcPr>
            <w:tcW w:w="1543"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二类工业用地</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56.79</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36.00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restar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S</w:t>
            </w:r>
          </w:p>
        </w:tc>
        <w:tc>
          <w:tcPr>
            <w:tcW w:w="705" w:type="pct"/>
            <w:gridSpan w:val="2"/>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543" w:type="pct"/>
            <w:tcBorders>
              <w:top w:val="double" w:color="auto" w:sz="4" w:space="0"/>
              <w:bottom w:val="single" w:color="000000"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道路与交通设施用地</w:t>
            </w:r>
          </w:p>
        </w:tc>
        <w:tc>
          <w:tcPr>
            <w:tcW w:w="919"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10.53</w:t>
            </w:r>
          </w:p>
        </w:tc>
        <w:tc>
          <w:tcPr>
            <w:tcW w:w="1478"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705" w:type="pct"/>
            <w:gridSpan w:val="2"/>
            <w:tcBorders>
              <w:right w:val="single" w:color="000000"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S1</w:t>
            </w:r>
          </w:p>
        </w:tc>
        <w:tc>
          <w:tcPr>
            <w:tcW w:w="1543" w:type="pct"/>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城市道路用地</w:t>
            </w:r>
          </w:p>
        </w:tc>
        <w:tc>
          <w:tcPr>
            <w:tcW w:w="919" w:type="pct"/>
            <w:tcBorders>
              <w:left w:val="single" w:color="000000"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9.79</w:t>
            </w:r>
          </w:p>
        </w:tc>
        <w:tc>
          <w:tcPr>
            <w:tcW w:w="14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6.21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353" w:type="pct"/>
            <w:vMerge w:val="continue"/>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310"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S4</w:t>
            </w:r>
          </w:p>
        </w:tc>
        <w:tc>
          <w:tcPr>
            <w:tcW w:w="394"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kern w:val="0"/>
                <w:sz w:val="21"/>
                <w:szCs w:val="21"/>
                <w:u w:val="none"/>
                <w:lang w:val="en-US" w:eastAsia="zh-CN" w:bidi="ar"/>
              </w:rPr>
            </w:pPr>
            <w:r>
              <w:rPr>
                <w:rFonts w:hint="default" w:ascii="Times New Roman" w:hAnsi="Times New Roman" w:eastAsia="等线" w:cs="Times New Roman"/>
                <w:i w:val="0"/>
                <w:iCs w:val="0"/>
                <w:color w:val="000000"/>
                <w:kern w:val="0"/>
                <w:sz w:val="21"/>
                <w:szCs w:val="21"/>
                <w:u w:val="none"/>
                <w:lang w:val="en-US" w:eastAsia="zh-CN" w:bidi="ar"/>
              </w:rPr>
              <w:t>S42</w:t>
            </w:r>
          </w:p>
        </w:tc>
        <w:tc>
          <w:tcPr>
            <w:tcW w:w="1543" w:type="pct"/>
            <w:tcBorders>
              <w:top w:val="single" w:color="000000" w:sz="4" w:space="0"/>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停车场用地</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0.74</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3" w:type="pct"/>
            <w:vMerge w:val="restar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U</w:t>
            </w:r>
          </w:p>
        </w:tc>
        <w:tc>
          <w:tcPr>
            <w:tcW w:w="705" w:type="pct"/>
            <w:gridSpan w:val="2"/>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543"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公用设施用地</w:t>
            </w:r>
          </w:p>
        </w:tc>
        <w:tc>
          <w:tcPr>
            <w:tcW w:w="919"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5.78</w:t>
            </w:r>
          </w:p>
        </w:tc>
        <w:tc>
          <w:tcPr>
            <w:tcW w:w="1478"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3.6</w:t>
            </w:r>
            <w:r>
              <w:rPr>
                <w:rFonts w:hint="eastAsia" w:eastAsia="等线" w:cs="Times New Roman"/>
                <w:i w:val="0"/>
                <w:iCs w:val="0"/>
                <w:color w:val="000000"/>
                <w:kern w:val="0"/>
                <w:sz w:val="21"/>
                <w:szCs w:val="21"/>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3"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310"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eastAsia="zh-CN"/>
              </w:rPr>
            </w:pPr>
            <w:r>
              <w:rPr>
                <w:rFonts w:hint="eastAsia" w:ascii="Times New Roman" w:hAnsi="Times New Roman" w:eastAsia="等线" w:cs="Times New Roman"/>
                <w:i w:val="0"/>
                <w:iCs w:val="0"/>
                <w:color w:val="000000"/>
                <w:sz w:val="21"/>
                <w:szCs w:val="21"/>
                <w:u w:val="none"/>
                <w:lang w:val="en-US" w:eastAsia="zh-CN"/>
              </w:rPr>
              <w:t>U2</w:t>
            </w:r>
          </w:p>
        </w:tc>
        <w:tc>
          <w:tcPr>
            <w:tcW w:w="39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kern w:val="2"/>
                <w:sz w:val="21"/>
                <w:szCs w:val="21"/>
                <w:u w:val="none"/>
                <w:lang w:val="en-US" w:eastAsia="zh-CN" w:bidi="ar-SA"/>
              </w:rPr>
            </w:pPr>
            <w:r>
              <w:rPr>
                <w:rFonts w:hint="default" w:ascii="Times New Roman" w:hAnsi="Times New Roman" w:eastAsia="等线" w:cs="Times New Roman"/>
                <w:i w:val="0"/>
                <w:iCs w:val="0"/>
                <w:color w:val="000000"/>
                <w:kern w:val="0"/>
                <w:sz w:val="21"/>
                <w:szCs w:val="21"/>
                <w:u w:val="none"/>
                <w:lang w:val="en-US" w:eastAsia="zh-CN" w:bidi="ar"/>
              </w:rPr>
              <w:t>U21</w:t>
            </w:r>
          </w:p>
        </w:tc>
        <w:tc>
          <w:tcPr>
            <w:tcW w:w="154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排水设施用地</w:t>
            </w:r>
          </w:p>
        </w:tc>
        <w:tc>
          <w:tcPr>
            <w:tcW w:w="91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3.47</w:t>
            </w:r>
          </w:p>
        </w:tc>
        <w:tc>
          <w:tcPr>
            <w:tcW w:w="14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3" w:type="pct"/>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31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p>
        </w:tc>
        <w:tc>
          <w:tcPr>
            <w:tcW w:w="39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kern w:val="2"/>
                <w:sz w:val="21"/>
                <w:szCs w:val="21"/>
                <w:u w:val="none"/>
                <w:lang w:val="en-US" w:eastAsia="zh-CN" w:bidi="ar-SA"/>
              </w:rPr>
            </w:pPr>
            <w:r>
              <w:rPr>
                <w:rFonts w:hint="default" w:ascii="Times New Roman" w:hAnsi="Times New Roman" w:eastAsia="等线" w:cs="Times New Roman"/>
                <w:i w:val="0"/>
                <w:iCs w:val="0"/>
                <w:color w:val="000000"/>
                <w:kern w:val="0"/>
                <w:sz w:val="21"/>
                <w:szCs w:val="21"/>
                <w:u w:val="none"/>
                <w:lang w:val="en-US" w:eastAsia="zh-CN" w:bidi="ar"/>
              </w:rPr>
              <w:t>U22</w:t>
            </w:r>
          </w:p>
        </w:tc>
        <w:tc>
          <w:tcPr>
            <w:tcW w:w="154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环卫设施用地</w:t>
            </w:r>
          </w:p>
        </w:tc>
        <w:tc>
          <w:tcPr>
            <w:tcW w:w="91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0.45</w:t>
            </w:r>
          </w:p>
        </w:tc>
        <w:tc>
          <w:tcPr>
            <w:tcW w:w="14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0.2</w:t>
            </w:r>
            <w:r>
              <w:rPr>
                <w:rFonts w:hint="eastAsia" w:eastAsia="等线" w:cs="Times New Roman"/>
                <w:i w:val="0"/>
                <w:iCs w:val="0"/>
                <w:color w:val="000000"/>
                <w:kern w:val="0"/>
                <w:sz w:val="21"/>
                <w:szCs w:val="21"/>
                <w:u w:val="none"/>
                <w:lang w:val="en-US" w:eastAsia="zh-CN" w:bidi="ar"/>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3" w:type="pct"/>
            <w:vMerge w:val="continue"/>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310"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eastAsia="zh-CN"/>
              </w:rPr>
            </w:pPr>
            <w:r>
              <w:rPr>
                <w:rFonts w:hint="eastAsia" w:ascii="Times New Roman" w:hAnsi="Times New Roman" w:eastAsia="等线" w:cs="Times New Roman"/>
                <w:i w:val="0"/>
                <w:iCs w:val="0"/>
                <w:color w:val="000000"/>
                <w:sz w:val="21"/>
                <w:szCs w:val="21"/>
                <w:u w:val="none"/>
                <w:lang w:val="en-US" w:eastAsia="zh-CN"/>
              </w:rPr>
              <w:t>U3</w:t>
            </w:r>
          </w:p>
        </w:tc>
        <w:tc>
          <w:tcPr>
            <w:tcW w:w="394"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kern w:val="2"/>
                <w:sz w:val="21"/>
                <w:szCs w:val="21"/>
                <w:u w:val="none"/>
                <w:lang w:val="en-US" w:eastAsia="zh-CN" w:bidi="ar-SA"/>
              </w:rPr>
            </w:pPr>
            <w:r>
              <w:rPr>
                <w:rFonts w:hint="default" w:ascii="Times New Roman" w:hAnsi="Times New Roman" w:eastAsia="等线" w:cs="Times New Roman"/>
                <w:i w:val="0"/>
                <w:iCs w:val="0"/>
                <w:color w:val="000000"/>
                <w:kern w:val="0"/>
                <w:sz w:val="21"/>
                <w:szCs w:val="21"/>
                <w:u w:val="none"/>
                <w:lang w:val="en-US" w:eastAsia="zh-CN" w:bidi="ar"/>
              </w:rPr>
              <w:t>U31</w:t>
            </w:r>
          </w:p>
        </w:tc>
        <w:tc>
          <w:tcPr>
            <w:tcW w:w="1543"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cs="Times New Roman"/>
                <w:sz w:val="21"/>
                <w:szCs w:val="21"/>
                <w:lang w:val="en-US" w:eastAsia="zh-CN" w:bidi="ar"/>
              </w:rPr>
              <w:t>消防设施用地</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1.86</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1.1</w:t>
            </w:r>
            <w:r>
              <w:rPr>
                <w:rFonts w:hint="eastAsia" w:eastAsia="等线" w:cs="Times New Roman"/>
                <w:i w:val="0"/>
                <w:iCs w:val="0"/>
                <w:color w:val="000000"/>
                <w:kern w:val="0"/>
                <w:sz w:val="21"/>
                <w:szCs w:val="21"/>
                <w:u w:val="none"/>
                <w:lang w:val="en-US" w:eastAsia="zh-CN" w:bidi="ar"/>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3" w:type="pct"/>
            <w:vMerge w:val="restar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G</w:t>
            </w:r>
          </w:p>
        </w:tc>
        <w:tc>
          <w:tcPr>
            <w:tcW w:w="705" w:type="pct"/>
            <w:gridSpan w:val="2"/>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1543"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serif" w:cs="Times New Roman"/>
                <w:i w:val="0"/>
                <w:iCs w:val="0"/>
                <w:color w:val="000000"/>
                <w:sz w:val="21"/>
                <w:szCs w:val="21"/>
                <w:u w:val="none"/>
              </w:rPr>
            </w:pPr>
            <w:r>
              <w:rPr>
                <w:rFonts w:hint="default" w:ascii="Times New Roman" w:hAnsi="Times New Roman" w:eastAsia="serif" w:cs="Times New Roman"/>
                <w:i w:val="0"/>
                <w:iCs w:val="0"/>
                <w:color w:val="000000"/>
                <w:kern w:val="0"/>
                <w:sz w:val="21"/>
                <w:szCs w:val="21"/>
                <w:u w:val="none"/>
                <w:lang w:val="en-US" w:eastAsia="zh-CN" w:bidi="ar"/>
              </w:rPr>
              <w:t>绿地与广场用地</w:t>
            </w:r>
          </w:p>
        </w:tc>
        <w:tc>
          <w:tcPr>
            <w:tcW w:w="919"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9.07</w:t>
            </w:r>
          </w:p>
        </w:tc>
        <w:tc>
          <w:tcPr>
            <w:tcW w:w="1478"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3" w:type="pct"/>
            <w:vMerge w:val="continue"/>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i w:val="0"/>
                <w:iCs w:val="0"/>
                <w:color w:val="000000"/>
                <w:sz w:val="21"/>
                <w:szCs w:val="21"/>
                <w:u w:val="none"/>
              </w:rPr>
            </w:pPr>
          </w:p>
        </w:tc>
        <w:tc>
          <w:tcPr>
            <w:tcW w:w="705" w:type="pct"/>
            <w:gridSpan w:val="2"/>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lang w:val="en-US" w:eastAsia="zh-CN" w:bidi="ar"/>
              </w:rPr>
              <w:t>G2</w:t>
            </w:r>
          </w:p>
        </w:tc>
        <w:tc>
          <w:tcPr>
            <w:tcW w:w="1543"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防护绿地</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rPr>
            </w:pPr>
            <w:r>
              <w:rPr>
                <w:rFonts w:hint="eastAsia" w:eastAsia="等线" w:cs="Times New Roman"/>
                <w:i w:val="0"/>
                <w:iCs w:val="0"/>
                <w:color w:val="000000"/>
                <w:kern w:val="0"/>
                <w:sz w:val="21"/>
                <w:szCs w:val="21"/>
                <w:u w:val="none"/>
                <w:lang w:val="en-US" w:eastAsia="zh-CN" w:bidi="ar"/>
              </w:rPr>
              <w:t>9.07</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i w:val="0"/>
                <w:iCs w:val="0"/>
                <w:color w:val="000000"/>
                <w:sz w:val="21"/>
                <w:szCs w:val="21"/>
                <w:u w:val="none"/>
                <w:lang w:val="en-US" w:eastAsia="zh-CN"/>
              </w:rPr>
            </w:pPr>
            <w:r>
              <w:rPr>
                <w:rFonts w:hint="eastAsia" w:eastAsia="等线" w:cs="Times New Roman"/>
                <w:i w:val="0"/>
                <w:iCs w:val="0"/>
                <w:color w:val="000000"/>
                <w:sz w:val="21"/>
                <w:szCs w:val="21"/>
                <w:u w:val="none"/>
                <w:lang w:val="en-US" w:eastAsia="zh-CN"/>
              </w:rPr>
              <w:t>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58" w:type="pct"/>
            <w:gridSpan w:val="3"/>
            <w:tcBorders>
              <w:top w:val="double" w:color="auto" w:sz="4" w:space="0"/>
              <w:bottom w:val="sing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H11</w:t>
            </w:r>
          </w:p>
        </w:tc>
        <w:tc>
          <w:tcPr>
            <w:tcW w:w="1543" w:type="pct"/>
            <w:tcBorders>
              <w:top w:val="double" w:color="auto" w:sz="4" w:space="0"/>
              <w:bottom w:val="sing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城市建设用地</w:t>
            </w:r>
          </w:p>
        </w:tc>
        <w:tc>
          <w:tcPr>
            <w:tcW w:w="919" w:type="pct"/>
            <w:tcBorders>
              <w:top w:val="double" w:color="auto" w:sz="4" w:space="0"/>
              <w:bottom w:val="sing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b/>
                <w:bCs/>
                <w:i w:val="0"/>
                <w:iCs w:val="0"/>
                <w:color w:val="000000"/>
                <w:sz w:val="21"/>
                <w:szCs w:val="21"/>
                <w:u w:val="none"/>
                <w:lang w:val="en-US"/>
              </w:rPr>
            </w:pPr>
            <w:r>
              <w:rPr>
                <w:rFonts w:hint="default" w:ascii="Times New Roman" w:hAnsi="Times New Roman" w:eastAsia="等线" w:cs="Times New Roman"/>
                <w:b/>
                <w:bCs/>
                <w:i w:val="0"/>
                <w:iCs w:val="0"/>
                <w:color w:val="000000"/>
                <w:kern w:val="0"/>
                <w:sz w:val="21"/>
                <w:szCs w:val="21"/>
                <w:u w:val="none"/>
                <w:lang w:val="en-US" w:eastAsia="zh-CN" w:bidi="ar"/>
              </w:rPr>
              <w:t>15</w:t>
            </w:r>
            <w:r>
              <w:rPr>
                <w:rFonts w:hint="eastAsia" w:eastAsia="等线" w:cs="Times New Roman"/>
                <w:b/>
                <w:bCs/>
                <w:i w:val="0"/>
                <w:iCs w:val="0"/>
                <w:color w:val="000000"/>
                <w:kern w:val="0"/>
                <w:sz w:val="21"/>
                <w:szCs w:val="21"/>
                <w:u w:val="none"/>
                <w:lang w:val="en-US" w:eastAsia="zh-CN" w:bidi="ar"/>
              </w:rPr>
              <w:t>7.77</w:t>
            </w:r>
          </w:p>
        </w:tc>
        <w:tc>
          <w:tcPr>
            <w:tcW w:w="1478" w:type="pct"/>
            <w:tcBorders>
              <w:top w:val="double" w:color="auto" w:sz="4" w:space="0"/>
              <w:bottom w:val="sing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58" w:type="pct"/>
            <w:gridSpan w:val="3"/>
            <w:tcBorders>
              <w:top w:val="sing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H22</w:t>
            </w:r>
          </w:p>
        </w:tc>
        <w:tc>
          <w:tcPr>
            <w:tcW w:w="1543" w:type="pct"/>
            <w:tcBorders>
              <w:top w:val="sing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公路用地</w:t>
            </w:r>
          </w:p>
        </w:tc>
        <w:tc>
          <w:tcPr>
            <w:tcW w:w="919" w:type="pct"/>
            <w:tcBorders>
              <w:top w:val="sing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b/>
                <w:bCs/>
                <w:i w:val="0"/>
                <w:iCs w:val="0"/>
                <w:color w:val="000000"/>
                <w:sz w:val="21"/>
                <w:szCs w:val="21"/>
                <w:u w:val="none"/>
                <w:lang w:val="en-US"/>
              </w:rPr>
            </w:pPr>
            <w:r>
              <w:rPr>
                <w:rFonts w:hint="eastAsia" w:eastAsia="等线" w:cs="Times New Roman"/>
                <w:b/>
                <w:bCs/>
                <w:i w:val="0"/>
                <w:iCs w:val="0"/>
                <w:color w:val="000000"/>
                <w:kern w:val="0"/>
                <w:sz w:val="21"/>
                <w:szCs w:val="21"/>
                <w:u w:val="none"/>
                <w:lang w:val="en-US" w:eastAsia="zh-CN" w:bidi="ar"/>
              </w:rPr>
              <w:t>4.48</w:t>
            </w:r>
          </w:p>
        </w:tc>
        <w:tc>
          <w:tcPr>
            <w:tcW w:w="1478" w:type="pct"/>
            <w:tcBorders>
              <w:top w:val="sing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58" w:type="pct"/>
            <w:gridSpan w:val="3"/>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E1</w:t>
            </w:r>
          </w:p>
        </w:tc>
        <w:tc>
          <w:tcPr>
            <w:tcW w:w="1543"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水域</w:t>
            </w:r>
          </w:p>
        </w:tc>
        <w:tc>
          <w:tcPr>
            <w:tcW w:w="919" w:type="pct"/>
            <w:tcBorders>
              <w:bottom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7.2</w:t>
            </w:r>
          </w:p>
        </w:tc>
        <w:tc>
          <w:tcPr>
            <w:tcW w:w="1478" w:type="pct"/>
            <w:tcBorders>
              <w:bottom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2602" w:type="pct"/>
            <w:gridSpan w:val="4"/>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919" w:type="pct"/>
            <w:tcBorders>
              <w:top w:val="double" w:color="auto" w:sz="4" w:space="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等线" w:cs="Times New Roman"/>
                <w:b/>
                <w:bCs/>
                <w:i w:val="0"/>
                <w:iCs w:val="0"/>
                <w:color w:val="000000"/>
                <w:sz w:val="21"/>
                <w:szCs w:val="21"/>
                <w:u w:val="none"/>
              </w:rPr>
            </w:pPr>
            <w:r>
              <w:rPr>
                <w:rFonts w:hint="default" w:ascii="Times New Roman" w:hAnsi="Times New Roman" w:eastAsia="等线" w:cs="Times New Roman"/>
                <w:b/>
                <w:bCs/>
                <w:i w:val="0"/>
                <w:iCs w:val="0"/>
                <w:color w:val="000000"/>
                <w:kern w:val="0"/>
                <w:sz w:val="21"/>
                <w:szCs w:val="21"/>
                <w:u w:val="none"/>
                <w:lang w:val="en-US" w:eastAsia="zh-CN" w:bidi="ar"/>
              </w:rPr>
              <w:t>169.45</w:t>
            </w:r>
          </w:p>
        </w:tc>
        <w:tc>
          <w:tcPr>
            <w:tcW w:w="1478" w:type="pct"/>
            <w:tcBorders>
              <w:top w:val="doub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等线" w:cs="Times New Roman"/>
                <w:b/>
                <w:bCs/>
                <w:i w:val="0"/>
                <w:iCs w:val="0"/>
                <w:color w:val="000000"/>
                <w:sz w:val="21"/>
                <w:szCs w:val="21"/>
                <w:u w:val="none"/>
              </w:rPr>
            </w:pPr>
          </w:p>
        </w:tc>
      </w:tr>
    </w:tbl>
    <w:p>
      <w:pPr>
        <w:pStyle w:val="5"/>
        <w:bidi w:val="0"/>
        <w:rPr>
          <w:rFonts w:hint="eastAsia"/>
          <w:lang w:val="en-US" w:eastAsia="zh-CN"/>
        </w:rPr>
      </w:pPr>
      <w:r>
        <w:rPr>
          <w:rFonts w:hint="eastAsia"/>
          <w:lang w:val="en-US" w:eastAsia="zh-CN"/>
        </w:rPr>
        <w:t>绿地系统规划</w:t>
      </w:r>
    </w:p>
    <w:p>
      <w:pPr>
        <w:bidi w:val="0"/>
      </w:pPr>
      <w:r>
        <w:rPr>
          <w:lang w:val="en-US" w:eastAsia="zh-CN"/>
        </w:rPr>
        <w:t xml:space="preserve">规划区绿地系统包括防护绿地和附属绿地三个部分。 </w:t>
      </w:r>
    </w:p>
    <w:p>
      <w:pPr>
        <w:bidi w:val="0"/>
      </w:pPr>
      <w:r>
        <w:rPr>
          <w:rFonts w:hint="default"/>
          <w:lang w:val="en-US" w:eastAsia="zh-CN"/>
        </w:rPr>
        <w:t>（</w:t>
      </w:r>
      <w:r>
        <w:rPr>
          <w:rFonts w:hint="eastAsia"/>
          <w:lang w:val="en-US" w:eastAsia="zh-CN"/>
        </w:rPr>
        <w:t>1</w:t>
      </w:r>
      <w:r>
        <w:rPr>
          <w:rFonts w:hint="default"/>
          <w:lang w:val="en-US" w:eastAsia="zh-CN"/>
        </w:rPr>
        <w:t xml:space="preserve">）防护绿地 </w:t>
      </w:r>
    </w:p>
    <w:p>
      <w:pPr>
        <w:bidi w:val="0"/>
      </w:pPr>
      <w:r>
        <w:rPr>
          <w:rFonts w:hint="default"/>
          <w:lang w:val="en-US" w:eastAsia="zh-CN"/>
        </w:rPr>
        <w:t xml:space="preserve">主要为园区干道、重要公用设施的防护隔离绿地。过境公路两侧防护绿地 </w:t>
      </w:r>
      <w:r>
        <w:rPr>
          <w:rFonts w:hint="eastAsia"/>
          <w:lang w:val="en-US" w:eastAsia="zh-CN"/>
        </w:rPr>
        <w:t xml:space="preserve">15 </w:t>
      </w:r>
      <w:r>
        <w:rPr>
          <w:rFonts w:hint="default"/>
          <w:lang w:val="en-US" w:eastAsia="zh-CN"/>
        </w:rPr>
        <w:t>米，园区与外围用地绿化隔离带宽度</w:t>
      </w:r>
      <w:r>
        <w:rPr>
          <w:rFonts w:hint="eastAsia"/>
          <w:lang w:val="en-US" w:eastAsia="zh-CN"/>
        </w:rPr>
        <w:t>15</w:t>
      </w:r>
      <w:r>
        <w:rPr>
          <w:rFonts w:hint="default"/>
          <w:lang w:val="en-US" w:eastAsia="zh-CN"/>
        </w:rPr>
        <w:t>米，一类工业用地与二类工业用地之间绿化隔离带宽度</w:t>
      </w:r>
      <w:r>
        <w:rPr>
          <w:rFonts w:hint="eastAsia"/>
          <w:lang w:val="en-US" w:eastAsia="zh-CN"/>
        </w:rPr>
        <w:t>15</w:t>
      </w:r>
      <w:r>
        <w:rPr>
          <w:rFonts w:hint="default"/>
          <w:lang w:val="en-US" w:eastAsia="zh-CN"/>
        </w:rPr>
        <w:t>米。</w:t>
      </w:r>
      <w:r>
        <w:rPr>
          <w:rFonts w:hint="default"/>
          <w:highlight w:val="none"/>
          <w:lang w:val="en-US" w:eastAsia="zh-CN"/>
        </w:rPr>
        <w:t>规划防护绿地</w:t>
      </w:r>
      <w:r>
        <w:rPr>
          <w:rFonts w:hint="eastAsia"/>
          <w:highlight w:val="none"/>
          <w:lang w:val="en-US" w:eastAsia="zh-CN"/>
        </w:rPr>
        <w:t>9.07</w:t>
      </w:r>
      <w:r>
        <w:rPr>
          <w:rFonts w:hint="default"/>
          <w:highlight w:val="none"/>
          <w:lang w:val="en-US" w:eastAsia="zh-CN"/>
        </w:rPr>
        <w:t>公顷</w:t>
      </w:r>
      <w:r>
        <w:rPr>
          <w:rFonts w:hint="default"/>
          <w:lang w:val="en-US" w:eastAsia="zh-CN"/>
        </w:rPr>
        <w:t>。</w:t>
      </w:r>
    </w:p>
    <w:p>
      <w:pPr>
        <w:bidi w:val="0"/>
      </w:pPr>
      <w:r>
        <w:rPr>
          <w:rFonts w:hint="default"/>
          <w:lang w:val="en-US" w:eastAsia="zh-CN"/>
        </w:rPr>
        <w:t>（</w:t>
      </w:r>
      <w:r>
        <w:rPr>
          <w:rFonts w:hint="eastAsia"/>
          <w:lang w:val="en-US" w:eastAsia="zh-CN"/>
        </w:rPr>
        <w:t>2</w:t>
      </w:r>
      <w:r>
        <w:rPr>
          <w:rFonts w:hint="default"/>
          <w:lang w:val="en-US" w:eastAsia="zh-CN"/>
        </w:rPr>
        <w:t>）附属绿地</w:t>
      </w:r>
    </w:p>
    <w:p>
      <w:pPr>
        <w:bidi w:val="0"/>
      </w:pPr>
      <w:r>
        <w:rPr>
          <w:rFonts w:hint="default"/>
          <w:lang w:val="en-US" w:eastAsia="zh-CN"/>
        </w:rPr>
        <w:t>公共设施的绿化重点是保证有足够的绿化活动空间，本规划区中的公共设施主要为公共服务设施用地等，绿地率要求不低于</w:t>
      </w:r>
      <w:r>
        <w:rPr>
          <w:rFonts w:hint="eastAsia"/>
          <w:lang w:val="en-US" w:eastAsia="zh-CN"/>
        </w:rPr>
        <w:t>20%</w:t>
      </w:r>
      <w:r>
        <w:rPr>
          <w:rFonts w:hint="default"/>
          <w:lang w:val="en-US" w:eastAsia="zh-CN"/>
        </w:rPr>
        <w:t>。</w:t>
      </w:r>
    </w:p>
    <w:p>
      <w:pPr>
        <w:pStyle w:val="5"/>
        <w:bidi w:val="0"/>
        <w:rPr>
          <w:rFonts w:hint="default"/>
          <w:lang w:val="en-US" w:eastAsia="zh-CN"/>
        </w:rPr>
      </w:pPr>
      <w:r>
        <w:rPr>
          <w:rFonts w:hint="eastAsia"/>
          <w:lang w:val="en-US" w:eastAsia="zh-CN"/>
        </w:rPr>
        <w:t>综合交通规划</w:t>
      </w:r>
    </w:p>
    <w:p>
      <w:pPr>
        <w:rPr>
          <w:rFonts w:hint="default"/>
          <w:lang w:val="en-US" w:eastAsia="zh-CN"/>
        </w:rPr>
      </w:pPr>
      <w:r>
        <w:rPr>
          <w:rFonts w:hint="eastAsia"/>
          <w:lang w:val="en-US" w:eastAsia="zh-CN"/>
        </w:rPr>
        <w:t>（一）路网结构</w:t>
      </w:r>
    </w:p>
    <w:p>
      <w:pPr>
        <w:rPr>
          <w:rFonts w:hint="eastAsia"/>
          <w:lang w:val="en-US" w:eastAsia="zh-CN"/>
        </w:rPr>
      </w:pPr>
      <w:r>
        <w:rPr>
          <w:rFonts w:hint="eastAsia"/>
          <w:lang w:val="en-US" w:eastAsia="zh-CN"/>
        </w:rPr>
        <w:t>规划结合高速连接线与滨江路，形成园区基本道路骨架，其余道路依附其上，形成疏密有致、便捷通达的路网结构</w:t>
      </w:r>
    </w:p>
    <w:p>
      <w:pPr>
        <w:rPr>
          <w:rFonts w:hint="eastAsia"/>
          <w:lang w:val="en-US" w:eastAsia="zh-CN"/>
        </w:rPr>
      </w:pPr>
      <w:r>
        <w:rPr>
          <w:rFonts w:hint="eastAsia"/>
          <w:lang w:val="en-US" w:eastAsia="zh-CN"/>
        </w:rPr>
        <w:t xml:space="preserve">（二）对外交通 </w:t>
      </w:r>
    </w:p>
    <w:p>
      <w:pPr>
        <w:rPr>
          <w:rFonts w:hint="eastAsia"/>
          <w:lang w:val="en-US" w:eastAsia="zh-CN"/>
        </w:rPr>
      </w:pPr>
      <w:r>
        <w:rPr>
          <w:rFonts w:hint="eastAsia"/>
          <w:lang w:val="en-US" w:eastAsia="zh-CN"/>
        </w:rPr>
        <w:t>高速连接线红线宽度 25.5m，整体呈东西向走势，向东接建设中的武穴长江公路大桥，向西接308 省道连通至阳新兴国镇，是富池乃至阳新与麻阳高速最重要的快速交通联系通道。</w:t>
      </w:r>
    </w:p>
    <w:p>
      <w:pPr>
        <w:rPr>
          <w:rFonts w:hint="eastAsia"/>
          <w:lang w:val="en-US" w:eastAsia="zh-CN"/>
        </w:rPr>
      </w:pPr>
      <w:r>
        <w:rPr>
          <w:rFonts w:hint="eastAsia" w:cstheme="minorBidi"/>
          <w:kern w:val="2"/>
          <w:sz w:val="24"/>
          <w:szCs w:val="24"/>
          <w:lang w:val="en-US" w:eastAsia="zh-CN" w:bidi="ar-SA"/>
        </w:rPr>
        <w:t>（</w:t>
      </w:r>
      <w:r>
        <w:rPr>
          <w:rFonts w:hint="eastAsia" w:ascii="Times New Roman" w:hAnsi="Times New Roman" w:eastAsia="宋体" w:cstheme="minorBidi"/>
          <w:kern w:val="2"/>
          <w:sz w:val="24"/>
          <w:szCs w:val="24"/>
          <w:lang w:val="en-US" w:eastAsia="zh-CN" w:bidi="ar-SA"/>
        </w:rPr>
        <w:t>三</w:t>
      </w:r>
      <w:r>
        <w:rPr>
          <w:rFonts w:hint="eastAsia" w:cstheme="minorBidi"/>
          <w:kern w:val="2"/>
          <w:sz w:val="24"/>
          <w:szCs w:val="24"/>
          <w:lang w:val="en-US" w:eastAsia="zh-CN" w:bidi="ar-SA"/>
        </w:rPr>
        <w:t>）</w:t>
      </w:r>
      <w:r>
        <w:rPr>
          <w:rFonts w:hint="eastAsia"/>
          <w:lang w:val="en-US" w:eastAsia="zh-CN"/>
        </w:rPr>
        <w:t xml:space="preserve">城市道路 </w:t>
      </w:r>
    </w:p>
    <w:p>
      <w:pPr>
        <w:rPr>
          <w:rFonts w:hint="eastAsia"/>
          <w:lang w:val="en-US" w:eastAsia="zh-CN"/>
        </w:rPr>
      </w:pPr>
      <w:r>
        <w:rPr>
          <w:rFonts w:hint="eastAsia"/>
          <w:lang w:val="en-US" w:eastAsia="zh-CN"/>
        </w:rPr>
        <w:t>规划区道路分为三个等级：主干路、次干路、支路。</w:t>
      </w:r>
    </w:p>
    <w:p>
      <w:pPr>
        <w:rPr>
          <w:rFonts w:hint="eastAsia"/>
          <w:lang w:val="en-US" w:eastAsia="zh-CN"/>
        </w:rPr>
      </w:pPr>
      <w:r>
        <w:rPr>
          <w:rFonts w:hint="eastAsia"/>
          <w:lang w:val="en-US" w:eastAsia="zh-CN"/>
        </w:rPr>
        <w:t>主干路：即滨江路，红线宽度为18m，是联系园区各主要功能组团和与镇区联系的主要交通性与景观性道路。</w:t>
      </w:r>
    </w:p>
    <w:p>
      <w:pPr>
        <w:rPr>
          <w:rFonts w:hint="eastAsia"/>
          <w:lang w:val="en-US" w:eastAsia="zh-CN"/>
        </w:rPr>
      </w:pPr>
      <w:r>
        <w:rPr>
          <w:rFonts w:hint="eastAsia"/>
          <w:lang w:val="en-US" w:eastAsia="zh-CN"/>
        </w:rPr>
        <w:t>次干路：即规划一路、甘宁路、规划四路、规划六路，红线宽度为15m。</w:t>
      </w:r>
    </w:p>
    <w:p>
      <w:pPr>
        <w:rPr>
          <w:rFonts w:hint="eastAsia"/>
          <w:lang w:val="en-US" w:eastAsia="zh-CN"/>
        </w:rPr>
      </w:pPr>
      <w:r>
        <w:rPr>
          <w:rFonts w:hint="eastAsia"/>
          <w:lang w:val="en-US" w:eastAsia="zh-CN"/>
        </w:rPr>
        <w:t>支路：即规划三路、规划五路，规划二路，红线宽度为 12m。当两相邻地块根据实际情况需要合并时，支路可以作相应的调整。</w:t>
      </w:r>
    </w:p>
    <w:p>
      <w:pPr>
        <w:rPr>
          <w:rFonts w:hint="eastAsia"/>
          <w:lang w:val="en-US" w:eastAsia="zh-CN"/>
        </w:rPr>
      </w:pPr>
      <w:r>
        <w:rPr>
          <w:rFonts w:hint="eastAsia"/>
          <w:lang w:val="en-US" w:eastAsia="zh-CN"/>
        </w:rPr>
        <w:t>（四）</w:t>
      </w:r>
      <w:r>
        <w:rPr>
          <w:rFonts w:hint="default"/>
          <w:lang w:val="en-US" w:eastAsia="zh-CN"/>
        </w:rPr>
        <w:t>公共交通规划</w:t>
      </w:r>
      <w:r>
        <w:rPr>
          <w:rFonts w:hint="eastAsia"/>
          <w:lang w:val="en-US" w:eastAsia="zh-CN"/>
        </w:rPr>
        <w:t xml:space="preserve"> </w:t>
      </w:r>
    </w:p>
    <w:p>
      <w:pPr>
        <w:rPr>
          <w:rFonts w:hint="eastAsia"/>
          <w:lang w:val="en-US" w:eastAsia="zh-CN"/>
        </w:rPr>
      </w:pPr>
      <w:r>
        <w:rPr>
          <w:rFonts w:hint="default"/>
          <w:lang w:val="en-US" w:eastAsia="zh-CN"/>
        </w:rPr>
        <w:t xml:space="preserve">规划区内公交网络与区域公共交通之间的客流转换通过设置公共交通换乘枢纽解决，规划区内设置完善的公交网络覆盖整个区域。各工业企业可根据自身的需要安排公共班车，在企业工厂界区内根据相关规范标准和需求设置停车场。 </w:t>
      </w:r>
    </w:p>
    <w:p>
      <w:pPr>
        <w:rPr>
          <w:rFonts w:hint="eastAsia"/>
          <w:lang w:val="en-US" w:eastAsia="zh-CN"/>
        </w:rPr>
      </w:pPr>
      <w:r>
        <w:rPr>
          <w:rFonts w:hint="eastAsia"/>
          <w:lang w:val="en-US" w:eastAsia="zh-CN"/>
        </w:rPr>
        <w:t>（五）</w:t>
      </w:r>
      <w:r>
        <w:rPr>
          <w:rFonts w:hint="default"/>
          <w:lang w:val="en-US" w:eastAsia="zh-CN"/>
        </w:rPr>
        <w:t>静态交通规划</w:t>
      </w:r>
      <w:r>
        <w:rPr>
          <w:rFonts w:hint="eastAsia"/>
          <w:lang w:val="en-US" w:eastAsia="zh-CN"/>
        </w:rPr>
        <w:t xml:space="preserve"> </w:t>
      </w:r>
    </w:p>
    <w:p>
      <w:pPr>
        <w:rPr>
          <w:rFonts w:hint="default"/>
          <w:lang w:val="en-US" w:eastAsia="zh-CN"/>
        </w:rPr>
      </w:pPr>
      <w:r>
        <w:rPr>
          <w:rFonts w:hint="default"/>
          <w:lang w:val="en-US" w:eastAsia="zh-CN"/>
        </w:rPr>
        <w:t>规划综合考虑园区扩园及车流量要求，在高速连接线以北，规划一路与规划三路东南角设置一处危险品专用停车场，占地面积</w:t>
      </w:r>
      <w:r>
        <w:rPr>
          <w:rFonts w:hint="eastAsia"/>
          <w:lang w:val="en-US" w:eastAsia="zh-CN"/>
        </w:rPr>
        <w:t>0.74</w:t>
      </w:r>
      <w:r>
        <w:rPr>
          <w:rFonts w:hint="default"/>
          <w:lang w:val="en-US" w:eastAsia="zh-CN"/>
        </w:rPr>
        <w:t>公顷。危险品专用停车场内设车辆清洗厂房、车辆维修厂房、特种设备检测厂房、危险品车辆（空载）停车场等设施。</w:t>
      </w:r>
    </w:p>
    <w:p>
      <w:pPr>
        <w:pStyle w:val="5"/>
        <w:bidi w:val="0"/>
        <w:rPr>
          <w:rFonts w:hint="eastAsia"/>
          <w:lang w:val="en-US" w:eastAsia="zh-CN"/>
        </w:rPr>
      </w:pPr>
      <w:r>
        <w:rPr>
          <w:rFonts w:hint="eastAsia"/>
          <w:lang w:val="en-US" w:eastAsia="zh-CN"/>
        </w:rPr>
        <w:t>公共基础设施规划</w:t>
      </w:r>
    </w:p>
    <w:p>
      <w:pPr>
        <w:pStyle w:val="6"/>
        <w:bidi w:val="0"/>
        <w:rPr>
          <w:rFonts w:hint="default"/>
          <w:lang w:val="en-US" w:eastAsia="zh-CN"/>
        </w:rPr>
      </w:pPr>
      <w:r>
        <w:rPr>
          <w:rFonts w:hint="eastAsia"/>
          <w:lang w:val="en-US" w:eastAsia="zh-CN"/>
        </w:rPr>
        <w:t>给水工程规划</w:t>
      </w:r>
    </w:p>
    <w:p>
      <w:pPr>
        <w:rPr>
          <w:rFonts w:hint="default"/>
          <w:lang w:val="en-US" w:eastAsia="zh-CN"/>
        </w:rPr>
      </w:pPr>
      <w:r>
        <w:rPr>
          <w:rFonts w:hint="eastAsia"/>
          <w:lang w:val="en-US" w:eastAsia="zh-CN"/>
        </w:rPr>
        <w:t>（1）规划</w:t>
      </w:r>
      <w:r>
        <w:rPr>
          <w:rFonts w:hint="default"/>
          <w:lang w:val="en-US" w:eastAsia="zh-CN"/>
        </w:rPr>
        <w:t xml:space="preserve">用水量预测 </w:t>
      </w:r>
    </w:p>
    <w:p>
      <w:pPr>
        <w:rPr>
          <w:rFonts w:hint="default"/>
          <w:lang w:val="en-US" w:eastAsia="zh-CN"/>
        </w:rPr>
      </w:pPr>
      <w:r>
        <w:rPr>
          <w:rFonts w:hint="default"/>
          <w:lang w:val="en-US" w:eastAsia="zh-CN"/>
        </w:rPr>
        <w:t>预测规划区最大日用水量为6000 m</w:t>
      </w:r>
      <w:r>
        <w:rPr>
          <w:rFonts w:hint="default"/>
          <w:vertAlign w:val="superscript"/>
          <w:lang w:val="en-US" w:eastAsia="zh-CN"/>
        </w:rPr>
        <w:t>3</w:t>
      </w:r>
      <w:r>
        <w:rPr>
          <w:rFonts w:hint="default"/>
          <w:lang w:val="en-US" w:eastAsia="zh-CN"/>
        </w:rPr>
        <w:t>/d，平均日用水量为4000m</w:t>
      </w:r>
      <w:r>
        <w:rPr>
          <w:rFonts w:hint="default"/>
          <w:vertAlign w:val="superscript"/>
          <w:lang w:val="en-US" w:eastAsia="zh-CN"/>
        </w:rPr>
        <w:t>3</w:t>
      </w:r>
      <w:r>
        <w:rPr>
          <w:rFonts w:hint="default"/>
          <w:lang w:val="en-US" w:eastAsia="zh-CN"/>
        </w:rPr>
        <w:t>/d（本规划城市供水日变化系数采用1.5）</w:t>
      </w:r>
    </w:p>
    <w:p>
      <w:pPr>
        <w:rPr>
          <w:rFonts w:hint="eastAsia"/>
          <w:lang w:val="en-US" w:eastAsia="zh-CN"/>
        </w:rPr>
      </w:pPr>
      <w:r>
        <w:rPr>
          <w:rFonts w:hint="eastAsia"/>
          <w:lang w:val="en-US" w:eastAsia="zh-CN"/>
        </w:rPr>
        <w:t>（2）供水水源与设施规划</w:t>
      </w:r>
    </w:p>
    <w:p>
      <w:pPr>
        <w:rPr>
          <w:rFonts w:hint="default"/>
          <w:lang w:val="en-US" w:eastAsia="zh-CN"/>
        </w:rPr>
      </w:pPr>
      <w:r>
        <w:rPr>
          <w:rFonts w:hint="default"/>
          <w:lang w:val="en-US" w:eastAsia="zh-CN"/>
        </w:rPr>
        <w:t>园区生活用水近期沿用现状镇区安康自来水厂，远期自来水厂将扩大规模，提高日供水量。</w:t>
      </w:r>
    </w:p>
    <w:p>
      <w:pPr>
        <w:rPr>
          <w:rFonts w:hint="default"/>
          <w:lang w:val="en-US" w:eastAsia="zh-CN"/>
        </w:rPr>
      </w:pPr>
      <w:r>
        <w:rPr>
          <w:rFonts w:hint="default"/>
          <w:lang w:val="en-US" w:eastAsia="zh-CN"/>
        </w:rPr>
        <w:t>生产用水近期仍用现有沿江取水点，远期接入市政供水管网统一供水</w:t>
      </w:r>
      <w:r>
        <w:rPr>
          <w:rFonts w:hint="eastAsia"/>
          <w:lang w:val="en-US" w:eastAsia="zh-CN"/>
        </w:rPr>
        <w:t>。</w:t>
      </w:r>
    </w:p>
    <w:p>
      <w:pPr>
        <w:rPr>
          <w:rFonts w:hint="eastAsia"/>
          <w:lang w:val="en-US" w:eastAsia="zh-CN"/>
        </w:rPr>
      </w:pPr>
      <w:r>
        <w:rPr>
          <w:rFonts w:hint="eastAsia"/>
          <w:lang w:val="en-US" w:eastAsia="zh-CN"/>
        </w:rPr>
        <w:t>（3）</w:t>
      </w:r>
      <w:r>
        <w:rPr>
          <w:rFonts w:hint="default"/>
          <w:lang w:val="en-US" w:eastAsia="zh-CN"/>
        </w:rPr>
        <w:t>给水管网规划</w:t>
      </w:r>
      <w:r>
        <w:rPr>
          <w:rFonts w:hint="eastAsia"/>
          <w:lang w:val="en-US" w:eastAsia="zh-CN"/>
        </w:rPr>
        <w:t xml:space="preserve"> </w:t>
      </w:r>
    </w:p>
    <w:p>
      <w:pPr>
        <w:rPr>
          <w:rFonts w:hint="eastAsia"/>
          <w:lang w:val="en-US" w:eastAsia="zh-CN"/>
        </w:rPr>
      </w:pPr>
      <w:r>
        <w:rPr>
          <w:rFonts w:hint="default"/>
          <w:lang w:val="en-US" w:eastAsia="zh-CN"/>
        </w:rPr>
        <w:t xml:space="preserve">园区给水系统遵循分质供水原则，规划新鲜水给水系统、再生水给水系统和消防给水系统三个供水系统。 </w:t>
      </w:r>
    </w:p>
    <w:p>
      <w:pPr>
        <w:rPr>
          <w:rFonts w:hint="eastAsia"/>
          <w:lang w:val="en-US" w:eastAsia="zh-CN"/>
        </w:rPr>
      </w:pPr>
      <w:r>
        <w:rPr>
          <w:rFonts w:hint="default"/>
          <w:lang w:val="en-US" w:eastAsia="zh-CN"/>
        </w:rPr>
        <w:t>新鲜水给水系统</w:t>
      </w:r>
      <w:r>
        <w:rPr>
          <w:rFonts w:hint="eastAsia"/>
          <w:lang w:val="en-US" w:eastAsia="zh-CN"/>
        </w:rPr>
        <w:t>：</w:t>
      </w:r>
      <w:r>
        <w:rPr>
          <w:rFonts w:hint="default"/>
          <w:lang w:val="en-US" w:eastAsia="zh-CN"/>
        </w:rPr>
        <w:t xml:space="preserve">采用环状与枝状管网相结合的管网形式，管线埋地敷设。规划区内用水主要从镇区安康自来水厂接入，产业园内的给水管形成环状管网与枝状管网结合供水的形式。其中主干管沿滨江路、高速连接线布置，管径 </w:t>
      </w:r>
      <w:r>
        <w:rPr>
          <w:rFonts w:hint="eastAsia"/>
          <w:lang w:val="en-US" w:eastAsia="zh-CN"/>
        </w:rPr>
        <w:t>DN400</w:t>
      </w:r>
      <w:r>
        <w:rPr>
          <w:rFonts w:hint="default"/>
          <w:lang w:val="en-US" w:eastAsia="zh-CN"/>
        </w:rPr>
        <w:t xml:space="preserve">。同时结合用地布局沿其他道路布置 </w:t>
      </w:r>
      <w:r>
        <w:rPr>
          <w:rFonts w:hint="eastAsia"/>
          <w:lang w:val="en-US" w:eastAsia="zh-CN"/>
        </w:rPr>
        <w:t xml:space="preserve">DN200-DN300 </w:t>
      </w:r>
      <w:r>
        <w:rPr>
          <w:rFonts w:hint="default"/>
          <w:lang w:val="en-US" w:eastAsia="zh-CN"/>
        </w:rPr>
        <w:t>配水支管。</w:t>
      </w:r>
    </w:p>
    <w:p>
      <w:pPr>
        <w:rPr>
          <w:rFonts w:hint="eastAsia"/>
          <w:lang w:val="en-US" w:eastAsia="zh-CN"/>
        </w:rPr>
      </w:pPr>
      <w:r>
        <w:rPr>
          <w:rFonts w:hint="default"/>
          <w:lang w:val="en-US" w:eastAsia="zh-CN"/>
        </w:rPr>
        <w:t>再生水给水系统</w:t>
      </w:r>
      <w:r>
        <w:rPr>
          <w:rFonts w:hint="eastAsia"/>
          <w:lang w:val="en-US" w:eastAsia="zh-CN"/>
        </w:rPr>
        <w:t>：</w:t>
      </w:r>
      <w:r>
        <w:rPr>
          <w:rFonts w:hint="default"/>
          <w:lang w:val="en-US" w:eastAsia="zh-CN"/>
        </w:rPr>
        <w:t>再生水主要作为规划区的循环水厂补水和道路广场、绿化浇洒用水。再生水给水系统采用环状与枝状管网相结合的管网形式，管线埋地敷设</w:t>
      </w:r>
      <w:r>
        <w:rPr>
          <w:rFonts w:hint="eastAsia"/>
          <w:lang w:val="en-US" w:eastAsia="zh-CN"/>
        </w:rPr>
        <w:t>。</w:t>
      </w:r>
    </w:p>
    <w:p>
      <w:pPr>
        <w:rPr>
          <w:rFonts w:hint="default"/>
          <w:lang w:val="en-US" w:eastAsia="zh-CN"/>
        </w:rPr>
      </w:pPr>
      <w:r>
        <w:rPr>
          <w:rFonts w:hint="default"/>
          <w:lang w:val="en-US" w:eastAsia="zh-CN"/>
        </w:rPr>
        <w:t>消防给水系统</w:t>
      </w:r>
      <w:r>
        <w:rPr>
          <w:rFonts w:hint="eastAsia"/>
          <w:lang w:val="en-US" w:eastAsia="zh-CN"/>
        </w:rPr>
        <w:t>：</w:t>
      </w:r>
      <w:r>
        <w:rPr>
          <w:rFonts w:hint="default"/>
          <w:lang w:val="en-US" w:eastAsia="zh-CN"/>
        </w:rPr>
        <w:t>消防水源为市政自来水，消防给水系统与新鲜水给水系统合建。给水管线供水管径不应小于</w:t>
      </w:r>
      <w:r>
        <w:rPr>
          <w:rFonts w:hint="eastAsia"/>
          <w:lang w:val="en-US" w:eastAsia="zh-CN"/>
        </w:rPr>
        <w:t>DN150</w:t>
      </w:r>
      <w:r>
        <w:rPr>
          <w:rFonts w:hint="default"/>
          <w:lang w:val="en-US" w:eastAsia="zh-CN"/>
        </w:rPr>
        <w:t>，间隔布置地下式消火栓，消火栓的保护半径不应超过</w:t>
      </w:r>
      <w:r>
        <w:rPr>
          <w:rFonts w:hint="eastAsia"/>
          <w:lang w:val="en-US" w:eastAsia="zh-CN"/>
        </w:rPr>
        <w:t>150m</w:t>
      </w:r>
      <w:r>
        <w:rPr>
          <w:rFonts w:hint="default"/>
          <w:lang w:val="en-US" w:eastAsia="zh-CN"/>
        </w:rPr>
        <w:t>，间距不应大于</w:t>
      </w:r>
      <w:r>
        <w:rPr>
          <w:rFonts w:hint="eastAsia"/>
          <w:lang w:val="en-US" w:eastAsia="zh-CN"/>
        </w:rPr>
        <w:t>120m</w:t>
      </w:r>
      <w:r>
        <w:rPr>
          <w:rFonts w:hint="default"/>
          <w:lang w:val="en-US" w:eastAsia="zh-CN"/>
        </w:rPr>
        <w:t>。</w:t>
      </w:r>
    </w:p>
    <w:p>
      <w:pPr>
        <w:pStyle w:val="6"/>
        <w:bidi w:val="0"/>
        <w:rPr>
          <w:rFonts w:hint="default"/>
          <w:lang w:val="en-US" w:eastAsia="zh-CN"/>
        </w:rPr>
      </w:pPr>
      <w:r>
        <w:rPr>
          <w:rFonts w:hint="eastAsia"/>
          <w:lang w:val="en-US" w:eastAsia="zh-CN"/>
        </w:rPr>
        <w:t>排水工程规划</w:t>
      </w:r>
    </w:p>
    <w:p>
      <w:pPr>
        <w:rPr>
          <w:rFonts w:hint="default"/>
          <w:lang w:val="en-US" w:eastAsia="zh-CN"/>
        </w:rPr>
      </w:pPr>
      <w:r>
        <w:rPr>
          <w:rFonts w:hint="default"/>
          <w:lang w:val="en-US" w:eastAsia="zh-CN"/>
        </w:rPr>
        <w:t>规划区内排水体制采用雨污分流制，即污水和雨水各自设管网独立排放。</w:t>
      </w:r>
    </w:p>
    <w:p>
      <w:pPr>
        <w:rPr>
          <w:rFonts w:hint="default"/>
          <w:lang w:val="en-US" w:eastAsia="zh-CN"/>
        </w:rPr>
      </w:pPr>
      <w:r>
        <w:rPr>
          <w:rFonts w:hint="eastAsia"/>
          <w:lang w:val="en-US" w:eastAsia="zh-CN"/>
        </w:rPr>
        <w:t>（1）</w:t>
      </w:r>
      <w:r>
        <w:rPr>
          <w:rFonts w:hint="default"/>
          <w:lang w:val="en-US" w:eastAsia="zh-CN"/>
        </w:rPr>
        <w:t>污水量预测</w:t>
      </w:r>
    </w:p>
    <w:p>
      <w:pPr>
        <w:rPr>
          <w:rFonts w:hint="default"/>
          <w:lang w:val="en-US" w:eastAsia="zh-CN"/>
        </w:rPr>
      </w:pPr>
      <w:r>
        <w:rPr>
          <w:rFonts w:hint="default"/>
          <w:lang w:val="en-US" w:eastAsia="zh-CN"/>
        </w:rPr>
        <w:t>规划</w:t>
      </w:r>
      <w:r>
        <w:rPr>
          <w:rFonts w:hint="eastAsia"/>
          <w:lang w:val="en-US" w:eastAsia="zh-CN"/>
        </w:rPr>
        <w:t>预测</w:t>
      </w:r>
      <w:r>
        <w:rPr>
          <w:rFonts w:hint="default"/>
          <w:lang w:val="en-US" w:eastAsia="zh-CN"/>
        </w:rPr>
        <w:t>园</w:t>
      </w:r>
      <w:r>
        <w:rPr>
          <w:rFonts w:hint="eastAsia"/>
          <w:lang w:val="en-US" w:eastAsia="zh-CN"/>
        </w:rPr>
        <w:t>区</w:t>
      </w:r>
      <w:r>
        <w:rPr>
          <w:rFonts w:hint="default"/>
          <w:lang w:val="en-US" w:eastAsia="zh-CN"/>
        </w:rPr>
        <w:t>日污水量为3200m</w:t>
      </w:r>
      <w:r>
        <w:rPr>
          <w:rFonts w:hint="eastAsia"/>
          <w:vertAlign w:val="superscript"/>
          <w:lang w:val="en-US" w:eastAsia="zh-CN"/>
        </w:rPr>
        <w:t>3</w:t>
      </w:r>
      <w:r>
        <w:rPr>
          <w:rFonts w:hint="eastAsia"/>
          <w:lang w:val="en-US" w:eastAsia="zh-CN"/>
        </w:rPr>
        <w:t>/d</w:t>
      </w:r>
      <w:r>
        <w:rPr>
          <w:rFonts w:hint="default"/>
          <w:lang w:val="en-US" w:eastAsia="zh-CN"/>
        </w:rPr>
        <w:t>。</w:t>
      </w:r>
    </w:p>
    <w:p>
      <w:pPr>
        <w:rPr>
          <w:rFonts w:hint="default"/>
          <w:lang w:val="en-US" w:eastAsia="zh-CN"/>
        </w:rPr>
      </w:pPr>
      <w:r>
        <w:rPr>
          <w:rFonts w:hint="eastAsia"/>
          <w:lang w:val="en-US" w:eastAsia="zh-CN"/>
        </w:rPr>
        <w:t>（2）</w:t>
      </w:r>
      <w:r>
        <w:rPr>
          <w:rFonts w:hint="default"/>
          <w:lang w:val="en-US" w:eastAsia="zh-CN"/>
        </w:rPr>
        <w:t>污水处理厂</w:t>
      </w:r>
    </w:p>
    <w:p>
      <w:pPr>
        <w:rPr>
          <w:rFonts w:hint="default"/>
          <w:lang w:val="en-US" w:eastAsia="zh-CN"/>
        </w:rPr>
      </w:pPr>
      <w:r>
        <w:rPr>
          <w:rFonts w:hint="default"/>
          <w:lang w:val="en-US" w:eastAsia="zh-CN"/>
        </w:rPr>
        <w:t>园区对现有污水处理厂进行扩建，扩建后占地面积3.47公顷，规划处理规模为5万m</w:t>
      </w:r>
      <w:r>
        <w:rPr>
          <w:rFonts w:hint="default"/>
          <w:vertAlign w:val="superscript"/>
          <w:lang w:val="en-US" w:eastAsia="zh-CN"/>
        </w:rPr>
        <w:t>3</w:t>
      </w:r>
      <w:r>
        <w:rPr>
          <w:rFonts w:hint="default"/>
          <w:lang w:val="en-US" w:eastAsia="zh-CN"/>
        </w:rPr>
        <w:t>/d，实现工业污水与生活污水分类处理。</w:t>
      </w:r>
    </w:p>
    <w:p>
      <w:pPr>
        <w:rPr>
          <w:rFonts w:hint="default"/>
          <w:lang w:val="en-US" w:eastAsia="zh-CN"/>
        </w:rPr>
      </w:pPr>
      <w:r>
        <w:rPr>
          <w:rFonts w:hint="default"/>
          <w:lang w:val="en-US" w:eastAsia="zh-CN"/>
        </w:rPr>
        <w:t>（3）生水回用</w:t>
      </w:r>
    </w:p>
    <w:p>
      <w:pPr>
        <w:rPr>
          <w:rFonts w:hint="default"/>
          <w:lang w:val="en-US" w:eastAsia="zh-CN"/>
        </w:rPr>
      </w:pPr>
      <w:r>
        <w:rPr>
          <w:rFonts w:hint="default"/>
          <w:lang w:val="en-US" w:eastAsia="zh-CN"/>
        </w:rPr>
        <w:t>规划园区工业污水处理厂内配套建设再生水回用装置，采用超滤+反渗透主体脱盐工艺，产水回收率按60%计。</w:t>
      </w:r>
    </w:p>
    <w:p>
      <w:pPr>
        <w:rPr>
          <w:rFonts w:hint="default"/>
          <w:lang w:val="en-US" w:eastAsia="zh-CN"/>
        </w:rPr>
      </w:pPr>
      <w:r>
        <w:rPr>
          <w:rFonts w:hint="default"/>
          <w:lang w:val="en-US" w:eastAsia="zh-CN"/>
        </w:rPr>
        <w:t>（4）污水管网规划</w:t>
      </w:r>
    </w:p>
    <w:p>
      <w:pPr>
        <w:rPr>
          <w:rFonts w:hint="default"/>
          <w:lang w:val="en-US" w:eastAsia="zh-CN"/>
        </w:rPr>
      </w:pPr>
      <w:r>
        <w:rPr>
          <w:rFonts w:hint="default"/>
          <w:lang w:val="en-US" w:eastAsia="zh-CN"/>
        </w:rPr>
        <w:t>污(废)水：工业废水和城镇生活污水采用分开排放方式，其中工业废水主要采用管廊架空方式，生活废水采用地埋方式铺设。污水收集管通过地上管廊敷设至污水处理厂。清净废水主要包括循环冷却水系统排水、化学水站排水、锅炉排水等，清净废水纳管收集处理，禁止随意散排。不需要特殊监管的非化工污水可采用小型污水处理设施进行中水回用或排入工业区污水干管。</w:t>
      </w:r>
    </w:p>
    <w:p>
      <w:pPr>
        <w:rPr>
          <w:rFonts w:hint="default"/>
          <w:lang w:val="en-US" w:eastAsia="zh-CN"/>
        </w:rPr>
      </w:pPr>
      <w:r>
        <w:rPr>
          <w:rFonts w:hint="default"/>
          <w:lang w:val="en-US" w:eastAsia="zh-CN"/>
        </w:rPr>
        <w:t>初期雨水：收集的初期雨水与污水一并送企业污水预处理站进行处理，达标后送园区污水处理厂集中处理。</w:t>
      </w:r>
    </w:p>
    <w:p>
      <w:pPr>
        <w:rPr>
          <w:rFonts w:hint="default"/>
          <w:lang w:val="en-US" w:eastAsia="zh-CN"/>
        </w:rPr>
      </w:pPr>
      <w:r>
        <w:rPr>
          <w:rFonts w:hint="default"/>
          <w:lang w:val="en-US" w:eastAsia="zh-CN"/>
        </w:rPr>
        <w:t>事故排水：规划在园区内设立</w:t>
      </w:r>
      <w:r>
        <w:rPr>
          <w:rFonts w:hint="eastAsia"/>
          <w:lang w:val="en-US" w:eastAsia="zh-CN"/>
        </w:rPr>
        <w:t>“</w:t>
      </w:r>
      <w:r>
        <w:rPr>
          <w:rFonts w:hint="default"/>
          <w:lang w:val="en-US" w:eastAsia="zh-CN"/>
        </w:rPr>
        <w:t>装置——企业——园区</w:t>
      </w:r>
      <w:r>
        <w:rPr>
          <w:rFonts w:hint="eastAsia"/>
          <w:lang w:val="en-US" w:eastAsia="zh-CN"/>
        </w:rPr>
        <w:t>”</w:t>
      </w:r>
      <w:r>
        <w:rPr>
          <w:rFonts w:hint="default"/>
          <w:lang w:val="en-US" w:eastAsia="zh-CN"/>
        </w:rPr>
        <w:t>的三级防控体系，园区应急事故池收集极端情形事故废水、超负荷污水，建议污水处理厂应急事故池容积按相应标准进行设置和核算。</w:t>
      </w:r>
    </w:p>
    <w:p>
      <w:pPr>
        <w:rPr>
          <w:rFonts w:hint="default"/>
          <w:lang w:val="en-US" w:eastAsia="zh-CN"/>
        </w:rPr>
      </w:pPr>
      <w:r>
        <w:rPr>
          <w:rFonts w:hint="default"/>
          <w:lang w:val="en-US" w:eastAsia="zh-CN"/>
        </w:rPr>
        <w:t>尾水排放工程：工业废水必须进行深度处理达到1级A标准后方可排放。</w:t>
      </w:r>
    </w:p>
    <w:p>
      <w:pPr>
        <w:rPr>
          <w:rFonts w:hint="default"/>
          <w:lang w:val="en-US" w:eastAsia="zh-CN"/>
        </w:rPr>
      </w:pPr>
      <w:r>
        <w:rPr>
          <w:rFonts w:hint="default"/>
          <w:lang w:val="en-US" w:eastAsia="zh-CN"/>
        </w:rPr>
        <w:t>管网布置：管网布置根据河涌分布和地形特点，以就近的原则，污水经管道自南北向中部，自东西两侧向中部汇集到污水干管，局部地势较低处设污水提升泵站，排至位于园区中部的污水处理厂进行处理，处理达标后尾水最终汇入长江。</w:t>
      </w:r>
    </w:p>
    <w:p>
      <w:pPr>
        <w:rPr>
          <w:rFonts w:hint="eastAsia"/>
          <w:lang w:val="en-US" w:eastAsia="zh-CN"/>
        </w:rPr>
      </w:pPr>
      <w:r>
        <w:rPr>
          <w:rFonts w:hint="default"/>
          <w:lang w:val="en-US" w:eastAsia="zh-CN"/>
        </w:rPr>
        <w:t>规划污水管管径为DN400～DN600。污水管道采用柔性接口，管材采用钢筋混凝土管</w:t>
      </w:r>
      <w:r>
        <w:rPr>
          <w:rFonts w:hint="eastAsia"/>
          <w:lang w:val="en-US" w:eastAsia="zh-CN"/>
        </w:rPr>
        <w:t>。</w:t>
      </w:r>
    </w:p>
    <w:p>
      <w:pPr>
        <w:pStyle w:val="6"/>
        <w:bidi w:val="0"/>
        <w:rPr>
          <w:rFonts w:hint="default"/>
          <w:lang w:val="en-US" w:eastAsia="zh-CN"/>
        </w:rPr>
      </w:pPr>
      <w:r>
        <w:rPr>
          <w:rFonts w:hint="eastAsia"/>
          <w:lang w:val="en-US" w:eastAsia="zh-CN"/>
        </w:rPr>
        <w:t>雨水工程规划</w:t>
      </w:r>
    </w:p>
    <w:p>
      <w:pPr>
        <w:rPr>
          <w:rFonts w:hint="default"/>
          <w:lang w:val="en-US" w:eastAsia="zh-CN"/>
        </w:rPr>
      </w:pPr>
      <w:r>
        <w:rPr>
          <w:rFonts w:hint="default"/>
          <w:lang w:val="en-US" w:eastAsia="zh-CN"/>
        </w:rPr>
        <w:t>规划将园区雨水排放分为多个排水分区，各片区独立组织雨水收集，就近排入或经干管收集后排入河流。园区雨水管线埋设于道路中间，主干管沿甘宁路、规划四路、规划五路布置，干管管径 800mm，支管管径 500mm。</w:t>
      </w:r>
    </w:p>
    <w:p>
      <w:pPr>
        <w:pStyle w:val="6"/>
        <w:bidi w:val="0"/>
        <w:rPr>
          <w:rFonts w:hint="default"/>
          <w:lang w:val="en-US" w:eastAsia="zh-CN"/>
        </w:rPr>
      </w:pPr>
      <w:r>
        <w:rPr>
          <w:rFonts w:hint="default"/>
          <w:lang w:val="en-US" w:eastAsia="zh-CN"/>
        </w:rPr>
        <w:t>电力工程规划</w:t>
      </w:r>
    </w:p>
    <w:p>
      <w:pPr>
        <w:rPr>
          <w:rFonts w:hint="default"/>
          <w:lang w:val="en-US" w:eastAsia="zh-CN"/>
        </w:rPr>
      </w:pPr>
      <w:r>
        <w:rPr>
          <w:rFonts w:hint="eastAsia"/>
          <w:lang w:val="en-US" w:eastAsia="zh-CN"/>
        </w:rPr>
        <w:t>（1）</w:t>
      </w:r>
      <w:r>
        <w:rPr>
          <w:rFonts w:hint="default"/>
          <w:lang w:val="en-US" w:eastAsia="zh-CN"/>
        </w:rPr>
        <w:t xml:space="preserve">负荷预测 </w:t>
      </w:r>
    </w:p>
    <w:p>
      <w:pPr>
        <w:rPr>
          <w:rFonts w:hint="default"/>
          <w:lang w:val="en-US" w:eastAsia="zh-CN"/>
        </w:rPr>
      </w:pPr>
      <w:r>
        <w:rPr>
          <w:rFonts w:hint="default"/>
          <w:lang w:val="en-US" w:eastAsia="zh-CN"/>
        </w:rPr>
        <w:t>预测园区电力负荷约为 56 兆瓦。</w:t>
      </w:r>
    </w:p>
    <w:p>
      <w:pPr>
        <w:rPr>
          <w:rFonts w:hint="default"/>
          <w:lang w:val="en-US" w:eastAsia="zh-CN"/>
        </w:rPr>
      </w:pPr>
      <w:r>
        <w:rPr>
          <w:rFonts w:hint="eastAsia"/>
          <w:lang w:val="en-US" w:eastAsia="zh-CN"/>
        </w:rPr>
        <w:t>（2）</w:t>
      </w:r>
      <w:r>
        <w:rPr>
          <w:rFonts w:hint="default"/>
          <w:lang w:val="en-US" w:eastAsia="zh-CN"/>
        </w:rPr>
        <w:t xml:space="preserve">电源规划 </w:t>
      </w:r>
    </w:p>
    <w:p>
      <w:pPr>
        <w:rPr>
          <w:rFonts w:hint="default"/>
          <w:lang w:val="en-US" w:eastAsia="zh-CN"/>
        </w:rPr>
      </w:pPr>
      <w:r>
        <w:rPr>
          <w:rFonts w:hint="default"/>
          <w:lang w:val="en-US" w:eastAsia="zh-CN"/>
        </w:rPr>
        <w:t>规划将继续沿用现状网湖110</w:t>
      </w:r>
      <w:r>
        <w:rPr>
          <w:rFonts w:hint="eastAsia"/>
          <w:lang w:val="en-US" w:eastAsia="zh-CN"/>
        </w:rPr>
        <w:t>k</w:t>
      </w:r>
      <w:r>
        <w:rPr>
          <w:rFonts w:hint="default"/>
          <w:lang w:val="en-US" w:eastAsia="zh-CN"/>
        </w:rPr>
        <w:t>V变电站和宋家山220k</w:t>
      </w:r>
      <w:r>
        <w:rPr>
          <w:rFonts w:hint="eastAsia"/>
          <w:lang w:val="en-US" w:eastAsia="zh-CN"/>
        </w:rPr>
        <w:t>V</w:t>
      </w:r>
      <w:r>
        <w:rPr>
          <w:rFonts w:hint="default"/>
          <w:lang w:val="en-US" w:eastAsia="zh-CN"/>
        </w:rPr>
        <w:t>变电站作为园区双电源。</w:t>
      </w:r>
    </w:p>
    <w:p>
      <w:pPr>
        <w:rPr>
          <w:rFonts w:hint="default"/>
          <w:lang w:val="en-US" w:eastAsia="zh-CN"/>
        </w:rPr>
      </w:pPr>
      <w:r>
        <w:rPr>
          <w:rFonts w:hint="eastAsia"/>
          <w:lang w:val="en-US" w:eastAsia="zh-CN"/>
        </w:rPr>
        <w:t>（3）</w:t>
      </w:r>
      <w:r>
        <w:rPr>
          <w:rFonts w:hint="default"/>
          <w:lang w:val="en-US" w:eastAsia="zh-CN"/>
        </w:rPr>
        <w:t xml:space="preserve">电网规划 </w:t>
      </w:r>
    </w:p>
    <w:p>
      <w:pPr>
        <w:rPr>
          <w:rFonts w:hint="default"/>
          <w:lang w:val="en-US" w:eastAsia="zh-CN"/>
        </w:rPr>
      </w:pPr>
      <w:r>
        <w:rPr>
          <w:rFonts w:hint="default"/>
          <w:lang w:val="en-US" w:eastAsia="zh-CN"/>
        </w:rPr>
        <w:t>本规划区采用三级供电模式： 110千伏变电站→10千伏开闭所→10/0.4千伏配电房。</w:t>
      </w:r>
    </w:p>
    <w:p>
      <w:pPr>
        <w:rPr>
          <w:rFonts w:hint="default"/>
          <w:lang w:val="en-US" w:eastAsia="zh-CN"/>
        </w:rPr>
      </w:pPr>
      <w:r>
        <w:rPr>
          <w:rFonts w:hint="default"/>
          <w:lang w:val="en-US" w:eastAsia="zh-CN"/>
        </w:rPr>
        <w:t>考虑到化工生产对供电可靠性要求较高，基本属于二级用电负荷，区内各用户均采用双回路电源供电方式。</w:t>
      </w:r>
    </w:p>
    <w:p>
      <w:pPr>
        <w:pStyle w:val="6"/>
        <w:bidi w:val="0"/>
        <w:rPr>
          <w:rFonts w:hint="default"/>
          <w:lang w:val="en-US" w:eastAsia="zh-CN"/>
        </w:rPr>
      </w:pPr>
      <w:r>
        <w:rPr>
          <w:rFonts w:hint="default"/>
          <w:lang w:val="en-US" w:eastAsia="zh-CN"/>
        </w:rPr>
        <w:t>供热工程规划</w:t>
      </w:r>
    </w:p>
    <w:p>
      <w:pPr>
        <w:rPr>
          <w:rFonts w:hint="default"/>
          <w:lang w:val="en-US" w:eastAsia="zh-CN"/>
        </w:rPr>
      </w:pPr>
      <w:r>
        <w:rPr>
          <w:rFonts w:hint="eastAsia"/>
          <w:lang w:val="en-US" w:eastAsia="zh-CN"/>
        </w:rPr>
        <w:t>（1）</w:t>
      </w:r>
      <w:r>
        <w:rPr>
          <w:rFonts w:hint="default"/>
          <w:lang w:val="en-US" w:eastAsia="zh-CN"/>
        </w:rPr>
        <w:t>供热设施规划</w:t>
      </w:r>
      <w:r>
        <w:rPr>
          <w:rFonts w:hint="eastAsia"/>
          <w:lang w:val="en-US" w:eastAsia="zh-CN"/>
        </w:rPr>
        <w:t xml:space="preserve"> </w:t>
      </w:r>
    </w:p>
    <w:p>
      <w:pPr>
        <w:rPr>
          <w:rFonts w:hint="default"/>
          <w:lang w:val="en-US" w:eastAsia="zh-CN"/>
        </w:rPr>
      </w:pPr>
      <w:r>
        <w:rPr>
          <w:rFonts w:hint="default"/>
          <w:lang w:val="en-US" w:eastAsia="zh-CN"/>
        </w:rPr>
        <w:t>按照“统一规划、以热定电”的原则，规划园区内近期仍沿用现有集中供热中心。</w:t>
      </w:r>
    </w:p>
    <w:p>
      <w:pPr>
        <w:rPr>
          <w:rFonts w:hint="default"/>
          <w:lang w:val="en-US" w:eastAsia="zh-CN"/>
        </w:rPr>
      </w:pPr>
      <w:r>
        <w:rPr>
          <w:rFonts w:hint="default"/>
          <w:lang w:val="en-US" w:eastAsia="zh-CN"/>
        </w:rPr>
        <w:t>集中供热中心向园区远期项目供应中压等级的蒸汽，各热用户可根据自身的实际需要接蒸汽供热</w:t>
      </w:r>
    </w:p>
    <w:p>
      <w:pPr>
        <w:rPr>
          <w:rFonts w:hint="default"/>
          <w:lang w:val="en-US" w:eastAsia="zh-CN"/>
        </w:rPr>
      </w:pPr>
      <w:r>
        <w:rPr>
          <w:rFonts w:hint="default"/>
          <w:lang w:val="en-US" w:eastAsia="zh-CN"/>
        </w:rPr>
        <w:t>规划推荐集中供热中心采用低氮燃烧技术</w:t>
      </w:r>
      <w:r>
        <w:rPr>
          <w:rFonts w:hint="eastAsia"/>
          <w:lang w:val="en-US" w:eastAsia="zh-CN"/>
        </w:rPr>
        <w:t xml:space="preserve">+SCR </w:t>
      </w:r>
      <w:r>
        <w:rPr>
          <w:rFonts w:hint="default"/>
          <w:lang w:val="en-US" w:eastAsia="zh-CN"/>
        </w:rPr>
        <w:t>催化还原脱硝技术。</w:t>
      </w:r>
    </w:p>
    <w:p>
      <w:pPr>
        <w:rPr>
          <w:rFonts w:hint="default"/>
          <w:lang w:val="en-US" w:eastAsia="zh-CN"/>
        </w:rPr>
      </w:pPr>
      <w:r>
        <w:rPr>
          <w:rFonts w:hint="eastAsia"/>
          <w:lang w:val="en-US" w:eastAsia="zh-CN"/>
        </w:rPr>
        <w:t>（2）</w:t>
      </w:r>
      <w:r>
        <w:rPr>
          <w:rFonts w:hint="default"/>
          <w:lang w:val="en-US" w:eastAsia="zh-CN"/>
        </w:rPr>
        <w:t>供热管网规划</w:t>
      </w:r>
      <w:r>
        <w:rPr>
          <w:rFonts w:hint="eastAsia"/>
          <w:lang w:val="en-US" w:eastAsia="zh-CN"/>
        </w:rPr>
        <w:t xml:space="preserve"> </w:t>
      </w:r>
    </w:p>
    <w:p>
      <w:pPr>
        <w:rPr>
          <w:rFonts w:hint="default"/>
          <w:lang w:val="en-US" w:eastAsia="zh-CN"/>
        </w:rPr>
      </w:pPr>
      <w:r>
        <w:rPr>
          <w:rFonts w:hint="default"/>
          <w:lang w:val="en-US" w:eastAsia="zh-CN"/>
        </w:rPr>
        <w:t>蒸汽管线采用沿地上工业管廊架设，蒸汽管道宜布置于管架上层，如下层布置，应布置于外侧。各热用户回收的蒸汽冷凝液由管网统一收集并回供热中心进行处理后再使用。</w:t>
      </w:r>
    </w:p>
    <w:p>
      <w:pPr>
        <w:pStyle w:val="6"/>
        <w:bidi w:val="0"/>
        <w:rPr>
          <w:rFonts w:hint="default"/>
          <w:lang w:val="en-US" w:eastAsia="zh-CN"/>
        </w:rPr>
      </w:pPr>
      <w:r>
        <w:rPr>
          <w:rFonts w:hint="eastAsia"/>
          <w:lang w:val="en-US" w:eastAsia="zh-CN"/>
        </w:rPr>
        <w:t>燃气工程规划</w:t>
      </w:r>
    </w:p>
    <w:p>
      <w:pPr>
        <w:rPr>
          <w:rFonts w:hint="default"/>
          <w:lang w:val="en-US" w:eastAsia="zh-CN"/>
        </w:rPr>
      </w:pPr>
      <w:r>
        <w:rPr>
          <w:rFonts w:hint="eastAsia"/>
          <w:lang w:val="en-US" w:eastAsia="zh-CN"/>
        </w:rPr>
        <w:t>（1）</w:t>
      </w:r>
      <w:r>
        <w:rPr>
          <w:rFonts w:hint="default"/>
          <w:lang w:val="en-US" w:eastAsia="zh-CN"/>
        </w:rPr>
        <w:t xml:space="preserve">气源规划 </w:t>
      </w:r>
    </w:p>
    <w:p>
      <w:pPr>
        <w:rPr>
          <w:rFonts w:hint="default"/>
          <w:lang w:val="en-US" w:eastAsia="zh-CN"/>
        </w:rPr>
      </w:pPr>
      <w:r>
        <w:rPr>
          <w:rFonts w:hint="default"/>
          <w:lang w:val="en-US" w:eastAsia="zh-CN"/>
        </w:rPr>
        <w:t>规划建设天然气供气管网，</w:t>
      </w:r>
      <w:r>
        <w:rPr>
          <w:rFonts w:hint="eastAsia"/>
          <w:lang w:val="en-US" w:eastAsia="zh-CN"/>
        </w:rPr>
        <w:t>园区内设置天然气门站</w:t>
      </w:r>
      <w:r>
        <w:rPr>
          <w:rFonts w:hint="default"/>
          <w:lang w:val="en-US" w:eastAsia="zh-CN"/>
        </w:rPr>
        <w:t>，为工业园区供气。</w:t>
      </w:r>
    </w:p>
    <w:p>
      <w:pPr>
        <w:rPr>
          <w:rFonts w:hint="default"/>
          <w:lang w:val="en-US" w:eastAsia="zh-CN"/>
        </w:rPr>
      </w:pPr>
      <w:r>
        <w:rPr>
          <w:rFonts w:hint="eastAsia"/>
          <w:lang w:val="en-US" w:eastAsia="zh-CN"/>
        </w:rPr>
        <w:t>（2）</w:t>
      </w:r>
      <w:r>
        <w:rPr>
          <w:rFonts w:hint="default"/>
          <w:lang w:val="en-US" w:eastAsia="zh-CN"/>
        </w:rPr>
        <w:t xml:space="preserve">用气量预测 </w:t>
      </w:r>
    </w:p>
    <w:p>
      <w:pPr>
        <w:rPr>
          <w:rFonts w:hint="default"/>
          <w:lang w:val="en-US" w:eastAsia="zh-CN"/>
        </w:rPr>
      </w:pPr>
      <w:r>
        <w:rPr>
          <w:rFonts w:hint="default"/>
          <w:lang w:val="en-US" w:eastAsia="zh-CN"/>
        </w:rPr>
        <w:t>规划区燃气年用量 35 万标立方米/年。</w:t>
      </w:r>
    </w:p>
    <w:p>
      <w:pPr>
        <w:rPr>
          <w:rFonts w:hint="default"/>
          <w:lang w:val="en-US" w:eastAsia="zh-CN"/>
        </w:rPr>
      </w:pPr>
      <w:r>
        <w:rPr>
          <w:rFonts w:hint="eastAsia"/>
          <w:lang w:val="en-US" w:eastAsia="zh-CN"/>
        </w:rPr>
        <w:t>（3）</w:t>
      </w:r>
      <w:r>
        <w:rPr>
          <w:rFonts w:hint="default"/>
          <w:lang w:val="en-US" w:eastAsia="zh-CN"/>
        </w:rPr>
        <w:t xml:space="preserve">管网布置 </w:t>
      </w:r>
    </w:p>
    <w:p>
      <w:pPr>
        <w:rPr>
          <w:rFonts w:hint="default"/>
          <w:lang w:val="en-US" w:eastAsia="zh-CN"/>
        </w:rPr>
      </w:pPr>
      <w:r>
        <w:rPr>
          <w:rFonts w:hint="default"/>
          <w:lang w:val="en-US" w:eastAsia="zh-CN"/>
        </w:rPr>
        <w:t>片区管网为中压级，直埋敷设，管材为无缝钢管或塑料管，管径 DN100～DN200，供气方式为中压进厂，调压计量后低压进入各车间使用。片区管网起点压力：天然气中压管干管 0.3MPA，中压支管 0.15MPA。</w:t>
      </w:r>
    </w:p>
    <w:p>
      <w:pPr>
        <w:rPr>
          <w:rFonts w:hint="default"/>
          <w:lang w:val="en-US" w:eastAsia="zh-CN"/>
        </w:rPr>
      </w:pPr>
      <w:r>
        <w:rPr>
          <w:rFonts w:hint="default"/>
          <w:lang w:val="en-US" w:eastAsia="zh-CN"/>
        </w:rPr>
        <w:t>预埋燃气管网，与道路施工同时进行，作好分期管网的衔接，保证近期建设管网符合远期使用天然气的要求。</w:t>
      </w:r>
    </w:p>
    <w:p>
      <w:pPr>
        <w:pStyle w:val="6"/>
        <w:bidi w:val="0"/>
        <w:rPr>
          <w:rFonts w:hint="default"/>
          <w:lang w:val="en-US" w:eastAsia="zh-CN"/>
        </w:rPr>
      </w:pPr>
      <w:r>
        <w:rPr>
          <w:rFonts w:hint="eastAsia"/>
          <w:lang w:val="en-US" w:eastAsia="zh-CN"/>
        </w:rPr>
        <w:t>公共管廊规划</w:t>
      </w:r>
    </w:p>
    <w:p>
      <w:pPr>
        <w:rPr>
          <w:rFonts w:hint="eastAsia"/>
          <w:lang w:val="en-US" w:eastAsia="zh-CN"/>
        </w:rPr>
      </w:pPr>
      <w:r>
        <w:rPr>
          <w:rFonts w:hint="default"/>
          <w:lang w:val="en-US" w:eastAsia="zh-CN"/>
        </w:rPr>
        <w:t>园区沿规划道路布置公共管廊，主管廊沿园区主干道铺设。规划园区的主管廊宽6米，支管廊宽4米。规划园区工业管廊沿高度分三层敷设管道，一、二层间距为3~4米，二、三层为2.0~2.5米。横穿主干道净空高度不低于6.0米，柱间距为4~8米之间。除此之外，当管廊跨越道路、铁路时需保证6.0米的净空高度，当管廊通过大件运输通道时需保证 12.0 米的净空高度</w:t>
      </w:r>
      <w:r>
        <w:rPr>
          <w:rFonts w:hint="eastAsia"/>
          <w:lang w:val="en-US" w:eastAsia="zh-CN"/>
        </w:rPr>
        <w:t>。</w:t>
      </w:r>
    </w:p>
    <w:p>
      <w:pPr>
        <w:pStyle w:val="6"/>
        <w:bidi w:val="0"/>
        <w:rPr>
          <w:rFonts w:hint="default"/>
          <w:lang w:val="en-US" w:eastAsia="zh-CN"/>
        </w:rPr>
      </w:pPr>
      <w:r>
        <w:rPr>
          <w:rFonts w:hint="eastAsia"/>
          <w:lang w:val="en-US" w:eastAsia="zh-CN"/>
        </w:rPr>
        <w:t>环境卫生规划</w:t>
      </w:r>
    </w:p>
    <w:p>
      <w:pPr>
        <w:rPr>
          <w:rFonts w:hint="default"/>
          <w:lang w:val="en-US" w:eastAsia="zh-CN"/>
        </w:rPr>
      </w:pPr>
      <w:r>
        <w:rPr>
          <w:rFonts w:hint="eastAsia"/>
          <w:lang w:val="en-US" w:eastAsia="zh-CN"/>
        </w:rPr>
        <w:t>（1）</w:t>
      </w:r>
      <w:r>
        <w:rPr>
          <w:rFonts w:hint="default"/>
          <w:lang w:val="en-US" w:eastAsia="zh-CN"/>
        </w:rPr>
        <w:t xml:space="preserve">环卫设施建设 </w:t>
      </w:r>
    </w:p>
    <w:p>
      <w:pPr>
        <w:rPr>
          <w:rFonts w:hint="default"/>
          <w:lang w:val="en-US" w:eastAsia="zh-CN"/>
        </w:rPr>
      </w:pPr>
      <w:r>
        <w:rPr>
          <w:rFonts w:hint="default"/>
          <w:lang w:val="en-US" w:eastAsia="zh-CN"/>
        </w:rPr>
        <w:t>小型垃圾转运站每 0.7～1km</w:t>
      </w:r>
      <w:r>
        <w:rPr>
          <w:rFonts w:hint="default"/>
          <w:vertAlign w:val="superscript"/>
          <w:lang w:val="en-US" w:eastAsia="zh-CN"/>
        </w:rPr>
        <w:t>2</w:t>
      </w:r>
      <w:r>
        <w:rPr>
          <w:rFonts w:hint="default"/>
          <w:lang w:val="en-US" w:eastAsia="zh-CN"/>
        </w:rPr>
        <w:t>设置一座，用地面积不小于100m</w:t>
      </w:r>
      <w:r>
        <w:rPr>
          <w:rFonts w:hint="default"/>
          <w:vertAlign w:val="superscript"/>
          <w:lang w:val="en-US" w:eastAsia="zh-CN"/>
        </w:rPr>
        <w:t>2</w:t>
      </w:r>
      <w:r>
        <w:rPr>
          <w:rFonts w:hint="default"/>
          <w:lang w:val="en-US" w:eastAsia="zh-CN"/>
        </w:rPr>
        <w:t>，园区内共设置小型垃圾转运站1处，与周围建筑物的间隔不小于10m。</w:t>
      </w:r>
    </w:p>
    <w:p>
      <w:pPr>
        <w:rPr>
          <w:rFonts w:hint="default"/>
          <w:lang w:val="en-US" w:eastAsia="zh-CN"/>
        </w:rPr>
      </w:pPr>
      <w:r>
        <w:rPr>
          <w:rFonts w:hint="default"/>
          <w:lang w:val="en-US" w:eastAsia="zh-CN"/>
        </w:rPr>
        <w:t>公共厕所的相间距离或服务范围约750～1000m为宜。本规划区共设置公共厕所4座。独立式公共厕所与相邻建筑物间宜设置不小于3m宽绿化隔离带。附属式公共厕所应不影响主题建筑的功能，并设置直接通至室外的单独出入口。在满足环境及景观要求条件下，城市绿地内可以设置公共厕所。</w:t>
      </w:r>
    </w:p>
    <w:p>
      <w:pPr>
        <w:rPr>
          <w:rFonts w:hint="default"/>
          <w:lang w:val="en-US" w:eastAsia="zh-CN"/>
        </w:rPr>
      </w:pPr>
      <w:r>
        <w:rPr>
          <w:rFonts w:hint="default"/>
          <w:lang w:val="en-US" w:eastAsia="zh-CN"/>
        </w:rPr>
        <w:t>垃圾运输以美化环境、减少运距、因地制宜为原则。要求采用封闭式垃圾收集车运输，收集后统一送至循环园北端垃圾中转站。</w:t>
      </w:r>
    </w:p>
    <w:p>
      <w:pPr>
        <w:numPr>
          <w:ilvl w:val="0"/>
          <w:numId w:val="3"/>
        </w:numPr>
        <w:rPr>
          <w:rFonts w:hint="default"/>
          <w:lang w:val="en-US" w:eastAsia="zh-CN"/>
        </w:rPr>
      </w:pPr>
      <w:r>
        <w:rPr>
          <w:rFonts w:hint="default"/>
          <w:lang w:val="en-US" w:eastAsia="zh-CN"/>
        </w:rPr>
        <w:t>垃圾分类治理</w:t>
      </w:r>
    </w:p>
    <w:p>
      <w:pPr>
        <w:rPr>
          <w:rFonts w:hint="default"/>
          <w:lang w:val="en-US" w:eastAsia="zh-CN"/>
        </w:rPr>
      </w:pPr>
      <w:r>
        <w:rPr>
          <w:rFonts w:hint="eastAsia"/>
          <w:lang w:val="en-US" w:eastAsia="zh-CN"/>
        </w:rPr>
        <w:t>①</w:t>
      </w:r>
      <w:r>
        <w:rPr>
          <w:rFonts w:hint="default"/>
          <w:lang w:val="en-US" w:eastAsia="zh-CN"/>
        </w:rPr>
        <w:t>日常生活垃圾</w:t>
      </w:r>
    </w:p>
    <w:p>
      <w:pPr>
        <w:rPr>
          <w:rFonts w:hint="default"/>
          <w:lang w:val="en-US" w:eastAsia="zh-CN"/>
        </w:rPr>
      </w:pPr>
      <w:r>
        <w:rPr>
          <w:rFonts w:hint="default"/>
          <w:lang w:val="en-US" w:eastAsia="zh-CN"/>
        </w:rPr>
        <w:t>厨余垃圾：瓜果皮核、剩饭剩菜等；其它垃圾：烟头、被污染的纸张等；</w:t>
      </w:r>
    </w:p>
    <w:p>
      <w:pPr>
        <w:rPr>
          <w:rFonts w:hint="default"/>
          <w:lang w:val="en-US" w:eastAsia="zh-CN"/>
        </w:rPr>
      </w:pPr>
      <w:r>
        <w:rPr>
          <w:rFonts w:hint="default"/>
          <w:lang w:val="en-US" w:eastAsia="zh-CN"/>
        </w:rPr>
        <w:t>可回收垃圾：纸张、玻璃、非金属等；有害垃圾：废电池、废日光灯管、过期药品等。居民（单位）日常生活垃圾分成四类后，由环卫作业部门负责收运。</w:t>
      </w:r>
    </w:p>
    <w:p>
      <w:pPr>
        <w:rPr>
          <w:rFonts w:hint="default"/>
          <w:lang w:val="en-US" w:eastAsia="zh-CN"/>
        </w:rPr>
      </w:pPr>
      <w:r>
        <w:rPr>
          <w:rFonts w:hint="eastAsia"/>
          <w:lang w:val="en-US" w:eastAsia="zh-CN"/>
        </w:rPr>
        <w:t>②</w:t>
      </w:r>
      <w:r>
        <w:rPr>
          <w:rFonts w:hint="default"/>
          <w:lang w:val="en-US" w:eastAsia="zh-CN"/>
        </w:rPr>
        <w:t>特殊垃圾</w:t>
      </w:r>
    </w:p>
    <w:p>
      <w:pPr>
        <w:rPr>
          <w:rFonts w:hint="default"/>
          <w:lang w:val="en-US" w:eastAsia="zh-CN"/>
        </w:rPr>
      </w:pPr>
      <w:r>
        <w:rPr>
          <w:rFonts w:hint="default"/>
          <w:lang w:val="en-US" w:eastAsia="zh-CN"/>
        </w:rPr>
        <w:t>集贸市场垃圾：丢弃的蔬菜瓜果等；</w:t>
      </w:r>
    </w:p>
    <w:p>
      <w:pPr>
        <w:rPr>
          <w:rFonts w:hint="default"/>
          <w:lang w:val="en-US" w:eastAsia="zh-CN"/>
        </w:rPr>
      </w:pPr>
      <w:r>
        <w:rPr>
          <w:rFonts w:hint="default"/>
          <w:lang w:val="en-US" w:eastAsia="zh-CN"/>
        </w:rPr>
        <w:t>餐厨垃圾：废弃的生熟食物、米和面粉类食物残余、蔬菜、动植物油、肉骨等；</w:t>
      </w:r>
    </w:p>
    <w:p>
      <w:pPr>
        <w:rPr>
          <w:rFonts w:hint="default"/>
          <w:lang w:val="en-US" w:eastAsia="zh-CN"/>
        </w:rPr>
      </w:pPr>
      <w:r>
        <w:rPr>
          <w:rFonts w:hint="default"/>
          <w:lang w:val="en-US" w:eastAsia="zh-CN"/>
        </w:rPr>
        <w:t>装修垃圾：废弃的建筑材料、装修材料等；</w:t>
      </w:r>
    </w:p>
    <w:p>
      <w:pPr>
        <w:rPr>
          <w:rFonts w:hint="default"/>
          <w:lang w:val="en-US" w:eastAsia="zh-CN"/>
        </w:rPr>
      </w:pPr>
      <w:r>
        <w:rPr>
          <w:rFonts w:hint="default"/>
          <w:lang w:val="en-US" w:eastAsia="zh-CN"/>
        </w:rPr>
        <w:t>大件垃圾：家具、马桶、浴缸等；</w:t>
      </w:r>
    </w:p>
    <w:p>
      <w:pPr>
        <w:rPr>
          <w:rFonts w:hint="default"/>
          <w:lang w:val="en-US" w:eastAsia="zh-CN"/>
        </w:rPr>
      </w:pPr>
      <w:r>
        <w:rPr>
          <w:rFonts w:hint="default"/>
          <w:lang w:val="en-US" w:eastAsia="zh-CN"/>
        </w:rPr>
        <w:t>电子垃圾：废弃的电器、元器件等；</w:t>
      </w:r>
    </w:p>
    <w:p>
      <w:pPr>
        <w:rPr>
          <w:rFonts w:hint="default"/>
          <w:lang w:val="en-US" w:eastAsia="zh-CN"/>
        </w:rPr>
      </w:pPr>
      <w:r>
        <w:rPr>
          <w:rFonts w:hint="default"/>
          <w:lang w:val="en-US" w:eastAsia="zh-CN"/>
        </w:rPr>
        <w:t>绿化垃圾：落叶、修剪下的枝叶；</w:t>
      </w:r>
    </w:p>
    <w:p>
      <w:pPr>
        <w:rPr>
          <w:rFonts w:hint="default"/>
          <w:lang w:val="en-US" w:eastAsia="zh-CN"/>
        </w:rPr>
      </w:pPr>
      <w:r>
        <w:rPr>
          <w:rFonts w:hint="default"/>
          <w:lang w:val="en-US" w:eastAsia="zh-CN"/>
        </w:rPr>
        <w:t>道路机扫垃圾：以有害灰尘为主的垃圾。</w:t>
      </w:r>
    </w:p>
    <w:p>
      <w:pPr>
        <w:rPr>
          <w:rFonts w:hint="default"/>
          <w:lang w:val="en-US" w:eastAsia="zh-CN"/>
        </w:rPr>
      </w:pPr>
      <w:r>
        <w:rPr>
          <w:rFonts w:hint="default"/>
          <w:lang w:val="en-US" w:eastAsia="zh-CN"/>
        </w:rPr>
        <w:t>集贸市场垃圾、餐厨垃圾由经核准的特许单位专用运输车收集运输。装修垃圾、大件垃圾、电子垃圾、绿化垃圾、道路机扫垃圾由专业部门的专业车辆进行收集运输，杜绝与生活垃圾“混装混运”。</w:t>
      </w:r>
    </w:p>
    <w:p>
      <w:pPr>
        <w:rPr>
          <w:rFonts w:hint="default"/>
          <w:lang w:val="en-US" w:eastAsia="zh-CN"/>
        </w:rPr>
      </w:pPr>
      <w:r>
        <w:rPr>
          <w:rFonts w:hint="default"/>
          <w:lang w:val="en-US" w:eastAsia="zh-CN"/>
        </w:rPr>
        <w:t>（3）工业垃圾、建筑垃圾的处理</w:t>
      </w:r>
    </w:p>
    <w:p>
      <w:pPr>
        <w:rPr>
          <w:rFonts w:hint="eastAsia"/>
          <w:lang w:val="en-US" w:eastAsia="zh-CN"/>
        </w:rPr>
      </w:pPr>
      <w:r>
        <w:rPr>
          <w:rFonts w:hint="default"/>
          <w:lang w:val="en-US" w:eastAsia="zh-CN"/>
        </w:rPr>
        <w:t>规划工业垃圾与建筑垃圾的处理采用谁生产谁处理的原则。加强监管，以减量化、资源化为前提，不断削减工业固体废弃物产量，控制削减其土地的占用，达到无害化的工业固体废弃物方允许外排，并应统一送往产业园外最终处理。园区危险废物需集中收集统一送至专业危废处理中心，运输过程需封闭处理，防止二次污染</w:t>
      </w:r>
      <w:r>
        <w:rPr>
          <w:rFonts w:hint="eastAsia"/>
          <w:lang w:val="en-US" w:eastAsia="zh-CN"/>
        </w:rPr>
        <w:t>。</w:t>
      </w:r>
    </w:p>
    <w:p>
      <w:pPr>
        <w:pStyle w:val="5"/>
        <w:bidi w:val="0"/>
        <w:rPr>
          <w:rFonts w:hint="default"/>
          <w:lang w:val="en-US" w:eastAsia="zh-CN"/>
        </w:rPr>
      </w:pPr>
      <w:r>
        <w:rPr>
          <w:rFonts w:hint="eastAsia"/>
          <w:lang w:val="en-US" w:eastAsia="zh-CN"/>
        </w:rPr>
        <w:t>消防、安全及防灾规划</w:t>
      </w:r>
    </w:p>
    <w:p>
      <w:pPr>
        <w:pStyle w:val="6"/>
        <w:bidi w:val="0"/>
        <w:rPr>
          <w:rFonts w:hint="default"/>
          <w:lang w:val="en-US" w:eastAsia="zh-CN"/>
        </w:rPr>
      </w:pPr>
      <w:r>
        <w:rPr>
          <w:rFonts w:hint="eastAsia"/>
          <w:lang w:val="en-US" w:eastAsia="zh-CN"/>
        </w:rPr>
        <w:t>消防规划</w:t>
      </w:r>
    </w:p>
    <w:p>
      <w:pPr>
        <w:rPr>
          <w:rFonts w:hint="default"/>
          <w:lang w:val="en-US" w:eastAsia="zh-CN"/>
        </w:rPr>
      </w:pPr>
      <w:r>
        <w:rPr>
          <w:rFonts w:hint="eastAsia"/>
          <w:lang w:val="en-US" w:eastAsia="zh-CN"/>
        </w:rPr>
        <w:t>（1）消防站规划</w:t>
      </w:r>
    </w:p>
    <w:p>
      <w:pPr>
        <w:rPr>
          <w:rFonts w:hint="default"/>
          <w:lang w:val="en-US" w:eastAsia="zh-CN"/>
        </w:rPr>
      </w:pPr>
      <w:r>
        <w:rPr>
          <w:rFonts w:hint="eastAsia"/>
          <w:lang w:val="en-US" w:eastAsia="zh-CN"/>
        </w:rPr>
        <w:t>①</w:t>
      </w:r>
      <w:r>
        <w:rPr>
          <w:rFonts w:hint="default"/>
          <w:lang w:val="en-US" w:eastAsia="zh-CN"/>
        </w:rPr>
        <w:t>消防站</w:t>
      </w:r>
      <w:r>
        <w:rPr>
          <w:rFonts w:hint="eastAsia"/>
          <w:lang w:val="en-US" w:eastAsia="zh-CN"/>
        </w:rPr>
        <w:t>：</w:t>
      </w:r>
      <w:r>
        <w:rPr>
          <w:rFonts w:hint="default"/>
          <w:lang w:val="en-US" w:eastAsia="zh-CN"/>
        </w:rPr>
        <w:t>规划对现有消防站进行保留，同时在高速连接线与规划三路东北角设置 1 座特勤消防站，占地面积0.79公顷。根据《化工园区安全风险排查治理导则（试行）》要求，产业园内消防站应参照不低于《城市消防站建设标准》中特勤消防站的标准进行设置。</w:t>
      </w:r>
    </w:p>
    <w:p>
      <w:pPr>
        <w:rPr>
          <w:rFonts w:hint="default"/>
          <w:lang w:val="en-US" w:eastAsia="zh-CN"/>
        </w:rPr>
      </w:pPr>
      <w:r>
        <w:rPr>
          <w:rFonts w:hint="eastAsia"/>
          <w:lang w:val="en-US" w:eastAsia="zh-CN"/>
        </w:rPr>
        <w:t>②</w:t>
      </w:r>
      <w:r>
        <w:rPr>
          <w:rFonts w:hint="default"/>
          <w:lang w:val="en-US" w:eastAsia="zh-CN"/>
        </w:rPr>
        <w:t>泡沫站</w:t>
      </w:r>
      <w:r>
        <w:rPr>
          <w:rFonts w:hint="eastAsia"/>
          <w:lang w:val="en-US" w:eastAsia="zh-CN"/>
        </w:rPr>
        <w:t>：</w:t>
      </w:r>
      <w:r>
        <w:rPr>
          <w:rFonts w:hint="default"/>
          <w:lang w:val="en-US" w:eastAsia="zh-CN"/>
        </w:rPr>
        <w:t>为保障产业园消防安全，规划依托特勤消防站建设集中泡沫站，并配置移动泡沫车，以满足大型火灾状态下企业泡沫灭火系统受损或泡沫液不足时泡沫液供应，同时也满足产业园公共消防站泡沫消防车定期更换泡沫液的需求。</w:t>
      </w:r>
    </w:p>
    <w:p>
      <w:pPr>
        <w:rPr>
          <w:rFonts w:hint="default"/>
          <w:lang w:val="en-US" w:eastAsia="zh-CN"/>
        </w:rPr>
      </w:pPr>
      <w:r>
        <w:rPr>
          <w:rFonts w:hint="eastAsia"/>
          <w:lang w:val="en-US" w:eastAsia="zh-CN"/>
        </w:rPr>
        <w:t>（2）消防通道规划</w:t>
      </w:r>
    </w:p>
    <w:p>
      <w:pPr>
        <w:rPr>
          <w:rFonts w:hint="default"/>
          <w:lang w:val="en-US" w:eastAsia="zh-CN"/>
        </w:rPr>
      </w:pPr>
      <w:r>
        <w:rPr>
          <w:rFonts w:hint="eastAsia"/>
          <w:lang w:val="en-US" w:eastAsia="zh-CN"/>
        </w:rPr>
        <w:t>①</w:t>
      </w:r>
      <w:r>
        <w:rPr>
          <w:rFonts w:hint="default"/>
          <w:lang w:val="en-US" w:eastAsia="zh-CN"/>
        </w:rPr>
        <w:t>区域消防通道规划</w:t>
      </w:r>
      <w:r>
        <w:rPr>
          <w:rFonts w:hint="eastAsia"/>
          <w:lang w:val="en-US" w:eastAsia="zh-CN"/>
        </w:rPr>
        <w:t>：</w:t>
      </w:r>
      <w:r>
        <w:rPr>
          <w:rFonts w:hint="default"/>
          <w:lang w:val="en-US" w:eastAsia="zh-CN"/>
        </w:rPr>
        <w:t>应保持区块主干消防通道与区域交通干线路网的畅通，保障区域防灾救灾时的物资及人员的大规模调动。</w:t>
      </w:r>
    </w:p>
    <w:p>
      <w:pPr>
        <w:rPr>
          <w:rFonts w:hint="default"/>
          <w:lang w:val="en-US" w:eastAsia="zh-CN"/>
        </w:rPr>
      </w:pPr>
      <w:r>
        <w:rPr>
          <w:rFonts w:hint="eastAsia"/>
          <w:lang w:val="en-US" w:eastAsia="zh-CN"/>
        </w:rPr>
        <w:t>②</w:t>
      </w:r>
      <w:r>
        <w:rPr>
          <w:rFonts w:hint="default"/>
          <w:lang w:val="en-US" w:eastAsia="zh-CN"/>
        </w:rPr>
        <w:t>区内消防通道</w:t>
      </w:r>
      <w:r>
        <w:rPr>
          <w:rFonts w:hint="eastAsia"/>
          <w:lang w:val="en-US" w:eastAsia="zh-CN"/>
        </w:rPr>
        <w:t>：</w:t>
      </w:r>
      <w:r>
        <w:rPr>
          <w:rFonts w:hint="default"/>
          <w:lang w:val="en-US" w:eastAsia="zh-CN"/>
        </w:rPr>
        <w:t>区块内消防通道依靠规划区道路网系统。区内主干消防通道形成环网。主要消防通道的宽度不应小于6米，转弯半径不小于12米；道路上空遇有管廊、栈桥等障碍物时，其净高不应小5米；消防道路下的管道和暗沟应能承受大型消防车的压力；路面清晰标出通行方向。对于受地形限制路宽受限区域，需要沿路设置一定数量的路侧停车设施。尽头式消防车道应设回车道或者尺寸不宜小于 18 米×18 米的回车场。</w:t>
      </w:r>
    </w:p>
    <w:p>
      <w:pPr>
        <w:numPr>
          <w:ilvl w:val="0"/>
          <w:numId w:val="0"/>
        </w:numPr>
        <w:ind w:leftChars="200"/>
        <w:rPr>
          <w:rFonts w:hint="default"/>
          <w:lang w:val="en-US" w:eastAsia="zh-CN"/>
        </w:rPr>
      </w:pPr>
      <w:r>
        <w:rPr>
          <w:rFonts w:hint="eastAsia"/>
          <w:lang w:val="en-US" w:eastAsia="zh-CN"/>
        </w:rPr>
        <w:t>（3）</w:t>
      </w:r>
      <w:r>
        <w:rPr>
          <w:rFonts w:hint="default"/>
          <w:lang w:val="en-US" w:eastAsia="zh-CN"/>
        </w:rPr>
        <w:t>消防给水</w:t>
      </w:r>
    </w:p>
    <w:p>
      <w:pPr>
        <w:numPr>
          <w:ilvl w:val="0"/>
          <w:numId w:val="0"/>
        </w:numPr>
        <w:ind w:left="0" w:leftChars="0" w:firstLine="480" w:firstLineChars="200"/>
        <w:rPr>
          <w:rFonts w:hint="default"/>
          <w:lang w:val="en-US" w:eastAsia="zh-CN"/>
        </w:rPr>
      </w:pPr>
      <w:r>
        <w:rPr>
          <w:rFonts w:hint="eastAsia"/>
          <w:lang w:val="en-US" w:eastAsia="zh-CN"/>
        </w:rPr>
        <w:t>①</w:t>
      </w:r>
      <w:r>
        <w:rPr>
          <w:rFonts w:hint="default"/>
          <w:lang w:val="en-US" w:eastAsia="zh-CN"/>
        </w:rPr>
        <w:t>消防水源：规划工业水管道作为主要消防水源。规划建议沿用现有长江边上的取水点作为消防取水码头。</w:t>
      </w:r>
    </w:p>
    <w:p>
      <w:pPr>
        <w:rPr>
          <w:rFonts w:hint="default"/>
          <w:lang w:val="en-US" w:eastAsia="zh-CN"/>
        </w:rPr>
      </w:pPr>
      <w:r>
        <w:rPr>
          <w:rFonts w:hint="eastAsia"/>
          <w:lang w:val="en-US" w:eastAsia="zh-CN"/>
        </w:rPr>
        <w:t>②</w:t>
      </w:r>
      <w:r>
        <w:rPr>
          <w:rFonts w:hint="default"/>
          <w:lang w:val="en-US" w:eastAsia="zh-CN"/>
        </w:rPr>
        <w:t>消防供水管道：各区块规划消防供水管道依托工业给水管网，环状布置，环状管道应用阀门分成若干独立管段，每段消火栓的数量不宜超过 5 个；消防供水管道主干管道管径不低于 300 毫米，满足多辆消防车同时取水的要求；消防供水管道压力应确保灭火时最不利点消火栓的水压不低于 0.15 兆帕（自地面算起）。</w:t>
      </w:r>
    </w:p>
    <w:p>
      <w:pPr>
        <w:rPr>
          <w:rFonts w:hint="default"/>
          <w:lang w:val="en-US" w:eastAsia="zh-CN"/>
        </w:rPr>
      </w:pPr>
      <w:r>
        <w:rPr>
          <w:rFonts w:hint="eastAsia"/>
          <w:lang w:val="en-US" w:eastAsia="zh-CN"/>
        </w:rPr>
        <w:t>③</w:t>
      </w:r>
      <w:r>
        <w:rPr>
          <w:rFonts w:hint="default"/>
          <w:lang w:val="en-US" w:eastAsia="zh-CN"/>
        </w:rPr>
        <w:t>消防废水收集：各区块内企业应建设事故水池，保证事故时消防废水能全部收集进入事故水池，并进行无害化处理，达到排放标准后才能排入污水收集系统。</w:t>
      </w:r>
    </w:p>
    <w:p>
      <w:pPr>
        <w:rPr>
          <w:rFonts w:hint="default"/>
          <w:lang w:val="en-US" w:eastAsia="zh-CN"/>
        </w:rPr>
      </w:pPr>
      <w:r>
        <w:rPr>
          <w:rFonts w:hint="eastAsia"/>
          <w:lang w:val="en-US" w:eastAsia="zh-CN"/>
        </w:rPr>
        <w:t>（4）</w:t>
      </w:r>
      <w:r>
        <w:rPr>
          <w:rFonts w:hint="default"/>
          <w:lang w:val="en-US" w:eastAsia="zh-CN"/>
        </w:rPr>
        <w:t xml:space="preserve">消防供电 </w:t>
      </w:r>
    </w:p>
    <w:p>
      <w:pPr>
        <w:rPr>
          <w:rFonts w:hint="default"/>
          <w:lang w:val="en-US" w:eastAsia="zh-CN"/>
        </w:rPr>
      </w:pPr>
      <w:r>
        <w:rPr>
          <w:rFonts w:hint="default"/>
          <w:lang w:val="en-US" w:eastAsia="zh-CN"/>
        </w:rPr>
        <w:t>区内主要危险化学品储存设施消防用电设备应按照一级负荷供电。</w:t>
      </w:r>
    </w:p>
    <w:p>
      <w:pPr>
        <w:rPr>
          <w:rFonts w:hint="default"/>
          <w:lang w:val="en-US" w:eastAsia="zh-CN"/>
        </w:rPr>
      </w:pPr>
      <w:r>
        <w:rPr>
          <w:rFonts w:hint="eastAsia"/>
          <w:lang w:val="en-US" w:eastAsia="zh-CN"/>
        </w:rPr>
        <w:t>（5）</w:t>
      </w:r>
      <w:r>
        <w:rPr>
          <w:rFonts w:hint="default"/>
          <w:lang w:val="en-US" w:eastAsia="zh-CN"/>
        </w:rPr>
        <w:t xml:space="preserve">消防通信 </w:t>
      </w:r>
    </w:p>
    <w:p>
      <w:pPr>
        <w:rPr>
          <w:rFonts w:hint="eastAsia"/>
          <w:lang w:val="en-US" w:eastAsia="zh-CN"/>
        </w:rPr>
      </w:pPr>
      <w:r>
        <w:rPr>
          <w:rFonts w:hint="default"/>
          <w:lang w:val="en-US" w:eastAsia="zh-CN"/>
        </w:rPr>
        <w:t>依托所在工业区应急指挥中心建设消防指挥中心，纳入区域消防指挥中心系统；结合工业区内公告标志设置消防信息提示系统，区内设置广播语音提示系统，及时有效引导人们疏散避难</w:t>
      </w:r>
      <w:r>
        <w:rPr>
          <w:rFonts w:hint="eastAsia"/>
          <w:lang w:val="en-US" w:eastAsia="zh-CN"/>
        </w:rPr>
        <w:t>。</w:t>
      </w:r>
    </w:p>
    <w:p>
      <w:pPr>
        <w:pStyle w:val="6"/>
        <w:bidi w:val="0"/>
        <w:rPr>
          <w:rFonts w:hint="default"/>
          <w:lang w:val="en-US" w:eastAsia="zh-CN"/>
        </w:rPr>
      </w:pPr>
      <w:r>
        <w:rPr>
          <w:rFonts w:hint="eastAsia"/>
          <w:lang w:val="en-US" w:eastAsia="zh-CN"/>
        </w:rPr>
        <w:t>安全发展规划</w:t>
      </w:r>
    </w:p>
    <w:p>
      <w:pPr>
        <w:rPr>
          <w:rFonts w:hint="default"/>
          <w:lang w:val="en-US" w:eastAsia="zh-CN"/>
        </w:rPr>
      </w:pPr>
      <w:r>
        <w:rPr>
          <w:rFonts w:hint="eastAsia"/>
          <w:lang w:val="en-US" w:eastAsia="zh-CN"/>
        </w:rPr>
        <w:t>（1）</w:t>
      </w:r>
      <w:r>
        <w:rPr>
          <w:rFonts w:hint="default"/>
          <w:lang w:val="en-US" w:eastAsia="zh-CN"/>
        </w:rPr>
        <w:t>安全布局</w:t>
      </w:r>
    </w:p>
    <w:p>
      <w:pPr>
        <w:rPr>
          <w:rFonts w:hint="default"/>
          <w:lang w:val="en-US" w:eastAsia="zh-CN"/>
        </w:rPr>
      </w:pPr>
      <w:r>
        <w:rPr>
          <w:rFonts w:hint="eastAsia"/>
          <w:lang w:val="en-US" w:eastAsia="zh-CN"/>
        </w:rPr>
        <w:t>①</w:t>
      </w:r>
      <w:r>
        <w:rPr>
          <w:rFonts w:hint="default"/>
          <w:lang w:val="en-US" w:eastAsia="zh-CN"/>
        </w:rPr>
        <w:t>园区与城市建成区、人口密集区、区域重要设施等防护目标之间保持足够的安全防护距离，留有适当的缓冲带，将基地安全与周边公共安全的相互影响降至风险可以接受。</w:t>
      </w:r>
    </w:p>
    <w:p>
      <w:pPr>
        <w:rPr>
          <w:rFonts w:hint="default"/>
          <w:lang w:val="en-US" w:eastAsia="zh-CN"/>
        </w:rPr>
      </w:pPr>
      <w:r>
        <w:rPr>
          <w:rFonts w:hint="eastAsia"/>
          <w:lang w:val="en-US" w:eastAsia="zh-CN"/>
        </w:rPr>
        <w:t>②</w:t>
      </w:r>
      <w:r>
        <w:rPr>
          <w:rFonts w:hint="default"/>
          <w:lang w:val="en-US" w:eastAsia="zh-CN"/>
        </w:rPr>
        <w:t>园区应依据基地整体性安全风险评估结果和相关法规标准的要求，划定周边空间规划安全控制线，并应严格控制基地周边土地开发利用，空间规划安全控制线范围内的开发建设项目应经过安全风险评估，满足安全风险控制要求。</w:t>
      </w:r>
    </w:p>
    <w:p>
      <w:pPr>
        <w:rPr>
          <w:rFonts w:hint="default"/>
          <w:lang w:val="en-US" w:eastAsia="zh-CN"/>
        </w:rPr>
      </w:pPr>
      <w:r>
        <w:rPr>
          <w:rFonts w:hint="eastAsia"/>
          <w:lang w:val="en-US" w:eastAsia="zh-CN"/>
        </w:rPr>
        <w:t>③</w:t>
      </w:r>
      <w:r>
        <w:rPr>
          <w:rFonts w:hint="default"/>
          <w:lang w:val="en-US" w:eastAsia="zh-CN"/>
        </w:rPr>
        <w:t>园区内各企业的布局应满足安全及卫生防护距离的要求，综合考虑主导风向、园区内企业间、生产装置间、危险化学品仓库之间的相互影响、应急救援、产品类别、生产工艺、物料互供、公用设施保障等因素，合理布置基地功能分区，满足安全防护距离的要求。</w:t>
      </w:r>
    </w:p>
    <w:p>
      <w:pPr>
        <w:rPr>
          <w:rFonts w:hint="default"/>
          <w:lang w:val="en-US" w:eastAsia="zh-CN"/>
        </w:rPr>
      </w:pPr>
      <w:r>
        <w:rPr>
          <w:rFonts w:hint="eastAsia"/>
          <w:lang w:val="en-US" w:eastAsia="zh-CN"/>
        </w:rPr>
        <w:t>④</w:t>
      </w:r>
      <w:r>
        <w:rPr>
          <w:rFonts w:hint="default"/>
          <w:lang w:val="en-US" w:eastAsia="zh-CN"/>
        </w:rPr>
        <w:t>防范危化品运输风险。</w:t>
      </w:r>
    </w:p>
    <w:p>
      <w:pPr>
        <w:rPr>
          <w:rFonts w:hint="default"/>
          <w:lang w:val="en-US" w:eastAsia="zh-CN"/>
        </w:rPr>
      </w:pPr>
      <w:r>
        <w:rPr>
          <w:rFonts w:hint="eastAsia"/>
          <w:lang w:val="en-US" w:eastAsia="zh-CN"/>
        </w:rPr>
        <w:t>⑤</w:t>
      </w:r>
      <w:r>
        <w:rPr>
          <w:rFonts w:hint="default"/>
          <w:lang w:val="en-US" w:eastAsia="zh-CN"/>
        </w:rPr>
        <w:t>保障消防安全。</w:t>
      </w:r>
    </w:p>
    <w:p>
      <w:pPr>
        <w:rPr>
          <w:rFonts w:hint="default"/>
          <w:lang w:val="en-US" w:eastAsia="zh-CN"/>
        </w:rPr>
      </w:pPr>
      <w:r>
        <w:rPr>
          <w:rFonts w:hint="eastAsia"/>
          <w:lang w:val="en-US" w:eastAsia="zh-CN"/>
        </w:rPr>
        <w:t>⑥</w:t>
      </w:r>
      <w:r>
        <w:rPr>
          <w:rFonts w:hint="default"/>
          <w:lang w:val="en-US" w:eastAsia="zh-CN"/>
        </w:rPr>
        <w:t>园区内项目布局按照同类项目相对集中布置。</w:t>
      </w:r>
    </w:p>
    <w:p>
      <w:pPr>
        <w:rPr>
          <w:rFonts w:hint="default"/>
          <w:lang w:val="en-US" w:eastAsia="zh-CN"/>
        </w:rPr>
      </w:pPr>
      <w:r>
        <w:rPr>
          <w:rFonts w:hint="eastAsia"/>
          <w:lang w:val="en-US" w:eastAsia="zh-CN"/>
        </w:rPr>
        <w:t>⑦</w:t>
      </w:r>
      <w:r>
        <w:rPr>
          <w:rFonts w:hint="default"/>
          <w:lang w:val="en-US" w:eastAsia="zh-CN"/>
        </w:rPr>
        <w:t>有可能带来危害的生产装置要充分利用装置所在地的地形地貌、风向、周边环境等合理布局，力求把影响减小到最低程度。</w:t>
      </w:r>
    </w:p>
    <w:p>
      <w:pPr>
        <w:rPr>
          <w:rFonts w:hint="default"/>
          <w:lang w:val="en-US" w:eastAsia="zh-CN"/>
        </w:rPr>
      </w:pPr>
      <w:r>
        <w:rPr>
          <w:rFonts w:hint="eastAsia"/>
          <w:lang w:val="en-US" w:eastAsia="zh-CN"/>
        </w:rPr>
        <w:t>（2）</w:t>
      </w:r>
      <w:r>
        <w:rPr>
          <w:rFonts w:hint="default"/>
          <w:lang w:val="en-US" w:eastAsia="zh-CN"/>
        </w:rPr>
        <w:t xml:space="preserve">安全距离控制 </w:t>
      </w:r>
    </w:p>
    <w:p>
      <w:pPr>
        <w:rPr>
          <w:rFonts w:hint="default"/>
          <w:lang w:val="en-US" w:eastAsia="zh-CN"/>
        </w:rPr>
      </w:pPr>
      <w:r>
        <w:rPr>
          <w:rFonts w:hint="default"/>
          <w:lang w:val="en-US" w:eastAsia="zh-CN"/>
        </w:rPr>
        <w:t>规划依据《危险化学品生产装置和储存设施风险基准》GB36894-2018 及有关的文件规范要求，选用危险化学品新建、改建、扩建生产装置和储存设施个人风险基准（次/年）3×10</w:t>
      </w:r>
      <w:r>
        <w:rPr>
          <w:rFonts w:hint="default"/>
          <w:vertAlign w:val="superscript"/>
          <w:lang w:val="en-US" w:eastAsia="zh-CN"/>
        </w:rPr>
        <w:t>-7</w:t>
      </w:r>
      <w:r>
        <w:rPr>
          <w:rFonts w:hint="default"/>
          <w:lang w:val="en-US" w:eastAsia="zh-CN"/>
        </w:rPr>
        <w:t xml:space="preserve"> 基准线（蓝色）作为安全控制线。四至安全缓冲带、控制线划定建议如下：</w:t>
      </w:r>
    </w:p>
    <w:p>
      <w:pPr>
        <w:rPr>
          <w:rFonts w:hint="default"/>
          <w:lang w:val="en-US" w:eastAsia="zh-CN"/>
        </w:rPr>
      </w:pPr>
      <w:r>
        <w:rPr>
          <w:rFonts w:hint="default"/>
          <w:lang w:val="en-US" w:eastAsia="zh-CN"/>
        </w:rPr>
        <w:t>①缓冲带：北侧利用养马湖作为天然缓冲带；西北侧将四爷山居民区（园区西北侧贴邻居民区）搬迁后，利用拆迁后的区域以及临近的天然水域作为缓冲带；南侧、西南侧利用天然山体作为缓冲带；</w:t>
      </w:r>
    </w:p>
    <w:p>
      <w:pPr>
        <w:rPr>
          <w:rFonts w:hint="default"/>
          <w:lang w:val="en-US" w:eastAsia="zh-CN"/>
        </w:rPr>
      </w:pPr>
      <w:r>
        <w:rPr>
          <w:rFonts w:hint="default"/>
          <w:lang w:val="en-US" w:eastAsia="zh-CN"/>
        </w:rPr>
        <w:t>②园区东北侧延四至线外扩划定180米安全控制线，严格控制该部分的开发建设。后期项目建设过程中要对控制线内的未来新建、改建或扩建项目进行安全管控，评估其风险是否满足要求，同时如后期项目影响个人风险基准（次/年）3×10</w:t>
      </w:r>
      <w:r>
        <w:rPr>
          <w:rFonts w:hint="default"/>
          <w:vertAlign w:val="superscript"/>
          <w:lang w:val="en-US" w:eastAsia="zh-CN"/>
        </w:rPr>
        <w:t>-7</w:t>
      </w:r>
      <w:r>
        <w:rPr>
          <w:rFonts w:hint="default"/>
          <w:lang w:val="en-US" w:eastAsia="zh-CN"/>
        </w:rPr>
        <w:t xml:space="preserve"> 基准线的分布，应及时对安全控制线进行调整。</w:t>
      </w:r>
    </w:p>
    <w:p>
      <w:pPr>
        <w:rPr>
          <w:rFonts w:hint="default"/>
          <w:lang w:val="en-US" w:eastAsia="zh-CN"/>
        </w:rPr>
      </w:pPr>
      <w:r>
        <w:rPr>
          <w:rFonts w:hint="default"/>
          <w:lang w:val="en-US" w:eastAsia="zh-CN"/>
        </w:rPr>
        <w:t>③西北侧、北侧园区靠近镇区居民区园区范围内禁止建设高风险装置设施，并要逐步提升设施安全水平，确保安全生产。</w:t>
      </w:r>
    </w:p>
    <w:p>
      <w:pPr>
        <w:rPr>
          <w:rFonts w:hint="default"/>
          <w:lang w:val="en-US" w:eastAsia="zh-CN"/>
        </w:rPr>
      </w:pPr>
      <w:r>
        <w:rPr>
          <w:rFonts w:hint="default"/>
          <w:lang w:val="en-US" w:eastAsia="zh-CN"/>
        </w:rPr>
        <w:t>对于安全控制线范围内存在的高敏感防护目标、重要防护目标、一般防护目标中的一类防护目标要予以搬迁，同时在城市发展规划过程中避免以上保护目标位于安全控制线范围内。</w:t>
      </w:r>
    </w:p>
    <w:p>
      <w:pPr>
        <w:rPr>
          <w:rFonts w:hint="default"/>
          <w:lang w:val="en-US" w:eastAsia="zh-CN"/>
        </w:rPr>
      </w:pPr>
      <w:r>
        <w:rPr>
          <w:rFonts w:hint="default"/>
          <w:lang w:val="en-US" w:eastAsia="zh-CN"/>
        </w:rPr>
        <w:t>当园区企业风险或法律法规等发生重大变化时，应重新划定安全控制线。园区安全距离控制内容具体内容以批复安评最终结论为准。</w:t>
      </w:r>
    </w:p>
    <w:p>
      <w:pPr>
        <w:numPr>
          <w:ilvl w:val="0"/>
          <w:numId w:val="0"/>
        </w:numPr>
        <w:ind w:leftChars="200"/>
        <w:rPr>
          <w:rFonts w:hint="default"/>
          <w:lang w:val="en-US" w:eastAsia="zh-CN"/>
        </w:rPr>
      </w:pPr>
      <w:r>
        <w:rPr>
          <w:rFonts w:hint="eastAsia"/>
          <w:lang w:val="en-US" w:eastAsia="zh-CN"/>
        </w:rPr>
        <w:t>（3）</w:t>
      </w:r>
      <w:r>
        <w:rPr>
          <w:rFonts w:hint="default"/>
          <w:lang w:val="en-US" w:eastAsia="zh-CN"/>
        </w:rPr>
        <w:t>安全生产规划</w:t>
      </w:r>
    </w:p>
    <w:p>
      <w:pPr>
        <w:numPr>
          <w:ilvl w:val="0"/>
          <w:numId w:val="0"/>
        </w:numPr>
        <w:ind w:leftChars="200"/>
        <w:rPr>
          <w:rFonts w:hint="default"/>
          <w:lang w:val="en-US" w:eastAsia="zh-CN"/>
        </w:rPr>
      </w:pPr>
      <w:r>
        <w:rPr>
          <w:rFonts w:hint="default"/>
          <w:lang w:val="en-US" w:eastAsia="zh-CN"/>
        </w:rPr>
        <w:t>①严格园区本质安全度</w:t>
      </w:r>
    </w:p>
    <w:p>
      <w:pPr>
        <w:rPr>
          <w:rFonts w:hint="default"/>
          <w:lang w:val="en-US" w:eastAsia="zh-CN"/>
        </w:rPr>
      </w:pPr>
      <w:r>
        <w:rPr>
          <w:rFonts w:hint="default"/>
          <w:lang w:val="en-US" w:eastAsia="zh-CN"/>
        </w:rPr>
        <w:t>严格制定安全准入制度，按照既定的产业布局，充分考虑园区产业链的安全性和科学性，有选择地接纳危险化学品企业入园，把符合安全生产标准、产业链安全和安全风险容量要求，作为危险化学品企业准入的前置条件。对不符合产业链发展的项目不准入园，限制不利于园区产业链发展的项目的发展规模；禁止安全风险大、工艺设施落后、本质安全水平低的企业入园，对于涉及剧毒化学品的项目应加强安全监管和严格按照法规标准的要求采取相应的安全防护措施，控制园区安全风险和危险化学品重大危险源等级，提高整体安全水平。各类企业抓住导致重大事故发生的关键环节，科学准确地评估危险因素，依据国家法律法规和技术标准进行安全设施设计，组织建设项目施工和竣工验收。</w:t>
      </w:r>
    </w:p>
    <w:p>
      <w:pPr>
        <w:rPr>
          <w:rFonts w:hint="default"/>
          <w:lang w:val="en-US" w:eastAsia="zh-CN"/>
        </w:rPr>
      </w:pPr>
      <w:r>
        <w:rPr>
          <w:rFonts w:hint="default"/>
          <w:lang w:val="en-US" w:eastAsia="zh-CN"/>
        </w:rPr>
        <w:t>②提升园区安全管理水平</w:t>
      </w:r>
    </w:p>
    <w:p>
      <w:pPr>
        <w:rPr>
          <w:rFonts w:hint="default"/>
          <w:lang w:val="en-US" w:eastAsia="zh-CN"/>
        </w:rPr>
      </w:pPr>
      <w:r>
        <w:rPr>
          <w:rFonts w:hint="default"/>
          <w:lang w:val="en-US" w:eastAsia="zh-CN"/>
        </w:rPr>
        <w:t>成立安全管理结构成立专门安全管理机构，负责对化工区的安全生产进行监督和管理；建立安全风险分级管控和隐患排查治理双重预防机制；组织安全应急管理培训；加强信息化管理；加强现场安全监管</w:t>
      </w:r>
    </w:p>
    <w:p>
      <w:pPr>
        <w:pStyle w:val="6"/>
        <w:bidi w:val="0"/>
        <w:rPr>
          <w:rFonts w:hint="default"/>
          <w:lang w:val="en-US" w:eastAsia="zh-CN"/>
        </w:rPr>
      </w:pPr>
      <w:r>
        <w:rPr>
          <w:rFonts w:hint="default"/>
          <w:lang w:val="en-US" w:eastAsia="zh-CN"/>
        </w:rPr>
        <w:t>防洪排涝规划</w:t>
      </w:r>
    </w:p>
    <w:p>
      <w:pPr>
        <w:rPr>
          <w:rFonts w:hint="default"/>
          <w:lang w:val="en-US" w:eastAsia="zh-CN"/>
        </w:rPr>
      </w:pPr>
      <w:r>
        <w:rPr>
          <w:rFonts w:hint="eastAsia"/>
          <w:lang w:val="en-US" w:eastAsia="zh-CN"/>
        </w:rPr>
        <w:t>（1）</w:t>
      </w:r>
      <w:r>
        <w:rPr>
          <w:rFonts w:hint="default"/>
          <w:lang w:val="en-US" w:eastAsia="zh-CN"/>
        </w:rPr>
        <w:t>防洪标准</w:t>
      </w:r>
    </w:p>
    <w:p>
      <w:pPr>
        <w:rPr>
          <w:rFonts w:hint="default"/>
          <w:lang w:val="en-US" w:eastAsia="zh-CN"/>
        </w:rPr>
      </w:pPr>
      <w:r>
        <w:rPr>
          <w:rFonts w:hint="default"/>
          <w:lang w:val="en-US" w:eastAsia="zh-CN"/>
        </w:rPr>
        <w:t>长江沿线设防水位21.5米，警戒水位23米，保证水位25.09米，堤顶平均高度26.6米（以上均为吴淞高程）。根据《防洪标准 GB50201-2014》，园区应达到50年一遇防洪标准。供水工程中的引水枢纽、输水工程、泵站等水工建筑物，以及灌溉排水工程的主要水工建筑物的设计防洪标准达到30-20年一遇，校核防洪标准达到100-50年一遇；110KV和35KV高压变电设施防洪标准达到50年一遇；公用通信局所等电信枢纽楼防洪标准达到50年一遇；公用长途通信线路防洪标准达到30年一遇。</w:t>
      </w:r>
    </w:p>
    <w:p>
      <w:pPr>
        <w:rPr>
          <w:rFonts w:hint="default"/>
          <w:lang w:val="en-US" w:eastAsia="zh-CN"/>
        </w:rPr>
      </w:pPr>
      <w:r>
        <w:rPr>
          <w:rFonts w:hint="default"/>
          <w:lang w:val="en-US" w:eastAsia="zh-CN"/>
        </w:rPr>
        <w:t>采取调整、拓宽、疏浚等措施增加河港过水能力，排涝标准达到20年一遇，72小时设计暴雨3天排干。</w:t>
      </w:r>
    </w:p>
    <w:p>
      <w:pPr>
        <w:numPr>
          <w:ilvl w:val="0"/>
          <w:numId w:val="0"/>
        </w:numPr>
        <w:ind w:leftChars="200"/>
        <w:rPr>
          <w:rFonts w:hint="default"/>
          <w:lang w:val="en-US" w:eastAsia="zh-CN"/>
        </w:rPr>
      </w:pPr>
      <w:r>
        <w:rPr>
          <w:rFonts w:hint="eastAsia"/>
          <w:lang w:val="en-US" w:eastAsia="zh-CN"/>
        </w:rPr>
        <w:t>（2）</w:t>
      </w:r>
      <w:r>
        <w:rPr>
          <w:rFonts w:hint="default"/>
          <w:lang w:val="en-US" w:eastAsia="zh-CN"/>
        </w:rPr>
        <w:t>山洪防治措施</w:t>
      </w:r>
    </w:p>
    <w:p>
      <w:pPr>
        <w:rPr>
          <w:rFonts w:hint="default"/>
          <w:lang w:val="en-US" w:eastAsia="zh-CN"/>
        </w:rPr>
      </w:pPr>
      <w:r>
        <w:rPr>
          <w:rFonts w:hint="default"/>
          <w:lang w:val="en-US" w:eastAsia="zh-CN"/>
        </w:rPr>
        <w:t>规划沿地块南侧山脚道路沿等高线设置截洪沟，对山洪进行截流。同时在地块内设置排沟渠，用以排出地块南侧山洪，同时接纳规划地块内地面雨水排水。排洪渠的布置，尽量利用滨江路上原有的桥涵，以最大程度的保证现有防洪大堤的完整性。</w:t>
      </w:r>
    </w:p>
    <w:p>
      <w:pPr>
        <w:numPr>
          <w:ilvl w:val="0"/>
          <w:numId w:val="0"/>
        </w:numPr>
        <w:ind w:leftChars="200"/>
        <w:rPr>
          <w:rFonts w:hint="default"/>
          <w:lang w:val="en-US" w:eastAsia="zh-CN"/>
        </w:rPr>
      </w:pPr>
      <w:r>
        <w:rPr>
          <w:rFonts w:hint="eastAsia"/>
          <w:lang w:val="en-US" w:eastAsia="zh-CN"/>
        </w:rPr>
        <w:t>（3）</w:t>
      </w:r>
      <w:r>
        <w:rPr>
          <w:rFonts w:hint="default"/>
          <w:lang w:val="en-US" w:eastAsia="zh-CN"/>
        </w:rPr>
        <w:t>江洪防治措施</w:t>
      </w:r>
    </w:p>
    <w:p>
      <w:pPr>
        <w:rPr>
          <w:rFonts w:hint="default"/>
          <w:lang w:val="en-US" w:eastAsia="zh-CN"/>
        </w:rPr>
      </w:pPr>
      <w:r>
        <w:rPr>
          <w:rFonts w:hint="eastAsia"/>
          <w:lang w:val="en-US" w:eastAsia="zh-CN"/>
        </w:rPr>
        <w:t>、</w:t>
      </w:r>
      <w:r>
        <w:rPr>
          <w:rFonts w:hint="default"/>
          <w:lang w:val="en-US" w:eastAsia="zh-CN"/>
        </w:rPr>
        <w:t>临江部分区域地势较低，需对堤防加高加固。规划滨江路为堤路结合的形式，结合高速连接线的修建，将提高堤防高度，满足防洪需求。</w:t>
      </w:r>
    </w:p>
    <w:p>
      <w:pPr>
        <w:numPr>
          <w:ilvl w:val="0"/>
          <w:numId w:val="0"/>
        </w:numPr>
        <w:ind w:leftChars="200"/>
        <w:rPr>
          <w:rFonts w:hint="default"/>
          <w:lang w:val="en-US" w:eastAsia="zh-CN"/>
        </w:rPr>
      </w:pPr>
      <w:r>
        <w:rPr>
          <w:rFonts w:hint="eastAsia"/>
          <w:lang w:val="en-US" w:eastAsia="zh-CN"/>
        </w:rPr>
        <w:t>（4）</w:t>
      </w:r>
      <w:r>
        <w:rPr>
          <w:rFonts w:hint="default"/>
          <w:lang w:val="en-US" w:eastAsia="zh-CN"/>
        </w:rPr>
        <w:t>内涝防治措施</w:t>
      </w:r>
    </w:p>
    <w:p>
      <w:pPr>
        <w:rPr>
          <w:rFonts w:hint="default"/>
          <w:lang w:val="en-US" w:eastAsia="zh-CN"/>
        </w:rPr>
      </w:pPr>
      <w:r>
        <w:rPr>
          <w:rFonts w:hint="default"/>
          <w:lang w:val="en-US" w:eastAsia="zh-CN"/>
        </w:rPr>
        <w:t>张湾村设有张湾泵站，现状基本解决排涝问题，未来可考虑扩大电排容量。另一方面全面整治疏通，清淤、护砌、绿化、雨污分流，在积极保护内部水体的同时，与园林建设相结合，以海绵城市的理念利用园区各类绿地调蓄雨水，同时加大园区排水管网建设，缓解系统排水压力。</w:t>
      </w:r>
    </w:p>
    <w:p>
      <w:pPr>
        <w:pStyle w:val="5"/>
        <w:bidi w:val="0"/>
        <w:rPr>
          <w:rFonts w:hint="default"/>
          <w:lang w:val="en-US" w:eastAsia="zh-CN"/>
        </w:rPr>
      </w:pPr>
      <w:r>
        <w:rPr>
          <w:rFonts w:hint="eastAsia"/>
          <w:lang w:val="en-US" w:eastAsia="zh-CN"/>
        </w:rPr>
        <w:t>生态环境保护规划</w:t>
      </w:r>
    </w:p>
    <w:p>
      <w:pPr>
        <w:pStyle w:val="6"/>
        <w:bidi w:val="0"/>
        <w:rPr>
          <w:rFonts w:hint="default"/>
          <w:lang w:val="en-US" w:eastAsia="zh-CN"/>
        </w:rPr>
      </w:pPr>
      <w:r>
        <w:rPr>
          <w:rFonts w:hint="eastAsia"/>
          <w:lang w:val="en-US" w:eastAsia="zh-CN"/>
        </w:rPr>
        <w:t>规划目标</w:t>
      </w:r>
    </w:p>
    <w:p>
      <w:pPr>
        <w:rPr>
          <w:rFonts w:hint="default"/>
          <w:lang w:val="en-US" w:eastAsia="zh-CN"/>
        </w:rPr>
      </w:pPr>
      <w:r>
        <w:rPr>
          <w:rFonts w:hint="default"/>
          <w:lang w:val="en-US" w:eastAsia="zh-CN"/>
        </w:rPr>
        <w:t>遵循可持续发展战略思想，根据当地实际和总体规划布局，进行综合环境功能区划，制定相应的环境目标和环境措施，最终使总体环境质量优于国家标准。环保规划的总目标是：营造宜人的生态环境和社会环境，创造优良的投资环境，促进经济社会的可持续发展，以获得最大的经济、社会、生态效益。</w:t>
      </w:r>
    </w:p>
    <w:p>
      <w:pPr>
        <w:pStyle w:val="6"/>
        <w:bidi w:val="0"/>
        <w:rPr>
          <w:rFonts w:hint="default"/>
          <w:lang w:val="en-US" w:eastAsia="zh-CN"/>
        </w:rPr>
      </w:pPr>
      <w:r>
        <w:rPr>
          <w:rFonts w:hint="default"/>
          <w:lang w:val="en-US" w:eastAsia="zh-CN"/>
        </w:rPr>
        <w:t xml:space="preserve">水环境保护规划 </w:t>
      </w:r>
    </w:p>
    <w:p>
      <w:pPr>
        <w:rPr>
          <w:rFonts w:hint="default"/>
          <w:lang w:val="en-US" w:eastAsia="zh-CN"/>
        </w:rPr>
      </w:pPr>
      <w:r>
        <w:rPr>
          <w:rFonts w:hint="default"/>
          <w:lang w:val="en-US" w:eastAsia="zh-CN"/>
        </w:rPr>
        <w:t>根据本规划区的水环境现状，结合阳新经济开发区总体规划，在园区开发建设过程中应保持其水质满足《地表水环境质量标准（GB 3838－2002）》中的Ⅲ类水标准；主要功能是工业用水，一般景观用水水域。污染物控制参考国家标准进行控制。</w:t>
      </w:r>
    </w:p>
    <w:p>
      <w:pPr>
        <w:rPr>
          <w:rFonts w:hint="eastAsia"/>
          <w:lang w:val="en-US" w:eastAsia="zh-CN"/>
        </w:rPr>
      </w:pPr>
      <w:r>
        <w:rPr>
          <w:rFonts w:hint="default"/>
          <w:lang w:val="en-US" w:eastAsia="zh-CN"/>
        </w:rPr>
        <w:t>为了实现环境保护目标，必须严格控制污水的排放。构筑以产业园集中污水处理厂为主体，辅以自行处理，控制并逐步削减水污染，达到国家一级 A 污水排放标准，坚决杜绝对长江水体任何形式的污染。工业污水首先需做厂内单独预处理，然后将排入污水厂进行处理</w:t>
      </w:r>
      <w:r>
        <w:rPr>
          <w:rFonts w:hint="eastAsia"/>
          <w:lang w:val="en-US" w:eastAsia="zh-CN"/>
        </w:rPr>
        <w:t>。</w:t>
      </w:r>
    </w:p>
    <w:p>
      <w:pPr>
        <w:pStyle w:val="6"/>
        <w:bidi w:val="0"/>
        <w:rPr>
          <w:rFonts w:hint="default"/>
          <w:lang w:val="en-US" w:eastAsia="zh-CN"/>
        </w:rPr>
      </w:pPr>
      <w:r>
        <w:rPr>
          <w:rFonts w:hint="default"/>
          <w:lang w:val="en-US" w:eastAsia="zh-CN"/>
        </w:rPr>
        <w:t>大气环境保护规划</w:t>
      </w:r>
      <w:r>
        <w:rPr>
          <w:rFonts w:hint="eastAsia"/>
          <w:lang w:val="en-US" w:eastAsia="zh-CN"/>
        </w:rPr>
        <w:t xml:space="preserve"> </w:t>
      </w:r>
    </w:p>
    <w:p>
      <w:pPr>
        <w:keepNext w:val="0"/>
        <w:keepLines w:val="0"/>
        <w:widowControl/>
        <w:suppressLineNumbers w:val="0"/>
        <w:jc w:val="left"/>
        <w:rPr>
          <w:rFonts w:hint="eastAsia"/>
          <w:lang w:val="en-US" w:eastAsia="zh-CN"/>
        </w:rPr>
      </w:pPr>
      <w:r>
        <w:rPr>
          <w:rFonts w:hint="default"/>
          <w:lang w:val="en-US" w:eastAsia="zh-CN"/>
        </w:rPr>
        <w:t xml:space="preserve">园区内区域大气环境质量应达到《环境空气质量标准 </w:t>
      </w:r>
      <w:r>
        <w:rPr>
          <w:rFonts w:hint="eastAsia"/>
          <w:lang w:val="en-US" w:eastAsia="zh-CN"/>
        </w:rPr>
        <w:t>GB3095-2012</w:t>
      </w:r>
      <w:r>
        <w:rPr>
          <w:rFonts w:hint="default"/>
          <w:lang w:val="en-US" w:eastAsia="zh-CN"/>
        </w:rPr>
        <w:t>》Ⅱ类空气质量标准要求。环境空气质量标准和大气污染物排放指标依据相关国家标准进行控制。对现状污染企业改进工艺与设备，提升环保水平，控制废气达标后排放，减轻对大气环境的污染</w:t>
      </w:r>
      <w:r>
        <w:rPr>
          <w:rFonts w:hint="eastAsia"/>
          <w:lang w:val="en-US" w:eastAsia="zh-CN"/>
        </w:rPr>
        <w:t>。</w:t>
      </w:r>
    </w:p>
    <w:p>
      <w:pPr>
        <w:pStyle w:val="6"/>
        <w:bidi w:val="0"/>
        <w:rPr>
          <w:rFonts w:hint="default"/>
          <w:lang w:val="en-US" w:eastAsia="zh-CN"/>
        </w:rPr>
      </w:pPr>
      <w:r>
        <w:rPr>
          <w:rFonts w:hint="default"/>
          <w:lang w:val="en-US" w:eastAsia="zh-CN"/>
        </w:rPr>
        <w:t>声环境保护规划</w:t>
      </w:r>
      <w:r>
        <w:rPr>
          <w:rFonts w:hint="eastAsia"/>
          <w:lang w:val="en-US" w:eastAsia="zh-CN"/>
        </w:rPr>
        <w:t xml:space="preserve"> </w:t>
      </w:r>
    </w:p>
    <w:p>
      <w:pPr>
        <w:keepNext w:val="0"/>
        <w:keepLines w:val="0"/>
        <w:widowControl/>
        <w:suppressLineNumbers w:val="0"/>
        <w:jc w:val="left"/>
        <w:rPr>
          <w:rFonts w:hint="default"/>
          <w:lang w:val="en-US" w:eastAsia="zh-CN"/>
        </w:rPr>
      </w:pPr>
      <w:r>
        <w:rPr>
          <w:rFonts w:hint="default"/>
          <w:lang w:val="en-US" w:eastAsia="zh-CN"/>
        </w:rPr>
        <w:t>（</w:t>
      </w:r>
      <w:r>
        <w:rPr>
          <w:rFonts w:hint="eastAsia"/>
          <w:lang w:val="en-US" w:eastAsia="zh-CN"/>
        </w:rPr>
        <w:t>1</w:t>
      </w:r>
      <w:r>
        <w:rPr>
          <w:rFonts w:hint="default"/>
          <w:lang w:val="en-US" w:eastAsia="zh-CN"/>
        </w:rPr>
        <w:t>）交通噪声的控制</w:t>
      </w:r>
    </w:p>
    <w:p>
      <w:pPr>
        <w:keepNext w:val="0"/>
        <w:keepLines w:val="0"/>
        <w:widowControl/>
        <w:suppressLineNumbers w:val="0"/>
        <w:jc w:val="left"/>
        <w:rPr>
          <w:rFonts w:hint="default"/>
          <w:lang w:val="en-US" w:eastAsia="zh-CN"/>
        </w:rPr>
      </w:pPr>
      <w:r>
        <w:rPr>
          <w:rFonts w:hint="default"/>
          <w:lang w:val="en-US" w:eastAsia="zh-CN"/>
        </w:rPr>
        <w:t>园区环境噪声标准按照《声环境质量标准（</w:t>
      </w:r>
      <w:r>
        <w:rPr>
          <w:rFonts w:hint="eastAsia"/>
          <w:lang w:val="en-US" w:eastAsia="zh-CN"/>
        </w:rPr>
        <w:t>GB3096-2008</w:t>
      </w:r>
      <w:r>
        <w:rPr>
          <w:rFonts w:hint="default"/>
          <w:lang w:val="en-US" w:eastAsia="zh-CN"/>
        </w:rPr>
        <w:t xml:space="preserve">）》的规定标准，按Ⅱ类标准区标准进行控制，等效声级 </w:t>
      </w:r>
      <w:r>
        <w:rPr>
          <w:rFonts w:hint="eastAsia"/>
          <w:lang w:val="en-US" w:eastAsia="zh-CN"/>
        </w:rPr>
        <w:t xml:space="preserve">LAeq </w:t>
      </w:r>
      <w:r>
        <w:rPr>
          <w:rFonts w:hint="default"/>
          <w:lang w:val="en-US" w:eastAsia="zh-CN"/>
        </w:rPr>
        <w:t>昼间为</w:t>
      </w:r>
      <w:r>
        <w:rPr>
          <w:rFonts w:hint="eastAsia"/>
          <w:lang w:val="en-US" w:eastAsia="zh-CN"/>
        </w:rPr>
        <w:t>60</w:t>
      </w:r>
      <w:r>
        <w:rPr>
          <w:rFonts w:hint="default"/>
          <w:lang w:val="en-US" w:eastAsia="zh-CN"/>
        </w:rPr>
        <w:t>分贝，夜间为</w:t>
      </w:r>
      <w:r>
        <w:rPr>
          <w:rFonts w:hint="eastAsia"/>
          <w:lang w:val="en-US" w:eastAsia="zh-CN"/>
        </w:rPr>
        <w:t>50</w:t>
      </w:r>
      <w:r>
        <w:rPr>
          <w:rFonts w:hint="default"/>
          <w:lang w:val="en-US" w:eastAsia="zh-CN"/>
        </w:rPr>
        <w:t xml:space="preserve">分贝。 </w:t>
      </w:r>
      <w:r>
        <w:rPr>
          <w:rFonts w:hint="eastAsia"/>
          <w:lang w:val="en-US" w:eastAsia="zh-CN"/>
        </w:rPr>
        <w:t>203</w:t>
      </w:r>
      <w:r>
        <w:rPr>
          <w:rFonts w:hint="default"/>
          <w:lang w:val="en-US" w:eastAsia="zh-CN"/>
        </w:rPr>
        <w:t xml:space="preserve">省道沿线按Ⅳ类标准区进行控制，等效声级 </w:t>
      </w:r>
      <w:r>
        <w:rPr>
          <w:rFonts w:hint="eastAsia"/>
          <w:lang w:val="en-US" w:eastAsia="zh-CN"/>
        </w:rPr>
        <w:t xml:space="preserve">LAeq </w:t>
      </w:r>
      <w:r>
        <w:rPr>
          <w:rFonts w:hint="default"/>
          <w:lang w:val="en-US" w:eastAsia="zh-CN"/>
        </w:rPr>
        <w:t xml:space="preserve">昼间为 </w:t>
      </w:r>
      <w:r>
        <w:rPr>
          <w:rFonts w:hint="eastAsia"/>
          <w:lang w:val="en-US" w:eastAsia="zh-CN"/>
        </w:rPr>
        <w:t xml:space="preserve">70 </w:t>
      </w:r>
      <w:r>
        <w:rPr>
          <w:rFonts w:hint="default"/>
          <w:lang w:val="en-US" w:eastAsia="zh-CN"/>
        </w:rPr>
        <w:t>分贝，夜间为</w:t>
      </w:r>
      <w:r>
        <w:rPr>
          <w:rFonts w:hint="eastAsia"/>
          <w:lang w:val="en-US" w:eastAsia="zh-CN"/>
        </w:rPr>
        <w:t>55</w:t>
      </w:r>
      <w:r>
        <w:rPr>
          <w:rFonts w:hint="default"/>
          <w:lang w:val="en-US" w:eastAsia="zh-CN"/>
        </w:rPr>
        <w:t>分贝。</w:t>
      </w:r>
    </w:p>
    <w:p>
      <w:pPr>
        <w:keepNext w:val="0"/>
        <w:keepLines w:val="0"/>
        <w:widowControl/>
        <w:suppressLineNumbers w:val="0"/>
        <w:jc w:val="left"/>
        <w:rPr>
          <w:rFonts w:hint="default"/>
          <w:lang w:val="en-US" w:eastAsia="zh-CN"/>
        </w:rPr>
      </w:pPr>
      <w:r>
        <w:rPr>
          <w:rFonts w:hint="default"/>
          <w:lang w:val="en-US" w:eastAsia="zh-CN"/>
        </w:rPr>
        <w:t>（</w:t>
      </w:r>
      <w:r>
        <w:rPr>
          <w:rFonts w:hint="eastAsia"/>
          <w:lang w:val="en-US" w:eastAsia="zh-CN"/>
        </w:rPr>
        <w:t>2</w:t>
      </w:r>
      <w:r>
        <w:rPr>
          <w:rFonts w:hint="default"/>
          <w:lang w:val="en-US" w:eastAsia="zh-CN"/>
        </w:rPr>
        <w:t>）工厂噪声的控制</w:t>
      </w:r>
    </w:p>
    <w:p>
      <w:pPr>
        <w:keepNext w:val="0"/>
        <w:keepLines w:val="0"/>
        <w:widowControl/>
        <w:suppressLineNumbers w:val="0"/>
        <w:jc w:val="left"/>
        <w:rPr>
          <w:rFonts w:hint="default"/>
          <w:lang w:val="en-US" w:eastAsia="zh-CN"/>
        </w:rPr>
      </w:pPr>
      <w:r>
        <w:rPr>
          <w:rFonts w:hint="default"/>
          <w:lang w:val="en-US" w:eastAsia="zh-CN"/>
        </w:rPr>
        <w:t xml:space="preserve">工厂噪声的控制可采用声源控制法，即研制和采用噪声低的加工工艺和生产设备。同时，也可以采用传输途径控制法，即采用吸声、隔声、隔振、和阻尼手段阻碍噪音的传播。 </w:t>
      </w:r>
    </w:p>
    <w:p>
      <w:pPr>
        <w:keepNext w:val="0"/>
        <w:keepLines w:val="0"/>
        <w:widowControl/>
        <w:suppressLineNumbers w:val="0"/>
        <w:jc w:val="left"/>
        <w:rPr>
          <w:rFonts w:hint="default"/>
          <w:lang w:val="en-US" w:eastAsia="zh-CN"/>
        </w:rPr>
      </w:pPr>
      <w:r>
        <w:rPr>
          <w:rFonts w:hint="default"/>
          <w:lang w:val="en-US" w:eastAsia="zh-CN"/>
        </w:rPr>
        <w:t>（</w:t>
      </w:r>
      <w:r>
        <w:rPr>
          <w:rFonts w:hint="eastAsia"/>
          <w:lang w:val="en-US" w:eastAsia="zh-CN"/>
        </w:rPr>
        <w:t>3</w:t>
      </w:r>
      <w:r>
        <w:rPr>
          <w:rFonts w:hint="default"/>
          <w:lang w:val="en-US" w:eastAsia="zh-CN"/>
        </w:rPr>
        <w:t>）建筑施工和社会生活噪声的控制</w:t>
      </w:r>
    </w:p>
    <w:p>
      <w:pPr>
        <w:keepNext w:val="0"/>
        <w:keepLines w:val="0"/>
        <w:widowControl/>
        <w:suppressLineNumbers w:val="0"/>
        <w:jc w:val="left"/>
        <w:rPr>
          <w:rFonts w:hint="default"/>
          <w:lang w:val="en-US" w:eastAsia="zh-CN"/>
        </w:rPr>
      </w:pPr>
      <w:r>
        <w:rPr>
          <w:rFonts w:hint="default"/>
          <w:lang w:val="en-US" w:eastAsia="zh-CN"/>
        </w:rPr>
        <w:t>对建筑施工和社会生活噪声应加强管理和监督，通过环保部门的行政干预，限制工地和噪声扰民的娱乐场所的施工或营业时间，并向建设或经营单位征收噪声排污费、补偿费。同时通过技术手段，利用吸声降噪等方法把噪声控制在允许的范围之内</w:t>
      </w:r>
      <w:r>
        <w:rPr>
          <w:rFonts w:hint="eastAsia"/>
          <w:lang w:val="en-US" w:eastAsia="zh-CN"/>
        </w:rPr>
        <w:t>。</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lang w:val="en-US" w:eastAsia="zh-CN"/>
        </w:rPr>
      </w:pPr>
      <w:bookmarkStart w:id="17" w:name="_Toc32093"/>
      <w:r>
        <w:rPr>
          <w:rFonts w:hint="eastAsia"/>
          <w:lang w:val="en-US" w:eastAsia="zh-CN"/>
        </w:rPr>
        <w:t>规划协调性分析</w:t>
      </w:r>
      <w:bookmarkEnd w:id="17"/>
    </w:p>
    <w:p>
      <w:pPr>
        <w:pStyle w:val="5"/>
        <w:bidi w:val="0"/>
        <w:rPr>
          <w:rFonts w:hint="default"/>
          <w:lang w:val="en-US" w:eastAsia="zh-CN"/>
        </w:rPr>
      </w:pPr>
      <w:bookmarkStart w:id="18" w:name="_Toc13706"/>
      <w:r>
        <w:rPr>
          <w:rFonts w:hint="eastAsia"/>
          <w:color w:val="auto"/>
        </w:rPr>
        <w:t>区域涉及的相关</w:t>
      </w:r>
      <w:r>
        <w:rPr>
          <w:rFonts w:hint="eastAsia"/>
          <w:color w:val="auto"/>
          <w:lang w:val="en-US" w:eastAsia="zh-CN"/>
        </w:rPr>
        <w:t>法规、</w:t>
      </w:r>
      <w:r>
        <w:rPr>
          <w:rFonts w:hint="eastAsia"/>
          <w:color w:val="auto"/>
        </w:rPr>
        <w:t>规划</w:t>
      </w:r>
      <w:bookmarkEnd w:id="18"/>
    </w:p>
    <w:p>
      <w:pPr>
        <w:ind w:firstLine="480"/>
      </w:pPr>
      <w:r>
        <w:rPr>
          <w:rFonts w:hint="eastAsia"/>
        </w:rPr>
        <w:t>本章节收集规划所在区域的社会经济发展规划、城市发展和土地利用规划、本规划相关的产业发展规划、区域主体功能与资源环境保护规划等资料，分析</w:t>
      </w:r>
      <w:r>
        <w:rPr>
          <w:rFonts w:hint="eastAsia"/>
          <w:lang w:val="en-US" w:eastAsia="zh-CN"/>
        </w:rPr>
        <w:t>阳新经济开发区滨江工业园（医药化工园区）总体</w:t>
      </w:r>
      <w:r>
        <w:rPr>
          <w:rFonts w:hint="eastAsia"/>
        </w:rPr>
        <w:t>规划相关开发内容与上层规划的符合性。区域所涉及的主要政策、法规和规划情况详见下表。</w:t>
      </w:r>
    </w:p>
    <w:p>
      <w:pPr>
        <w:pStyle w:val="26"/>
        <w:bidi w:val="0"/>
        <w:rPr>
          <w:rFonts w:hint="default"/>
          <w:lang w:val="en-US" w:eastAsia="zh-CN"/>
        </w:rPr>
      </w:pPr>
      <w:r>
        <w:rPr>
          <w:rFonts w:hint="eastAsia"/>
          <w:lang w:val="en-US" w:eastAsia="zh-CN"/>
        </w:rPr>
        <w:t>表2.2.1-1 规划相符性分析所涉及的主要政策、法规和规划</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663"/>
        <w:gridCol w:w="1522"/>
        <w:gridCol w:w="1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31" w:type="pct"/>
            <w:vAlign w:val="center"/>
          </w:tcPr>
          <w:p>
            <w:pPr>
              <w:pStyle w:val="28"/>
              <w:bidi w:val="0"/>
            </w:pPr>
            <w:r>
              <w:rPr>
                <w:rFonts w:hint="eastAsia"/>
              </w:rPr>
              <w:t>分类</w:t>
            </w:r>
          </w:p>
        </w:tc>
        <w:tc>
          <w:tcPr>
            <w:tcW w:w="2736" w:type="pct"/>
            <w:vAlign w:val="center"/>
          </w:tcPr>
          <w:p>
            <w:pPr>
              <w:pStyle w:val="28"/>
              <w:bidi w:val="0"/>
            </w:pPr>
            <w:r>
              <w:rPr>
                <w:rFonts w:hint="eastAsia"/>
              </w:rPr>
              <w:t>相关政策、法规和规划</w:t>
            </w:r>
          </w:p>
        </w:tc>
        <w:tc>
          <w:tcPr>
            <w:tcW w:w="893" w:type="pct"/>
            <w:vAlign w:val="center"/>
          </w:tcPr>
          <w:p>
            <w:pPr>
              <w:pStyle w:val="28"/>
              <w:bidi w:val="0"/>
            </w:pPr>
            <w:r>
              <w:rPr>
                <w:rFonts w:hint="eastAsia"/>
              </w:rPr>
              <w:t>规划时间属性</w:t>
            </w:r>
          </w:p>
        </w:tc>
        <w:tc>
          <w:tcPr>
            <w:tcW w:w="738" w:type="pct"/>
            <w:vAlign w:val="center"/>
          </w:tcPr>
          <w:p>
            <w:pPr>
              <w:pStyle w:val="28"/>
              <w:bidi w:val="0"/>
            </w:pPr>
            <w:r>
              <w:rPr>
                <w:rFonts w:hint="eastAsia"/>
              </w:rPr>
              <w:t>规划层级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restart"/>
            <w:vAlign w:val="center"/>
          </w:tcPr>
          <w:p>
            <w:pPr>
              <w:pStyle w:val="28"/>
              <w:bidi w:val="0"/>
            </w:pPr>
            <w:r>
              <w:rPr>
                <w:rFonts w:hint="eastAsia"/>
              </w:rPr>
              <w:t>社会经济发展规划</w:t>
            </w:r>
          </w:p>
        </w:tc>
        <w:tc>
          <w:tcPr>
            <w:tcW w:w="2736" w:type="pct"/>
            <w:vAlign w:val="center"/>
          </w:tcPr>
          <w:p>
            <w:pPr>
              <w:pStyle w:val="28"/>
              <w:bidi w:val="0"/>
            </w:pPr>
            <w:bookmarkStart w:id="19" w:name="_Hlk69974005"/>
            <w:r>
              <w:rPr>
                <w:rFonts w:hint="eastAsia"/>
              </w:rPr>
              <w:t>《中华人民共和国国民经济和社会发展第十四个五年规划和</w:t>
            </w:r>
            <w:r>
              <w:rPr>
                <w:rFonts w:hint="eastAsia"/>
                <w:lang w:val="en-US" w:eastAsia="zh-CN"/>
              </w:rPr>
              <w:t>2035</w:t>
            </w:r>
            <w:r>
              <w:rPr>
                <w:rFonts w:hint="eastAsia"/>
              </w:rPr>
              <w:t>年远景目标纲要</w:t>
            </w:r>
            <w:bookmarkEnd w:id="19"/>
            <w:r>
              <w:rPr>
                <w:rFonts w:hint="eastAsia"/>
              </w:rPr>
              <w:t>》</w:t>
            </w:r>
          </w:p>
        </w:tc>
        <w:tc>
          <w:tcPr>
            <w:tcW w:w="893" w:type="pct"/>
            <w:vAlign w:val="center"/>
          </w:tcPr>
          <w:p>
            <w:pPr>
              <w:pStyle w:val="28"/>
              <w:bidi w:val="0"/>
            </w:pPr>
            <w:r>
              <w:t>2021-2025</w:t>
            </w:r>
            <w:r>
              <w:rPr>
                <w:rFonts w:hint="eastAsia"/>
              </w:rPr>
              <w:t>年</w:t>
            </w:r>
          </w:p>
        </w:tc>
        <w:tc>
          <w:tcPr>
            <w:tcW w:w="738" w:type="pct"/>
            <w:vAlign w:val="center"/>
          </w:tcPr>
          <w:p>
            <w:pPr>
              <w:pStyle w:val="28"/>
              <w:bidi w:val="0"/>
            </w:pPr>
            <w:r>
              <w:rPr>
                <w:rFonts w:hint="eastAsia"/>
              </w:rPr>
              <w:t>国家级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pPr>
            <w:r>
              <w:rPr>
                <w:rFonts w:hint="eastAsia"/>
              </w:rPr>
              <w:t>《湖北省国民经济和社会发展第十四个五年规划和二〇三五年远景目标纲要》</w:t>
            </w:r>
          </w:p>
        </w:tc>
        <w:tc>
          <w:tcPr>
            <w:tcW w:w="893" w:type="pct"/>
            <w:vAlign w:val="center"/>
          </w:tcPr>
          <w:p>
            <w:pPr>
              <w:pStyle w:val="28"/>
              <w:bidi w:val="0"/>
            </w:pPr>
            <w:r>
              <w:t>2021-2025</w:t>
            </w:r>
            <w:r>
              <w:rPr>
                <w:rFonts w:hint="eastAsia"/>
              </w:rPr>
              <w:t>年</w:t>
            </w:r>
          </w:p>
        </w:tc>
        <w:tc>
          <w:tcPr>
            <w:tcW w:w="738" w:type="pct"/>
            <w:vAlign w:val="center"/>
          </w:tcPr>
          <w:p>
            <w:pPr>
              <w:pStyle w:val="28"/>
              <w:bidi w:val="0"/>
            </w:pPr>
            <w:r>
              <w:rPr>
                <w:rFonts w:hint="eastAsia"/>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pPr>
            <w:r>
              <w:rPr>
                <w:rFonts w:hint="eastAsia"/>
              </w:rPr>
              <w:t>《黄石市国民经济和社会发展第十四个五年规划和二〇三五年远景目标纲要》</w:t>
            </w:r>
          </w:p>
        </w:tc>
        <w:tc>
          <w:tcPr>
            <w:tcW w:w="893" w:type="pct"/>
            <w:vAlign w:val="center"/>
          </w:tcPr>
          <w:p>
            <w:pPr>
              <w:pStyle w:val="28"/>
              <w:bidi w:val="0"/>
            </w:pPr>
            <w:r>
              <w:rPr>
                <w:rFonts w:hint="eastAsia"/>
              </w:rPr>
              <w:t>2021-2025年</w:t>
            </w:r>
          </w:p>
        </w:tc>
        <w:tc>
          <w:tcPr>
            <w:tcW w:w="738" w:type="pct"/>
            <w:vAlign w:val="center"/>
          </w:tcPr>
          <w:p>
            <w:pPr>
              <w:pStyle w:val="28"/>
              <w:bidi w:val="0"/>
            </w:pPr>
            <w:r>
              <w:rPr>
                <w:rFonts w:hint="eastAsia"/>
              </w:rPr>
              <w:t>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rPr>
                <w:rFonts w:hint="eastAsia"/>
                <w:lang w:eastAsia="zh-CN"/>
              </w:rPr>
            </w:pPr>
            <w:r>
              <w:rPr>
                <w:rFonts w:hint="eastAsia"/>
                <w:lang w:eastAsia="zh-CN"/>
              </w:rPr>
              <w:t>《</w:t>
            </w:r>
            <w:r>
              <w:rPr>
                <w:rFonts w:hint="eastAsia"/>
                <w:lang w:val="en-US" w:eastAsia="zh-CN"/>
              </w:rPr>
              <w:t>阳新县</w:t>
            </w:r>
            <w:r>
              <w:rPr>
                <w:rFonts w:hint="eastAsia"/>
                <w:lang w:eastAsia="zh-CN"/>
              </w:rPr>
              <w:t>国民经济和社会发展第十四个五年规划和二〇三五年远景目标纲要》</w:t>
            </w:r>
          </w:p>
        </w:tc>
        <w:tc>
          <w:tcPr>
            <w:tcW w:w="893" w:type="pct"/>
            <w:vAlign w:val="center"/>
          </w:tcPr>
          <w:p>
            <w:pPr>
              <w:pStyle w:val="28"/>
              <w:bidi w:val="0"/>
            </w:pPr>
            <w:r>
              <w:rPr>
                <w:rFonts w:hint="eastAsia"/>
              </w:rPr>
              <w:t>2021-2025年</w:t>
            </w:r>
          </w:p>
        </w:tc>
        <w:tc>
          <w:tcPr>
            <w:tcW w:w="738" w:type="pct"/>
            <w:vAlign w:val="center"/>
          </w:tcPr>
          <w:p>
            <w:pPr>
              <w:pStyle w:val="28"/>
              <w:bidi w:val="0"/>
              <w:rPr>
                <w:rFonts w:hint="eastAsia"/>
                <w:lang w:val="en-US" w:eastAsia="zh-CN"/>
              </w:rPr>
            </w:pPr>
            <w:r>
              <w:rPr>
                <w:rFonts w:hint="eastAsia"/>
                <w:lang w:val="en-US" w:eastAsia="zh-CN"/>
              </w:rPr>
              <w:t>县级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restart"/>
            <w:vAlign w:val="center"/>
          </w:tcPr>
          <w:p>
            <w:pPr>
              <w:pStyle w:val="28"/>
              <w:bidi w:val="0"/>
            </w:pPr>
            <w:r>
              <w:rPr>
                <w:rFonts w:hint="eastAsia"/>
              </w:rPr>
              <w:t>城市发展</w:t>
            </w:r>
            <w:r>
              <w:rPr>
                <w:rFonts w:hint="eastAsia"/>
                <w:lang w:val="en-US" w:eastAsia="zh-CN"/>
              </w:rPr>
              <w:t>和</w:t>
            </w:r>
            <w:r>
              <w:rPr>
                <w:rFonts w:hint="eastAsia"/>
              </w:rPr>
              <w:t>土地利用规划</w:t>
            </w:r>
          </w:p>
        </w:tc>
        <w:tc>
          <w:tcPr>
            <w:tcW w:w="2736" w:type="pct"/>
            <w:vAlign w:val="center"/>
          </w:tcPr>
          <w:p>
            <w:pPr>
              <w:pStyle w:val="28"/>
              <w:bidi w:val="0"/>
            </w:pPr>
            <w:r>
              <w:rPr>
                <w:rFonts w:hint="eastAsia"/>
              </w:rPr>
              <w:t>《</w:t>
            </w:r>
            <w:r>
              <w:rPr>
                <w:rFonts w:hint="eastAsia"/>
                <w:lang w:val="en-US" w:eastAsia="zh-CN"/>
              </w:rPr>
              <w:t>阳新县</w:t>
            </w:r>
            <w:r>
              <w:rPr>
                <w:rFonts w:hint="eastAsia"/>
              </w:rPr>
              <w:t>城市总体规划（20</w:t>
            </w:r>
            <w:r>
              <w:rPr>
                <w:rFonts w:hint="eastAsia"/>
                <w:lang w:val="en-US" w:eastAsia="zh-CN"/>
              </w:rPr>
              <w:t>17-</w:t>
            </w:r>
            <w:r>
              <w:rPr>
                <w:rFonts w:hint="eastAsia"/>
              </w:rPr>
              <w:t>20</w:t>
            </w:r>
            <w:r>
              <w:rPr>
                <w:rFonts w:hint="eastAsia"/>
                <w:lang w:val="en-US" w:eastAsia="zh-CN"/>
              </w:rPr>
              <w:t>3</w:t>
            </w:r>
            <w:r>
              <w:rPr>
                <w:rFonts w:hint="eastAsia"/>
              </w:rPr>
              <w:t>0）》</w:t>
            </w:r>
          </w:p>
        </w:tc>
        <w:tc>
          <w:tcPr>
            <w:tcW w:w="893" w:type="pct"/>
            <w:vAlign w:val="center"/>
          </w:tcPr>
          <w:p>
            <w:pPr>
              <w:pStyle w:val="28"/>
              <w:bidi w:val="0"/>
            </w:pPr>
            <w:r>
              <w:t>20</w:t>
            </w:r>
            <w:r>
              <w:rPr>
                <w:rFonts w:hint="eastAsia"/>
                <w:lang w:val="en-US" w:eastAsia="zh-CN"/>
              </w:rPr>
              <w:t>17</w:t>
            </w:r>
            <w:r>
              <w:t>-20</w:t>
            </w:r>
            <w:r>
              <w:rPr>
                <w:rFonts w:hint="eastAsia"/>
                <w:lang w:val="en-US" w:eastAsia="zh-CN"/>
              </w:rPr>
              <w:t>3</w:t>
            </w:r>
            <w:r>
              <w:t>0</w:t>
            </w:r>
            <w:r>
              <w:rPr>
                <w:rFonts w:hint="eastAsia"/>
              </w:rPr>
              <w:t>年</w:t>
            </w:r>
          </w:p>
        </w:tc>
        <w:tc>
          <w:tcPr>
            <w:tcW w:w="738" w:type="pct"/>
            <w:vAlign w:val="center"/>
          </w:tcPr>
          <w:p>
            <w:pPr>
              <w:pStyle w:val="28"/>
              <w:bidi w:val="0"/>
            </w:pPr>
            <w:r>
              <w:rPr>
                <w:rFonts w:hint="eastAsia"/>
                <w:lang w:val="en-US" w:eastAsia="zh-CN"/>
              </w:rPr>
              <w:t>县</w:t>
            </w:r>
            <w:r>
              <w:rPr>
                <w:rFonts w:hint="eastAsia"/>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rPr>
                <w:rFonts w:hint="eastAsia"/>
              </w:rPr>
            </w:pPr>
          </w:p>
        </w:tc>
        <w:tc>
          <w:tcPr>
            <w:tcW w:w="2736" w:type="pct"/>
            <w:vAlign w:val="center"/>
          </w:tcPr>
          <w:p>
            <w:pPr>
              <w:pStyle w:val="28"/>
              <w:bidi w:val="0"/>
              <w:rPr>
                <w:rFonts w:hint="eastAsia"/>
              </w:rPr>
            </w:pPr>
            <w:r>
              <w:rPr>
                <w:rFonts w:hint="eastAsia"/>
                <w:lang w:eastAsia="zh-CN"/>
              </w:rPr>
              <w:t>《</w:t>
            </w:r>
            <w:r>
              <w:rPr>
                <w:rFonts w:hint="eastAsia"/>
                <w:lang w:val="en-US" w:eastAsia="zh-CN"/>
              </w:rPr>
              <w:t>阳新县富池镇</w:t>
            </w:r>
            <w:r>
              <w:rPr>
                <w:rFonts w:hint="eastAsia"/>
              </w:rPr>
              <w:t>总体规划（20</w:t>
            </w:r>
            <w:r>
              <w:rPr>
                <w:rFonts w:hint="eastAsia"/>
                <w:lang w:val="en-US" w:eastAsia="zh-CN"/>
              </w:rPr>
              <w:t>19-</w:t>
            </w:r>
            <w:r>
              <w:rPr>
                <w:rFonts w:hint="eastAsia"/>
              </w:rPr>
              <w:t>20</w:t>
            </w:r>
            <w:r>
              <w:rPr>
                <w:rFonts w:hint="eastAsia"/>
                <w:lang w:val="en-US" w:eastAsia="zh-CN"/>
              </w:rPr>
              <w:t>3</w:t>
            </w:r>
            <w:r>
              <w:rPr>
                <w:rFonts w:hint="eastAsia"/>
              </w:rPr>
              <w:t>0</w:t>
            </w:r>
            <w:r>
              <w:rPr>
                <w:rFonts w:hint="eastAsia"/>
                <w:lang w:val="en-US" w:eastAsia="zh-CN"/>
              </w:rPr>
              <w:t>年</w:t>
            </w:r>
            <w:r>
              <w:rPr>
                <w:rFonts w:hint="eastAsia"/>
              </w:rPr>
              <w:t>）</w:t>
            </w:r>
            <w:r>
              <w:rPr>
                <w:rFonts w:hint="eastAsia"/>
                <w:lang w:eastAsia="zh-CN"/>
              </w:rPr>
              <w:t>》</w:t>
            </w:r>
          </w:p>
        </w:tc>
        <w:tc>
          <w:tcPr>
            <w:tcW w:w="893" w:type="pct"/>
            <w:vAlign w:val="center"/>
          </w:tcPr>
          <w:p>
            <w:pPr>
              <w:pStyle w:val="28"/>
              <w:bidi w:val="0"/>
              <w:rPr>
                <w:rFonts w:hint="eastAsia"/>
                <w:lang w:val="en-US" w:eastAsia="zh-CN"/>
              </w:rPr>
            </w:pPr>
            <w:r>
              <w:rPr>
                <w:rFonts w:hint="eastAsia"/>
              </w:rPr>
              <w:t>20</w:t>
            </w:r>
            <w:r>
              <w:rPr>
                <w:rFonts w:hint="eastAsia"/>
                <w:lang w:val="en-US" w:eastAsia="zh-CN"/>
              </w:rPr>
              <w:t>19</w:t>
            </w:r>
            <w:r>
              <w:rPr>
                <w:rFonts w:hint="eastAsia"/>
              </w:rPr>
              <w:t>-2030</w:t>
            </w:r>
            <w:r>
              <w:rPr>
                <w:rFonts w:hint="eastAsia"/>
                <w:lang w:val="en-US" w:eastAsia="zh-CN"/>
              </w:rPr>
              <w:t>年</w:t>
            </w:r>
          </w:p>
        </w:tc>
        <w:tc>
          <w:tcPr>
            <w:tcW w:w="738" w:type="pct"/>
            <w:vAlign w:val="center"/>
          </w:tcPr>
          <w:p>
            <w:pPr>
              <w:pStyle w:val="28"/>
              <w:bidi w:val="0"/>
              <w:rPr>
                <w:rFonts w:hint="eastAsia"/>
                <w:lang w:val="en-US" w:eastAsia="zh-CN"/>
              </w:rPr>
            </w:pPr>
            <w:r>
              <w:rPr>
                <w:rFonts w:hint="eastAsia"/>
                <w:lang w:val="en-US" w:eastAsia="zh-CN"/>
              </w:rPr>
              <w:t>乡镇级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restart"/>
            <w:vAlign w:val="center"/>
          </w:tcPr>
          <w:p>
            <w:pPr>
              <w:pStyle w:val="28"/>
              <w:bidi w:val="0"/>
            </w:pPr>
            <w:r>
              <w:rPr>
                <w:rFonts w:hint="eastAsia"/>
              </w:rPr>
              <w:t>产业发展规划</w:t>
            </w:r>
          </w:p>
        </w:tc>
        <w:tc>
          <w:tcPr>
            <w:tcW w:w="2736" w:type="pct"/>
            <w:vAlign w:val="center"/>
          </w:tcPr>
          <w:p>
            <w:pPr>
              <w:pStyle w:val="28"/>
              <w:bidi w:val="0"/>
              <w:rPr>
                <w:rFonts w:hint="eastAsia"/>
                <w:lang w:val="en-US" w:eastAsia="zh-CN"/>
              </w:rPr>
            </w:pPr>
            <w:r>
              <w:rPr>
                <w:rFonts w:hint="eastAsia"/>
              </w:rPr>
              <w:t>《湖北省长江经济带绿色发展“十四五”规划》</w:t>
            </w:r>
          </w:p>
        </w:tc>
        <w:tc>
          <w:tcPr>
            <w:tcW w:w="893" w:type="pct"/>
            <w:vAlign w:val="center"/>
          </w:tcPr>
          <w:p>
            <w:pPr>
              <w:pStyle w:val="28"/>
              <w:bidi w:val="0"/>
              <w:rPr>
                <w:rFonts w:hint="eastAsia"/>
                <w:lang w:val="en-US" w:eastAsia="zh-CN"/>
              </w:rPr>
            </w:pPr>
            <w:r>
              <w:t>20</w:t>
            </w:r>
            <w:r>
              <w:rPr>
                <w:rFonts w:hint="eastAsia"/>
                <w:lang w:val="en-US" w:eastAsia="zh-CN"/>
              </w:rPr>
              <w:t>21-2025</w:t>
            </w:r>
            <w:r>
              <w:rPr>
                <w:rFonts w:hint="eastAsia"/>
              </w:rPr>
              <w:t>年</w:t>
            </w:r>
          </w:p>
        </w:tc>
        <w:tc>
          <w:tcPr>
            <w:tcW w:w="738" w:type="pct"/>
            <w:vAlign w:val="center"/>
          </w:tcPr>
          <w:p>
            <w:pPr>
              <w:pStyle w:val="28"/>
              <w:bidi w:val="0"/>
              <w:rPr>
                <w:rFonts w:hint="default"/>
                <w:lang w:val="en-US" w:eastAsia="zh-CN"/>
              </w:rPr>
            </w:pPr>
            <w:r>
              <w:rPr>
                <w:rFonts w:hint="eastAsia"/>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rPr>
                <w:rFonts w:hint="eastAsia"/>
                <w:lang w:val="en-US" w:eastAsia="zh-CN"/>
              </w:rPr>
            </w:pPr>
            <w:r>
              <w:rPr>
                <w:rFonts w:hint="eastAsia"/>
                <w:lang w:eastAsia="zh-CN"/>
              </w:rPr>
              <w:t>《</w:t>
            </w:r>
            <w:r>
              <w:rPr>
                <w:rFonts w:hint="eastAsia"/>
              </w:rPr>
              <w:t>湖北省医药产业“十四五”发展规划</w:t>
            </w:r>
            <w:r>
              <w:rPr>
                <w:rFonts w:hint="eastAsia"/>
                <w:lang w:eastAsia="zh-CN"/>
              </w:rPr>
              <w:t>》</w:t>
            </w:r>
          </w:p>
        </w:tc>
        <w:tc>
          <w:tcPr>
            <w:tcW w:w="893" w:type="pct"/>
            <w:vAlign w:val="center"/>
          </w:tcPr>
          <w:p>
            <w:pPr>
              <w:pStyle w:val="28"/>
              <w:bidi w:val="0"/>
              <w:rPr>
                <w:lang w:val="en-US" w:eastAsia="zh-CN"/>
              </w:rPr>
            </w:pPr>
            <w:r>
              <w:t>20</w:t>
            </w:r>
            <w:r>
              <w:rPr>
                <w:rFonts w:hint="eastAsia"/>
                <w:lang w:val="en-US" w:eastAsia="zh-CN"/>
              </w:rPr>
              <w:t>21-2025</w:t>
            </w:r>
            <w:r>
              <w:rPr>
                <w:rFonts w:hint="eastAsia"/>
              </w:rPr>
              <w:t>年</w:t>
            </w:r>
          </w:p>
        </w:tc>
        <w:tc>
          <w:tcPr>
            <w:tcW w:w="738" w:type="pct"/>
            <w:vAlign w:val="center"/>
          </w:tcPr>
          <w:p>
            <w:pPr>
              <w:pStyle w:val="28"/>
              <w:bidi w:val="0"/>
              <w:rPr>
                <w:rFonts w:hint="eastAsia"/>
                <w:lang w:val="en-US" w:eastAsia="zh-CN"/>
              </w:rPr>
            </w:pPr>
            <w:r>
              <w:rPr>
                <w:rFonts w:hint="eastAsia"/>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rPr>
                <w:rFonts w:hint="eastAsia"/>
              </w:rPr>
            </w:pPr>
          </w:p>
        </w:tc>
        <w:tc>
          <w:tcPr>
            <w:tcW w:w="2736" w:type="pct"/>
            <w:vAlign w:val="center"/>
          </w:tcPr>
          <w:p>
            <w:pPr>
              <w:pStyle w:val="28"/>
              <w:bidi w:val="0"/>
              <w:rPr>
                <w:rFonts w:hint="eastAsia"/>
                <w:lang w:val="en-US" w:eastAsia="zh-CN"/>
              </w:rPr>
            </w:pPr>
            <w:r>
              <w:rPr>
                <w:rFonts w:hint="eastAsia"/>
              </w:rPr>
              <w:t>《黄石市工业高质量发展“十四五”规划》</w:t>
            </w:r>
          </w:p>
        </w:tc>
        <w:tc>
          <w:tcPr>
            <w:tcW w:w="893" w:type="pct"/>
            <w:vAlign w:val="center"/>
          </w:tcPr>
          <w:p>
            <w:pPr>
              <w:pStyle w:val="28"/>
              <w:bidi w:val="0"/>
              <w:rPr>
                <w:lang w:val="en-US" w:eastAsia="zh-CN"/>
              </w:rPr>
            </w:pPr>
            <w:r>
              <w:rPr>
                <w:rFonts w:hint="eastAsia"/>
              </w:rPr>
              <w:t>2021-2025年</w:t>
            </w:r>
          </w:p>
        </w:tc>
        <w:tc>
          <w:tcPr>
            <w:tcW w:w="738" w:type="pct"/>
            <w:vAlign w:val="center"/>
          </w:tcPr>
          <w:p>
            <w:pPr>
              <w:pStyle w:val="28"/>
              <w:bidi w:val="0"/>
              <w:rPr>
                <w:rFonts w:hint="eastAsia"/>
                <w:lang w:val="en-US" w:eastAsia="zh-CN"/>
              </w:rPr>
            </w:pPr>
            <w:r>
              <w:rPr>
                <w:rFonts w:hint="eastAsia"/>
                <w:lang w:val="en-US" w:eastAsia="zh-CN"/>
              </w:rPr>
              <w:t>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restart"/>
            <w:vAlign w:val="center"/>
          </w:tcPr>
          <w:p>
            <w:pPr>
              <w:pStyle w:val="28"/>
              <w:bidi w:val="0"/>
            </w:pPr>
            <w:r>
              <w:rPr>
                <w:rFonts w:hint="eastAsia"/>
              </w:rPr>
              <w:t>污染防治和环境保护规划</w:t>
            </w:r>
          </w:p>
        </w:tc>
        <w:tc>
          <w:tcPr>
            <w:tcW w:w="2736" w:type="pct"/>
            <w:vAlign w:val="center"/>
          </w:tcPr>
          <w:p>
            <w:pPr>
              <w:pStyle w:val="28"/>
              <w:bidi w:val="0"/>
              <w:rPr>
                <w:rFonts w:hint="default"/>
                <w:lang w:val="en-US" w:eastAsia="zh-CN"/>
              </w:rPr>
            </w:pPr>
            <w:r>
              <w:rPr>
                <w:rFonts w:hint="default"/>
              </w:rPr>
              <w:t>“长江大保护”相关法律法规及政策</w:t>
            </w:r>
          </w:p>
        </w:tc>
        <w:tc>
          <w:tcPr>
            <w:tcW w:w="893" w:type="pct"/>
            <w:vAlign w:val="center"/>
          </w:tcPr>
          <w:p>
            <w:pPr>
              <w:pStyle w:val="28"/>
              <w:bidi w:val="0"/>
              <w:rPr>
                <w:rFonts w:hint="default"/>
                <w:lang w:val="en-US" w:eastAsia="zh-CN"/>
              </w:rPr>
            </w:pPr>
            <w:r>
              <w:rPr>
                <w:rFonts w:hint="eastAsia"/>
                <w:lang w:val="en-US" w:eastAsia="zh-CN"/>
              </w:rPr>
              <w:t>/</w:t>
            </w:r>
          </w:p>
        </w:tc>
        <w:tc>
          <w:tcPr>
            <w:tcW w:w="738" w:type="pct"/>
            <w:vAlign w:val="center"/>
          </w:tcPr>
          <w:p>
            <w:pPr>
              <w:pStyle w:val="28"/>
              <w:bidi w:val="0"/>
              <w:rPr>
                <w:rFonts w:hint="default"/>
                <w:lang w:val="en-US" w:eastAsia="zh-CN"/>
              </w:rPr>
            </w:pPr>
            <w:r>
              <w:rPr>
                <w:rFonts w:hint="default"/>
              </w:rPr>
              <w:t>国家/省级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rPr>
                <w:rFonts w:hint="eastAsia"/>
              </w:rPr>
            </w:pPr>
          </w:p>
        </w:tc>
        <w:tc>
          <w:tcPr>
            <w:tcW w:w="2736" w:type="pct"/>
            <w:vAlign w:val="center"/>
          </w:tcPr>
          <w:p>
            <w:pPr>
              <w:pStyle w:val="28"/>
              <w:bidi w:val="0"/>
              <w:rPr>
                <w:rFonts w:hint="default"/>
                <w:lang w:val="en-US" w:eastAsia="zh-CN"/>
              </w:rPr>
            </w:pPr>
            <w:r>
              <w:rPr>
                <w:rFonts w:hint="default"/>
              </w:rPr>
              <w:t>《关于加强高耗能、高排放建设项目生态环境源头防控的指导意见》</w:t>
            </w:r>
          </w:p>
        </w:tc>
        <w:tc>
          <w:tcPr>
            <w:tcW w:w="893" w:type="pct"/>
            <w:vAlign w:val="center"/>
          </w:tcPr>
          <w:p>
            <w:pPr>
              <w:pStyle w:val="28"/>
              <w:bidi w:val="0"/>
              <w:rPr>
                <w:rFonts w:hint="default"/>
                <w:lang w:val="en-US" w:eastAsia="zh-CN"/>
              </w:rPr>
            </w:pPr>
            <w:r>
              <w:rPr>
                <w:rFonts w:hint="default"/>
              </w:rPr>
              <w:t>/</w:t>
            </w:r>
          </w:p>
        </w:tc>
        <w:tc>
          <w:tcPr>
            <w:tcW w:w="738" w:type="pct"/>
            <w:vAlign w:val="center"/>
          </w:tcPr>
          <w:p>
            <w:pPr>
              <w:pStyle w:val="28"/>
              <w:bidi w:val="0"/>
              <w:rPr>
                <w:rFonts w:hint="default"/>
                <w:lang w:val="en-US" w:eastAsia="zh-CN"/>
              </w:rPr>
            </w:pPr>
            <w:r>
              <w:rPr>
                <w:rFonts w:hint="default"/>
              </w:rPr>
              <w:t>国家级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rPr>
                <w:rFonts w:hint="default"/>
                <w:lang w:val="en-US" w:eastAsia="zh-CN"/>
              </w:rPr>
            </w:pPr>
            <w:r>
              <w:rPr>
                <w:rFonts w:hint="default"/>
              </w:rPr>
              <w:t>《湖北省生态环境保护“十四五”规划》</w:t>
            </w:r>
          </w:p>
        </w:tc>
        <w:tc>
          <w:tcPr>
            <w:tcW w:w="893" w:type="pct"/>
            <w:vAlign w:val="center"/>
          </w:tcPr>
          <w:p>
            <w:pPr>
              <w:pStyle w:val="28"/>
              <w:bidi w:val="0"/>
              <w:rPr>
                <w:rFonts w:hint="default"/>
                <w:lang w:val="en-US" w:eastAsia="zh-CN"/>
              </w:rPr>
            </w:pPr>
            <w:r>
              <w:rPr>
                <w:rFonts w:hint="default"/>
              </w:rPr>
              <w:t>2021-2025年</w:t>
            </w:r>
          </w:p>
        </w:tc>
        <w:tc>
          <w:tcPr>
            <w:tcW w:w="738" w:type="pct"/>
            <w:vAlign w:val="center"/>
          </w:tcPr>
          <w:p>
            <w:pPr>
              <w:pStyle w:val="28"/>
              <w:bidi w:val="0"/>
              <w:rPr>
                <w:rFonts w:hint="default"/>
                <w:lang w:val="en-US" w:eastAsia="zh-CN"/>
              </w:rPr>
            </w:pPr>
            <w:r>
              <w:rPr>
                <w:rFonts w:hint="default"/>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pPr>
            <w:r>
              <w:rPr>
                <w:rFonts w:hint="eastAsia"/>
              </w:rPr>
              <w:t>《黄石市生态环境保护“十四五”规划》</w:t>
            </w:r>
          </w:p>
        </w:tc>
        <w:tc>
          <w:tcPr>
            <w:tcW w:w="893" w:type="pct"/>
            <w:vAlign w:val="center"/>
          </w:tcPr>
          <w:p>
            <w:pPr>
              <w:pStyle w:val="28"/>
              <w:bidi w:val="0"/>
            </w:pPr>
            <w:r>
              <w:rPr>
                <w:rFonts w:hint="eastAsia"/>
              </w:rPr>
              <w:t>2021-2025年</w:t>
            </w:r>
          </w:p>
        </w:tc>
        <w:tc>
          <w:tcPr>
            <w:tcW w:w="738" w:type="pct"/>
            <w:vAlign w:val="center"/>
          </w:tcPr>
          <w:p>
            <w:pPr>
              <w:pStyle w:val="28"/>
              <w:bidi w:val="0"/>
              <w:rPr>
                <w:rFonts w:hint="eastAsia"/>
                <w:lang w:val="en-US" w:eastAsia="zh-CN"/>
              </w:rPr>
            </w:pPr>
            <w:r>
              <w:rPr>
                <w:rFonts w:hint="eastAsia"/>
                <w:lang w:val="en-US" w:eastAsia="zh-CN"/>
              </w:rPr>
              <w:t>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pPr>
            <w:r>
              <w:rPr>
                <w:rFonts w:hint="eastAsia"/>
              </w:rPr>
              <w:t>《黄石市“十四五”水安全保障规划》</w:t>
            </w:r>
          </w:p>
        </w:tc>
        <w:tc>
          <w:tcPr>
            <w:tcW w:w="893" w:type="pct"/>
            <w:vAlign w:val="center"/>
          </w:tcPr>
          <w:p>
            <w:pPr>
              <w:pStyle w:val="28"/>
              <w:bidi w:val="0"/>
            </w:pPr>
            <w:r>
              <w:rPr>
                <w:rFonts w:hint="eastAsia"/>
              </w:rPr>
              <w:t>2021-2025年</w:t>
            </w:r>
          </w:p>
        </w:tc>
        <w:tc>
          <w:tcPr>
            <w:tcW w:w="738" w:type="pct"/>
            <w:vAlign w:val="center"/>
          </w:tcPr>
          <w:p>
            <w:pPr>
              <w:pStyle w:val="28"/>
              <w:bidi w:val="0"/>
              <w:rPr>
                <w:rFonts w:hint="eastAsia"/>
                <w:lang w:val="en-US" w:eastAsia="zh-CN"/>
              </w:rPr>
            </w:pPr>
            <w:r>
              <w:rPr>
                <w:rFonts w:hint="eastAsia"/>
                <w:lang w:val="en-US" w:eastAsia="zh-CN"/>
              </w:rPr>
              <w:t>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restart"/>
            <w:vAlign w:val="center"/>
          </w:tcPr>
          <w:p>
            <w:pPr>
              <w:pStyle w:val="28"/>
              <w:bidi w:val="0"/>
              <w:rPr>
                <w:rFonts w:hint="eastAsia"/>
                <w:lang w:eastAsia="zh-CN"/>
              </w:rPr>
            </w:pPr>
            <w:r>
              <w:rPr>
                <w:rFonts w:hint="eastAsia"/>
                <w:lang w:val="en-US" w:eastAsia="zh-CN"/>
              </w:rPr>
              <w:t>三线一单</w:t>
            </w:r>
          </w:p>
        </w:tc>
        <w:tc>
          <w:tcPr>
            <w:tcW w:w="2736" w:type="pct"/>
            <w:vAlign w:val="center"/>
          </w:tcPr>
          <w:p>
            <w:pPr>
              <w:pStyle w:val="28"/>
              <w:bidi w:val="0"/>
            </w:pPr>
            <w:r>
              <w:rPr>
                <w:rFonts w:hint="eastAsia"/>
              </w:rPr>
              <w:t>《省人民政府关于加快实施</w:t>
            </w:r>
            <w:r>
              <w:t>“</w:t>
            </w:r>
            <w:r>
              <w:rPr>
                <w:rFonts w:hint="eastAsia"/>
              </w:rPr>
              <w:t>三线一单</w:t>
            </w:r>
            <w:r>
              <w:t>”</w:t>
            </w:r>
            <w:r>
              <w:rPr>
                <w:rFonts w:hint="eastAsia"/>
              </w:rPr>
              <w:t>生态环境分区管控的意见》</w:t>
            </w:r>
          </w:p>
        </w:tc>
        <w:tc>
          <w:tcPr>
            <w:tcW w:w="893" w:type="pct"/>
            <w:vAlign w:val="center"/>
          </w:tcPr>
          <w:p>
            <w:pPr>
              <w:pStyle w:val="28"/>
              <w:bidi w:val="0"/>
            </w:pPr>
            <w:r>
              <w:t>/</w:t>
            </w:r>
          </w:p>
        </w:tc>
        <w:tc>
          <w:tcPr>
            <w:tcW w:w="738" w:type="pct"/>
            <w:vAlign w:val="center"/>
          </w:tcPr>
          <w:p>
            <w:pPr>
              <w:pStyle w:val="28"/>
              <w:bidi w:val="0"/>
            </w:pPr>
            <w:r>
              <w:rPr>
                <w:rFonts w:hint="eastAsia"/>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1" w:type="pct"/>
            <w:vMerge w:val="continue"/>
            <w:vAlign w:val="center"/>
          </w:tcPr>
          <w:p>
            <w:pPr>
              <w:pStyle w:val="28"/>
              <w:bidi w:val="0"/>
            </w:pPr>
          </w:p>
        </w:tc>
        <w:tc>
          <w:tcPr>
            <w:tcW w:w="2736" w:type="pct"/>
            <w:vAlign w:val="center"/>
          </w:tcPr>
          <w:p>
            <w:pPr>
              <w:pStyle w:val="28"/>
              <w:bidi w:val="0"/>
            </w:pPr>
            <w:r>
              <w:rPr>
                <w:rFonts w:hint="eastAsia"/>
              </w:rPr>
              <w:t>《黄石市“三线一单”生态环境分区管控实施方案》</w:t>
            </w:r>
          </w:p>
        </w:tc>
        <w:tc>
          <w:tcPr>
            <w:tcW w:w="893" w:type="pct"/>
            <w:vAlign w:val="center"/>
          </w:tcPr>
          <w:p>
            <w:pPr>
              <w:pStyle w:val="28"/>
              <w:bidi w:val="0"/>
            </w:pPr>
            <w:r>
              <w:t>/</w:t>
            </w:r>
          </w:p>
        </w:tc>
        <w:tc>
          <w:tcPr>
            <w:tcW w:w="738" w:type="pct"/>
            <w:vAlign w:val="center"/>
          </w:tcPr>
          <w:p>
            <w:pPr>
              <w:pStyle w:val="28"/>
              <w:bidi w:val="0"/>
            </w:pPr>
            <w:r>
              <w:rPr>
                <w:rFonts w:hint="eastAsia"/>
              </w:rPr>
              <w:t>市级</w:t>
            </w:r>
          </w:p>
        </w:tc>
      </w:tr>
    </w:tbl>
    <w:p>
      <w:pPr>
        <w:pStyle w:val="5"/>
        <w:bidi w:val="0"/>
        <w:rPr>
          <w:color w:val="auto"/>
          <w:lang w:val="en-US" w:eastAsia="zh-CN"/>
        </w:rPr>
      </w:pPr>
      <w:bookmarkStart w:id="20" w:name="_Toc15017"/>
      <w:r>
        <w:rPr>
          <w:rFonts w:hint="eastAsia"/>
          <w:color w:val="auto"/>
          <w:lang w:val="en-US" w:eastAsia="zh-CN"/>
        </w:rPr>
        <w:t>符合性分析结论</w:t>
      </w:r>
      <w:bookmarkEnd w:id="20"/>
    </w:p>
    <w:p>
      <w:pPr>
        <w:rPr>
          <w:rFonts w:hint="eastAsia"/>
          <w:lang w:val="en-US" w:eastAsia="zh-CN"/>
        </w:rPr>
      </w:pPr>
      <w:r>
        <w:rPr>
          <w:rFonts w:hint="eastAsia"/>
          <w:lang w:val="en-US" w:eastAsia="zh-CN"/>
        </w:rPr>
        <w:t>在经济发展上，医药化工园区主导产业包括精品制药、生物医药、食品添加剂、精细化工、化工新材料，基本符合各级政府发布的国民经济和社会发展第十四个五年规划和二〇三五年远景目标纲要的相关要求。</w:t>
      </w:r>
    </w:p>
    <w:p>
      <w:pPr>
        <w:pStyle w:val="15"/>
        <w:rPr>
          <w:rFonts w:hint="eastAsia"/>
          <w:lang w:val="en-US" w:eastAsia="zh-CN"/>
        </w:rPr>
      </w:pPr>
      <w:r>
        <w:rPr>
          <w:rFonts w:hint="eastAsia"/>
          <w:lang w:val="en-US" w:eastAsia="zh-CN"/>
        </w:rPr>
        <w:t>在空间管控上，根据《阳新县城市总体规划（2017-2030）》、《阳新县富池镇总体规划（2019-2030 年）》，化工园整体位于阳新滨江工业园内，主导产业符合园区的产业发展方向。</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在产业发展上，化工园规划范围</w:t>
      </w:r>
      <w:r>
        <w:rPr>
          <w:rFonts w:hint="eastAsia"/>
          <w:color w:val="000000" w:themeColor="text1"/>
          <w:lang w:val="en-US" w:eastAsia="zh-CN"/>
          <w14:textFill>
            <w14:solidFill>
              <w14:schemeClr w14:val="tx1"/>
            </w14:solidFill>
          </w14:textFill>
        </w:rPr>
        <w:t>全部</w:t>
      </w:r>
      <w:r>
        <w:rPr>
          <w:rFonts w:hint="default"/>
          <w:color w:val="000000" w:themeColor="text1"/>
          <w:lang w:val="en-US" w:eastAsia="zh-CN"/>
          <w14:textFill>
            <w14:solidFill>
              <w14:schemeClr w14:val="tx1"/>
            </w14:solidFill>
          </w14:textFill>
        </w:rPr>
        <w:t>位于长江干流岸线一公里范围内，其均属于湖北阳新经济开发区原有规划范围，现状化工企业均为既有企业，不存在长江干流岸线一公里范围内的新建、扩建化工园区及化工企业的情况。根据《湖北省长江经济带绿色发展“十四五”规划》和《黄石市工业高质量发展“十四五”规划》，化工园区后续实施过程中应严格执行沿江一公里范围内禁止新建、扩建化工项目的要求，现有企业不得实施除“安全、环保、节能、信息化智能化、提升产品品质技术改造”以外的项目。</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环境保护方面，对比园区规划内容和《中华人民共和国长江保护法》、《长江经济带发展负面清单指南（试行，2022年版）》、《长江经济带发展负面清单指南（试行，2022年版）》湖北省实施细则等文件的要求，园区尚存在规划范围</w:t>
      </w:r>
      <w:r>
        <w:rPr>
          <w:rFonts w:hint="eastAsia"/>
          <w:color w:val="000000" w:themeColor="text1"/>
          <w:lang w:val="en-US" w:eastAsia="zh-CN"/>
          <w14:textFill>
            <w14:solidFill>
              <w14:schemeClr w14:val="tx1"/>
            </w14:solidFill>
          </w14:textFill>
        </w:rPr>
        <w:t>全部</w:t>
      </w:r>
      <w:r>
        <w:rPr>
          <w:rFonts w:hint="default"/>
          <w:color w:val="000000" w:themeColor="text1"/>
          <w:lang w:val="en-US" w:eastAsia="zh-CN"/>
          <w14:textFill>
            <w14:solidFill>
              <w14:schemeClr w14:val="tx1"/>
            </w14:solidFill>
          </w14:textFill>
        </w:rPr>
        <w:t>位于长江干流岸线一公里范围内、园区尚未组织开展化工园区等地下水重点污染源及周边地下水环境风险隐患开展调查评估等问题，因此园区在后续实施过程中应严格执行沿江一公里范围内禁止新建、扩建化工项目的要求，并尽快完成扩园后的整体合规认定，在认定为合规园区前，不得新建、扩建钢铁、石化、化工、焦化等高污染项目。</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此外，针对高污染行业的新建、扩建项目，园区应制定配套区域污染物削减方案，并采取有效的污染物区域削减措施；针对园区挥发性有机物（VOCs）的排放，要强化全过程治理，确保达标排放；针对项目管理，区内项目单位产品物耗、能耗、水耗、碳排放等应满足相应标准要求，进一步提升项目清洁生产水平，及时完成园区内企业清洁生产审核工作</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并严格落实防治土壤与地下水污染的措施；针对环境风险防范，园区应进一步强化环境风险防控体系，建立大气、水、土壤环境风险防控体系，尽快修订完善园区环境风险应急预案并备案。在规划的实施过程中，应严格遵守“三线一单”的相关管控政策，确保园区的规划发展符合环保要求。</w:t>
      </w:r>
    </w:p>
    <w:p>
      <w:pPr>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rPr>
          <w:rFonts w:hint="eastAsia"/>
          <w:lang w:val="en-US" w:eastAsia="zh-CN"/>
        </w:rPr>
      </w:pPr>
      <w:bookmarkStart w:id="21" w:name="_Toc32627"/>
      <w:bookmarkStart w:id="22" w:name="_Toc18315"/>
      <w:r>
        <w:rPr>
          <w:rFonts w:hint="default" w:ascii="Times New Roman" w:hAnsi="Times New Roman" w:cs="Times New Roman"/>
          <w:color w:val="auto"/>
          <w:lang w:val="en-US" w:eastAsia="zh-CN"/>
        </w:rPr>
        <w:t>区域环境质量现状调查及变化趋势分析</w:t>
      </w:r>
      <w:bookmarkEnd w:id="21"/>
      <w:bookmarkEnd w:id="22"/>
    </w:p>
    <w:p>
      <w:pPr>
        <w:ind w:firstLine="480"/>
        <w:rPr>
          <w:color w:val="auto"/>
        </w:rPr>
      </w:pPr>
      <w:r>
        <w:rPr>
          <w:color w:val="auto"/>
        </w:rPr>
        <w:t>本次环评对</w:t>
      </w:r>
      <w:r>
        <w:rPr>
          <w:rFonts w:hint="eastAsia"/>
          <w:color w:val="auto"/>
        </w:rPr>
        <w:t>阳新经济开发区滨江工业园（医药化工园区）</w:t>
      </w:r>
      <w:r>
        <w:rPr>
          <w:color w:val="auto"/>
        </w:rPr>
        <w:t>环境质量现状进行了现状监测，本章节分析了</w:t>
      </w:r>
      <w:r>
        <w:rPr>
          <w:rFonts w:hint="eastAsia"/>
          <w:color w:val="auto"/>
        </w:rPr>
        <w:t>化工园</w:t>
      </w:r>
      <w:r>
        <w:rPr>
          <w:color w:val="auto"/>
        </w:rPr>
        <w:t>环境质量现状，并在此基础上与收集的监测数据进行对比，分析</w:t>
      </w:r>
      <w:r>
        <w:rPr>
          <w:rFonts w:hint="eastAsia"/>
          <w:color w:val="auto"/>
        </w:rPr>
        <w:t>化工园</w:t>
      </w:r>
      <w:r>
        <w:rPr>
          <w:color w:val="auto"/>
        </w:rPr>
        <w:t>环境质量变化状况。</w:t>
      </w:r>
    </w:p>
    <w:p>
      <w:pPr>
        <w:ind w:firstLine="480"/>
        <w:rPr>
          <w:color w:val="auto"/>
        </w:rPr>
      </w:pPr>
      <w:r>
        <w:rPr>
          <w:color w:val="auto"/>
        </w:rPr>
        <w:t>同时，本次评价收集了近年</w:t>
      </w:r>
      <w:r>
        <w:rPr>
          <w:rFonts w:hint="eastAsia"/>
          <w:color w:val="auto"/>
        </w:rPr>
        <w:t>黄石</w:t>
      </w:r>
      <w:r>
        <w:rPr>
          <w:color w:val="auto"/>
        </w:rPr>
        <w:t>市、</w:t>
      </w:r>
      <w:r>
        <w:rPr>
          <w:rFonts w:hint="eastAsia"/>
          <w:color w:val="auto"/>
          <w:lang w:val="en-US" w:eastAsia="zh-CN"/>
        </w:rPr>
        <w:t>阳新县</w:t>
      </w:r>
      <w:r>
        <w:rPr>
          <w:color w:val="auto"/>
        </w:rPr>
        <w:t>环境空气及地表水例行监测资料及环境质量年报，分析区域环境空气及地表水环境质量变化趋势。</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rPr>
      </w:pPr>
      <w:bookmarkStart w:id="23" w:name="_Toc383"/>
      <w:bookmarkStart w:id="24" w:name="_Toc5586"/>
      <w:r>
        <w:rPr>
          <w:color w:val="auto"/>
        </w:rPr>
        <w:t>化工园环境质量现状调查</w:t>
      </w:r>
      <w:bookmarkEnd w:id="23"/>
      <w:bookmarkEnd w:id="24"/>
    </w:p>
    <w:p>
      <w:pPr>
        <w:pStyle w:val="5"/>
        <w:bidi w:val="0"/>
        <w:rPr>
          <w:color w:val="auto"/>
        </w:rPr>
      </w:pPr>
      <w:bookmarkStart w:id="25" w:name="_Toc16625"/>
      <w:r>
        <w:rPr>
          <w:color w:val="auto"/>
        </w:rPr>
        <w:t>环境空气环境质量现状调查</w:t>
      </w:r>
      <w:bookmarkEnd w:id="25"/>
    </w:p>
    <w:p>
      <w:pPr>
        <w:ind w:firstLine="482"/>
        <w:rPr>
          <w:b/>
          <w:bCs/>
          <w:color w:val="auto"/>
        </w:rPr>
      </w:pPr>
      <w:r>
        <w:rPr>
          <w:b/>
          <w:bCs/>
          <w:color w:val="auto"/>
        </w:rPr>
        <w:t>（一）区域常规监测结果</w:t>
      </w:r>
    </w:p>
    <w:p>
      <w:pPr>
        <w:ind w:firstLine="480"/>
        <w:rPr>
          <w:color w:val="auto"/>
        </w:rPr>
      </w:pPr>
      <w:r>
        <w:rPr>
          <w:rFonts w:hint="default"/>
        </w:rPr>
        <w:t>2021年</w:t>
      </w:r>
      <w:r>
        <w:rPr>
          <w:rFonts w:hint="eastAsia"/>
          <w:color w:val="auto"/>
        </w:rPr>
        <w:t>《黄石市生态环境状况公报》显示，SO</w:t>
      </w:r>
      <w:r>
        <w:rPr>
          <w:rFonts w:hint="eastAsia"/>
          <w:color w:val="auto"/>
          <w:vertAlign w:val="subscript"/>
        </w:rPr>
        <w:t>2</w:t>
      </w:r>
      <w:r>
        <w:rPr>
          <w:rFonts w:hint="eastAsia"/>
          <w:color w:val="auto"/>
        </w:rPr>
        <w:t>、NO</w:t>
      </w:r>
      <w:r>
        <w:rPr>
          <w:rFonts w:hint="eastAsia"/>
          <w:color w:val="auto"/>
          <w:vertAlign w:val="subscript"/>
        </w:rPr>
        <w:t>2</w:t>
      </w:r>
      <w:r>
        <w:rPr>
          <w:rFonts w:hint="eastAsia"/>
          <w:color w:val="auto"/>
        </w:rPr>
        <w:t>、PM</w:t>
      </w:r>
      <w:r>
        <w:rPr>
          <w:rFonts w:hint="eastAsia"/>
          <w:color w:val="auto"/>
          <w:vertAlign w:val="subscript"/>
        </w:rPr>
        <w:t>10</w:t>
      </w:r>
      <w:r>
        <w:rPr>
          <w:rFonts w:hint="eastAsia"/>
          <w:color w:val="auto"/>
        </w:rPr>
        <w:t>、PM</w:t>
      </w:r>
      <w:r>
        <w:rPr>
          <w:rFonts w:hint="eastAsia"/>
          <w:color w:val="auto"/>
          <w:vertAlign w:val="subscript"/>
        </w:rPr>
        <w:t>2.5</w:t>
      </w:r>
      <w:r>
        <w:rPr>
          <w:rFonts w:hint="eastAsia"/>
          <w:color w:val="auto"/>
        </w:rPr>
        <w:t>的年均值，CO日均值第95百分位数，O</w:t>
      </w:r>
      <w:r>
        <w:rPr>
          <w:rFonts w:hint="eastAsia"/>
          <w:color w:val="auto"/>
          <w:vertAlign w:val="subscript"/>
        </w:rPr>
        <w:t>3</w:t>
      </w:r>
      <w:r>
        <w:rPr>
          <w:rFonts w:hint="eastAsia"/>
          <w:color w:val="auto"/>
        </w:rPr>
        <w:t>最大8小时第90百分位数均满足《环境空气质量标准》(GB3095-2012)中的二级标准要求。规划区域环境空气质量属于达标区域。</w:t>
      </w:r>
    </w:p>
    <w:p>
      <w:pPr>
        <w:ind w:firstLine="482"/>
        <w:rPr>
          <w:b/>
          <w:bCs/>
          <w:color w:val="auto"/>
        </w:rPr>
      </w:pPr>
      <w:r>
        <w:rPr>
          <w:b/>
          <w:bCs/>
          <w:color w:val="auto"/>
        </w:rPr>
        <w:t>（二）区域补充监测结果</w:t>
      </w:r>
    </w:p>
    <w:p>
      <w:pPr>
        <w:ind w:firstLine="480"/>
        <w:rPr>
          <w:color w:val="auto"/>
        </w:rPr>
      </w:pPr>
      <w:r>
        <w:rPr>
          <w:rFonts w:hint="eastAsia"/>
          <w:color w:val="auto"/>
        </w:rPr>
        <w:t>根据《环境影响评价技术导则――大气环境》（HJ</w:t>
      </w:r>
      <w:r>
        <w:rPr>
          <w:rFonts w:hint="eastAsia"/>
          <w:color w:val="auto"/>
          <w:lang w:val="en-US" w:eastAsia="zh-CN"/>
        </w:rPr>
        <w:t>/</w:t>
      </w:r>
      <w:r>
        <w:rPr>
          <w:rFonts w:hint="eastAsia"/>
          <w:color w:val="auto"/>
        </w:rPr>
        <w:t>T2.2-2018）的规定，以监测期间的主导风向为轴向，取规划区中部（上风向区域）和代表性居民集中区，设置</w:t>
      </w:r>
      <w:r>
        <w:rPr>
          <w:rFonts w:hint="eastAsia"/>
          <w:color w:val="auto"/>
          <w:lang w:val="en-US" w:eastAsia="zh-CN"/>
        </w:rPr>
        <w:t>2</w:t>
      </w:r>
      <w:r>
        <w:rPr>
          <w:rFonts w:hint="eastAsia"/>
          <w:color w:val="auto"/>
        </w:rPr>
        <w:t>个监测点位。</w:t>
      </w:r>
    </w:p>
    <w:p>
      <w:pPr>
        <w:pStyle w:val="26"/>
        <w:bidi w:val="0"/>
        <w:rPr>
          <w:rFonts w:hint="default"/>
          <w:lang w:val="en-US" w:eastAsia="zh-CN"/>
        </w:rPr>
      </w:pPr>
      <w:r>
        <w:rPr>
          <w:rFonts w:hint="default"/>
        </w:rPr>
        <w:t>表</w:t>
      </w:r>
      <w:r>
        <w:rPr>
          <w:rFonts w:hint="eastAsia" w:ascii="Times New Roman" w:hAnsi="Times New Roman" w:cs="Times New Roman"/>
          <w:b/>
          <w:sz w:val="21"/>
          <w:szCs w:val="21"/>
          <w:lang w:val="en-US" w:eastAsia="zh-CN"/>
        </w:rPr>
        <w:t>3.</w:t>
      </w:r>
      <w:r>
        <w:rPr>
          <w:rFonts w:hint="eastAsia" w:cs="Times New Roman"/>
          <w:b/>
          <w:sz w:val="21"/>
          <w:szCs w:val="21"/>
          <w:lang w:val="en-US" w:eastAsia="zh-CN"/>
        </w:rPr>
        <w:t>1.1</w:t>
      </w:r>
      <w:r>
        <w:rPr>
          <w:rFonts w:hint="eastAsia" w:ascii="Times New Roman" w:hAnsi="Times New Roman" w:cs="Times New Roman"/>
          <w:b/>
          <w:sz w:val="21"/>
          <w:szCs w:val="21"/>
          <w:lang w:val="en-US" w:eastAsia="zh-CN"/>
        </w:rPr>
        <w:t>-</w:t>
      </w:r>
      <w:r>
        <w:rPr>
          <w:rFonts w:hint="eastAsia" w:cs="Times New Roman"/>
          <w:b/>
          <w:sz w:val="21"/>
          <w:szCs w:val="21"/>
          <w:lang w:val="en-US" w:eastAsia="zh-CN"/>
        </w:rPr>
        <w:t>1</w:t>
      </w:r>
      <w:r>
        <w:rPr>
          <w:rFonts w:hint="default"/>
          <w:lang w:val="en-US" w:eastAsia="zh-CN"/>
        </w:rPr>
        <w:t xml:space="preserve"> </w:t>
      </w:r>
      <w:r>
        <w:rPr>
          <w:rFonts w:hint="default"/>
        </w:rPr>
        <w:t>环境空气质量补充监测布点</w:t>
      </w:r>
      <w:r>
        <w:rPr>
          <w:rFonts w:hint="default"/>
          <w:lang w:val="en-US" w:eastAsia="zh-CN"/>
        </w:rPr>
        <w:t>及监测因子一览表</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166"/>
        <w:gridCol w:w="6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18" w:type="pct"/>
            <w:vAlign w:val="center"/>
          </w:tcPr>
          <w:p>
            <w:pPr>
              <w:pStyle w:val="28"/>
              <w:bidi w:val="0"/>
              <w:rPr>
                <w:rFonts w:hint="default"/>
                <w:lang w:val="en-US" w:eastAsia="zh-CN"/>
              </w:rPr>
            </w:pPr>
            <w:r>
              <w:rPr>
                <w:rFonts w:hint="default"/>
                <w:lang w:val="en-US" w:eastAsia="zh-CN"/>
              </w:rPr>
              <w:t>编号</w:t>
            </w:r>
          </w:p>
        </w:tc>
        <w:tc>
          <w:tcPr>
            <w:tcW w:w="697" w:type="pct"/>
            <w:vAlign w:val="center"/>
          </w:tcPr>
          <w:p>
            <w:pPr>
              <w:pStyle w:val="28"/>
              <w:bidi w:val="0"/>
              <w:rPr>
                <w:rFonts w:hint="default"/>
                <w:lang w:val="en-US" w:eastAsia="zh-CN"/>
              </w:rPr>
            </w:pPr>
            <w:r>
              <w:rPr>
                <w:rFonts w:hint="default"/>
                <w:lang w:val="en-US" w:eastAsia="zh-CN"/>
              </w:rPr>
              <w:t>监测点位</w:t>
            </w:r>
          </w:p>
        </w:tc>
        <w:tc>
          <w:tcPr>
            <w:tcW w:w="3883" w:type="pct"/>
            <w:vAlign w:val="center"/>
          </w:tcPr>
          <w:p>
            <w:pPr>
              <w:pStyle w:val="28"/>
              <w:bidi w:val="0"/>
              <w:rPr>
                <w:rFonts w:hint="default"/>
              </w:rPr>
            </w:pPr>
            <w:r>
              <w:rPr>
                <w:rFonts w:hint="default"/>
              </w:rPr>
              <w:t>监测项目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18" w:type="pct"/>
            <w:vAlign w:val="center"/>
          </w:tcPr>
          <w:p>
            <w:pPr>
              <w:pStyle w:val="28"/>
              <w:bidi w:val="0"/>
              <w:rPr>
                <w:rFonts w:hint="default"/>
              </w:rPr>
            </w:pPr>
            <w:r>
              <w:rPr>
                <w:rFonts w:hint="default"/>
                <w:lang w:val="en-US" w:eastAsia="zh-CN"/>
              </w:rPr>
              <w:t>A</w:t>
            </w:r>
            <w:r>
              <w:rPr>
                <w:rFonts w:hint="default"/>
              </w:rPr>
              <w:t>1</w:t>
            </w:r>
          </w:p>
        </w:tc>
        <w:tc>
          <w:tcPr>
            <w:tcW w:w="697" w:type="pct"/>
            <w:vAlign w:val="center"/>
          </w:tcPr>
          <w:p>
            <w:pPr>
              <w:pStyle w:val="28"/>
              <w:bidi w:val="0"/>
              <w:rPr>
                <w:rFonts w:hint="default"/>
                <w:lang w:val="en-US" w:eastAsia="zh-CN"/>
              </w:rPr>
            </w:pPr>
            <w:r>
              <w:rPr>
                <w:rFonts w:hint="default"/>
                <w:lang w:val="en-US" w:eastAsia="zh-CN"/>
              </w:rPr>
              <w:t>石家畈</w:t>
            </w:r>
          </w:p>
        </w:tc>
        <w:tc>
          <w:tcPr>
            <w:tcW w:w="3883" w:type="pct"/>
            <w:vAlign w:val="center"/>
          </w:tcPr>
          <w:p>
            <w:pPr>
              <w:pStyle w:val="28"/>
              <w:bidi w:val="0"/>
              <w:jc w:val="both"/>
              <w:rPr>
                <w:rFonts w:hint="default"/>
                <w:lang w:val="en-US" w:eastAsia="zh-CN"/>
              </w:rPr>
            </w:pPr>
            <w:r>
              <w:rPr>
                <w:rFonts w:hint="default"/>
                <w:lang w:val="en-US" w:eastAsia="zh-CN"/>
              </w:rPr>
              <w:t>24小时均值：苯胺、氟化物、汞、硫酸；</w:t>
            </w:r>
          </w:p>
          <w:p>
            <w:pPr>
              <w:pStyle w:val="28"/>
              <w:bidi w:val="0"/>
              <w:jc w:val="both"/>
              <w:rPr>
                <w:rFonts w:hint="default"/>
                <w:lang w:val="en-US" w:eastAsia="zh-CN"/>
              </w:rPr>
            </w:pPr>
            <w:r>
              <w:rPr>
                <w:rFonts w:hint="default"/>
                <w:lang w:val="en-US" w:eastAsia="zh-CN"/>
              </w:rPr>
              <w:t>8小时均值：TVOC；</w:t>
            </w:r>
          </w:p>
          <w:p>
            <w:pPr>
              <w:pStyle w:val="28"/>
              <w:bidi w:val="0"/>
              <w:jc w:val="both"/>
              <w:rPr>
                <w:rFonts w:hint="default"/>
                <w:lang w:val="en-US" w:eastAsia="zh-CN"/>
              </w:rPr>
            </w:pPr>
            <w:r>
              <w:rPr>
                <w:rFonts w:hint="default"/>
                <w:lang w:val="en-US" w:eastAsia="zh-CN"/>
              </w:rPr>
              <w:t>1小时均值：苯、甲苯、二甲苯、氯化氢、硫化氢、氨、非甲烷总烃。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18" w:type="pct"/>
            <w:vAlign w:val="center"/>
          </w:tcPr>
          <w:p>
            <w:pPr>
              <w:pStyle w:val="28"/>
              <w:bidi w:val="0"/>
              <w:rPr>
                <w:rFonts w:hint="default"/>
              </w:rPr>
            </w:pPr>
            <w:r>
              <w:rPr>
                <w:rFonts w:hint="default"/>
                <w:lang w:val="en-US" w:eastAsia="zh-CN"/>
              </w:rPr>
              <w:t>A</w:t>
            </w:r>
            <w:r>
              <w:rPr>
                <w:rFonts w:hint="default"/>
              </w:rPr>
              <w:t>2</w:t>
            </w:r>
          </w:p>
        </w:tc>
        <w:tc>
          <w:tcPr>
            <w:tcW w:w="697" w:type="pct"/>
            <w:vAlign w:val="center"/>
          </w:tcPr>
          <w:p>
            <w:pPr>
              <w:pStyle w:val="28"/>
              <w:bidi w:val="0"/>
              <w:rPr>
                <w:rFonts w:hint="default"/>
                <w:lang w:val="en-US" w:eastAsia="zh-CN"/>
              </w:rPr>
            </w:pPr>
            <w:r>
              <w:rPr>
                <w:rFonts w:hint="default"/>
                <w:lang w:val="en-US" w:eastAsia="zh-CN"/>
              </w:rPr>
              <w:t>规划园区内</w:t>
            </w:r>
          </w:p>
        </w:tc>
        <w:tc>
          <w:tcPr>
            <w:tcW w:w="3883" w:type="pct"/>
            <w:vAlign w:val="center"/>
          </w:tcPr>
          <w:p>
            <w:pPr>
              <w:pStyle w:val="28"/>
              <w:bidi w:val="0"/>
              <w:jc w:val="both"/>
              <w:rPr>
                <w:rFonts w:hint="default"/>
                <w:lang w:val="en-US" w:eastAsia="zh-CN"/>
              </w:rPr>
            </w:pPr>
            <w:r>
              <w:rPr>
                <w:rFonts w:hint="default"/>
                <w:lang w:val="en-US" w:eastAsia="zh-CN"/>
              </w:rPr>
              <w:t>24小时均值：苯胺、氟化物、汞、硫酸；</w:t>
            </w:r>
          </w:p>
          <w:p>
            <w:pPr>
              <w:pStyle w:val="28"/>
              <w:bidi w:val="0"/>
              <w:jc w:val="both"/>
              <w:rPr>
                <w:rFonts w:hint="default"/>
                <w:lang w:val="en-US" w:eastAsia="zh-CN"/>
              </w:rPr>
            </w:pPr>
            <w:r>
              <w:rPr>
                <w:rFonts w:hint="default"/>
                <w:lang w:val="en-US" w:eastAsia="zh-CN"/>
              </w:rPr>
              <w:t>8小时均值：TVOC；</w:t>
            </w:r>
          </w:p>
          <w:p>
            <w:pPr>
              <w:pStyle w:val="28"/>
              <w:bidi w:val="0"/>
              <w:jc w:val="both"/>
              <w:rPr>
                <w:rFonts w:hint="default"/>
              </w:rPr>
            </w:pPr>
            <w:r>
              <w:rPr>
                <w:rFonts w:hint="default"/>
                <w:lang w:val="en-US" w:eastAsia="zh-CN"/>
              </w:rPr>
              <w:t>1小时均值：苯、甲苯、二甲苯、氯化氢、硫化氢、氨、非甲烷总烃。</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rFonts w:hint="eastAsia"/>
          <w:lang w:val="en-US" w:eastAsia="zh-CN"/>
        </w:rPr>
      </w:pPr>
      <w:r>
        <w:rPr>
          <w:color w:val="auto"/>
        </w:rPr>
        <w:t>本次环境空气质量监测结果显示，</w:t>
      </w:r>
      <w:r>
        <w:rPr>
          <w:rFonts w:hint="eastAsia"/>
          <w:color w:val="auto"/>
        </w:rPr>
        <w:t>各测点苯、甲苯、二甲苯、氯化氢、硫化氢、氨、</w:t>
      </w:r>
      <w:r>
        <w:rPr>
          <w:rFonts w:hint="eastAsia"/>
          <w:color w:val="auto"/>
          <w:lang w:val="en-US" w:eastAsia="zh-CN"/>
        </w:rPr>
        <w:t>苯胺、硫酸的小时均值</w:t>
      </w:r>
      <w:r>
        <w:rPr>
          <w:rFonts w:hint="eastAsia"/>
          <w:color w:val="auto"/>
        </w:rPr>
        <w:t>、</w:t>
      </w:r>
      <w:r>
        <w:rPr>
          <w:rFonts w:hint="eastAsia"/>
          <w:color w:val="auto"/>
          <w:lang w:val="en-US" w:eastAsia="zh-CN"/>
        </w:rPr>
        <w:t>苯胺、硫酸的24小时均值以及</w:t>
      </w:r>
      <w:r>
        <w:rPr>
          <w:rFonts w:hint="eastAsia"/>
          <w:color w:val="auto"/>
        </w:rPr>
        <w:t>TVOC8小时浓度均满足《环境影响评价技术导则大气环境》（HJ2.2-2018）附表D.1中浓度限值要求；各测点氟化物、汞</w:t>
      </w:r>
      <w:r>
        <w:rPr>
          <w:rFonts w:hint="eastAsia"/>
          <w:color w:val="auto"/>
          <w:lang w:val="en-US" w:eastAsia="zh-CN"/>
        </w:rPr>
        <w:t>24</w:t>
      </w:r>
      <w:r>
        <w:rPr>
          <w:rFonts w:hint="eastAsia"/>
          <w:color w:val="auto"/>
        </w:rPr>
        <w:t>小时浓度均满足《环境空气质量标准》(GB3095-2012)</w:t>
      </w:r>
      <w:r>
        <w:rPr>
          <w:rFonts w:hint="eastAsia"/>
          <w:color w:val="auto"/>
          <w:lang w:val="en-US" w:eastAsia="zh-CN"/>
        </w:rPr>
        <w:t>附录A二级标准限值</w:t>
      </w:r>
      <w:r>
        <w:rPr>
          <w:rFonts w:hint="eastAsia"/>
          <w:color w:val="auto"/>
        </w:rPr>
        <w:t>要求</w:t>
      </w:r>
      <w:r>
        <w:rPr>
          <w:rFonts w:hint="eastAsia"/>
          <w:color w:val="auto"/>
          <w:lang w:eastAsia="zh-CN"/>
        </w:rPr>
        <w:t>；</w:t>
      </w:r>
      <w:r>
        <w:rPr>
          <w:rFonts w:hint="eastAsia"/>
          <w:color w:val="auto"/>
          <w:lang w:val="en-US" w:eastAsia="zh-CN"/>
        </w:rPr>
        <w:t>各测点非甲烷总烃小时均值均满足</w:t>
      </w:r>
      <w:r>
        <w:rPr>
          <w:rFonts w:hint="eastAsia"/>
        </w:rPr>
        <w:t>《大气污染物综合排放标准详解》</w:t>
      </w:r>
      <w:r>
        <w:rPr>
          <w:rFonts w:hint="eastAsia"/>
          <w:lang w:val="en-US" w:eastAsia="zh-CN"/>
        </w:rPr>
        <w:t>中的相关限值要求。</w:t>
      </w:r>
    </w:p>
    <w:p>
      <w:pPr>
        <w:pStyle w:val="5"/>
        <w:bidi w:val="0"/>
        <w:rPr>
          <w:color w:val="auto"/>
        </w:rPr>
      </w:pPr>
      <w:bookmarkStart w:id="26" w:name="_Toc24467"/>
      <w:r>
        <w:rPr>
          <w:color w:val="auto"/>
        </w:rPr>
        <w:t>地表水环境质量现状调查</w:t>
      </w:r>
      <w:bookmarkEnd w:id="26"/>
    </w:p>
    <w:p>
      <w:pPr>
        <w:ind w:firstLine="482"/>
        <w:rPr>
          <w:b/>
          <w:bCs/>
          <w:color w:val="auto"/>
        </w:rPr>
      </w:pPr>
      <w:r>
        <w:rPr>
          <w:b/>
          <w:bCs/>
          <w:color w:val="auto"/>
        </w:rPr>
        <w:t>（一）区域常规监测结果</w:t>
      </w:r>
    </w:p>
    <w:p>
      <w:pPr>
        <w:ind w:firstLine="480"/>
        <w:rPr>
          <w:rFonts w:hint="default" w:ascii="Times New Roman" w:hAnsi="Times New Roman" w:cs="Times New Roman"/>
          <w:color w:val="auto"/>
        </w:rPr>
      </w:pPr>
      <w:r>
        <w:rPr>
          <w:rFonts w:hint="default" w:ascii="Times New Roman" w:hAnsi="Times New Roman" w:cs="Times New Roman"/>
          <w:color w:val="auto"/>
          <w:lang w:val="en-US" w:eastAsia="zh-CN"/>
        </w:rPr>
        <w:t>滨江工业园</w:t>
      </w:r>
      <w:r>
        <w:rPr>
          <w:rFonts w:hint="default" w:ascii="Times New Roman" w:hAnsi="Times New Roman" w:cs="Times New Roman"/>
          <w:color w:val="auto"/>
        </w:rPr>
        <w:t>周边水体有长江（黄石段）、</w:t>
      </w:r>
      <w:r>
        <w:rPr>
          <w:rFonts w:hint="default" w:ascii="Times New Roman" w:hAnsi="Times New Roman" w:cs="Times New Roman"/>
          <w:color w:val="auto"/>
          <w:lang w:val="en-US" w:eastAsia="zh-CN"/>
        </w:rPr>
        <w:t>富河、网湖和朱婆湖</w:t>
      </w:r>
      <w:r>
        <w:rPr>
          <w:rFonts w:hint="default" w:ascii="Times New Roman" w:hAnsi="Times New Roman" w:cs="Times New Roman"/>
          <w:color w:val="auto"/>
        </w:rPr>
        <w:t>等。</w:t>
      </w:r>
    </w:p>
    <w:p>
      <w:pPr>
        <w:ind w:firstLine="480"/>
        <w:rPr>
          <w:rFonts w:hint="default" w:ascii="Times New Roman" w:hAnsi="Times New Roman" w:cs="Times New Roman"/>
          <w:color w:val="auto"/>
          <w:lang w:eastAsia="zh-CN"/>
        </w:rPr>
      </w:pPr>
      <w:r>
        <w:rPr>
          <w:rFonts w:hint="default" w:ascii="Times New Roman" w:hAnsi="Times New Roman" w:cs="Times New Roman"/>
          <w:color w:val="auto"/>
        </w:rPr>
        <w:t>根据2021年黄石市生态环境状况公报，长江（黄石段）整体水质状况优，能达到地表水环境质量标准的要求</w:t>
      </w:r>
      <w:r>
        <w:rPr>
          <w:rFonts w:hint="default" w:ascii="Times New Roman" w:hAnsi="Times New Roman" w:cs="Times New Roman"/>
          <w:color w:val="auto"/>
          <w:lang w:eastAsia="zh-CN"/>
        </w:rPr>
        <w:t>。</w:t>
      </w:r>
    </w:p>
    <w:p>
      <w:pPr>
        <w:ind w:firstLine="480"/>
        <w:rPr>
          <w:rFonts w:hint="default" w:ascii="Times New Roman" w:hAnsi="Times New Roman" w:cs="Times New Roman"/>
          <w:color w:val="auto"/>
          <w:lang w:eastAsia="zh-CN"/>
        </w:rPr>
      </w:pPr>
      <w:r>
        <w:rPr>
          <w:rFonts w:hint="default" w:ascii="Times New Roman" w:hAnsi="Times New Roman" w:cs="Times New Roman"/>
          <w:color w:val="000000"/>
          <w:kern w:val="0"/>
          <w:sz w:val="24"/>
          <w:szCs w:val="24"/>
          <w:lang w:val="en-US" w:eastAsia="zh-CN" w:bidi="ar"/>
        </w:rPr>
        <w:t>2021年</w:t>
      </w:r>
      <w:r>
        <w:rPr>
          <w:rFonts w:hint="default" w:ascii="Times New Roman" w:hAnsi="Times New Roman" w:eastAsia="宋体" w:cs="Times New Roman"/>
          <w:color w:val="000000"/>
          <w:kern w:val="0"/>
          <w:sz w:val="24"/>
          <w:szCs w:val="24"/>
          <w:lang w:val="en-US" w:eastAsia="zh-CN" w:bidi="ar"/>
        </w:rPr>
        <w:t>黄石市环境状况公报</w:t>
      </w:r>
      <w:r>
        <w:rPr>
          <w:rFonts w:hint="default" w:ascii="Times New Roman" w:hAnsi="Times New Roman" w:cs="Times New Roman"/>
          <w:color w:val="000000"/>
          <w:kern w:val="0"/>
          <w:sz w:val="24"/>
          <w:szCs w:val="24"/>
          <w:lang w:val="en-US" w:eastAsia="zh-CN" w:bidi="ar"/>
        </w:rPr>
        <w:t>数据显示，</w:t>
      </w:r>
      <w:r>
        <w:rPr>
          <w:rFonts w:hint="default" w:ascii="Times New Roman" w:hAnsi="Times New Roman" w:cs="Times New Roman"/>
          <w:color w:val="auto"/>
          <w:lang w:val="en-US" w:eastAsia="zh-CN"/>
        </w:rPr>
        <w:t>富河</w:t>
      </w:r>
      <w:r>
        <w:rPr>
          <w:rFonts w:hint="default" w:ascii="Times New Roman" w:hAnsi="Times New Roman" w:cs="Times New Roman"/>
          <w:color w:val="auto"/>
          <w:lang w:eastAsia="zh-CN"/>
        </w:rPr>
        <w:t>新富水镇（E114°52'51.81"，N29°41'45.21"）和富池闸（E115°25'51.53"，N29°52'23.51"）两个监测点位水质监测指标均满足Ⅲ类标准要求。</w:t>
      </w:r>
    </w:p>
    <w:p>
      <w:pPr>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根据区域对网湖的常规监测数据，网湖湖心水质2021年监测指标</w:t>
      </w:r>
      <w:r>
        <w:rPr>
          <w:rFonts w:hint="eastAsia" w:ascii="Times New Roman" w:hAnsi="Times New Roman" w:cs="Times New Roman"/>
          <w:color w:val="auto"/>
          <w:lang w:val="en-US" w:eastAsia="zh-CN"/>
        </w:rPr>
        <w:t>无法</w:t>
      </w:r>
      <w:r>
        <w:rPr>
          <w:rFonts w:hint="default" w:ascii="Times New Roman" w:hAnsi="Times New Roman" w:cs="Times New Roman"/>
          <w:color w:val="auto"/>
          <w:lang w:val="en-US" w:eastAsia="zh-CN"/>
        </w:rPr>
        <w:t>满足Ⅲ类标准要求，主要超标项目为总磷，超标原因主要受流域生活污水、养殖及农业面源排放影响，本次评价区域位于网湖下游，网湖不为区域排污受纳水体，区域发展对网湖水环境影响不大。</w:t>
      </w:r>
    </w:p>
    <w:p>
      <w:pPr>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2021年对朱婆湖的常规监测数据显示，区域朱婆湖湖心水质监测指标</w:t>
      </w:r>
      <w:r>
        <w:rPr>
          <w:rFonts w:hint="eastAsia" w:ascii="Times New Roman" w:hAnsi="Times New Roman" w:cs="Times New Roman"/>
          <w:color w:val="auto"/>
          <w:lang w:val="en-US" w:eastAsia="zh-CN"/>
        </w:rPr>
        <w:t>无法</w:t>
      </w:r>
      <w:r>
        <w:rPr>
          <w:rFonts w:hint="default" w:ascii="Times New Roman" w:hAnsi="Times New Roman" w:cs="Times New Roman"/>
          <w:color w:val="auto"/>
          <w:lang w:val="en-US" w:eastAsia="zh-CN"/>
        </w:rPr>
        <w:t>满足Ⅲ类标准要求，</w:t>
      </w:r>
      <w:r>
        <w:rPr>
          <w:rFonts w:hint="eastAsia" w:ascii="Times New Roman" w:hAnsi="Times New Roman" w:cs="Times New Roman"/>
          <w:color w:val="auto"/>
          <w:lang w:val="en-US" w:eastAsia="zh-CN"/>
        </w:rPr>
        <w:t>超标因子为总磷，</w:t>
      </w:r>
      <w:r>
        <w:rPr>
          <w:rFonts w:hint="default" w:ascii="Times New Roman" w:hAnsi="Times New Roman" w:cs="Times New Roman"/>
          <w:color w:val="auto"/>
          <w:lang w:val="en-US" w:eastAsia="zh-CN"/>
        </w:rPr>
        <w:t>超标原因主要受流域生活污水、养殖及农业面源排放影响</w:t>
      </w:r>
      <w:r>
        <w:rPr>
          <w:rFonts w:hint="eastAsia" w:ascii="Times New Roman" w:hAnsi="Times New Roman" w:cs="Times New Roman"/>
          <w:color w:val="auto"/>
          <w:lang w:val="en-US" w:eastAsia="zh-CN"/>
        </w:rPr>
        <w:t>。</w:t>
      </w:r>
    </w:p>
    <w:p>
      <w:pPr>
        <w:ind w:firstLine="482"/>
        <w:rPr>
          <w:b/>
          <w:bCs/>
          <w:color w:val="auto"/>
        </w:rPr>
      </w:pPr>
      <w:r>
        <w:rPr>
          <w:b/>
          <w:bCs/>
          <w:color w:val="auto"/>
        </w:rPr>
        <w:t>（二）区域补充监测结果</w:t>
      </w:r>
    </w:p>
    <w:p>
      <w:pPr>
        <w:ind w:firstLine="480"/>
        <w:rPr>
          <w:color w:val="auto"/>
        </w:rPr>
      </w:pPr>
      <w:r>
        <w:rPr>
          <w:rFonts w:hint="eastAsia"/>
          <w:color w:val="auto"/>
        </w:rPr>
        <w:t>本次评价共设置</w:t>
      </w:r>
      <w:r>
        <w:rPr>
          <w:rFonts w:hint="eastAsia"/>
          <w:color w:val="auto"/>
          <w:lang w:val="en-US" w:eastAsia="zh-CN"/>
        </w:rPr>
        <w:t>3</w:t>
      </w:r>
      <w:r>
        <w:rPr>
          <w:rFonts w:hint="eastAsia"/>
          <w:color w:val="auto"/>
        </w:rPr>
        <w:t>个补充监测点位，具体点位设置情况见下表。</w:t>
      </w:r>
    </w:p>
    <w:p>
      <w:pPr>
        <w:pStyle w:val="37"/>
        <w:rPr>
          <w:rFonts w:hint="default"/>
          <w:color w:val="auto"/>
        </w:rPr>
      </w:pPr>
      <w:r>
        <w:rPr>
          <w:rFonts w:hint="default"/>
          <w:color w:val="auto"/>
        </w:rPr>
        <w:t>表</w:t>
      </w:r>
      <w:r>
        <w:rPr>
          <w:color w:val="auto"/>
        </w:rPr>
        <w:t>3.1</w:t>
      </w:r>
      <w:r>
        <w:rPr>
          <w:rFonts w:hint="eastAsia"/>
          <w:color w:val="auto"/>
          <w:lang w:val="en-US" w:eastAsia="zh-CN"/>
        </w:rPr>
        <w:t>.2</w:t>
      </w:r>
      <w:r>
        <w:rPr>
          <w:rFonts w:hint="default"/>
          <w:color w:val="auto"/>
        </w:rPr>
        <w:t>-</w:t>
      </w:r>
      <w:r>
        <w:rPr>
          <w:rFonts w:hint="eastAsia"/>
          <w:color w:val="auto"/>
          <w:lang w:val="en-US" w:eastAsia="zh-CN"/>
        </w:rPr>
        <w:t>1</w:t>
      </w:r>
      <w:r>
        <w:rPr>
          <w:rFonts w:hint="default"/>
          <w:color w:val="auto"/>
        </w:rPr>
        <w:t xml:space="preserve"> 地表水环境质量补充监测点位设置情况</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513"/>
        <w:gridCol w:w="3606"/>
        <w:gridCol w:w="4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7" w:type="pct"/>
            <w:tcBorders>
              <w:tl2br w:val="nil"/>
              <w:tr2bl w:val="nil"/>
            </w:tcBorders>
            <w:vAlign w:val="center"/>
          </w:tcPr>
          <w:p>
            <w:pPr>
              <w:pStyle w:val="28"/>
              <w:bidi w:val="0"/>
              <w:rPr>
                <w:rFonts w:hint="default"/>
                <w:lang w:val="en-US" w:eastAsia="zh-CN"/>
              </w:rPr>
            </w:pPr>
            <w:r>
              <w:rPr>
                <w:rFonts w:hint="default"/>
                <w:lang w:val="en-US" w:eastAsia="zh-CN"/>
              </w:rPr>
              <w:t>编号</w:t>
            </w:r>
          </w:p>
        </w:tc>
        <w:tc>
          <w:tcPr>
            <w:tcW w:w="2156" w:type="pct"/>
            <w:tcBorders>
              <w:tl2br w:val="nil"/>
              <w:tr2bl w:val="nil"/>
            </w:tcBorders>
            <w:vAlign w:val="center"/>
          </w:tcPr>
          <w:p>
            <w:pPr>
              <w:pStyle w:val="28"/>
              <w:bidi w:val="0"/>
              <w:rPr>
                <w:rFonts w:hint="default"/>
                <w:lang w:val="en-US" w:eastAsia="zh-CN"/>
              </w:rPr>
            </w:pPr>
            <w:r>
              <w:rPr>
                <w:rFonts w:hint="default"/>
                <w:lang w:val="en-US" w:eastAsia="zh-CN"/>
              </w:rPr>
              <w:t>监测断面位置</w:t>
            </w:r>
          </w:p>
        </w:tc>
        <w:tc>
          <w:tcPr>
            <w:tcW w:w="2535" w:type="pct"/>
            <w:tcBorders>
              <w:tl2br w:val="nil"/>
              <w:tr2bl w:val="nil"/>
            </w:tcBorders>
            <w:vAlign w:val="center"/>
          </w:tcPr>
          <w:p>
            <w:pPr>
              <w:pStyle w:val="28"/>
              <w:bidi w:val="0"/>
              <w:rPr>
                <w:rFonts w:hint="default"/>
                <w:lang w:val="en-US" w:eastAsia="zh-CN"/>
              </w:rPr>
            </w:pPr>
            <w:r>
              <w:rPr>
                <w:rFonts w:hint="default"/>
                <w:lang w:val="en-US" w:eastAsia="zh-CN"/>
              </w:rPr>
              <w:t>监测项目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7" w:type="pct"/>
            <w:tcBorders>
              <w:tl2br w:val="nil"/>
              <w:tr2bl w:val="nil"/>
            </w:tcBorders>
            <w:vAlign w:val="center"/>
          </w:tcPr>
          <w:p>
            <w:pPr>
              <w:pStyle w:val="28"/>
              <w:bidi w:val="0"/>
              <w:rPr>
                <w:rFonts w:hint="default"/>
                <w:lang w:val="en-US" w:eastAsia="zh-CN"/>
              </w:rPr>
            </w:pPr>
            <w:r>
              <w:rPr>
                <w:rFonts w:hint="default"/>
                <w:lang w:val="en-US" w:eastAsia="zh-CN"/>
              </w:rPr>
              <w:t>W1</w:t>
            </w:r>
          </w:p>
        </w:tc>
        <w:tc>
          <w:tcPr>
            <w:tcW w:w="2156" w:type="pct"/>
            <w:tcBorders>
              <w:tl2br w:val="nil"/>
              <w:tr2bl w:val="nil"/>
            </w:tcBorders>
            <w:vAlign w:val="center"/>
          </w:tcPr>
          <w:p>
            <w:pPr>
              <w:pStyle w:val="28"/>
              <w:bidi w:val="0"/>
              <w:rPr>
                <w:rFonts w:hint="default"/>
                <w:lang w:val="en-US" w:eastAsia="zh-CN"/>
              </w:rPr>
            </w:pPr>
            <w:r>
              <w:rPr>
                <w:rFonts w:hint="default"/>
                <w:lang w:val="en-US" w:eastAsia="zh-CN"/>
              </w:rPr>
              <w:t>园区污水处理厂排污口上游500m断面</w:t>
            </w:r>
          </w:p>
        </w:tc>
        <w:tc>
          <w:tcPr>
            <w:tcW w:w="2535" w:type="pct"/>
            <w:vMerge w:val="restart"/>
            <w:tcBorders>
              <w:tl2br w:val="nil"/>
              <w:tr2bl w:val="nil"/>
            </w:tcBorders>
            <w:vAlign w:val="center"/>
          </w:tcPr>
          <w:p>
            <w:pPr>
              <w:pStyle w:val="28"/>
              <w:bidi w:val="0"/>
              <w:rPr>
                <w:rFonts w:hint="default"/>
                <w:lang w:val="en-US" w:eastAsia="zh-CN"/>
              </w:rPr>
            </w:pPr>
            <w:r>
              <w:rPr>
                <w:rFonts w:hint="default"/>
                <w:lang w:val="en-US" w:eastAsia="zh-CN"/>
              </w:rPr>
              <w:t>pH、水温、DO、化学需氧量、五日生化需氧量、氨氮、溶解性总固体、总硬度、六价铬、砷、汞、铅、镉、铁、锰、镍、铜、锌、总氰化物、氟化物、硝酸盐、亚硝酸盐、硫酸盐、总大肠菌群、硫化物、总磷（以P计）、石油类、挥发酚、硝基苯类、苯胺类、二氯甲烷。</w:t>
            </w:r>
          </w:p>
          <w:p>
            <w:pPr>
              <w:pStyle w:val="28"/>
              <w:bidi w:val="0"/>
              <w:rPr>
                <w:rFonts w:hint="default"/>
                <w:lang w:val="en-US" w:eastAsia="zh-CN"/>
              </w:rPr>
            </w:pPr>
            <w:r>
              <w:rPr>
                <w:rFonts w:hint="default"/>
                <w:lang w:val="en-US" w:eastAsia="zh-CN"/>
              </w:rPr>
              <w:t>连续监测3天，其中DO每间隔6h监测一次。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7" w:type="pct"/>
            <w:tcBorders>
              <w:tl2br w:val="nil"/>
              <w:tr2bl w:val="nil"/>
            </w:tcBorders>
            <w:vAlign w:val="center"/>
          </w:tcPr>
          <w:p>
            <w:pPr>
              <w:pStyle w:val="28"/>
              <w:bidi w:val="0"/>
              <w:rPr>
                <w:rFonts w:hint="default"/>
                <w:lang w:val="en-US" w:eastAsia="zh-CN"/>
              </w:rPr>
            </w:pPr>
            <w:r>
              <w:rPr>
                <w:rFonts w:hint="default"/>
                <w:lang w:val="en-US" w:eastAsia="zh-CN"/>
              </w:rPr>
              <w:t>W2</w:t>
            </w:r>
          </w:p>
        </w:tc>
        <w:tc>
          <w:tcPr>
            <w:tcW w:w="2156" w:type="pct"/>
            <w:tcBorders>
              <w:tl2br w:val="nil"/>
              <w:tr2bl w:val="nil"/>
            </w:tcBorders>
            <w:vAlign w:val="center"/>
          </w:tcPr>
          <w:p>
            <w:pPr>
              <w:pStyle w:val="28"/>
              <w:bidi w:val="0"/>
              <w:rPr>
                <w:rFonts w:hint="default"/>
                <w:lang w:val="en-US" w:eastAsia="zh-CN"/>
              </w:rPr>
            </w:pPr>
            <w:r>
              <w:rPr>
                <w:rFonts w:hint="default"/>
                <w:lang w:val="en-US" w:eastAsia="zh-CN"/>
              </w:rPr>
              <w:t>园区污水处理厂排污口下游500m断面</w:t>
            </w:r>
          </w:p>
        </w:tc>
        <w:tc>
          <w:tcPr>
            <w:tcW w:w="2535" w:type="pct"/>
            <w:vMerge w:val="continue"/>
            <w:tcBorders>
              <w:tl2br w:val="nil"/>
              <w:tr2bl w:val="nil"/>
            </w:tcBorders>
            <w:vAlign w:val="center"/>
          </w:tcPr>
          <w:p>
            <w:pPr>
              <w:pStyle w:val="28"/>
              <w:bidi w:val="0"/>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7" w:type="pct"/>
            <w:tcBorders>
              <w:tl2br w:val="nil"/>
              <w:tr2bl w:val="nil"/>
            </w:tcBorders>
            <w:vAlign w:val="center"/>
          </w:tcPr>
          <w:p>
            <w:pPr>
              <w:pStyle w:val="28"/>
              <w:bidi w:val="0"/>
              <w:rPr>
                <w:rFonts w:hint="default"/>
                <w:lang w:val="en-US" w:eastAsia="zh-CN"/>
              </w:rPr>
            </w:pPr>
            <w:r>
              <w:rPr>
                <w:rFonts w:hint="default"/>
                <w:lang w:val="en-US" w:eastAsia="zh-CN"/>
              </w:rPr>
              <w:t>W3</w:t>
            </w:r>
          </w:p>
        </w:tc>
        <w:tc>
          <w:tcPr>
            <w:tcW w:w="2156" w:type="pct"/>
            <w:tcBorders>
              <w:tl2br w:val="nil"/>
              <w:tr2bl w:val="nil"/>
            </w:tcBorders>
            <w:vAlign w:val="center"/>
          </w:tcPr>
          <w:p>
            <w:pPr>
              <w:pStyle w:val="28"/>
              <w:bidi w:val="0"/>
              <w:rPr>
                <w:rFonts w:hint="default"/>
                <w:lang w:val="en-US" w:eastAsia="zh-CN"/>
              </w:rPr>
            </w:pPr>
            <w:r>
              <w:rPr>
                <w:rFonts w:hint="default"/>
                <w:lang w:val="en-US" w:eastAsia="zh-CN"/>
              </w:rPr>
              <w:t>园区污水处理厂下游2000m断面</w:t>
            </w:r>
          </w:p>
        </w:tc>
        <w:tc>
          <w:tcPr>
            <w:tcW w:w="2535" w:type="pct"/>
            <w:vMerge w:val="continue"/>
            <w:tcBorders>
              <w:tl2br w:val="nil"/>
              <w:tr2bl w:val="nil"/>
            </w:tcBorders>
            <w:vAlign w:val="center"/>
          </w:tcPr>
          <w:p>
            <w:pPr>
              <w:pStyle w:val="28"/>
              <w:bidi w:val="0"/>
              <w:rPr>
                <w:rFonts w:hint="default"/>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color w:val="auto"/>
        </w:rPr>
      </w:pPr>
      <w:r>
        <w:rPr>
          <w:color w:val="auto"/>
        </w:rPr>
        <w:t>监测结果显示，</w:t>
      </w:r>
      <w:r>
        <w:rPr>
          <w:rFonts w:hint="eastAsia"/>
          <w:color w:val="auto"/>
          <w:lang w:val="en-US" w:eastAsia="zh-CN"/>
        </w:rPr>
        <w:t>各</w:t>
      </w:r>
      <w:r>
        <w:rPr>
          <w:rFonts w:hint="eastAsia"/>
          <w:color w:val="auto"/>
        </w:rPr>
        <w:t>监测断面的地表水污染物浓度均满足水体要求的相应标准。</w:t>
      </w:r>
    </w:p>
    <w:p>
      <w:pPr>
        <w:pStyle w:val="5"/>
        <w:bidi w:val="0"/>
        <w:rPr>
          <w:color w:val="auto"/>
        </w:rPr>
      </w:pPr>
      <w:bookmarkStart w:id="27" w:name="_Toc9119"/>
      <w:r>
        <w:rPr>
          <w:color w:val="auto"/>
        </w:rPr>
        <w:t>声环境质量现状调查</w:t>
      </w:r>
      <w:bookmarkEnd w:id="27"/>
    </w:p>
    <w:p>
      <w:pPr>
        <w:ind w:firstLine="480"/>
        <w:rPr>
          <w:rFonts w:hint="eastAsia"/>
          <w:color w:val="auto"/>
        </w:rPr>
      </w:pPr>
      <w:r>
        <w:rPr>
          <w:color w:val="auto"/>
        </w:rPr>
        <w:t>根据区域环境现状特点，</w:t>
      </w:r>
      <w:r>
        <w:rPr>
          <w:rFonts w:hint="eastAsia"/>
          <w:color w:val="auto"/>
        </w:rPr>
        <w:t>共设置</w:t>
      </w:r>
      <w:r>
        <w:rPr>
          <w:rFonts w:hint="eastAsia"/>
          <w:color w:val="auto"/>
          <w:lang w:val="en-US" w:eastAsia="zh-CN"/>
        </w:rPr>
        <w:t>7</w:t>
      </w:r>
      <w:r>
        <w:rPr>
          <w:rFonts w:hint="eastAsia"/>
          <w:color w:val="auto"/>
        </w:rPr>
        <w:t>个噪声监测点位，监测时间为2022年9月2</w:t>
      </w:r>
      <w:r>
        <w:rPr>
          <w:rFonts w:hint="eastAsia"/>
          <w:color w:val="auto"/>
          <w:lang w:val="en-US" w:eastAsia="zh-CN"/>
        </w:rPr>
        <w:t>9</w:t>
      </w:r>
      <w:r>
        <w:rPr>
          <w:rFonts w:hint="eastAsia"/>
          <w:color w:val="auto"/>
        </w:rPr>
        <w:t>日、9月2</w:t>
      </w:r>
      <w:r>
        <w:rPr>
          <w:rFonts w:hint="eastAsia"/>
          <w:color w:val="auto"/>
          <w:lang w:val="en-US" w:eastAsia="zh-CN"/>
        </w:rPr>
        <w:t>0</w:t>
      </w:r>
      <w:r>
        <w:rPr>
          <w:rFonts w:hint="eastAsia"/>
          <w:color w:val="auto"/>
        </w:rPr>
        <w:t>日，分别监测区域昼、夜间噪声水平。</w:t>
      </w:r>
      <w:r>
        <w:rPr>
          <w:color w:val="auto"/>
        </w:rPr>
        <w:t>昼间6:00~22:00监测1次；夜间22:00~6:00均值监测1次。监测结果如下表所示，本次评价范围内各地区噪声水平均未超过《声环境质量标准》要求的相关标准限值。</w:t>
      </w:r>
    </w:p>
    <w:p>
      <w:pPr>
        <w:pStyle w:val="37"/>
        <w:rPr>
          <w:rFonts w:hint="eastAsia"/>
          <w:color w:val="auto"/>
          <w:lang w:val="en-US" w:eastAsia="zh-CN"/>
        </w:rPr>
      </w:pPr>
      <w:r>
        <w:rPr>
          <w:rFonts w:hint="default"/>
          <w:color w:val="auto"/>
        </w:rPr>
        <w:t>表</w:t>
      </w:r>
      <w:r>
        <w:rPr>
          <w:color w:val="auto"/>
        </w:rPr>
        <w:t>3.1</w:t>
      </w:r>
      <w:r>
        <w:rPr>
          <w:rFonts w:hint="eastAsia"/>
          <w:color w:val="auto"/>
          <w:lang w:val="en-US" w:eastAsia="zh-CN"/>
        </w:rPr>
        <w:t>.3</w:t>
      </w:r>
      <w:r>
        <w:rPr>
          <w:rFonts w:hint="default"/>
          <w:color w:val="auto"/>
        </w:rPr>
        <w:t>-</w:t>
      </w:r>
      <w:r>
        <w:rPr>
          <w:rFonts w:hint="eastAsia"/>
          <w:color w:val="auto"/>
          <w:lang w:val="en-US" w:eastAsia="zh-CN"/>
        </w:rPr>
        <w:t>1</w:t>
      </w:r>
      <w:r>
        <w:rPr>
          <w:rFonts w:hint="default"/>
          <w:color w:val="auto"/>
        </w:rPr>
        <w:t xml:space="preserve"> 声环境质量监测点位</w:t>
      </w:r>
      <w:r>
        <w:rPr>
          <w:rFonts w:hint="eastAsia"/>
          <w:color w:val="auto"/>
          <w:lang w:val="en-US" w:eastAsia="zh-CN"/>
        </w:rPr>
        <w:t>监测结果一览表</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3238"/>
        <w:gridCol w:w="1754"/>
        <w:gridCol w:w="1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tcBorders>
              <w:tl2br w:val="nil"/>
              <w:tr2bl w:val="nil"/>
            </w:tcBorders>
            <w:noWrap w:val="0"/>
            <w:vAlign w:val="center"/>
          </w:tcPr>
          <w:p>
            <w:pPr>
              <w:pStyle w:val="28"/>
              <w:bidi w:val="0"/>
              <w:rPr>
                <w:rFonts w:hint="eastAsia"/>
                <w:lang w:val="en-US" w:eastAsia="zh-CN"/>
              </w:rPr>
            </w:pPr>
            <w:r>
              <w:rPr>
                <w:rFonts w:hint="eastAsia"/>
                <w:lang w:val="en-US" w:eastAsia="zh-CN"/>
              </w:rPr>
              <w:t>监测时间</w:t>
            </w: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监测点位</w:t>
            </w:r>
          </w:p>
        </w:tc>
        <w:tc>
          <w:tcPr>
            <w:tcW w:w="1029" w:type="pct"/>
            <w:tcBorders>
              <w:tl2br w:val="nil"/>
              <w:tr2bl w:val="nil"/>
            </w:tcBorders>
            <w:noWrap w:val="0"/>
            <w:vAlign w:val="center"/>
          </w:tcPr>
          <w:p>
            <w:pPr>
              <w:pStyle w:val="28"/>
              <w:bidi w:val="0"/>
              <w:rPr>
                <w:rFonts w:hint="eastAsia"/>
                <w:lang w:val="en-US" w:eastAsia="zh-CN"/>
              </w:rPr>
            </w:pPr>
            <w:r>
              <w:rPr>
                <w:rFonts w:hint="eastAsia"/>
                <w:lang w:val="en-US" w:eastAsia="zh-CN"/>
              </w:rPr>
              <w:t>昼间测量值</w:t>
            </w:r>
          </w:p>
        </w:tc>
        <w:tc>
          <w:tcPr>
            <w:tcW w:w="1018" w:type="pct"/>
            <w:tcBorders>
              <w:tl2br w:val="nil"/>
              <w:tr2bl w:val="nil"/>
            </w:tcBorders>
            <w:noWrap w:val="0"/>
            <w:vAlign w:val="center"/>
          </w:tcPr>
          <w:p>
            <w:pPr>
              <w:pStyle w:val="28"/>
              <w:bidi w:val="0"/>
              <w:rPr>
                <w:rFonts w:hint="eastAsia"/>
                <w:lang w:val="en-US" w:eastAsia="zh-CN"/>
              </w:rPr>
            </w:pPr>
            <w:r>
              <w:rPr>
                <w:rFonts w:hint="eastAsia"/>
                <w:lang w:val="en-US" w:eastAsia="zh-CN"/>
              </w:rPr>
              <w:t>夜间测量值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restart"/>
            <w:tcBorders>
              <w:tl2br w:val="nil"/>
              <w:tr2bl w:val="nil"/>
            </w:tcBorders>
            <w:noWrap w:val="0"/>
            <w:vAlign w:val="center"/>
          </w:tcPr>
          <w:p>
            <w:pPr>
              <w:pStyle w:val="28"/>
              <w:bidi w:val="0"/>
              <w:rPr>
                <w:rFonts w:hint="eastAsia"/>
                <w:lang w:val="en-US" w:eastAsia="zh-CN"/>
              </w:rPr>
            </w:pPr>
            <w:r>
              <w:rPr>
                <w:rFonts w:hint="eastAsia"/>
                <w:lang w:val="en-US" w:eastAsia="zh-CN"/>
              </w:rPr>
              <w:t>2022年9月29日</w:t>
            </w: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石家畈</w:t>
            </w:r>
            <w:r>
              <w:rPr>
                <w:rFonts w:hint="default"/>
                <w:lang w:val="en-US" w:eastAsia="zh-CN"/>
              </w:rPr>
              <w:t>（N1）</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55.5</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园区交通干线交汇点</w:t>
            </w:r>
            <w:r>
              <w:rPr>
                <w:rFonts w:hint="default"/>
                <w:lang w:val="en-US" w:eastAsia="zh-CN"/>
              </w:rPr>
              <w:t>（N2）</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60.3</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园区北侧敏感点</w:t>
            </w:r>
            <w:r>
              <w:rPr>
                <w:rFonts w:hint="default"/>
                <w:lang w:val="en-US" w:eastAsia="zh-CN"/>
              </w:rPr>
              <w:t>（N3）</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55.6</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富驰医药化工北厂界外1m</w:t>
            </w:r>
            <w:r>
              <w:rPr>
                <w:rFonts w:hint="default"/>
                <w:lang w:val="en-US" w:eastAsia="zh-CN"/>
              </w:rPr>
              <w:t>（N4）</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59.2</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武汉武药南厂界外1m</w:t>
            </w:r>
            <w:r>
              <w:rPr>
                <w:rFonts w:hint="default"/>
                <w:lang w:val="en-US" w:eastAsia="zh-CN"/>
              </w:rPr>
              <w:t>（N5）</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58.7</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eastAsia"/>
                <w:lang w:val="en-US" w:eastAsia="zh-CN"/>
              </w:rPr>
            </w:pPr>
            <w:r>
              <w:rPr>
                <w:rFonts w:hint="eastAsia"/>
                <w:lang w:val="en-US" w:eastAsia="zh-CN"/>
              </w:rPr>
              <w:t>远大生科北厂界外1m</w:t>
            </w:r>
            <w:r>
              <w:rPr>
                <w:rFonts w:hint="default"/>
                <w:lang w:val="en-US" w:eastAsia="zh-CN"/>
              </w:rPr>
              <w:t>（N6）</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57.2</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兴达矿业与利福达之间</w:t>
            </w:r>
            <w:r>
              <w:rPr>
                <w:rFonts w:hint="default"/>
                <w:lang w:val="en-US" w:eastAsia="zh-CN"/>
              </w:rPr>
              <w:t>（N</w:t>
            </w:r>
            <w:r>
              <w:rPr>
                <w:rFonts w:hint="eastAsia"/>
                <w:lang w:val="en-US" w:eastAsia="zh-CN"/>
              </w:rPr>
              <w:t>7</w:t>
            </w:r>
            <w:r>
              <w:rPr>
                <w:rFonts w:hint="default"/>
                <w:lang w:val="en-US" w:eastAsia="zh-CN"/>
              </w:rPr>
              <w:t>）</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57.1</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restart"/>
            <w:tcBorders>
              <w:tl2br w:val="nil"/>
              <w:tr2bl w:val="nil"/>
            </w:tcBorders>
            <w:noWrap w:val="0"/>
            <w:vAlign w:val="center"/>
          </w:tcPr>
          <w:p>
            <w:pPr>
              <w:pStyle w:val="28"/>
              <w:bidi w:val="0"/>
              <w:rPr>
                <w:rFonts w:hint="eastAsia"/>
                <w:lang w:val="en-US" w:eastAsia="zh-CN"/>
              </w:rPr>
            </w:pPr>
            <w:r>
              <w:rPr>
                <w:rFonts w:hint="eastAsia"/>
                <w:lang w:val="en-US" w:eastAsia="zh-CN"/>
              </w:rPr>
              <w:t>2022年9月30日</w:t>
            </w: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石家畈</w:t>
            </w:r>
            <w:r>
              <w:rPr>
                <w:rFonts w:hint="default"/>
                <w:lang w:val="en-US" w:eastAsia="zh-CN"/>
              </w:rPr>
              <w:t>（N1）</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56.5</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园区交通干线交汇点</w:t>
            </w:r>
            <w:r>
              <w:rPr>
                <w:rFonts w:hint="default"/>
                <w:lang w:val="en-US" w:eastAsia="zh-CN"/>
              </w:rPr>
              <w:t>（N2）</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60.5</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园区北侧敏感点</w:t>
            </w:r>
            <w:r>
              <w:rPr>
                <w:rFonts w:hint="default"/>
                <w:lang w:val="en-US" w:eastAsia="zh-CN"/>
              </w:rPr>
              <w:t>（N3）</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55.6</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富驰医药化工北厂界外1m</w:t>
            </w:r>
            <w:r>
              <w:rPr>
                <w:rFonts w:hint="default"/>
                <w:lang w:val="en-US" w:eastAsia="zh-CN"/>
              </w:rPr>
              <w:t>（N4）</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55.9</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武汉武药南厂界外1m</w:t>
            </w:r>
            <w:r>
              <w:rPr>
                <w:rFonts w:hint="default"/>
                <w:lang w:val="en-US" w:eastAsia="zh-CN"/>
              </w:rPr>
              <w:t>（N5）</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57.0</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远大生科北厂界外1m</w:t>
            </w:r>
            <w:r>
              <w:rPr>
                <w:rFonts w:hint="default"/>
                <w:lang w:val="en-US" w:eastAsia="zh-CN"/>
              </w:rPr>
              <w:t>（N6）</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57.5</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52" w:type="pct"/>
            <w:vMerge w:val="continue"/>
            <w:tcBorders>
              <w:tl2br w:val="nil"/>
              <w:tr2bl w:val="nil"/>
            </w:tcBorders>
            <w:noWrap w:val="0"/>
            <w:vAlign w:val="center"/>
          </w:tcPr>
          <w:p>
            <w:pPr>
              <w:pStyle w:val="28"/>
              <w:bidi w:val="0"/>
              <w:rPr>
                <w:rFonts w:hint="eastAsia"/>
                <w:lang w:val="en-US" w:eastAsia="zh-CN"/>
              </w:rPr>
            </w:pPr>
          </w:p>
        </w:tc>
        <w:tc>
          <w:tcPr>
            <w:tcW w:w="1899" w:type="pct"/>
            <w:tcBorders>
              <w:tl2br w:val="nil"/>
              <w:tr2bl w:val="nil"/>
            </w:tcBorders>
            <w:noWrap w:val="0"/>
            <w:vAlign w:val="center"/>
          </w:tcPr>
          <w:p>
            <w:pPr>
              <w:pStyle w:val="28"/>
              <w:bidi w:val="0"/>
              <w:rPr>
                <w:rFonts w:hint="default"/>
                <w:lang w:val="en-US" w:eastAsia="zh-CN"/>
              </w:rPr>
            </w:pPr>
            <w:r>
              <w:rPr>
                <w:rFonts w:hint="eastAsia"/>
                <w:lang w:val="en-US" w:eastAsia="zh-CN"/>
              </w:rPr>
              <w:t>兴达矿业与利福达之间</w:t>
            </w:r>
            <w:r>
              <w:rPr>
                <w:rFonts w:hint="default"/>
                <w:lang w:val="en-US" w:eastAsia="zh-CN"/>
              </w:rPr>
              <w:t>（N</w:t>
            </w:r>
            <w:r>
              <w:rPr>
                <w:rFonts w:hint="eastAsia"/>
                <w:lang w:val="en-US" w:eastAsia="zh-CN"/>
              </w:rPr>
              <w:t>7</w:t>
            </w:r>
            <w:r>
              <w:rPr>
                <w:rFonts w:hint="default"/>
                <w:lang w:val="en-US" w:eastAsia="zh-CN"/>
              </w:rPr>
              <w:t>）</w:t>
            </w:r>
          </w:p>
        </w:tc>
        <w:tc>
          <w:tcPr>
            <w:tcW w:w="1029" w:type="pct"/>
            <w:tcBorders>
              <w:tl2br w:val="nil"/>
              <w:tr2bl w:val="nil"/>
            </w:tcBorders>
            <w:noWrap w:val="0"/>
            <w:vAlign w:val="center"/>
          </w:tcPr>
          <w:p>
            <w:pPr>
              <w:pStyle w:val="28"/>
              <w:bidi w:val="0"/>
              <w:rPr>
                <w:rFonts w:hint="default"/>
                <w:lang w:val="en-US" w:eastAsia="zh-CN"/>
              </w:rPr>
            </w:pPr>
            <w:r>
              <w:rPr>
                <w:rFonts w:hint="eastAsia"/>
                <w:lang w:val="en-US" w:eastAsia="zh-CN"/>
              </w:rPr>
              <w:t>56.2</w:t>
            </w:r>
          </w:p>
        </w:tc>
        <w:tc>
          <w:tcPr>
            <w:tcW w:w="1018" w:type="pct"/>
            <w:tcBorders>
              <w:tl2br w:val="nil"/>
              <w:tr2bl w:val="nil"/>
            </w:tcBorders>
            <w:noWrap w:val="0"/>
            <w:vAlign w:val="center"/>
          </w:tcPr>
          <w:p>
            <w:pPr>
              <w:pStyle w:val="28"/>
              <w:bidi w:val="0"/>
              <w:rPr>
                <w:rFonts w:hint="default"/>
                <w:lang w:val="en-US" w:eastAsia="zh-CN"/>
              </w:rPr>
            </w:pPr>
            <w:r>
              <w:rPr>
                <w:rFonts w:hint="eastAsia"/>
                <w:lang w:val="en-US" w:eastAsia="zh-CN"/>
              </w:rPr>
              <w:t>46.0</w:t>
            </w:r>
          </w:p>
        </w:tc>
      </w:tr>
    </w:tbl>
    <w:p>
      <w:pPr>
        <w:pStyle w:val="5"/>
        <w:bidi w:val="0"/>
        <w:rPr>
          <w:color w:val="auto"/>
        </w:rPr>
      </w:pPr>
      <w:bookmarkStart w:id="28" w:name="_Toc14290"/>
      <w:r>
        <w:rPr>
          <w:color w:val="auto"/>
        </w:rPr>
        <w:t>地下水环境质量现状调查</w:t>
      </w:r>
      <w:bookmarkEnd w:id="28"/>
    </w:p>
    <w:p>
      <w:pPr>
        <w:pStyle w:val="39"/>
        <w:spacing w:after="0"/>
        <w:rPr>
          <w:rFonts w:ascii="Times New Roman" w:hAnsi="Times New Roman" w:cs="Times New Roman"/>
          <w:color w:val="auto"/>
        </w:rPr>
      </w:pPr>
      <w:r>
        <w:rPr>
          <w:rFonts w:ascii="Times New Roman" w:hAnsi="Times New Roman" w:cs="Times New Roman"/>
          <w:color w:val="auto"/>
        </w:rPr>
        <w:t>项目区域内共设置</w:t>
      </w:r>
      <w:r>
        <w:rPr>
          <w:rFonts w:hint="eastAsia" w:ascii="Times New Roman" w:hAnsi="Times New Roman" w:cs="Times New Roman"/>
          <w:color w:val="auto"/>
        </w:rPr>
        <w:t>1</w:t>
      </w:r>
      <w:r>
        <w:rPr>
          <w:rFonts w:hint="eastAsia" w:ascii="Times New Roman" w:hAnsi="Times New Roman" w:cs="Times New Roman"/>
          <w:color w:val="auto"/>
          <w:lang w:val="en-US" w:eastAsia="zh-CN"/>
        </w:rPr>
        <w:t>3</w:t>
      </w:r>
      <w:r>
        <w:rPr>
          <w:rFonts w:hint="eastAsia" w:ascii="Times New Roman" w:hAnsi="Times New Roman" w:cs="Times New Roman"/>
          <w:color w:val="auto"/>
        </w:rPr>
        <w:t>个监测点，其中</w:t>
      </w:r>
      <w:r>
        <w:rPr>
          <w:rFonts w:hint="eastAsia" w:ascii="Times New Roman" w:hAnsi="Times New Roman" w:cs="Times New Roman"/>
          <w:color w:val="auto"/>
          <w:lang w:val="en-US" w:eastAsia="zh-CN"/>
        </w:rPr>
        <w:t>5</w:t>
      </w:r>
      <w:r>
        <w:rPr>
          <w:rFonts w:hint="eastAsia" w:ascii="Times New Roman" w:hAnsi="Times New Roman" w:cs="Times New Roman"/>
          <w:color w:val="auto"/>
        </w:rPr>
        <w:t>个水质+水位监测点（GW1</w:t>
      </w:r>
      <w:r>
        <w:rPr>
          <w:rFonts w:hint="eastAsia" w:ascii="Times New Roman" w:hAnsi="Times New Roman" w:cs="Times New Roman"/>
          <w:color w:val="auto"/>
          <w:lang w:eastAsia="zh-CN"/>
        </w:rPr>
        <w:t>-</w:t>
      </w:r>
      <w:r>
        <w:rPr>
          <w:rFonts w:hint="eastAsia" w:ascii="Times New Roman" w:hAnsi="Times New Roman" w:cs="Times New Roman"/>
          <w:color w:val="auto"/>
        </w:rPr>
        <w:t>GW</w:t>
      </w:r>
      <w:r>
        <w:rPr>
          <w:rFonts w:hint="eastAsia" w:ascii="Times New Roman" w:hAnsi="Times New Roman" w:cs="Times New Roman"/>
          <w:color w:val="auto"/>
          <w:lang w:val="en-US" w:eastAsia="zh-CN"/>
        </w:rPr>
        <w:t>5</w:t>
      </w:r>
      <w:r>
        <w:rPr>
          <w:rFonts w:hint="eastAsia" w:ascii="Times New Roman" w:hAnsi="Times New Roman" w:cs="Times New Roman"/>
          <w:color w:val="auto"/>
        </w:rPr>
        <w:t>），7个水位检测点（GW</w:t>
      </w:r>
      <w:r>
        <w:rPr>
          <w:rFonts w:hint="eastAsia" w:ascii="Times New Roman" w:hAnsi="Times New Roman" w:cs="Times New Roman"/>
          <w:color w:val="auto"/>
          <w:lang w:val="en-US" w:eastAsia="zh-CN"/>
        </w:rPr>
        <w:t>6</w:t>
      </w:r>
      <w:r>
        <w:rPr>
          <w:rFonts w:hint="eastAsia" w:ascii="Times New Roman" w:hAnsi="Times New Roman" w:cs="Times New Roman"/>
          <w:color w:val="auto"/>
          <w:lang w:eastAsia="zh-CN"/>
        </w:rPr>
        <w:t>-</w:t>
      </w:r>
      <w:r>
        <w:rPr>
          <w:rFonts w:hint="eastAsia" w:ascii="Times New Roman" w:hAnsi="Times New Roman" w:cs="Times New Roman"/>
          <w:color w:val="auto"/>
        </w:rPr>
        <w:t>GW10）</w:t>
      </w:r>
      <w:r>
        <w:rPr>
          <w:rFonts w:ascii="Times New Roman" w:hAnsi="Times New Roman" w:cs="Times New Roman"/>
          <w:color w:val="auto"/>
        </w:rPr>
        <w:t>，监测1天，每天采样1次。</w:t>
      </w:r>
    </w:p>
    <w:p>
      <w:pPr>
        <w:pStyle w:val="39"/>
        <w:spacing w:after="0"/>
        <w:rPr>
          <w:rFonts w:ascii="Times New Roman" w:hAnsi="Times New Roman" w:cs="Times New Roman"/>
          <w:color w:val="auto"/>
        </w:rPr>
      </w:pPr>
      <w:r>
        <w:rPr>
          <w:rFonts w:ascii="Times New Roman" w:hAnsi="Times New Roman" w:cs="Times New Roman"/>
          <w:color w:val="auto"/>
        </w:rPr>
        <w:t>本次地下水环境现状监测结果显示，</w:t>
      </w:r>
      <w:r>
        <w:rPr>
          <w:rFonts w:hint="eastAsia" w:ascii="Times New Roman" w:hAnsi="Times New Roman" w:cs="Times New Roman"/>
          <w:color w:val="auto"/>
        </w:rPr>
        <w:t>规划区域内各点位均能能满足地下水III类标准限值，区域地下水环境质量良好。</w:t>
      </w:r>
    </w:p>
    <w:p>
      <w:pPr>
        <w:pStyle w:val="5"/>
        <w:bidi w:val="0"/>
        <w:rPr>
          <w:color w:val="auto"/>
        </w:rPr>
      </w:pPr>
      <w:bookmarkStart w:id="29" w:name="_Toc22942"/>
      <w:r>
        <w:rPr>
          <w:color w:val="auto"/>
        </w:rPr>
        <w:t>土壤环境质量现状调查</w:t>
      </w:r>
      <w:bookmarkEnd w:id="29"/>
    </w:p>
    <w:p>
      <w:pPr>
        <w:ind w:firstLine="480"/>
        <w:rPr>
          <w:color w:val="auto"/>
        </w:rPr>
      </w:pPr>
      <w:r>
        <w:rPr>
          <w:color w:val="auto"/>
        </w:rPr>
        <w:t>本次监测共布设</w:t>
      </w:r>
      <w:r>
        <w:rPr>
          <w:rFonts w:hint="eastAsia"/>
          <w:color w:val="auto"/>
          <w:lang w:val="en-US" w:eastAsia="zh-CN"/>
        </w:rPr>
        <w:t>6</w:t>
      </w:r>
      <w:r>
        <w:rPr>
          <w:color w:val="auto"/>
        </w:rPr>
        <w:t>个土壤环境质量监测点位，本次土壤环境现状监测结果显示，区域内土壤环境能满足相关限值标准，区域内整体土壤环境质量较好。</w:t>
      </w:r>
    </w:p>
    <w:p>
      <w:pPr>
        <w:pStyle w:val="5"/>
        <w:bidi w:val="0"/>
        <w:rPr>
          <w:color w:val="auto"/>
        </w:rPr>
      </w:pPr>
      <w:bookmarkStart w:id="30" w:name="_Toc6846"/>
      <w:r>
        <w:rPr>
          <w:color w:val="auto"/>
        </w:rPr>
        <w:t>生态环境质量现状调查</w:t>
      </w:r>
      <w:bookmarkEnd w:id="30"/>
    </w:p>
    <w:p>
      <w:pPr>
        <w:ind w:firstLine="480"/>
        <w:rPr>
          <w:rFonts w:hint="eastAsia"/>
          <w:color w:val="auto"/>
        </w:rPr>
      </w:pPr>
      <w:r>
        <w:rPr>
          <w:rFonts w:hint="eastAsia"/>
          <w:color w:val="auto"/>
        </w:rPr>
        <w:t>经过调查发现阳新经济开发区滨江工业园（医药化工园区）未发现野生重点保护植物和古树名木的分布。</w:t>
      </w:r>
    </w:p>
    <w:p>
      <w:pPr>
        <w:ind w:firstLine="480"/>
        <w:rPr>
          <w:rFonts w:hint="eastAsia"/>
          <w:color w:val="auto"/>
          <w:lang w:val="en-US" w:eastAsia="zh-CN"/>
        </w:rPr>
      </w:pPr>
      <w:r>
        <w:rPr>
          <w:rFonts w:hint="eastAsia"/>
          <w:color w:val="auto"/>
          <w:lang w:val="en-US" w:eastAsia="zh-CN"/>
        </w:rPr>
        <w:t>规划区不存在原始植被。评价范围内植被以栽培为主，由于区域农业活动密集，农作物植被占主导地位，此外还有一定数量的人工林。经过现场调查、调查访问和资料搜集，规划范围内目前未发现野生重点保护植物和古树名木的分布。</w:t>
      </w:r>
    </w:p>
    <w:p>
      <w:pPr>
        <w:ind w:firstLine="480"/>
        <w:rPr>
          <w:rFonts w:hint="eastAsia"/>
          <w:color w:val="auto"/>
          <w:lang w:val="en-US" w:eastAsia="zh-CN"/>
        </w:rPr>
      </w:pPr>
      <w:r>
        <w:rPr>
          <w:rFonts w:hint="eastAsia"/>
          <w:color w:val="auto"/>
          <w:lang w:val="en-US" w:eastAsia="zh-CN"/>
        </w:rPr>
        <w:t>规划区范围内分布的陆生脊椎动物多样性较低，除鸟类外共有3纲8目14科22种；评价区未发现国家Ⅰ级和Ⅱ级重点保护野生动物分布，湖北省重点保护野生动物7种。鸟类共计10目22科42种，未发现国家Ⅰ级和Ⅱ级重点保护鸟类分布，湖北省重点保护鸟类19种。但在秋冬季节，规划区附近的网湖省级湿地自然保护区内将会出现大量过境或越冬的水鸟，其中包括3种国家Ⅰ级重点保护鸟类和29种国家Ⅱ级重点保护鸟类。</w:t>
      </w:r>
    </w:p>
    <w:p>
      <w:pPr>
        <w:ind w:firstLine="480"/>
        <w:rPr>
          <w:rFonts w:hint="eastAsia"/>
          <w:color w:val="auto"/>
          <w:lang w:val="en-US" w:eastAsia="zh-CN"/>
        </w:rPr>
      </w:pPr>
      <w:r>
        <w:rPr>
          <w:rFonts w:hint="eastAsia"/>
          <w:color w:val="auto"/>
          <w:lang w:val="en-US" w:eastAsia="zh-CN"/>
        </w:rPr>
        <w:t>规划区周边的水生生物多样性整体水平偏低，，野生鱼类和浮游动植物的数量、种类较少，鱼类多以人工养殖的经济鱼类为主。</w:t>
      </w:r>
    </w:p>
    <w:p>
      <w:pPr>
        <w:ind w:firstLine="480"/>
        <w:rPr>
          <w:rFonts w:hint="default"/>
          <w:color w:val="auto"/>
          <w:lang w:val="en-US" w:eastAsia="zh-CN"/>
        </w:rPr>
      </w:pPr>
      <w:r>
        <w:rPr>
          <w:rFonts w:hint="eastAsia"/>
          <w:color w:val="auto"/>
          <w:lang w:val="en-US" w:eastAsia="zh-CN"/>
        </w:rPr>
        <w:t>总体来看，区域的生物多样性整体水平偏低，区域整体的规划建设对周围野生动植物造成的影响有限。</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rPr>
      </w:pPr>
      <w:bookmarkStart w:id="31" w:name="_Toc24264"/>
      <w:bookmarkStart w:id="32" w:name="_Toc5212"/>
      <w:r>
        <w:rPr>
          <w:color w:val="auto"/>
        </w:rPr>
        <w:t>化工园环境质量变化趋势分析</w:t>
      </w:r>
      <w:bookmarkEnd w:id="31"/>
      <w:bookmarkEnd w:id="32"/>
    </w:p>
    <w:p>
      <w:pPr>
        <w:pStyle w:val="5"/>
        <w:bidi w:val="0"/>
        <w:rPr>
          <w:color w:val="auto"/>
        </w:rPr>
      </w:pPr>
      <w:bookmarkStart w:id="33" w:name="_Toc11454"/>
      <w:bookmarkStart w:id="34" w:name="_Toc19355"/>
      <w:r>
        <w:rPr>
          <w:color w:val="auto"/>
        </w:rPr>
        <w:t>区域环境空气质量变化趋势</w:t>
      </w:r>
      <w:bookmarkEnd w:id="33"/>
    </w:p>
    <w:p>
      <w:pPr>
        <w:bidi w:val="0"/>
        <w:rPr>
          <w:rFonts w:hint="default" w:ascii="Times New Roman" w:hAnsi="Times New Roman" w:cs="Times New Roman"/>
          <w:sz w:val="24"/>
          <w:szCs w:val="24"/>
          <w:lang w:val="en-US" w:eastAsia="zh-CN"/>
        </w:rPr>
      </w:pPr>
      <w:r>
        <w:rPr>
          <w:rFonts w:hint="eastAsia" w:ascii="宋体" w:cs="Times New Roman"/>
          <w:b/>
          <w:bCs/>
          <w:sz w:val="24"/>
          <w:szCs w:val="24"/>
          <w:lang w:val="en-US" w:eastAsia="zh-CN"/>
        </w:rPr>
        <w:t>常规监测</w:t>
      </w:r>
      <w:r>
        <w:rPr>
          <w:rFonts w:hint="eastAsia" w:ascii="宋体" w:cs="Times New Roman"/>
          <w:sz w:val="24"/>
          <w:szCs w:val="24"/>
          <w:lang w:val="en-US" w:eastAsia="zh-CN"/>
        </w:rPr>
        <w:t>：</w:t>
      </w:r>
      <w:r>
        <w:rPr>
          <w:rFonts w:hint="default" w:ascii="Times New Roman" w:hAnsi="Times New Roman" w:cs="Times New Roman"/>
          <w:sz w:val="24"/>
          <w:szCs w:val="24"/>
          <w:lang w:val="en-US" w:eastAsia="zh-CN"/>
        </w:rPr>
        <w:t>依据2</w:t>
      </w:r>
      <w:r>
        <w:rPr>
          <w:rFonts w:hint="default" w:ascii="Times New Roman" w:hAnsi="Times New Roman" w:eastAsia="宋体" w:cs="Times New Roman"/>
          <w:sz w:val="24"/>
          <w:szCs w:val="24"/>
        </w:rPr>
        <w:t>016-2021年《黄石环境空气质量年报》</w:t>
      </w:r>
      <w:r>
        <w:rPr>
          <w:rFonts w:hint="default" w:ascii="Times New Roman" w:hAnsi="Times New Roman" w:eastAsia="宋体" w:cs="Times New Roman"/>
          <w:sz w:val="24"/>
          <w:szCs w:val="24"/>
          <w:lang w:val="en-US" w:eastAsia="zh-CN"/>
        </w:rPr>
        <w:t>中阳新县</w:t>
      </w:r>
      <w:r>
        <w:rPr>
          <w:rFonts w:hint="default" w:ascii="Times New Roman" w:hAnsi="Times New Roman" w:eastAsia="宋体" w:cs="Times New Roman"/>
          <w:sz w:val="24"/>
          <w:szCs w:val="24"/>
        </w:rPr>
        <w:t>环境空气质量状况</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近年来区域大气环境主要大气污染物占标率（</w:t>
      </w:r>
      <w:r>
        <w:rPr>
          <w:rFonts w:hint="default" w:ascii="Times New Roman" w:hAnsi="Times New Roman" w:cs="Times New Roman"/>
        </w:rPr>
        <w:t>《环境空气质量标准》（GB 3095-2012）表1 二级标准</w:t>
      </w:r>
      <w:r>
        <w:rPr>
          <w:rFonts w:hint="default" w:ascii="Times New Roman" w:hAnsi="Times New Roman" w:cs="Times New Roman"/>
          <w:sz w:val="24"/>
          <w:szCs w:val="24"/>
          <w:lang w:val="en-US" w:eastAsia="zh-CN"/>
        </w:rPr>
        <w:t>）变化趋势如下图：</w:t>
      </w:r>
    </w:p>
    <w:p>
      <w:pPr>
        <w:ind w:left="0" w:leftChars="0" w:firstLine="0" w:firstLineChars="0"/>
        <w:jc w:val="center"/>
      </w:pPr>
      <w:r>
        <w:drawing>
          <wp:inline distT="0" distB="0" distL="114300" distR="114300">
            <wp:extent cx="4930775" cy="3061335"/>
            <wp:effectExtent l="19050" t="19050" r="22225" b="2476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2"/>
                    <a:stretch>
                      <a:fillRect/>
                    </a:stretch>
                  </pic:blipFill>
                  <pic:spPr>
                    <a:xfrm>
                      <a:off x="0" y="0"/>
                      <a:ext cx="4930775" cy="3061335"/>
                    </a:xfrm>
                    <a:prstGeom prst="rect">
                      <a:avLst/>
                    </a:prstGeom>
                    <a:noFill/>
                    <a:ln w="19050" cmpd="sng">
                      <a:solidFill>
                        <a:schemeClr val="tx1"/>
                      </a:solidFill>
                      <a:prstDash val="solid"/>
                    </a:ln>
                  </pic:spPr>
                </pic:pic>
              </a:graphicData>
            </a:graphic>
          </wp:inline>
        </w:drawing>
      </w:r>
    </w:p>
    <w:p>
      <w:pPr>
        <w:pStyle w:val="30"/>
        <w:bidi w:val="0"/>
        <w:rPr>
          <w:rFonts w:hint="eastAsia"/>
          <w:lang w:val="en-US" w:eastAsia="zh-CN"/>
        </w:rPr>
      </w:pPr>
      <w:r>
        <w:rPr>
          <w:rFonts w:hint="eastAsia"/>
          <w:lang w:val="en-US" w:eastAsia="zh-CN"/>
        </w:rPr>
        <w:t>图3.2.1-1 区域</w:t>
      </w:r>
      <w:r>
        <w:rPr>
          <w:rFonts w:hint="eastAsia"/>
        </w:rPr>
        <w:t>环境大气污染物</w:t>
      </w:r>
      <w:r>
        <w:rPr>
          <w:rFonts w:hint="eastAsia"/>
          <w:lang w:val="en-US" w:eastAsia="zh-CN"/>
        </w:rPr>
        <w:t>占标率变化趋势一览表（2016-2021年）</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val="en-US" w:eastAsia="zh-CN"/>
        </w:rPr>
        <w:t>根据数据分析，</w:t>
      </w:r>
      <w:r>
        <w:rPr>
          <w:rFonts w:hint="eastAsia" w:ascii="Times New Roman" w:hAnsi="Times New Roman" w:cs="Times New Roman"/>
          <w:sz w:val="24"/>
          <w:szCs w:val="24"/>
          <w:lang w:eastAsia="zh-CN"/>
        </w:rPr>
        <w:t>2016-20</w:t>
      </w:r>
      <w:r>
        <w:rPr>
          <w:rFonts w:hint="eastAsia" w:ascii="Times New Roman" w:hAnsi="Times New Roman" w:cs="Times New Roman"/>
          <w:sz w:val="24"/>
          <w:szCs w:val="24"/>
          <w:lang w:val="en-US" w:eastAsia="zh-CN"/>
        </w:rPr>
        <w:t>21</w:t>
      </w:r>
      <w:r>
        <w:rPr>
          <w:rFonts w:hint="eastAsia" w:ascii="Times New Roman" w:hAnsi="Times New Roman" w:cs="Times New Roman"/>
          <w:sz w:val="24"/>
          <w:szCs w:val="24"/>
          <w:lang w:eastAsia="zh-CN"/>
        </w:rPr>
        <w:t>年，PM</w:t>
      </w:r>
      <w:r>
        <w:rPr>
          <w:rFonts w:hint="eastAsia" w:ascii="Times New Roman" w:hAnsi="Times New Roman" w:cs="Times New Roman"/>
          <w:sz w:val="24"/>
          <w:szCs w:val="24"/>
          <w:vertAlign w:val="subscript"/>
          <w:lang w:eastAsia="zh-CN"/>
        </w:rPr>
        <w:t>10</w:t>
      </w:r>
      <w:r>
        <w:rPr>
          <w:rFonts w:hint="eastAsia" w:ascii="Times New Roman" w:hAnsi="Times New Roman" w:cs="Times New Roman"/>
          <w:sz w:val="24"/>
          <w:szCs w:val="24"/>
          <w:lang w:eastAsia="zh-CN"/>
        </w:rPr>
        <w:t>年均浓度</w:t>
      </w:r>
      <w:r>
        <w:rPr>
          <w:rFonts w:hint="eastAsia" w:ascii="Times New Roman" w:hAnsi="Times New Roman" w:cs="Times New Roman"/>
          <w:sz w:val="24"/>
          <w:szCs w:val="24"/>
          <w:lang w:val="en-US" w:eastAsia="zh-CN"/>
        </w:rPr>
        <w:t>占标率范围从78.57%-121.43%，整体浓度范围为55-85</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w:t>
      </w:r>
      <w:r>
        <w:rPr>
          <w:rFonts w:hint="eastAsia" w:ascii="Times New Roman" w:hAnsi="Times New Roman" w:cs="Times New Roman"/>
          <w:sz w:val="24"/>
          <w:szCs w:val="24"/>
          <w:lang w:eastAsia="zh-CN"/>
        </w:rPr>
        <w:t>整体</w:t>
      </w:r>
      <w:r>
        <w:rPr>
          <w:rFonts w:ascii="Times New Roman" w:hAnsi="Times New Roman" w:cs="Times New Roman"/>
          <w:sz w:val="24"/>
          <w:szCs w:val="24"/>
          <w:lang w:eastAsia="zh-CN"/>
        </w:rPr>
        <w:t>呈下降趋势</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2016年-2017年</w:t>
      </w:r>
      <w:r>
        <w:rPr>
          <w:rFonts w:hint="eastAsia" w:ascii="Times New Roman" w:hAnsi="Times New Roman" w:cs="Times New Roman"/>
          <w:sz w:val="24"/>
          <w:szCs w:val="24"/>
          <w:lang w:eastAsia="zh-CN"/>
        </w:rPr>
        <w:t>超出环境空气质量二级标准要求（</w:t>
      </w:r>
      <w:r>
        <w:rPr>
          <w:rFonts w:hint="eastAsia" w:ascii="Times New Roman" w:hAnsi="Times New Roman" w:cs="Times New Roman"/>
          <w:sz w:val="24"/>
          <w:szCs w:val="24"/>
          <w:lang w:val="en-US" w:eastAsia="zh-CN"/>
        </w:rPr>
        <w:t>70</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2018年后能稳定达到</w:t>
      </w:r>
      <w:r>
        <w:rPr>
          <w:rFonts w:hint="eastAsia" w:ascii="Times New Roman" w:hAnsi="Times New Roman" w:cs="Times New Roman"/>
          <w:sz w:val="24"/>
          <w:szCs w:val="24"/>
          <w:lang w:eastAsia="zh-CN"/>
        </w:rPr>
        <w:t>环境空气质量二级标准要求。PM</w:t>
      </w:r>
      <w:r>
        <w:rPr>
          <w:rFonts w:hint="eastAsia" w:ascii="Times New Roman" w:hAnsi="Times New Roman" w:cs="Times New Roman"/>
          <w:sz w:val="24"/>
          <w:szCs w:val="24"/>
          <w:vertAlign w:val="subscript"/>
          <w:lang w:val="en-US" w:eastAsia="zh-CN"/>
        </w:rPr>
        <w:t>2.5</w:t>
      </w:r>
      <w:r>
        <w:rPr>
          <w:rFonts w:hint="eastAsia" w:ascii="Times New Roman" w:hAnsi="Times New Roman" w:cs="Times New Roman"/>
          <w:sz w:val="24"/>
          <w:szCs w:val="24"/>
          <w:lang w:eastAsia="zh-CN"/>
        </w:rPr>
        <w:t>年均浓度</w:t>
      </w:r>
      <w:r>
        <w:rPr>
          <w:rFonts w:hint="eastAsia" w:ascii="Times New Roman" w:hAnsi="Times New Roman" w:cs="Times New Roman"/>
          <w:sz w:val="24"/>
          <w:szCs w:val="24"/>
          <w:lang w:val="en-US" w:eastAsia="zh-CN"/>
        </w:rPr>
        <w:t>占标率范围从</w:t>
      </w:r>
      <w:r>
        <w:rPr>
          <w:rFonts w:hint="eastAsia" w:cs="Times New Roman"/>
          <w:sz w:val="24"/>
          <w:szCs w:val="24"/>
          <w:lang w:val="en-US" w:eastAsia="zh-CN"/>
        </w:rPr>
        <w:t>91.43</w:t>
      </w:r>
      <w:r>
        <w:rPr>
          <w:rFonts w:hint="eastAsia" w:ascii="Times New Roman" w:hAnsi="Times New Roman" w:cs="Times New Roman"/>
          <w:sz w:val="24"/>
          <w:szCs w:val="24"/>
          <w:lang w:val="en-US" w:eastAsia="zh-CN"/>
        </w:rPr>
        <w:t>%-</w:t>
      </w:r>
      <w:r>
        <w:rPr>
          <w:rFonts w:hint="eastAsia" w:cs="Times New Roman"/>
          <w:sz w:val="24"/>
          <w:szCs w:val="24"/>
          <w:lang w:val="en-US" w:eastAsia="zh-CN"/>
        </w:rPr>
        <w:t>145.71</w:t>
      </w:r>
      <w:r>
        <w:rPr>
          <w:rFonts w:hint="eastAsia" w:ascii="Times New Roman" w:hAnsi="Times New Roman" w:cs="Times New Roman"/>
          <w:sz w:val="24"/>
          <w:szCs w:val="24"/>
          <w:lang w:val="en-US" w:eastAsia="zh-CN"/>
        </w:rPr>
        <w:t>%，整体浓度范围为</w:t>
      </w:r>
      <w:r>
        <w:rPr>
          <w:rFonts w:hint="eastAsia" w:cs="Times New Roman"/>
          <w:sz w:val="24"/>
          <w:szCs w:val="24"/>
          <w:lang w:val="en-US" w:eastAsia="zh-CN"/>
        </w:rPr>
        <w:t>32</w:t>
      </w:r>
      <w:r>
        <w:rPr>
          <w:rFonts w:hint="eastAsia" w:ascii="Times New Roman" w:hAnsi="Times New Roman" w:cs="Times New Roman"/>
          <w:sz w:val="24"/>
          <w:szCs w:val="24"/>
          <w:lang w:val="en-US" w:eastAsia="zh-CN"/>
        </w:rPr>
        <w:t>-</w:t>
      </w:r>
      <w:r>
        <w:rPr>
          <w:rFonts w:hint="eastAsia" w:cs="Times New Roman"/>
          <w:sz w:val="24"/>
          <w:szCs w:val="24"/>
          <w:lang w:val="en-US" w:eastAsia="zh-CN"/>
        </w:rPr>
        <w:t>51</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w:t>
      </w:r>
      <w:r>
        <w:rPr>
          <w:rFonts w:hint="eastAsia" w:ascii="Times New Roman" w:hAnsi="Times New Roman" w:cs="Times New Roman"/>
          <w:sz w:val="24"/>
          <w:szCs w:val="24"/>
          <w:lang w:eastAsia="zh-CN"/>
        </w:rPr>
        <w:t>整体</w:t>
      </w:r>
      <w:r>
        <w:rPr>
          <w:rFonts w:ascii="Times New Roman" w:hAnsi="Times New Roman" w:cs="Times New Roman"/>
          <w:sz w:val="24"/>
          <w:szCs w:val="24"/>
          <w:lang w:eastAsia="zh-CN"/>
        </w:rPr>
        <w:t>呈下降趋势</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2016年-2019年仍</w:t>
      </w:r>
      <w:r>
        <w:rPr>
          <w:rFonts w:hint="eastAsia" w:ascii="Times New Roman" w:hAnsi="Times New Roman" w:cs="Times New Roman"/>
          <w:sz w:val="24"/>
          <w:szCs w:val="24"/>
          <w:lang w:eastAsia="zh-CN"/>
        </w:rPr>
        <w:t>超出环境空气质量二级标准要求（</w:t>
      </w:r>
      <w:r>
        <w:rPr>
          <w:rFonts w:hint="eastAsia" w:ascii="Times New Roman" w:hAnsi="Times New Roman" w:cs="Times New Roman"/>
          <w:sz w:val="24"/>
          <w:szCs w:val="24"/>
          <w:lang w:val="en-US" w:eastAsia="zh-CN"/>
        </w:rPr>
        <w:t>35</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2020-2021年年均浓度能达到</w:t>
      </w:r>
      <w:r>
        <w:rPr>
          <w:rFonts w:hint="eastAsia" w:ascii="Times New Roman" w:hAnsi="Times New Roman" w:cs="Times New Roman"/>
          <w:sz w:val="24"/>
          <w:szCs w:val="24"/>
          <w:lang w:eastAsia="zh-CN"/>
        </w:rPr>
        <w:t>环境空气质量二级标准要求</w:t>
      </w:r>
      <w:r>
        <w:rPr>
          <w:rFonts w:hint="eastAsia" w:cs="Times New Roman"/>
          <w:sz w:val="24"/>
          <w:szCs w:val="24"/>
          <w:lang w:eastAsia="zh-CN"/>
        </w:rPr>
        <w:t>，</w:t>
      </w:r>
      <w:r>
        <w:rPr>
          <w:rFonts w:hint="eastAsia" w:cs="Times New Roman"/>
          <w:sz w:val="24"/>
          <w:szCs w:val="24"/>
          <w:lang w:val="en-US" w:eastAsia="zh-CN"/>
        </w:rPr>
        <w:t>PM</w:t>
      </w:r>
      <w:r>
        <w:rPr>
          <w:rFonts w:hint="eastAsia" w:cs="Times New Roman"/>
          <w:sz w:val="24"/>
          <w:szCs w:val="24"/>
          <w:vertAlign w:val="subscript"/>
          <w:lang w:val="en-US" w:eastAsia="zh-CN"/>
        </w:rPr>
        <w:t>2.5</w:t>
      </w:r>
      <w:r>
        <w:rPr>
          <w:rFonts w:hint="eastAsia" w:cs="Times New Roman"/>
          <w:sz w:val="24"/>
          <w:szCs w:val="24"/>
          <w:lang w:val="en-US" w:eastAsia="zh-CN"/>
        </w:rPr>
        <w:t>及PM</w:t>
      </w:r>
      <w:r>
        <w:rPr>
          <w:rFonts w:hint="eastAsia" w:cs="Times New Roman"/>
          <w:sz w:val="24"/>
          <w:szCs w:val="24"/>
          <w:vertAlign w:val="subscript"/>
          <w:lang w:val="en-US" w:eastAsia="zh-CN"/>
        </w:rPr>
        <w:t>10</w:t>
      </w:r>
      <w:r>
        <w:rPr>
          <w:rFonts w:hint="eastAsia" w:cs="Times New Roman"/>
          <w:sz w:val="24"/>
          <w:szCs w:val="24"/>
          <w:lang w:val="en-US" w:eastAsia="zh-CN"/>
        </w:rPr>
        <w:t>的</w:t>
      </w:r>
      <w:r>
        <w:rPr>
          <w:rFonts w:hint="eastAsia" w:ascii="Times New Roman" w:hAnsi="Times New Roman" w:cs="Times New Roman"/>
          <w:sz w:val="24"/>
          <w:szCs w:val="24"/>
          <w:lang w:eastAsia="zh-CN"/>
        </w:rPr>
        <w:t>变化趋势与近年实施一些列烟粉尘污染控制措施相关，</w:t>
      </w:r>
      <w:r>
        <w:rPr>
          <w:rFonts w:hint="eastAsia" w:ascii="Times New Roman" w:hAnsi="Times New Roman" w:cs="Times New Roman"/>
          <w:sz w:val="24"/>
          <w:szCs w:val="24"/>
          <w:lang w:val="en-US" w:eastAsia="zh-CN"/>
        </w:rPr>
        <w:t>其中2020年由于新冠肺炎疫情影响，污染物指标好于周边年份</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SO</w:t>
      </w:r>
      <w:r>
        <w:rPr>
          <w:rFonts w:hint="eastAsia"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年均浓度</w:t>
      </w:r>
      <w:r>
        <w:rPr>
          <w:rFonts w:hint="eastAsia" w:ascii="Times New Roman" w:hAnsi="Times New Roman" w:cs="Times New Roman"/>
          <w:sz w:val="24"/>
          <w:szCs w:val="24"/>
          <w:lang w:val="en-US" w:eastAsia="zh-CN"/>
        </w:rPr>
        <w:t>占标率范围从</w:t>
      </w:r>
      <w:r>
        <w:rPr>
          <w:rFonts w:hint="eastAsia" w:cs="Times New Roman"/>
          <w:sz w:val="24"/>
          <w:szCs w:val="24"/>
          <w:lang w:val="en-US" w:eastAsia="zh-CN"/>
        </w:rPr>
        <w:t>10</w:t>
      </w:r>
      <w:r>
        <w:rPr>
          <w:rFonts w:hint="eastAsia" w:ascii="Times New Roman" w:hAnsi="Times New Roman" w:cs="Times New Roman"/>
          <w:sz w:val="24"/>
          <w:szCs w:val="24"/>
          <w:lang w:val="en-US" w:eastAsia="zh-CN"/>
        </w:rPr>
        <w:t>%-</w:t>
      </w:r>
      <w:r>
        <w:rPr>
          <w:rFonts w:hint="eastAsia" w:cs="Times New Roman"/>
          <w:sz w:val="24"/>
          <w:szCs w:val="24"/>
          <w:lang w:val="en-US" w:eastAsia="zh-CN"/>
        </w:rPr>
        <w:t>31.7</w:t>
      </w:r>
      <w:r>
        <w:rPr>
          <w:rFonts w:hint="eastAsia" w:ascii="Times New Roman" w:hAnsi="Times New Roman" w:cs="Times New Roman"/>
          <w:sz w:val="24"/>
          <w:szCs w:val="24"/>
          <w:lang w:val="en-US" w:eastAsia="zh-CN"/>
        </w:rPr>
        <w:t>%，整体浓度范围为</w:t>
      </w:r>
      <w:r>
        <w:rPr>
          <w:rFonts w:hint="eastAsia" w:cs="Times New Roman"/>
          <w:sz w:val="24"/>
          <w:szCs w:val="24"/>
          <w:lang w:val="en-US" w:eastAsia="zh-CN"/>
        </w:rPr>
        <w:t>6</w:t>
      </w:r>
      <w:r>
        <w:rPr>
          <w:rFonts w:hint="eastAsia" w:ascii="Times New Roman" w:hAnsi="Times New Roman" w:cs="Times New Roman"/>
          <w:sz w:val="24"/>
          <w:szCs w:val="24"/>
          <w:lang w:val="en-US" w:eastAsia="zh-CN"/>
        </w:rPr>
        <w:t>-</w:t>
      </w:r>
      <w:r>
        <w:rPr>
          <w:rFonts w:hint="eastAsia" w:cs="Times New Roman"/>
          <w:sz w:val="24"/>
          <w:szCs w:val="24"/>
          <w:lang w:val="en-US" w:eastAsia="zh-CN"/>
        </w:rPr>
        <w:t>19</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，均满足二级标准要求（</w:t>
      </w:r>
      <w:r>
        <w:rPr>
          <w:rFonts w:hint="eastAsia" w:ascii="Times New Roman" w:hAnsi="Times New Roman" w:eastAsia="宋体" w:cs="Times New Roman"/>
          <w:bCs/>
          <w:sz w:val="24"/>
          <w:szCs w:val="24"/>
          <w:lang w:val="en-US" w:eastAsia="zh-CN"/>
        </w:rPr>
        <w:t>60</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），整体呈下降趋势。</w:t>
      </w:r>
      <w:r>
        <w:rPr>
          <w:rFonts w:hint="eastAsia" w:ascii="Times New Roman" w:hAnsi="Times New Roman" w:cs="Times New Roman"/>
          <w:sz w:val="24"/>
          <w:szCs w:val="24"/>
          <w:lang w:eastAsia="zh-CN"/>
        </w:rPr>
        <w:t>NO</w:t>
      </w:r>
      <w:r>
        <w:rPr>
          <w:rFonts w:hint="eastAsia"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年均浓度</w:t>
      </w:r>
      <w:r>
        <w:rPr>
          <w:rFonts w:hint="eastAsia" w:ascii="Times New Roman" w:hAnsi="Times New Roman" w:cs="Times New Roman"/>
          <w:sz w:val="24"/>
          <w:szCs w:val="24"/>
          <w:lang w:val="en-US" w:eastAsia="zh-CN"/>
        </w:rPr>
        <w:t>占标率范围从</w:t>
      </w:r>
      <w:r>
        <w:rPr>
          <w:rFonts w:hint="eastAsia" w:cs="Times New Roman"/>
          <w:sz w:val="24"/>
          <w:szCs w:val="24"/>
          <w:lang w:val="en-US" w:eastAsia="zh-CN"/>
        </w:rPr>
        <w:t>50-62.5</w:t>
      </w:r>
      <w:r>
        <w:rPr>
          <w:rFonts w:hint="eastAsia" w:ascii="Times New Roman" w:hAnsi="Times New Roman" w:cs="Times New Roman"/>
          <w:sz w:val="24"/>
          <w:szCs w:val="24"/>
          <w:lang w:val="en-US" w:eastAsia="zh-CN"/>
        </w:rPr>
        <w:t>%，整体浓度范围为</w:t>
      </w:r>
      <w:r>
        <w:rPr>
          <w:rFonts w:hint="eastAsia" w:cs="Times New Roman"/>
          <w:sz w:val="24"/>
          <w:szCs w:val="24"/>
          <w:lang w:val="en-US" w:eastAsia="zh-CN"/>
        </w:rPr>
        <w:t>20-25</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，均满足二级标准要求（</w:t>
      </w:r>
      <w:r>
        <w:rPr>
          <w:rFonts w:hint="eastAsia" w:cs="Times New Roman"/>
          <w:bCs/>
          <w:sz w:val="24"/>
          <w:szCs w:val="24"/>
          <w:lang w:val="en-US" w:eastAsia="zh-CN"/>
        </w:rPr>
        <w:t>40</w:t>
      </w:r>
      <w:r>
        <w:rPr>
          <w:rFonts w:ascii="Times New Roman" w:hAnsi="Times New Roman" w:eastAsia="宋体" w:cs="Times New Roman"/>
          <w:bCs/>
          <w:sz w:val="24"/>
          <w:szCs w:val="24"/>
        </w:rPr>
        <w:t>μ</w:t>
      </w:r>
      <w:r>
        <w:rPr>
          <w:rFonts w:ascii="Times New Roman" w:hAnsi="Times New Roman" w:eastAsia="宋体" w:cs="Times New Roman"/>
          <w:bCs/>
          <w:sz w:val="24"/>
          <w:szCs w:val="24"/>
          <w:lang w:eastAsia="zh-CN"/>
        </w:rPr>
        <w:t>g/m</w:t>
      </w:r>
      <w:r>
        <w:rPr>
          <w:rFonts w:ascii="Times New Roman" w:hAnsi="Times New Roman" w:eastAsia="宋体" w:cs="Times New Roman"/>
          <w:bCs/>
          <w:sz w:val="24"/>
          <w:szCs w:val="24"/>
          <w:vertAlign w:val="superscript"/>
          <w:lang w:eastAsia="zh-CN"/>
        </w:rPr>
        <w:t>3</w:t>
      </w:r>
      <w:r>
        <w:rPr>
          <w:rFonts w:hint="eastAsia" w:ascii="Times New Roman" w:hAnsi="Times New Roman" w:eastAsia="宋体" w:cs="Times New Roman"/>
          <w:bCs/>
          <w:sz w:val="24"/>
          <w:szCs w:val="24"/>
          <w:lang w:eastAsia="zh-CN"/>
        </w:rPr>
        <w:t>），</w:t>
      </w:r>
      <w:r>
        <w:rPr>
          <w:rFonts w:hint="eastAsia" w:cs="Times New Roman"/>
          <w:bCs/>
          <w:sz w:val="24"/>
          <w:szCs w:val="24"/>
          <w:lang w:val="en-US" w:eastAsia="zh-CN"/>
        </w:rPr>
        <w:t>但</w:t>
      </w:r>
      <w:r>
        <w:rPr>
          <w:rFonts w:hint="eastAsia" w:ascii="Times New Roman" w:hAnsi="Times New Roman" w:eastAsia="宋体" w:cs="Times New Roman"/>
          <w:bCs/>
          <w:sz w:val="24"/>
          <w:szCs w:val="24"/>
          <w:lang w:eastAsia="zh-CN"/>
        </w:rPr>
        <w:t>整体</w:t>
      </w:r>
      <w:r>
        <w:rPr>
          <w:rFonts w:hint="eastAsia" w:cs="Times New Roman"/>
          <w:bCs/>
          <w:sz w:val="24"/>
          <w:szCs w:val="24"/>
          <w:lang w:val="en-US" w:eastAsia="zh-CN"/>
        </w:rPr>
        <w:t>污染物占标率</w:t>
      </w:r>
      <w:r>
        <w:rPr>
          <w:rFonts w:hint="eastAsia" w:ascii="Times New Roman" w:hAnsi="Times New Roman" w:eastAsia="宋体" w:cs="Times New Roman"/>
          <w:bCs/>
          <w:sz w:val="24"/>
          <w:szCs w:val="24"/>
          <w:lang w:eastAsia="zh-CN"/>
        </w:rPr>
        <w:t>呈</w:t>
      </w:r>
      <w:r>
        <w:rPr>
          <w:rFonts w:hint="eastAsia" w:cs="Times New Roman"/>
          <w:bCs/>
          <w:sz w:val="24"/>
          <w:szCs w:val="24"/>
          <w:lang w:val="en-US" w:eastAsia="zh-CN"/>
        </w:rPr>
        <w:t>上升</w:t>
      </w:r>
      <w:r>
        <w:rPr>
          <w:rFonts w:hint="eastAsia" w:ascii="Times New Roman" w:hAnsi="Times New Roman" w:eastAsia="宋体" w:cs="Times New Roman"/>
          <w:bCs/>
          <w:sz w:val="24"/>
          <w:szCs w:val="24"/>
          <w:lang w:eastAsia="zh-CN"/>
        </w:rPr>
        <w:t>趋势。</w:t>
      </w:r>
      <w:r>
        <w:rPr>
          <w:rFonts w:hint="eastAsia" w:ascii="Times New Roman" w:hAnsi="Times New Roman" w:cs="Times New Roman"/>
          <w:sz w:val="24"/>
          <w:szCs w:val="24"/>
          <w:lang w:eastAsia="zh-CN"/>
        </w:rPr>
        <w:t>CO日均值第95百分位日</w:t>
      </w:r>
      <w:r>
        <w:rPr>
          <w:rFonts w:ascii="Times New Roman" w:hAnsi="Times New Roman" w:cs="Times New Roman"/>
          <w:sz w:val="24"/>
          <w:szCs w:val="24"/>
          <w:lang w:eastAsia="zh-CN"/>
        </w:rPr>
        <w:t>均浓度</w:t>
      </w:r>
      <w:r>
        <w:rPr>
          <w:rFonts w:hint="eastAsia" w:ascii="Times New Roman" w:hAnsi="Times New Roman" w:cs="Times New Roman"/>
          <w:sz w:val="24"/>
          <w:szCs w:val="24"/>
          <w:lang w:eastAsia="zh-CN"/>
        </w:rPr>
        <w:t>范围1-3.4</w:t>
      </w:r>
      <w:r>
        <w:rPr>
          <w:rFonts w:ascii="Times New Roman" w:hAnsi="Times New Roman" w:cs="Times New Roman"/>
          <w:bCs/>
          <w:sz w:val="24"/>
          <w:szCs w:val="24"/>
          <w:lang w:eastAsia="zh-CN"/>
        </w:rPr>
        <w:t>mg/m</w:t>
      </w:r>
      <w:r>
        <w:rPr>
          <w:rFonts w:ascii="Times New Roman" w:hAnsi="Times New Roman" w:cs="Times New Roman"/>
          <w:bCs/>
          <w:sz w:val="24"/>
          <w:szCs w:val="24"/>
          <w:vertAlign w:val="superscript"/>
          <w:lang w:eastAsia="zh-CN"/>
        </w:rPr>
        <w:t>3</w:t>
      </w:r>
      <w:r>
        <w:rPr>
          <w:rFonts w:hint="eastAsia" w:ascii="Times New Roman" w:hAnsi="Times New Roman" w:cs="Times New Roman"/>
          <w:bCs/>
          <w:sz w:val="24"/>
          <w:szCs w:val="24"/>
          <w:lang w:eastAsia="zh-CN"/>
        </w:rPr>
        <w:t>，满足二级标准要求；</w:t>
      </w:r>
      <w:r>
        <w:rPr>
          <w:rFonts w:hint="eastAsia" w:ascii="Times New Roman" w:hAnsi="Times New Roman" w:cs="Times New Roman"/>
          <w:sz w:val="24"/>
          <w:szCs w:val="24"/>
          <w:lang w:eastAsia="zh-CN"/>
        </w:rPr>
        <w:t>O</w:t>
      </w:r>
      <w:r>
        <w:rPr>
          <w:rFonts w:hint="eastAsia" w:ascii="Times New Roman" w:hAnsi="Times New Roman" w:cs="Times New Roman"/>
          <w:sz w:val="24"/>
          <w:szCs w:val="24"/>
          <w:vertAlign w:val="subscript"/>
          <w:lang w:eastAsia="zh-CN"/>
        </w:rPr>
        <w:t>3</w:t>
      </w:r>
      <w:r>
        <w:rPr>
          <w:rFonts w:hint="eastAsia" w:ascii="Times New Roman" w:hAnsi="Times New Roman" w:cs="Times New Roman"/>
          <w:sz w:val="24"/>
          <w:szCs w:val="24"/>
          <w:lang w:eastAsia="zh-CN"/>
        </w:rPr>
        <w:t>最大8小时第90百分位数日</w:t>
      </w:r>
      <w:r>
        <w:rPr>
          <w:rFonts w:ascii="Times New Roman" w:hAnsi="Times New Roman" w:cs="Times New Roman"/>
          <w:sz w:val="24"/>
          <w:szCs w:val="24"/>
          <w:lang w:eastAsia="zh-CN"/>
        </w:rPr>
        <w:t>均浓度</w:t>
      </w:r>
      <w:r>
        <w:rPr>
          <w:rFonts w:hint="eastAsia" w:ascii="Times New Roman" w:hAnsi="Times New Roman" w:cs="Times New Roman"/>
          <w:sz w:val="24"/>
          <w:szCs w:val="24"/>
          <w:lang w:eastAsia="zh-CN"/>
        </w:rPr>
        <w:t>范围</w:t>
      </w:r>
      <w:r>
        <w:rPr>
          <w:rFonts w:hint="eastAsia" w:ascii="Times New Roman" w:hAnsi="Times New Roman" w:cs="Times New Roman"/>
          <w:bCs/>
          <w:sz w:val="24"/>
          <w:szCs w:val="24"/>
          <w:lang w:val="en-US" w:eastAsia="zh-CN"/>
        </w:rPr>
        <w:t>142-176</w:t>
      </w:r>
      <w:r>
        <w:rPr>
          <w:rFonts w:ascii="Times New Roman" w:hAnsi="Times New Roman" w:cs="Times New Roman"/>
          <w:bCs/>
          <w:sz w:val="24"/>
          <w:szCs w:val="24"/>
          <w:lang w:eastAsia="zh-CN"/>
        </w:rPr>
        <w:t>mg/m</w:t>
      </w:r>
      <w:r>
        <w:rPr>
          <w:rFonts w:ascii="Times New Roman" w:hAnsi="Times New Roman" w:cs="Times New Roman"/>
          <w:bCs/>
          <w:sz w:val="24"/>
          <w:szCs w:val="24"/>
          <w:vertAlign w:val="superscript"/>
          <w:lang w:eastAsia="zh-CN"/>
        </w:rPr>
        <w:t>3</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呈现先上升后下降的趋势</w:t>
      </w:r>
      <w:r>
        <w:rPr>
          <w:rFonts w:hint="eastAsia" w:ascii="Times New Roman" w:hAnsi="Times New Roman" w:cs="Times New Roman"/>
          <w:sz w:val="24"/>
          <w:szCs w:val="24"/>
          <w:lang w:val="en-US" w:eastAsia="zh-CN"/>
        </w:rPr>
        <w:t>,2018年及2019年不能稳定达标</w:t>
      </w:r>
      <w:r>
        <w:rPr>
          <w:rFonts w:hint="eastAsia" w:ascii="Times New Roman" w:hAnsi="Times New Roman" w:cs="Times New Roman"/>
          <w:sz w:val="24"/>
          <w:szCs w:val="24"/>
          <w:lang w:eastAsia="zh-CN"/>
        </w:rPr>
        <w:t>。NO</w:t>
      </w:r>
      <w:r>
        <w:rPr>
          <w:rFonts w:hint="eastAsia"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O</w:t>
      </w:r>
      <w:r>
        <w:rPr>
          <w:rFonts w:ascii="Times New Roman" w:hAnsi="Times New Roman" w:cs="Times New Roman"/>
          <w:sz w:val="24"/>
          <w:szCs w:val="24"/>
          <w:vertAlign w:val="subscript"/>
          <w:lang w:eastAsia="zh-CN"/>
        </w:rPr>
        <w:t>3</w:t>
      </w:r>
      <w:r>
        <w:rPr>
          <w:rFonts w:hint="eastAsia" w:ascii="Times New Roman" w:hAnsi="Times New Roman" w:cs="Times New Roman"/>
          <w:sz w:val="24"/>
          <w:szCs w:val="24"/>
          <w:lang w:eastAsia="zh-CN"/>
        </w:rPr>
        <w:t>变化趋势主要由于工业发展及交通机动车化石燃料消费增长相关。</w:t>
      </w:r>
    </w:p>
    <w:p>
      <w:pPr>
        <w:bidi w:val="0"/>
        <w:rPr>
          <w:rFonts w:hint="default"/>
          <w:lang w:val="en-US" w:eastAsia="zh-CN"/>
        </w:rPr>
      </w:pPr>
      <w:r>
        <w:rPr>
          <w:rFonts w:hint="eastAsia"/>
          <w:b/>
          <w:bCs/>
          <w:lang w:val="en-US" w:eastAsia="zh-CN"/>
        </w:rPr>
        <w:t>补充监测</w:t>
      </w:r>
      <w:r>
        <w:rPr>
          <w:rFonts w:hint="eastAsia"/>
          <w:lang w:val="en-US" w:eastAsia="zh-CN"/>
        </w:rPr>
        <w:t>：本次大气环境趋势分析引用</w:t>
      </w:r>
      <w:r>
        <w:rPr>
          <w:rFonts w:hint="eastAsia" w:ascii="Times New Roman" w:hAnsi="Times New Roman" w:eastAsia="宋体" w:cs="Times New Roman"/>
          <w:sz w:val="24"/>
          <w:szCs w:val="24"/>
          <w:lang w:val="en-US" w:eastAsia="zh-CN"/>
        </w:rPr>
        <w:t>《湖北阳新经济开发区总体规划（2019-2030）（调整）环境影响报告书》中</w:t>
      </w:r>
      <w:r>
        <w:rPr>
          <w:rFonts w:hint="eastAsia"/>
          <w:lang w:val="en-US" w:eastAsia="zh-CN"/>
        </w:rPr>
        <w:t>大气环境监测数据（2020 年 11 月 30 日至 12 月 6 日进行环境空气质量现状监测、2019年6月4日至14日进行环境空气质量现状监测数据）的结论：“各测点硫酸雾、氨小时浓度、TVOC 8 小时浓度均满足《环境影响评价技术导则 大气环境》（HJ2.2-2018）附表 D.1 中浓度限值要求；氟化物、砷、镉、铬、汞、铅、各测点小时浓度均满足《环境空气质量标准》(GB3095-2012)要求；非甲烷总烃小时浓度均满足《大气污染物综合排放标准详解》中浓度限值要求；二噁英日均浓度值低满足相关标准要求”。本次区域环境质量监测表明</w:t>
      </w:r>
      <w:r>
        <w:rPr>
          <w:rFonts w:hint="eastAsia" w:ascii="Times New Roman" w:hAnsi="Times New Roman" w:eastAsia="宋体" w:cs="Times New Roman"/>
          <w:kern w:val="2"/>
          <w:sz w:val="24"/>
          <w:szCs w:val="24"/>
          <w:lang w:val="zh-CN" w:eastAsia="zh-CN" w:bidi="ar-SA"/>
        </w:rPr>
        <w:t>地区点位在监测周期中均能满足《环境空气质量标准》（GB 3095-2012）及《环境影响评价导则 大气环境》（HJ 2.2-20</w:t>
      </w:r>
      <w:r>
        <w:rPr>
          <w:rFonts w:hint="eastAsia" w:ascii="Times New Roman" w:hAnsi="Times New Roman" w:eastAsia="宋体" w:cs="Times New Roman"/>
          <w:kern w:val="2"/>
          <w:sz w:val="24"/>
          <w:szCs w:val="24"/>
          <w:lang w:val="en-US" w:eastAsia="zh-CN" w:bidi="ar-SA"/>
        </w:rPr>
        <w:t>18</w:t>
      </w:r>
      <w:r>
        <w:rPr>
          <w:rFonts w:hint="eastAsia" w:ascii="Times New Roman" w:hAnsi="Times New Roman" w:eastAsia="宋体" w:cs="Times New Roman"/>
          <w:kern w:val="2"/>
          <w:sz w:val="24"/>
          <w:szCs w:val="24"/>
          <w:lang w:val="zh-CN" w:eastAsia="zh-CN" w:bidi="ar-SA"/>
        </w:rPr>
        <w:t>）附录D要求的相关标准限值。</w:t>
      </w:r>
      <w:r>
        <w:rPr>
          <w:rFonts w:hint="eastAsia" w:cs="Times New Roman"/>
          <w:kern w:val="2"/>
          <w:sz w:val="24"/>
          <w:szCs w:val="24"/>
          <w:lang w:val="en-US" w:eastAsia="zh-CN" w:bidi="ar-SA"/>
        </w:rPr>
        <w:t>区域整体大气环境质量变化趋势不明显，均呈现良好的态势</w:t>
      </w:r>
      <w:r>
        <w:rPr>
          <w:rFonts w:hint="eastAsia" w:ascii="Times New Roman" w:hAnsi="Times New Roman" w:eastAsia="宋体" w:cs="Times New Roman"/>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ind w:leftChars="200"/>
        <w:textAlignment w:val="auto"/>
        <w:rPr>
          <w:rFonts w:hint="eastAsia"/>
          <w:lang w:val="en-US" w:eastAsia="zh-CN"/>
        </w:rPr>
      </w:pPr>
      <w:r>
        <w:rPr>
          <w:rFonts w:hint="eastAsia"/>
          <w:lang w:val="en-US" w:eastAsia="zh-CN"/>
        </w:rPr>
        <w:t>（2）区域环境空气质量小结</w:t>
      </w:r>
    </w:p>
    <w:p>
      <w:pPr>
        <w:ind w:firstLine="482"/>
        <w:rPr>
          <w:rFonts w:hint="eastAsia" w:ascii="Times New Roman" w:hAnsi="Times New Roman" w:eastAsia="宋体" w:cs="Times New Roman"/>
          <w:lang w:eastAsia="zh-CN"/>
        </w:rPr>
      </w:pPr>
      <w:r>
        <w:rPr>
          <w:rFonts w:hint="eastAsia" w:ascii="Times New Roman" w:hAnsi="Times New Roman" w:cs="Times New Roman"/>
          <w:b/>
          <w:lang w:val="en-US" w:eastAsia="zh-CN"/>
        </w:rPr>
        <w:t>常规监测</w:t>
      </w:r>
      <w:r>
        <w:rPr>
          <w:rFonts w:hint="eastAsia" w:ascii="Times New Roman" w:hAnsi="Times New Roman" w:cs="Times New Roman"/>
          <w:b/>
        </w:rPr>
        <w:t>：</w:t>
      </w:r>
      <w:r>
        <w:rPr>
          <w:rFonts w:hint="eastAsia" w:ascii="Times New Roman" w:hAnsi="Times New Roman" w:cs="Times New Roman"/>
          <w:b w:val="0"/>
          <w:bCs w:val="0"/>
          <w:lang w:val="en-US" w:eastAsia="zh-CN"/>
        </w:rPr>
        <w:t>根据</w:t>
      </w:r>
      <w:r>
        <w:rPr>
          <w:rFonts w:ascii="Times New Roman" w:hAnsi="Times New Roman" w:cs="Times New Roman"/>
        </w:rPr>
        <w:t>6项</w:t>
      </w:r>
      <w:r>
        <w:rPr>
          <w:rFonts w:hint="eastAsia" w:ascii="Times New Roman" w:hAnsi="Times New Roman" w:cs="Times New Roman"/>
          <w:lang w:val="en-US" w:eastAsia="zh-CN"/>
        </w:rPr>
        <w:t>阳新县</w:t>
      </w:r>
      <w:r>
        <w:rPr>
          <w:rFonts w:ascii="Times New Roman" w:hAnsi="Times New Roman" w:cs="Times New Roman"/>
        </w:rPr>
        <w:t>常规监测</w:t>
      </w:r>
      <w:r>
        <w:rPr>
          <w:rFonts w:hint="eastAsia" w:ascii="Times New Roman" w:hAnsi="Times New Roman" w:cs="Times New Roman"/>
          <w:lang w:val="en-US" w:eastAsia="zh-CN"/>
        </w:rPr>
        <w:t>数据表明，2021年阳新县6项大气常规监测</w:t>
      </w:r>
      <w:r>
        <w:rPr>
          <w:rFonts w:ascii="Times New Roman" w:hAnsi="Times New Roman" w:cs="Times New Roman"/>
        </w:rPr>
        <w:t>因子的占标率均低于100%，区域SO</w:t>
      </w:r>
      <w:r>
        <w:rPr>
          <w:rFonts w:ascii="Times New Roman" w:hAnsi="Times New Roman" w:cs="Times New Roman"/>
          <w:vertAlign w:val="subscript"/>
        </w:rPr>
        <w:t>2</w:t>
      </w:r>
      <w:r>
        <w:rPr>
          <w:rFonts w:ascii="Times New Roman" w:hAnsi="Times New Roman" w:cs="Times New Roman"/>
        </w:rPr>
        <w:t>、NO</w:t>
      </w:r>
      <w:r>
        <w:rPr>
          <w:rFonts w:ascii="Times New Roman" w:hAnsi="Times New Roman" w:cs="Times New Roman"/>
          <w:vertAlign w:val="subscript"/>
        </w:rPr>
        <w:t>2</w:t>
      </w:r>
      <w:r>
        <w:rPr>
          <w:rFonts w:ascii="Times New Roman" w:hAnsi="Times New Roman" w:cs="Times New Roman"/>
        </w:rPr>
        <w:t>、PM</w:t>
      </w:r>
      <w:r>
        <w:rPr>
          <w:rFonts w:ascii="Times New Roman" w:hAnsi="Times New Roman" w:cs="Times New Roman"/>
          <w:vertAlign w:val="subscript"/>
        </w:rPr>
        <w:t>10</w:t>
      </w:r>
      <w:r>
        <w:rPr>
          <w:rFonts w:ascii="Times New Roman" w:hAnsi="Times New Roman" w:cs="Times New Roman"/>
        </w:rPr>
        <w:t>、PM</w:t>
      </w:r>
      <w:r>
        <w:rPr>
          <w:rFonts w:ascii="Times New Roman" w:hAnsi="Times New Roman" w:cs="Times New Roman"/>
          <w:vertAlign w:val="subscript"/>
        </w:rPr>
        <w:t>2.5</w:t>
      </w:r>
      <w:r>
        <w:rPr>
          <w:rFonts w:ascii="Times New Roman" w:hAnsi="Times New Roman" w:cs="Times New Roman"/>
        </w:rPr>
        <w:t>、CO和O</w:t>
      </w:r>
      <w:r>
        <w:rPr>
          <w:rFonts w:ascii="Times New Roman" w:hAnsi="Times New Roman" w:cs="Times New Roman"/>
          <w:vertAlign w:val="subscript"/>
        </w:rPr>
        <w:t>3</w:t>
      </w:r>
      <w:r>
        <w:rPr>
          <w:rFonts w:ascii="Times New Roman" w:hAnsi="Times New Roman" w:cs="Times New Roman"/>
        </w:rPr>
        <w:t>评价指标均满足《环境空气质量标准》（</w:t>
      </w:r>
      <w:r>
        <w:rPr>
          <w:rFonts w:ascii="Times New Roman" w:hAnsi="Times New Roman" w:cs="Times New Roman"/>
          <w:szCs w:val="21"/>
        </w:rPr>
        <w:t>GB</w:t>
      </w:r>
      <w:r>
        <w:rPr>
          <w:rFonts w:ascii="Times New Roman" w:hAnsi="Times New Roman" w:cs="Times New Roman"/>
          <w:spacing w:val="-1"/>
          <w:szCs w:val="21"/>
        </w:rPr>
        <w:t xml:space="preserve"> </w:t>
      </w:r>
      <w:r>
        <w:rPr>
          <w:rFonts w:ascii="Times New Roman" w:hAnsi="Times New Roman" w:cs="Times New Roman"/>
          <w:szCs w:val="21"/>
        </w:rPr>
        <w:t>3095</w:t>
      </w:r>
      <w:r>
        <w:rPr>
          <w:rFonts w:ascii="Times New Roman" w:hAnsi="Times New Roman" w:cs="Times New Roman"/>
          <w:spacing w:val="-1"/>
          <w:szCs w:val="21"/>
        </w:rPr>
        <w:t>-</w:t>
      </w:r>
      <w:r>
        <w:rPr>
          <w:rFonts w:ascii="Times New Roman" w:hAnsi="Times New Roman" w:cs="Times New Roman"/>
          <w:szCs w:val="21"/>
        </w:rPr>
        <w:t>201</w:t>
      </w:r>
      <w:r>
        <w:rPr>
          <w:rFonts w:ascii="Times New Roman" w:hAnsi="Times New Roman" w:cs="Times New Roman"/>
          <w:spacing w:val="-41"/>
          <w:szCs w:val="21"/>
        </w:rPr>
        <w:t>2</w:t>
      </w:r>
      <w:r>
        <w:rPr>
          <w:rFonts w:ascii="Times New Roman" w:hAnsi="Times New Roman" w:cs="Times New Roman"/>
        </w:rPr>
        <w:t>）二级标准的要求</w:t>
      </w:r>
      <w:r>
        <w:rPr>
          <w:rFonts w:hint="eastAsia" w:ascii="Times New Roman" w:hAnsi="Times New Roman" w:cs="Times New Roman"/>
          <w:lang w:eastAsia="zh-CN"/>
        </w:rPr>
        <w:t>。</w:t>
      </w:r>
    </w:p>
    <w:p>
      <w:pPr>
        <w:ind w:firstLine="482"/>
        <w:rPr>
          <w:rFonts w:ascii="Times New Roman" w:hAnsi="Times New Roman" w:cs="Times New Roman"/>
          <w:szCs w:val="24"/>
        </w:rPr>
      </w:pPr>
      <w:r>
        <w:rPr>
          <w:rFonts w:hint="eastAsia" w:ascii="Times New Roman" w:hAnsi="Times New Roman" w:cs="Times New Roman"/>
          <w:b/>
        </w:rPr>
        <w:t>补充监测：</w:t>
      </w:r>
      <w:r>
        <w:rPr>
          <w:rFonts w:hint="eastAsia"/>
          <w:lang w:val="en-US" w:eastAsia="zh-CN"/>
        </w:rPr>
        <w:t>除9月24日石家畈点位甲苯超标外（超标倍数为0.4667）</w:t>
      </w:r>
      <w:r>
        <w:rPr>
          <w:rFonts w:hint="eastAsia" w:ascii="Times New Roman" w:hAnsi="Times New Roman" w:eastAsia="宋体" w:cs="Times New Roman"/>
          <w:kern w:val="2"/>
          <w:sz w:val="24"/>
          <w:szCs w:val="24"/>
          <w:lang w:val="zh-CN" w:eastAsia="zh-CN" w:bidi="ar-SA"/>
        </w:rPr>
        <w:t>，其余地区点位在监测周期中均能满足《环境空气质量标准》（GB 3095-2012）及《环境影响评价导则 大气环境》（HJ 2.2-20</w:t>
      </w:r>
      <w:r>
        <w:rPr>
          <w:rFonts w:hint="eastAsia" w:ascii="Times New Roman" w:hAnsi="Times New Roman" w:eastAsia="宋体" w:cs="Times New Roman"/>
          <w:kern w:val="2"/>
          <w:sz w:val="24"/>
          <w:szCs w:val="24"/>
          <w:lang w:val="en-US" w:eastAsia="zh-CN" w:bidi="ar-SA"/>
        </w:rPr>
        <w:t>18</w:t>
      </w:r>
      <w:r>
        <w:rPr>
          <w:rFonts w:hint="eastAsia" w:ascii="Times New Roman" w:hAnsi="Times New Roman" w:eastAsia="宋体" w:cs="Times New Roman"/>
          <w:kern w:val="2"/>
          <w:sz w:val="24"/>
          <w:szCs w:val="24"/>
          <w:lang w:val="zh-CN" w:eastAsia="zh-CN" w:bidi="ar-SA"/>
        </w:rPr>
        <w:t>）附录D要求的相关标准限值。</w:t>
      </w:r>
      <w:r>
        <w:rPr>
          <w:rFonts w:hint="eastAsia" w:cs="Times New Roman"/>
          <w:kern w:val="2"/>
          <w:sz w:val="24"/>
          <w:szCs w:val="24"/>
          <w:lang w:val="en-US" w:eastAsia="zh-CN" w:bidi="ar-SA"/>
        </w:rPr>
        <w:t>区域整体环境质量良好</w:t>
      </w:r>
      <w:r>
        <w:rPr>
          <w:rFonts w:ascii="Times New Roman" w:hAnsi="Times New Roman" w:cs="Times New Roman"/>
          <w:szCs w:val="24"/>
        </w:rPr>
        <w:t>。</w:t>
      </w:r>
    </w:p>
    <w:p>
      <w:pPr>
        <w:pStyle w:val="5"/>
        <w:bidi w:val="0"/>
        <w:rPr>
          <w:color w:val="auto"/>
        </w:rPr>
      </w:pPr>
      <w:r>
        <w:rPr>
          <w:color w:val="auto"/>
        </w:rPr>
        <w:t>区域环境地表水质量变化趋势</w:t>
      </w:r>
      <w:bookmarkEnd w:id="34"/>
    </w:p>
    <w:p>
      <w:pPr>
        <w:numPr>
          <w:ilvl w:val="0"/>
          <w:numId w:val="4"/>
        </w:numPr>
        <w:bidi w:val="0"/>
        <w:rPr>
          <w:rFonts w:hint="eastAsia"/>
          <w:lang w:val="en-US" w:eastAsia="zh-CN"/>
        </w:rPr>
      </w:pPr>
      <w:r>
        <w:rPr>
          <w:rFonts w:hint="eastAsia"/>
          <w:lang w:val="en-US" w:eastAsia="zh-CN"/>
        </w:rPr>
        <w:t>长江（黄石段）</w:t>
      </w:r>
    </w:p>
    <w:p>
      <w:pPr>
        <w:pStyle w:val="25"/>
        <w:bidi w:val="0"/>
        <w:rPr>
          <w:rFonts w:hint="eastAsia"/>
          <w:lang w:val="en-US" w:eastAsia="zh-CN"/>
        </w:rPr>
      </w:pPr>
      <w:r>
        <w:rPr>
          <w:rFonts w:hint="eastAsia"/>
          <w:lang w:val="en-US" w:eastAsia="zh-CN"/>
        </w:rPr>
        <w:t>根据2018-2021年黄石市环境状况公报及本次补充监测数据，长江（黄石段）整体水质状况较优，能达到地表水环境质量标准的要求，2018-2021年整体总体水质状况趋向良好，2018-2021年水质均能达到Ⅱ类水质的要求。</w:t>
      </w:r>
    </w:p>
    <w:p>
      <w:pPr>
        <w:pStyle w:val="25"/>
        <w:bidi w:val="0"/>
        <w:rPr>
          <w:rFonts w:hint="default"/>
          <w:lang w:val="en-US" w:eastAsia="zh-CN"/>
        </w:rPr>
      </w:pPr>
      <w:r>
        <w:rPr>
          <w:rFonts w:hint="eastAsia"/>
          <w:lang w:val="en-US" w:eastAsia="zh-CN"/>
        </w:rPr>
        <w:t>同时引用《湖北阳新经济开发区总体规划（2019-2030）（调整）环境影响报告书》中2020年12月1日至12月2日地表水监测数据与长江段补充监测数据趋势分析数据进行对比。点位W10对比本次“W1园区污水处理厂排污口上游500m断面”，W11对比本次“园区污水处理厂下游2000m断面（W3）。监测数据表明，本次监测点位W1及W3对应的历史点位数据均为达标。从趋势上来看，整体来说水质变化不大，部分监测因子可能因为水温季节的原因有所区别，但整体来说，区域水质变化情况不大，根据本次补充监测数据及历史监测数据，表明区域地表水环境质量良好，污染物浓度均能满足水体要求的相应标准。</w:t>
      </w:r>
    </w:p>
    <w:p>
      <w:pPr>
        <w:numPr>
          <w:ilvl w:val="0"/>
          <w:numId w:val="4"/>
        </w:numPr>
        <w:bidi w:val="0"/>
        <w:rPr>
          <w:rFonts w:hint="eastAsia"/>
          <w:lang w:val="en-US" w:eastAsia="zh-CN"/>
        </w:rPr>
      </w:pPr>
      <w:r>
        <w:rPr>
          <w:rFonts w:hint="eastAsia"/>
          <w:lang w:val="en-US" w:eastAsia="zh-CN"/>
        </w:rPr>
        <w:t>富河</w:t>
      </w:r>
    </w:p>
    <w:p>
      <w:pPr>
        <w:pStyle w:val="25"/>
        <w:bidi w:val="0"/>
        <w:rPr>
          <w:rFonts w:hint="default" w:ascii="Times New Roman" w:hAnsi="Times New Roman" w:cs="Times New Roman"/>
          <w:lang w:val="en-US" w:eastAsia="zh-CN"/>
        </w:rPr>
      </w:pPr>
      <w:r>
        <w:rPr>
          <w:rFonts w:hint="default" w:ascii="Times New Roman" w:hAnsi="Times New Roman" w:cs="Times New Roman"/>
          <w:lang w:val="en-US" w:eastAsia="zh-CN"/>
        </w:rPr>
        <w:t>根据</w:t>
      </w:r>
      <w:r>
        <w:rPr>
          <w:rFonts w:hint="default" w:ascii="Times New Roman" w:hAnsi="Times New Roman" w:cs="Times New Roman"/>
          <w:color w:val="000000"/>
          <w:kern w:val="0"/>
          <w:sz w:val="24"/>
          <w:szCs w:val="24"/>
          <w:lang w:val="en-US" w:eastAsia="zh-CN" w:bidi="ar"/>
        </w:rPr>
        <w:t>2018-2021年</w:t>
      </w:r>
      <w:r>
        <w:rPr>
          <w:rFonts w:hint="default" w:ascii="Times New Roman" w:hAnsi="Times New Roman" w:eastAsia="宋体" w:cs="Times New Roman"/>
          <w:color w:val="000000"/>
          <w:kern w:val="0"/>
          <w:sz w:val="24"/>
          <w:szCs w:val="24"/>
          <w:lang w:val="en-US" w:eastAsia="zh-CN" w:bidi="ar"/>
        </w:rPr>
        <w:t>黄石市环境状况公报</w:t>
      </w:r>
      <w:r>
        <w:rPr>
          <w:rFonts w:hint="default" w:ascii="Times New Roman" w:hAnsi="Times New Roman" w:cs="Times New Roman"/>
          <w:color w:val="000000"/>
          <w:kern w:val="0"/>
          <w:sz w:val="24"/>
          <w:szCs w:val="24"/>
          <w:lang w:val="en-US" w:eastAsia="zh-CN" w:bidi="ar"/>
        </w:rPr>
        <w:t>数据，新富水镇（E114°52'51.81"</w:t>
      </w:r>
      <w:r>
        <w:rPr>
          <w:rFonts w:hint="eastAsia" w:cs="Times New Roman"/>
          <w:color w:val="000000"/>
          <w:kern w:val="0"/>
          <w:sz w:val="24"/>
          <w:szCs w:val="24"/>
          <w:lang w:val="en-US" w:eastAsia="zh-CN" w:bidi="ar"/>
        </w:rPr>
        <w:t>，</w:t>
      </w:r>
      <w:r>
        <w:rPr>
          <w:rFonts w:hint="default" w:ascii="Times New Roman" w:hAnsi="Times New Roman" w:cs="Times New Roman"/>
          <w:color w:val="000000"/>
          <w:kern w:val="0"/>
          <w:sz w:val="24"/>
          <w:szCs w:val="24"/>
          <w:lang w:val="en-US" w:eastAsia="zh-CN" w:bidi="ar"/>
        </w:rPr>
        <w:t>N29°41'45.21" ） 和富池闸（E115°25'51.53"</w:t>
      </w:r>
      <w:r>
        <w:rPr>
          <w:rFonts w:hint="eastAsia" w:cs="Times New Roman"/>
          <w:color w:val="000000"/>
          <w:kern w:val="0"/>
          <w:sz w:val="24"/>
          <w:szCs w:val="24"/>
          <w:lang w:val="en-US" w:eastAsia="zh-CN" w:bidi="ar"/>
        </w:rPr>
        <w:t>，</w:t>
      </w:r>
      <w:r>
        <w:rPr>
          <w:rFonts w:hint="default" w:ascii="Times New Roman" w:hAnsi="Times New Roman" w:cs="Times New Roman"/>
          <w:color w:val="000000"/>
          <w:kern w:val="0"/>
          <w:sz w:val="24"/>
          <w:szCs w:val="24"/>
          <w:lang w:val="en-US" w:eastAsia="zh-CN" w:bidi="ar"/>
        </w:rPr>
        <w:t>N29°52'23.51" ），该两个监测点位在2017年至2021监测数据显示，水质监测指标均满足Ⅲ类标准要求。</w:t>
      </w:r>
    </w:p>
    <w:p>
      <w:pPr>
        <w:numPr>
          <w:ilvl w:val="0"/>
          <w:numId w:val="4"/>
        </w:numPr>
        <w:bidi w:val="0"/>
        <w:rPr>
          <w:rFonts w:hint="eastAsia"/>
          <w:lang w:val="en-US" w:eastAsia="zh-CN"/>
        </w:rPr>
      </w:pPr>
      <w:r>
        <w:rPr>
          <w:rFonts w:hint="eastAsia"/>
          <w:lang w:val="en-US" w:eastAsia="zh-CN"/>
        </w:rPr>
        <w:t>网湖</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根据区域对网湖的常规监测数据，区域在网湖湖心设置了1个常规监测点位（E115°19'30.00", N29°51'48.00"）。监测数据显示，网湖湖心水质2017-2021年监测指标均不满足Ⅲ类标准要求，主要超标项目为总磷，超标原因主要受流域生活污水、养殖及农业面源排放影响，本次评价区域位于网湖下游，网湖不为区域排污受纳水体，区域发展对网湖水环境影响不大。</w:t>
      </w:r>
    </w:p>
    <w:p>
      <w:pPr>
        <w:numPr>
          <w:ilvl w:val="0"/>
          <w:numId w:val="4"/>
        </w:numPr>
        <w:bidi w:val="0"/>
        <w:rPr>
          <w:rFonts w:hint="eastAsia"/>
          <w:lang w:val="en-US" w:eastAsia="zh-CN"/>
        </w:rPr>
      </w:pPr>
      <w:r>
        <w:rPr>
          <w:rFonts w:hint="eastAsia"/>
          <w:lang w:val="en-US" w:eastAsia="zh-CN"/>
        </w:rPr>
        <w:t>朱婆湖</w:t>
      </w:r>
    </w:p>
    <w:p>
      <w:pPr>
        <w:pStyle w:val="25"/>
        <w:bidi w:val="0"/>
        <w:rPr>
          <w:rFonts w:hint="eastAsia"/>
          <w:lang w:val="en-US" w:eastAsia="zh-CN"/>
        </w:rPr>
      </w:pPr>
      <w:r>
        <w:rPr>
          <w:rFonts w:hint="default"/>
          <w:lang w:val="en-US" w:eastAsia="zh-CN"/>
        </w:rPr>
        <w:t>根据</w:t>
      </w:r>
      <w:r>
        <w:rPr>
          <w:rFonts w:hint="eastAsia"/>
          <w:lang w:val="en-US" w:eastAsia="zh-CN"/>
        </w:rPr>
        <w:t>区域2017-2021年</w:t>
      </w:r>
      <w:r>
        <w:rPr>
          <w:rFonts w:hint="default"/>
          <w:lang w:val="en-US" w:eastAsia="zh-CN"/>
        </w:rPr>
        <w:t>对朱婆湖的常规监测数据，</w:t>
      </w:r>
      <w:r>
        <w:rPr>
          <w:rFonts w:hint="eastAsia"/>
          <w:lang w:val="en-US" w:eastAsia="zh-CN"/>
        </w:rPr>
        <w:t>区域</w:t>
      </w:r>
      <w:r>
        <w:rPr>
          <w:rFonts w:hint="default"/>
          <w:lang w:val="en-US" w:eastAsia="zh-CN"/>
        </w:rPr>
        <w:t>在朱婆湖湖心设置了1个常规监测点位（E115°23'23.00"</w:t>
      </w:r>
      <w:r>
        <w:rPr>
          <w:rFonts w:hint="eastAsia"/>
          <w:lang w:val="en-US" w:eastAsia="zh-CN"/>
        </w:rPr>
        <w:t>，</w:t>
      </w:r>
      <w:r>
        <w:rPr>
          <w:rFonts w:hint="default"/>
          <w:lang w:val="en-US" w:eastAsia="zh-CN"/>
        </w:rPr>
        <w:t>N29°49'41.00"）。</w:t>
      </w:r>
      <w:r>
        <w:rPr>
          <w:rFonts w:hint="eastAsia"/>
          <w:lang w:val="en-US" w:eastAsia="zh-CN"/>
        </w:rPr>
        <w:t>监测数据显示，</w:t>
      </w:r>
      <w:r>
        <w:rPr>
          <w:rFonts w:hint="default"/>
          <w:lang w:val="en-US" w:eastAsia="zh-CN"/>
        </w:rPr>
        <w:t>朱婆湖湖心</w:t>
      </w:r>
      <w:r>
        <w:rPr>
          <w:rFonts w:hint="eastAsia"/>
          <w:lang w:val="en-US" w:eastAsia="zh-CN"/>
        </w:rPr>
        <w:t>水质2017-2021年监测指标均不满足Ⅲ类标准要求，近三年朱婆湖水质总氮、总磷均出现超标现象，超标原因主要受流域生活污水、养殖及农业面源排放影响，本次评价区域位于朱婆湖下游，朱婆湖不为区域排污受纳水体，区域发展对朱婆湖水环境影响不大。</w:t>
      </w: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pPr>
    </w:p>
    <w:p>
      <w:pPr>
        <w:pStyle w:val="25"/>
        <w:bidi w:val="0"/>
        <w:rPr>
          <w:rFonts w:hint="eastAsia"/>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rPr>
          <w:rFonts w:hint="default"/>
        </w:rPr>
      </w:pPr>
      <w:bookmarkStart w:id="35" w:name="_Toc156"/>
      <w:bookmarkStart w:id="36" w:name="_Toc15113"/>
      <w:r>
        <w:rPr>
          <w:rFonts w:hint="default"/>
        </w:rPr>
        <w:t>规划区域开发现状概述、规划制约因素</w:t>
      </w:r>
      <w:bookmarkEnd w:id="35"/>
      <w:bookmarkEnd w:id="36"/>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color w:val="auto"/>
          <w:lang w:val="en-US" w:eastAsia="zh-CN"/>
        </w:rPr>
      </w:pPr>
      <w:bookmarkStart w:id="37" w:name="_Toc1256"/>
      <w:r>
        <w:rPr>
          <w:rFonts w:hint="eastAsia"/>
          <w:color w:val="auto"/>
          <w:lang w:val="en-US" w:eastAsia="zh-CN"/>
        </w:rPr>
        <w:t>园区开发建设现状</w:t>
      </w:r>
      <w:bookmarkEnd w:id="37"/>
    </w:p>
    <w:p>
      <w:pPr>
        <w:pStyle w:val="5"/>
        <w:bidi w:val="0"/>
        <w:rPr>
          <w:rFonts w:hint="eastAsia"/>
          <w:color w:val="auto"/>
          <w:lang w:val="en-US" w:eastAsia="zh-CN"/>
        </w:rPr>
      </w:pPr>
      <w:r>
        <w:rPr>
          <w:rFonts w:hint="eastAsia"/>
          <w:color w:val="auto"/>
          <w:lang w:val="en-US" w:eastAsia="zh-CN"/>
        </w:rPr>
        <w:t>园区土地利用情况</w:t>
      </w:r>
    </w:p>
    <w:p>
      <w:pPr>
        <w:rPr>
          <w:rFonts w:hint="eastAsia"/>
          <w:lang w:val="en-US" w:eastAsia="zh-CN"/>
        </w:rPr>
      </w:pPr>
      <w:r>
        <w:rPr>
          <w:rFonts w:hint="eastAsia"/>
          <w:lang w:val="en-US" w:eastAsia="zh-CN"/>
        </w:rPr>
        <w:t>根据《阳新经济开发区滨江工业园（医药化工园区）总体规划》，园区地处富池镇区东侧，东西长约2200米，南北长约1500米，区内土地西南边分布着众多高低起伏的山体；东北部地势相对平坦，园区内现有土地中80%用地位于长江1公里范围线之内。区内用地海拔高度从17.57~93.32米不等，大部分用地高程在20~40米之间。</w:t>
      </w:r>
    </w:p>
    <w:p>
      <w:pPr>
        <w:rPr>
          <w:rFonts w:hint="eastAsia"/>
          <w:lang w:val="en-US" w:eastAsia="zh-CN"/>
        </w:rPr>
      </w:pPr>
      <w:r>
        <w:rPr>
          <w:rFonts w:hint="eastAsia"/>
          <w:lang w:val="en-US" w:eastAsia="zh-CN"/>
        </w:rPr>
        <w:t>园区用地汇总情况如下：</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sz w:val="21"/>
          <w:szCs w:val="21"/>
          <w:highlight w:val="none"/>
          <w:lang w:val="en-US" w:eastAsia="zh-CN"/>
        </w:rPr>
      </w:pPr>
      <w:r>
        <w:rPr>
          <w:rFonts w:hint="default"/>
          <w:b/>
          <w:bCs/>
          <w:sz w:val="21"/>
          <w:szCs w:val="21"/>
          <w:highlight w:val="none"/>
          <w:lang w:val="en-US" w:eastAsia="zh-CN"/>
        </w:rPr>
        <w:t>表</w:t>
      </w:r>
      <w:r>
        <w:rPr>
          <w:rFonts w:hint="eastAsia"/>
          <w:b/>
          <w:bCs/>
          <w:sz w:val="21"/>
          <w:szCs w:val="21"/>
          <w:highlight w:val="none"/>
          <w:lang w:val="en-US" w:eastAsia="zh-CN"/>
        </w:rPr>
        <w:t>4</w:t>
      </w:r>
      <w:r>
        <w:rPr>
          <w:rFonts w:hint="default"/>
          <w:b/>
          <w:bCs/>
          <w:sz w:val="21"/>
          <w:szCs w:val="21"/>
          <w:highlight w:val="none"/>
          <w:lang w:val="en-US" w:eastAsia="zh-CN"/>
        </w:rPr>
        <w:t>.1</w:t>
      </w:r>
      <w:r>
        <w:rPr>
          <w:rFonts w:hint="eastAsia"/>
          <w:b/>
          <w:bCs/>
          <w:sz w:val="21"/>
          <w:szCs w:val="21"/>
          <w:highlight w:val="none"/>
          <w:lang w:val="en-US" w:eastAsia="zh-CN"/>
        </w:rPr>
        <w:t>.1</w:t>
      </w:r>
      <w:r>
        <w:rPr>
          <w:rFonts w:hint="default"/>
          <w:b/>
          <w:bCs/>
          <w:sz w:val="21"/>
          <w:szCs w:val="21"/>
          <w:highlight w:val="none"/>
          <w:lang w:val="en-US" w:eastAsia="zh-CN"/>
        </w:rPr>
        <w:t>-1 现状城乡用地汇总表</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990"/>
        <w:gridCol w:w="1110"/>
        <w:gridCol w:w="2692"/>
        <w:gridCol w:w="1355"/>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7" w:hRule="atLeast"/>
          <w:tblHeader/>
        </w:trPr>
        <w:tc>
          <w:tcPr>
            <w:tcW w:w="1781" w:type="pct"/>
            <w:gridSpan w:val="3"/>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用地代码</w:t>
            </w:r>
          </w:p>
        </w:tc>
        <w:tc>
          <w:tcPr>
            <w:tcW w:w="1579" w:type="pct"/>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用地名称</w:t>
            </w:r>
          </w:p>
        </w:tc>
        <w:tc>
          <w:tcPr>
            <w:tcW w:w="795" w:type="pct"/>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用地面积</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（公顷）</w:t>
            </w:r>
          </w:p>
        </w:tc>
        <w:tc>
          <w:tcPr>
            <w:tcW w:w="842" w:type="pct"/>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占城市建设</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rFonts w:hint="eastAsia"/>
                <w:sz w:val="21"/>
                <w:szCs w:val="21"/>
                <w:lang w:val="en-US" w:eastAsia="zh-CN"/>
              </w:rPr>
              <w:t>用地比例（%）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blHeader/>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大类</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中/小类</w:t>
            </w:r>
          </w:p>
        </w:tc>
        <w:tc>
          <w:tcPr>
            <w:tcW w:w="1579" w:type="pct"/>
            <w:vMerge w:val="continue"/>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p>
        </w:tc>
        <w:tc>
          <w:tcPr>
            <w:tcW w:w="795" w:type="pct"/>
            <w:vMerge w:val="continue"/>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p>
        </w:tc>
        <w:tc>
          <w:tcPr>
            <w:tcW w:w="842" w:type="pct"/>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A</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公共管理与公共服务设施用地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sz w:val="21"/>
                <w:szCs w:val="21"/>
                <w:lang w:val="en-US" w:eastAsia="zh-CN"/>
              </w:rPr>
              <w:t>0.</w:t>
            </w:r>
            <w:r>
              <w:rPr>
                <w:rFonts w:hint="eastAsia"/>
                <w:sz w:val="21"/>
                <w:szCs w:val="21"/>
                <w:lang w:val="en-US" w:eastAsia="zh-CN"/>
              </w:rPr>
              <w:t>24</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sz w:val="21"/>
                <w:szCs w:val="21"/>
                <w:lang w:val="en-US" w:eastAsia="zh-CN"/>
              </w:rPr>
              <w:t>0.</w:t>
            </w:r>
            <w:r>
              <w:rPr>
                <w:rFonts w:hint="eastAsia"/>
                <w:sz w:val="21"/>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A7</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文物古迹设施用地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0.24</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r>
              <w:rPr>
                <w:sz w:val="21"/>
                <w:szCs w:val="21"/>
                <w:lang w:val="en-US" w:eastAsia="zh-CN"/>
              </w:rPr>
              <w:t>0.</w:t>
            </w:r>
            <w:r>
              <w:rPr>
                <w:rFonts w:hint="eastAsia"/>
                <w:sz w:val="21"/>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M</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工业用地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132.15</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r>
              <w:rPr>
                <w:rFonts w:hint="eastAsia"/>
                <w:sz w:val="21"/>
                <w:szCs w:val="21"/>
                <w:lang w:val="en-US" w:eastAsia="zh-CN"/>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M1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lang w:val="en-US" w:eastAsia="zh-CN"/>
              </w:rPr>
              <w:t>一类</w:t>
            </w:r>
            <w:r>
              <w:rPr>
                <w:sz w:val="21"/>
                <w:szCs w:val="21"/>
                <w:lang w:val="en-US" w:eastAsia="zh-CN"/>
              </w:rPr>
              <w:t>工业用地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75.36</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r>
              <w:rPr>
                <w:rFonts w:hint="eastAsia"/>
                <w:sz w:val="21"/>
                <w:szCs w:val="21"/>
                <w:lang w:val="en-US" w:eastAsia="zh-CN"/>
              </w:rPr>
              <w:t>47.77%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M2</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 w:val="21"/>
                <w:szCs w:val="21"/>
                <w:lang w:val="en-US" w:eastAsia="zh-CN"/>
              </w:rPr>
            </w:pPr>
            <w:r>
              <w:rPr>
                <w:rFonts w:hint="eastAsia"/>
                <w:sz w:val="21"/>
                <w:szCs w:val="21"/>
                <w:lang w:val="en-US" w:eastAsia="zh-CN"/>
              </w:rPr>
              <w:t>二类</w:t>
            </w:r>
            <w:r>
              <w:rPr>
                <w:sz w:val="21"/>
                <w:szCs w:val="21"/>
                <w:lang w:val="en-US" w:eastAsia="zh-CN"/>
              </w:rPr>
              <w:t>工业用地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56.79</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S</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道路与交通设施用地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10.53</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S1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城市道路用地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9.79</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S4</w:t>
            </w:r>
          </w:p>
        </w:tc>
        <w:tc>
          <w:tcPr>
            <w:tcW w:w="65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S42</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停车场用地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0.74</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U</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公用设施用地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5.78</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581" w:type="pct"/>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U2</w:t>
            </w:r>
          </w:p>
        </w:tc>
        <w:tc>
          <w:tcPr>
            <w:tcW w:w="65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U21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排水设施用地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3.47</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581" w:type="pct"/>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p>
        </w:tc>
        <w:tc>
          <w:tcPr>
            <w:tcW w:w="65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U22</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环卫设施用地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0.45</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U3</w:t>
            </w:r>
          </w:p>
        </w:tc>
        <w:tc>
          <w:tcPr>
            <w:tcW w:w="65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U31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消防设施</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1.86</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G</w:t>
            </w: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US" w:eastAsia="zh-CN"/>
              </w:rPr>
            </w:pPr>
            <w:r>
              <w:rPr>
                <w:rFonts w:ascii="Times New Roman" w:hAnsi="Times New Roman" w:eastAsia="宋体" w:cstheme="minorBidi"/>
                <w:color w:val="auto"/>
                <w:kern w:val="2"/>
                <w:sz w:val="21"/>
                <w:szCs w:val="21"/>
                <w:lang w:val="en-US" w:eastAsia="zh-CN" w:bidi="ar-SA"/>
              </w:rPr>
              <w:t>绿地与广场用地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9.07</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49"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lang w:val="en-US" w:eastAsia="zh-CN"/>
              </w:rPr>
            </w:pPr>
          </w:p>
        </w:tc>
        <w:tc>
          <w:tcPr>
            <w:tcW w:w="123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G2</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heme="minorBidi"/>
                <w:color w:val="auto"/>
                <w:kern w:val="2"/>
                <w:sz w:val="21"/>
                <w:szCs w:val="21"/>
                <w:lang w:val="en-US" w:eastAsia="zh-CN" w:bidi="ar-SA"/>
              </w:rPr>
            </w:pPr>
            <w:r>
              <w:rPr>
                <w:rFonts w:hint="eastAsia" w:ascii="Times New Roman" w:hAnsi="Times New Roman" w:cstheme="minorBidi"/>
                <w:color w:val="auto"/>
                <w:kern w:val="2"/>
                <w:sz w:val="21"/>
                <w:szCs w:val="21"/>
                <w:lang w:val="en-US" w:eastAsia="zh-CN" w:bidi="ar-SA"/>
              </w:rPr>
              <w:t>防护绿地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sz w:val="21"/>
                <w:szCs w:val="21"/>
                <w:lang w:val="en-US" w:eastAsia="zh-CN"/>
              </w:rPr>
              <w:t>9.07</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heme="minorBidi"/>
                <w:color w:val="auto"/>
                <w:kern w:val="2"/>
                <w:sz w:val="21"/>
                <w:szCs w:val="21"/>
                <w:lang w:val="en-US" w:eastAsia="zh-CN" w:bidi="ar-SA"/>
              </w:rPr>
            </w:pPr>
            <w:r>
              <w:rPr>
                <w:rFonts w:hint="eastAsia"/>
                <w:sz w:val="21"/>
                <w:szCs w:val="21"/>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781" w:type="pct"/>
            <w:gridSpan w:val="3"/>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H11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城市建设用地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157.77</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81" w:type="pct"/>
            <w:gridSpan w:val="3"/>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H22</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rFonts w:hint="eastAsia"/>
                <w:sz w:val="21"/>
                <w:szCs w:val="21"/>
                <w:lang w:val="en-US" w:eastAsia="zh-CN"/>
              </w:rPr>
              <w:t>公路用地</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4.48</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81" w:type="pct"/>
            <w:gridSpan w:val="3"/>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B1</w:t>
            </w:r>
          </w:p>
        </w:tc>
        <w:tc>
          <w:tcPr>
            <w:tcW w:w="157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sz w:val="21"/>
                <w:szCs w:val="21"/>
                <w:lang w:val="en-US" w:eastAsia="zh-CN"/>
              </w:rPr>
              <w:t>水域</w:t>
            </w:r>
          </w:p>
        </w:tc>
        <w:tc>
          <w:tcPr>
            <w:tcW w:w="79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7.20</w:t>
            </w:r>
          </w:p>
        </w:tc>
        <w:tc>
          <w:tcPr>
            <w:tcW w:w="842"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781" w:type="pct"/>
            <w:gridSpan w:val="3"/>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规划范围</w:t>
            </w:r>
          </w:p>
        </w:tc>
        <w:tc>
          <w:tcPr>
            <w:tcW w:w="1579" w:type="pc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p>
        </w:tc>
        <w:tc>
          <w:tcPr>
            <w:tcW w:w="795" w:type="pc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169.45</w:t>
            </w:r>
          </w:p>
        </w:tc>
        <w:tc>
          <w:tcPr>
            <w:tcW w:w="842" w:type="pct"/>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rPr>
            </w:pPr>
          </w:p>
        </w:tc>
      </w:tr>
    </w:tbl>
    <w:p>
      <w:pPr>
        <w:rPr>
          <w:rFonts w:hint="default"/>
          <w:lang w:val="en-US" w:eastAsia="zh-CN"/>
        </w:rPr>
      </w:pPr>
      <w:r>
        <w:rPr>
          <w:rFonts w:hint="eastAsia"/>
          <w:lang w:val="en-US" w:eastAsia="zh-CN"/>
        </w:rPr>
        <w:t>由上表可知，规划区总用地面积169.45公顷，其中城镇建设用地157.77公顷，占总用地的96.11%；水域及其他用地7.20公顷，占总用地4.25%。</w:t>
      </w:r>
    </w:p>
    <w:p>
      <w:pPr>
        <w:pStyle w:val="5"/>
        <w:bidi w:val="0"/>
        <w:rPr>
          <w:rFonts w:hint="eastAsia"/>
          <w:color w:val="auto"/>
          <w:lang w:val="en-US" w:eastAsia="zh-CN"/>
        </w:rPr>
      </w:pPr>
      <w:r>
        <w:rPr>
          <w:rFonts w:hint="eastAsia"/>
          <w:color w:val="auto"/>
          <w:lang w:val="en-US" w:eastAsia="zh-CN"/>
        </w:rPr>
        <w:t>园区人口规模</w:t>
      </w:r>
    </w:p>
    <w:p>
      <w:pPr>
        <w:rPr>
          <w:rFonts w:hint="eastAsia"/>
          <w:lang w:val="en-US" w:eastAsia="zh-CN"/>
        </w:rPr>
      </w:pPr>
      <w:r>
        <w:rPr>
          <w:rFonts w:hint="eastAsia"/>
          <w:lang w:val="en-US" w:eastAsia="zh-CN"/>
        </w:rPr>
        <w:t>园区提供的近五年人口统计如下。</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sz w:val="21"/>
          <w:szCs w:val="21"/>
          <w:lang w:val="en-US" w:eastAsia="zh-CN"/>
        </w:rPr>
      </w:pPr>
      <w:r>
        <w:rPr>
          <w:rFonts w:hint="eastAsia"/>
          <w:b/>
          <w:bCs/>
          <w:sz w:val="21"/>
          <w:szCs w:val="21"/>
          <w:lang w:val="en-US" w:eastAsia="zh-CN"/>
        </w:rPr>
        <w:t>表4.1.2-1 规划区域人口统计情况</w:t>
      </w:r>
    </w:p>
    <w:tbl>
      <w:tblPr>
        <w:tblStyle w:val="17"/>
        <w:tblW w:w="4862"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865"/>
        <w:gridCol w:w="3513"/>
        <w:gridCol w:w="29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序号</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年份</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人口数（人）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2017</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1830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2018</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1980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3</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2019</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2020</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w:t>
            </w:r>
          </w:p>
        </w:tc>
        <w:tc>
          <w:tcPr>
            <w:tcW w:w="21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2021</w:t>
            </w:r>
          </w:p>
        </w:tc>
        <w:tc>
          <w:tcPr>
            <w:tcW w:w="17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2500</w:t>
            </w:r>
          </w:p>
        </w:tc>
      </w:tr>
    </w:tbl>
    <w:p>
      <w:pPr>
        <w:pStyle w:val="5"/>
        <w:bidi w:val="0"/>
        <w:rPr>
          <w:rFonts w:hint="eastAsia"/>
          <w:color w:val="auto"/>
          <w:lang w:val="en-US" w:eastAsia="zh-CN"/>
        </w:rPr>
      </w:pPr>
      <w:r>
        <w:rPr>
          <w:rFonts w:hint="eastAsia"/>
          <w:color w:val="auto"/>
          <w:lang w:val="en-US" w:eastAsia="zh-CN"/>
        </w:rPr>
        <w:t>规划区现有企业产业分析</w:t>
      </w:r>
      <w:r>
        <w:rPr>
          <w:rFonts w:hint="eastAsia"/>
          <w:color w:val="auto"/>
          <w:lang w:val="en-US" w:eastAsia="zh-CN"/>
        </w:rPr>
        <w:tab/>
      </w:r>
    </w:p>
    <w:p>
      <w:pPr>
        <w:rPr>
          <w:rFonts w:hint="eastAsia"/>
          <w:lang w:val="en-US" w:eastAsia="zh-CN"/>
        </w:rPr>
      </w:pPr>
      <w:r>
        <w:rPr>
          <w:rFonts w:hint="eastAsia"/>
          <w:lang w:val="en-US" w:eastAsia="zh-CN"/>
        </w:rPr>
        <w:t>阳新经济开发区滨江工业园（医药化工园区）现有工业企业8家，8家企业均为在产企业，行业类别涉及医药、化工、有色金属矿采选及轻工等4个行业类别。现状工业建成区主要分布于长江1公里范围内，企业产业结构统计表见表4.1.3-1，现有重点企业基本情况一览表详见表4.1.3-2。</w:t>
      </w:r>
    </w:p>
    <w:p>
      <w:pPr>
        <w:pStyle w:val="40"/>
        <w:bidi w:val="0"/>
        <w:jc w:val="center"/>
        <w:rPr>
          <w:rFonts w:hint="eastAsia"/>
          <w:lang w:val="en-US" w:eastAsia="zh-CN"/>
        </w:rPr>
      </w:pPr>
      <w:r>
        <w:rPr>
          <w:rFonts w:hint="eastAsia"/>
          <w:lang w:val="en-US" w:eastAsia="zh-CN"/>
        </w:rPr>
        <w:t>表4.1.3-1 现有在产产业结构统计表</w:t>
      </w:r>
    </w:p>
    <w:tbl>
      <w:tblPr>
        <w:tblStyle w:val="1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3"/>
        <w:gridCol w:w="2707"/>
        <w:gridCol w:w="2804"/>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2" w:type="pct"/>
            <w:tcBorders>
              <w:top w:val="single" w:color="000000" w:sz="12"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序号</w:t>
            </w:r>
          </w:p>
        </w:tc>
        <w:tc>
          <w:tcPr>
            <w:tcW w:w="1588"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行业类别</w:t>
            </w:r>
          </w:p>
        </w:tc>
        <w:tc>
          <w:tcPr>
            <w:tcW w:w="1645" w:type="pct"/>
            <w:tcBorders>
              <w:top w:val="single" w:color="000000" w:sz="12"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在产企业数量（个）</w:t>
            </w:r>
          </w:p>
        </w:tc>
        <w:tc>
          <w:tcPr>
            <w:tcW w:w="883" w:type="pct"/>
            <w:tcBorders>
              <w:top w:val="single" w:color="000000" w:sz="12"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2" w:type="pc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1</w:t>
            </w:r>
          </w:p>
        </w:tc>
        <w:tc>
          <w:tcPr>
            <w:tcW w:w="15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医药</w:t>
            </w:r>
          </w:p>
        </w:tc>
        <w:tc>
          <w:tcPr>
            <w:tcW w:w="16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w:t>
            </w:r>
          </w:p>
        </w:tc>
        <w:tc>
          <w:tcPr>
            <w:tcW w:w="883"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2" w:type="pc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2</w:t>
            </w:r>
          </w:p>
        </w:tc>
        <w:tc>
          <w:tcPr>
            <w:tcW w:w="15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化工</w:t>
            </w:r>
          </w:p>
        </w:tc>
        <w:tc>
          <w:tcPr>
            <w:tcW w:w="16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w:t>
            </w:r>
          </w:p>
        </w:tc>
        <w:tc>
          <w:tcPr>
            <w:tcW w:w="883"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82" w:type="pc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3</w:t>
            </w:r>
          </w:p>
        </w:tc>
        <w:tc>
          <w:tcPr>
            <w:tcW w:w="15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有色金属采选</w:t>
            </w:r>
          </w:p>
        </w:tc>
        <w:tc>
          <w:tcPr>
            <w:tcW w:w="16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w:t>
            </w:r>
          </w:p>
        </w:tc>
        <w:tc>
          <w:tcPr>
            <w:tcW w:w="883"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2" w:type="pct"/>
            <w:tcBorders>
              <w:top w:val="single" w:color="000000" w:sz="8" w:space="0"/>
              <w:left w:val="single" w:color="000000" w:sz="12"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4</w:t>
            </w:r>
          </w:p>
        </w:tc>
        <w:tc>
          <w:tcPr>
            <w:tcW w:w="15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轻工</w:t>
            </w:r>
          </w:p>
        </w:tc>
        <w:tc>
          <w:tcPr>
            <w:tcW w:w="16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1</w:t>
            </w:r>
          </w:p>
        </w:tc>
        <w:tc>
          <w:tcPr>
            <w:tcW w:w="883" w:type="pct"/>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2470" w:type="pct"/>
            <w:gridSpan w:val="2"/>
            <w:tcBorders>
              <w:top w:val="single" w:color="000000" w:sz="8" w:space="0"/>
              <w:left w:val="single" w:color="000000" w:sz="12" w:space="0"/>
              <w:bottom w:val="single" w:color="000000" w:sz="12"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合  计</w:t>
            </w:r>
          </w:p>
        </w:tc>
        <w:tc>
          <w:tcPr>
            <w:tcW w:w="1645"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8</w:t>
            </w:r>
          </w:p>
        </w:tc>
        <w:tc>
          <w:tcPr>
            <w:tcW w:w="883" w:type="pct"/>
            <w:tcBorders>
              <w:top w:val="single" w:color="000000" w:sz="8" w:space="0"/>
              <w:left w:val="single" w:color="000000" w:sz="8" w:space="0"/>
              <w:bottom w:val="single" w:color="000000" w:sz="12" w:space="0"/>
              <w:right w:val="single" w:color="000000" w:sz="12"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100%</w:t>
            </w:r>
          </w:p>
        </w:tc>
      </w:tr>
    </w:tbl>
    <w:p>
      <w:pPr>
        <w:pStyle w:val="1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heme="minorBidi"/>
          <w:b/>
          <w:kern w:val="2"/>
          <w:sz w:val="21"/>
          <w:szCs w:val="24"/>
          <w:lang w:val="en-US" w:eastAsia="zh-CN" w:bidi="ar-SA"/>
        </w:rPr>
      </w:pPr>
    </w:p>
    <w:p>
      <w:pPr>
        <w:pStyle w:val="15"/>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heme="minorBidi"/>
          <w:b/>
          <w:kern w:val="2"/>
          <w:sz w:val="21"/>
          <w:szCs w:val="24"/>
          <w:lang w:val="en-US" w:eastAsia="zh-CN" w:bidi="ar-SA"/>
        </w:rPr>
      </w:pPr>
      <w:r>
        <w:rPr>
          <w:rFonts w:hint="default" w:ascii="Times New Roman" w:hAnsi="Times New Roman" w:eastAsia="宋体" w:cstheme="minorBidi"/>
          <w:b/>
          <w:kern w:val="2"/>
          <w:sz w:val="21"/>
          <w:szCs w:val="24"/>
          <w:lang w:val="en-US" w:eastAsia="zh-CN" w:bidi="ar-SA"/>
        </w:rPr>
        <w:t>表</w:t>
      </w:r>
      <w:r>
        <w:rPr>
          <w:rFonts w:hint="eastAsia" w:eastAsia="宋体" w:cstheme="minorBidi"/>
          <w:b/>
          <w:kern w:val="2"/>
          <w:sz w:val="21"/>
          <w:szCs w:val="24"/>
          <w:lang w:val="en-US" w:eastAsia="zh-CN" w:bidi="ar-SA"/>
        </w:rPr>
        <w:t>4</w:t>
      </w:r>
      <w:r>
        <w:rPr>
          <w:rFonts w:hint="default" w:ascii="Times New Roman" w:hAnsi="Times New Roman" w:eastAsia="宋体" w:cstheme="minorBidi"/>
          <w:b/>
          <w:kern w:val="2"/>
          <w:sz w:val="21"/>
          <w:szCs w:val="24"/>
          <w:lang w:val="en-US" w:eastAsia="zh-CN" w:bidi="ar-SA"/>
        </w:rPr>
        <w:t>.1</w:t>
      </w:r>
      <w:r>
        <w:rPr>
          <w:rFonts w:hint="eastAsia" w:cstheme="minorBidi"/>
          <w:b/>
          <w:kern w:val="2"/>
          <w:sz w:val="21"/>
          <w:szCs w:val="24"/>
          <w:lang w:val="en-US" w:eastAsia="zh-CN" w:bidi="ar-SA"/>
        </w:rPr>
        <w:t>.3</w:t>
      </w:r>
      <w:r>
        <w:rPr>
          <w:rFonts w:hint="default" w:ascii="Times New Roman" w:hAnsi="Times New Roman" w:eastAsia="宋体" w:cstheme="minorBidi"/>
          <w:b/>
          <w:kern w:val="2"/>
          <w:sz w:val="21"/>
          <w:szCs w:val="24"/>
          <w:lang w:val="en-US" w:eastAsia="zh-CN" w:bidi="ar-SA"/>
        </w:rPr>
        <w:t>-</w:t>
      </w:r>
      <w:r>
        <w:rPr>
          <w:rFonts w:hint="eastAsia" w:cstheme="minorBidi"/>
          <w:b/>
          <w:kern w:val="2"/>
          <w:sz w:val="21"/>
          <w:szCs w:val="24"/>
          <w:lang w:val="en-US" w:eastAsia="zh-CN" w:bidi="ar-SA"/>
        </w:rPr>
        <w:t>2</w:t>
      </w:r>
      <w:r>
        <w:rPr>
          <w:rFonts w:hint="default" w:ascii="Times New Roman" w:hAnsi="Times New Roman" w:eastAsia="宋体" w:cstheme="minorBidi"/>
          <w:b/>
          <w:kern w:val="2"/>
          <w:sz w:val="21"/>
          <w:szCs w:val="24"/>
          <w:lang w:val="en-US" w:eastAsia="zh-CN" w:bidi="ar-SA"/>
        </w:rPr>
        <w:t xml:space="preserve"> 重点企业名单及基本情况一览表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1626"/>
        <w:gridCol w:w="750"/>
        <w:gridCol w:w="647"/>
        <w:gridCol w:w="1089"/>
        <w:gridCol w:w="2857"/>
        <w:gridCol w:w="10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序号</w:t>
            </w:r>
          </w:p>
        </w:tc>
        <w:tc>
          <w:tcPr>
            <w:tcW w:w="16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企业名称</w:t>
            </w:r>
          </w:p>
        </w:tc>
        <w:tc>
          <w:tcPr>
            <w:tcW w:w="7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行业类别</w:t>
            </w:r>
          </w:p>
        </w:tc>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在产</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情况</w:t>
            </w:r>
          </w:p>
        </w:tc>
        <w:tc>
          <w:tcPr>
            <w:tcW w:w="10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占地面积（公顷）</w:t>
            </w:r>
          </w:p>
        </w:tc>
        <w:tc>
          <w:tcPr>
            <w:tcW w:w="28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主要产品</w:t>
            </w:r>
          </w:p>
        </w:tc>
        <w:tc>
          <w:tcPr>
            <w:tcW w:w="10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1</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湖北远大生命科学与技术有限责任公司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医药</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6.24</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牛磺酸25000</w:t>
            </w:r>
            <w:r>
              <w:rPr>
                <w:rFonts w:cs="Times New Roman"/>
                <w:sz w:val="21"/>
                <w:szCs w:val="21"/>
              </w:rPr>
              <w:t>t/a</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2</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武汉武药制药有限公司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医药</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lang w:val="en-US" w:eastAsia="zh-CN"/>
              </w:rPr>
              <w:t>106.66</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rPr>
              <w:t>吡唑酮</w:t>
            </w:r>
            <w:r>
              <w:rPr>
                <w:rFonts w:cs="Times New Roman"/>
                <w:color w:val="000000"/>
                <w:sz w:val="21"/>
                <w:szCs w:val="21"/>
              </w:rPr>
              <w:t>2000t/a</w:t>
            </w:r>
            <w:r>
              <w:rPr>
                <w:rFonts w:hint="eastAsia"/>
                <w:sz w:val="21"/>
                <w:szCs w:val="21"/>
              </w:rPr>
              <w:t>、安乃近</w:t>
            </w:r>
            <w:r>
              <w:rPr>
                <w:rFonts w:cs="Times New Roman"/>
                <w:color w:val="000000"/>
                <w:sz w:val="21"/>
                <w:szCs w:val="21"/>
              </w:rPr>
              <w:t>2000 t/a</w:t>
            </w:r>
            <w:r>
              <w:rPr>
                <w:rFonts w:hint="eastAsia"/>
                <w:sz w:val="21"/>
                <w:szCs w:val="21"/>
              </w:rPr>
              <w:t>、甲硝唑</w:t>
            </w:r>
            <w:r>
              <w:rPr>
                <w:rFonts w:cs="Times New Roman"/>
                <w:color w:val="000000"/>
                <w:sz w:val="21"/>
                <w:szCs w:val="21"/>
              </w:rPr>
              <w:t>1000t/a</w:t>
            </w:r>
            <w:r>
              <w:rPr>
                <w:rFonts w:hint="eastAsia"/>
                <w:sz w:val="21"/>
                <w:szCs w:val="21"/>
              </w:rPr>
              <w:t>、正肾素</w:t>
            </w:r>
            <w:r>
              <w:rPr>
                <w:rFonts w:cs="Times New Roman"/>
                <w:color w:val="000000"/>
                <w:sz w:val="21"/>
                <w:szCs w:val="21"/>
              </w:rPr>
              <w:t>0.2t/a</w:t>
            </w:r>
            <w:r>
              <w:rPr>
                <w:rFonts w:hint="eastAsia"/>
                <w:sz w:val="21"/>
                <w:szCs w:val="21"/>
              </w:rPr>
              <w:t>、依诺沙星</w:t>
            </w:r>
            <w:r>
              <w:rPr>
                <w:rFonts w:cs="Times New Roman"/>
                <w:color w:val="000000"/>
                <w:sz w:val="21"/>
                <w:szCs w:val="21"/>
              </w:rPr>
              <w:t>5t/a</w:t>
            </w:r>
            <w:r>
              <w:rPr>
                <w:rFonts w:hint="eastAsia"/>
                <w:sz w:val="21"/>
                <w:szCs w:val="21"/>
              </w:rPr>
              <w:t>、白内停</w:t>
            </w:r>
            <w:r>
              <w:rPr>
                <w:rFonts w:cs="Times New Roman"/>
                <w:color w:val="000000"/>
                <w:sz w:val="21"/>
                <w:szCs w:val="21"/>
              </w:rPr>
              <w:t>15kg/a</w:t>
            </w:r>
            <w:r>
              <w:rPr>
                <w:rFonts w:hint="eastAsia"/>
                <w:sz w:val="21"/>
                <w:szCs w:val="21"/>
              </w:rPr>
              <w:t>、葡萄糖依诺沙星</w:t>
            </w:r>
            <w:r>
              <w:rPr>
                <w:rFonts w:cs="Times New Roman"/>
                <w:sz w:val="21"/>
                <w:szCs w:val="21"/>
              </w:rPr>
              <w:t>1t/a</w:t>
            </w:r>
            <w:r>
              <w:rPr>
                <w:rFonts w:hint="eastAsia"/>
                <w:sz w:val="21"/>
                <w:szCs w:val="21"/>
              </w:rPr>
              <w:t>、苄达赖氨酸</w:t>
            </w:r>
            <w:r>
              <w:rPr>
                <w:rFonts w:cs="Times New Roman"/>
                <w:sz w:val="21"/>
                <w:szCs w:val="21"/>
              </w:rPr>
              <w:t>200kg/a</w:t>
            </w:r>
            <w:r>
              <w:rPr>
                <w:rFonts w:hint="eastAsia"/>
                <w:sz w:val="21"/>
                <w:szCs w:val="21"/>
              </w:rPr>
              <w:t>、曲伏前列素</w:t>
            </w:r>
            <w:r>
              <w:rPr>
                <w:rFonts w:cs="Times New Roman"/>
                <w:sz w:val="21"/>
                <w:szCs w:val="21"/>
              </w:rPr>
              <w:t>1kg/a</w:t>
            </w:r>
            <w:r>
              <w:rPr>
                <w:rFonts w:hint="eastAsia"/>
                <w:sz w:val="21"/>
                <w:szCs w:val="21"/>
              </w:rPr>
              <w:t>、盐酸甲氧明</w:t>
            </w:r>
            <w:r>
              <w:rPr>
                <w:rFonts w:cs="Times New Roman"/>
                <w:sz w:val="21"/>
                <w:szCs w:val="21"/>
              </w:rPr>
              <w:t>15kg/</w:t>
            </w:r>
            <w:r>
              <w:rPr>
                <w:rFonts w:hint="eastAsia" w:cs="Times New Roman"/>
                <w:sz w:val="21"/>
                <w:szCs w:val="21"/>
                <w:lang w:val="en-US" w:eastAsia="zh-CN"/>
              </w:rPr>
              <w:t>a</w:t>
            </w:r>
            <w:r>
              <w:rPr>
                <w:rFonts w:hint="eastAsia"/>
                <w:sz w:val="21"/>
                <w:szCs w:val="21"/>
              </w:rPr>
              <w:t>、奥硝唑</w:t>
            </w:r>
            <w:r>
              <w:rPr>
                <w:rFonts w:cs="Times New Roman"/>
                <w:sz w:val="21"/>
                <w:szCs w:val="21"/>
              </w:rPr>
              <w:t>500kg/a</w:t>
            </w:r>
            <w:r>
              <w:rPr>
                <w:rFonts w:hint="eastAsia"/>
                <w:sz w:val="21"/>
                <w:szCs w:val="21"/>
              </w:rPr>
              <w:t>、盐酸替罗非班</w:t>
            </w:r>
            <w:r>
              <w:rPr>
                <w:rFonts w:cs="Times New Roman"/>
                <w:sz w:val="21"/>
                <w:szCs w:val="21"/>
              </w:rPr>
              <w:t>5kg/a</w:t>
            </w:r>
            <w:r>
              <w:rPr>
                <w:rFonts w:hint="eastAsia"/>
                <w:sz w:val="21"/>
                <w:szCs w:val="21"/>
              </w:rPr>
              <w:t>、副肾素</w:t>
            </w:r>
            <w:r>
              <w:rPr>
                <w:rFonts w:cs="Times New Roman"/>
                <w:sz w:val="21"/>
                <w:szCs w:val="21"/>
              </w:rPr>
              <w:t>400kg/a</w:t>
            </w:r>
            <w:r>
              <w:rPr>
                <w:rFonts w:hint="eastAsia"/>
                <w:sz w:val="21"/>
                <w:szCs w:val="21"/>
              </w:rPr>
              <w:t>、盐酸曲美他嗪</w:t>
            </w:r>
            <w:r>
              <w:rPr>
                <w:rFonts w:cs="Times New Roman"/>
                <w:sz w:val="21"/>
                <w:szCs w:val="21"/>
              </w:rPr>
              <w:t>5t/a</w:t>
            </w:r>
            <w:r>
              <w:rPr>
                <w:rFonts w:hint="eastAsia"/>
                <w:sz w:val="21"/>
                <w:szCs w:val="21"/>
              </w:rPr>
              <w:t>、氯霉素</w:t>
            </w:r>
            <w:r>
              <w:rPr>
                <w:rFonts w:cs="Times New Roman"/>
                <w:sz w:val="21"/>
                <w:szCs w:val="21"/>
              </w:rPr>
              <w:t>300t/a</w:t>
            </w:r>
            <w:r>
              <w:rPr>
                <w:rFonts w:hint="eastAsia"/>
                <w:sz w:val="21"/>
                <w:szCs w:val="21"/>
              </w:rPr>
              <w:t>、格列吡嗪</w:t>
            </w:r>
            <w:r>
              <w:rPr>
                <w:rFonts w:cs="Times New Roman"/>
                <w:sz w:val="21"/>
                <w:szCs w:val="21"/>
              </w:rPr>
              <w:t>500kg/a</w:t>
            </w:r>
            <w:r>
              <w:rPr>
                <w:rFonts w:hint="eastAsia"/>
                <w:sz w:val="21"/>
                <w:szCs w:val="21"/>
              </w:rPr>
              <w:t>、二巯丙醇</w:t>
            </w:r>
            <w:r>
              <w:rPr>
                <w:rFonts w:cs="Times New Roman"/>
                <w:sz w:val="21"/>
                <w:szCs w:val="21"/>
              </w:rPr>
              <w:t>20kg/a</w:t>
            </w:r>
            <w:r>
              <w:rPr>
                <w:rFonts w:hint="eastAsia"/>
                <w:sz w:val="21"/>
                <w:szCs w:val="21"/>
              </w:rPr>
              <w:t>、硫普罗宁</w:t>
            </w:r>
            <w:r>
              <w:rPr>
                <w:rFonts w:cs="Times New Roman"/>
                <w:sz w:val="21"/>
                <w:szCs w:val="21"/>
              </w:rPr>
              <w:t>1t/a</w:t>
            </w:r>
            <w:r>
              <w:rPr>
                <w:rFonts w:hint="eastAsia"/>
                <w:sz w:val="21"/>
                <w:szCs w:val="21"/>
              </w:rPr>
              <w:t>、硫酸羟基氯喹</w:t>
            </w:r>
            <w:r>
              <w:rPr>
                <w:rFonts w:cs="Times New Roman"/>
                <w:sz w:val="21"/>
                <w:szCs w:val="21"/>
              </w:rPr>
              <w:t>20t/a</w:t>
            </w:r>
            <w:r>
              <w:rPr>
                <w:rFonts w:hint="eastAsia"/>
                <w:sz w:val="21"/>
                <w:szCs w:val="21"/>
              </w:rPr>
              <w:t>、盐酸赛洛唑啉</w:t>
            </w:r>
            <w:r>
              <w:rPr>
                <w:rFonts w:cs="Times New Roman"/>
                <w:sz w:val="21"/>
                <w:szCs w:val="21"/>
              </w:rPr>
              <w:t>200kg/a</w:t>
            </w:r>
            <w:r>
              <w:rPr>
                <w:rFonts w:hint="eastAsia"/>
                <w:sz w:val="21"/>
                <w:szCs w:val="21"/>
              </w:rPr>
              <w:t>及盐酸乙胺丁醇</w:t>
            </w:r>
            <w:r>
              <w:rPr>
                <w:rFonts w:cs="Times New Roman"/>
                <w:sz w:val="21"/>
                <w:szCs w:val="21"/>
              </w:rPr>
              <w:t>200t/a</w:t>
            </w:r>
            <w:r>
              <w:rPr>
                <w:rFonts w:hint="eastAsia"/>
                <w:sz w:val="21"/>
                <w:szCs w:val="21"/>
              </w:rPr>
              <w:t>等</w:t>
            </w:r>
            <w:r>
              <w:rPr>
                <w:sz w:val="21"/>
                <w:szCs w:val="21"/>
              </w:rPr>
              <w:t>21</w:t>
            </w:r>
            <w:r>
              <w:rPr>
                <w:rFonts w:hint="eastAsia"/>
                <w:sz w:val="21"/>
                <w:szCs w:val="21"/>
              </w:rPr>
              <w:t>种</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3</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湖北远大富驰医药化工股份有限公司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化工</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color w:val="auto"/>
                <w:sz w:val="21"/>
                <w:szCs w:val="21"/>
              </w:rPr>
              <w:t>40.6</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rPr>
              <w:t>硫酸二甲酯</w:t>
            </w:r>
            <w:r>
              <w:rPr>
                <w:sz w:val="21"/>
                <w:szCs w:val="21"/>
              </w:rPr>
              <w:t>5</w:t>
            </w:r>
            <w:r>
              <w:rPr>
                <w:rFonts w:hint="eastAsia"/>
                <w:sz w:val="21"/>
                <w:szCs w:val="21"/>
              </w:rPr>
              <w:t>万</w:t>
            </w:r>
            <w:r>
              <w:rPr>
                <w:rFonts w:cs="Times New Roman"/>
                <w:sz w:val="21"/>
                <w:szCs w:val="21"/>
              </w:rPr>
              <w:t>t/a</w:t>
            </w:r>
            <w:r>
              <w:rPr>
                <w:rFonts w:hint="eastAsia"/>
                <w:sz w:val="21"/>
                <w:szCs w:val="21"/>
              </w:rPr>
              <w:t>、亚硫酸氢铵</w:t>
            </w:r>
            <w:r>
              <w:rPr>
                <w:rFonts w:hint="eastAsia"/>
                <w:sz w:val="21"/>
                <w:szCs w:val="21"/>
                <w:lang w:val="en-US" w:eastAsia="zh-CN"/>
              </w:rPr>
              <w:t>2</w:t>
            </w:r>
            <w:r>
              <w:rPr>
                <w:rFonts w:hint="eastAsia"/>
                <w:sz w:val="21"/>
                <w:szCs w:val="21"/>
              </w:rPr>
              <w:t>万</w:t>
            </w:r>
            <w:r>
              <w:rPr>
                <w:rFonts w:cs="Times New Roman"/>
                <w:sz w:val="21"/>
                <w:szCs w:val="21"/>
              </w:rPr>
              <w:t>t/a</w:t>
            </w:r>
            <w:r>
              <w:rPr>
                <w:rFonts w:hint="eastAsia"/>
                <w:sz w:val="21"/>
                <w:szCs w:val="21"/>
              </w:rPr>
              <w:t>、亚胺络合物</w:t>
            </w:r>
            <w:r>
              <w:rPr>
                <w:rFonts w:hint="eastAsia"/>
                <w:sz w:val="21"/>
                <w:szCs w:val="21"/>
                <w:lang w:val="en-US" w:eastAsia="zh-CN"/>
              </w:rPr>
              <w:t>2</w:t>
            </w:r>
            <w:r>
              <w:rPr>
                <w:rFonts w:hint="eastAsia"/>
                <w:sz w:val="21"/>
                <w:szCs w:val="21"/>
              </w:rPr>
              <w:t>万</w:t>
            </w:r>
            <w:r>
              <w:rPr>
                <w:rFonts w:cs="Times New Roman"/>
                <w:sz w:val="21"/>
                <w:szCs w:val="21"/>
              </w:rPr>
              <w:t>t/a</w:t>
            </w:r>
            <w:r>
              <w:rPr>
                <w:rFonts w:hint="eastAsia"/>
                <w:sz w:val="21"/>
                <w:szCs w:val="21"/>
                <w:lang w:eastAsia="zh-CN"/>
              </w:rPr>
              <w:t>、</w:t>
            </w:r>
            <w:r>
              <w:rPr>
                <w:rFonts w:hint="eastAsia"/>
                <w:sz w:val="21"/>
                <w:szCs w:val="21"/>
              </w:rPr>
              <w:t>工业硫酸</w:t>
            </w:r>
            <w:r>
              <w:rPr>
                <w:rFonts w:hint="eastAsia"/>
                <w:sz w:val="21"/>
                <w:szCs w:val="21"/>
                <w:lang w:val="en-US" w:eastAsia="zh-CN"/>
              </w:rPr>
              <w:t>12</w:t>
            </w:r>
            <w:r>
              <w:rPr>
                <w:rFonts w:hint="eastAsia"/>
                <w:sz w:val="21"/>
                <w:szCs w:val="21"/>
              </w:rPr>
              <w:t>万</w:t>
            </w:r>
            <w:r>
              <w:rPr>
                <w:rFonts w:cs="Times New Roman"/>
                <w:sz w:val="21"/>
                <w:szCs w:val="21"/>
              </w:rPr>
              <w:t>t/a</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4</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湖北远大生物技术有限公司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医药</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3.2</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rPr>
              <w:t>L-瓜氨酸、L-胱氨酸、L-2-氨基丁酸、L-谷氨酰胺、L-丝氨酸、L-瓜氨酸DL-苹果酸等，年产氨基酸系列产品4300</w:t>
            </w:r>
            <w:r>
              <w:rPr>
                <w:rFonts w:cs="Times New Roman"/>
                <w:sz w:val="21"/>
                <w:szCs w:val="21"/>
              </w:rPr>
              <w:t>t/a</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5</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湖北富博化工有限责任公司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化工</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0.81</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21"/>
                <w:szCs w:val="21"/>
                <w:vertAlign w:val="baseline"/>
                <w:lang w:val="en-US" w:eastAsia="zh-CN"/>
              </w:rPr>
            </w:pPr>
            <w:r>
              <w:rPr>
                <w:rFonts w:hint="eastAsia"/>
                <w:sz w:val="21"/>
                <w:szCs w:val="21"/>
              </w:rPr>
              <w:t xml:space="preserve">硝基甲烷10000 </w:t>
            </w:r>
            <w:r>
              <w:rPr>
                <w:rFonts w:cs="Times New Roman"/>
                <w:sz w:val="21"/>
                <w:szCs w:val="21"/>
              </w:rPr>
              <w:t>t/a</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lang w:val="en-US" w:eastAsia="zh-CN"/>
              </w:rPr>
              <w:t>6</w:t>
            </w:r>
          </w:p>
        </w:tc>
        <w:tc>
          <w:tcPr>
            <w:tcW w:w="16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黄石市利福达医药化工有限公司</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lang w:val="en-US" w:eastAsia="zh-CN"/>
              </w:rPr>
              <w:t>医药</w:t>
            </w:r>
          </w:p>
        </w:tc>
        <w:tc>
          <w:tcPr>
            <w:tcW w:w="6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在产</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1.6</w:t>
            </w:r>
          </w:p>
        </w:tc>
        <w:tc>
          <w:tcPr>
            <w:tcW w:w="28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ascii="Times New Roman" w:hAnsi="Times New Roman"/>
                <w:bCs/>
                <w:sz w:val="21"/>
                <w:szCs w:val="21"/>
                <w:lang w:val="en-US" w:eastAsia="zh-CN"/>
              </w:rPr>
              <w:t>1，4-萘二甲酸（中间体）</w:t>
            </w:r>
            <w:r>
              <w:rPr>
                <w:rFonts w:hint="eastAsia"/>
                <w:sz w:val="21"/>
                <w:szCs w:val="21"/>
                <w:lang w:val="en-US" w:eastAsia="zh-CN"/>
              </w:rPr>
              <w:t>2</w:t>
            </w:r>
            <w:r>
              <w:rPr>
                <w:rFonts w:hint="eastAsia"/>
                <w:sz w:val="21"/>
                <w:szCs w:val="21"/>
              </w:rPr>
              <w:t xml:space="preserve">00 </w:t>
            </w:r>
            <w:r>
              <w:rPr>
                <w:rFonts w:cs="Times New Roman"/>
                <w:sz w:val="21"/>
                <w:szCs w:val="21"/>
              </w:rPr>
              <w:t>t/a</w:t>
            </w:r>
          </w:p>
        </w:tc>
        <w:tc>
          <w:tcPr>
            <w:tcW w:w="10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规模以上企业</w:t>
            </w:r>
          </w:p>
        </w:tc>
      </w:tr>
    </w:tbl>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color w:val="auto"/>
          <w:lang w:val="en-US" w:eastAsia="zh-CN"/>
        </w:rPr>
      </w:pPr>
      <w:bookmarkStart w:id="38" w:name="_Toc6790"/>
      <w:r>
        <w:rPr>
          <w:rFonts w:hint="eastAsia"/>
          <w:color w:val="auto"/>
          <w:lang w:val="en-US" w:eastAsia="zh-CN"/>
        </w:rPr>
        <w:t>园区基础设施现状</w:t>
      </w:r>
      <w:bookmarkEnd w:id="38"/>
    </w:p>
    <w:p>
      <w:pPr>
        <w:pStyle w:val="5"/>
        <w:bidi w:val="0"/>
        <w:rPr>
          <w:rFonts w:hint="eastAsia"/>
          <w:color w:val="auto"/>
          <w:lang w:val="en-US" w:eastAsia="zh-CN"/>
        </w:rPr>
      </w:pPr>
      <w:r>
        <w:rPr>
          <w:rFonts w:hint="eastAsia"/>
          <w:color w:val="auto"/>
          <w:lang w:val="en-US" w:eastAsia="zh-CN"/>
        </w:rPr>
        <w:t>规划区域供水现状</w:t>
      </w:r>
    </w:p>
    <w:p>
      <w:pPr>
        <w:rPr>
          <w:rFonts w:hint="eastAsia"/>
          <w:lang w:val="en-US" w:eastAsia="zh-CN"/>
        </w:rPr>
      </w:pPr>
      <w:r>
        <w:rPr>
          <w:rFonts w:hint="eastAsia"/>
          <w:lang w:val="en-US" w:eastAsia="zh-CN"/>
        </w:rPr>
        <w:t>距离园区北侧 100 米范围内现有一处工业用水取水点，用地面积 0.34 公顷，水源取自长江地表水。现状给水原水管北起长江取水口，沿滨江路向东延伸至厂区内部供企业生产用水。</w:t>
      </w:r>
    </w:p>
    <w:p>
      <w:pPr>
        <w:rPr>
          <w:rFonts w:hint="default"/>
          <w:lang w:val="en-US" w:eastAsia="zh-CN"/>
        </w:rPr>
      </w:pPr>
      <w:r>
        <w:rPr>
          <w:rFonts w:hint="eastAsia"/>
          <w:lang w:val="en-US" w:eastAsia="zh-CN"/>
        </w:rPr>
        <w:t>园区生活用水及部分厂区工业用水来自现状镇区安康自来水厂。安康自来水厂日供水量为12000m</w:t>
      </w:r>
      <w:r>
        <w:rPr>
          <w:rFonts w:hint="eastAsia"/>
          <w:vertAlign w:val="superscript"/>
          <w:lang w:val="en-US" w:eastAsia="zh-CN"/>
        </w:rPr>
        <w:t>3</w:t>
      </w:r>
      <w:r>
        <w:rPr>
          <w:rFonts w:hint="eastAsia"/>
          <w:lang w:val="en-US" w:eastAsia="zh-CN"/>
        </w:rPr>
        <w:t>/d，供水水源为长江。富池镇区敷设有</w:t>
      </w:r>
      <w:r>
        <w:rPr>
          <w:rFonts w:hint="default" w:ascii="Times New Roman" w:hAnsi="Times New Roman" w:cs="Times New Roman"/>
          <w:lang w:val="en-US" w:eastAsia="zh-CN"/>
        </w:rPr>
        <w:t>φ</w:t>
      </w:r>
      <w:r>
        <w:rPr>
          <w:rFonts w:hint="eastAsia"/>
          <w:lang w:val="en-US" w:eastAsia="zh-CN"/>
        </w:rPr>
        <w:t>90-315的给水管道，可满足镇区及周边工矿企业提供工农业和生活用水需求。无企业取用地下水。</w:t>
      </w:r>
    </w:p>
    <w:p>
      <w:pPr>
        <w:pStyle w:val="5"/>
        <w:bidi w:val="0"/>
        <w:rPr>
          <w:rFonts w:hint="eastAsia"/>
          <w:color w:val="auto"/>
          <w:lang w:val="en-US" w:eastAsia="zh-CN"/>
        </w:rPr>
      </w:pPr>
      <w:r>
        <w:rPr>
          <w:rFonts w:hint="eastAsia"/>
          <w:color w:val="auto"/>
          <w:lang w:val="en-US" w:eastAsia="zh-CN"/>
        </w:rPr>
        <w:t>规划区域排水现状</w:t>
      </w:r>
    </w:p>
    <w:p>
      <w:pPr>
        <w:rPr>
          <w:rFonts w:hint="eastAsia"/>
          <w:lang w:val="en-US" w:eastAsia="zh-CN"/>
        </w:rPr>
      </w:pPr>
      <w:r>
        <w:rPr>
          <w:rFonts w:hint="eastAsia"/>
          <w:lang w:val="en-US" w:eastAsia="zh-CN"/>
        </w:rPr>
        <w:t>规划区内排水体制采用雨污分流制，即污水和雨水各自设管网独立排放。其中雨水排放主要通过铺设在道路两侧的排水管渠收集后，经设置在园区中部的提升泵站，提升后排入长江。</w:t>
      </w:r>
    </w:p>
    <w:p>
      <w:pPr>
        <w:pStyle w:val="15"/>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规划区域内污水经各企业预处理达到《污水综合排放标准》（GB8978-1996）三级标准、各行业间接排放标准及工业污水处理厂进水要求后，排入富池镇污水处理厂进行处理。该污水处理厂位于园区东部，占地面积3.2公顷，由黄石市富池水务有限公司投资建设，服务范围为富池镇区的生活污水及镇区内部分生产废水，生产废水主要来自于湖北远大富驰化工医药股份有限公司、</w:t>
      </w:r>
      <w:r>
        <w:rPr>
          <w:rFonts w:hint="default"/>
          <w:sz w:val="24"/>
          <w:szCs w:val="24"/>
          <w:vertAlign w:val="baseline"/>
          <w:lang w:val="en-US" w:eastAsia="zh-CN"/>
        </w:rPr>
        <w:t>湖北远大生命科学与技术有限责任公司</w:t>
      </w:r>
      <w:r>
        <w:rPr>
          <w:rFonts w:hint="eastAsia"/>
          <w:lang w:val="en-US" w:eastAsia="zh-CN"/>
        </w:rPr>
        <w:t>、黄石市利福达医药化工有限公司、湖北远大生物技术有限公司、武汉武药制药有限公司等园区 5 家医药化工企业。富池镇污水厂设计规模为：一期6000吨/天，其中工业废水4000吨/天，生活废水2000吨/天。远期规模达到2万吨/天。污水处理厂一期项目于2015年6月开始建设，2016年3月开始正式调试运营。出水执行《城镇污水处理厂污染物排放标准》（GB 18198-2002）一级B排放标准。</w:t>
      </w:r>
    </w:p>
    <w:p>
      <w:pPr>
        <w:pStyle w:val="15"/>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富池镇污水处理厂于2017年8日启动污水处理厂提标改造项目工程，2018年7月开始进行运营及调试。至2018年9月完成提标改造项目调试工作，处理规模仍为6000吨/天，主要采用A</w:t>
      </w:r>
      <w:r>
        <w:rPr>
          <w:rFonts w:hint="eastAsia"/>
          <w:vertAlign w:val="superscript"/>
          <w:lang w:val="en-US" w:eastAsia="zh-CN"/>
        </w:rPr>
        <w:t>2</w:t>
      </w:r>
      <w:r>
        <w:rPr>
          <w:rFonts w:hint="eastAsia"/>
          <w:lang w:val="en-US" w:eastAsia="zh-CN"/>
        </w:rPr>
        <w:t>/O工艺。出水达到《城镇污水处理厂污染物排放标准》（GB 18198-2002）一级A 排放标准限值后排入长江。该园区污水处理厂排污口设置论证报告已于2018年12月取得黄石市水利水产局的批复（黄水许可[2018]20 号）。</w:t>
      </w:r>
    </w:p>
    <w:p>
      <w:pPr>
        <w:pStyle w:val="5"/>
        <w:bidi w:val="0"/>
        <w:rPr>
          <w:rFonts w:hint="eastAsia"/>
          <w:color w:val="auto"/>
          <w:lang w:val="en-US" w:eastAsia="zh-CN"/>
        </w:rPr>
      </w:pPr>
      <w:r>
        <w:rPr>
          <w:rFonts w:hint="eastAsia"/>
          <w:color w:val="auto"/>
          <w:lang w:val="en-US" w:eastAsia="zh-CN"/>
        </w:rPr>
        <w:t>规划区域供电现状</w:t>
      </w:r>
    </w:p>
    <w:p>
      <w:pPr>
        <w:rPr>
          <w:rFonts w:hint="eastAsia"/>
          <w:lang w:val="en-US" w:eastAsia="zh-CN"/>
        </w:rPr>
      </w:pPr>
      <w:r>
        <w:rPr>
          <w:rFonts w:hint="eastAsia"/>
          <w:lang w:val="en-US" w:eastAsia="zh-CN"/>
        </w:rPr>
        <w:t>园区现状电源采取双电源供应模式，分别为现状网湖110KV变电站和宋家山站 220kV变电站作为供电电源，可以满足本区的备用电力负荷要求。</w:t>
      </w:r>
    </w:p>
    <w:p>
      <w:pPr>
        <w:pStyle w:val="5"/>
        <w:bidi w:val="0"/>
        <w:rPr>
          <w:rFonts w:hint="eastAsia"/>
          <w:color w:val="auto"/>
          <w:lang w:val="en-US" w:eastAsia="zh-CN"/>
        </w:rPr>
      </w:pPr>
      <w:r>
        <w:rPr>
          <w:rFonts w:hint="eastAsia"/>
          <w:color w:val="auto"/>
          <w:lang w:val="en-US" w:eastAsia="zh-CN"/>
        </w:rPr>
        <w:t>规划区域供热现状</w:t>
      </w:r>
    </w:p>
    <w:p>
      <w:pPr>
        <w:rPr>
          <w:rFonts w:hint="eastAsia"/>
          <w:highlight w:val="none"/>
          <w:lang w:val="en-US" w:eastAsia="zh-CN"/>
        </w:rPr>
      </w:pPr>
      <w:r>
        <w:rPr>
          <w:rFonts w:hint="eastAsia"/>
          <w:highlight w:val="none"/>
          <w:lang w:val="en-US" w:eastAsia="zh-CN"/>
        </w:rPr>
        <w:t>园区现有一处能源供应中心，位于园区北侧武汉武药制药有限公司内。汽源主要由三部分构成：① 35t 燃煤锅炉（位于园区能源供应中心内），②25t/h+20t/h 组合型天然气锅炉（备用热源，位于湖北远大富驰医药化工股份有限公司内），③硫酸余热再利用（位于湖北远大富驰医药化工股份有限公司内）。</w:t>
      </w:r>
    </w:p>
    <w:p>
      <w:pPr>
        <w:pStyle w:val="5"/>
        <w:bidi w:val="0"/>
        <w:rPr>
          <w:rFonts w:hint="eastAsia"/>
          <w:color w:val="auto"/>
          <w:lang w:val="en-US" w:eastAsia="zh-CN"/>
        </w:rPr>
      </w:pPr>
      <w:r>
        <w:rPr>
          <w:rFonts w:hint="eastAsia"/>
          <w:color w:val="auto"/>
          <w:lang w:val="en-US" w:eastAsia="zh-CN"/>
        </w:rPr>
        <w:t>规划区域交通现状</w:t>
      </w:r>
    </w:p>
    <w:p>
      <w:pPr>
        <w:pStyle w:val="15"/>
        <w:rPr>
          <w:rFonts w:hint="default"/>
          <w:lang w:val="en-US" w:eastAsia="zh-CN"/>
        </w:rPr>
      </w:pPr>
      <w:r>
        <w:rPr>
          <w:rFonts w:hint="eastAsia"/>
          <w:lang w:val="en-US" w:eastAsia="zh-CN"/>
        </w:rPr>
        <w:t>园区交通路网尚未完成规划建设。园区内道路多为自然形成，线型错综复杂，主次等级不明确。富池至武穴长江大桥公路现状路基已形成；沿江路为堤路结合形式，道路较窄，且蜿蜒不平，路况较差，其它多为村庄土路以及园区内部道路，现状城市道路用地5.06公顷；园区内现有一处货车临时停放区停车场，占地面积0.37公顷。</w:t>
      </w:r>
    </w:p>
    <w:p>
      <w:pPr>
        <w:pStyle w:val="5"/>
        <w:bidi w:val="0"/>
        <w:rPr>
          <w:rFonts w:hint="eastAsia"/>
          <w:color w:val="auto"/>
          <w:lang w:val="en-US" w:eastAsia="zh-CN"/>
        </w:rPr>
      </w:pPr>
      <w:r>
        <w:rPr>
          <w:rFonts w:hint="eastAsia"/>
          <w:color w:val="auto"/>
          <w:lang w:val="en-US" w:eastAsia="zh-CN"/>
        </w:rPr>
        <w:t>规划区域生活垃圾处理</w:t>
      </w:r>
    </w:p>
    <w:p>
      <w:pPr>
        <w:rPr>
          <w:rFonts w:hint="eastAsia"/>
          <w:color w:val="auto"/>
        </w:rPr>
      </w:pPr>
      <w:r>
        <w:rPr>
          <w:rFonts w:hint="eastAsia"/>
          <w:color w:val="auto"/>
        </w:rPr>
        <w:t>规划区域生活垃圾主要</w:t>
      </w:r>
      <w:r>
        <w:rPr>
          <w:rFonts w:hint="eastAsia"/>
          <w:color w:val="auto"/>
          <w:lang w:val="en-US" w:eastAsia="zh-CN"/>
        </w:rPr>
        <w:t>经垃圾勾臂箱收集后，由集镇环卫工作人员进行清运至富池镇生活垃圾中转站，后运输至黄金山垃圾焚烧发电厂进行处理。</w:t>
      </w:r>
      <w:r>
        <w:rPr>
          <w:rFonts w:hint="eastAsia"/>
          <w:color w:val="auto"/>
        </w:rPr>
        <w:t>交由襄樊恩菲环保能源有限公司进行安全处置。</w:t>
      </w:r>
    </w:p>
    <w:p>
      <w:pPr>
        <w:rPr>
          <w:rFonts w:hint="eastAsia"/>
          <w:lang w:val="en-US" w:eastAsia="zh-CN"/>
        </w:rPr>
      </w:pPr>
      <w:r>
        <w:rPr>
          <w:rFonts w:hint="eastAsia"/>
          <w:color w:val="auto"/>
        </w:rPr>
        <w:t>黄金山生活垃圾焚烧发电厂位于黄石市黄金山工业新区，占地 89.9 亩，以 BOT 形式引进创冠环保（国际）有限公司（瀚蓝环境）投资建设运营，设计日处理生活垃圾量 1200 吨，年最大垃圾处理量为 40 万吨，年最大发电量约 1.5 亿千瓦时。由于黄金山垃圾焚烧发电厂设计之初仅考虑服务大冶及黄石，阳新县域垃圾进入后，黄金山焚烧厂 1200t/d 的处理能力仅可满足近期需要，后期规划需要统筹大冶、阳新垃圾量适时扩建黄金山垃圾焚烧厂。</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color w:val="auto"/>
          <w:lang w:val="en-US" w:eastAsia="zh-CN"/>
        </w:rPr>
      </w:pPr>
      <w:bookmarkStart w:id="39" w:name="_Toc14632"/>
      <w:r>
        <w:rPr>
          <w:rFonts w:hint="eastAsia"/>
          <w:color w:val="auto"/>
          <w:lang w:val="en-US" w:eastAsia="zh-CN"/>
        </w:rPr>
        <w:t>园区环境管理现状</w:t>
      </w:r>
      <w:bookmarkEnd w:id="39"/>
    </w:p>
    <w:p>
      <w:pPr>
        <w:pStyle w:val="5"/>
        <w:bidi w:val="0"/>
        <w:rPr>
          <w:rFonts w:hint="default"/>
          <w:color w:val="auto"/>
          <w:lang w:val="en-US" w:eastAsia="zh-CN"/>
        </w:rPr>
      </w:pPr>
      <w:bookmarkStart w:id="40" w:name="_Toc4807"/>
      <w:r>
        <w:rPr>
          <w:rFonts w:hint="default"/>
          <w:color w:val="auto"/>
        </w:rPr>
        <w:t>规划区现有企业</w:t>
      </w:r>
      <w:r>
        <w:rPr>
          <w:rFonts w:hint="default"/>
          <w:color w:val="auto"/>
          <w:lang w:val="en-US" w:eastAsia="zh-CN"/>
        </w:rPr>
        <w:t>环保手续执行情况</w:t>
      </w:r>
      <w:bookmarkEnd w:id="40"/>
    </w:p>
    <w:p>
      <w:pPr>
        <w:bidi w:val="0"/>
        <w:rPr>
          <w:rFonts w:hint="default" w:ascii="Times New Roman" w:hAnsi="Times New Roman" w:cs="Times New Roman"/>
          <w:color w:val="auto"/>
        </w:rPr>
      </w:pPr>
      <w:r>
        <w:rPr>
          <w:rFonts w:hint="default" w:ascii="Times New Roman" w:hAnsi="Times New Roman" w:cs="Times New Roman"/>
          <w:color w:val="auto"/>
        </w:rPr>
        <w:t>阳新经济开发区滨江工业园（医药化工园区）现有工业企业8家，8家企业均为在产企业，其中共有6家企业被纳入2021年黄石市重点排污单位名单，分别是：湖北远大生命科学与技术有限责任公司（水、气）、武汉武药制药有限公司（水、气）、湖北远大富驰医药化工股份有限公司（水、气）、湖北远大生物技术有限公司（水）、湖北富博化工有限责任公司（水、气）、黄石市利福达医药化工有限公司（水、气）。</w:t>
      </w:r>
    </w:p>
    <w:p>
      <w:pPr>
        <w:bidi w:val="0"/>
        <w:rPr>
          <w:rFonts w:hint="default" w:ascii="Times New Roman" w:hAnsi="Times New Roman" w:cs="Times New Roman"/>
          <w:color w:val="auto"/>
        </w:rPr>
      </w:pPr>
      <w:r>
        <w:rPr>
          <w:rFonts w:hint="eastAsia" w:cs="Times New Roman"/>
          <w:color w:val="auto"/>
          <w:lang w:val="en-US" w:eastAsia="zh-CN"/>
        </w:rPr>
        <w:t>现有6家企业中，未通过竣工环境保护验收的有1家</w:t>
      </w:r>
      <w:r>
        <w:rPr>
          <w:rFonts w:hint="default" w:ascii="Times New Roman" w:hAnsi="Times New Roman" w:cs="Times New Roman"/>
          <w:color w:val="auto"/>
        </w:rPr>
        <w:t>。</w:t>
      </w:r>
    </w:p>
    <w:p>
      <w:pPr>
        <w:pStyle w:val="5"/>
        <w:bidi w:val="0"/>
        <w:rPr>
          <w:rFonts w:hint="default"/>
          <w:color w:val="auto"/>
          <w:lang w:val="en-US" w:eastAsia="zh-CN"/>
        </w:rPr>
      </w:pPr>
      <w:bookmarkStart w:id="41" w:name="_Toc28973"/>
      <w:r>
        <w:rPr>
          <w:rFonts w:hint="default"/>
          <w:color w:val="auto"/>
        </w:rPr>
        <w:t>规划区现有企业</w:t>
      </w:r>
      <w:r>
        <w:rPr>
          <w:rFonts w:hint="default"/>
          <w:color w:val="auto"/>
          <w:lang w:val="en-US" w:eastAsia="zh-CN"/>
        </w:rPr>
        <w:t>污染物排放情况</w:t>
      </w:r>
      <w:bookmarkEnd w:id="41"/>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本次评价对规划园区内现状重点排污单位分别统计其2021年排污情况，排污量数据来源于各企业年度排污许可证执行报告、企业在线监测联网数据、企业环评和验收报告中的总量核算及第二次污染源普查数据等。</w:t>
      </w:r>
    </w:p>
    <w:p>
      <w:pPr>
        <w:bidi w:val="0"/>
        <w:rPr>
          <w:rFonts w:hint="default" w:ascii="Times New Roman" w:hAnsi="Times New Roman" w:cs="Times New Roman"/>
          <w:color w:val="auto"/>
          <w:lang w:val="en-US" w:eastAsia="zh-CN"/>
        </w:rPr>
      </w:pPr>
      <w:r>
        <w:rPr>
          <w:rFonts w:hint="eastAsia" w:cs="Times New Roman"/>
          <w:color w:val="auto"/>
          <w:lang w:val="en-US" w:eastAsia="zh-CN"/>
        </w:rPr>
        <w:t>根据统计，2021年在产的6家企业共排放COD 32.298t，氨氮2.911t；VOCs 21.146t，颗粒物2.237t，二氧化硫28.139 t，氮氧化物40.779t。。</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园区内共有</w:t>
      </w:r>
      <w:r>
        <w:rPr>
          <w:rFonts w:hint="eastAsia" w:cs="Times New Roman"/>
          <w:color w:val="auto"/>
          <w:lang w:val="en-US" w:eastAsia="zh-CN"/>
        </w:rPr>
        <w:t>6</w:t>
      </w:r>
      <w:r>
        <w:rPr>
          <w:rFonts w:hint="default" w:ascii="Times New Roman" w:hAnsi="Times New Roman" w:cs="Times New Roman"/>
          <w:color w:val="auto"/>
          <w:lang w:val="en-US" w:eastAsia="zh-CN"/>
        </w:rPr>
        <w:t>家企业涉及产生危险废物，其均按照管理要求填报了《危险废物管理计划》，园区危险废物均得到妥善的贮存或处置。</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lang w:val="en-US" w:eastAsia="zh-CN"/>
        </w:rPr>
      </w:pPr>
      <w:bookmarkStart w:id="42" w:name="_Toc21315"/>
      <w:bookmarkStart w:id="43" w:name="_Toc3131"/>
      <w:r>
        <w:rPr>
          <w:rFonts w:hint="eastAsia"/>
          <w:color w:val="auto"/>
          <w:lang w:val="en-US" w:eastAsia="zh-CN"/>
        </w:rPr>
        <w:t>园区环境</w:t>
      </w:r>
      <w:r>
        <w:rPr>
          <w:rFonts w:hint="eastAsia" w:ascii="Times New Roman" w:hAnsi="Times New Roman"/>
          <w:color w:val="auto"/>
          <w:lang w:val="en-US" w:eastAsia="zh-CN"/>
        </w:rPr>
        <w:t>监管</w:t>
      </w:r>
      <w:r>
        <w:rPr>
          <w:rFonts w:hint="eastAsia"/>
          <w:color w:val="auto"/>
          <w:lang w:val="en-US" w:eastAsia="zh-CN"/>
        </w:rPr>
        <w:t>能力现状</w:t>
      </w:r>
      <w:bookmarkEnd w:id="42"/>
      <w:bookmarkEnd w:id="43"/>
    </w:p>
    <w:p>
      <w:pPr>
        <w:pStyle w:val="5"/>
        <w:bidi w:val="0"/>
        <w:rPr>
          <w:color w:val="auto"/>
          <w:lang w:val="en-US" w:eastAsia="zh-CN"/>
        </w:rPr>
      </w:pPr>
      <w:bookmarkStart w:id="44" w:name="_Toc31393"/>
      <w:r>
        <w:rPr>
          <w:rFonts w:hint="eastAsia"/>
          <w:color w:val="auto"/>
          <w:lang w:val="en-US" w:eastAsia="zh-CN"/>
        </w:rPr>
        <w:t>环境管理体系现状</w:t>
      </w:r>
      <w:bookmarkEnd w:id="44"/>
    </w:p>
    <w:p>
      <w:pPr>
        <w:pStyle w:val="6"/>
        <w:bidi w:val="0"/>
        <w:rPr>
          <w:rFonts w:hint="default"/>
          <w:lang w:val="en-US" w:eastAsia="zh-CN"/>
        </w:rPr>
      </w:pPr>
      <w:r>
        <w:rPr>
          <w:rFonts w:hint="eastAsia"/>
          <w:lang w:val="en-US" w:eastAsia="zh-CN"/>
        </w:rPr>
        <w:t>环境管理体系现状</w:t>
      </w:r>
    </w:p>
    <w:p>
      <w:pPr>
        <w:rPr>
          <w:rFonts w:hint="eastAsia"/>
          <w:lang w:val="en-US" w:eastAsia="zh-CN"/>
        </w:rPr>
      </w:pPr>
      <w:r>
        <w:rPr>
          <w:rFonts w:hint="eastAsia"/>
          <w:lang w:val="en-US" w:eastAsia="zh-CN"/>
        </w:rPr>
        <w:t>黄石市生态环境局、黄石市生态环境局阳新县分局及工业园区管委会对区内的生态环境保护进行监督和管理。管委会下设化工园办公室负责化工园区的环境管理，其机构职责制定如下：</w:t>
      </w:r>
    </w:p>
    <w:p>
      <w:pPr>
        <w:bidi w:val="0"/>
        <w:rPr>
          <w:rFonts w:hint="eastAsia"/>
          <w:lang w:val="en-US" w:eastAsia="zh-CN"/>
        </w:rPr>
      </w:pPr>
      <w:r>
        <w:rPr>
          <w:rFonts w:hint="eastAsia"/>
          <w:lang w:val="en-US" w:eastAsia="zh-CN"/>
        </w:rPr>
        <w:t>（1）贯彻执行国家、行业和地方的环保法律、法规和政策。</w:t>
      </w:r>
    </w:p>
    <w:p>
      <w:pPr>
        <w:bidi w:val="0"/>
        <w:rPr>
          <w:rFonts w:hint="eastAsia"/>
          <w:lang w:val="en-US" w:eastAsia="zh-CN"/>
        </w:rPr>
      </w:pPr>
      <w:r>
        <w:rPr>
          <w:rFonts w:hint="eastAsia"/>
          <w:lang w:val="en-US" w:eastAsia="zh-CN"/>
        </w:rPr>
        <w:t>（2）按法律法规要求负责落实园区内企业环保设施建设与运行情况的监督管理。</w:t>
      </w:r>
    </w:p>
    <w:p>
      <w:pPr>
        <w:bidi w:val="0"/>
        <w:rPr>
          <w:rFonts w:hint="eastAsia"/>
          <w:lang w:val="en-US" w:eastAsia="zh-CN"/>
        </w:rPr>
      </w:pPr>
      <w:r>
        <w:rPr>
          <w:rFonts w:hint="eastAsia"/>
          <w:lang w:val="en-US" w:eastAsia="zh-CN"/>
        </w:rPr>
        <w:t>（3）负责区域环境风险管理，建立健全区域环境风险应急体系。</w:t>
      </w:r>
    </w:p>
    <w:p>
      <w:pPr>
        <w:bidi w:val="0"/>
        <w:rPr>
          <w:rFonts w:hint="eastAsia"/>
          <w:lang w:val="en-US" w:eastAsia="zh-CN"/>
        </w:rPr>
      </w:pPr>
      <w:r>
        <w:rPr>
          <w:rFonts w:hint="eastAsia"/>
          <w:lang w:val="en-US" w:eastAsia="zh-CN"/>
        </w:rPr>
        <w:t>（4）监督区内建设项目的环保审批程序执行情况及“三同时”的落实情况。</w:t>
      </w:r>
    </w:p>
    <w:p>
      <w:pPr>
        <w:bidi w:val="0"/>
        <w:rPr>
          <w:rFonts w:hint="eastAsia"/>
          <w:lang w:val="en-US" w:eastAsia="zh-CN"/>
        </w:rPr>
      </w:pPr>
      <w:r>
        <w:rPr>
          <w:rFonts w:hint="eastAsia"/>
          <w:lang w:val="en-US" w:eastAsia="zh-CN"/>
        </w:rPr>
        <w:t>（5）负责与环保部门的联系和沟通工作，并接受其监督和指导。</w:t>
      </w:r>
    </w:p>
    <w:p>
      <w:pPr>
        <w:bidi w:val="0"/>
        <w:rPr>
          <w:rFonts w:hint="eastAsia"/>
          <w:lang w:val="en-US" w:eastAsia="zh-CN"/>
        </w:rPr>
      </w:pPr>
      <w:r>
        <w:rPr>
          <w:rFonts w:hint="eastAsia"/>
          <w:lang w:val="en-US" w:eastAsia="zh-CN"/>
        </w:rPr>
        <w:t>（6）建立环保信息网络，负责各类环保资料的统计、整理和归档工作。</w:t>
      </w:r>
    </w:p>
    <w:p>
      <w:pPr>
        <w:bidi w:val="0"/>
        <w:rPr>
          <w:rFonts w:hint="eastAsia"/>
          <w:lang w:val="en-US" w:eastAsia="zh-CN"/>
        </w:rPr>
      </w:pPr>
      <w:r>
        <w:rPr>
          <w:rFonts w:hint="eastAsia"/>
          <w:lang w:val="en-US" w:eastAsia="zh-CN"/>
        </w:rPr>
        <w:t>（7）开展环保宣传教育和环保技术培训工作，提高管理人员自身和当地居民的环保意识及责任感。</w:t>
      </w:r>
    </w:p>
    <w:p>
      <w:pPr>
        <w:rPr>
          <w:rFonts w:hint="eastAsia"/>
          <w:lang w:val="en-US" w:eastAsia="zh-CN"/>
        </w:rPr>
      </w:pPr>
      <w:r>
        <w:rPr>
          <w:rFonts w:hint="eastAsia"/>
          <w:lang w:val="en-US" w:eastAsia="zh-CN"/>
        </w:rPr>
        <w:t>此外，工业园区管委会也制定了环保管理主体责任清单，明确了各部门的生态环境保护责任。</w:t>
      </w:r>
    </w:p>
    <w:p>
      <w:pPr>
        <w:pStyle w:val="41"/>
        <w:bidi w:val="0"/>
        <w:rPr>
          <w:rFonts w:hint="eastAsia"/>
          <w:lang w:val="en-US" w:eastAsia="zh-CN"/>
        </w:rPr>
      </w:pPr>
      <w:r>
        <w:rPr>
          <w:rFonts w:hint="eastAsia"/>
          <w:lang w:val="en-US" w:eastAsia="zh-CN"/>
        </w:rPr>
        <w:t>表4.4.1-1 阳新经济技术开发区滨江工业园区生态环境保护责任清单</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21" w:type="pct"/>
            <w:vAlign w:val="center"/>
          </w:tcPr>
          <w:p>
            <w:pPr>
              <w:pStyle w:val="38"/>
              <w:bidi w:val="0"/>
              <w:jc w:val="center"/>
              <w:rPr>
                <w:rFonts w:hint="default"/>
                <w:lang w:val="en-US" w:eastAsia="zh-CN"/>
              </w:rPr>
            </w:pPr>
            <w:r>
              <w:rPr>
                <w:rFonts w:hint="eastAsia"/>
                <w:lang w:val="en-US" w:eastAsia="zh-CN"/>
              </w:rPr>
              <w:t>部分</w:t>
            </w:r>
          </w:p>
        </w:tc>
        <w:tc>
          <w:tcPr>
            <w:tcW w:w="4078" w:type="pct"/>
            <w:vAlign w:val="center"/>
          </w:tcPr>
          <w:p>
            <w:pPr>
              <w:pStyle w:val="38"/>
              <w:bidi w:val="0"/>
              <w:jc w:val="center"/>
              <w:rPr>
                <w:rFonts w:hint="default"/>
                <w:lang w:val="en-US" w:eastAsia="zh-CN"/>
              </w:rPr>
            </w:pPr>
            <w:r>
              <w:rPr>
                <w:rFonts w:hint="eastAsia"/>
                <w:lang w:val="en-US" w:eastAsia="zh-CN"/>
              </w:rPr>
              <w:t>生态环境保护责任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default"/>
                <w:lang w:val="en-US" w:eastAsia="zh-CN"/>
              </w:rPr>
              <w:t>园区党工委</w:t>
            </w:r>
          </w:p>
        </w:tc>
        <w:tc>
          <w:tcPr>
            <w:tcW w:w="4078" w:type="pct"/>
            <w:vAlign w:val="center"/>
          </w:tcPr>
          <w:p>
            <w:pPr>
              <w:pStyle w:val="38"/>
              <w:bidi w:val="0"/>
              <w:jc w:val="left"/>
              <w:rPr>
                <w:rFonts w:hint="default"/>
                <w:lang w:val="en-US" w:eastAsia="zh-CN"/>
              </w:rPr>
            </w:pPr>
            <w:r>
              <w:rPr>
                <w:rFonts w:hint="eastAsia"/>
                <w:lang w:val="en-US" w:eastAsia="zh-CN"/>
              </w:rPr>
              <w:t>1.</w:t>
            </w:r>
            <w:r>
              <w:rPr>
                <w:rFonts w:hint="default"/>
                <w:lang w:val="en-US" w:eastAsia="zh-CN"/>
              </w:rPr>
              <w:t>加强对习近平生态文明思想和党中央、国务院和省委、省政府以及市委、市政府及区委、区政府关于全面加强生态环境保护、坚决打好污染防治攻坚战等重大决策部署贯彻落实情况的监督检查，加强生态环境保护领域监督执纪问责和监督调查处置。</w:t>
            </w:r>
          </w:p>
          <w:p>
            <w:pPr>
              <w:pStyle w:val="38"/>
              <w:bidi w:val="0"/>
              <w:jc w:val="left"/>
              <w:rPr>
                <w:rFonts w:hint="default"/>
                <w:lang w:val="en-US" w:eastAsia="zh-CN"/>
              </w:rPr>
            </w:pPr>
            <w:r>
              <w:rPr>
                <w:rFonts w:hint="eastAsia"/>
                <w:lang w:val="en-US" w:eastAsia="zh-CN"/>
              </w:rPr>
              <w:t>2.</w:t>
            </w:r>
            <w:r>
              <w:rPr>
                <w:rFonts w:hint="default"/>
                <w:lang w:val="en-US" w:eastAsia="zh-CN"/>
              </w:rPr>
              <w:t>加强对负有生态环境监管职责工作部门履职情况的监督。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eastAsia"/>
                <w:lang w:val="en-US" w:eastAsia="zh-CN"/>
              </w:rPr>
              <w:t>党政办</w:t>
            </w:r>
          </w:p>
        </w:tc>
        <w:tc>
          <w:tcPr>
            <w:tcW w:w="4078" w:type="pct"/>
            <w:vAlign w:val="center"/>
          </w:tcPr>
          <w:p>
            <w:pPr>
              <w:pStyle w:val="38"/>
              <w:bidi w:val="0"/>
              <w:jc w:val="left"/>
              <w:rPr>
                <w:rFonts w:hint="default"/>
                <w:lang w:val="en-US" w:eastAsia="zh-CN"/>
              </w:rPr>
            </w:pPr>
            <w:r>
              <w:rPr>
                <w:rFonts w:hint="default"/>
                <w:lang w:val="en-US" w:eastAsia="zh-CN"/>
              </w:rPr>
              <w:t>1.推动各级各部门贯彻落实习近平生态文明思想，对习近平总书记关于生态文明建设和生态环境保护重要指示批示精神落实情况进行督查督办，对区委、区政府、党工委关于生态文明建设和生态环境保护的重大决策部署和领导批示意见落实情况进行督查督办。</w:t>
            </w:r>
          </w:p>
          <w:p>
            <w:pPr>
              <w:pStyle w:val="38"/>
              <w:bidi w:val="0"/>
              <w:jc w:val="left"/>
              <w:rPr>
                <w:rFonts w:hint="default"/>
                <w:lang w:val="en-US" w:eastAsia="zh-CN"/>
              </w:rPr>
            </w:pPr>
            <w:r>
              <w:rPr>
                <w:rFonts w:hint="default"/>
                <w:lang w:val="en-US" w:eastAsia="zh-CN"/>
              </w:rPr>
              <w:t>2.负责生态文明建设和生态环境保护重大工作任务的组织协调、督促落实。</w:t>
            </w:r>
          </w:p>
          <w:p>
            <w:pPr>
              <w:pStyle w:val="38"/>
              <w:bidi w:val="0"/>
              <w:jc w:val="left"/>
              <w:rPr>
                <w:rFonts w:hint="default"/>
                <w:lang w:val="en-US" w:eastAsia="zh-CN"/>
              </w:rPr>
            </w:pPr>
            <w:r>
              <w:rPr>
                <w:rFonts w:hint="default"/>
                <w:lang w:val="en-US" w:eastAsia="zh-CN"/>
              </w:rPr>
              <w:t>3.加强对中央和省委、省政府生态环境保护督察反馈意见整改工作的督促检查。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default"/>
                <w:lang w:val="en-US" w:eastAsia="zh-CN"/>
              </w:rPr>
              <w:t>化工园办公室</w:t>
            </w:r>
          </w:p>
        </w:tc>
        <w:tc>
          <w:tcPr>
            <w:tcW w:w="4078" w:type="pct"/>
            <w:vAlign w:val="center"/>
          </w:tcPr>
          <w:p>
            <w:pPr>
              <w:pStyle w:val="38"/>
              <w:bidi w:val="0"/>
              <w:jc w:val="left"/>
              <w:rPr>
                <w:rFonts w:hint="default"/>
                <w:lang w:val="en-US" w:eastAsia="zh-CN"/>
              </w:rPr>
            </w:pPr>
            <w:r>
              <w:rPr>
                <w:rFonts w:hint="default"/>
                <w:lang w:val="en-US" w:eastAsia="zh-CN"/>
              </w:rPr>
              <w:t>1.负责优化重大生产力布局</w:t>
            </w:r>
            <w:r>
              <w:rPr>
                <w:rFonts w:hint="eastAsia"/>
                <w:lang w:val="en-US" w:eastAsia="zh-CN"/>
              </w:rPr>
              <w:t>，</w:t>
            </w:r>
            <w:r>
              <w:rPr>
                <w:rFonts w:hint="default"/>
                <w:lang w:val="en-US" w:eastAsia="zh-CN"/>
              </w:rPr>
              <w:t>严控违规新增产能，统筹推进战略性新兴产业发展。</w:t>
            </w:r>
          </w:p>
          <w:p>
            <w:pPr>
              <w:pStyle w:val="38"/>
              <w:bidi w:val="0"/>
              <w:jc w:val="left"/>
              <w:rPr>
                <w:rFonts w:hint="default"/>
                <w:lang w:val="en-US" w:eastAsia="zh-CN"/>
              </w:rPr>
            </w:pPr>
            <w:r>
              <w:rPr>
                <w:rFonts w:hint="default"/>
                <w:lang w:val="en-US" w:eastAsia="zh-CN"/>
              </w:rPr>
              <w:t>2.负责组织拟订和实施有利于资源节约与综合利用和生态环境保护的产业政策，并组织落实产业结构调整指导目录。</w:t>
            </w:r>
          </w:p>
          <w:p>
            <w:pPr>
              <w:pStyle w:val="38"/>
              <w:bidi w:val="0"/>
              <w:jc w:val="left"/>
              <w:rPr>
                <w:rFonts w:hint="default"/>
                <w:lang w:val="en-US" w:eastAsia="zh-CN"/>
              </w:rPr>
            </w:pPr>
            <w:r>
              <w:rPr>
                <w:rFonts w:hint="default"/>
                <w:lang w:val="en-US" w:eastAsia="zh-CN"/>
              </w:rPr>
              <w:t>3.负责组织实施能源消费总量和强度“双控行动”，推进煤炭消费减量替代，组织实施煤炭清洁高效利用。保障天然气、电等清洁能源供应。</w:t>
            </w:r>
          </w:p>
          <w:p>
            <w:pPr>
              <w:pStyle w:val="38"/>
              <w:bidi w:val="0"/>
              <w:jc w:val="left"/>
              <w:rPr>
                <w:rFonts w:hint="default"/>
                <w:lang w:val="en-US" w:eastAsia="zh-CN"/>
              </w:rPr>
            </w:pPr>
            <w:r>
              <w:rPr>
                <w:rFonts w:hint="default"/>
                <w:lang w:val="en-US" w:eastAsia="zh-CN"/>
              </w:rPr>
              <w:t>4.负责组织拟订循环经济政策、资源节约和综合利用规划、政策，协调清洁生产促进工作。</w:t>
            </w:r>
          </w:p>
          <w:p>
            <w:pPr>
              <w:pStyle w:val="38"/>
              <w:bidi w:val="0"/>
              <w:jc w:val="left"/>
              <w:rPr>
                <w:rFonts w:hint="default"/>
                <w:lang w:val="en-US" w:eastAsia="zh-CN"/>
              </w:rPr>
            </w:pPr>
            <w:r>
              <w:rPr>
                <w:rFonts w:hint="default"/>
                <w:lang w:val="en-US" w:eastAsia="zh-CN"/>
              </w:rPr>
              <w:t>5.负责落实建立健全生态补偿机制的政策措施。</w:t>
            </w:r>
          </w:p>
          <w:p>
            <w:pPr>
              <w:pStyle w:val="38"/>
              <w:bidi w:val="0"/>
              <w:jc w:val="left"/>
              <w:rPr>
                <w:rFonts w:hint="default"/>
                <w:lang w:val="en-US" w:eastAsia="zh-CN"/>
              </w:rPr>
            </w:pPr>
            <w:r>
              <w:rPr>
                <w:rFonts w:hint="default"/>
                <w:lang w:val="en-US" w:eastAsia="zh-CN"/>
              </w:rPr>
              <w:t>6.按职责分工，推广、规范政府和社会资本合作模式，引导社会资本参与生态环境治理。</w:t>
            </w:r>
          </w:p>
          <w:p>
            <w:pPr>
              <w:pStyle w:val="38"/>
              <w:bidi w:val="0"/>
              <w:jc w:val="left"/>
              <w:rPr>
                <w:rFonts w:hint="default"/>
                <w:lang w:val="en-US" w:eastAsia="zh-CN"/>
              </w:rPr>
            </w:pPr>
            <w:r>
              <w:rPr>
                <w:rFonts w:hint="default"/>
                <w:lang w:val="en-US" w:eastAsia="zh-CN"/>
              </w:rPr>
              <w:t>7.做好上级交办的生态文明建设重要政策、规划、重大建设项目等事项的统筹协调。</w:t>
            </w:r>
          </w:p>
          <w:p>
            <w:pPr>
              <w:pStyle w:val="38"/>
              <w:bidi w:val="0"/>
              <w:jc w:val="left"/>
              <w:rPr>
                <w:rFonts w:hint="default"/>
                <w:lang w:val="en-US" w:eastAsia="zh-CN"/>
              </w:rPr>
            </w:pPr>
            <w:r>
              <w:rPr>
                <w:rFonts w:hint="default"/>
                <w:lang w:val="en-US" w:eastAsia="zh-CN"/>
              </w:rPr>
              <w:t>8.指导推进工业绿色制造工作</w:t>
            </w:r>
            <w:r>
              <w:rPr>
                <w:rFonts w:hint="eastAsia"/>
                <w:lang w:val="en-US" w:eastAsia="zh-CN"/>
              </w:rPr>
              <w:t>，</w:t>
            </w:r>
            <w:r>
              <w:rPr>
                <w:rFonts w:hint="default"/>
                <w:lang w:val="en-US" w:eastAsia="zh-CN"/>
              </w:rPr>
              <w:t>推动产业优化升级。</w:t>
            </w:r>
          </w:p>
          <w:p>
            <w:pPr>
              <w:pStyle w:val="38"/>
              <w:bidi w:val="0"/>
              <w:jc w:val="left"/>
              <w:rPr>
                <w:rFonts w:hint="default"/>
                <w:lang w:val="en-US" w:eastAsia="zh-CN"/>
              </w:rPr>
            </w:pPr>
            <w:r>
              <w:rPr>
                <w:rFonts w:hint="default"/>
                <w:lang w:val="en-US" w:eastAsia="zh-CN"/>
              </w:rPr>
              <w:t>9.协调相关部门指导和督促化解过剩产能工作，严控高污染、高耗能行业产能。严格执行国家、省和市产能置换政策。</w:t>
            </w:r>
          </w:p>
          <w:p>
            <w:pPr>
              <w:pStyle w:val="38"/>
              <w:bidi w:val="0"/>
              <w:jc w:val="left"/>
              <w:rPr>
                <w:rFonts w:hint="default"/>
                <w:lang w:val="en-US" w:eastAsia="zh-CN"/>
              </w:rPr>
            </w:pPr>
            <w:r>
              <w:rPr>
                <w:rFonts w:hint="default"/>
                <w:lang w:val="en-US" w:eastAsia="zh-CN"/>
              </w:rPr>
              <w:t>10.协调相关部门组织制定淘汰落后产能计划并监督执行。</w:t>
            </w:r>
          </w:p>
          <w:p>
            <w:pPr>
              <w:pStyle w:val="38"/>
              <w:bidi w:val="0"/>
              <w:jc w:val="left"/>
              <w:rPr>
                <w:rFonts w:hint="default"/>
                <w:lang w:val="en-US" w:eastAsia="zh-CN"/>
              </w:rPr>
            </w:pPr>
            <w:r>
              <w:rPr>
                <w:rFonts w:hint="default"/>
                <w:lang w:val="en-US" w:eastAsia="zh-CN"/>
              </w:rPr>
              <w:t>11</w:t>
            </w:r>
            <w:r>
              <w:rPr>
                <w:rFonts w:hint="eastAsia"/>
                <w:lang w:val="en-US" w:eastAsia="zh-CN"/>
              </w:rPr>
              <w:t>.</w:t>
            </w:r>
            <w:r>
              <w:rPr>
                <w:rFonts w:hint="default"/>
                <w:lang w:val="en-US" w:eastAsia="zh-CN"/>
              </w:rPr>
              <w:t>配合黄石市生态环境局</w:t>
            </w:r>
            <w:r>
              <w:rPr>
                <w:rFonts w:hint="eastAsia"/>
                <w:lang w:val="en-US" w:eastAsia="zh-CN"/>
              </w:rPr>
              <w:t>阳新县分局</w:t>
            </w:r>
            <w:r>
              <w:rPr>
                <w:rFonts w:hint="default"/>
                <w:lang w:val="en-US" w:eastAsia="zh-CN"/>
              </w:rPr>
              <w:t>工作，督促所监管企业强化生态环境保护责任，贯彻落实生态环境保护相关法律法规、政策和标准，开展大气、水、土壤、固体废物污染防治、生态环境保护与修复工作。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eastAsia"/>
                <w:lang w:val="en-US" w:eastAsia="zh-CN"/>
              </w:rPr>
              <w:t>富池</w:t>
            </w:r>
            <w:r>
              <w:rPr>
                <w:rFonts w:hint="default"/>
                <w:lang w:val="en-US" w:eastAsia="zh-CN"/>
              </w:rPr>
              <w:t>派出所</w:t>
            </w:r>
          </w:p>
        </w:tc>
        <w:tc>
          <w:tcPr>
            <w:tcW w:w="4078" w:type="pct"/>
            <w:vAlign w:val="center"/>
          </w:tcPr>
          <w:p>
            <w:pPr>
              <w:pStyle w:val="38"/>
              <w:bidi w:val="0"/>
              <w:jc w:val="left"/>
              <w:rPr>
                <w:rFonts w:hint="default"/>
                <w:lang w:val="en-US" w:eastAsia="zh-CN"/>
              </w:rPr>
            </w:pPr>
            <w:r>
              <w:rPr>
                <w:rFonts w:hint="default"/>
                <w:lang w:val="en-US" w:eastAsia="zh-CN"/>
              </w:rPr>
              <w:t>1.负责组织指导依法侦查涉嫌生态环境犯罪案件，以及阻碍生态环境领域依法执行职务的违法犯罪行为。</w:t>
            </w:r>
          </w:p>
          <w:p>
            <w:pPr>
              <w:pStyle w:val="38"/>
              <w:bidi w:val="0"/>
              <w:jc w:val="left"/>
              <w:rPr>
                <w:rFonts w:hint="default"/>
                <w:lang w:val="en-US" w:eastAsia="zh-CN"/>
              </w:rPr>
            </w:pPr>
            <w:r>
              <w:rPr>
                <w:rFonts w:hint="default"/>
                <w:lang w:val="en-US" w:eastAsia="zh-CN"/>
              </w:rPr>
              <w:t>2.负责加强危险化学品的公共安全管理，严格核发剧毒化学品道路运输通行证，加强对危险化学品运输车辆的道路交通安全管理。</w:t>
            </w:r>
          </w:p>
          <w:p>
            <w:pPr>
              <w:pStyle w:val="38"/>
              <w:bidi w:val="0"/>
              <w:jc w:val="left"/>
              <w:rPr>
                <w:rFonts w:hint="default"/>
                <w:lang w:val="en-US" w:eastAsia="zh-CN"/>
              </w:rPr>
            </w:pPr>
            <w:r>
              <w:rPr>
                <w:rFonts w:hint="default"/>
                <w:lang w:val="en-US" w:eastAsia="zh-CN"/>
              </w:rPr>
              <w:t>3.负责放射源安全保卫和道路运输安全的监管。负责丢失和被盗放射源的立案、侦查和追缴。参与放射源的放射性污染事故应急工作。</w:t>
            </w:r>
          </w:p>
          <w:p>
            <w:pPr>
              <w:pStyle w:val="38"/>
              <w:bidi w:val="0"/>
              <w:jc w:val="left"/>
              <w:rPr>
                <w:rFonts w:hint="default"/>
                <w:lang w:val="en-US" w:eastAsia="zh-CN"/>
              </w:rPr>
            </w:pPr>
            <w:r>
              <w:rPr>
                <w:rFonts w:hint="default"/>
                <w:lang w:val="en-US" w:eastAsia="zh-CN"/>
              </w:rPr>
              <w:t>4.负责制定实施重污染天气应急响应专项方案，组织落实烟花爆竹禁限放管控措施。</w:t>
            </w:r>
          </w:p>
          <w:p>
            <w:pPr>
              <w:pStyle w:val="38"/>
              <w:bidi w:val="0"/>
              <w:jc w:val="left"/>
              <w:rPr>
                <w:rFonts w:hint="default"/>
                <w:lang w:val="en-US" w:eastAsia="zh-CN"/>
              </w:rPr>
            </w:pPr>
            <w:r>
              <w:rPr>
                <w:rFonts w:hint="default"/>
                <w:lang w:val="en-US" w:eastAsia="zh-CN"/>
              </w:rPr>
              <w:t>5.配合有关部门妥善处置因交通事故、火灾、爆炸和泄漏等各类事故引发的突发环境事件</w:t>
            </w: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default"/>
                <w:lang w:val="en-US" w:eastAsia="zh-CN"/>
              </w:rPr>
              <w:t>财政</w:t>
            </w:r>
            <w:r>
              <w:rPr>
                <w:rFonts w:hint="eastAsia"/>
                <w:lang w:val="en-US" w:eastAsia="zh-CN"/>
              </w:rPr>
              <w:t>办</w:t>
            </w:r>
          </w:p>
        </w:tc>
        <w:tc>
          <w:tcPr>
            <w:tcW w:w="4078" w:type="pct"/>
            <w:vAlign w:val="center"/>
          </w:tcPr>
          <w:p>
            <w:pPr>
              <w:pStyle w:val="38"/>
              <w:bidi w:val="0"/>
              <w:jc w:val="left"/>
              <w:rPr>
                <w:rFonts w:hint="default"/>
                <w:lang w:val="en-US" w:eastAsia="zh-CN"/>
              </w:rPr>
            </w:pPr>
            <w:r>
              <w:rPr>
                <w:rFonts w:hint="default"/>
                <w:lang w:val="en-US" w:eastAsia="zh-CN"/>
              </w:rPr>
              <w:t>1.坚持资金投入同攻坚任务相匹配，负责建立常态化、稳定的财政资金投入机制。落实生态环境保护财税政策。</w:t>
            </w:r>
          </w:p>
          <w:p>
            <w:pPr>
              <w:pStyle w:val="38"/>
              <w:bidi w:val="0"/>
              <w:jc w:val="left"/>
              <w:rPr>
                <w:rFonts w:hint="default"/>
                <w:lang w:val="en-US" w:eastAsia="zh-CN"/>
              </w:rPr>
            </w:pPr>
            <w:r>
              <w:rPr>
                <w:rFonts w:hint="default"/>
                <w:lang w:val="en-US" w:eastAsia="zh-CN"/>
              </w:rPr>
              <w:t>2.负责会同相关部门落实生态环境补偿制度，统筹上级资金，通过转移支付方式支持重点生态功能区、生态保护红线区域等生态功能重要地区的生态环境保护工作。</w:t>
            </w:r>
          </w:p>
          <w:p>
            <w:pPr>
              <w:pStyle w:val="38"/>
              <w:bidi w:val="0"/>
              <w:jc w:val="left"/>
              <w:rPr>
                <w:rFonts w:hint="default"/>
                <w:lang w:val="en-US" w:eastAsia="zh-CN"/>
              </w:rPr>
            </w:pPr>
            <w:r>
              <w:rPr>
                <w:rFonts w:hint="default"/>
                <w:lang w:val="en-US" w:eastAsia="zh-CN"/>
              </w:rPr>
              <w:t>3.督促所监管企业建立健全生态环境保护组织管理、考核奖惩体系，落实生态环境分局对生态环境统计监测工作的统一部署。</w:t>
            </w:r>
          </w:p>
          <w:p>
            <w:pPr>
              <w:pStyle w:val="38"/>
              <w:bidi w:val="0"/>
              <w:jc w:val="left"/>
              <w:rPr>
                <w:rFonts w:hint="default"/>
                <w:lang w:val="en-US" w:eastAsia="zh-CN"/>
              </w:rPr>
            </w:pPr>
            <w:r>
              <w:rPr>
                <w:rFonts w:hint="default"/>
                <w:lang w:val="en-US" w:eastAsia="zh-CN"/>
              </w:rPr>
              <w:t>4.负责开展生态环境保护法律法规、政策措施、重大规划、重大资金和项目、支撑保障等落实情况跟踪审计。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 w:type="pct"/>
            <w:vAlign w:val="center"/>
          </w:tcPr>
          <w:p>
            <w:pPr>
              <w:pStyle w:val="38"/>
              <w:bidi w:val="0"/>
              <w:jc w:val="center"/>
              <w:rPr>
                <w:rFonts w:hint="default"/>
                <w:lang w:val="en-US" w:eastAsia="zh-CN"/>
              </w:rPr>
            </w:pPr>
            <w:r>
              <w:rPr>
                <w:rFonts w:hint="eastAsia"/>
                <w:lang w:val="en-US" w:eastAsia="zh-CN"/>
              </w:rPr>
              <w:t>规建办</w:t>
            </w:r>
          </w:p>
        </w:tc>
        <w:tc>
          <w:tcPr>
            <w:tcW w:w="4078" w:type="pct"/>
            <w:vAlign w:val="center"/>
          </w:tcPr>
          <w:p>
            <w:pPr>
              <w:pStyle w:val="38"/>
              <w:bidi w:val="0"/>
              <w:jc w:val="left"/>
              <w:rPr>
                <w:rFonts w:hint="default"/>
                <w:lang w:val="en-US" w:eastAsia="zh-CN"/>
              </w:rPr>
            </w:pPr>
            <w:r>
              <w:rPr>
                <w:rFonts w:hint="default"/>
                <w:lang w:val="en-US" w:eastAsia="zh-CN"/>
              </w:rPr>
              <w:t>1.负责加强城市生活污水收集处理工作，加快城市污水集中处理设施配套管网建设，推进雨污分流。推进城市污水处理厂污泥无害化处理处置。</w:t>
            </w:r>
          </w:p>
          <w:p>
            <w:pPr>
              <w:pStyle w:val="38"/>
              <w:bidi w:val="0"/>
              <w:jc w:val="left"/>
              <w:rPr>
                <w:rFonts w:hint="default"/>
                <w:lang w:val="en-US" w:eastAsia="zh-CN"/>
              </w:rPr>
            </w:pPr>
            <w:r>
              <w:rPr>
                <w:rFonts w:hint="default"/>
                <w:lang w:val="en-US" w:eastAsia="zh-CN"/>
              </w:rPr>
              <w:t>2.负责建筑施工扬尘污染防治。实施重污染天气建筑施工扬尘污染控制方案，组织落实建筑施工扬尘污染控制措施，对建筑施工扬尘污染防治从直接管理转变为行业管理。在施工工地同步安装视频监控设备和扬尘污染物在线监测设备，分别与建设主管部门、生态环境主管部门的监控设备联网。配合有关部门开展非道路移动机械的大气污染防治工作。</w:t>
            </w:r>
          </w:p>
          <w:p>
            <w:pPr>
              <w:pStyle w:val="38"/>
              <w:bidi w:val="0"/>
              <w:jc w:val="left"/>
              <w:rPr>
                <w:rFonts w:hint="default"/>
                <w:lang w:val="en-US" w:eastAsia="zh-CN"/>
              </w:rPr>
            </w:pPr>
            <w:r>
              <w:rPr>
                <w:rFonts w:hint="eastAsia"/>
                <w:lang w:val="en-US" w:eastAsia="zh-CN"/>
              </w:rPr>
              <w:t>3.</w:t>
            </w:r>
            <w:r>
              <w:rPr>
                <w:rFonts w:hint="default"/>
                <w:lang w:val="en-US" w:eastAsia="zh-CN"/>
              </w:rPr>
              <w:t>配合交通运输部门指导危险化学品道路运输许可以及道路运输工具的安全管理。</w:t>
            </w:r>
          </w:p>
        </w:tc>
      </w:tr>
    </w:tbl>
    <w:p>
      <w:pPr>
        <w:pStyle w:val="6"/>
        <w:bidi w:val="0"/>
        <w:rPr>
          <w:rFonts w:hint="default"/>
          <w:lang w:val="en-US" w:eastAsia="zh-CN"/>
        </w:rPr>
      </w:pPr>
      <w:r>
        <w:rPr>
          <w:rFonts w:hint="eastAsia"/>
          <w:lang w:val="en-US" w:eastAsia="zh-CN"/>
        </w:rPr>
        <w:t>园区监测管理现状</w:t>
      </w:r>
    </w:p>
    <w:p>
      <w:pPr>
        <w:pStyle w:val="15"/>
        <w:ind w:firstLine="480"/>
        <w:rPr>
          <w:rFonts w:hint="default" w:eastAsia="宋体"/>
          <w:color w:val="auto"/>
          <w:highlight w:val="none"/>
          <w:lang w:val="en-US" w:eastAsia="zh-CN"/>
        </w:rPr>
      </w:pPr>
      <w:r>
        <w:rPr>
          <w:rFonts w:hint="eastAsia"/>
          <w:color w:val="auto"/>
          <w:highlight w:val="none"/>
          <w:lang w:val="en-US" w:eastAsia="zh-CN"/>
        </w:rPr>
        <w:t>据调查，针对此次规划的化工园区，工业园区管委会均未开展环境质量跟踪监测工作。本次评价建议，工业园区管委会或化工园办公室应及时在化工园区后续开发建设过程中，组织开展环境质量监测工作。</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lang w:val="en-US" w:eastAsia="zh-CN"/>
        </w:rPr>
      </w:pPr>
      <w:bookmarkStart w:id="45" w:name="_Toc9630"/>
      <w:bookmarkStart w:id="46" w:name="_Toc31097"/>
      <w:r>
        <w:rPr>
          <w:rFonts w:hint="eastAsia"/>
          <w:color w:val="auto"/>
          <w:lang w:val="en-US" w:eastAsia="zh-CN"/>
        </w:rPr>
        <w:t>规划区</w:t>
      </w:r>
      <w:r>
        <w:rPr>
          <w:rFonts w:hint="eastAsia" w:ascii="Times New Roman" w:hAnsi="Times New Roman"/>
          <w:color w:val="auto"/>
          <w:lang w:val="en-US" w:eastAsia="zh-CN"/>
        </w:rPr>
        <w:t>资源</w:t>
      </w:r>
      <w:r>
        <w:rPr>
          <w:rFonts w:hint="eastAsia"/>
          <w:color w:val="auto"/>
          <w:lang w:val="en-US" w:eastAsia="zh-CN"/>
        </w:rPr>
        <w:t>能源利用现状</w:t>
      </w:r>
      <w:bookmarkEnd w:id="45"/>
      <w:bookmarkEnd w:id="46"/>
    </w:p>
    <w:p>
      <w:pPr>
        <w:pStyle w:val="5"/>
        <w:bidi w:val="0"/>
        <w:rPr>
          <w:color w:val="auto"/>
          <w:lang w:val="en-US" w:eastAsia="zh-CN"/>
        </w:rPr>
      </w:pPr>
      <w:bookmarkStart w:id="47" w:name="_Toc22293"/>
      <w:r>
        <w:rPr>
          <w:rFonts w:hint="eastAsia"/>
          <w:color w:val="auto"/>
          <w:lang w:val="en-US" w:eastAsia="zh-CN"/>
        </w:rPr>
        <w:t>现状能源结构</w:t>
      </w:r>
      <w:bookmarkEnd w:id="47"/>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经调查，化工园区现有企业中，除湖北远大生命科学与技术有限责任公司使用烟煤和武汉武药制药有限公司用烟煤和天然气作为燃料外，其余现状企业均采用电、生物质和蒸汽等作为主要能源。</w:t>
      </w:r>
    </w:p>
    <w:p>
      <w:pPr>
        <w:pStyle w:val="5"/>
        <w:bidi w:val="0"/>
        <w:rPr>
          <w:color w:val="auto"/>
          <w:lang w:val="en-US" w:eastAsia="zh-CN"/>
        </w:rPr>
      </w:pPr>
      <w:bookmarkStart w:id="48" w:name="_Toc27586"/>
      <w:r>
        <w:rPr>
          <w:rFonts w:hint="eastAsia"/>
          <w:color w:val="auto"/>
          <w:lang w:val="en-US" w:eastAsia="zh-CN"/>
        </w:rPr>
        <w:t>重点企业资源能源利用现状</w:t>
      </w:r>
      <w:bookmarkEnd w:id="48"/>
    </w:p>
    <w:p>
      <w:pPr>
        <w:pStyle w:val="15"/>
        <w:rPr>
          <w:rFonts w:hint="default" w:eastAsia="宋体"/>
          <w:lang w:val="en-US" w:eastAsia="zh-CN"/>
        </w:rPr>
      </w:pPr>
      <w:r>
        <w:rPr>
          <w:rFonts w:hint="eastAsia"/>
          <w:lang w:val="en-US" w:eastAsia="zh-CN"/>
        </w:rPr>
        <w:t>根据调查情况，目前园区在产重点企业中只有</w:t>
      </w:r>
      <w:r>
        <w:rPr>
          <w:rFonts w:hint="default"/>
          <w:sz w:val="24"/>
          <w:szCs w:val="24"/>
          <w:vertAlign w:val="baseline"/>
          <w:lang w:val="en-US" w:eastAsia="zh-CN"/>
        </w:rPr>
        <w:t>湖北远大生命科学与技术有限责任公司</w:t>
      </w:r>
      <w:r>
        <w:rPr>
          <w:rFonts w:hint="eastAsia"/>
          <w:sz w:val="24"/>
          <w:szCs w:val="24"/>
          <w:vertAlign w:val="baseline"/>
          <w:lang w:val="en-US" w:eastAsia="zh-CN"/>
        </w:rPr>
        <w:t>和</w:t>
      </w:r>
      <w:r>
        <w:rPr>
          <w:rFonts w:hint="default"/>
          <w:sz w:val="24"/>
          <w:szCs w:val="24"/>
          <w:vertAlign w:val="baseline"/>
          <w:lang w:val="en-US" w:eastAsia="zh-CN"/>
        </w:rPr>
        <w:t>武汉武药制药有限公司</w:t>
      </w:r>
      <w:r>
        <w:rPr>
          <w:rFonts w:hint="eastAsia"/>
          <w:highlight w:val="none"/>
          <w:lang w:val="en-US" w:eastAsia="zh-CN"/>
        </w:rPr>
        <w:t>使用烟煤，年均使用量约为54276.13吨标准煤</w:t>
      </w:r>
      <w:r>
        <w:rPr>
          <w:rFonts w:hint="eastAsia"/>
          <w:lang w:val="en-US" w:eastAsia="zh-CN"/>
        </w:rPr>
        <w:t>。</w:t>
      </w:r>
    </w:p>
    <w:p>
      <w:pPr>
        <w:pStyle w:val="15"/>
      </w:pPr>
      <w:r>
        <w:rPr>
          <w:rFonts w:hint="eastAsia"/>
        </w:rPr>
        <w:t>目前，园区尚未针对工业企业制定碳减排的相关指标，本次评价建议园区及时结合湖北省、黄石市、</w:t>
      </w:r>
      <w:r>
        <w:rPr>
          <w:rFonts w:hint="eastAsia"/>
          <w:lang w:val="en-US" w:eastAsia="zh-CN"/>
        </w:rPr>
        <w:t>阳新县</w:t>
      </w:r>
      <w:r>
        <w:rPr>
          <w:rFonts w:hint="eastAsia"/>
        </w:rPr>
        <w:t>的碳减排相关要求，针对</w:t>
      </w:r>
      <w:r>
        <w:rPr>
          <w:rFonts w:hint="eastAsia"/>
          <w:lang w:val="en-US" w:eastAsia="zh-CN"/>
        </w:rPr>
        <w:t>主要</w:t>
      </w:r>
      <w:r>
        <w:rPr>
          <w:rFonts w:hint="eastAsia"/>
        </w:rPr>
        <w:t>企业下达碳减排相关指标要求。同时，由于</w:t>
      </w:r>
      <w:r>
        <w:rPr>
          <w:rFonts w:hint="eastAsia"/>
          <w:lang w:val="en-US" w:eastAsia="zh-CN"/>
        </w:rPr>
        <w:t>远大生科和武汉武药为园区主要能源消耗企业，并且</w:t>
      </w:r>
      <w:r>
        <w:rPr>
          <w:rFonts w:hint="eastAsia"/>
        </w:rPr>
        <w:t>单位工业总产值能源使用量较高，建议</w:t>
      </w:r>
      <w:r>
        <w:rPr>
          <w:rFonts w:hint="default"/>
          <w:sz w:val="24"/>
          <w:szCs w:val="24"/>
          <w:vertAlign w:val="baseline"/>
          <w:lang w:val="en-US" w:eastAsia="zh-CN"/>
        </w:rPr>
        <w:t>湖北远大生命科学与技术有限责任公司</w:t>
      </w:r>
      <w:r>
        <w:rPr>
          <w:rFonts w:hint="eastAsia"/>
          <w:sz w:val="24"/>
          <w:szCs w:val="24"/>
          <w:vertAlign w:val="baseline"/>
          <w:lang w:val="en-US" w:eastAsia="zh-CN"/>
        </w:rPr>
        <w:t>和</w:t>
      </w:r>
      <w:r>
        <w:rPr>
          <w:rFonts w:hint="default"/>
          <w:sz w:val="24"/>
          <w:szCs w:val="24"/>
          <w:vertAlign w:val="baseline"/>
          <w:lang w:val="en-US" w:eastAsia="zh-CN"/>
        </w:rPr>
        <w:t>武汉武药制药有限公司</w:t>
      </w:r>
      <w:r>
        <w:rPr>
          <w:rFonts w:hint="eastAsia"/>
        </w:rPr>
        <w:t>积极开展节能降碳工作，降低单位工业总产值能源使用量。</w:t>
      </w:r>
    </w:p>
    <w:p>
      <w:pPr>
        <w:pStyle w:val="5"/>
        <w:bidi w:val="0"/>
        <w:rPr>
          <w:color w:val="auto"/>
          <w:lang w:val="en-US" w:eastAsia="zh-CN"/>
        </w:rPr>
      </w:pPr>
      <w:bookmarkStart w:id="49" w:name="_Toc7531"/>
      <w:r>
        <w:rPr>
          <w:rFonts w:hint="eastAsia"/>
          <w:color w:val="auto"/>
          <w:lang w:val="en-US" w:eastAsia="zh-CN"/>
        </w:rPr>
        <w:t>园区碳排放现状分析</w:t>
      </w:r>
      <w:bookmarkEnd w:id="49"/>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规划化工园区现状工业企业碳排放情况汇总分析如下：</w:t>
      </w:r>
    </w:p>
    <w:p>
      <w:pPr>
        <w:widowControl w:val="0"/>
        <w:spacing w:line="360" w:lineRule="auto"/>
        <w:ind w:firstLine="0" w:firstLineChars="0"/>
        <w:jc w:val="center"/>
        <w:rPr>
          <w:rFonts w:hint="eastAsia"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kern w:val="2"/>
          <w:sz w:val="21"/>
          <w:szCs w:val="21"/>
          <w:lang w:val="en-US" w:eastAsia="zh-CN" w:bidi="ar-SA"/>
        </w:rPr>
        <w:t>表4.5</w:t>
      </w:r>
      <w:r>
        <w:rPr>
          <w:rFonts w:hint="eastAsia" w:cs="Times New Roman"/>
          <w:b/>
          <w:color w:val="auto"/>
          <w:kern w:val="2"/>
          <w:sz w:val="21"/>
          <w:szCs w:val="21"/>
          <w:lang w:val="en-US" w:eastAsia="zh-CN" w:bidi="ar-SA"/>
        </w:rPr>
        <w:t>.3</w:t>
      </w:r>
      <w:r>
        <w:rPr>
          <w:rFonts w:hint="eastAsia" w:ascii="Times New Roman" w:hAnsi="Times New Roman" w:eastAsia="宋体" w:cs="Times New Roman"/>
          <w:b/>
          <w:color w:val="auto"/>
          <w:kern w:val="2"/>
          <w:sz w:val="21"/>
          <w:szCs w:val="21"/>
          <w:lang w:val="en-US" w:eastAsia="zh-CN" w:bidi="ar-SA"/>
        </w:rPr>
        <w:t>-1 园区碳排放现状</w:t>
      </w:r>
    </w:p>
    <w:tbl>
      <w:tblPr>
        <w:tblStyle w:val="17"/>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1319"/>
        <w:gridCol w:w="997"/>
        <w:gridCol w:w="1319"/>
        <w:gridCol w:w="997"/>
        <w:gridCol w:w="1319"/>
        <w:gridCol w:w="1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20" w:type="pct"/>
            <w:vMerge w:val="restart"/>
            <w:tcBorders>
              <w:tl2br w:val="nil"/>
              <w:tr2bl w:val="nil"/>
            </w:tcBorders>
            <w:vAlign w:val="center"/>
          </w:tcPr>
          <w:p>
            <w:pPr>
              <w:pStyle w:val="38"/>
              <w:bidi w:val="0"/>
            </w:pPr>
            <w:r>
              <w:rPr>
                <w:rFonts w:hint="eastAsia"/>
              </w:rPr>
              <w:t>碳排放来源</w:t>
            </w:r>
          </w:p>
        </w:tc>
        <w:tc>
          <w:tcPr>
            <w:tcW w:w="1359" w:type="pct"/>
            <w:gridSpan w:val="2"/>
            <w:tcBorders>
              <w:tl2br w:val="nil"/>
              <w:tr2bl w:val="nil"/>
            </w:tcBorders>
            <w:vAlign w:val="center"/>
          </w:tcPr>
          <w:p>
            <w:pPr>
              <w:pStyle w:val="38"/>
              <w:bidi w:val="0"/>
              <w:rPr>
                <w:rFonts w:hint="default" w:eastAsia="宋体"/>
                <w:lang w:val="en-US" w:eastAsia="zh-CN"/>
              </w:rPr>
            </w:pPr>
            <w:r>
              <w:rPr>
                <w:rFonts w:hint="eastAsia"/>
                <w:lang w:val="en-US" w:eastAsia="zh-CN"/>
              </w:rPr>
              <w:t>2019年</w:t>
            </w:r>
          </w:p>
        </w:tc>
        <w:tc>
          <w:tcPr>
            <w:tcW w:w="1359" w:type="pct"/>
            <w:gridSpan w:val="2"/>
            <w:tcBorders>
              <w:tl2br w:val="nil"/>
              <w:tr2bl w:val="nil"/>
            </w:tcBorders>
            <w:vAlign w:val="center"/>
          </w:tcPr>
          <w:p>
            <w:pPr>
              <w:pStyle w:val="38"/>
              <w:bidi w:val="0"/>
              <w:rPr>
                <w:rFonts w:hint="default" w:eastAsia="宋体"/>
                <w:lang w:val="en-US" w:eastAsia="zh-CN"/>
              </w:rPr>
            </w:pPr>
            <w:r>
              <w:rPr>
                <w:rFonts w:hint="eastAsia"/>
                <w:lang w:val="en-US" w:eastAsia="zh-CN"/>
              </w:rPr>
              <w:t>2020年</w:t>
            </w:r>
          </w:p>
        </w:tc>
        <w:tc>
          <w:tcPr>
            <w:tcW w:w="1361" w:type="pct"/>
            <w:gridSpan w:val="2"/>
            <w:tcBorders>
              <w:tl2br w:val="nil"/>
              <w:tr2bl w:val="nil"/>
            </w:tcBorders>
            <w:vAlign w:val="center"/>
          </w:tcPr>
          <w:p>
            <w:pPr>
              <w:pStyle w:val="38"/>
              <w:bidi w:val="0"/>
              <w:rPr>
                <w:rFonts w:hint="default" w:eastAsia="宋体"/>
                <w:lang w:val="en-US" w:eastAsia="zh-CN"/>
              </w:rPr>
            </w:pPr>
            <w:r>
              <w:rPr>
                <w:rFonts w:hint="eastAsia"/>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20" w:type="pct"/>
            <w:vMerge w:val="continue"/>
            <w:tcBorders>
              <w:tl2br w:val="nil"/>
              <w:tr2bl w:val="nil"/>
            </w:tcBorders>
            <w:vAlign w:val="center"/>
          </w:tcPr>
          <w:p>
            <w:pPr>
              <w:pStyle w:val="38"/>
              <w:bidi w:val="0"/>
              <w:rPr>
                <w:rFonts w:hint="eastAsia"/>
              </w:rPr>
            </w:pPr>
          </w:p>
        </w:tc>
        <w:tc>
          <w:tcPr>
            <w:tcW w:w="774"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碳排放量（tCO</w:t>
            </w:r>
            <w:r>
              <w:rPr>
                <w:vertAlign w:val="subscript"/>
              </w:rPr>
              <w:t>2</w:t>
            </w:r>
            <w:r>
              <w:rPr>
                <w:rFonts w:hint="eastAsia"/>
              </w:rPr>
              <w:t>）</w:t>
            </w:r>
          </w:p>
        </w:tc>
        <w:tc>
          <w:tcPr>
            <w:tcW w:w="585"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占总比例（%）</w:t>
            </w:r>
          </w:p>
        </w:tc>
        <w:tc>
          <w:tcPr>
            <w:tcW w:w="774"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碳排放量（tCO</w:t>
            </w:r>
            <w:r>
              <w:rPr>
                <w:vertAlign w:val="subscript"/>
              </w:rPr>
              <w:t>2</w:t>
            </w:r>
            <w:r>
              <w:rPr>
                <w:rFonts w:hint="eastAsia"/>
              </w:rPr>
              <w:t>）</w:t>
            </w:r>
          </w:p>
        </w:tc>
        <w:tc>
          <w:tcPr>
            <w:tcW w:w="585"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占总比例（%）</w:t>
            </w:r>
          </w:p>
        </w:tc>
        <w:tc>
          <w:tcPr>
            <w:tcW w:w="774"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碳排放量（tCO</w:t>
            </w:r>
            <w:r>
              <w:rPr>
                <w:vertAlign w:val="subscript"/>
              </w:rPr>
              <w:t>2</w:t>
            </w:r>
            <w:r>
              <w:rPr>
                <w:rFonts w:hint="eastAsia"/>
              </w:rPr>
              <w:t>）</w:t>
            </w:r>
          </w:p>
        </w:tc>
        <w:tc>
          <w:tcPr>
            <w:tcW w:w="586" w:type="pct"/>
            <w:tcBorders>
              <w:tl2br w:val="nil"/>
              <w:tr2bl w:val="nil"/>
            </w:tcBorders>
            <w:vAlign w:val="center"/>
          </w:tcPr>
          <w:p>
            <w:pPr>
              <w:pStyle w:val="38"/>
              <w:bidi w:val="0"/>
              <w:ind w:firstLine="0" w:firstLineChars="0"/>
              <w:rPr>
                <w:rFonts w:hint="eastAsia" w:ascii="Times New Roman" w:hAnsi="Times New Roman" w:eastAsia="宋体" w:cstheme="minorBidi"/>
                <w:kern w:val="2"/>
                <w:sz w:val="21"/>
                <w:szCs w:val="21"/>
                <w:lang w:val="en-US" w:eastAsia="zh-CN" w:bidi="ar-SA"/>
              </w:rPr>
            </w:pPr>
            <w:r>
              <w:rPr>
                <w:rFonts w:hint="eastAsia"/>
              </w:rPr>
              <w:t>占总比例（%）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tcBorders>
              <w:tl2br w:val="nil"/>
              <w:tr2bl w:val="nil"/>
            </w:tcBorders>
            <w:vAlign w:val="center"/>
          </w:tcPr>
          <w:p>
            <w:pPr>
              <w:pStyle w:val="38"/>
              <w:bidi w:val="0"/>
            </w:pPr>
            <w:r>
              <w:rPr>
                <w:rFonts w:hint="eastAsia"/>
              </w:rPr>
              <w:t>燃料燃烧</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101280.977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69.29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102021.609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69.44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100833.987 </w:t>
            </w:r>
          </w:p>
        </w:tc>
        <w:tc>
          <w:tcPr>
            <w:tcW w:w="10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69.34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tcBorders>
              <w:tl2br w:val="nil"/>
              <w:tr2bl w:val="nil"/>
            </w:tcBorders>
            <w:vAlign w:val="center"/>
          </w:tcPr>
          <w:p>
            <w:pPr>
              <w:pStyle w:val="38"/>
              <w:bidi w:val="0"/>
              <w:rPr>
                <w:rFonts w:hint="default" w:eastAsia="宋体"/>
                <w:lang w:val="en-US" w:eastAsia="zh-CN"/>
              </w:rPr>
            </w:pPr>
            <w:r>
              <w:rPr>
                <w:rFonts w:hint="eastAsia"/>
                <w:lang w:val="en-US" w:eastAsia="zh-CN"/>
              </w:rPr>
              <w:t>工业生产过程排放</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12.093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12.093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12.093 </w:t>
            </w:r>
          </w:p>
        </w:tc>
        <w:tc>
          <w:tcPr>
            <w:tcW w:w="10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tcBorders>
              <w:tl2br w:val="nil"/>
              <w:tr2bl w:val="nil"/>
            </w:tcBorders>
            <w:vAlign w:val="center"/>
          </w:tcPr>
          <w:p>
            <w:pPr>
              <w:pStyle w:val="38"/>
              <w:bidi w:val="0"/>
              <w:rPr>
                <w:rFonts w:hint="default" w:eastAsia="宋体"/>
                <w:lang w:val="en-US" w:eastAsia="zh-CN"/>
              </w:rPr>
            </w:pPr>
            <w:r>
              <w:rPr>
                <w:rFonts w:hint="eastAsia"/>
              </w:rPr>
              <w:t>净购入电力</w:t>
            </w:r>
            <w:r>
              <w:rPr>
                <w:rFonts w:hint="eastAsia"/>
                <w:lang w:val="en-US" w:eastAsia="zh-CN"/>
              </w:rPr>
              <w:t>和热力</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44874.376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30.70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44879.729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30.55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44579.243 </w:t>
            </w:r>
          </w:p>
        </w:tc>
        <w:tc>
          <w:tcPr>
            <w:tcW w:w="10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30.65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tcBorders>
              <w:tl2br w:val="nil"/>
              <w:tr2bl w:val="nil"/>
            </w:tcBorders>
            <w:vAlign w:val="center"/>
          </w:tcPr>
          <w:p>
            <w:pPr>
              <w:pStyle w:val="38"/>
              <w:bidi w:val="0"/>
            </w:pPr>
            <w:r>
              <w:rPr>
                <w:rFonts w:hint="eastAsia"/>
              </w:rPr>
              <w:t>合计</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146167.446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100.00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146913.430 </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100.00 </w:t>
            </w:r>
          </w:p>
        </w:tc>
        <w:tc>
          <w:tcPr>
            <w:tcW w:w="131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145425.324 </w:t>
            </w:r>
          </w:p>
        </w:tc>
        <w:tc>
          <w:tcPr>
            <w:tcW w:w="10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100.00 </w:t>
            </w:r>
          </w:p>
        </w:tc>
      </w:tr>
    </w:tbl>
    <w:p>
      <w:pPr>
        <w:ind w:firstLine="480"/>
        <w:rPr>
          <w:rFonts w:ascii="Times New Roman" w:hAnsi="Times New Roman" w:eastAsia="宋体" w:cs="Times New Roman"/>
          <w:color w:val="auto"/>
        </w:rPr>
      </w:pPr>
      <w:r>
        <w:rPr>
          <w:rFonts w:hint="eastAsia" w:ascii="Times New Roman" w:hAnsi="Times New Roman" w:eastAsia="宋体" w:cs="Times New Roman"/>
          <w:color w:val="auto"/>
        </w:rPr>
        <w:t>由上表各碳排放来源可以发现，园区工业企业碳排放主要来源为燃料燃烧，其次为净购入的电力和热力，其中燃料燃烧的碳排放量各年度均达到了总排放量的50%以上。</w:t>
      </w:r>
    </w:p>
    <w:p>
      <w:pPr>
        <w:pStyle w:val="5"/>
        <w:bidi w:val="0"/>
        <w:rPr>
          <w:color w:val="auto"/>
          <w:lang w:val="en-US" w:eastAsia="zh-CN"/>
        </w:rPr>
      </w:pPr>
      <w:bookmarkStart w:id="50" w:name="_Toc4306"/>
      <w:r>
        <w:rPr>
          <w:rFonts w:hint="eastAsia"/>
          <w:color w:val="auto"/>
          <w:lang w:val="en-US" w:eastAsia="zh-CN"/>
        </w:rPr>
        <w:t>节能降碳相关政策落实情况</w:t>
      </w:r>
      <w:bookmarkEnd w:id="50"/>
    </w:p>
    <w:p>
      <w:pPr>
        <w:ind w:firstLine="482"/>
        <w:rPr>
          <w:rFonts w:ascii="Times New Roman" w:hAnsi="Times New Roman" w:eastAsia="宋体" w:cs="Times New Roman"/>
          <w:b/>
          <w:bCs/>
          <w:color w:val="auto"/>
        </w:rPr>
      </w:pPr>
      <w:r>
        <w:rPr>
          <w:rFonts w:hint="eastAsia" w:ascii="Times New Roman" w:hAnsi="Times New Roman" w:eastAsia="宋体" w:cs="Times New Roman"/>
          <w:b/>
          <w:bCs/>
          <w:color w:val="auto"/>
        </w:rPr>
        <w:t>（1）《“十四五”节能减排综合工作方案》</w:t>
      </w:r>
    </w:p>
    <w:p>
      <w:pPr>
        <w:ind w:firstLine="480"/>
        <w:rPr>
          <w:rFonts w:ascii="Times New Roman" w:hAnsi="Times New Roman" w:eastAsia="宋体" w:cs="Times New Roman"/>
          <w:color w:val="auto"/>
        </w:rPr>
      </w:pPr>
      <w:r>
        <w:rPr>
          <w:rFonts w:ascii="Times New Roman" w:hAnsi="Times New Roman" w:eastAsia="宋体" w:cs="Times New Roman"/>
          <w:color w:val="auto"/>
        </w:rPr>
        <w:t>2021年12月28日，国务院印发了《</w:t>
      </w:r>
      <w:r>
        <w:rPr>
          <w:rFonts w:hint="eastAsia" w:ascii="Times New Roman" w:hAnsi="Times New Roman" w:eastAsia="宋体" w:cs="Times New Roman"/>
          <w:color w:val="auto"/>
        </w:rPr>
        <w:t>“</w:t>
      </w:r>
      <w:r>
        <w:rPr>
          <w:rFonts w:ascii="Times New Roman" w:hAnsi="Times New Roman" w:eastAsia="宋体" w:cs="Times New Roman"/>
          <w:color w:val="auto"/>
        </w:rPr>
        <w:t>十四五</w:t>
      </w:r>
      <w:r>
        <w:rPr>
          <w:rFonts w:hint="eastAsia" w:ascii="Times New Roman" w:hAnsi="Times New Roman" w:eastAsia="宋体" w:cs="Times New Roman"/>
          <w:color w:val="auto"/>
        </w:rPr>
        <w:t>”</w:t>
      </w:r>
      <w:r>
        <w:rPr>
          <w:rFonts w:ascii="Times New Roman" w:hAnsi="Times New Roman" w:eastAsia="宋体" w:cs="Times New Roman"/>
          <w:color w:val="auto"/>
        </w:rPr>
        <w:t>节能减排综合工作方案》，提出到2025年，全国单位国内生产总值能源消耗比2020年下降13.5%</w:t>
      </w:r>
      <w:r>
        <w:rPr>
          <w:rFonts w:hint="eastAsia" w:ascii="Times New Roman" w:hAnsi="Times New Roman" w:eastAsia="宋体" w:cs="Times New Roman"/>
          <w:color w:val="auto"/>
        </w:rPr>
        <w:t>，能源消费总量得到合理控制，化学需氧量、氨氮、氮氧化物、挥发性有机物排放总量比2020年分别下降8%、8%、10%以上、10%以上</w:t>
      </w:r>
      <w:r>
        <w:rPr>
          <w:rFonts w:ascii="Times New Roman" w:hAnsi="Times New Roman" w:eastAsia="宋体" w:cs="Times New Roman"/>
          <w:color w:val="auto"/>
        </w:rPr>
        <w:t>；重点行业能源利用效率和主要污染物排放控制水平基本达到国际先进水平。</w:t>
      </w:r>
    </w:p>
    <w:p>
      <w:pPr>
        <w:ind w:firstLine="480"/>
        <w:rPr>
          <w:rFonts w:ascii="Times New Roman" w:hAnsi="Times New Roman" w:eastAsia="宋体" w:cs="Times New Roman"/>
          <w:color w:val="auto"/>
        </w:rPr>
      </w:pPr>
      <w:r>
        <w:rPr>
          <w:rFonts w:ascii="Times New Roman" w:hAnsi="Times New Roman" w:eastAsia="宋体" w:cs="Times New Roman"/>
          <w:color w:val="auto"/>
        </w:rPr>
        <w:t>该工作方案提出</w:t>
      </w:r>
      <w:r>
        <w:rPr>
          <w:rFonts w:hint="eastAsia" w:ascii="Times New Roman" w:hAnsi="Times New Roman" w:eastAsia="宋体" w:cs="Times New Roman"/>
          <w:color w:val="auto"/>
        </w:rPr>
        <w:t>了</w:t>
      </w:r>
      <w:r>
        <w:rPr>
          <w:rFonts w:ascii="Times New Roman" w:hAnsi="Times New Roman" w:eastAsia="宋体" w:cs="Times New Roman"/>
          <w:color w:val="auto"/>
        </w:rPr>
        <w:t>实施节能减排</w:t>
      </w:r>
      <w:r>
        <w:rPr>
          <w:rFonts w:hint="eastAsia" w:ascii="Times New Roman" w:hAnsi="Times New Roman" w:eastAsia="宋体" w:cs="Times New Roman"/>
          <w:color w:val="auto"/>
        </w:rPr>
        <w:t>的</w:t>
      </w:r>
      <w:r>
        <w:rPr>
          <w:rFonts w:ascii="Times New Roman" w:hAnsi="Times New Roman" w:eastAsia="宋体" w:cs="Times New Roman"/>
          <w:color w:val="auto"/>
        </w:rPr>
        <w:t>重点工程，具体工程内容节选如下：</w:t>
      </w:r>
    </w:p>
    <w:p>
      <w:pPr>
        <w:widowControl w:val="0"/>
        <w:spacing w:line="360" w:lineRule="auto"/>
        <w:ind w:firstLine="0" w:firstLineChars="0"/>
        <w:jc w:val="center"/>
        <w:rPr>
          <w:rFonts w:hint="eastAsia"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kern w:val="2"/>
          <w:sz w:val="21"/>
          <w:szCs w:val="21"/>
          <w:lang w:val="en-US" w:eastAsia="zh-CN" w:bidi="ar-SA"/>
        </w:rPr>
        <w:t>表</w:t>
      </w:r>
      <w:r>
        <w:rPr>
          <w:rFonts w:hint="eastAsia" w:cs="Times New Roman"/>
          <w:b/>
          <w:color w:val="auto"/>
          <w:kern w:val="2"/>
          <w:sz w:val="21"/>
          <w:szCs w:val="21"/>
          <w:lang w:val="en-US" w:eastAsia="zh-CN" w:bidi="ar-SA"/>
        </w:rPr>
        <w:t>4.5.4</w:t>
      </w:r>
      <w:r>
        <w:rPr>
          <w:rFonts w:hint="eastAsia" w:ascii="Times New Roman" w:hAnsi="Times New Roman" w:eastAsia="宋体" w:cs="Times New Roman"/>
          <w:b/>
          <w:color w:val="auto"/>
          <w:kern w:val="2"/>
          <w:sz w:val="21"/>
          <w:szCs w:val="21"/>
          <w:lang w:val="en-US" w:eastAsia="zh-CN" w:bidi="ar-SA"/>
        </w:rPr>
        <w:t>-</w:t>
      </w:r>
      <w:r>
        <w:rPr>
          <w:rFonts w:hint="eastAsia" w:cs="Times New Roman"/>
          <w:b/>
          <w:color w:val="auto"/>
          <w:kern w:val="2"/>
          <w:sz w:val="21"/>
          <w:szCs w:val="21"/>
          <w:lang w:val="en-US" w:eastAsia="zh-CN" w:bidi="ar-SA"/>
        </w:rPr>
        <w:t>1</w:t>
      </w:r>
      <w:r>
        <w:rPr>
          <w:rFonts w:hint="eastAsia" w:ascii="Times New Roman" w:hAnsi="Times New Roman" w:eastAsia="宋体" w:cs="Times New Roman"/>
          <w:b/>
          <w:color w:val="auto"/>
          <w:kern w:val="2"/>
          <w:sz w:val="21"/>
          <w:szCs w:val="21"/>
          <w:lang w:val="en-US" w:eastAsia="zh-CN" w:bidi="ar-SA"/>
        </w:rPr>
        <w:t xml:space="preserve"> 节能减排重点工程内容</w:t>
      </w:r>
    </w:p>
    <w:tbl>
      <w:tblPr>
        <w:tblStyle w:val="17"/>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7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80" w:type="pct"/>
            <w:tcBorders>
              <w:tl2br w:val="nil"/>
              <w:tr2bl w:val="nil"/>
            </w:tcBorders>
            <w:vAlign w:val="center"/>
          </w:tcPr>
          <w:p>
            <w:pPr>
              <w:pStyle w:val="38"/>
              <w:bidi w:val="0"/>
            </w:pPr>
            <w:r>
              <w:rPr>
                <w:rFonts w:hint="eastAsia"/>
              </w:rPr>
              <w:t>工程项</w:t>
            </w:r>
          </w:p>
        </w:tc>
        <w:tc>
          <w:tcPr>
            <w:tcW w:w="4319" w:type="pct"/>
            <w:tcBorders>
              <w:tl2br w:val="nil"/>
              <w:tr2bl w:val="nil"/>
            </w:tcBorders>
            <w:vAlign w:val="center"/>
          </w:tcPr>
          <w:p>
            <w:pPr>
              <w:pStyle w:val="38"/>
              <w:bidi w:val="0"/>
              <w:jc w:val="center"/>
            </w:pPr>
            <w:r>
              <w:rPr>
                <w:rFonts w:hint="eastAsia"/>
              </w:rPr>
              <w:t>具体工程内容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重点行业绿色升级工程</w:t>
            </w:r>
          </w:p>
        </w:tc>
        <w:tc>
          <w:tcPr>
            <w:tcW w:w="4319" w:type="pct"/>
            <w:tcBorders>
              <w:tl2br w:val="nil"/>
              <w:tr2bl w:val="nil"/>
            </w:tcBorders>
            <w:vAlign w:val="center"/>
          </w:tcPr>
          <w:p>
            <w:pPr>
              <w:pStyle w:val="38"/>
              <w:bidi w:val="0"/>
              <w:jc w:val="left"/>
            </w:pPr>
            <w:r>
              <w:rPr>
                <w:rFonts w:hint="eastAsia"/>
              </w:rPr>
              <w:t>以钢铁、有色金属、建材、石化化工等行业为重点，推进节能改造和污染物深度治理。加强行业工艺革新，实施涂装类、化工类等产业集群分类治理，开展重点行业清洁生产和工业废水资源化利用改造。“十四五”时期，规模以上工业单位增加值能耗下降13.5%，万元工业增加值用水量下降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园区节能环保提升工程</w:t>
            </w:r>
          </w:p>
        </w:tc>
        <w:tc>
          <w:tcPr>
            <w:tcW w:w="4319" w:type="pct"/>
            <w:tcBorders>
              <w:tl2br w:val="nil"/>
              <w:tr2bl w:val="nil"/>
            </w:tcBorders>
            <w:vAlign w:val="center"/>
          </w:tcPr>
          <w:p>
            <w:pPr>
              <w:pStyle w:val="38"/>
              <w:bidi w:val="0"/>
              <w:jc w:val="left"/>
            </w:pPr>
            <w:r>
              <w:rPr>
                <w:rFonts w:hint="eastAsia"/>
              </w:rPr>
              <w:t>引导工业企业向园区集聚，推动工业园区能源系统整体优化和污染综合整治，鼓励工业企业、园区优先利用可再生能源。以省级以上工业园区为重点，推进供热、供电、污水处理、中水回用等公共基础设施共建共享，对进水浓度异常的污水处理厂开展片区管网系统化整治，加强一般固体废物、危险废物集中贮存和处置，推动挥发性有机物、电镀废水及特征污染物集中治理等“绿岛”项目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城镇绿色节能改造工程</w:t>
            </w:r>
          </w:p>
        </w:tc>
        <w:tc>
          <w:tcPr>
            <w:tcW w:w="4319" w:type="pct"/>
            <w:tcBorders>
              <w:tl2br w:val="nil"/>
              <w:tr2bl w:val="nil"/>
            </w:tcBorders>
            <w:vAlign w:val="center"/>
          </w:tcPr>
          <w:p>
            <w:pPr>
              <w:pStyle w:val="38"/>
              <w:bidi w:val="0"/>
              <w:jc w:val="left"/>
            </w:pPr>
            <w:r>
              <w:rPr>
                <w:rFonts w:hint="eastAsia"/>
              </w:rPr>
              <w:t>全面推进城镇绿色规划、绿色建设、绿色运行管理，推动低碳城市、韧性城市、海绵城市、“无废城市”建设。全面提高建筑节能标准，加快发展超低能耗建筑，积极推进既有建筑节能改造、建筑光伏一体化建设。实施绿色高效制冷行动，以建筑中央空调、数据中心、商务产业园区、冷链物流等为重点，更新升级制冷技术、设备，优化负荷供需匹配，大幅提升制冷系统能效水平。实施公共供水管网漏损治理工程。到2025年，城镇新建建筑全面执行绿色建筑标准，城镇清洁取暖比例和绿色高效制冷产品市场占有率大幅提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交通物流节能减排工程</w:t>
            </w:r>
          </w:p>
        </w:tc>
        <w:tc>
          <w:tcPr>
            <w:tcW w:w="4319" w:type="pct"/>
            <w:tcBorders>
              <w:tl2br w:val="nil"/>
              <w:tr2bl w:val="nil"/>
            </w:tcBorders>
            <w:vAlign w:val="center"/>
          </w:tcPr>
          <w:p>
            <w:pPr>
              <w:pStyle w:val="38"/>
              <w:bidi w:val="0"/>
              <w:jc w:val="left"/>
            </w:pPr>
            <w:r>
              <w:rPr>
                <w:rFonts w:hint="eastAsia"/>
              </w:rPr>
              <w:t>推动绿色铁路、绿色公路、绿色港口、绿色航道、绿色机场建设，有序推进充换电、加注（气）、加氢、港口机场岸电等基础设施建设。提高城市公交、出租、物流、环卫清扫等车辆使用新能源汽车的比例。加快大宗货物和中长途货物运输“公转铁”、“公转水”，大力发展铁水、公铁、公水等多式联运。全面实施汽车国六排放标准和非道路移动柴油机械国四排放标准，基本淘汰国三及以下排放标准汽车。深入实施清洁柴油机行动，鼓励重型柴油货车更新替代。实施汽车排放检验与维护制度，加强机动车排放召回管理。提升铁路电气化水平，推广低能耗运输装备，推动实施铁路内燃机车国一排放标准。大力发展智能交通，积极运用大数据优化运输组织模式。加快绿色仓储建设，鼓励建设绿色物流园区。加快标准化物流周转箱推广应用。全面推广绿色快递包装，引导电商企业、邮政快递企业选购使用获得绿色认证的快递包装产品。到2025年，新能源汽车新车销售量达到汽车新车销售总量的20%左右，铁路、水路货运量占比进一步提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公共机构能效提升工程</w:t>
            </w:r>
          </w:p>
        </w:tc>
        <w:tc>
          <w:tcPr>
            <w:tcW w:w="4319" w:type="pct"/>
            <w:tcBorders>
              <w:tl2br w:val="nil"/>
              <w:tr2bl w:val="nil"/>
            </w:tcBorders>
            <w:vAlign w:val="center"/>
          </w:tcPr>
          <w:p>
            <w:pPr>
              <w:pStyle w:val="38"/>
              <w:bidi w:val="0"/>
              <w:jc w:val="left"/>
            </w:pPr>
            <w:r>
              <w:rPr>
                <w:rFonts w:hint="eastAsia"/>
              </w:rPr>
              <w:t>加快公共机构既有建筑围护结构、供热、制冷、照明等设施设备节能改造，鼓励采用能源费用托管等合同能源管理模式。率先淘汰老旧车，率先采购使用节能和新能源汽车，新建和既有停车场要配备电动汽车充电设施或预留充电设施安装条件。推行能耗定额管理，全面开展节约型机关创建行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重点区域污染物减排工程</w:t>
            </w:r>
          </w:p>
        </w:tc>
        <w:tc>
          <w:tcPr>
            <w:tcW w:w="4319" w:type="pct"/>
            <w:tcBorders>
              <w:tl2br w:val="nil"/>
              <w:tr2bl w:val="nil"/>
            </w:tcBorders>
            <w:vAlign w:val="center"/>
          </w:tcPr>
          <w:p>
            <w:pPr>
              <w:pStyle w:val="38"/>
              <w:bidi w:val="0"/>
              <w:jc w:val="left"/>
            </w:pPr>
            <w:r>
              <w:rPr>
                <w:rFonts w:hint="default" w:ascii="Times New Roman" w:hAnsi="Times New Roman" w:cs="Times New Roman"/>
              </w:rPr>
              <w:t>持续推进大气污染防治重点区域秋冬季攻坚行动，加大重点行业结构调整和污染治理力度。以大气污染防治重点区域及珠三角地区、成渝地区等为重点，推进挥发性有机物和氮氧化物协同减排，加强细颗粒物和臭氧协同控制。持续打好长江保护修复攻坚战，扎实推进城镇污水垃圾处理和工业、农业面源、船舶、尾矿库等污染治理工程，到2025年，长江流域总体水质保持为优，干流水质稳定达到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煤炭清洁高效利用工程</w:t>
            </w:r>
          </w:p>
        </w:tc>
        <w:tc>
          <w:tcPr>
            <w:tcW w:w="4319" w:type="pct"/>
            <w:tcBorders>
              <w:tl2br w:val="nil"/>
              <w:tr2bl w:val="nil"/>
            </w:tcBorders>
            <w:vAlign w:val="center"/>
          </w:tcPr>
          <w:p>
            <w:pPr>
              <w:pStyle w:val="38"/>
              <w:bidi w:val="0"/>
              <w:jc w:val="left"/>
            </w:pPr>
            <w:r>
              <w:rPr>
                <w:rFonts w:hint="eastAsia"/>
              </w:rPr>
              <w:t>要立足以煤为主的基本国情，坚持先立后破，严格合理控制煤炭消费增长，抓好煤炭清洁高效利用，推进存量煤电机组节煤降耗改造、供热改造、灵活性改造“三改联动”，持续推动煤电机组超低排放改造。稳妥有序推进大气污染防治重点区域燃料类煤气发生炉、燃煤热风炉、加热炉、热处理炉、干燥炉（窑）以及建材行业煤炭减量，实施清洁电力和天然气替代。推广大型燃煤电厂热电联产改造，充分挖掘供热潜力，推动淘汰供热管网覆盖范围内的燃煤锅炉和散煤。加大落后燃煤锅炉和燃煤小热电退出力度，推动以工业余热、电厂余热、清洁能源等替代煤炭供热（蒸汽）。到2025年，非化石能源占能源消费总量比重达到20%左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r>
              <w:rPr>
                <w:rFonts w:hint="eastAsia"/>
              </w:rPr>
              <w:t>挥发性有机物综合整治工程</w:t>
            </w:r>
          </w:p>
        </w:tc>
        <w:tc>
          <w:tcPr>
            <w:tcW w:w="4319" w:type="pct"/>
            <w:tcBorders>
              <w:tl2br w:val="nil"/>
              <w:tr2bl w:val="nil"/>
            </w:tcBorders>
            <w:vAlign w:val="center"/>
          </w:tcPr>
          <w:p>
            <w:pPr>
              <w:pStyle w:val="38"/>
              <w:bidi w:val="0"/>
              <w:jc w:val="left"/>
            </w:pPr>
            <w:r>
              <w:rPr>
                <w:rFonts w:hint="eastAsia"/>
              </w:rPr>
              <w:t>推进原辅材料和产品源头替代工程，实施全过程污染物治理。深化石化化工等行业挥发性有机物污染治理，全面提升废气收集率、治理设施同步运行率和去除率。对易挥发有机液体储罐实施改造，对浮顶罐推广采用全接液浮盘和高效双重密封技术，对废水系统高浓度废气实施单独收集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tcBorders>
              <w:tl2br w:val="nil"/>
              <w:tr2bl w:val="nil"/>
            </w:tcBorders>
            <w:vAlign w:val="center"/>
          </w:tcPr>
          <w:p>
            <w:pPr>
              <w:pStyle w:val="38"/>
              <w:bidi w:val="0"/>
            </w:pPr>
            <w:bookmarkStart w:id="51" w:name="_Hlk113349663"/>
            <w:r>
              <w:rPr>
                <w:rFonts w:hint="eastAsia"/>
              </w:rPr>
              <w:t>环境基础设施水平提升工程</w:t>
            </w:r>
            <w:bookmarkEnd w:id="51"/>
          </w:p>
        </w:tc>
        <w:tc>
          <w:tcPr>
            <w:tcW w:w="4319" w:type="pct"/>
            <w:tcBorders>
              <w:tl2br w:val="nil"/>
              <w:tr2bl w:val="nil"/>
            </w:tcBorders>
            <w:vAlign w:val="center"/>
          </w:tcPr>
          <w:p>
            <w:pPr>
              <w:pStyle w:val="38"/>
              <w:bidi w:val="0"/>
              <w:jc w:val="left"/>
            </w:pPr>
            <w:r>
              <w:rPr>
                <w:rFonts w:hint="eastAsia"/>
              </w:rPr>
              <w:t>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建设分类投放、分类收集、分类运输、分类处理的生活垃圾处理系统。到2025年，新增和改造污水收集管网8万公里，新增污水处理能力2000万立方米/日，城市污泥无害化处置率达到90%，城镇生活垃圾焚烧处理能力达到80万吨/日左右，城市生活垃圾焚烧处理能力占比65%左右。</w:t>
            </w:r>
          </w:p>
        </w:tc>
      </w:tr>
    </w:tbl>
    <w:p>
      <w:pPr>
        <w:pStyle w:val="15"/>
        <w:rPr>
          <w:rFonts w:hint="default"/>
          <w:lang w:val="en-US" w:eastAsia="zh-CN"/>
        </w:rPr>
      </w:pPr>
      <w:r>
        <w:rPr>
          <w:rFonts w:hint="eastAsia"/>
          <w:lang w:val="en-US" w:eastAsia="zh-CN"/>
        </w:rPr>
        <w:t>在重点行业绿色升级上，目前园区内化工行业的主要企业均已完成首轮清洁生产审核。在园区煤炭清洁高效利用上，园区已实现集中供热，区内燃煤小锅炉已全面关停，一定程度上降低了区域的碳排放量。</w:t>
      </w:r>
    </w:p>
    <w:p>
      <w:pPr>
        <w:rPr>
          <w:rFonts w:hint="default"/>
          <w:lang w:val="en-US" w:eastAsia="zh-CN"/>
        </w:rPr>
      </w:pPr>
      <w:r>
        <w:rPr>
          <w:rFonts w:hint="eastAsia"/>
          <w:lang w:val="en-US" w:eastAsia="zh-CN"/>
        </w:rPr>
        <w:t>本次评价建议结合该方案提出的绿色升级要求，进一步加强企业的节能改造和污染物深度治理，降低能耗和水耗。对于区内基础设施建设、交通物流等，本次评价建议结合该方案提出的“城镇绿色节能改造工程”、“交通物流节能减排工程”、“公共机构能效提升工程”、“环境基础设施水平提升工程”相关内容，推进区域绿色规划、绿色建设，通过基础设施建设、提高新能源汽车比例等，在区域交通物流等领域实现节能减排；通过在新建建筑执行绿色建筑标准，构建污水、固废、危废处理处置设施和监测监管能力于一体的环境基础设施体系。</w:t>
      </w:r>
    </w:p>
    <w:p>
      <w:pPr>
        <w:pStyle w:val="15"/>
        <w:rPr>
          <w:rFonts w:hint="default"/>
          <w:b/>
          <w:bCs/>
          <w:lang w:val="en-US" w:eastAsia="zh-CN"/>
        </w:rPr>
      </w:pPr>
      <w:r>
        <w:rPr>
          <w:rFonts w:hint="eastAsia"/>
          <w:b/>
          <w:bCs/>
          <w:lang w:val="en-US" w:eastAsia="zh-CN"/>
        </w:rPr>
        <w:t>（2）《关于加强高耗能、高排放建设项目生态环境源头防控的指导意见》</w:t>
      </w:r>
    </w:p>
    <w:p>
      <w:pPr>
        <w:rPr>
          <w:rFonts w:hint="default"/>
          <w:lang w:val="en-US" w:eastAsia="zh-CN"/>
        </w:rPr>
      </w:pPr>
      <w:r>
        <w:rPr>
          <w:rFonts w:hint="default"/>
          <w:lang w:val="en-US" w:eastAsia="zh-CN"/>
        </w:rPr>
        <w:t>2021年5月，生态环境部发布了《关于加强高耗能、高排放建设项目生态环境源头防控的指导意见》（环环评〔2021〕45号）。高耗能、高排放行业主要包括煤电、石化、化工、钢铁、有色金属冶炼、建材等六个行业。该意见具体要求如下：</w:t>
      </w:r>
    </w:p>
    <w:p>
      <w:pPr>
        <w:rPr>
          <w:rFonts w:hint="default"/>
          <w:lang w:val="en-US" w:eastAsia="zh-CN"/>
        </w:rPr>
      </w:pPr>
      <w:r>
        <w:rPr>
          <w:rFonts w:hint="default"/>
          <w:b/>
          <w:bCs/>
          <w:lang w:val="en-US" w:eastAsia="zh-CN"/>
        </w:rPr>
        <w:t>严把建设项目环境准入关</w:t>
      </w:r>
      <w:r>
        <w:rPr>
          <w:rFonts w:hint="eastAsia"/>
          <w:b/>
          <w:bCs/>
          <w:lang w:val="en-US" w:eastAsia="zh-CN"/>
        </w:rPr>
        <w:t>。</w:t>
      </w:r>
      <w:r>
        <w:rPr>
          <w:rFonts w:hint="default"/>
          <w:lang w:val="en-US" w:eastAsia="zh-CN"/>
        </w:rPr>
        <w:t>新建、扩建石化、化工、焦化、有色金属冶炼、平板玻璃项目应布设在依法合规设立并经规划环评的产业园区。</w:t>
      </w:r>
    </w:p>
    <w:p>
      <w:pPr>
        <w:rPr>
          <w:rFonts w:hint="default"/>
          <w:lang w:val="en-US" w:eastAsia="zh-CN"/>
        </w:rPr>
      </w:pPr>
      <w:r>
        <w:rPr>
          <w:rFonts w:hint="default"/>
          <w:b/>
          <w:bCs/>
          <w:lang w:val="en-US" w:eastAsia="zh-CN"/>
        </w:rPr>
        <w:t>落实区域削减要求</w:t>
      </w:r>
      <w:r>
        <w:rPr>
          <w:rFonts w:hint="eastAsia"/>
          <w:b/>
          <w:bCs/>
          <w:lang w:val="en-US" w:eastAsia="zh-CN"/>
        </w:rPr>
        <w:t>。</w:t>
      </w:r>
      <w:r>
        <w:rPr>
          <w:rFonts w:hint="default"/>
          <w:lang w:val="en-US" w:eastAsia="zh-CN"/>
        </w:rPr>
        <w:t>新建</w:t>
      </w:r>
      <w:r>
        <w:rPr>
          <w:rFonts w:hint="eastAsia"/>
          <w:lang w:val="en-US" w:eastAsia="zh-CN"/>
        </w:rPr>
        <w:t>“两高”</w:t>
      </w:r>
      <w:r>
        <w:rPr>
          <w:rFonts w:hint="default"/>
          <w:lang w:val="en-US" w:eastAsia="zh-CN"/>
        </w:rPr>
        <w:t>项目应按照《关于加强重点行业建设项目区域削减措施监督管理的通知》要求，依据区域环境质量改善目标，制定配套区域污染物削减方案，采取有效的污染物区域削减措施，腾出足够的环境容量</w:t>
      </w:r>
      <w:r>
        <w:rPr>
          <w:rFonts w:hint="eastAsia"/>
          <w:lang w:val="en-US" w:eastAsia="zh-CN"/>
        </w:rPr>
        <w:t>。</w:t>
      </w:r>
    </w:p>
    <w:p>
      <w:pPr>
        <w:rPr>
          <w:rFonts w:hint="default"/>
          <w:lang w:val="en-US" w:eastAsia="zh-CN"/>
        </w:rPr>
      </w:pPr>
      <w:r>
        <w:rPr>
          <w:rFonts w:hint="default"/>
          <w:b/>
          <w:bCs/>
          <w:lang w:val="en-US" w:eastAsia="zh-CN"/>
        </w:rPr>
        <w:t>提升清洁生产和污染防治水平</w:t>
      </w:r>
      <w:r>
        <w:rPr>
          <w:rFonts w:hint="eastAsia"/>
          <w:b/>
          <w:bCs/>
          <w:lang w:val="en-US" w:eastAsia="zh-CN"/>
        </w:rPr>
        <w:t>。</w:t>
      </w:r>
      <w:r>
        <w:rPr>
          <w:rFonts w:hint="default"/>
          <w:lang w:val="en-US" w:eastAsia="zh-CN"/>
        </w:rPr>
        <w:t>新建、扩建</w:t>
      </w:r>
      <w:r>
        <w:rPr>
          <w:rFonts w:hint="eastAsia" w:ascii="Times New Roman" w:eastAsia="宋体"/>
          <w:lang w:val="en-US" w:eastAsia="zh-CN"/>
        </w:rPr>
        <w:t>“两高”</w:t>
      </w:r>
      <w:r>
        <w:rPr>
          <w:rFonts w:hint="default"/>
          <w:lang w:val="en-US" w:eastAsia="zh-CN"/>
        </w:rPr>
        <w:t>项目应采用先进适用的工艺技术和装备，单位产品物耗、能耗、水耗等达到清洁生产先进水平，依法制定并严格落实防治土壤与地下水污染的措施。国家或地方已出台超低排放要求的</w:t>
      </w:r>
      <w:r>
        <w:rPr>
          <w:rFonts w:hint="eastAsia" w:ascii="Times New Roman" w:eastAsia="宋体"/>
          <w:lang w:val="en-US" w:eastAsia="zh-CN"/>
        </w:rPr>
        <w:t>“两高”</w:t>
      </w:r>
      <w:r>
        <w:rPr>
          <w:rFonts w:hint="default"/>
          <w:lang w:val="en-US" w:eastAsia="zh-CN"/>
        </w:rPr>
        <w:t>行业建设项目应满足超低排放要求。鼓励使用清洁燃料，重点区域建设项目原则上不新建燃煤自备锅炉。大宗物料优先采用铁路、管道或水路运输，短途接驳优先使用新能源车辆运输。</w:t>
      </w:r>
    </w:p>
    <w:p>
      <w:pPr>
        <w:pStyle w:val="15"/>
        <w:rPr>
          <w:rFonts w:hint="eastAsia"/>
          <w:lang w:val="en-US" w:eastAsia="zh-CN"/>
        </w:rPr>
      </w:pPr>
      <w:r>
        <w:rPr>
          <w:rFonts w:hint="default"/>
          <w:lang w:val="en-US" w:eastAsia="zh-CN"/>
        </w:rPr>
        <w:t>本次规划园区内属于高耗能、高排放主要为化工行业，现有企业主要为</w:t>
      </w:r>
      <w:r>
        <w:rPr>
          <w:rFonts w:hint="eastAsia"/>
          <w:lang w:val="en-US" w:eastAsia="zh-CN"/>
        </w:rPr>
        <w:t>富驰化工和富博化工</w:t>
      </w:r>
      <w:r>
        <w:rPr>
          <w:rFonts w:hint="default"/>
          <w:lang w:val="en-US" w:eastAsia="zh-CN"/>
        </w:rPr>
        <w:t>。目</w:t>
      </w:r>
      <w:r>
        <w:rPr>
          <w:rFonts w:hint="eastAsia"/>
          <w:lang w:val="en-US" w:eastAsia="zh-CN"/>
        </w:rPr>
        <w:t>其中，富驰化工</w:t>
      </w:r>
      <w:r>
        <w:rPr>
          <w:rFonts w:hint="default"/>
          <w:lang w:val="en-US" w:eastAsia="zh-CN"/>
        </w:rPr>
        <w:t>已完成</w:t>
      </w:r>
      <w:r>
        <w:rPr>
          <w:rFonts w:hint="eastAsia"/>
          <w:lang w:val="en-US" w:eastAsia="zh-CN"/>
        </w:rPr>
        <w:t>首轮</w:t>
      </w:r>
      <w:r>
        <w:rPr>
          <w:rFonts w:hint="default"/>
          <w:lang w:val="en-US" w:eastAsia="zh-CN"/>
        </w:rPr>
        <w:t>清洁生产审核</w:t>
      </w:r>
      <w:r>
        <w:rPr>
          <w:rFonts w:hint="eastAsia"/>
          <w:lang w:val="en-US" w:eastAsia="zh-CN"/>
        </w:rPr>
        <w:t>，根据清洁生产审核结果，企业总体上已达到清洁生产基本水平；富博化工尚未完成清洁生产审核。两家企业清洁生产及污染防治水平尚需进一步加强。</w:t>
      </w:r>
    </w:p>
    <w:p>
      <w:pPr>
        <w:rPr>
          <w:rFonts w:hint="default"/>
          <w:lang w:val="en-US" w:eastAsia="zh-CN"/>
        </w:rPr>
      </w:pPr>
      <w:r>
        <w:rPr>
          <w:rFonts w:hint="default"/>
          <w:lang w:val="en-US" w:eastAsia="zh-CN"/>
        </w:rPr>
        <w:t>针对意见要求，本次评价建议：在规划进一步实施过程中，针对化工行业新建、扩建项目，园区应制定配套区域污染物削减方案，并采取有效的污染物区域削减措施；加强项目管理，区内项目单位产品物耗、能耗、水耗、碳排放等应满足相应标准要求，并严格落实防治土壤与地下水污染的措施；</w:t>
      </w:r>
      <w:r>
        <w:rPr>
          <w:rFonts w:hint="eastAsia"/>
          <w:lang w:val="en-US" w:eastAsia="zh-CN"/>
        </w:rPr>
        <w:t>进一步提升项目清洁生产水平，及时完成园区内企业清洁生产审核工作；</w:t>
      </w:r>
      <w:r>
        <w:rPr>
          <w:rFonts w:hint="default"/>
          <w:lang w:val="en-US" w:eastAsia="zh-CN"/>
        </w:rPr>
        <w:t>推广新能源使用，园区内短途接驳建议使用新能源车辆运输。</w:t>
      </w:r>
    </w:p>
    <w:p>
      <w:pPr>
        <w:pStyle w:val="5"/>
        <w:bidi w:val="0"/>
        <w:rPr>
          <w:color w:val="auto"/>
          <w:lang w:val="en-US" w:eastAsia="zh-CN"/>
        </w:rPr>
      </w:pPr>
      <w:bookmarkStart w:id="52" w:name="_Toc22311"/>
      <w:r>
        <w:rPr>
          <w:rFonts w:hint="eastAsia"/>
          <w:color w:val="auto"/>
          <w:lang w:val="en-US" w:eastAsia="zh-CN"/>
        </w:rPr>
        <w:t>碳减排潜力分析</w:t>
      </w:r>
      <w:bookmarkEnd w:id="52"/>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（1）</w:t>
      </w:r>
      <w:r>
        <w:rPr>
          <w:rFonts w:ascii="Times New Roman" w:hAnsi="Times New Roman" w:eastAsia="宋体" w:cs="Times New Roman"/>
          <w:color w:val="auto"/>
        </w:rPr>
        <w:t>工业企业碳减排潜力</w:t>
      </w:r>
    </w:p>
    <w:p>
      <w:pPr>
        <w:ind w:firstLine="480"/>
        <w:rPr>
          <w:rFonts w:ascii="Times New Roman" w:hAnsi="Times New Roman" w:eastAsia="宋体" w:cs="Times New Roman"/>
          <w:color w:val="auto"/>
        </w:rPr>
      </w:pPr>
      <w:r>
        <w:rPr>
          <w:rFonts w:ascii="Times New Roman" w:hAnsi="Times New Roman" w:eastAsia="宋体" w:cs="Times New Roman"/>
          <w:color w:val="auto"/>
        </w:rPr>
        <w:t>根据</w:t>
      </w:r>
      <w:r>
        <w:rPr>
          <w:rFonts w:hint="eastAsia" w:ascii="Times New Roman" w:hAnsi="Times New Roman" w:eastAsia="宋体" w:cs="Times New Roman"/>
          <w:color w:val="auto"/>
        </w:rPr>
        <w:t>园区碳排放现状</w:t>
      </w:r>
      <w:r>
        <w:rPr>
          <w:rFonts w:ascii="Times New Roman" w:hAnsi="Times New Roman" w:eastAsia="宋体" w:cs="Times New Roman"/>
          <w:color w:val="auto"/>
        </w:rPr>
        <w:t>分析内容，园区工业企业碳排放主要来源为燃料燃烧</w:t>
      </w:r>
      <w:r>
        <w:rPr>
          <w:rFonts w:hint="eastAsia" w:ascii="Times New Roman" w:hAnsi="Times New Roman" w:eastAsia="宋体" w:cs="Times New Roman"/>
          <w:color w:val="auto"/>
        </w:rPr>
        <w:t>，其次为净购入的电力和热力</w:t>
      </w:r>
      <w:r>
        <w:rPr>
          <w:rFonts w:ascii="Times New Roman" w:hAnsi="Times New Roman" w:eastAsia="宋体" w:cs="Times New Roman"/>
          <w:color w:val="auto"/>
        </w:rPr>
        <w:t>。</w:t>
      </w:r>
    </w:p>
    <w:p>
      <w:pPr>
        <w:ind w:firstLine="480"/>
        <w:rPr>
          <w:rFonts w:ascii="Times New Roman" w:hAnsi="Times New Roman" w:eastAsia="宋体" w:cs="Times New Roman"/>
          <w:color w:val="auto"/>
        </w:rPr>
      </w:pPr>
      <w:r>
        <w:rPr>
          <w:rFonts w:ascii="Times New Roman" w:hAnsi="Times New Roman" w:eastAsia="宋体" w:cs="Times New Roman"/>
          <w:color w:val="auto"/>
        </w:rPr>
        <w:t>结合</w:t>
      </w:r>
      <w:r>
        <w:rPr>
          <w:rFonts w:hint="eastAsia" w:ascii="Times New Roman" w:hAnsi="Times New Roman" w:eastAsia="宋体" w:cs="Times New Roman"/>
          <w:color w:val="auto"/>
        </w:rPr>
        <w:t>《工业领域碳达峰实施方案》和</w:t>
      </w:r>
      <w:r>
        <w:rPr>
          <w:rFonts w:ascii="Times New Roman" w:hAnsi="Times New Roman" w:eastAsia="宋体" w:cs="Times New Roman"/>
          <w:color w:val="auto"/>
        </w:rPr>
        <w:t>《科技支撑碳达峰碳中和实施方案（2022</w:t>
      </w:r>
      <w:r>
        <w:rPr>
          <w:rFonts w:hint="eastAsia" w:ascii="Times New Roman" w:hAnsi="Times New Roman" w:eastAsia="宋体" w:cs="Times New Roman"/>
          <w:color w:val="auto"/>
        </w:rPr>
        <w:t>-</w:t>
      </w:r>
      <w:r>
        <w:rPr>
          <w:rFonts w:ascii="Times New Roman" w:hAnsi="Times New Roman" w:eastAsia="宋体" w:cs="Times New Roman"/>
          <w:color w:val="auto"/>
        </w:rPr>
        <w:t>2030年）》，到2025年重点行业和领域低碳关键核心技术</w:t>
      </w:r>
      <w:r>
        <w:rPr>
          <w:rFonts w:hint="eastAsia" w:ascii="Times New Roman" w:hAnsi="Times New Roman" w:eastAsia="宋体" w:cs="Times New Roman"/>
          <w:color w:val="auto"/>
        </w:rPr>
        <w:t>需</w:t>
      </w:r>
      <w:r>
        <w:rPr>
          <w:rFonts w:ascii="Times New Roman" w:hAnsi="Times New Roman" w:eastAsia="宋体" w:cs="Times New Roman"/>
          <w:color w:val="auto"/>
        </w:rPr>
        <w:t>实现重大突破，支撑单位国内生产总值（GDP）二氧化碳排放比2020年下降18%，单位GDP能源消耗比2020年下降13.5%</w:t>
      </w:r>
      <w:r>
        <w:rPr>
          <w:rFonts w:hint="eastAsia" w:ascii="Times New Roman" w:hAnsi="Times New Roman" w:eastAsia="宋体" w:cs="Times New Roman"/>
          <w:color w:val="auto"/>
        </w:rPr>
        <w:t>，重点行业二氧化碳排放强度明显下降</w:t>
      </w:r>
      <w:r>
        <w:rPr>
          <w:rFonts w:ascii="Times New Roman" w:hAnsi="Times New Roman" w:eastAsia="宋体" w:cs="Times New Roman"/>
          <w:color w:val="auto"/>
        </w:rPr>
        <w:t>。</w:t>
      </w:r>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《科技支撑碳达峰碳中和实施方案（2022-2030年）》提出了“</w:t>
      </w:r>
      <w:r>
        <w:rPr>
          <w:rFonts w:ascii="Times New Roman" w:hAnsi="Times New Roman" w:eastAsia="宋体" w:cs="Times New Roman"/>
          <w:color w:val="auto"/>
        </w:rPr>
        <w:t>加强煤炭清洁高效利用</w:t>
      </w:r>
      <w:r>
        <w:rPr>
          <w:rFonts w:hint="eastAsia" w:ascii="Times New Roman" w:hAnsi="Times New Roman" w:eastAsia="宋体" w:cs="Times New Roman"/>
          <w:color w:val="auto"/>
        </w:rPr>
        <w:t>（加强煤炭先进、高效、低碳、灵活智能利用的基础性、原创性、颠覆性技术研究。实现工业清洁高效用煤和煤炭清洁转化，攻克近零排放的煤制清洁燃料和化学品技术；研发低能耗的百万吨级二氧化碳捕集利用与封存全流程成套工艺和关键技术。研究掺氢天然气、掺烧生物质等高效低碳工业锅炉技术、装备及检测评价技术）</w:t>
      </w:r>
      <w:r>
        <w:rPr>
          <w:rFonts w:ascii="Times New Roman" w:hAnsi="Times New Roman" w:eastAsia="宋体" w:cs="Times New Roman"/>
          <w:color w:val="auto"/>
        </w:rPr>
        <w:t>、低碳零碳</w:t>
      </w:r>
      <w:r>
        <w:rPr>
          <w:rFonts w:hint="eastAsia" w:ascii="Times New Roman" w:hAnsi="Times New Roman" w:eastAsia="宋体" w:cs="Times New Roman"/>
          <w:color w:val="auto"/>
        </w:rPr>
        <w:t>化工</w:t>
      </w:r>
      <w:r>
        <w:rPr>
          <w:rFonts w:ascii="Times New Roman" w:hAnsi="Times New Roman" w:eastAsia="宋体" w:cs="Times New Roman"/>
          <w:color w:val="auto"/>
        </w:rPr>
        <w:t>（针对石油化工、煤化工等高碳排放化工生产流程，研发可再生能源规模化制氢技术、原油炼制短流程技术、多能耦合过程技术，研发绿色生物化工技术以及智能化低碳升级改造技术）</w:t>
      </w:r>
      <w:r>
        <w:rPr>
          <w:rFonts w:hint="eastAsia" w:ascii="Times New Roman" w:hAnsi="Times New Roman" w:eastAsia="宋体" w:cs="Times New Roman"/>
          <w:color w:val="auto"/>
        </w:rPr>
        <w:t>”等科技支撑技术，</w:t>
      </w:r>
      <w:r>
        <w:rPr>
          <w:rFonts w:ascii="Times New Roman" w:hAnsi="Times New Roman" w:eastAsia="宋体" w:cs="Times New Roman"/>
          <w:color w:val="auto"/>
        </w:rPr>
        <w:t>在相关技术研发成功并成功应用在园区内</w:t>
      </w:r>
      <w:r>
        <w:rPr>
          <w:rFonts w:hint="eastAsia" w:ascii="Times New Roman" w:hAnsi="Times New Roman" w:eastAsia="宋体" w:cs="Times New Roman"/>
          <w:color w:val="auto"/>
        </w:rPr>
        <w:t>化工、焦化等</w:t>
      </w:r>
      <w:r>
        <w:rPr>
          <w:rFonts w:ascii="Times New Roman" w:hAnsi="Times New Roman" w:eastAsia="宋体" w:cs="Times New Roman"/>
          <w:color w:val="auto"/>
        </w:rPr>
        <w:t>相关企业上后，能够有效减少区域工业企业碳排放水平。</w:t>
      </w:r>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电网供电碳减排潜力</w:t>
      </w:r>
    </w:p>
    <w:p>
      <w:pPr>
        <w:ind w:firstLine="480"/>
        <w:rPr>
          <w:rFonts w:ascii="Times New Roman" w:hAnsi="Times New Roman" w:eastAsia="宋体" w:cs="Times New Roman"/>
          <w:color w:val="auto"/>
        </w:rPr>
      </w:pPr>
      <w:r>
        <w:rPr>
          <w:rFonts w:ascii="Times New Roman" w:hAnsi="Times New Roman" w:eastAsia="宋体" w:cs="Times New Roman"/>
          <w:color w:val="auto"/>
        </w:rPr>
        <w:t>通过对比2022年与2021年的</w:t>
      </w:r>
      <w:r>
        <w:rPr>
          <w:rFonts w:hint="eastAsia" w:ascii="Times New Roman" w:hAnsi="Times New Roman" w:eastAsia="宋体" w:cs="Times New Roman"/>
          <w:color w:val="auto"/>
        </w:rPr>
        <w:t>全国</w:t>
      </w:r>
      <w:r>
        <w:rPr>
          <w:rFonts w:ascii="Times New Roman" w:hAnsi="Times New Roman" w:eastAsia="宋体" w:cs="Times New Roman"/>
          <w:color w:val="auto"/>
        </w:rPr>
        <w:t>电网排放因子，2022年</w:t>
      </w:r>
      <w:r>
        <w:rPr>
          <w:rFonts w:hint="eastAsia" w:ascii="Times New Roman" w:hAnsi="Times New Roman" w:eastAsia="宋体" w:cs="Times New Roman"/>
          <w:color w:val="auto"/>
        </w:rPr>
        <w:t>全国</w:t>
      </w:r>
      <w:r>
        <w:rPr>
          <w:rFonts w:ascii="Times New Roman" w:hAnsi="Times New Roman" w:eastAsia="宋体" w:cs="Times New Roman"/>
          <w:color w:val="auto"/>
        </w:rPr>
        <w:t>电网排放因子较2021年降低了约</w:t>
      </w:r>
      <w:r>
        <w:rPr>
          <w:rFonts w:hint="eastAsia" w:ascii="Times New Roman" w:hAnsi="Times New Roman" w:eastAsia="宋体" w:cs="Times New Roman"/>
          <w:color w:val="auto"/>
        </w:rPr>
        <w:t>4.77</w:t>
      </w:r>
      <w:r>
        <w:rPr>
          <w:rFonts w:ascii="Times New Roman" w:hAnsi="Times New Roman" w:eastAsia="宋体" w:cs="Times New Roman"/>
          <w:color w:val="auto"/>
        </w:rPr>
        <w:t>%</w:t>
      </w:r>
      <w:r>
        <w:rPr>
          <w:rFonts w:hint="eastAsia" w:ascii="Times New Roman" w:hAnsi="Times New Roman" w:eastAsia="宋体" w:cs="Times New Roman"/>
          <w:color w:val="auto"/>
        </w:rPr>
        <w:t>，全国电网排放因子由0.6101tCO</w:t>
      </w:r>
      <w:r>
        <w:rPr>
          <w:rFonts w:hint="eastAsia" w:ascii="Times New Roman" w:hAnsi="Times New Roman" w:eastAsia="宋体" w:cs="Times New Roman"/>
          <w:color w:val="auto"/>
          <w:vertAlign w:val="subscript"/>
        </w:rPr>
        <w:t>2</w:t>
      </w:r>
      <w:r>
        <w:rPr>
          <w:rFonts w:hint="eastAsia" w:ascii="Times New Roman" w:hAnsi="Times New Roman" w:eastAsia="宋体" w:cs="Times New Roman"/>
          <w:color w:val="auto"/>
        </w:rPr>
        <w:t>/MWh调整为最0.5810tCO</w:t>
      </w:r>
      <w:r>
        <w:rPr>
          <w:rFonts w:hint="eastAsia" w:ascii="Times New Roman" w:hAnsi="Times New Roman" w:eastAsia="宋体" w:cs="Times New Roman"/>
          <w:color w:val="auto"/>
          <w:vertAlign w:val="subscript"/>
        </w:rPr>
        <w:t>2</w:t>
      </w:r>
      <w:r>
        <w:rPr>
          <w:rFonts w:hint="eastAsia" w:ascii="Times New Roman" w:hAnsi="Times New Roman" w:eastAsia="宋体" w:cs="Times New Roman"/>
          <w:color w:val="auto"/>
        </w:rPr>
        <w:t>/MWh</w:t>
      </w:r>
      <w:r>
        <w:rPr>
          <w:rFonts w:ascii="Times New Roman" w:hAnsi="Times New Roman" w:eastAsia="宋体" w:cs="Times New Roman"/>
          <w:color w:val="auto"/>
        </w:rPr>
        <w:t>，可以认为发电企业自身开展了一定的碳减排工作，</w:t>
      </w:r>
      <w:r>
        <w:rPr>
          <w:rFonts w:hint="eastAsia" w:ascii="Times New Roman" w:hAnsi="Times New Roman" w:eastAsia="宋体" w:cs="Times New Roman"/>
          <w:color w:val="auto"/>
        </w:rPr>
        <w:t>具备</w:t>
      </w:r>
      <w:r>
        <w:rPr>
          <w:rFonts w:ascii="Times New Roman" w:hAnsi="Times New Roman" w:eastAsia="宋体" w:cs="Times New Roman"/>
          <w:color w:val="auto"/>
        </w:rPr>
        <w:t>减排潜力。</w:t>
      </w:r>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城乡建设碳减排潜力</w:t>
      </w:r>
    </w:p>
    <w:p>
      <w:pPr>
        <w:ind w:firstLine="480"/>
        <w:rPr>
          <w:rFonts w:ascii="Times New Roman" w:hAnsi="Times New Roman" w:eastAsia="宋体" w:cs="Times New Roman"/>
          <w:color w:val="auto"/>
        </w:rPr>
      </w:pPr>
      <w:r>
        <w:rPr>
          <w:rFonts w:ascii="Times New Roman" w:hAnsi="Times New Roman" w:eastAsia="宋体" w:cs="Times New Roman"/>
          <w:color w:val="auto"/>
        </w:rPr>
        <w:t>在区域实施开发建设过程中，逐步实施低碳建筑材料与规划设计，通过使用天然固碳建材和竹木、高性能建筑用钢、纤维复材、气凝胶等新型建筑材料与结构、采用与建筑同寿命的外围护结构高效保温体系、采用建材循环利用技术及装备、采用各种新建零碳建筑规划、设计、运行技术和既有建筑的低碳改造成套技术，一定程度上可以实现城乡建设碳减排，削减区域的碳排放水平。</w:t>
      </w:r>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交通物流碳减排潜力</w:t>
      </w:r>
    </w:p>
    <w:p>
      <w:pPr>
        <w:ind w:firstLine="480"/>
        <w:rPr>
          <w:rFonts w:ascii="Times New Roman" w:hAnsi="Times New Roman" w:eastAsia="宋体" w:cs="Times New Roman"/>
          <w:color w:val="auto"/>
        </w:rPr>
      </w:pPr>
      <w:r>
        <w:rPr>
          <w:rFonts w:ascii="Times New Roman" w:hAnsi="Times New Roman" w:eastAsia="宋体" w:cs="Times New Roman"/>
          <w:color w:val="auto"/>
        </w:rPr>
        <w:t>在园区交通物流方面，通过使用新能源载运装备，包括高性能电动、氢能等低碳能源驱动载运装备技术、高效牵引变流及电控系统技术，可以在区域交通装备上削减碳排放。同时采用区域绿色智慧交通，通过利用交通能源自洽及多能变换、交通自洽能源系统高效能与高弹性等技术、轨道交通和道路交通系统绿色化、数字化、智能化等技术，建设绿色智慧交通体系，能够在物流层面削减碳排放。</w:t>
      </w:r>
    </w:p>
    <w:p>
      <w:pPr>
        <w:ind w:firstLine="480"/>
        <w:rPr>
          <w:rFonts w:ascii="Times New Roman" w:hAnsi="Times New Roman" w:eastAsia="宋体" w:cs="Times New Roman"/>
          <w:color w:val="auto"/>
        </w:rPr>
      </w:pPr>
      <w:r>
        <w:rPr>
          <w:rFonts w:hint="eastAsia" w:ascii="Times New Roman" w:hAnsi="Times New Roman" w:eastAsia="宋体" w:cs="Times New Roman"/>
          <w:color w:val="auto"/>
        </w:rPr>
        <w:t>（5）</w:t>
      </w:r>
      <w:r>
        <w:rPr>
          <w:rFonts w:ascii="Times New Roman" w:hAnsi="Times New Roman" w:eastAsia="宋体" w:cs="Times New Roman"/>
          <w:color w:val="auto"/>
        </w:rPr>
        <w:t>碳减排潜力分析小结</w:t>
      </w:r>
    </w:p>
    <w:p>
      <w:pPr>
        <w:ind w:firstLine="480"/>
        <w:rPr>
          <w:rFonts w:ascii="Times New Roman" w:hAnsi="Times New Roman" w:eastAsia="宋体" w:cs="Times New Roman"/>
          <w:color w:val="auto"/>
        </w:rPr>
      </w:pPr>
      <w:r>
        <w:rPr>
          <w:rFonts w:ascii="Times New Roman" w:hAnsi="Times New Roman" w:eastAsia="宋体" w:cs="Times New Roman"/>
          <w:color w:val="auto"/>
        </w:rPr>
        <w:t>结合《科技支撑碳达峰碳中和实施方案（2022</w:t>
      </w:r>
      <w:r>
        <w:rPr>
          <w:rFonts w:hint="eastAsia" w:ascii="Times New Roman" w:hAnsi="Times New Roman" w:eastAsia="宋体" w:cs="Times New Roman"/>
          <w:color w:val="auto"/>
        </w:rPr>
        <w:t>-</w:t>
      </w:r>
      <w:r>
        <w:rPr>
          <w:rFonts w:ascii="Times New Roman" w:hAnsi="Times New Roman" w:eastAsia="宋体" w:cs="Times New Roman"/>
          <w:color w:val="auto"/>
        </w:rPr>
        <w:t>2030年）》中的相关技术，园区工业企业、城乡建设及交通物流</w:t>
      </w:r>
      <w:r>
        <w:rPr>
          <w:rFonts w:hint="eastAsia" w:ascii="Times New Roman" w:hAnsi="Times New Roman" w:eastAsia="宋体" w:cs="Times New Roman"/>
          <w:color w:val="auto"/>
        </w:rPr>
        <w:t>在基于完善</w:t>
      </w:r>
      <w:r>
        <w:rPr>
          <w:rFonts w:ascii="Times New Roman" w:hAnsi="Times New Roman" w:eastAsia="宋体" w:cs="Times New Roman"/>
          <w:color w:val="auto"/>
        </w:rPr>
        <w:t>技术升级，</w:t>
      </w:r>
      <w:r>
        <w:rPr>
          <w:rFonts w:hint="eastAsia" w:ascii="Times New Roman" w:hAnsi="Times New Roman" w:eastAsia="宋体" w:cs="Times New Roman"/>
          <w:color w:val="auto"/>
        </w:rPr>
        <w:t>并综合考虑</w:t>
      </w:r>
      <w:r>
        <w:rPr>
          <w:rFonts w:ascii="Times New Roman" w:hAnsi="Times New Roman" w:eastAsia="宋体" w:cs="Times New Roman"/>
          <w:color w:val="auto"/>
        </w:rPr>
        <w:t>电网供电的碳减排潜力</w:t>
      </w:r>
      <w:r>
        <w:rPr>
          <w:rFonts w:hint="eastAsia" w:ascii="Times New Roman" w:hAnsi="Times New Roman" w:eastAsia="宋体" w:cs="Times New Roman"/>
          <w:color w:val="auto"/>
        </w:rPr>
        <w:t>的情况下</w:t>
      </w:r>
      <w:r>
        <w:rPr>
          <w:rFonts w:ascii="Times New Roman" w:hAnsi="Times New Roman" w:eastAsia="宋体" w:cs="Times New Roman"/>
          <w:color w:val="auto"/>
        </w:rPr>
        <w:t>，整体上可以实现碳排放的削减，区域具有一定的碳减排潜力。</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lang w:val="en-US" w:eastAsia="zh-CN"/>
        </w:rPr>
      </w:pPr>
      <w:bookmarkStart w:id="53" w:name="_Toc13695"/>
      <w:bookmarkStart w:id="54" w:name="_Toc1142"/>
      <w:r>
        <w:rPr>
          <w:rFonts w:hint="eastAsia"/>
          <w:color w:val="auto"/>
          <w:lang w:val="en-US" w:eastAsia="zh-CN"/>
        </w:rPr>
        <w:t>园区环境风险与管理现状调查</w:t>
      </w:r>
      <w:bookmarkEnd w:id="53"/>
      <w:bookmarkEnd w:id="54"/>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园区</w:t>
      </w:r>
      <w:r>
        <w:rPr>
          <w:rFonts w:hint="eastAsia"/>
          <w:color w:val="000000" w:themeColor="text1"/>
          <w:highlight w:val="none"/>
          <w:lang w:val="en-US" w:eastAsia="zh-CN"/>
          <w14:textFill>
            <w14:solidFill>
              <w14:schemeClr w14:val="tx1"/>
            </w14:solidFill>
          </w14:textFill>
        </w:rPr>
        <w:t>已于2020年9月30日签署发布了</w:t>
      </w:r>
      <w:r>
        <w:rPr>
          <w:rFonts w:hint="eastAsia"/>
          <w:color w:val="000000" w:themeColor="text1"/>
          <w:highlight w:val="none"/>
          <w14:textFill>
            <w14:solidFill>
              <w14:schemeClr w14:val="tx1"/>
            </w14:solidFill>
          </w14:textFill>
        </w:rPr>
        <w:t>突发环境事件应急预案</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并报黄石市生态环境局阳新县分局备案，备案编号420222-2020-033-M。</w:t>
      </w:r>
      <w:r>
        <w:rPr>
          <w:rFonts w:hint="eastAsia"/>
          <w:b/>
          <w:bCs/>
          <w:color w:val="000000" w:themeColor="text1"/>
          <w:highlight w:val="none"/>
          <w:lang w:val="en-US" w:eastAsia="zh-CN"/>
          <w14:textFill>
            <w14:solidFill>
              <w14:schemeClr w14:val="tx1"/>
            </w14:solidFill>
          </w14:textFill>
        </w:rPr>
        <w:t>但目前已发布的应急预案是针对阳新经济开发区滨江化工园（医药化工园）的远大集团旗下企业所在的工业集聚区，建议后续按照本次化工园的规划范围更新园区突发环境事件应急预案。</w:t>
      </w:r>
    </w:p>
    <w:p>
      <w:pPr>
        <w:pStyle w:val="15"/>
        <w:rPr>
          <w:rFonts w:hint="default"/>
          <w:color w:val="auto"/>
          <w:lang w:val="en-US" w:eastAsia="zh-CN"/>
        </w:rPr>
      </w:pPr>
      <w:r>
        <w:rPr>
          <w:rFonts w:hint="eastAsia"/>
          <w:color w:val="auto"/>
          <w:lang w:val="en-US" w:eastAsia="zh-CN"/>
        </w:rPr>
        <w:t>目前，园区已</w:t>
      </w:r>
      <w:r>
        <w:rPr>
          <w:rFonts w:hint="default"/>
          <w:color w:val="auto"/>
          <w:lang w:val="en-US" w:eastAsia="zh-CN"/>
        </w:rPr>
        <w:t>按照应急预案要求</w:t>
      </w:r>
      <w:r>
        <w:rPr>
          <w:rFonts w:hint="eastAsia"/>
          <w:color w:val="auto"/>
          <w:lang w:val="en-US" w:eastAsia="zh-CN"/>
        </w:rPr>
        <w:t>形成</w:t>
      </w:r>
      <w:r>
        <w:rPr>
          <w:rFonts w:hint="default"/>
          <w:color w:val="auto"/>
          <w:lang w:val="en-US" w:eastAsia="zh-CN"/>
        </w:rPr>
        <w:t>了由</w:t>
      </w:r>
      <w:r>
        <w:rPr>
          <w:rFonts w:hint="eastAsia" w:ascii="宋体" w:hAnsi="宋体" w:cs="宋体"/>
          <w:color w:val="auto"/>
          <w:kern w:val="36"/>
          <w:szCs w:val="24"/>
        </w:rPr>
        <w:t>应急救援指挥部</w:t>
      </w:r>
      <w:r>
        <w:rPr>
          <w:rFonts w:hint="default"/>
          <w:color w:val="auto"/>
          <w:lang w:val="en-US" w:eastAsia="zh-CN"/>
        </w:rPr>
        <w:t>、</w:t>
      </w:r>
      <w:r>
        <w:rPr>
          <w:rFonts w:hint="eastAsia"/>
          <w:color w:val="auto"/>
        </w:rPr>
        <w:t>应急救援领导办公室</w:t>
      </w:r>
      <w:r>
        <w:rPr>
          <w:rFonts w:hint="eastAsia"/>
          <w:color w:val="auto"/>
          <w:lang w:val="en-US" w:eastAsia="zh-CN"/>
        </w:rPr>
        <w:t>、</w:t>
      </w:r>
      <w:r>
        <w:rPr>
          <w:rFonts w:hint="eastAsia"/>
          <w:color w:val="auto"/>
        </w:rPr>
        <w:t>通讯联络组</w:t>
      </w:r>
      <w:r>
        <w:rPr>
          <w:rFonts w:hint="eastAsia"/>
          <w:color w:val="auto"/>
          <w:lang w:val="en-US" w:eastAsia="zh-CN"/>
        </w:rPr>
        <w:t>、</w:t>
      </w:r>
      <w:r>
        <w:rPr>
          <w:rFonts w:hint="eastAsia"/>
          <w:color w:val="auto"/>
        </w:rPr>
        <w:t>医疗救护组</w:t>
      </w:r>
      <w:r>
        <w:rPr>
          <w:rFonts w:hint="eastAsia"/>
          <w:color w:val="auto"/>
          <w:lang w:val="en-US" w:eastAsia="zh-CN"/>
        </w:rPr>
        <w:t>、</w:t>
      </w:r>
      <w:r>
        <w:rPr>
          <w:rFonts w:hint="eastAsia"/>
          <w:color w:val="auto"/>
        </w:rPr>
        <w:t>现场处置组</w:t>
      </w:r>
      <w:r>
        <w:rPr>
          <w:rFonts w:hint="eastAsia"/>
          <w:color w:val="auto"/>
          <w:lang w:val="en-US" w:eastAsia="zh-CN"/>
        </w:rPr>
        <w:t>、</w:t>
      </w:r>
      <w:r>
        <w:rPr>
          <w:rFonts w:hint="eastAsia"/>
          <w:color w:val="auto"/>
        </w:rPr>
        <w:t>后勤保障组</w:t>
      </w:r>
      <w:r>
        <w:rPr>
          <w:rFonts w:hint="eastAsia"/>
          <w:color w:val="auto"/>
          <w:lang w:val="en-US" w:eastAsia="zh-CN"/>
        </w:rPr>
        <w:t>、</w:t>
      </w:r>
      <w:r>
        <w:rPr>
          <w:rFonts w:hint="eastAsia"/>
          <w:color w:val="auto"/>
        </w:rPr>
        <w:t>环境监测组</w:t>
      </w:r>
      <w:r>
        <w:rPr>
          <w:rFonts w:hint="eastAsia"/>
          <w:color w:val="auto"/>
          <w:lang w:val="en-US" w:eastAsia="zh-CN"/>
        </w:rPr>
        <w:t>、</w:t>
      </w:r>
      <w:r>
        <w:rPr>
          <w:rFonts w:hint="eastAsia"/>
          <w:color w:val="auto"/>
        </w:rPr>
        <w:t>技术专家组</w:t>
      </w:r>
      <w:r>
        <w:rPr>
          <w:rFonts w:hint="eastAsia"/>
          <w:color w:val="auto"/>
          <w:lang w:val="en-US" w:eastAsia="zh-CN"/>
        </w:rPr>
        <w:t>、善后处置组组成的</w:t>
      </w:r>
      <w:r>
        <w:rPr>
          <w:rFonts w:hint="default"/>
          <w:color w:val="auto"/>
          <w:lang w:val="en-US" w:eastAsia="zh-CN"/>
        </w:rPr>
        <w:t>突发</w:t>
      </w:r>
      <w:r>
        <w:rPr>
          <w:rFonts w:hint="eastAsia"/>
          <w:color w:val="auto"/>
          <w:lang w:val="en-US" w:eastAsia="zh-CN"/>
        </w:rPr>
        <w:t>环境</w:t>
      </w:r>
      <w:r>
        <w:rPr>
          <w:rFonts w:hint="default"/>
          <w:color w:val="auto"/>
          <w:lang w:val="en-US" w:eastAsia="zh-CN"/>
        </w:rPr>
        <w:t>事件应急组织体系。</w:t>
      </w:r>
    </w:p>
    <w:p>
      <w:pPr>
        <w:pStyle w:val="15"/>
        <w:rPr>
          <w:rFonts w:hint="eastAsia"/>
          <w:color w:val="auto"/>
          <w:lang w:val="en-US" w:eastAsia="zh-CN"/>
        </w:rPr>
      </w:pPr>
      <w:r>
        <w:rPr>
          <w:rFonts w:hint="eastAsia"/>
          <w:color w:val="auto"/>
          <w:lang w:val="en-US" w:eastAsia="zh-CN"/>
        </w:rPr>
        <w:t>结合“企业-园区-区域/流域”的三级防控体系要求，园区已建立如下的三级防控体系：第一级防控由企业的三级防控体系构成；</w:t>
      </w:r>
      <w:r>
        <w:rPr>
          <w:rFonts w:hint="eastAsia"/>
          <w:color w:val="auto"/>
          <w:highlight w:val="none"/>
          <w:lang w:val="en-US" w:eastAsia="zh-CN"/>
        </w:rPr>
        <w:t>第二级防控由园区污水处理厂调节池构成</w:t>
      </w:r>
      <w:r>
        <w:rPr>
          <w:rFonts w:hint="eastAsia"/>
          <w:color w:val="auto"/>
          <w:lang w:val="en-US" w:eastAsia="zh-CN"/>
        </w:rPr>
        <w:t>；第三级防控为园区在污水处理厂总排口处设置的总容积为7000m</w:t>
      </w:r>
      <w:r>
        <w:rPr>
          <w:rFonts w:hint="eastAsia"/>
          <w:color w:val="auto"/>
          <w:vertAlign w:val="superscript"/>
          <w:lang w:val="en-US" w:eastAsia="zh-CN"/>
        </w:rPr>
        <w:t>3</w:t>
      </w:r>
      <w:r>
        <w:rPr>
          <w:rFonts w:hint="eastAsia"/>
          <w:color w:val="auto"/>
          <w:lang w:val="en-US" w:eastAsia="zh-CN"/>
        </w:rPr>
        <w:t>的终端应急事故池。</w:t>
      </w:r>
    </w:p>
    <w:p>
      <w:pPr>
        <w:pStyle w:val="15"/>
        <w:rPr>
          <w:rFonts w:hint="eastAsia"/>
          <w:color w:val="auto"/>
          <w:lang w:val="en-US" w:eastAsia="zh-CN"/>
        </w:rPr>
      </w:pPr>
      <w:r>
        <w:rPr>
          <w:rFonts w:hint="eastAsia"/>
          <w:color w:val="auto"/>
          <w:lang w:val="en-US" w:eastAsia="zh-CN"/>
        </w:rPr>
        <w:t>本评价建议，在本次规划的实施过程中，根据企业入驻情况，适时扩建应急事故，以确保满足区域环境风险防控要求。</w:t>
      </w:r>
    </w:p>
    <w:p>
      <w:pPr>
        <w:rPr>
          <w:rFonts w:hint="default"/>
          <w:color w:val="auto"/>
          <w:lang w:val="en-US" w:eastAsia="zh-CN"/>
        </w:rPr>
      </w:pPr>
      <w:r>
        <w:rPr>
          <w:rFonts w:hint="eastAsia"/>
          <w:color w:val="auto"/>
          <w:lang w:val="en-US" w:eastAsia="zh-CN"/>
        </w:rPr>
        <w:t>此外，根据调查，园区尚未建设统一的环境风险事故应急物资储备库，园区应急仅依托于各企业的应急物资储备。因此，本评价建议园区应尽快建设园区级别的应急物资储备库，确保风险事故发生时可立即响应。</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lang w:val="en-US" w:eastAsia="zh-CN"/>
        </w:rPr>
      </w:pPr>
      <w:bookmarkStart w:id="55" w:name="_Toc3488"/>
      <w:bookmarkStart w:id="56" w:name="_Toc32358"/>
      <w:r>
        <w:rPr>
          <w:rFonts w:hint="eastAsia"/>
          <w:color w:val="auto"/>
          <w:lang w:val="en-US" w:eastAsia="zh-CN"/>
        </w:rPr>
        <w:t>现状问题和制约因素分析</w:t>
      </w:r>
      <w:bookmarkEnd w:id="55"/>
      <w:bookmarkEnd w:id="56"/>
    </w:p>
    <w:p>
      <w:pPr>
        <w:pStyle w:val="5"/>
        <w:bidi w:val="0"/>
        <w:rPr>
          <w:color w:val="auto"/>
          <w:lang w:val="en-US" w:eastAsia="zh-CN"/>
        </w:rPr>
      </w:pPr>
      <w:bookmarkStart w:id="57" w:name="_Toc22069"/>
      <w:r>
        <w:rPr>
          <w:rFonts w:hint="eastAsia"/>
          <w:color w:val="auto"/>
          <w:lang w:val="en-US" w:eastAsia="zh-CN"/>
        </w:rPr>
        <w:t>现有主要环境问题</w:t>
      </w:r>
      <w:bookmarkEnd w:id="57"/>
    </w:p>
    <w:p>
      <w:pPr>
        <w:numPr>
          <w:ilvl w:val="0"/>
          <w:numId w:val="5"/>
        </w:numPr>
        <w:bidi w:val="0"/>
        <w:ind w:left="0" w:leftChars="0" w:firstLine="482" w:firstLineChars="200"/>
        <w:rPr>
          <w:rFonts w:hint="eastAsia"/>
          <w:b/>
          <w:bCs/>
          <w:lang w:val="en-US" w:eastAsia="zh-CN"/>
        </w:rPr>
      </w:pPr>
      <w:r>
        <w:rPr>
          <w:rFonts w:hint="eastAsia"/>
          <w:b/>
          <w:bCs/>
          <w:lang w:val="en-US" w:eastAsia="zh-CN"/>
        </w:rPr>
        <w:t>部分现状企业环保手续不完善</w:t>
      </w:r>
    </w:p>
    <w:p>
      <w:pPr>
        <w:bidi w:val="0"/>
        <w:rPr>
          <w:rFonts w:hint="eastAsia"/>
          <w:b/>
          <w:bCs/>
          <w:lang w:val="en-US" w:eastAsia="zh-CN"/>
        </w:rPr>
      </w:pPr>
      <w:r>
        <w:rPr>
          <w:rFonts w:hint="eastAsia"/>
          <w:lang w:val="en-US" w:eastAsia="zh-CN"/>
        </w:rPr>
        <w:t>根据调查，规划区域内现有工业企业8家，8家均为在产企业。8家在产企业中，有1家未履行任何环保手续</w:t>
      </w:r>
      <w:r>
        <w:rPr>
          <w:rFonts w:hint="eastAsia"/>
          <w:highlight w:val="none"/>
          <w:lang w:val="en-US" w:eastAsia="zh-CN"/>
        </w:rPr>
        <w:t>（武汉武药公司硫普罗宁等十五个产品项目现状环评环境影响评价项目未验收）；1家化工企业未进行清洁生产审核；</w:t>
      </w:r>
      <w:r>
        <w:rPr>
          <w:rFonts w:hint="eastAsia"/>
          <w:lang w:val="en-US" w:eastAsia="zh-CN"/>
        </w:rPr>
        <w:t>区内现有企业环保手续不完善，也反映出园区的环保管理尚存在缺陷。</w:t>
      </w:r>
    </w:p>
    <w:p>
      <w:pPr>
        <w:numPr>
          <w:ilvl w:val="0"/>
          <w:numId w:val="5"/>
        </w:numPr>
        <w:bidi w:val="0"/>
        <w:ind w:left="0" w:leftChars="0" w:firstLine="482" w:firstLineChars="200"/>
        <w:rPr>
          <w:rFonts w:hint="eastAsia"/>
          <w:b/>
          <w:bCs/>
          <w:lang w:val="en-US" w:eastAsia="zh-CN"/>
        </w:rPr>
      </w:pPr>
      <w:r>
        <w:rPr>
          <w:rFonts w:hint="eastAsia"/>
          <w:b/>
          <w:bCs/>
          <w:lang w:val="en-US" w:eastAsia="zh-CN"/>
        </w:rPr>
        <w:t>部分企业环保治理措施不满足现行环保要求</w:t>
      </w:r>
    </w:p>
    <w:p>
      <w:pPr>
        <w:pStyle w:val="2"/>
        <w:rPr>
          <w:rFonts w:hint="default"/>
          <w:lang w:val="en-US" w:eastAsia="zh-CN"/>
        </w:rPr>
      </w:pPr>
      <w:r>
        <w:rPr>
          <w:rFonts w:hint="eastAsia"/>
          <w:lang w:val="en-US" w:eastAsia="zh-CN"/>
        </w:rPr>
        <w:t>根据《黄石市“三线一单”生态环境分区管控实施方案》，“所有工业企业一律执行行业排放标准中的水污染物特别排放限值；没有行业标准或行业标准中没有水污染物排放特别限值的，一律执行《污水综合排放标准》一级标准”。目前，规划区域内现有部分企业外排废水污染物浓度满足其排污许可证要求，但不符合前述管控要求，此外园区内个别企业排放的大气污染物尚未取得总量。说明部分企业现有污水处理设施尚不足以满足现行环保要求。</w:t>
      </w:r>
    </w:p>
    <w:p>
      <w:pPr>
        <w:bidi w:val="0"/>
        <w:rPr>
          <w:rFonts w:hint="default"/>
          <w:b/>
          <w:bCs/>
          <w:lang w:val="en-US" w:eastAsia="zh-CN"/>
        </w:rPr>
      </w:pPr>
      <w:r>
        <w:rPr>
          <w:rFonts w:hint="eastAsia"/>
          <w:b/>
          <w:bCs/>
          <w:lang w:val="en-US" w:eastAsia="zh-CN"/>
        </w:rPr>
        <w:t>（3）园区环境风险防范措施不足</w:t>
      </w:r>
    </w:p>
    <w:p>
      <w:pPr>
        <w:bidi w:val="0"/>
        <w:rPr>
          <w:rFonts w:hint="default"/>
          <w:lang w:val="en-US" w:eastAsia="zh-CN"/>
        </w:rPr>
      </w:pPr>
      <w:r>
        <w:rPr>
          <w:rFonts w:hint="eastAsia"/>
          <w:lang w:val="en-US" w:eastAsia="zh-CN"/>
        </w:rPr>
        <w:t>根据《中华人民共和国长江保护法》，“长江流域县级以上地方人民政府应当组织对沿河湖垃圾填埋场、加油站、矿山、尾矿库、危险废物处置场、化工园区和化工项目等地下水重点污染源及周边地下水环境风险隐患开展调查评估，并采取相应风险防范和整治措施”。园区内现有化工企业位于长江岸线1km范围内，按照要求，阳新县人民政府应组织对化工园区地下水重点污染源及周边地下水环境风险隐患开展调查评估。截止目前，区政府尚未组织开展相关环境风险隐患的评估工作。</w:t>
      </w:r>
    </w:p>
    <w:p>
      <w:pPr>
        <w:bidi w:val="0"/>
        <w:rPr>
          <w:rFonts w:hint="default"/>
          <w:lang w:val="en-US" w:eastAsia="zh-CN"/>
        </w:rPr>
      </w:pPr>
      <w:r>
        <w:rPr>
          <w:rFonts w:hint="eastAsia"/>
          <w:lang w:val="en-US" w:eastAsia="zh-CN"/>
        </w:rPr>
        <w:t>此外，根据园区环境风险防控现状的调查情况，目前园区发布的应急预案未涵盖本次规划的全部区域，并且园区尚未建设统一的环境风险事故应急物资储备库，环境风险防范措施不足。</w:t>
      </w:r>
    </w:p>
    <w:p>
      <w:pPr>
        <w:bidi w:val="0"/>
        <w:rPr>
          <w:rFonts w:hint="default"/>
          <w:b/>
          <w:bCs/>
          <w:lang w:val="en-US" w:eastAsia="zh-CN"/>
        </w:rPr>
      </w:pPr>
      <w:r>
        <w:rPr>
          <w:rFonts w:hint="eastAsia"/>
          <w:b/>
          <w:bCs/>
          <w:lang w:val="en-US" w:eastAsia="zh-CN"/>
        </w:rPr>
        <w:t>（4）环境监管能力相对薄弱</w:t>
      </w:r>
    </w:p>
    <w:p>
      <w:pPr>
        <w:bidi w:val="0"/>
        <w:rPr>
          <w:rFonts w:hint="default"/>
          <w:lang w:val="en-US" w:eastAsia="zh-CN"/>
        </w:rPr>
      </w:pPr>
      <w:r>
        <w:rPr>
          <w:rFonts w:hint="eastAsia"/>
          <w:lang w:val="en-US" w:eastAsia="zh-CN"/>
        </w:rPr>
        <w:t>规划区内现有产业</w:t>
      </w:r>
      <w:r>
        <w:rPr>
          <w:rFonts w:hint="default"/>
          <w:lang w:val="en-US" w:eastAsia="zh-CN"/>
        </w:rPr>
        <w:t>聚集</w:t>
      </w:r>
      <w:r>
        <w:rPr>
          <w:rFonts w:hint="eastAsia"/>
          <w:lang w:val="en-US" w:eastAsia="zh-CN"/>
        </w:rPr>
        <w:t>度较高</w:t>
      </w:r>
      <w:r>
        <w:rPr>
          <w:rFonts w:hint="default"/>
          <w:lang w:val="en-US" w:eastAsia="zh-CN"/>
        </w:rPr>
        <w:t>，</w:t>
      </w:r>
      <w:r>
        <w:rPr>
          <w:rFonts w:hint="eastAsia"/>
          <w:lang w:val="en-US" w:eastAsia="zh-CN"/>
        </w:rPr>
        <w:t>均为化工及医药行业，</w:t>
      </w:r>
      <w:r>
        <w:rPr>
          <w:rFonts w:hint="default"/>
          <w:lang w:val="en-US" w:eastAsia="zh-CN"/>
        </w:rPr>
        <w:t>既有资源高效利用、生产要素高效配置的优势，</w:t>
      </w:r>
      <w:r>
        <w:rPr>
          <w:rFonts w:hint="eastAsia"/>
          <w:lang w:val="en-US" w:eastAsia="zh-CN"/>
        </w:rPr>
        <w:t>但</w:t>
      </w:r>
      <w:r>
        <w:rPr>
          <w:rFonts w:hint="default"/>
          <w:lang w:val="en-US" w:eastAsia="zh-CN"/>
        </w:rPr>
        <w:t>也有污染叠加、环境影响累积的风险。由于</w:t>
      </w:r>
      <w:r>
        <w:rPr>
          <w:rFonts w:hint="eastAsia"/>
          <w:lang w:val="en-US" w:eastAsia="zh-CN"/>
        </w:rPr>
        <w:t>园区</w:t>
      </w:r>
      <w:r>
        <w:rPr>
          <w:rFonts w:hint="default"/>
          <w:lang w:val="en-US" w:eastAsia="zh-CN"/>
        </w:rPr>
        <w:t>在环保人力、财力投入上的不足，致使</w:t>
      </w:r>
      <w:r>
        <w:rPr>
          <w:rFonts w:hint="eastAsia"/>
          <w:lang w:val="en-US" w:eastAsia="zh-CN"/>
        </w:rPr>
        <w:t>园区</w:t>
      </w:r>
      <w:r>
        <w:rPr>
          <w:rFonts w:hint="default"/>
          <w:lang w:val="en-US" w:eastAsia="zh-CN"/>
        </w:rPr>
        <w:t>环境管理相对薄弱，缺少专职的环境技术和管理人员，</w:t>
      </w:r>
      <w:r>
        <w:rPr>
          <w:rFonts w:hint="eastAsia"/>
          <w:lang w:val="en-US" w:eastAsia="zh-CN"/>
        </w:rPr>
        <w:t>园区尚未</w:t>
      </w:r>
      <w:r>
        <w:rPr>
          <w:rFonts w:hint="default"/>
          <w:lang w:val="en-US" w:eastAsia="zh-CN"/>
        </w:rPr>
        <w:t>建立完善的企业排污档案和统计制度，</w:t>
      </w:r>
      <w:r>
        <w:rPr>
          <w:rFonts w:hint="eastAsia"/>
          <w:lang w:val="en-US" w:eastAsia="zh-CN"/>
        </w:rPr>
        <w:t>截止目前未开展环境质量跟踪监测工作，</w:t>
      </w:r>
      <w:r>
        <w:rPr>
          <w:rFonts w:hint="default"/>
          <w:lang w:val="en-US" w:eastAsia="zh-CN"/>
        </w:rPr>
        <w:t>个别企业环境污染防治存在问题或瑕疵。</w:t>
      </w:r>
    </w:p>
    <w:p>
      <w:pPr>
        <w:pStyle w:val="5"/>
      </w:pPr>
      <w:r>
        <w:rPr>
          <w:rFonts w:hint="eastAsia"/>
          <w:lang w:val="en-US" w:eastAsia="zh-CN"/>
        </w:rPr>
        <w:t>制约因素分析</w:t>
      </w:r>
    </w:p>
    <w:p>
      <w:pPr>
        <w:bidi w:val="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生态环境保护因素制约</w:t>
      </w:r>
    </w:p>
    <w:p>
      <w:pPr>
        <w:bidi w:val="0"/>
        <w:rPr>
          <w:rFonts w:hint="eastAsia"/>
          <w:lang w:val="en-US" w:eastAsia="zh-CN"/>
        </w:rPr>
      </w:pPr>
      <w:r>
        <w:rPr>
          <w:rFonts w:hint="eastAsia"/>
          <w:lang w:val="en-US" w:eastAsia="zh-CN"/>
        </w:rPr>
        <w:t>规划园区位于长江干流1公里范围内，地理位置较为特殊，并且园区规划产业主要为化工、医药等“高污染、高环境风险”的产业，规划的实施不可避免的会对周边环境敏感区域带来一定的环境污染和环境风险隐患。从生态环境保护的角度而言，区域的环境敏感性会直接制约可引入的产业类型，一定程度的制约园区发展。</w:t>
      </w:r>
    </w:p>
    <w:p>
      <w:pPr>
        <w:bidi w:val="0"/>
        <w:rPr>
          <w:rFonts w:hint="default"/>
          <w:lang w:val="en-US" w:eastAsia="zh-CN"/>
        </w:rPr>
      </w:pPr>
      <w:r>
        <w:rPr>
          <w:rFonts w:hint="eastAsia"/>
          <w:lang w:val="en-US" w:eastAsia="zh-CN"/>
        </w:rPr>
        <w:t>化工园区和化工项目作为地下水重点污染源也存在较大的环境风险。因此，在规划实施过程中，须严格执行环境风险隐患排查，引导入驻企业完善地下水风险防范措施。</w:t>
      </w:r>
    </w:p>
    <w:p>
      <w:pPr>
        <w:bidi w:val="0"/>
        <w:rPr>
          <w:rFonts w:hint="default"/>
          <w:b/>
          <w:bCs/>
          <w:lang w:val="en-US" w:eastAsia="zh-CN"/>
        </w:rPr>
      </w:pPr>
      <w:r>
        <w:rPr>
          <w:rFonts w:hint="eastAsia"/>
          <w:b/>
          <w:bCs/>
          <w:lang w:val="en-US" w:eastAsia="zh-CN"/>
        </w:rPr>
        <w:t>（2）政策因素制约</w:t>
      </w:r>
    </w:p>
    <w:p>
      <w:pPr>
        <w:bidi w:val="0"/>
        <w:rPr>
          <w:rFonts w:hint="default" w:eastAsia="宋体"/>
          <w:lang w:val="en-US" w:eastAsia="zh-CN"/>
        </w:rPr>
      </w:pPr>
      <w:r>
        <w:rPr>
          <w:rFonts w:hint="eastAsia"/>
          <w:lang w:val="en-US" w:eastAsia="zh-CN"/>
        </w:rPr>
        <w:t>园区部分用地位于长江干流岸线一公里范围内，根据《中华人民共和国长江保护法》、《长江经济带发展负面清单指南（试行，2022年版）》、《湖北长江经济带发展负面清单实施细则（试行）》、《黄石市“三线一单”生态环境分区管控实施方案》等法规政策要求，该部分规划用地内禁止新建、扩建化工园区和化工项目，因此在后续规划实施的规程中，该部分用地内的现有化工企业不得进行扩建、未利用地不得新建化工项目。</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5"/>
        <w:numPr>
          <w:ilvl w:val="2"/>
          <w:numId w:val="0"/>
        </w:numPr>
        <w:bidi w:val="0"/>
        <w:ind w:leftChars="0"/>
        <w:outlineLvl w:val="9"/>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rPr>
          <w:rFonts w:hint="default"/>
        </w:rPr>
      </w:pPr>
      <w:bookmarkStart w:id="58" w:name="_Toc108789120"/>
      <w:bookmarkStart w:id="59" w:name="_Toc705"/>
      <w:bookmarkStart w:id="60" w:name="_Toc17568"/>
      <w:r>
        <w:rPr>
          <w:rFonts w:hint="default"/>
        </w:rPr>
        <w:t>环境影响预测与分析</w:t>
      </w:r>
      <w:bookmarkEnd w:id="58"/>
      <w:bookmarkEnd w:id="59"/>
      <w:bookmarkEnd w:id="60"/>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rPr>
      </w:pPr>
      <w:bookmarkStart w:id="61" w:name="_Toc24978"/>
      <w:bookmarkStart w:id="62" w:name="_Toc108789121"/>
      <w:bookmarkStart w:id="63" w:name="_Toc12162"/>
      <w:r>
        <w:rPr>
          <w:rFonts w:hint="default"/>
          <w:color w:val="auto"/>
        </w:rPr>
        <w:t>大气环境影响预测与评价</w:t>
      </w:r>
      <w:bookmarkEnd w:id="61"/>
      <w:bookmarkEnd w:id="62"/>
      <w:bookmarkEnd w:id="63"/>
    </w:p>
    <w:p>
      <w:pPr>
        <w:ind w:firstLine="482"/>
        <w:rPr>
          <w:color w:val="auto"/>
        </w:rPr>
      </w:pPr>
      <w:r>
        <w:rPr>
          <w:color w:val="auto"/>
        </w:rPr>
        <w:t>根据评价等级计算，本次大气评价等级为</w:t>
      </w:r>
      <w:r>
        <w:rPr>
          <w:rFonts w:hint="eastAsia"/>
          <w:color w:val="auto"/>
        </w:rPr>
        <w:t>一</w:t>
      </w:r>
      <w:r>
        <w:rPr>
          <w:color w:val="auto"/>
        </w:rPr>
        <w:t>级。</w:t>
      </w:r>
      <w:r>
        <w:rPr>
          <w:rFonts w:hint="eastAsia"/>
          <w:color w:val="auto"/>
        </w:rPr>
        <w:t>因此，需采用进一步预测模型开展大气环境影响预测与评价</w:t>
      </w:r>
      <w:r>
        <w:rPr>
          <w:color w:val="auto"/>
        </w:rPr>
        <w:t>。</w:t>
      </w:r>
      <w:r>
        <w:rPr>
          <w:rFonts w:hint="eastAsia"/>
          <w:color w:val="auto"/>
        </w:rPr>
        <w:t>本次采用EIAProA2018（v2.6.469 版本）“AERMOD 模型”对本项目进行进一步预测。</w:t>
      </w:r>
    </w:p>
    <w:p>
      <w:pPr>
        <w:ind w:firstLine="480"/>
        <w:rPr>
          <w:color w:val="auto"/>
        </w:rPr>
      </w:pPr>
      <w:r>
        <w:rPr>
          <w:color w:val="auto"/>
        </w:rPr>
        <w:t>评价区执行《环境空气质量标准》（GB3095-2012）二级标准，</w:t>
      </w:r>
      <w:r>
        <w:rPr>
          <w:rFonts w:hint="eastAsia"/>
          <w:color w:val="auto"/>
        </w:rPr>
        <w:t>TVOC</w:t>
      </w:r>
      <w:r>
        <w:rPr>
          <w:color w:val="auto"/>
        </w:rPr>
        <w:t>标准引用《环境影响评价技术导则 大气环境》（HJ 2.2-2018）中其他污染物空气质量浓度参考限值。</w:t>
      </w:r>
    </w:p>
    <w:p>
      <w:pPr>
        <w:ind w:firstLine="480"/>
        <w:rPr>
          <w:rFonts w:hint="eastAsia"/>
          <w:color w:val="auto"/>
          <w:highlight w:val="none"/>
        </w:rPr>
      </w:pPr>
      <w:r>
        <w:rPr>
          <w:rFonts w:hint="eastAsia"/>
          <w:color w:val="auto"/>
          <w:highlight w:val="none"/>
        </w:rPr>
        <w:t>根据预测结果可知：</w:t>
      </w:r>
    </w:p>
    <w:p>
      <w:pPr>
        <w:ind w:firstLine="480"/>
        <w:rPr>
          <w:rFonts w:hint="eastAsia"/>
          <w:color w:val="auto"/>
          <w:highlight w:val="none"/>
        </w:rPr>
      </w:pPr>
      <w:r>
        <w:rPr>
          <w:rFonts w:hint="eastAsia"/>
          <w:color w:val="auto"/>
          <w:highlight w:val="none"/>
        </w:rPr>
        <w:t>（1）规划实施后，常规因子SO2、NOx、PM10、PM2.5的小时浓度贡献值、日均浓度贡献值均未出现超标，SO2、NOx、PM10、PM2.5的年均浓度贡献值均未超过30%；叠加背景值后，SO2、NOX年均值预测值均能够满足环境空气质量二级标准；由于现状背景值已接近标准限值，叠加背景值后，PM10、PM2.5的年均浓度预测值均出现超标。</w:t>
      </w:r>
    </w:p>
    <w:p>
      <w:pPr>
        <w:ind w:firstLine="480"/>
        <w:rPr>
          <w:color w:val="auto"/>
          <w:highlight w:val="none"/>
        </w:rPr>
      </w:pPr>
      <w:r>
        <w:rPr>
          <w:rFonts w:hint="eastAsia"/>
          <w:color w:val="auto"/>
          <w:highlight w:val="none"/>
        </w:rPr>
        <w:t>（2）规划实施后，特征因子TVOC在预测范围内的短期浓度贡献值未超标；叠加背景浓度后，污染物的在网格点及各环境保护目标处的预测值均能满足相应的标准要求。</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rPr>
      </w:pPr>
      <w:bookmarkStart w:id="64" w:name="_Toc6521"/>
      <w:bookmarkStart w:id="65" w:name="_Toc108789122"/>
      <w:bookmarkStart w:id="66" w:name="_Toc26907"/>
      <w:r>
        <w:rPr>
          <w:rFonts w:hint="default"/>
          <w:color w:val="auto"/>
        </w:rPr>
        <w:t>地表水环境影响预测与评价</w:t>
      </w:r>
      <w:bookmarkEnd w:id="64"/>
      <w:bookmarkEnd w:id="65"/>
      <w:bookmarkEnd w:id="66"/>
    </w:p>
    <w:p>
      <w:pPr>
        <w:ind w:firstLine="482"/>
        <w:rPr>
          <w:rFonts w:hint="eastAsia"/>
          <w:color w:val="auto"/>
          <w:highlight w:val="none"/>
        </w:rPr>
      </w:pPr>
      <w:r>
        <w:rPr>
          <w:rFonts w:hint="eastAsia"/>
          <w:color w:val="auto"/>
          <w:highlight w:val="none"/>
        </w:rPr>
        <w:t>目前医药化工园内现有医药化工企业生产废水进入污水处理厂进行处理，实际处理量3000 m</w:t>
      </w:r>
      <w:r>
        <w:rPr>
          <w:rFonts w:hint="eastAsia"/>
          <w:color w:val="auto"/>
          <w:highlight w:val="none"/>
          <w:vertAlign w:val="superscript"/>
        </w:rPr>
        <w:t>3</w:t>
      </w:r>
      <w:r>
        <w:rPr>
          <w:rFonts w:hint="eastAsia"/>
          <w:color w:val="auto"/>
          <w:highlight w:val="none"/>
        </w:rPr>
        <w:t>/d。经测算</w:t>
      </w:r>
      <w:r>
        <w:rPr>
          <w:rFonts w:hint="eastAsia"/>
          <w:color w:val="auto"/>
          <w:highlight w:val="none"/>
          <w:lang w:eastAsia="zh-CN"/>
        </w:rPr>
        <w:t>，</w:t>
      </w:r>
      <w:r>
        <w:rPr>
          <w:rFonts w:hint="eastAsia"/>
          <w:color w:val="auto"/>
          <w:highlight w:val="none"/>
        </w:rPr>
        <w:t>规划近期污水排放总量（含现有项目排水）约为4982.1m</w:t>
      </w:r>
      <w:r>
        <w:rPr>
          <w:rFonts w:hint="eastAsia"/>
          <w:color w:val="auto"/>
          <w:highlight w:val="none"/>
          <w:vertAlign w:val="superscript"/>
        </w:rPr>
        <w:t>3</w:t>
      </w:r>
      <w:r>
        <w:rPr>
          <w:rFonts w:hint="eastAsia"/>
          <w:color w:val="auto"/>
          <w:highlight w:val="none"/>
        </w:rPr>
        <w:t>/d。富池镇污水处理厂已建工程中，工业废水设计处理规模为4000m3/d，将不足以支撑规划近期规划废水处理需求。</w:t>
      </w:r>
    </w:p>
    <w:p>
      <w:pPr>
        <w:ind w:firstLine="482"/>
        <w:rPr>
          <w:rFonts w:hint="eastAsia"/>
          <w:color w:val="auto"/>
          <w:highlight w:val="none"/>
        </w:rPr>
      </w:pPr>
      <w:r>
        <w:rPr>
          <w:rFonts w:hint="eastAsia"/>
          <w:color w:val="auto"/>
          <w:highlight w:val="none"/>
        </w:rPr>
        <w:t>并且随着规划实施建设，现有富池镇社区生活污水产生量62.05万m</w:t>
      </w:r>
      <w:r>
        <w:rPr>
          <w:rFonts w:hint="eastAsia"/>
          <w:color w:val="auto"/>
          <w:highlight w:val="none"/>
          <w:vertAlign w:val="superscript"/>
        </w:rPr>
        <w:t>3</w:t>
      </w:r>
      <w:r>
        <w:rPr>
          <w:rFonts w:hint="eastAsia"/>
          <w:color w:val="auto"/>
          <w:highlight w:val="none"/>
        </w:rPr>
        <w:t>/a（1700m</w:t>
      </w:r>
      <w:r>
        <w:rPr>
          <w:rFonts w:hint="eastAsia"/>
          <w:color w:val="auto"/>
          <w:highlight w:val="none"/>
          <w:vertAlign w:val="superscript"/>
        </w:rPr>
        <w:t>3</w:t>
      </w:r>
      <w:r>
        <w:rPr>
          <w:rFonts w:hint="eastAsia"/>
          <w:color w:val="auto"/>
          <w:highlight w:val="none"/>
        </w:rPr>
        <w:t>/d）将接入污水处理厂集中处理。规划实施后，近期排入富池镇污水处理厂的污水总量也将超出富池镇污水处理厂一期工程处理能力（6000m</w:t>
      </w:r>
      <w:r>
        <w:rPr>
          <w:rFonts w:hint="eastAsia"/>
          <w:color w:val="auto"/>
          <w:highlight w:val="none"/>
          <w:vertAlign w:val="superscript"/>
        </w:rPr>
        <w:t>3</w:t>
      </w:r>
      <w:r>
        <w:rPr>
          <w:rFonts w:hint="eastAsia"/>
          <w:color w:val="auto"/>
          <w:highlight w:val="none"/>
        </w:rPr>
        <w:t>/d）。</w:t>
      </w:r>
    </w:p>
    <w:p>
      <w:pPr>
        <w:ind w:firstLine="482"/>
        <w:rPr>
          <w:rFonts w:hint="eastAsia"/>
          <w:color w:val="auto"/>
          <w:highlight w:val="none"/>
        </w:rPr>
      </w:pPr>
      <w:r>
        <w:rPr>
          <w:rFonts w:hint="eastAsia"/>
          <w:color w:val="auto"/>
          <w:highlight w:val="none"/>
        </w:rPr>
        <w:t>因此，本次规划环评建议应尽快启动富池镇污水处理厂二期扩建，确保规划实施后，富池镇污水处理厂能满足区域生产生活污水处理需求。</w:t>
      </w:r>
    </w:p>
    <w:p>
      <w:pPr>
        <w:ind w:firstLine="482"/>
        <w:rPr>
          <w:rFonts w:hint="eastAsia"/>
          <w:color w:val="auto"/>
          <w:highlight w:val="none"/>
        </w:rPr>
      </w:pPr>
      <w:r>
        <w:rPr>
          <w:rFonts w:hint="eastAsia"/>
          <w:color w:val="auto"/>
          <w:highlight w:val="none"/>
        </w:rPr>
        <w:t>富池镇污水处理厂设计处理规模为2万吨/天，其中一期建设规模为6000 吨/天，目前运行规模为3000吨/天，由于规划实施后现有富池镇污水处理厂近期 6000吨/天处理规模无法完全满足处理需求，根据开发情况先行开展富池镇污水处理厂远期2万吨/天扩建工作，因此按远期污水厂扩建后新增废水排放量1.7万吨/天来进行预测。</w:t>
      </w:r>
    </w:p>
    <w:p>
      <w:pPr>
        <w:pStyle w:val="25"/>
        <w:bidi w:val="0"/>
        <w:rPr>
          <w:rFonts w:hint="default"/>
          <w:b/>
          <w:bCs/>
          <w:lang w:val="en-US" w:eastAsia="zh-CN"/>
        </w:rPr>
      </w:pPr>
      <w:r>
        <w:rPr>
          <w:rFonts w:hint="eastAsia"/>
          <w:b/>
          <w:bCs/>
          <w:lang w:val="en-US" w:eastAsia="zh-CN"/>
        </w:rPr>
        <w:t>预测结果显示：</w:t>
      </w:r>
    </w:p>
    <w:p>
      <w:pPr>
        <w:pStyle w:val="25"/>
        <w:bidi w:val="0"/>
        <w:rPr>
          <w:rFonts w:hint="eastAsia"/>
          <w:lang w:val="en-US" w:eastAsia="zh-CN"/>
        </w:rPr>
      </w:pPr>
      <w:r>
        <w:rPr>
          <w:rFonts w:hint="eastAsia"/>
          <w:lang w:val="en-US" w:eastAsia="zh-CN"/>
        </w:rPr>
        <w:t>正常工况下，污水处理厂排放污染物评价范围内COD叠加值为（12.7603mg/L～11.9733mg/L），污水处理厂排放污染物评价范围内氨氮叠加值为（0.1715mg/L～0.1093 mg/L），均满足《地表水环境质量标准》（GB3838-2002）Ⅲ类标准要求。事故工况下，污水处理厂排放污染物评价范围内 COD 叠加值为（19.6062mg/L～12.4539mg/L），污水处理厂排放污染物评价范围内氨氮叠加值为（0.5554mg/L～0.1307mg/L），均满足《地表水环境质量标准》（GB3838-2002） Ⅲ类标准要求。</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ascii="Times New Roman" w:hAnsi="Times New Roman"/>
          <w:color w:val="auto"/>
          <w:lang w:val="en-US" w:eastAsia="zh-CN"/>
        </w:rPr>
      </w:pPr>
      <w:bookmarkStart w:id="67" w:name="_Toc29890"/>
      <w:r>
        <w:rPr>
          <w:rFonts w:hint="eastAsia" w:ascii="Times New Roman" w:hAnsi="Times New Roman"/>
          <w:color w:val="auto"/>
          <w:lang w:val="en-US" w:eastAsia="zh-CN"/>
        </w:rPr>
        <w:t>声环境影响分析与评价</w:t>
      </w:r>
      <w:bookmarkEnd w:id="67"/>
    </w:p>
    <w:p>
      <w:pPr>
        <w:rPr>
          <w:rFonts w:hint="eastAsia"/>
          <w:lang w:val="en-US" w:eastAsia="zh-CN"/>
        </w:rPr>
      </w:pPr>
      <w:r>
        <w:rPr>
          <w:rFonts w:hint="eastAsia"/>
          <w:lang w:val="en-US" w:eastAsia="zh-CN"/>
        </w:rPr>
        <w:t>根据阳新经济开发区总体规划布局和土地利用方案，噪声源主要包括新工业区工业生产噪声、道路交通噪声。</w:t>
      </w:r>
    </w:p>
    <w:p>
      <w:pPr>
        <w:rPr>
          <w:rFonts w:hint="eastAsia"/>
          <w:lang w:val="en-US" w:eastAsia="zh-CN"/>
        </w:rPr>
      </w:pPr>
      <w:r>
        <w:rPr>
          <w:rFonts w:hint="eastAsia"/>
          <w:lang w:val="en-US" w:eastAsia="zh-CN"/>
        </w:rPr>
        <w:t>（1）交通噪声环境影响</w:t>
      </w:r>
    </w:p>
    <w:p>
      <w:pPr>
        <w:rPr>
          <w:rFonts w:hint="eastAsia"/>
          <w:lang w:val="en-US" w:eastAsia="zh-CN"/>
        </w:rPr>
      </w:pPr>
      <w:r>
        <w:rPr>
          <w:rFonts w:hint="eastAsia"/>
          <w:lang w:val="en-US" w:eastAsia="zh-CN"/>
        </w:rPr>
        <w:t>随着园区的开发建设，规划区内产业规模呈增大趋势，因此客流、物流量也会随之增大，由于过境车辆车流相对集中与主干道，预计干道两侧敏感建筑将产生干扰影响，特别是对园区外邻近的居民点造成一定影响。</w:t>
      </w:r>
    </w:p>
    <w:p>
      <w:pPr>
        <w:rPr>
          <w:rFonts w:hint="eastAsia"/>
          <w:lang w:val="en-US" w:eastAsia="zh-CN"/>
        </w:rPr>
      </w:pPr>
      <w:r>
        <w:rPr>
          <w:rFonts w:hint="eastAsia"/>
          <w:lang w:val="en-US" w:eastAsia="zh-CN"/>
        </w:rPr>
        <w:t>交通干线两侧2类区昼间影响范围一般为130～150m，夜间影响范围一般为260～280m。</w:t>
      </w:r>
    </w:p>
    <w:p>
      <w:pPr>
        <w:rPr>
          <w:rFonts w:hint="eastAsia"/>
          <w:lang w:val="en-US" w:eastAsia="zh-CN"/>
        </w:rPr>
      </w:pPr>
      <w:r>
        <w:rPr>
          <w:rFonts w:hint="eastAsia"/>
          <w:lang w:val="en-US" w:eastAsia="zh-CN"/>
        </w:rPr>
        <w:t>规划实施过程中应根据道路交通污染特征加强管理并采取相应减噪措施，重点做好环境敏感点处的噪声污染控制。</w:t>
      </w:r>
    </w:p>
    <w:p>
      <w:pPr>
        <w:rPr>
          <w:rFonts w:hint="eastAsia"/>
          <w:lang w:val="en-US" w:eastAsia="zh-CN"/>
        </w:rPr>
      </w:pPr>
      <w:r>
        <w:rPr>
          <w:rFonts w:hint="eastAsia"/>
          <w:lang w:val="en-US" w:eastAsia="zh-CN"/>
        </w:rPr>
        <w:t>（2）工业企业噪声影响分析</w:t>
      </w:r>
    </w:p>
    <w:p>
      <w:pPr>
        <w:rPr>
          <w:rFonts w:hint="eastAsia"/>
          <w:lang w:val="en-US" w:eastAsia="zh-CN"/>
        </w:rPr>
      </w:pPr>
      <w:r>
        <w:rPr>
          <w:rFonts w:hint="eastAsia"/>
          <w:lang w:val="en-US" w:eastAsia="zh-CN"/>
        </w:rPr>
        <w:t>园区内工业生产噪声是工业企业在生产过程中使用的工艺性固定式生产设备或辅助生产设备产生的噪声，可能产生噪声的生产设备随行业不同而不同，包括空压机、各类泵、冷却塔等，噪声源强在 70~90dB(A)之间。</w:t>
      </w:r>
    </w:p>
    <w:p>
      <w:pPr>
        <w:rPr>
          <w:rFonts w:hint="eastAsia"/>
          <w:lang w:val="en-US" w:eastAsia="zh-CN"/>
        </w:rPr>
      </w:pPr>
      <w:r>
        <w:rPr>
          <w:rFonts w:hint="eastAsia"/>
          <w:lang w:val="en-US" w:eastAsia="zh-CN"/>
        </w:rPr>
        <w:t>根据类比分析，同类型的工业园区声环境质量一般可以达到3类声环境功能区标准。从园区规划平面布置来看，位于工业区外居民点与工业园之间均以道路或绿化隔离带相隔，因此在企业噪声达到《工业企业厂界环境噪声排放标准》（GB12348-2008） 中 3 类标准要求的前提下，同时规划落实本评价提出的布局调整建议，园区内工业企业基本不会对周边敏感目标产生影响。</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eastAsia" w:ascii="Times New Roman" w:hAnsi="Times New Roman"/>
          <w:color w:val="auto"/>
          <w:lang w:val="en-US" w:eastAsia="zh-CN"/>
        </w:rPr>
      </w:pPr>
      <w:bookmarkStart w:id="68" w:name="_Toc29421"/>
      <w:r>
        <w:rPr>
          <w:rFonts w:hint="eastAsia" w:ascii="Times New Roman" w:hAnsi="Times New Roman"/>
          <w:color w:val="auto"/>
          <w:lang w:val="en-US" w:eastAsia="zh-CN"/>
        </w:rPr>
        <w:t>固体废物环境影响评价</w:t>
      </w:r>
      <w:bookmarkEnd w:id="68"/>
    </w:p>
    <w:p>
      <w:pPr>
        <w:pStyle w:val="2"/>
        <w:rPr>
          <w:rFonts w:hint="eastAsia"/>
          <w:lang w:val="en-US" w:eastAsia="zh-CN"/>
        </w:rPr>
      </w:pPr>
      <w:r>
        <w:rPr>
          <w:rFonts w:hint="eastAsia"/>
          <w:lang w:val="en-US" w:eastAsia="zh-CN"/>
        </w:rPr>
        <w:t>园区固体废物的类别可以分成生活垃圾、工业固体废物两大类，工业固体废物又可分为一般工业固体废物和危险固体废物。另外，园区建设过程中还将产生大量的建筑垃圾。</w:t>
      </w:r>
    </w:p>
    <w:p>
      <w:pPr>
        <w:pStyle w:val="2"/>
        <w:rPr>
          <w:rFonts w:hint="eastAsia"/>
          <w:lang w:val="en-US" w:eastAsia="zh-CN"/>
        </w:rPr>
      </w:pPr>
      <w:r>
        <w:rPr>
          <w:rFonts w:hint="eastAsia"/>
          <w:lang w:val="en-US" w:eastAsia="zh-CN"/>
        </w:rPr>
        <w:t>通常，固体废物中有害物质通过释放到水体、土壤和大气中而进入环境，对环境造成影响，影响的程度取决于释放过程中污染物的转移量及其进入环境后的浓度。从规划主导产业产生的固体废物的种类及其成份分析，若不妥善处置，有可能对土壤、水体、环境空气质量产生影响。</w:t>
      </w:r>
    </w:p>
    <w:p>
      <w:pPr>
        <w:pStyle w:val="2"/>
        <w:rPr>
          <w:rFonts w:hint="eastAsia"/>
          <w:lang w:val="en-US" w:eastAsia="zh-CN"/>
        </w:rPr>
      </w:pPr>
      <w:r>
        <w:rPr>
          <w:rFonts w:hint="eastAsia"/>
          <w:lang w:val="en-US" w:eastAsia="zh-CN"/>
        </w:rPr>
        <w:t>规划区域的工业项目有多种固废产生，固废从产生、收集、贮存、转运、处置等各个环节都可能因管理不善而进入环境，正由于固废对环境的危害作用还未得到充分认识，因此在各个环节中，抛落、渗漏、丢弃等不完善的问题都还存在。</w:t>
      </w:r>
    </w:p>
    <w:p>
      <w:pPr>
        <w:pStyle w:val="2"/>
        <w:rPr>
          <w:rFonts w:hint="eastAsia"/>
          <w:lang w:val="en-US" w:eastAsia="zh-CN"/>
        </w:rPr>
      </w:pPr>
      <w:r>
        <w:rPr>
          <w:rFonts w:hint="eastAsia"/>
          <w:lang w:val="en-US" w:eastAsia="zh-CN"/>
        </w:rPr>
        <w:t>要控制废物对环境造成污染危害，必须从各个环节进行全方位管理，采取有效措施防止固废在产生、收集、贮存、运输过程中的散失，并采用有效处置方案和技术，首先从有用物料回收再利用着手，这样既回收了一部分资源，又减轻处置负荷，对目前还不能回收利用的，应遵循“无害化”处置原则进行有效处置。</w:t>
      </w:r>
    </w:p>
    <w:p>
      <w:pPr>
        <w:pStyle w:val="2"/>
        <w:rPr>
          <w:rFonts w:hint="eastAsia"/>
          <w:lang w:val="en-US" w:eastAsia="zh-CN"/>
        </w:rPr>
      </w:pPr>
      <w:r>
        <w:rPr>
          <w:rFonts w:hint="eastAsia"/>
          <w:lang w:val="en-US" w:eastAsia="zh-CN"/>
        </w:rPr>
        <w:t>（1）生活垃圾及剩余污泥：规划区生活垃圾收集后送至黄石市生活垃圾焚烧发电厂，采取焚烧发电方式处置，处置率达到 100%。</w:t>
      </w:r>
    </w:p>
    <w:p>
      <w:pPr>
        <w:pStyle w:val="2"/>
        <w:rPr>
          <w:rFonts w:hint="eastAsia"/>
          <w:lang w:val="en-US" w:eastAsia="zh-CN"/>
        </w:rPr>
      </w:pPr>
      <w:r>
        <w:rPr>
          <w:rFonts w:hint="eastAsia"/>
          <w:lang w:val="en-US" w:eastAsia="zh-CN"/>
        </w:rPr>
        <w:t>（2）一般工业固体废物：采取循环经济手段使固废尽量综合利用，剩余一般工业固废送黄石市生活垃圾焚烧发电厂或垃圾填埋场卫生填埋。</w:t>
      </w:r>
    </w:p>
    <w:p>
      <w:pPr>
        <w:pStyle w:val="2"/>
        <w:rPr>
          <w:rFonts w:hint="eastAsia"/>
          <w:lang w:val="en-US" w:eastAsia="zh-CN"/>
        </w:rPr>
      </w:pPr>
      <w:r>
        <w:rPr>
          <w:rFonts w:hint="eastAsia"/>
          <w:lang w:val="en-US" w:eastAsia="zh-CN"/>
        </w:rPr>
        <w:t>（3）危险固体废物：入驻的工业企业除采取措施杜绝固废、废液在厂区内的散失、渗漏外，还应采取措施加强废物产生、收集、贮存各环节的管理，委托相关资质对其产生的固体废物进行合理有效的处置，处理率应达到 100%。可以达到减量化、无害化的目的。</w:t>
      </w:r>
    </w:p>
    <w:p>
      <w:pPr>
        <w:pStyle w:val="2"/>
        <w:rPr>
          <w:rFonts w:hint="eastAsia"/>
          <w:lang w:val="en-US" w:eastAsia="zh-CN"/>
        </w:rPr>
      </w:pPr>
      <w:r>
        <w:rPr>
          <w:rFonts w:hint="eastAsia"/>
          <w:lang w:val="en-US" w:eastAsia="zh-CN"/>
        </w:rPr>
        <w:t>（4）建筑垃圾：通过回收用于加固软土地基、分拣提出可再生资源等方式合理处置，再将剩余的建筑垃圾以堆山造景和填埋的方法处理，可有效降低其对周边的环境影响。</w:t>
      </w:r>
    </w:p>
    <w:p>
      <w:pPr>
        <w:pStyle w:val="2"/>
        <w:rPr>
          <w:rFonts w:hint="eastAsia"/>
          <w:lang w:val="en-US" w:eastAsia="zh-CN"/>
        </w:rPr>
      </w:pPr>
      <w:r>
        <w:rPr>
          <w:rFonts w:hint="eastAsia"/>
          <w:lang w:val="en-US" w:eastAsia="zh-CN"/>
        </w:rPr>
        <w:t>综上所述，只要开发区建成完备的垃圾收集系统，生活垃圾得到及时清运，产生的危险废物和一般废物得到妥善处置，则园区内产生的固体废物对园区及周边环境影响不大。</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color w:val="auto"/>
        </w:rPr>
      </w:pPr>
      <w:bookmarkStart w:id="69" w:name="_Toc1513"/>
      <w:bookmarkStart w:id="70" w:name="_Toc30138"/>
      <w:r>
        <w:rPr>
          <w:color w:val="auto"/>
        </w:rPr>
        <w:t>地下水</w:t>
      </w:r>
      <w:r>
        <w:rPr>
          <w:rFonts w:hint="eastAsia" w:ascii="Times New Roman" w:hAnsi="Times New Roman"/>
          <w:color w:val="auto"/>
          <w:lang w:val="en-US" w:eastAsia="zh-CN"/>
        </w:rPr>
        <w:t>环境</w:t>
      </w:r>
      <w:r>
        <w:rPr>
          <w:color w:val="auto"/>
        </w:rPr>
        <w:t>影响预测与评价</w:t>
      </w:r>
      <w:bookmarkEnd w:id="69"/>
      <w:bookmarkEnd w:id="70"/>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bookmarkStart w:id="71" w:name="_Hlk64985957"/>
      <w:r>
        <w:rPr>
          <w:rFonts w:hint="eastAsia"/>
          <w:color w:val="auto"/>
          <w:lang w:val="en-US"/>
        </w:rPr>
        <w:t>（1）污染途径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污染物从污染源进入地下水所经过路径称为地下水污染途径，地下水污染途径是多种多样的。根据规划所处区域的地质情况，可能对地下水造成污染的途径主要有：规划建设的生产厂房、固体废物、物料放置场地等污水和化学物质下渗对地下水造成的污染。</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（2）影响分析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1）对地下水的污染影响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正常情况下，对地下水的污染主要是由于污染物迁移穿过包气带进入含水层造成。规划区域基础土层为粉质粘土层，岩质均匀，厚度大于1m，且分布连续、稳定，包气带防污性能为中级，说明浅层地下水不太容易受到污染。若废水或废液发生渗漏，可降解性污染物在废水入渗过程中，通过包气带对污染物的吸附、截留及降解作用，将使污染物浓度进一步得到净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从当地地质条件可以看出，包气带地层岩性为粘土、亚粘土，对地下水有一定的防护作用，在废水污染物下渗过程中，包气带对污染物具有吸附、降解等作用，但当形成稳定的污染源，经长时间入渗及雨水淋溶作用下，对地下水有可能产生潜在影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由于规划区的开发建设，随着区内地面硬化率的提高，对地下水涵养带来了负面影响。因此，建设一定规模的生态绿地是解决雨水下渗补充地下水资源的有效途径。绿地不仅渗透能力强，而且植物根系能对雨水径流中的悬浮物、杂质等起到一定的净化作用。此外，区内硬化地面、人行道、停车场、广场等可使用透水方砖或植草砖铺设，下面用透水材料铺垫，孔隙间种植草本植物，这样既增加了绿地面积，又增加了雨水下渗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规划区域存在危废处置和有色金属相关的项目规划存在，在非正常情况下可能会对地下水造成一定的影响。非正常工况下，建设项目污酸处理站及硫酸系统，存在跑冒滴漏、管道破损等风险事故下，项目废水可能会污染地下水。一般情况下，污染物很难透过防渗层进入到地下水中，建议在污酸储罐等罐区设置围堰，拦截泄露液体。围堰内排水通过雨污切换阀灵活切换，正常情况下初期雨水排入初期雨水收集池，后期雨水排入雨水系统。建设污酸处理系统事故应急池，污酸处理设施发生故障导致出水不能达标时，将污酸引入事故应急池暂时存放，修理故障设备后，将事故池污酸重新导入处理系统处理。事故应急池建成后既应方便生产事故废水和初期雨水的收集，还应方便污酸处理设备发生故障临时贮存废水，建设时事故池已采取防渗、防腐、防漏措施。在日常生产中应保持事故池留有足够容量和事故废水导流沟的畅通，满足事故废水收集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危废项目在正常状况下，污废水经厂区内自建污水处理站处理达三级标准后，送至园区污水处理站处理。但在危险废物储存、输送和处理过程中，可能存在泄漏风险（含跑、冒、滴、漏），如不采取合理的防治措施，则污染物有可能渗入地下水，影响地下水环境。故设计科学合理的地下水环境污染防治方案，将防渗措施、监测工作和应急响应等工作相结合，对控制项目环境风险，保护地下水环境尤为重要。如若及时处理和处置项目所在区原有焚烧等建筑物拆除所产生的固体废物，避免原有建筑物拆除所产生的固体废物经过雨水冲洗等形式渗入厂区地下水；尽可能避免危险废物运输过程中的跑、冒、滴、漏；场区内输送管道尽可能做到“可视化”。做好地下水风险应急预案以及地下水监测就可以有效的避免地下水的污染。</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除此之外为最大限度杜绝废水下渗对浅层地下水产生影响，本评价要求在建设的过程中，进行如下防范措施：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①废水输送管道管线连接处应优先采用焊接，污水管道采用耐腐蚀性材料，增加管壁厚度；管道敷设过程中，应采取防渗沟和防渗膜进行防渗。地面防渗层混凝土厚度不小于15cm。废水收集、处理各水池均建设配筋防渗水泥池，池底部及四壁做好防渗处理，基础采用三合土夯实，池底及四壁采用防渗混凝土构筑，厚度不小于15cm，并采用环氧树脂进行防腐处理，环氧树脂层厚度不小于3mm，确保防渗层渗透系数小于1×10-7cm/s。</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②车间地面首先用0.3m三合土（黄土、石灰和沙子混合）夯实，三合土上部为30cm厚防渗水泥混凝土硬化，渗透系数小于1.0×10-7cm/s。</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③危险固废储存间、化学原料库、储罐区等设密闭间，在防渗结构上（包括房间的底部及四周壁）均设置隔离层，并与地面隔离层连成整体；先用0.03m三合土（黄土、石灰和沙子混合）夯实，三合土上部为0.2cm厚高密度聚乙烯，再用水泥硬化，然后涂沥青防渗，并对房间内墙贴玻璃纤维布及环氧树脂，渗透系数小于1.0×10-10cm/s。</w:t>
      </w:r>
    </w:p>
    <w:p>
      <w:pPr>
        <w:keepNext w:val="0"/>
        <w:keepLines w:val="0"/>
        <w:widowControl w:val="0"/>
        <w:suppressLineNumbers w:val="0"/>
        <w:spacing w:before="0" w:beforeAutospacing="0" w:after="0" w:afterAutospacing="0" w:line="360" w:lineRule="auto"/>
        <w:ind w:left="0" w:right="0" w:firstLine="480" w:firstLineChars="200"/>
        <w:jc w:val="both"/>
        <w:rPr>
          <w:rFonts w:hint="eastAsia"/>
          <w:color w:val="auto"/>
          <w:lang w:val="en-US"/>
        </w:rPr>
      </w:pPr>
      <w:r>
        <w:rPr>
          <w:rFonts w:hint="eastAsia"/>
          <w:color w:val="auto"/>
          <w:lang w:val="en-US"/>
        </w:rPr>
        <w:t>④生产厂区其它区域（除绿化用地之外）应全部进行硬化处理，实现厂区不见裸露的土壤。</w:t>
      </w:r>
    </w:p>
    <w:p>
      <w:pPr>
        <w:keepNext w:val="0"/>
        <w:keepLines w:val="0"/>
        <w:widowControl w:val="0"/>
        <w:suppressLineNumbers w:val="0"/>
        <w:spacing w:before="0" w:beforeAutospacing="0" w:after="0" w:afterAutospacing="0" w:line="360" w:lineRule="auto"/>
        <w:ind w:left="0" w:right="0" w:firstLine="480" w:firstLineChars="200"/>
        <w:jc w:val="both"/>
        <w:rPr>
          <w:color w:val="auto"/>
          <w:lang w:val="en-US"/>
        </w:rPr>
      </w:pPr>
      <w:r>
        <w:rPr>
          <w:rFonts w:hint="eastAsia"/>
          <w:color w:val="auto"/>
          <w:lang w:val="en-US"/>
        </w:rPr>
        <w:t>在采取以上措施情况下可以很大程度消除污染物排放对地下水环境的影响。</w:t>
      </w:r>
    </w:p>
    <w:bookmarkEnd w:id="71"/>
    <w:p>
      <w:pPr>
        <w:pStyle w:val="4"/>
        <w:keepNext/>
        <w:keepLines/>
        <w:pageBreakBefore w:val="0"/>
        <w:widowControl w:val="0"/>
        <w:kinsoku/>
        <w:wordWrap/>
        <w:overflowPunct/>
        <w:topLinePunct w:val="0"/>
        <w:autoSpaceDE/>
        <w:autoSpaceDN/>
        <w:bidi w:val="0"/>
        <w:adjustRightInd/>
        <w:snapToGrid/>
        <w:spacing w:line="416" w:lineRule="auto"/>
        <w:ind w:left="0"/>
        <w:jc w:val="both"/>
        <w:textAlignment w:val="auto"/>
      </w:pPr>
      <w:bookmarkStart w:id="72" w:name="_Toc108789124"/>
      <w:bookmarkStart w:id="73" w:name="_Toc4950"/>
      <w:bookmarkStart w:id="74" w:name="_Toc16508"/>
      <w:r>
        <w:t>土壤环境影响预测与评价</w:t>
      </w:r>
      <w:bookmarkEnd w:id="72"/>
      <w:bookmarkEnd w:id="73"/>
      <w:bookmarkEnd w:id="74"/>
    </w:p>
    <w:p>
      <w:pPr>
        <w:rPr>
          <w:rFonts w:hint="eastAsia"/>
        </w:rPr>
      </w:pPr>
      <w:r>
        <w:rPr>
          <w:rFonts w:hint="eastAsia"/>
        </w:rPr>
        <w:t>根据产业规划，主要为规划充分发挥阳新现有医药化工产业集群优势，进一步优化产业结构，以精品制药、生物医药、食品添加剂、精细化工、化工新材料。规划产业入驻企业业若有废水的非正常排放会对土壤环境造成一定影响。在排解事故之后，应立即对被污染的土壤或水体进行评价和治理。</w:t>
      </w:r>
    </w:p>
    <w:p>
      <w:pPr>
        <w:rPr>
          <w:rFonts w:hint="eastAsia"/>
        </w:rPr>
      </w:pPr>
      <w:r>
        <w:rPr>
          <w:rFonts w:hint="eastAsia"/>
        </w:rPr>
        <w:t>（1）施工作业区的影响</w:t>
      </w:r>
    </w:p>
    <w:p>
      <w:pPr>
        <w:rPr>
          <w:rFonts w:hint="eastAsia"/>
        </w:rPr>
      </w:pPr>
      <w:r>
        <w:rPr>
          <w:rFonts w:hint="eastAsia"/>
        </w:rPr>
        <w:t>在规划建设过程中，开发区内的土壤均会受到一定程度扰动和破坏。施工过程中，直接影响区域表现为施工活动中施工机械、车辆碾压、施工人员践踏等对土壤的扰动，改变土壤的紧密度，可能造成土壤板结。因此在施工结束后，应及时清理现场，清运各种污物，清除残留的污染物，并恢复原状，做到工完、料净、场地清，减少施工作业带对土壤环境影响。</w:t>
      </w:r>
    </w:p>
    <w:p>
      <w:pPr>
        <w:rPr>
          <w:rFonts w:hint="eastAsia"/>
        </w:rPr>
      </w:pPr>
      <w:r>
        <w:rPr>
          <w:rFonts w:hint="eastAsia"/>
        </w:rPr>
        <w:t>（2）开发区涉及建设项目内供排水管沟开挖回填对土壤的影响</w:t>
      </w:r>
    </w:p>
    <w:p>
      <w:pPr>
        <w:rPr>
          <w:rFonts w:hint="eastAsia"/>
        </w:rPr>
      </w:pPr>
      <w:r>
        <w:rPr>
          <w:rFonts w:hint="eastAsia"/>
        </w:rPr>
        <w:t>开挖管沟造成的土体扰动可使土壤的结构、组成及质地等发生变化，土壤表层的质地一经破坏需要较长时间才能恢复，直接或间接地破坏植被及其生长环境进而影响到植物的恢复生长。管沟回填改变了原有土壤的层次和质地，增加了土壤的紧实度。</w:t>
      </w:r>
    </w:p>
    <w:p>
      <w:pPr>
        <w:rPr>
          <w:rFonts w:hint="eastAsia"/>
        </w:rPr>
      </w:pPr>
      <w:r>
        <w:rPr>
          <w:rFonts w:hint="eastAsia"/>
        </w:rPr>
        <w:t>（3）运营期废水对土壤环境的影响分析</w:t>
      </w:r>
    </w:p>
    <w:p>
      <w:pPr>
        <w:rPr>
          <w:rFonts w:hint="eastAsia"/>
        </w:rPr>
      </w:pPr>
      <w:r>
        <w:rPr>
          <w:rFonts w:hint="eastAsia"/>
        </w:rPr>
        <w:t>本次规划涉及的医药化工企业等产生的废水种类多，成分复杂。园区企业对工业废水预处理达到污水处理厂接管标准后进行达标处理，同时加强事故状态下的风险防控，保证事故废水得到妥善处理，在采取各项措施后不会对土壤环境造成不利影响。</w:t>
      </w:r>
    </w:p>
    <w:p>
      <w:pPr>
        <w:rPr>
          <w:rFonts w:hint="eastAsia"/>
        </w:rPr>
      </w:pPr>
      <w:r>
        <w:rPr>
          <w:rFonts w:hint="eastAsia"/>
        </w:rPr>
        <w:t>（4）废气对土壤环境的影响分析</w:t>
      </w:r>
    </w:p>
    <w:p>
      <w:pPr>
        <w:rPr>
          <w:rFonts w:hint="eastAsia"/>
        </w:rPr>
      </w:pPr>
      <w:r>
        <w:rPr>
          <w:rFonts w:hint="eastAsia"/>
        </w:rPr>
        <w:t>规划涉及到的工业及生活废气中的污染物能够通过大气降水、扩散和重力作用降至地面，并渗透进入土壤，进而污染土壤环境。根据规划区及周边土壤现状监测结果统计可知，项目区内土壤环境背景值均低于标准限值，环境容量相对较大，在做好大气污染防治措施并保证达标排的前提下，生产及生活废气对项目区及周边土壤环境的影响有限。</w:t>
      </w:r>
    </w:p>
    <w:p>
      <w:pPr>
        <w:rPr>
          <w:rFonts w:hint="eastAsia"/>
        </w:rPr>
      </w:pPr>
      <w:r>
        <w:rPr>
          <w:rFonts w:hint="eastAsia"/>
        </w:rPr>
        <w:t>综上，开发区建成地块的工业企业在正常情况下对土壤环境基本无影响。只有当区内企业所使用的有毒有害原辅材料发生泄漏的情况下对泄漏点附近的土壤造成一定的影响，但是一般对周边的表层土壤影响很小。危废暂存设施利用防渗结构阻止渗滤液中的污染物向周边土壤环境中迁移，正常情况下对周边土壤影响较小。</w:t>
      </w:r>
    </w:p>
    <w:p>
      <w:r>
        <w:rPr>
          <w:rFonts w:hint="eastAsia"/>
        </w:rPr>
        <w:t>根据土壤环境质量现状监测结果，监测期间所有监测点位各项指标监测值均低于《土壤环境质量 建设用地土壤污染风险管控标准（试行）》（GB36600-2018）中第二类用地的筛选值或《土壤环境质量 农用地土壤污染风险管控标准（试行）》（GB15618-2018）风险筛选值，区域土壤质量基本上对植物和环境不会造成危害和污染。开发区对固体废物临时堆放场所和运输途径严格管理，并做好区内总体的绿化工作。因此，开发区建设对土壤环境影响较小。</w:t>
      </w:r>
    </w:p>
    <w:p>
      <w:pPr>
        <w:pStyle w:val="4"/>
        <w:keepNext/>
        <w:keepLines/>
        <w:pageBreakBefore w:val="0"/>
        <w:widowControl w:val="0"/>
        <w:kinsoku/>
        <w:wordWrap/>
        <w:overflowPunct/>
        <w:topLinePunct w:val="0"/>
        <w:autoSpaceDE/>
        <w:autoSpaceDN/>
        <w:bidi w:val="0"/>
        <w:adjustRightInd/>
        <w:snapToGrid/>
        <w:spacing w:line="416" w:lineRule="auto"/>
        <w:ind w:left="0"/>
        <w:jc w:val="both"/>
        <w:textAlignment w:val="auto"/>
        <w:rPr>
          <w:color w:val="auto"/>
        </w:rPr>
      </w:pPr>
      <w:bookmarkStart w:id="75" w:name="_Toc11942"/>
      <w:r>
        <w:rPr>
          <w:rFonts w:hint="eastAsia"/>
          <w:color w:val="auto"/>
        </w:rPr>
        <w:t>生态环境影响评价</w:t>
      </w:r>
      <w:bookmarkEnd w:id="75"/>
    </w:p>
    <w:p>
      <w:pPr>
        <w:rPr>
          <w:rFonts w:hint="default" w:ascii="Times New Roman" w:hAnsi="Times New Roman" w:cs="Times New Roman"/>
          <w:color w:val="auto"/>
          <w:lang w:val="en-US" w:eastAsia="zh-CN"/>
        </w:rPr>
      </w:pPr>
      <w:r>
        <w:rPr>
          <w:rFonts w:hint="eastAsia"/>
        </w:rPr>
        <w:t>工业园区的建设造成植被的彻底改观，原有的农业生态系统被人工生态系统所代替，对当地的生态环境将产生重大影响：物种结构由自然生态系统结构变为人工生态系统，物种的数量减少，物种的结构变得单一简单，系统的抵抗能力和自我恢复能力减弱；部分原生的物种可能会随之减少，区域以现代化工业园区建设为主。</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br w:type="page"/>
      </w:r>
      <w:bookmarkStart w:id="76" w:name="_Toc8270"/>
      <w:bookmarkStart w:id="77" w:name="_Toc3512"/>
    </w:p>
    <w:p>
      <w:pPr>
        <w:pStyle w:val="3"/>
        <w:bidi w:val="0"/>
        <w:rPr>
          <w:rFonts w:hint="default" w:ascii="Times New Roman" w:hAnsi="Times New Roman" w:cs="Times New Roman"/>
          <w:color w:val="auto"/>
        </w:rPr>
      </w:pPr>
      <w:r>
        <w:rPr>
          <w:rStyle w:val="43"/>
          <w:b/>
          <w:color w:val="auto"/>
        </w:rPr>
        <w:t>规划优化调整建议</w:t>
      </w:r>
      <w:bookmarkEnd w:id="76"/>
      <w:bookmarkEnd w:id="77"/>
    </w:p>
    <w:p>
      <w:pPr>
        <w:pStyle w:val="4"/>
        <w:keepNext/>
        <w:keepLines/>
        <w:pageBreakBefore w:val="0"/>
        <w:widowControl w:val="0"/>
        <w:kinsoku/>
        <w:wordWrap/>
        <w:overflowPunct/>
        <w:topLinePunct w:val="0"/>
        <w:autoSpaceDE/>
        <w:autoSpaceDN/>
        <w:bidi w:val="0"/>
        <w:adjustRightInd/>
        <w:snapToGrid/>
        <w:spacing w:before="240" w:after="240" w:line="360" w:lineRule="auto"/>
        <w:ind w:left="0"/>
        <w:jc w:val="both"/>
        <w:textAlignment w:val="auto"/>
        <w:rPr>
          <w:rFonts w:hint="default"/>
          <w:lang w:val="en-US" w:eastAsia="zh-CN"/>
        </w:rPr>
      </w:pPr>
      <w:bookmarkStart w:id="78" w:name="_Toc29996"/>
      <w:r>
        <w:rPr>
          <w:rFonts w:hint="eastAsia"/>
          <w:lang w:val="en-US" w:eastAsia="zh-CN"/>
        </w:rPr>
        <w:t>规划产业调整建议</w:t>
      </w:r>
      <w:bookmarkEnd w:id="78"/>
    </w:p>
    <w:p>
      <w:pPr>
        <w:rPr>
          <w:rFonts w:hint="default"/>
          <w:color w:val="auto"/>
          <w:lang w:val="en-US" w:eastAsia="zh-CN"/>
        </w:rPr>
      </w:pPr>
      <w:r>
        <w:rPr>
          <w:rFonts w:hint="default"/>
          <w:color w:val="auto"/>
          <w:lang w:val="en-US" w:eastAsia="zh-CN"/>
        </w:rPr>
        <w:t>根据《黄石市“三线一单”生态环境分区管控实施方案》，本次评价建议化工园区后续实施过程中应严格执行沿江一公里范围内禁止新建、扩建化工项目的要求，现有化工企业不得实施除“安全、环保、节能、信息化智能化、提升产品品质技术改造”以外的项目。</w:t>
      </w:r>
    </w:p>
    <w:p>
      <w:pPr>
        <w:rPr>
          <w:rFonts w:hint="default"/>
          <w:color w:val="auto"/>
          <w:lang w:val="en-US" w:eastAsia="zh-CN"/>
        </w:rPr>
      </w:pPr>
      <w:r>
        <w:rPr>
          <w:rFonts w:hint="default"/>
          <w:color w:val="auto"/>
          <w:lang w:val="en-US" w:eastAsia="zh-CN"/>
        </w:rPr>
        <w:t>后续发展产业，园区后续新建项目应围绕医药化工、精细化工、食品添加剂、化工新材料等现有主要产业及规划主导产业的上下游产业链中生产过程不涉及化工工艺或化学反应的产业项目以及生物医药项目进行发展，且不得发展“劳动密集型产业”。</w:t>
      </w:r>
    </w:p>
    <w:p>
      <w:pPr>
        <w:pStyle w:val="4"/>
        <w:keepNext/>
        <w:keepLines/>
        <w:pageBreakBefore w:val="0"/>
        <w:widowControl w:val="0"/>
        <w:kinsoku/>
        <w:wordWrap/>
        <w:overflowPunct/>
        <w:topLinePunct w:val="0"/>
        <w:autoSpaceDE/>
        <w:autoSpaceDN/>
        <w:bidi w:val="0"/>
        <w:adjustRightInd/>
        <w:snapToGrid/>
        <w:spacing w:before="240" w:after="240" w:line="360" w:lineRule="auto"/>
        <w:ind w:left="0"/>
        <w:jc w:val="both"/>
        <w:textAlignment w:val="auto"/>
        <w:rPr>
          <w:rFonts w:hint="default"/>
          <w:lang w:val="en-US" w:eastAsia="zh-CN"/>
        </w:rPr>
      </w:pPr>
      <w:bookmarkStart w:id="79" w:name="_Toc10691"/>
      <w:r>
        <w:rPr>
          <w:rFonts w:hint="default"/>
          <w:lang w:val="en-US" w:eastAsia="zh-CN"/>
        </w:rPr>
        <w:t>规划总体布局调整建议</w:t>
      </w:r>
      <w:bookmarkEnd w:id="79"/>
    </w:p>
    <w:p>
      <w:pPr>
        <w:rPr>
          <w:rFonts w:hint="default"/>
          <w:color w:val="auto"/>
          <w:lang w:val="en-US" w:eastAsia="zh-CN"/>
        </w:rPr>
      </w:pPr>
      <w:r>
        <w:rPr>
          <w:rFonts w:hint="default"/>
          <w:color w:val="auto"/>
          <w:lang w:val="en-US" w:eastAsia="zh-CN"/>
        </w:rPr>
        <w:t>本轮规划在工业用地与居住用地间设置了道路或一定范围的绿化隔离带，但园区与富池镇石畈村、金堡村居民点紧邻，局部区域设置绿化隔离带距离不足。建议按照区域拟引进及现有企业类型，明确工业区域与周边环境敏感点之间绿化隔离带设置距离要求，依据《化工园区安全风险排查治理导则（试行）》、《危险化学品企业安全风险隐患排查治理导则》等文件要求，本次评价建议该距离不少于200米；在区域进行具体建设时，明确引进项目大气防护距离或卫生防护距离，确保防护距离内不涉及相关环境敏感点；或在与居住区邻近的工业用地上不设置生产设施，转而设置研发、配套企业服务等功能。</w:t>
      </w:r>
    </w:p>
    <w:p>
      <w:pPr>
        <w:rPr>
          <w:rFonts w:hint="eastAsia"/>
          <w:color w:val="auto"/>
          <w:lang w:val="en-US" w:eastAsia="zh-CN"/>
        </w:rPr>
      </w:pPr>
      <w:r>
        <w:rPr>
          <w:rFonts w:hint="default"/>
          <w:color w:val="auto"/>
          <w:lang w:val="en-US" w:eastAsia="zh-CN"/>
        </w:rPr>
        <w:t>现状开发区内已入驻企业，需明确企业是否涉及大气防护距离或卫生防护距离，若企业大气防护距离或卫生防护距离内尚存集中居民点，应确保防护距离范围内居民点规模不得进一步扩大，并随规划逐步实施，考虑将防护距离范围内居民点逐步迁出至规划居住组团内。</w:t>
      </w:r>
    </w:p>
    <w:p>
      <w:pPr>
        <w:pStyle w:val="4"/>
        <w:keepNext/>
        <w:keepLines/>
        <w:pageBreakBefore w:val="0"/>
        <w:widowControl w:val="0"/>
        <w:kinsoku/>
        <w:wordWrap/>
        <w:overflowPunct/>
        <w:topLinePunct w:val="0"/>
        <w:autoSpaceDE/>
        <w:autoSpaceDN/>
        <w:bidi w:val="0"/>
        <w:adjustRightInd/>
        <w:snapToGrid/>
        <w:spacing w:before="240" w:after="240" w:line="360" w:lineRule="auto"/>
        <w:ind w:left="0"/>
        <w:jc w:val="both"/>
        <w:textAlignment w:val="auto"/>
        <w:rPr>
          <w:rFonts w:hint="default"/>
          <w:lang w:val="en-US" w:eastAsia="zh-CN"/>
        </w:rPr>
      </w:pPr>
      <w:bookmarkStart w:id="80" w:name="_Toc8276"/>
      <w:bookmarkStart w:id="81" w:name="_Toc10885"/>
      <w:r>
        <w:rPr>
          <w:rFonts w:hint="eastAsia"/>
          <w:lang w:val="en-US" w:eastAsia="zh-CN"/>
        </w:rPr>
        <w:t>规划总体布局调整建议</w:t>
      </w:r>
      <w:bookmarkEnd w:id="80"/>
      <w:bookmarkEnd w:id="81"/>
    </w:p>
    <w:p>
      <w:pPr>
        <w:pStyle w:val="25"/>
        <w:bidi w:val="0"/>
        <w:rPr>
          <w:rFonts w:hint="eastAsia"/>
        </w:rPr>
      </w:pPr>
      <w:r>
        <w:rPr>
          <w:rFonts w:hint="eastAsia"/>
        </w:rPr>
        <w:t>本轮规划在工业用地与居住用地间设置了道路或一定范围的绿化隔离带，但</w:t>
      </w:r>
      <w:r>
        <w:rPr>
          <w:rFonts w:hint="eastAsia"/>
          <w:lang w:val="en-US" w:eastAsia="zh-CN"/>
        </w:rPr>
        <w:t>园区与富池镇石畈村、金堡村居民点紧邻，局部</w:t>
      </w:r>
      <w:r>
        <w:rPr>
          <w:rFonts w:hint="eastAsia"/>
        </w:rPr>
        <w:t>区域设置绿化隔离带距离不足。建议按照区域拟引进及现有企业类型，明确工业区域与周边环境敏感点之间绿化隔离带设置距离要求，依据《化工园区安全风险排查治理导则（试行）》、《危险化学品企业安全风险隐患排查治理导则》等文件要求，本次评价建议该距离不少于2</w:t>
      </w:r>
      <w:r>
        <w:t>00</w:t>
      </w:r>
      <w:r>
        <w:rPr>
          <w:rFonts w:hint="eastAsia"/>
        </w:rPr>
        <w:t>米；在区域进行具体建设时，明确引进项目大气防护距离或卫生防护距离，确保防护距离内不涉及相关环境敏感点；或在与居住区邻近的工业用地上不设置生产设施，转而设置研发、配套企业服务等功能。</w:t>
      </w:r>
    </w:p>
    <w:p>
      <w:pPr>
        <w:pStyle w:val="25"/>
        <w:bidi w:val="0"/>
        <w:rPr>
          <w:rFonts w:hint="eastAsia"/>
        </w:rPr>
      </w:pPr>
      <w:r>
        <w:rPr>
          <w:rFonts w:hint="eastAsia"/>
        </w:rPr>
        <w:t>现状开发区内已入驻企业，需明确企业是否涉及大气防护距离或卫生防护距离，若企业大气防护距离或卫生防护距离内尚存集中居民点，应确保防护距离范围内居民点规模不得进一步扩大，并随规划逐步实施，考虑将防护距离范围内居民点逐步迁出至规划居住组团内。</w:t>
      </w:r>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ascii="Times New Roman" w:hAnsi="Times New Roman"/>
          <w:color w:val="auto"/>
          <w:lang w:val="en-US" w:eastAsia="zh-CN"/>
        </w:rPr>
      </w:pPr>
      <w:bookmarkStart w:id="82" w:name="_Toc11874"/>
      <w:bookmarkStart w:id="83" w:name="_Toc16403"/>
      <w:r>
        <w:rPr>
          <w:rFonts w:hint="eastAsia" w:ascii="Times New Roman" w:hAnsi="Times New Roman"/>
          <w:color w:val="auto"/>
          <w:lang w:val="en-US" w:eastAsia="zh-CN"/>
        </w:rPr>
        <w:t>基础设施规划调整建议</w:t>
      </w:r>
      <w:bookmarkEnd w:id="82"/>
      <w:bookmarkEnd w:id="83"/>
    </w:p>
    <w:p>
      <w:pPr>
        <w:pStyle w:val="14"/>
        <w:keepNext w:val="0"/>
        <w:keepLines w:val="0"/>
        <w:widowControl/>
        <w:suppressLineNumbers w:val="0"/>
        <w:spacing w:before="0" w:beforeAutospacing="0" w:after="0" w:afterAutospacing="0"/>
        <w:ind w:left="0" w:right="0" w:firstLine="0"/>
        <w:rPr>
          <w:rFonts w:hint="eastAsia"/>
          <w:lang w:val="en-US" w:eastAsia="zh-CN"/>
        </w:rPr>
      </w:pPr>
      <w:r>
        <w:rPr>
          <w:rFonts w:hint="eastAsia"/>
          <w:lang w:val="en-US" w:eastAsia="zh-CN"/>
        </w:rPr>
        <w:t>（1）根据本评价预测，富池镇污水处理厂已建规模不能支撑园区近期发展需求，建议规划近期尽快启动富池镇污水处理厂二期建设工程，保障园区生产废水集中处理率能达到100%。</w:t>
      </w:r>
    </w:p>
    <w:p>
      <w:pPr>
        <w:pStyle w:val="14"/>
        <w:keepNext w:val="0"/>
        <w:keepLines w:val="0"/>
        <w:widowControl/>
        <w:suppressLineNumbers w:val="0"/>
        <w:spacing w:before="0" w:beforeAutospacing="0" w:after="0" w:afterAutospacing="0"/>
        <w:ind w:left="0" w:right="0" w:firstLine="0"/>
        <w:rPr>
          <w:rFonts w:hint="default"/>
          <w:lang w:val="en-US" w:eastAsia="zh-CN"/>
        </w:rPr>
      </w:pPr>
      <w:r>
        <w:rPr>
          <w:rFonts w:hint="eastAsia"/>
          <w:lang w:val="en-US" w:eastAsia="zh-CN"/>
        </w:rPr>
        <w:t>（2）由于园区现有产业及规划产业特点，危险废物产生企业较多且危险废物种类复杂，建议规划远期适时</w:t>
      </w:r>
      <w:r>
        <w:t>建设配套的危险废物集中</w:t>
      </w:r>
      <w:r>
        <w:rPr>
          <w:rFonts w:hint="eastAsia"/>
          <w:lang w:val="en-US" w:eastAsia="zh-CN"/>
        </w:rPr>
        <w:t>暂存、转运</w:t>
      </w:r>
      <w:r>
        <w:t>设施，并实行专业化运营管理，充分利用信息化等手段对危险废物种类、产生量、流向、贮存、处置、转移等全链条的风险实施监督和管理。</w:t>
      </w:r>
    </w:p>
    <w:p>
      <w:pPr>
        <w:pStyle w:val="4"/>
        <w:keepNext/>
        <w:keepLines/>
        <w:pageBreakBefore w:val="0"/>
        <w:widowControl w:val="0"/>
        <w:kinsoku/>
        <w:wordWrap/>
        <w:overflowPunct/>
        <w:topLinePunct w:val="0"/>
        <w:autoSpaceDE/>
        <w:autoSpaceDN/>
        <w:bidi w:val="0"/>
        <w:adjustRightInd/>
        <w:snapToGrid/>
        <w:spacing w:line="360" w:lineRule="auto"/>
        <w:ind w:left="0" w:leftChars="0" w:firstLineChars="0"/>
        <w:jc w:val="both"/>
        <w:textAlignment w:val="auto"/>
        <w:rPr>
          <w:rFonts w:hint="default" w:ascii="Times New Roman" w:hAnsi="Times New Roman"/>
          <w:color w:val="auto"/>
          <w:lang w:val="en-US" w:eastAsia="zh-CN"/>
        </w:rPr>
      </w:pPr>
      <w:bookmarkStart w:id="84" w:name="_Toc4172"/>
      <w:bookmarkStart w:id="85" w:name="_Toc21814"/>
      <w:r>
        <w:rPr>
          <w:rFonts w:hint="eastAsia" w:ascii="Times New Roman" w:hAnsi="Times New Roman"/>
          <w:color w:val="auto"/>
          <w:lang w:val="en-US" w:eastAsia="zh-CN"/>
        </w:rPr>
        <w:t>补充规划内容调整建议</w:t>
      </w:r>
      <w:bookmarkEnd w:id="84"/>
      <w:bookmarkEnd w:id="85"/>
    </w:p>
    <w:p>
      <w:pPr>
        <w:pStyle w:val="25"/>
        <w:bidi w:val="0"/>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t>为了保护居民生活环境，建议规划补充</w:t>
      </w:r>
      <w:r>
        <w:rPr>
          <w:rFonts w:hint="eastAsia"/>
          <w:lang w:val="en-US" w:eastAsia="zh-CN"/>
        </w:rPr>
        <w:t>必要的</w:t>
      </w:r>
      <w:r>
        <w:rPr>
          <w:rFonts w:hint="eastAsia"/>
        </w:rPr>
        <w:t>拆迁安置专项规划相关内容，拆迁工作过程中成立专门的拆迁工作指挥部，与各部门协调，明确任务，落实责任做好拆迁工作，妥善解决失地农民的安置和再就业工作。组织并加强对动拆迁居民的就业指导和职业培训，以帮助他们尽早落实工作岗位，促进社会安定团结，推动开发区建设的进程。</w:t>
      </w:r>
    </w:p>
    <w:p>
      <w:pPr>
        <w:pStyle w:val="3"/>
        <w:bidi w:val="0"/>
        <w:rPr>
          <w:rFonts w:hint="default"/>
          <w:lang w:val="en-US" w:eastAsia="zh-CN"/>
        </w:rPr>
      </w:pPr>
      <w:bookmarkStart w:id="86" w:name="_Toc31982"/>
      <w:bookmarkStart w:id="87" w:name="_Toc31898"/>
      <w:r>
        <w:rPr>
          <w:rFonts w:hint="default"/>
          <w:lang w:val="en-US" w:eastAsia="zh-CN"/>
        </w:rPr>
        <w:t>生态</w:t>
      </w:r>
      <w:r>
        <w:rPr>
          <w:rFonts w:hint="default"/>
        </w:rPr>
        <w:t>环境准入</w:t>
      </w:r>
      <w:r>
        <w:rPr>
          <w:rFonts w:hint="default"/>
          <w:lang w:val="en-US" w:eastAsia="zh-CN"/>
        </w:rPr>
        <w:t>要求</w:t>
      </w:r>
      <w:bookmarkEnd w:id="86"/>
      <w:bookmarkEnd w:id="87"/>
    </w:p>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rPr>
      </w:pPr>
      <w:bookmarkStart w:id="88" w:name="_Toc17970"/>
      <w:bookmarkStart w:id="89" w:name="_Toc8979"/>
      <w:r>
        <w:rPr>
          <w:rFonts w:hint="default"/>
          <w:color w:val="auto"/>
        </w:rPr>
        <w:t>空间布局约束</w:t>
      </w:r>
      <w:bookmarkEnd w:id="88"/>
      <w:bookmarkEnd w:id="89"/>
    </w:p>
    <w:p>
      <w:pPr>
        <w:pStyle w:val="5"/>
        <w:bidi w:val="0"/>
        <w:rPr>
          <w:rFonts w:hint="default"/>
          <w:color w:val="auto"/>
        </w:rPr>
      </w:pPr>
      <w:bookmarkStart w:id="90" w:name="_Toc108789158"/>
      <w:bookmarkStart w:id="91" w:name="_Toc5811"/>
      <w:r>
        <w:rPr>
          <w:rFonts w:hint="default"/>
          <w:color w:val="auto"/>
        </w:rPr>
        <w:t>生态空间管制要求</w:t>
      </w:r>
      <w:bookmarkEnd w:id="90"/>
      <w:bookmarkEnd w:id="91"/>
    </w:p>
    <w:p>
      <w:pPr>
        <w:ind w:firstLine="480"/>
        <w:rPr>
          <w:rFonts w:hint="default" w:ascii="Times New Roman" w:hAnsi="Times New Roman" w:cs="Times New Roman"/>
          <w:color w:val="auto"/>
        </w:rPr>
      </w:pPr>
      <w:r>
        <w:rPr>
          <w:rFonts w:hint="default" w:ascii="Times New Roman" w:hAnsi="Times New Roman" w:cs="Times New Roman"/>
          <w:color w:val="auto"/>
        </w:rPr>
        <w:t>根据《省人民政府关于发布湖北省生态保护红线的通知》（鄂政发﹝2018﹞30号）及《湖北省生态保护红线》，结合《黄石市“三线一单”生态环境分区管控实施方案》、《黄石市城市总体规划（2001-2020）》用地管制等，完善园区生态环境分区管控。</w:t>
      </w:r>
    </w:p>
    <w:p>
      <w:pPr>
        <w:ind w:firstLine="480"/>
        <w:rPr>
          <w:rFonts w:hint="default" w:ascii="Times New Roman" w:hAnsi="Times New Roman" w:cs="Times New Roman"/>
          <w:color w:val="auto"/>
        </w:rPr>
      </w:pPr>
      <w:r>
        <w:rPr>
          <w:rFonts w:hint="default" w:ascii="Times New Roman" w:hAnsi="Times New Roman" w:cs="Times New Roman"/>
          <w:color w:val="auto"/>
        </w:rPr>
        <w:t>在生态优先的原则下，统筹生产生活用地的布局，形成清晰的用地功能结构，针对园区自然环境现状及高标准建设定位，划分适建区、限建区和禁建区。</w:t>
      </w:r>
    </w:p>
    <w:p>
      <w:pPr>
        <w:ind w:firstLine="480"/>
        <w:rPr>
          <w:rFonts w:hint="default" w:ascii="Times New Roman" w:hAnsi="Times New Roman" w:cs="Times New Roman"/>
          <w:color w:val="auto"/>
        </w:rPr>
      </w:pPr>
      <w:r>
        <w:rPr>
          <w:rFonts w:hint="default" w:ascii="Times New Roman" w:hAnsi="Times New Roman" w:cs="Times New Roman"/>
          <w:color w:val="auto"/>
        </w:rPr>
        <w:t>禁建区：区内无自然保护区、风景名胜区、森林公园、永久基本农田等法定生态红线区。</w:t>
      </w:r>
    </w:p>
    <w:p>
      <w:pPr>
        <w:ind w:firstLine="480"/>
        <w:rPr>
          <w:rFonts w:hint="default" w:ascii="Times New Roman" w:hAnsi="Times New Roman" w:cs="Times New Roman"/>
          <w:color w:val="auto"/>
        </w:rPr>
      </w:pPr>
      <w:r>
        <w:rPr>
          <w:rFonts w:hint="default" w:ascii="Times New Roman" w:hAnsi="Times New Roman" w:cs="Times New Roman"/>
          <w:color w:val="auto"/>
        </w:rPr>
        <w:t>限建区：规划的道路防护绿地、铁路防护绿地、绿化隔离带等。</w:t>
      </w:r>
    </w:p>
    <w:p>
      <w:pPr>
        <w:ind w:firstLine="482"/>
        <w:rPr>
          <w:rFonts w:hint="default" w:ascii="Times New Roman" w:hAnsi="Times New Roman" w:cs="Times New Roman"/>
          <w:color w:val="auto"/>
        </w:rPr>
      </w:pPr>
      <w:r>
        <w:rPr>
          <w:rFonts w:hint="default" w:ascii="Times New Roman" w:hAnsi="Times New Roman" w:cs="Times New Roman"/>
          <w:color w:val="auto"/>
        </w:rPr>
        <w:t>适建区：当生产、生活空间与生态空间发生冲突时，按照“优先保障生态空间，合理安排生活空间，集约利用生产空间”的原则，对规划空间布局进行优化调整，以保障生态空间性质不转换、面积不减少、功能不降低。</w:t>
      </w:r>
    </w:p>
    <w:p>
      <w:pPr>
        <w:pStyle w:val="37"/>
        <w:rPr>
          <w:rFonts w:hint="default" w:ascii="Times New Roman" w:hAnsi="Times New Roman" w:cs="Times New Roman"/>
          <w:color w:val="auto"/>
        </w:rPr>
      </w:pPr>
      <w:r>
        <w:rPr>
          <w:rFonts w:hint="default" w:ascii="Times New Roman" w:hAnsi="Times New Roman" w:cs="Times New Roman"/>
          <w:color w:val="auto"/>
        </w:rPr>
        <w:t>表</w:t>
      </w:r>
      <w:r>
        <w:rPr>
          <w:rFonts w:hint="default" w:ascii="Times New Roman" w:hAnsi="Times New Roman" w:cs="Times New Roman"/>
          <w:color w:val="auto"/>
          <w:lang w:val="en-US" w:eastAsia="zh-CN"/>
        </w:rPr>
        <w:t>7.1</w:t>
      </w:r>
      <w:r>
        <w:rPr>
          <w:rFonts w:hint="eastAsia" w:cs="Times New Roman"/>
          <w:color w:val="auto"/>
          <w:lang w:val="en-US" w:eastAsia="zh-CN"/>
        </w:rPr>
        <w:t>.1</w:t>
      </w:r>
      <w:r>
        <w:rPr>
          <w:rFonts w:hint="default" w:ascii="Times New Roman" w:hAnsi="Times New Roman" w:cs="Times New Roman"/>
          <w:color w:val="auto"/>
        </w:rPr>
        <w:t>-1</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园区生态空间管制清单</w:t>
      </w:r>
    </w:p>
    <w:tbl>
      <w:tblPr>
        <w:tblStyle w:val="16"/>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59"/>
        <w:gridCol w:w="819"/>
        <w:gridCol w:w="1172"/>
        <w:gridCol w:w="1350"/>
        <w:gridCol w:w="3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76" w:type="pct"/>
            <w:noWrap w:val="0"/>
            <w:vAlign w:val="center"/>
          </w:tcPr>
          <w:p>
            <w:pPr>
              <w:pStyle w:val="28"/>
              <w:bidi w:val="0"/>
            </w:pPr>
            <w:r>
              <w:t>类别</w:t>
            </w:r>
          </w:p>
        </w:tc>
        <w:tc>
          <w:tcPr>
            <w:tcW w:w="680" w:type="pct"/>
            <w:noWrap w:val="0"/>
            <w:vAlign w:val="center"/>
          </w:tcPr>
          <w:p>
            <w:pPr>
              <w:pStyle w:val="28"/>
              <w:bidi w:val="0"/>
            </w:pPr>
            <w:r>
              <w:t>所含空间单元</w:t>
            </w:r>
          </w:p>
        </w:tc>
        <w:tc>
          <w:tcPr>
            <w:tcW w:w="480" w:type="pct"/>
            <w:noWrap w:val="0"/>
            <w:vAlign w:val="center"/>
          </w:tcPr>
          <w:p>
            <w:pPr>
              <w:pStyle w:val="28"/>
              <w:bidi w:val="0"/>
            </w:pPr>
            <w:r>
              <w:t>面积</w:t>
            </w:r>
          </w:p>
          <w:p>
            <w:pPr>
              <w:pStyle w:val="28"/>
              <w:bidi w:val="0"/>
              <w:rPr>
                <w:rFonts w:hint="eastAsia"/>
                <w:lang w:eastAsia="zh-CN"/>
              </w:rPr>
            </w:pPr>
            <w:r>
              <w:t>（h</w:t>
            </w:r>
            <w:r>
              <w:rPr>
                <w:rFonts w:hint="eastAsia"/>
                <w:lang w:val="en-US" w:eastAsia="zh-CN"/>
              </w:rPr>
              <w:t>a</w:t>
            </w:r>
            <w:r>
              <w:rPr>
                <w:rFonts w:hint="eastAsia"/>
                <w:lang w:eastAsia="zh-CN"/>
              </w:rPr>
              <w:t>）</w:t>
            </w:r>
          </w:p>
        </w:tc>
        <w:tc>
          <w:tcPr>
            <w:tcW w:w="687" w:type="pct"/>
            <w:noWrap w:val="0"/>
            <w:vAlign w:val="center"/>
          </w:tcPr>
          <w:p>
            <w:pPr>
              <w:pStyle w:val="28"/>
              <w:bidi w:val="0"/>
            </w:pPr>
            <w:r>
              <w:t>现状/规划用地类型</w:t>
            </w:r>
          </w:p>
        </w:tc>
        <w:tc>
          <w:tcPr>
            <w:tcW w:w="792" w:type="pct"/>
            <w:noWrap w:val="0"/>
            <w:vAlign w:val="center"/>
          </w:tcPr>
          <w:p>
            <w:pPr>
              <w:pStyle w:val="28"/>
              <w:bidi w:val="0"/>
            </w:pPr>
            <w:r>
              <w:t>四至范围</w:t>
            </w:r>
          </w:p>
        </w:tc>
        <w:tc>
          <w:tcPr>
            <w:tcW w:w="1881" w:type="pct"/>
            <w:noWrap w:val="0"/>
            <w:vAlign w:val="center"/>
          </w:tcPr>
          <w:p>
            <w:pPr>
              <w:pStyle w:val="28"/>
              <w:bidi w:val="0"/>
            </w:pPr>
            <w:r>
              <w:t>管控要求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6" w:type="pct"/>
            <w:noWrap w:val="0"/>
            <w:vAlign w:val="center"/>
          </w:tcPr>
          <w:p>
            <w:pPr>
              <w:pStyle w:val="28"/>
              <w:bidi w:val="0"/>
            </w:pPr>
            <w:r>
              <w:t>禁建区</w:t>
            </w:r>
          </w:p>
        </w:tc>
        <w:tc>
          <w:tcPr>
            <w:tcW w:w="680" w:type="pct"/>
            <w:noWrap w:val="0"/>
            <w:vAlign w:val="center"/>
          </w:tcPr>
          <w:p>
            <w:pPr>
              <w:pStyle w:val="28"/>
              <w:bidi w:val="0"/>
            </w:pPr>
            <w:r>
              <w:t>规划区内水域</w:t>
            </w:r>
          </w:p>
        </w:tc>
        <w:tc>
          <w:tcPr>
            <w:tcW w:w="480" w:type="pct"/>
            <w:noWrap w:val="0"/>
            <w:vAlign w:val="center"/>
          </w:tcPr>
          <w:p>
            <w:pPr>
              <w:pStyle w:val="28"/>
              <w:bidi w:val="0"/>
              <w:rPr>
                <w:rFonts w:hint="default"/>
                <w:lang w:val="en-US" w:eastAsia="zh-CN"/>
              </w:rPr>
            </w:pPr>
            <w:r>
              <w:rPr>
                <w:rFonts w:hint="eastAsia"/>
                <w:lang w:val="en-US" w:eastAsia="zh-CN"/>
              </w:rPr>
              <w:t>7.2</w:t>
            </w:r>
          </w:p>
        </w:tc>
        <w:tc>
          <w:tcPr>
            <w:tcW w:w="687" w:type="pct"/>
            <w:noWrap w:val="0"/>
            <w:vAlign w:val="center"/>
          </w:tcPr>
          <w:p>
            <w:pPr>
              <w:pStyle w:val="28"/>
              <w:bidi w:val="0"/>
              <w:rPr>
                <w:rFonts w:hint="default"/>
                <w:lang w:val="en-US" w:eastAsia="zh-CN"/>
              </w:rPr>
            </w:pPr>
            <w:r>
              <w:rPr>
                <w:rFonts w:hint="eastAsia"/>
                <w:lang w:val="en-US" w:eastAsia="zh-CN"/>
              </w:rPr>
              <w:t>湖泊</w:t>
            </w:r>
          </w:p>
        </w:tc>
        <w:tc>
          <w:tcPr>
            <w:tcW w:w="792" w:type="pct"/>
            <w:noWrap w:val="0"/>
            <w:vAlign w:val="center"/>
          </w:tcPr>
          <w:p>
            <w:pPr>
              <w:pStyle w:val="28"/>
              <w:bidi w:val="0"/>
              <w:rPr>
                <w:rFonts w:hint="default"/>
                <w:lang w:val="en-US" w:eastAsia="zh-CN"/>
              </w:rPr>
            </w:pPr>
            <w:r>
              <w:rPr>
                <w:rFonts w:hint="eastAsia"/>
                <w:lang w:val="en-US" w:eastAsia="zh-CN"/>
              </w:rPr>
              <w:t>养马湖水域</w:t>
            </w:r>
          </w:p>
        </w:tc>
        <w:tc>
          <w:tcPr>
            <w:tcW w:w="1881" w:type="pct"/>
            <w:noWrap w:val="0"/>
            <w:vAlign w:val="center"/>
          </w:tcPr>
          <w:p>
            <w:pPr>
              <w:pStyle w:val="28"/>
              <w:bidi w:val="0"/>
            </w:pPr>
            <w:r>
              <w:rPr>
                <w:rFonts w:hint="eastAsia"/>
              </w:rPr>
              <w:t>禁止占用水域面积，禁止破坏</w:t>
            </w:r>
            <w:r>
              <w:rPr>
                <w:rFonts w:hint="eastAsia"/>
                <w:lang w:val="en-US" w:eastAsia="zh-CN"/>
              </w:rPr>
              <w:t>湖泊</w:t>
            </w:r>
            <w:r>
              <w:rPr>
                <w:rFonts w:hint="eastAsia"/>
              </w:rPr>
              <w:t>岸线。除以生态保护为主的公园及其必要的配套设施、供水设施和保护水源相关的建设项目、对区域具有系统性影响的道路交通设施和市政公用设施、国家标准对项目选址有特殊要求的建设项目、生态修复及应急抢险救灾设施外，禁止建设其他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6" w:type="pct"/>
            <w:vMerge w:val="restart"/>
            <w:noWrap w:val="0"/>
            <w:vAlign w:val="center"/>
          </w:tcPr>
          <w:p>
            <w:pPr>
              <w:pStyle w:val="28"/>
              <w:bidi w:val="0"/>
            </w:pPr>
            <w:r>
              <w:t>限建区</w:t>
            </w:r>
          </w:p>
        </w:tc>
        <w:tc>
          <w:tcPr>
            <w:tcW w:w="680" w:type="pct"/>
            <w:noWrap w:val="0"/>
            <w:vAlign w:val="center"/>
          </w:tcPr>
          <w:p>
            <w:pPr>
              <w:pStyle w:val="28"/>
              <w:bidi w:val="0"/>
              <w:rPr>
                <w:rFonts w:hint="default" w:eastAsia="宋体"/>
                <w:lang w:val="en-US" w:eastAsia="zh-CN"/>
              </w:rPr>
            </w:pPr>
            <w:r>
              <w:rPr>
                <w:rFonts w:hint="eastAsia"/>
                <w:lang w:val="en-US" w:eastAsia="zh-CN"/>
              </w:rPr>
              <w:t>规划范围陆地全域</w:t>
            </w:r>
          </w:p>
        </w:tc>
        <w:tc>
          <w:tcPr>
            <w:tcW w:w="480" w:type="pct"/>
            <w:noWrap w:val="0"/>
            <w:vAlign w:val="center"/>
          </w:tcPr>
          <w:p>
            <w:pPr>
              <w:pStyle w:val="28"/>
              <w:bidi w:val="0"/>
              <w:rPr>
                <w:rFonts w:hint="default"/>
                <w:lang w:val="en-US" w:eastAsia="zh-CN"/>
              </w:rPr>
            </w:pPr>
            <w:r>
              <w:rPr>
                <w:rFonts w:hint="eastAsia"/>
                <w:lang w:val="en-US" w:eastAsia="zh-CN"/>
              </w:rPr>
              <w:t>169.45</w:t>
            </w:r>
          </w:p>
        </w:tc>
        <w:tc>
          <w:tcPr>
            <w:tcW w:w="687" w:type="pct"/>
            <w:noWrap w:val="0"/>
            <w:vAlign w:val="center"/>
          </w:tcPr>
          <w:p>
            <w:pPr>
              <w:pStyle w:val="28"/>
              <w:bidi w:val="0"/>
              <w:rPr>
                <w:rFonts w:hint="default"/>
                <w:lang w:val="en-US" w:eastAsia="zh-CN"/>
              </w:rPr>
            </w:pPr>
            <w:r>
              <w:rPr>
                <w:rFonts w:hint="eastAsia"/>
                <w:lang w:val="en-US" w:eastAsia="zh-CN"/>
              </w:rPr>
              <w:t>建设用地、农林用地</w:t>
            </w:r>
          </w:p>
        </w:tc>
        <w:tc>
          <w:tcPr>
            <w:tcW w:w="792" w:type="pct"/>
            <w:noWrap w:val="0"/>
            <w:vAlign w:val="center"/>
          </w:tcPr>
          <w:p>
            <w:pPr>
              <w:pStyle w:val="28"/>
              <w:bidi w:val="0"/>
              <w:rPr>
                <w:rFonts w:hint="default" w:eastAsia="宋体"/>
                <w:lang w:val="en-US" w:eastAsia="zh-CN"/>
              </w:rPr>
            </w:pPr>
            <w:r>
              <w:rPr>
                <w:rFonts w:hint="eastAsia"/>
                <w:lang w:val="en-US" w:eastAsia="zh-CN"/>
              </w:rPr>
              <w:t>全域</w:t>
            </w:r>
          </w:p>
        </w:tc>
        <w:tc>
          <w:tcPr>
            <w:tcW w:w="1881" w:type="pct"/>
            <w:noWrap w:val="0"/>
            <w:vAlign w:val="center"/>
          </w:tcPr>
          <w:p>
            <w:pPr>
              <w:pStyle w:val="28"/>
              <w:bidi w:val="0"/>
              <w:rPr>
                <w:rFonts w:hint="default" w:eastAsia="宋体"/>
                <w:lang w:val="en-US" w:eastAsia="zh-CN"/>
              </w:rPr>
            </w:pPr>
            <w:r>
              <w:rPr>
                <w:rFonts w:hint="eastAsia"/>
                <w:lang w:val="en-US" w:eastAsia="zh-CN"/>
              </w:rPr>
              <w:t>禁止新、扩建化工项目，现有化工企业仅可开展</w:t>
            </w:r>
            <w:r>
              <w:rPr>
                <w:rFonts w:hint="eastAsia" w:ascii="Times New Roman" w:hAnsi="Times New Roman" w:cs="Times New Roman"/>
                <w:color w:val="auto"/>
                <w:lang w:val="en-US" w:eastAsia="zh-CN"/>
              </w:rPr>
              <w:t>安全、环保、节能、信息化智能化、提升产品品质技术改造的项目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6" w:type="pct"/>
            <w:vMerge w:val="continue"/>
            <w:noWrap w:val="0"/>
            <w:vAlign w:val="center"/>
          </w:tcPr>
          <w:p>
            <w:pPr>
              <w:pStyle w:val="28"/>
              <w:bidi w:val="0"/>
            </w:pPr>
          </w:p>
        </w:tc>
        <w:tc>
          <w:tcPr>
            <w:tcW w:w="680" w:type="pct"/>
            <w:noWrap w:val="0"/>
            <w:vAlign w:val="center"/>
          </w:tcPr>
          <w:p>
            <w:pPr>
              <w:pStyle w:val="28"/>
              <w:bidi w:val="0"/>
              <w:rPr>
                <w:rFonts w:hint="eastAsia"/>
                <w:lang w:val="en-US" w:eastAsia="zh-CN"/>
              </w:rPr>
            </w:pPr>
            <w:r>
              <w:rPr>
                <w:rFonts w:hint="eastAsia"/>
                <w:lang w:val="en-US" w:eastAsia="zh-CN"/>
              </w:rPr>
              <w:t>规划区内文物古迹设施用地</w:t>
            </w:r>
          </w:p>
        </w:tc>
        <w:tc>
          <w:tcPr>
            <w:tcW w:w="480" w:type="pct"/>
            <w:noWrap w:val="0"/>
            <w:vAlign w:val="center"/>
          </w:tcPr>
          <w:p>
            <w:pPr>
              <w:pStyle w:val="28"/>
              <w:bidi w:val="0"/>
              <w:rPr>
                <w:rFonts w:hint="eastAsia"/>
                <w:lang w:val="en-US" w:eastAsia="zh-CN"/>
              </w:rPr>
            </w:pPr>
            <w:r>
              <w:rPr>
                <w:rFonts w:hint="eastAsia"/>
                <w:lang w:val="en-US" w:eastAsia="zh-CN"/>
              </w:rPr>
              <w:t>0.24</w:t>
            </w:r>
          </w:p>
        </w:tc>
        <w:tc>
          <w:tcPr>
            <w:tcW w:w="687" w:type="pct"/>
            <w:noWrap w:val="0"/>
            <w:vAlign w:val="center"/>
          </w:tcPr>
          <w:p>
            <w:pPr>
              <w:pStyle w:val="28"/>
              <w:bidi w:val="0"/>
              <w:rPr>
                <w:rFonts w:hint="eastAsia"/>
                <w:lang w:val="en-US" w:eastAsia="zh-CN"/>
              </w:rPr>
            </w:pPr>
            <w:r>
              <w:rPr>
                <w:rFonts w:hint="eastAsia"/>
                <w:lang w:val="en-US" w:eastAsia="zh-CN"/>
              </w:rPr>
              <w:t xml:space="preserve">文物古迹设施用地 </w:t>
            </w:r>
          </w:p>
        </w:tc>
        <w:tc>
          <w:tcPr>
            <w:tcW w:w="792" w:type="pct"/>
            <w:noWrap w:val="0"/>
            <w:vAlign w:val="center"/>
          </w:tcPr>
          <w:p>
            <w:pPr>
              <w:pStyle w:val="28"/>
              <w:bidi w:val="0"/>
              <w:rPr>
                <w:rFonts w:hint="eastAsia"/>
                <w:lang w:val="en-US" w:eastAsia="zh-CN"/>
              </w:rPr>
            </w:pPr>
            <w:r>
              <w:rPr>
                <w:rFonts w:hint="eastAsia"/>
                <w:lang w:val="en-US" w:eastAsia="zh-CN"/>
              </w:rPr>
              <w:t>甘宁墓</w:t>
            </w:r>
          </w:p>
        </w:tc>
        <w:tc>
          <w:tcPr>
            <w:tcW w:w="1881" w:type="pct"/>
            <w:noWrap w:val="0"/>
            <w:vAlign w:val="center"/>
          </w:tcPr>
          <w:p>
            <w:pPr>
              <w:pStyle w:val="28"/>
              <w:bidi w:val="0"/>
              <w:rPr>
                <w:rFonts w:hint="eastAsia"/>
                <w:lang w:val="en-US" w:eastAsia="zh-CN"/>
              </w:rPr>
            </w:pPr>
            <w:r>
              <w:rPr>
                <w:rFonts w:hint="eastAsia"/>
                <w:lang w:val="en-US" w:eastAsia="zh-CN"/>
              </w:rPr>
              <w:t>在项目进行具体建设前，应与文物保护部门对接，以确定涉及文物保护单位、历史文化风貌街区的具体保护范围与建设控制地带及城市紫线范围，并明确与本轮规划建设项目的建设、施工范围关系，在满足相关法律法规前提下，方可进行建设；建设过程中应严格按照《中华人民共和国文物保护法》进行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6" w:type="pct"/>
            <w:vMerge w:val="continue"/>
            <w:noWrap w:val="0"/>
            <w:vAlign w:val="center"/>
          </w:tcPr>
          <w:p>
            <w:pPr>
              <w:pStyle w:val="28"/>
              <w:bidi w:val="0"/>
            </w:pPr>
          </w:p>
        </w:tc>
        <w:tc>
          <w:tcPr>
            <w:tcW w:w="680" w:type="pct"/>
            <w:noWrap w:val="0"/>
            <w:vAlign w:val="center"/>
          </w:tcPr>
          <w:p>
            <w:pPr>
              <w:pStyle w:val="28"/>
              <w:bidi w:val="0"/>
            </w:pPr>
            <w:r>
              <w:t>防护绿地</w:t>
            </w:r>
          </w:p>
        </w:tc>
        <w:tc>
          <w:tcPr>
            <w:tcW w:w="480" w:type="pct"/>
            <w:noWrap w:val="0"/>
            <w:vAlign w:val="center"/>
          </w:tcPr>
          <w:p>
            <w:pPr>
              <w:pStyle w:val="28"/>
              <w:bidi w:val="0"/>
              <w:rPr>
                <w:rFonts w:hint="default"/>
                <w:lang w:val="en-US" w:eastAsia="zh-CN"/>
              </w:rPr>
            </w:pPr>
            <w:r>
              <w:rPr>
                <w:rFonts w:hint="eastAsia"/>
                <w:lang w:val="en-US" w:eastAsia="zh-CN"/>
              </w:rPr>
              <w:t>9.07</w:t>
            </w:r>
          </w:p>
        </w:tc>
        <w:tc>
          <w:tcPr>
            <w:tcW w:w="687" w:type="pct"/>
            <w:noWrap w:val="0"/>
            <w:vAlign w:val="center"/>
          </w:tcPr>
          <w:p>
            <w:pPr>
              <w:pStyle w:val="28"/>
              <w:bidi w:val="0"/>
            </w:pPr>
            <w:r>
              <w:rPr>
                <w:rFonts w:hint="eastAsia"/>
                <w:lang w:val="en-US" w:eastAsia="zh-CN"/>
              </w:rPr>
              <w:t>城乡</w:t>
            </w:r>
            <w:r>
              <w:t>建设用地</w:t>
            </w:r>
          </w:p>
        </w:tc>
        <w:tc>
          <w:tcPr>
            <w:tcW w:w="792" w:type="pct"/>
            <w:noWrap w:val="0"/>
            <w:vAlign w:val="center"/>
          </w:tcPr>
          <w:p>
            <w:pPr>
              <w:pStyle w:val="28"/>
              <w:bidi w:val="0"/>
              <w:rPr>
                <w:rFonts w:hint="default"/>
                <w:lang w:val="en-US" w:eastAsia="zh-CN"/>
              </w:rPr>
            </w:pPr>
            <w:r>
              <w:t>规划范围内铁路</w:t>
            </w:r>
            <w:r>
              <w:rPr>
                <w:rFonts w:hint="eastAsia"/>
                <w:lang w:eastAsia="zh-CN"/>
              </w:rPr>
              <w:t>、</w:t>
            </w:r>
            <w:r>
              <w:rPr>
                <w:rFonts w:hint="eastAsia"/>
                <w:lang w:val="en-US" w:eastAsia="zh-CN"/>
              </w:rPr>
              <w:t>道路</w:t>
            </w:r>
            <w:r>
              <w:t>周边防护绿地</w:t>
            </w:r>
            <w:r>
              <w:rPr>
                <w:rFonts w:hint="eastAsia"/>
                <w:lang w:eastAsia="zh-CN"/>
              </w:rPr>
              <w:t>；</w:t>
            </w:r>
            <w:r>
              <w:rPr>
                <w:rFonts w:hint="eastAsia"/>
                <w:lang w:val="en-US" w:eastAsia="zh-CN"/>
              </w:rPr>
              <w:t>绿化隔离带等</w:t>
            </w:r>
          </w:p>
        </w:tc>
        <w:tc>
          <w:tcPr>
            <w:tcW w:w="1881" w:type="pct"/>
            <w:noWrap w:val="0"/>
            <w:vAlign w:val="center"/>
          </w:tcPr>
          <w:p>
            <w:pPr>
              <w:pStyle w:val="28"/>
              <w:bidi w:val="0"/>
            </w:pPr>
            <w:r>
              <w:rPr>
                <w:rFonts w:hint="eastAsia"/>
              </w:rPr>
              <w:t>限制除园林绿化、公共基础设施、</w:t>
            </w:r>
            <w:r>
              <w:rPr>
                <w:rFonts w:hint="eastAsia"/>
                <w:lang w:val="en-US" w:eastAsia="zh-CN"/>
              </w:rPr>
              <w:t>湖泊岸线</w:t>
            </w:r>
            <w:r>
              <w:rPr>
                <w:rFonts w:hint="eastAsia"/>
              </w:rPr>
              <w:t>防护、水利设施等以外</w:t>
            </w:r>
            <w:r>
              <w:rPr>
                <w:rFonts w:hint="eastAsia"/>
                <w:lang w:val="en-US" w:eastAsia="zh-CN"/>
              </w:rPr>
              <w:t>的</w:t>
            </w:r>
            <w:r>
              <w:rPr>
                <w:rFonts w:hint="eastAsia"/>
              </w:rPr>
              <w:t>其他工程建设，</w:t>
            </w:r>
            <w:r>
              <w:rPr>
                <w:rFonts w:hint="eastAsia"/>
                <w:lang w:val="en-US" w:eastAsia="zh-CN"/>
              </w:rPr>
              <w:t>用地需</w:t>
            </w:r>
            <w:r>
              <w:rPr>
                <w:rFonts w:hint="eastAsia"/>
              </w:rPr>
              <w:t>符合城市规划五线规定中的绿线要求。规划的防护绿地不得作为工业、生活等其他建设用地。</w:t>
            </w:r>
          </w:p>
        </w:tc>
      </w:tr>
    </w:tbl>
    <w:p>
      <w:pPr>
        <w:pStyle w:val="5"/>
        <w:bidi w:val="0"/>
        <w:rPr>
          <w:rFonts w:hint="default"/>
          <w:color w:val="auto"/>
          <w:lang w:val="en-US" w:eastAsia="zh-CN"/>
        </w:rPr>
      </w:pPr>
      <w:bookmarkStart w:id="92" w:name="_Toc14808"/>
      <w:r>
        <w:rPr>
          <w:rFonts w:hint="eastAsia"/>
          <w:color w:val="auto"/>
          <w:lang w:val="en-US" w:eastAsia="zh-CN"/>
        </w:rPr>
        <w:t>产业类型</w:t>
      </w:r>
      <w:r>
        <w:rPr>
          <w:rFonts w:hint="default"/>
          <w:color w:val="auto"/>
          <w:lang w:val="en-US" w:eastAsia="zh-CN"/>
        </w:rPr>
        <w:t>准入要求</w:t>
      </w:r>
      <w:bookmarkEnd w:id="92"/>
    </w:p>
    <w:p>
      <w:pPr>
        <w:spacing w:beforeLines="0" w:afterLines="0"/>
        <w:ind w:firstLine="48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根据国家产业政策及有关规定，以《产业结构调整指导目录（2019年本）》、《市场准入负面清单（2022年版）》、《禁止用地项目目录（2012年）》、《长江经济带发展负面清单指南（试行，2022年版）》、《环境保护综合名录（2021年版）》、《黄石市“三线一单”生态环境分区管控实施方案》为主要依据，结合黄石市、</w:t>
      </w:r>
      <w:r>
        <w:rPr>
          <w:rFonts w:hint="eastAsia" w:cs="Times New Roman"/>
          <w:color w:val="auto"/>
          <w:sz w:val="24"/>
          <w:szCs w:val="24"/>
          <w:lang w:val="en-US" w:eastAsia="zh-CN"/>
        </w:rPr>
        <w:t>阳新县</w:t>
      </w:r>
      <w:r>
        <w:rPr>
          <w:rFonts w:hint="default" w:ascii="Times New Roman" w:hAnsi="Times New Roman" w:eastAsia="宋体" w:cs="Times New Roman"/>
          <w:color w:val="auto"/>
          <w:sz w:val="24"/>
          <w:szCs w:val="24"/>
        </w:rPr>
        <w:t>发展定位和产业规划，对涉及法律法规、国家安全、公共利益、生态安全、落后产能、过剩产能、高耗能、高污染、高耗水等禁止和限制的投资领域列入负面清单。园区产业准入总体要求见表</w:t>
      </w:r>
      <w:r>
        <w:rPr>
          <w:rFonts w:hint="default" w:ascii="Times New Roman" w:hAnsi="Times New Roman" w:eastAsia="宋体" w:cs="Times New Roman"/>
          <w:color w:val="auto"/>
          <w:sz w:val="24"/>
          <w:szCs w:val="24"/>
          <w:lang w:val="en-US" w:eastAsia="zh-CN"/>
        </w:rPr>
        <w:t>7.1</w:t>
      </w:r>
      <w:r>
        <w:rPr>
          <w:rFonts w:hint="default" w:ascii="Times New Roman" w:hAnsi="Times New Roman" w:eastAsia="宋体" w:cs="Times New Roman"/>
          <w:color w:val="auto"/>
          <w:sz w:val="24"/>
          <w:szCs w:val="24"/>
        </w:rPr>
        <w:t>-2。</w:t>
      </w:r>
    </w:p>
    <w:p>
      <w:pPr>
        <w:pStyle w:val="37"/>
        <w:spacing w:beforeLines="0" w:afterLines="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表</w:t>
      </w:r>
      <w:r>
        <w:rPr>
          <w:rFonts w:hint="default" w:ascii="Times New Roman" w:hAnsi="Times New Roman" w:eastAsia="宋体" w:cs="Times New Roman"/>
          <w:color w:val="auto"/>
          <w:sz w:val="21"/>
          <w:szCs w:val="24"/>
          <w:lang w:val="en-US" w:eastAsia="zh-CN"/>
        </w:rPr>
        <w:t>7.1</w:t>
      </w:r>
      <w:r>
        <w:rPr>
          <w:rFonts w:hint="eastAsia" w:cs="Times New Roman"/>
          <w:color w:val="auto"/>
          <w:sz w:val="21"/>
          <w:szCs w:val="24"/>
          <w:lang w:val="en-US" w:eastAsia="zh-CN"/>
        </w:rPr>
        <w:t>.</w:t>
      </w:r>
      <w:r>
        <w:rPr>
          <w:rFonts w:hint="default" w:ascii="Times New Roman" w:hAnsi="Times New Roman" w:eastAsia="宋体" w:cs="Times New Roman"/>
          <w:color w:val="auto"/>
          <w:sz w:val="21"/>
          <w:szCs w:val="24"/>
        </w:rPr>
        <w:t>2</w:t>
      </w:r>
      <w:r>
        <w:rPr>
          <w:rFonts w:hint="eastAsia" w:cs="Times New Roman"/>
          <w:color w:val="auto"/>
          <w:sz w:val="21"/>
          <w:szCs w:val="24"/>
          <w:lang w:val="en-US" w:eastAsia="zh-CN"/>
        </w:rPr>
        <w:t>-1</w:t>
      </w:r>
      <w:r>
        <w:rPr>
          <w:rFonts w:hint="eastAsia" w:ascii="Times New Roman" w:hAnsi="Times New Roman" w:eastAsia="宋体" w:cs="Times New Roman"/>
          <w:color w:val="auto"/>
          <w:sz w:val="21"/>
          <w:szCs w:val="24"/>
          <w:lang w:val="en-US" w:eastAsia="zh-CN"/>
        </w:rPr>
        <w:t xml:space="preserve"> </w:t>
      </w:r>
      <w:r>
        <w:rPr>
          <w:rFonts w:hint="default" w:ascii="Times New Roman" w:hAnsi="Times New Roman" w:eastAsia="宋体" w:cs="Times New Roman"/>
          <w:color w:val="auto"/>
          <w:sz w:val="21"/>
          <w:szCs w:val="24"/>
        </w:rPr>
        <w:t>产业准入负面清单总体要求</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0" w:type="dxa"/>
          <w:bottom w:w="0" w:type="dxa"/>
          <w:right w:w="0" w:type="dxa"/>
        </w:tblCellMar>
      </w:tblPr>
      <w:tblGrid>
        <w:gridCol w:w="833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397" w:hRule="atLeast"/>
        </w:trPr>
        <w:tc>
          <w:tcPr>
            <w:tcW w:w="5000" w:type="pct"/>
            <w:tcBorders>
              <w:top w:val="single" w:color="auto" w:sz="12" w:space="0"/>
              <w:left w:val="single" w:color="auto" w:sz="12" w:space="0"/>
              <w:bottom w:val="single" w:color="000000" w:sz="4" w:space="0"/>
              <w:right w:val="single" w:color="auto" w:sz="12" w:space="0"/>
              <w:tl2br w:val="nil"/>
              <w:tr2bl w:val="nil"/>
            </w:tcBorders>
            <w:noWrap w:val="0"/>
            <w:vAlign w:val="center"/>
          </w:tcPr>
          <w:p>
            <w:pPr>
              <w:pStyle w:val="28"/>
              <w:bidi w:val="0"/>
              <w:rPr>
                <w:rFonts w:hint="default"/>
                <w:lang w:val="zh-CN"/>
              </w:rPr>
            </w:pPr>
            <w:r>
              <w:rPr>
                <w:rFonts w:hint="default"/>
                <w:lang w:val="zh-CN"/>
              </w:rPr>
              <w:t>总体要求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000" w:type="pct"/>
            <w:tcBorders>
              <w:top w:val="single" w:color="000000" w:sz="4" w:space="0"/>
              <w:left w:val="single" w:color="auto" w:sz="12" w:space="0"/>
              <w:bottom w:val="single" w:color="auto" w:sz="12" w:space="0"/>
              <w:right w:val="single" w:color="auto" w:sz="12" w:space="0"/>
              <w:tl2br w:val="nil"/>
              <w:tr2bl w:val="nil"/>
            </w:tcBorders>
            <w:noWrap w:val="0"/>
            <w:vAlign w:val="center"/>
          </w:tcPr>
          <w:p>
            <w:pPr>
              <w:pStyle w:val="28"/>
              <w:bidi w:val="0"/>
              <w:jc w:val="left"/>
              <w:rPr>
                <w:rFonts w:hint="default"/>
                <w:lang w:val="zh-CN" w:eastAsia="zh-CN"/>
              </w:rPr>
            </w:pPr>
            <w:r>
              <w:rPr>
                <w:rFonts w:hint="default"/>
                <w:lang w:val="en-US" w:eastAsia="zh-CN"/>
              </w:rPr>
              <w:t>1、</w:t>
            </w:r>
            <w:r>
              <w:rPr>
                <w:rFonts w:hint="default"/>
                <w:lang w:val="zh-CN" w:eastAsia="zh-CN"/>
              </w:rPr>
              <w:t>不得建设国家法律法规明令禁止的项目；</w:t>
            </w:r>
          </w:p>
          <w:p>
            <w:pPr>
              <w:pStyle w:val="28"/>
              <w:bidi w:val="0"/>
              <w:jc w:val="left"/>
              <w:rPr>
                <w:rFonts w:hint="default"/>
                <w:lang w:val="zh-CN" w:eastAsia="zh-CN"/>
              </w:rPr>
            </w:pPr>
            <w:r>
              <w:rPr>
                <w:rFonts w:hint="default"/>
                <w:lang w:val="en-US" w:eastAsia="zh-CN"/>
              </w:rPr>
              <w:t>2、</w:t>
            </w:r>
            <w:r>
              <w:rPr>
                <w:rFonts w:hint="default"/>
                <w:lang w:val="zh-CN" w:eastAsia="zh-CN"/>
              </w:rPr>
              <w:t>不得建设国家、湖北省其他产业政策禁止的项目；</w:t>
            </w:r>
          </w:p>
          <w:p>
            <w:pPr>
              <w:pStyle w:val="28"/>
              <w:bidi w:val="0"/>
              <w:jc w:val="left"/>
              <w:rPr>
                <w:rFonts w:hint="default"/>
                <w:lang w:val="en-US" w:eastAsia="zh-CN"/>
              </w:rPr>
            </w:pPr>
            <w:r>
              <w:rPr>
                <w:rFonts w:hint="default"/>
                <w:lang w:val="en-US" w:eastAsia="zh-CN"/>
              </w:rPr>
              <w:t>3、禁止新建、扩建法律法规和相关政策明令禁止的落后产能项目；禁止新建、扩建不符合国家产能置换要求的严重过剩产能行业的项目；禁止新建、扩建不符合要求的高耗能高排放项目；</w:t>
            </w:r>
          </w:p>
          <w:p>
            <w:pPr>
              <w:pStyle w:val="28"/>
              <w:bidi w:val="0"/>
              <w:jc w:val="left"/>
              <w:rPr>
                <w:rFonts w:hint="default"/>
                <w:lang w:val="en-US" w:eastAsia="zh-CN"/>
              </w:rPr>
            </w:pPr>
            <w:r>
              <w:rPr>
                <w:rFonts w:hint="default"/>
                <w:lang w:val="en-US" w:eastAsia="zh-CN"/>
              </w:rPr>
              <w:t>4、不得建设国家发改委、商务部《市场准入负面清单（2022年版）》禁止准入类项目；</w:t>
            </w:r>
          </w:p>
          <w:p>
            <w:pPr>
              <w:pStyle w:val="28"/>
              <w:bidi w:val="0"/>
              <w:jc w:val="left"/>
              <w:rPr>
                <w:rFonts w:hint="default"/>
                <w:lang w:val="zh-CN" w:eastAsia="zh-CN"/>
              </w:rPr>
            </w:pPr>
            <w:r>
              <w:rPr>
                <w:rFonts w:hint="default"/>
                <w:lang w:val="en-US" w:eastAsia="zh-CN"/>
              </w:rPr>
              <w:t>5、不得建设</w:t>
            </w:r>
            <w:r>
              <w:rPr>
                <w:rFonts w:hint="default"/>
                <w:lang w:val="zh-CN" w:eastAsia="zh-CN"/>
              </w:rPr>
              <w:t>国家发改委《产业结构调整指导目录（2019年）》</w:t>
            </w:r>
            <w:r>
              <w:rPr>
                <w:rFonts w:hint="default"/>
                <w:lang w:val="en-US" w:eastAsia="zh-CN"/>
              </w:rPr>
              <w:t>限制类、</w:t>
            </w:r>
            <w:r>
              <w:rPr>
                <w:rFonts w:hint="default"/>
                <w:lang w:val="zh-CN" w:eastAsia="zh-CN"/>
              </w:rPr>
              <w:t>淘汰类项目；</w:t>
            </w:r>
          </w:p>
          <w:p>
            <w:pPr>
              <w:pStyle w:val="28"/>
              <w:bidi w:val="0"/>
              <w:jc w:val="left"/>
              <w:rPr>
                <w:rFonts w:hint="default"/>
                <w:lang w:val="zh-CN" w:eastAsia="zh-CN"/>
              </w:rPr>
            </w:pPr>
            <w:r>
              <w:rPr>
                <w:rFonts w:hint="default"/>
                <w:lang w:val="en-US" w:eastAsia="zh-CN"/>
              </w:rPr>
              <w:t>6、</w:t>
            </w:r>
            <w:r>
              <w:rPr>
                <w:rFonts w:hint="default"/>
                <w:lang w:val="zh-CN" w:eastAsia="zh-CN"/>
              </w:rPr>
              <w:t>不得建设国土资源部、国家发改委《禁止用地项目目录（2012年）》禁止用地的项目；</w:t>
            </w:r>
          </w:p>
          <w:p>
            <w:pPr>
              <w:pStyle w:val="28"/>
              <w:bidi w:val="0"/>
              <w:jc w:val="left"/>
              <w:rPr>
                <w:rFonts w:hint="default"/>
                <w:lang w:val="en-US" w:eastAsia="zh-CN"/>
              </w:rPr>
            </w:pPr>
            <w:r>
              <w:rPr>
                <w:rFonts w:hint="default"/>
                <w:lang w:val="en-US" w:eastAsia="zh-CN"/>
              </w:rPr>
              <w:t>7、禁止引入列入国家发布的高污染、高环境风险产品名录的项目；</w:t>
            </w:r>
          </w:p>
          <w:p>
            <w:pPr>
              <w:pStyle w:val="28"/>
              <w:bidi w:val="0"/>
              <w:jc w:val="left"/>
              <w:rPr>
                <w:rFonts w:hint="default"/>
                <w:lang w:val="zh-CN" w:eastAsia="zh-CN"/>
              </w:rPr>
            </w:pPr>
            <w:r>
              <w:rPr>
                <w:rFonts w:hint="default"/>
                <w:lang w:val="en-US" w:eastAsia="zh-CN"/>
              </w:rPr>
              <w:t>8、</w:t>
            </w:r>
            <w:r>
              <w:rPr>
                <w:rFonts w:hint="default"/>
                <w:lang w:val="zh-CN" w:eastAsia="zh-CN"/>
              </w:rPr>
              <w:t>不得</w:t>
            </w:r>
            <w:r>
              <w:rPr>
                <w:rFonts w:hint="default"/>
                <w:lang w:val="en-US" w:eastAsia="zh-CN"/>
              </w:rPr>
              <w:t>引入</w:t>
            </w:r>
            <w:r>
              <w:rPr>
                <w:rFonts w:hint="eastAsia"/>
                <w:lang w:val="en-US" w:eastAsia="zh-CN"/>
              </w:rPr>
              <w:t>与</w:t>
            </w:r>
            <w:r>
              <w:rPr>
                <w:rFonts w:hint="default"/>
                <w:lang w:val="en-US" w:eastAsia="zh-CN"/>
              </w:rPr>
              <w:t>园区</w:t>
            </w:r>
            <w:r>
              <w:rPr>
                <w:rFonts w:hint="default"/>
                <w:lang w:val="zh-CN" w:eastAsia="zh-CN"/>
              </w:rPr>
              <w:t>主导产业规划</w:t>
            </w:r>
            <w:r>
              <w:rPr>
                <w:rFonts w:hint="eastAsia"/>
                <w:lang w:val="en-US" w:eastAsia="zh-CN"/>
              </w:rPr>
              <w:t>无关</w:t>
            </w:r>
            <w:r>
              <w:rPr>
                <w:rFonts w:hint="default"/>
                <w:lang w:val="zh-CN" w:eastAsia="zh-CN"/>
              </w:rPr>
              <w:t>项目；</w:t>
            </w:r>
          </w:p>
          <w:p>
            <w:pPr>
              <w:pStyle w:val="28"/>
              <w:bidi w:val="0"/>
              <w:jc w:val="left"/>
              <w:rPr>
                <w:rFonts w:hint="default"/>
                <w:lang w:val="en-US" w:eastAsia="zh-CN"/>
              </w:rPr>
            </w:pPr>
            <w:r>
              <w:rPr>
                <w:rFonts w:hint="default"/>
                <w:lang w:val="en-US" w:eastAsia="zh-CN"/>
              </w:rPr>
              <w:t>9、</w:t>
            </w:r>
            <w:r>
              <w:rPr>
                <w:rFonts w:hint="default"/>
                <w:lang w:val="zh-CN" w:eastAsia="zh-CN"/>
              </w:rPr>
              <w:t>不得建设省、市、区发改、经信</w:t>
            </w:r>
            <w:r>
              <w:rPr>
                <w:rFonts w:hint="eastAsia"/>
                <w:lang w:val="zh-CN" w:eastAsia="zh-CN"/>
              </w:rPr>
              <w:t>、</w:t>
            </w:r>
            <w:r>
              <w:rPr>
                <w:rFonts w:hint="eastAsia"/>
                <w:lang w:val="en-US" w:eastAsia="zh-CN"/>
              </w:rPr>
              <w:t>生态环境、应急</w:t>
            </w:r>
            <w:r>
              <w:rPr>
                <w:rFonts w:hint="default"/>
                <w:lang w:val="zh-CN" w:eastAsia="zh-CN"/>
              </w:rPr>
              <w:t>等部门明确不予支持的</w:t>
            </w:r>
            <w:r>
              <w:rPr>
                <w:rFonts w:hint="default"/>
                <w:lang w:val="en-US" w:eastAsia="zh-CN"/>
              </w:rPr>
              <w:t>项目；</w:t>
            </w:r>
          </w:p>
          <w:p>
            <w:pPr>
              <w:pStyle w:val="28"/>
              <w:bidi w:val="0"/>
              <w:jc w:val="left"/>
              <w:rPr>
                <w:rFonts w:hint="default"/>
                <w:lang w:val="en-US" w:eastAsia="zh-CN"/>
              </w:rPr>
            </w:pPr>
            <w:r>
              <w:rPr>
                <w:rFonts w:hint="default"/>
                <w:lang w:val="en-US" w:eastAsia="zh-CN"/>
              </w:rPr>
              <w:t>10、禁止新建35蒸吨/小时及以下燃煤锅炉。</w:t>
            </w:r>
          </w:p>
          <w:p>
            <w:pPr>
              <w:pStyle w:val="28"/>
              <w:bidi w:val="0"/>
              <w:jc w:val="left"/>
              <w:rPr>
                <w:rFonts w:hint="default"/>
                <w:lang w:val="en-US" w:eastAsia="zh-CN"/>
              </w:rPr>
            </w:pPr>
            <w:r>
              <w:rPr>
                <w:rFonts w:hint="eastAsia"/>
                <w:lang w:val="en-US" w:eastAsia="zh-CN"/>
              </w:rPr>
              <w:t>11、禁止建设劳动密集型产业</w:t>
            </w:r>
          </w:p>
        </w:tc>
      </w:tr>
    </w:tbl>
    <w:p>
      <w:pPr>
        <w:ind w:left="0" w:leftChars="0" w:firstLine="0" w:firstLineChars="0"/>
        <w:rPr>
          <w:rFonts w:hint="default"/>
        </w:rPr>
      </w:pPr>
    </w:p>
    <w:p>
      <w:pPr>
        <w:spacing w:beforeLines="0" w:afterLines="0"/>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为强化规划环评与项目环评联动，本评价对规划区产业提出准入清单建议，清单未列的产业（行业），严格按照国家、湖北省、</w:t>
      </w:r>
      <w:r>
        <w:rPr>
          <w:rFonts w:hint="eastAsia" w:eastAsia="宋体" w:cs="Times New Roman"/>
          <w:color w:val="auto"/>
          <w:sz w:val="24"/>
          <w:szCs w:val="24"/>
          <w:lang w:val="en-US" w:eastAsia="zh-CN"/>
        </w:rPr>
        <w:t>黄石市</w:t>
      </w:r>
      <w:r>
        <w:rPr>
          <w:rFonts w:hint="default" w:ascii="Times New Roman" w:hAnsi="Times New Roman" w:eastAsia="宋体" w:cs="Times New Roman"/>
          <w:color w:val="auto"/>
          <w:sz w:val="24"/>
          <w:szCs w:val="24"/>
        </w:rPr>
        <w:t>相关规定执行。清单详见</w:t>
      </w:r>
      <w:r>
        <w:rPr>
          <w:rFonts w:hint="default" w:ascii="Times New Roman" w:hAnsi="Times New Roman" w:eastAsia="宋体" w:cs="Times New Roman"/>
          <w:color w:val="auto"/>
          <w:sz w:val="24"/>
          <w:szCs w:val="24"/>
          <w:lang w:val="en-US" w:eastAsia="zh-CN"/>
        </w:rPr>
        <w:t>下</w:t>
      </w:r>
      <w:r>
        <w:rPr>
          <w:rFonts w:hint="default" w:ascii="Times New Roman" w:hAnsi="Times New Roman" w:eastAsia="宋体" w:cs="Times New Roman"/>
          <w:color w:val="auto"/>
          <w:sz w:val="24"/>
          <w:szCs w:val="24"/>
        </w:rPr>
        <w:t>表。</w:t>
      </w:r>
    </w:p>
    <w:p>
      <w:pPr>
        <w:pStyle w:val="37"/>
        <w:spacing w:beforeLines="0" w:afterLines="0"/>
        <w:rPr>
          <w:rFonts w:hint="default" w:ascii="Times New Roman" w:hAnsi="Times New Roman" w:eastAsia="宋体" w:cs="Times New Roman"/>
          <w:color w:val="auto"/>
          <w:sz w:val="21"/>
          <w:szCs w:val="24"/>
        </w:rPr>
      </w:pPr>
      <w:r>
        <w:rPr>
          <w:rFonts w:hint="default" w:ascii="Times New Roman" w:hAnsi="Times New Roman" w:eastAsia="宋体" w:cs="Times New Roman"/>
          <w:color w:val="auto"/>
          <w:sz w:val="21"/>
          <w:szCs w:val="24"/>
        </w:rPr>
        <w:t>表</w:t>
      </w:r>
      <w:r>
        <w:rPr>
          <w:rFonts w:hint="default" w:ascii="Times New Roman" w:hAnsi="Times New Roman" w:eastAsia="宋体" w:cs="Times New Roman"/>
          <w:color w:val="auto"/>
          <w:sz w:val="21"/>
          <w:szCs w:val="24"/>
          <w:lang w:val="en-US" w:eastAsia="zh-CN"/>
        </w:rPr>
        <w:t>7.1</w:t>
      </w:r>
      <w:r>
        <w:rPr>
          <w:rFonts w:hint="eastAsia" w:cs="Times New Roman"/>
          <w:color w:val="auto"/>
          <w:sz w:val="21"/>
          <w:szCs w:val="24"/>
          <w:lang w:val="en-US" w:eastAsia="zh-CN"/>
        </w:rPr>
        <w:t>.2</w:t>
      </w:r>
      <w:r>
        <w:rPr>
          <w:rFonts w:hint="default" w:ascii="Times New Roman" w:hAnsi="Times New Roman" w:eastAsia="宋体" w:cs="Times New Roman"/>
          <w:color w:val="auto"/>
          <w:sz w:val="21"/>
          <w:szCs w:val="24"/>
        </w:rPr>
        <w:t>-</w:t>
      </w:r>
      <w:r>
        <w:rPr>
          <w:rFonts w:hint="eastAsia" w:cs="Times New Roman"/>
          <w:color w:val="auto"/>
          <w:sz w:val="21"/>
          <w:szCs w:val="24"/>
          <w:lang w:val="en-US" w:eastAsia="zh-CN"/>
        </w:rPr>
        <w:t>2</w:t>
      </w:r>
      <w:r>
        <w:rPr>
          <w:rFonts w:hint="eastAsia" w:ascii="Times New Roman" w:hAnsi="Times New Roman" w:eastAsia="宋体" w:cs="Times New Roman"/>
          <w:color w:val="auto"/>
          <w:sz w:val="21"/>
          <w:szCs w:val="24"/>
          <w:lang w:val="en-US" w:eastAsia="zh-CN"/>
        </w:rPr>
        <w:t xml:space="preserve"> </w:t>
      </w:r>
      <w:r>
        <w:rPr>
          <w:rFonts w:hint="default" w:ascii="Times New Roman" w:hAnsi="Times New Roman" w:eastAsia="宋体" w:cs="Times New Roman"/>
          <w:color w:val="auto"/>
          <w:sz w:val="21"/>
          <w:szCs w:val="24"/>
        </w:rPr>
        <w:t>园区规划产业准入负面清单</w:t>
      </w:r>
    </w:p>
    <w:tbl>
      <w:tblPr>
        <w:tblStyle w:val="36"/>
        <w:tblW w:w="499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408"/>
        <w:gridCol w:w="4705"/>
        <w:gridCol w:w="1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8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分类</w:t>
            </w: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规划主导产业清单</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color w:val="auto"/>
              </w:rPr>
            </w:pPr>
            <w:r>
              <w:rPr>
                <w:rFonts w:hint="default" w:ascii="Times New Roman" w:hAnsi="Times New Roman" w:cs="Times New Roman"/>
                <w:color w:val="auto"/>
              </w:rPr>
              <w:t>工艺清单</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制订依据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禁止</w:t>
            </w:r>
          </w:p>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准入</w:t>
            </w: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精品制药</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1.</w:t>
            </w:r>
            <w:r>
              <w:rPr>
                <w:rFonts w:hint="default" w:ascii="Times New Roman" w:hAnsi="Times New Roman" w:cs="Times New Roman"/>
                <w:color w:val="auto"/>
              </w:rPr>
              <w:t>禁止新建、扩建古龙酸和维生素C原粉（包括药用、食品用、饲料用、化妆品用）生产装置，新建药品、食品、饲料、化妆品等用途的维生素B1、维生素B2、维生素B12、维生素E原料生产装置；</w:t>
            </w:r>
          </w:p>
          <w:p>
            <w:pPr>
              <w:pStyle w:val="28"/>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2.</w:t>
            </w:r>
            <w:r>
              <w:rPr>
                <w:rFonts w:hint="default" w:ascii="Times New Roman" w:hAnsi="Times New Roman" w:cs="Times New Roman"/>
                <w:color w:val="auto"/>
              </w:rPr>
              <w:t>禁止新建青霉素工业盐、6-氨基青霉烷酸（6-APA）、化学法生产7-氨基头孢烷酸（7-ACA）、化学法生产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w:t>
            </w:r>
          </w:p>
          <w:p>
            <w:pPr>
              <w:pStyle w:val="28"/>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3.</w:t>
            </w:r>
            <w:r>
              <w:rPr>
                <w:rFonts w:hint="default" w:ascii="Times New Roman" w:hAnsi="Times New Roman" w:cs="Times New Roman"/>
                <w:color w:val="auto"/>
              </w:rPr>
              <w:t>禁引</w:t>
            </w:r>
            <w:r>
              <w:rPr>
                <w:rFonts w:hint="eastAsia" w:ascii="Times New Roman" w:hAnsi="Times New Roman" w:cs="Times New Roman"/>
                <w:color w:val="auto"/>
                <w:lang w:val="en-US" w:eastAsia="zh-CN"/>
              </w:rPr>
              <w:t>新建、扩建</w:t>
            </w:r>
            <w:r>
              <w:rPr>
                <w:rFonts w:hint="default" w:ascii="Times New Roman" w:hAnsi="Times New Roman" w:cs="Times New Roman"/>
                <w:color w:val="auto"/>
              </w:rPr>
              <w:t>属于化学基础原料制造的医药中间体项目。</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eastAsia" w:ascii="Times New Roman" w:hAnsi="Times New Roman" w:eastAsia="宋体" w:cs="Times New Roman"/>
                <w:color w:val="auto"/>
                <w:lang w:val="en-US" w:eastAsia="zh-CN"/>
              </w:rPr>
            </w:pPr>
            <w:r>
              <w:rPr>
                <w:rFonts w:hint="eastAsia"/>
                <w:lang w:eastAsia="zh-CN"/>
              </w:rPr>
              <w:t>《</w:t>
            </w:r>
            <w:r>
              <w:rPr>
                <w:rFonts w:hint="eastAsia"/>
                <w:lang w:val="en-US" w:eastAsia="zh-CN"/>
              </w:rPr>
              <w:t>长江保护法》、</w:t>
            </w:r>
            <w:r>
              <w:rPr>
                <w:rFonts w:hint="eastAsia"/>
              </w:rPr>
              <w:t>《长江经济带发展负面清单指南（试行，2022年版）》</w:t>
            </w:r>
            <w:r>
              <w:rPr>
                <w:rFonts w:hint="eastAsia"/>
                <w:lang w:eastAsia="zh-CN"/>
              </w:rPr>
              <w:t>、</w:t>
            </w:r>
            <w:r>
              <w:rPr>
                <w:rFonts w:hint="default" w:ascii="Times New Roman" w:hAnsi="Times New Roman" w:cs="Times New Roman"/>
                <w:color w:val="auto"/>
              </w:rPr>
              <w:t>《产业结构调整指导目录（2019年本）》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生物</w:t>
            </w:r>
            <w:r>
              <w:rPr>
                <w:rFonts w:hint="eastAsia" w:ascii="Times New Roman" w:hAnsi="Times New Roman" w:cs="Times New Roman"/>
                <w:color w:val="auto"/>
                <w:lang w:val="en-US" w:eastAsia="zh-CN"/>
              </w:rPr>
              <w:t>医</w:t>
            </w:r>
            <w:r>
              <w:rPr>
                <w:rFonts w:hint="default" w:ascii="Times New Roman" w:hAnsi="Times New Roman" w:cs="Times New Roman"/>
                <w:color w:val="auto"/>
              </w:rPr>
              <w:t>药</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rPr>
            </w:pPr>
            <w:r>
              <w:rPr>
                <w:rFonts w:hint="default" w:ascii="Times New Roman" w:hAnsi="Times New Roman" w:cs="Times New Roman"/>
                <w:color w:val="auto"/>
              </w:rPr>
              <w:t>禁止新建紫杉醇（配套红豆杉种植除外）、植物提取法黄连素（配套黄连种植除外）生产装置；</w:t>
            </w:r>
          </w:p>
          <w:p>
            <w:pPr>
              <w:pStyle w:val="28"/>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rPr>
              <w:t>禁止新建及改扩建原料含有尚未规模化种植或养殖的濒危动植物药材的产品生产装置。</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rPr>
              <w:t>《产业结构调整指导目录（2019年本）》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289"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精细化工</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t>禁止新建</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扩建属于《国民经济行业分类》（GB/T4754-2017）C26 化学原料和化学制品制造业中除“268日用化学产品制造”以外，且生产过程包括化工工艺/化学反应的项目</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lang w:eastAsia="zh-CN"/>
              </w:rPr>
              <w:t>《</w:t>
            </w:r>
            <w:r>
              <w:rPr>
                <w:rFonts w:hint="eastAsia"/>
                <w:lang w:val="en-US" w:eastAsia="zh-CN"/>
              </w:rPr>
              <w:t>长江保护法》、</w:t>
            </w:r>
            <w:r>
              <w:rPr>
                <w:rFonts w:hint="eastAsia"/>
              </w:rPr>
              <w:t>《长江经济带发展负面清单指南（试行，2022年版）》</w:t>
            </w:r>
            <w:r>
              <w:rPr>
                <w:rFonts w:hint="eastAsia"/>
                <w:lang w:eastAsia="zh-CN"/>
              </w:rPr>
              <w:t>、</w:t>
            </w:r>
            <w:r>
              <w:rPr>
                <w:rFonts w:hint="eastAsia"/>
                <w:lang w:val="en-US" w:eastAsia="zh-CN"/>
              </w:rPr>
              <w:t>工信部部长信箱关于“化工项目界定”的回复（2021年5月）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289"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eastAsia" w:ascii="Times New Roman" w:hAnsi="Times New Roman" w:eastAsia="宋体" w:cs="Times New Roman"/>
                <w:color w:val="auto"/>
                <w:lang w:val="en-US" w:eastAsia="zh-CN"/>
              </w:rPr>
            </w:pPr>
            <w:r>
              <w:rPr>
                <w:rFonts w:hint="default"/>
                <w:lang w:val="en-US" w:eastAsia="zh-CN"/>
              </w:rPr>
              <w:t>食品添加剂</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1.禁止新建</w:t>
            </w:r>
            <w:r>
              <w:rPr>
                <w:rFonts w:hint="default" w:ascii="Times New Roman" w:hAnsi="Times New Roman" w:cs="Times New Roman"/>
                <w:color w:val="auto"/>
              </w:rPr>
              <w:t>热法生产三聚磷酸钠生产线</w:t>
            </w:r>
          </w:p>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2.禁止新建</w:t>
            </w:r>
            <w:r>
              <w:rPr>
                <w:rFonts w:hint="default" w:ascii="Times New Roman" w:hAnsi="Times New Roman" w:cs="Times New Roman"/>
                <w:color w:val="auto"/>
              </w:rPr>
              <w:t>糖精等化学合成甜味剂生产线</w:t>
            </w:r>
          </w:p>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3.禁止新建</w:t>
            </w:r>
            <w:r>
              <w:rPr>
                <w:rFonts w:hint="default" w:ascii="Times New Roman" w:hAnsi="Times New Roman" w:cs="Times New Roman"/>
                <w:color w:val="auto"/>
              </w:rPr>
              <w:t>10万吨/年及以下赖氨酸、苏氨酸生产线；20万吨/年及以下谷氨酸生产线</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eastAsia"/>
                <w:lang w:eastAsia="zh-CN"/>
              </w:rPr>
            </w:pPr>
            <w:r>
              <w:rPr>
                <w:rFonts w:hint="default" w:ascii="Times New Roman" w:hAnsi="Times New Roman" w:cs="Times New Roman"/>
                <w:color w:val="auto"/>
              </w:rPr>
              <w:t>《产业结构调整指导目录（2019年本）》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89"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化工</w:t>
            </w:r>
            <w:r>
              <w:rPr>
                <w:rFonts w:hint="default" w:ascii="Times New Roman" w:hAnsi="Times New Roman" w:cs="Times New Roman"/>
                <w:color w:val="auto"/>
              </w:rPr>
              <w:t>新材料</w:t>
            </w:r>
          </w:p>
        </w:tc>
        <w:tc>
          <w:tcPr>
            <w:tcW w:w="2763" w:type="pct"/>
            <w:vAlign w:val="center"/>
          </w:tcPr>
          <w:p>
            <w:pPr>
              <w:pStyle w:val="28"/>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禁止新建</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扩建属于《国民经济行业分类》（GB/T4754-2017）C26 化学原料和化学制品制造业中且生产过程包括化工工艺/化学反应的新材料项目</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eastAsia"/>
                <w:lang w:eastAsia="zh-CN"/>
              </w:rPr>
              <w:t>《</w:t>
            </w:r>
            <w:r>
              <w:rPr>
                <w:rFonts w:hint="eastAsia"/>
                <w:lang w:val="en-US" w:eastAsia="zh-CN"/>
              </w:rPr>
              <w:t>长江保护法》、</w:t>
            </w:r>
            <w:r>
              <w:rPr>
                <w:rFonts w:hint="eastAsia"/>
              </w:rPr>
              <w:t>《长江经济带发展负面清单指南（试行，2022年版）》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限制</w:t>
            </w:r>
          </w:p>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准入</w:t>
            </w: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现有项目</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属于《国民经济行业分类》中“C26 化学原料和化学制品制造业”的现有化工企业，仅可实施安全、环保、节能、信息化智能化、提升产品品质技术改造的项目。</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lang w:val="en-US" w:eastAsia="zh-CN"/>
              </w:rPr>
              <w:t>《湖北省化工园区建设标准和认定管理实施细则（试行）》（鄂经信原材料[2022]86号）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27"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生物医药、精品制药</w:t>
            </w:r>
          </w:p>
        </w:tc>
        <w:tc>
          <w:tcPr>
            <w:tcW w:w="2763" w:type="pct"/>
            <w:vAlign w:val="center"/>
          </w:tcPr>
          <w:p>
            <w:pPr>
              <w:pStyle w:val="28"/>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微软雅黑" w:cs="Times New Roman"/>
                <w:color w:val="auto"/>
                <w:lang w:val="en-US" w:eastAsia="zh-CN"/>
              </w:rPr>
            </w:pPr>
            <w:r>
              <w:rPr>
                <w:rFonts w:hint="eastAsia" w:ascii="Times New Roman" w:hAnsi="Times New Roman" w:cs="Times New Roman"/>
                <w:color w:val="auto"/>
                <w:lang w:val="en-US" w:eastAsia="zh-CN"/>
              </w:rPr>
              <w:t>建设属于《国民经济行业分类》中“C27 医药制造业”的医药项目，应符合地方投资、生态环境、应急管理等有关部门产业布局管控要求。</w:t>
            </w:r>
          </w:p>
        </w:tc>
        <w:tc>
          <w:tcPr>
            <w:tcW w:w="1120"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eastAsia"/>
                <w:lang w:val="en-US" w:eastAsia="zh-CN"/>
              </w:rPr>
              <w:t>工</w:t>
            </w:r>
            <w:r>
              <w:rPr>
                <w:rFonts w:hint="eastAsia" w:ascii="Times New Roman" w:hAnsi="Times New Roman" w:cs="Times New Roman"/>
                <w:lang w:val="en-US" w:eastAsia="zh-CN"/>
              </w:rPr>
              <w:t>信部部长信箱关于“化学药品原料药制造是否属于化工”</w:t>
            </w:r>
            <w:r>
              <w:rPr>
                <w:rFonts w:hint="eastAsia"/>
                <w:lang w:val="en-US" w:eastAsia="zh-CN"/>
              </w:rPr>
              <w:t>的回复（2022年1月）</w:t>
            </w:r>
          </w:p>
        </w:tc>
      </w:tr>
    </w:tbl>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lang w:val="en-US" w:eastAsia="zh-CN"/>
        </w:rPr>
      </w:pPr>
      <w:bookmarkStart w:id="93" w:name="_Toc3476"/>
      <w:bookmarkStart w:id="94" w:name="_Toc1483"/>
      <w:r>
        <w:rPr>
          <w:rFonts w:hint="default"/>
          <w:color w:val="auto"/>
          <w:lang w:val="en-US" w:eastAsia="zh-CN"/>
        </w:rPr>
        <w:t>污染物排放管控</w:t>
      </w:r>
      <w:bookmarkEnd w:id="93"/>
      <w:bookmarkEnd w:id="94"/>
    </w:p>
    <w:p>
      <w:pPr>
        <w:pStyle w:val="5"/>
        <w:bidi w:val="0"/>
        <w:rPr>
          <w:rFonts w:hint="default"/>
          <w:color w:val="auto"/>
        </w:rPr>
      </w:pPr>
      <w:bookmarkStart w:id="95" w:name="_Toc13184"/>
      <w:r>
        <w:rPr>
          <w:rFonts w:hint="default"/>
          <w:color w:val="auto"/>
        </w:rPr>
        <w:t>环境质量底线建议清单</w:t>
      </w:r>
      <w:bookmarkEnd w:id="95"/>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规划实施过程要以环境质量为底线，加快配套环境基地设施建设，提高污水收集处理效率、垃圾收运处置效率以及清洁能源利用比例，加强入区企业环境监督管理，确保</w:t>
      </w:r>
      <w:r>
        <w:rPr>
          <w:rFonts w:hint="default" w:ascii="Times New Roman" w:hAnsi="Times New Roman" w:eastAsia="宋体" w:cs="Times New Roman"/>
          <w:color w:val="auto"/>
          <w:lang w:eastAsia="zh-CN"/>
        </w:rPr>
        <w:t>园区</w:t>
      </w:r>
      <w:r>
        <w:rPr>
          <w:rFonts w:hint="default" w:ascii="Times New Roman" w:hAnsi="Times New Roman" w:eastAsia="宋体" w:cs="Times New Roman"/>
          <w:color w:val="auto"/>
        </w:rPr>
        <w:t>及周边环境质量状况不恶化并逐步改善。</w:t>
      </w:r>
    </w:p>
    <w:p>
      <w:pPr>
        <w:spacing w:line="360" w:lineRule="auto"/>
        <w:jc w:val="center"/>
        <w:rPr>
          <w:rFonts w:hint="default" w:ascii="Times New Roman" w:hAnsi="Times New Roman" w:eastAsia="宋体" w:cs="Times New Roman"/>
          <w:b/>
          <w:bCs/>
          <w:color w:val="auto"/>
          <w:sz w:val="21"/>
          <w:lang w:val="en-US" w:eastAsia="zh-CN" w:bidi="ar-SA"/>
        </w:rPr>
      </w:pPr>
      <w:r>
        <w:rPr>
          <w:rFonts w:hint="default" w:ascii="Times New Roman" w:hAnsi="Times New Roman" w:eastAsia="宋体" w:cs="Times New Roman"/>
          <w:b/>
          <w:bCs/>
          <w:color w:val="auto"/>
          <w:sz w:val="21"/>
          <w:lang w:val="en-US" w:eastAsia="zh-CN" w:bidi="ar-SA"/>
        </w:rPr>
        <w:t>表7.</w:t>
      </w:r>
      <w:r>
        <w:rPr>
          <w:rFonts w:hint="eastAsia" w:cs="Times New Roman"/>
          <w:b/>
          <w:bCs/>
          <w:color w:val="auto"/>
          <w:sz w:val="21"/>
          <w:lang w:val="en-US" w:eastAsia="zh-CN" w:bidi="ar-SA"/>
        </w:rPr>
        <w:t>2.1</w:t>
      </w:r>
      <w:r>
        <w:rPr>
          <w:rFonts w:hint="default" w:ascii="Times New Roman" w:hAnsi="Times New Roman" w:eastAsia="宋体" w:cs="Times New Roman"/>
          <w:b/>
          <w:bCs/>
          <w:color w:val="auto"/>
          <w:sz w:val="21"/>
          <w:lang w:val="en-US" w:eastAsia="zh-CN" w:bidi="ar-SA"/>
        </w:rPr>
        <w:t>-</w:t>
      </w:r>
      <w:r>
        <w:rPr>
          <w:rFonts w:hint="eastAsia" w:cs="Times New Roman"/>
          <w:b/>
          <w:bCs/>
          <w:color w:val="auto"/>
          <w:sz w:val="21"/>
          <w:lang w:val="en-US" w:eastAsia="zh-CN" w:bidi="ar-SA"/>
        </w:rPr>
        <w:t>1</w:t>
      </w:r>
      <w:r>
        <w:rPr>
          <w:rFonts w:hint="eastAsia" w:eastAsia="宋体" w:cs="Times New Roman"/>
          <w:b/>
          <w:bCs/>
          <w:color w:val="auto"/>
          <w:sz w:val="21"/>
          <w:lang w:val="en-US" w:eastAsia="zh-CN" w:bidi="ar-SA"/>
        </w:rPr>
        <w:t xml:space="preserve"> </w:t>
      </w:r>
      <w:r>
        <w:rPr>
          <w:rFonts w:hint="default" w:ascii="Times New Roman" w:hAnsi="Times New Roman" w:eastAsia="宋体" w:cs="Times New Roman"/>
          <w:b/>
          <w:bCs/>
          <w:color w:val="auto"/>
          <w:sz w:val="21"/>
          <w:lang w:val="en-US" w:eastAsia="zh-CN" w:bidi="ar-SA"/>
        </w:rPr>
        <w:t>环境质量底线建议清单</w:t>
      </w:r>
    </w:p>
    <w:tbl>
      <w:tblPr>
        <w:tblStyle w:val="16"/>
        <w:tblW w:w="504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403"/>
        <w:gridCol w:w="614"/>
        <w:gridCol w:w="1291"/>
        <w:gridCol w:w="883"/>
        <w:gridCol w:w="1036"/>
        <w:gridCol w:w="1831"/>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b/>
                <w:bCs/>
                <w:color w:val="auto"/>
                <w:sz w:val="21"/>
                <w:szCs w:val="24"/>
                <w:lang w:val="en-US" w:eastAsia="zh-CN" w:bidi="ar-SA"/>
              </w:rPr>
              <w:t>水环境质量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序号</w:t>
            </w:r>
          </w:p>
        </w:tc>
        <w:tc>
          <w:tcPr>
            <w:tcW w:w="591"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所在水体</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断面名称</w:t>
            </w:r>
          </w:p>
        </w:tc>
        <w:tc>
          <w:tcPr>
            <w:tcW w:w="111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水质现状</w:t>
            </w:r>
          </w:p>
        </w:tc>
        <w:tc>
          <w:tcPr>
            <w:tcW w:w="10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2025年目标</w:t>
            </w:r>
          </w:p>
        </w:tc>
        <w:tc>
          <w:tcPr>
            <w:tcW w:w="11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203</w:t>
            </w:r>
            <w:r>
              <w:rPr>
                <w:rFonts w:hint="eastAsia" w:eastAsia="宋体" w:cs="Times New Roman"/>
                <w:color w:val="auto"/>
                <w:sz w:val="21"/>
                <w:szCs w:val="24"/>
                <w:lang w:val="en-US" w:eastAsia="zh-CN" w:bidi="ar-SA"/>
              </w:rPr>
              <w:t>5</w:t>
            </w:r>
            <w:r>
              <w:rPr>
                <w:rFonts w:hint="default" w:ascii="Times New Roman" w:hAnsi="Times New Roman" w:eastAsia="宋体" w:cs="Times New Roman"/>
                <w:color w:val="auto"/>
                <w:sz w:val="21"/>
                <w:szCs w:val="24"/>
                <w:lang w:val="en-US" w:eastAsia="zh-CN" w:bidi="ar-SA"/>
              </w:rPr>
              <w:t>年目标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1</w:t>
            </w:r>
          </w:p>
        </w:tc>
        <w:tc>
          <w:tcPr>
            <w:tcW w:w="591"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eastAsia="宋体" w:cs="Times New Roman"/>
                <w:color w:val="auto"/>
                <w:sz w:val="21"/>
                <w:szCs w:val="24"/>
                <w:lang w:val="en-US" w:eastAsia="zh-CN" w:bidi="ar-SA"/>
              </w:rPr>
              <w:t>长江</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cs="Times New Roman"/>
                <w:color w:val="auto"/>
                <w:sz w:val="21"/>
                <w:szCs w:val="24"/>
                <w:lang w:val="en-US" w:eastAsia="zh-CN" w:bidi="ar-SA"/>
              </w:rPr>
              <w:t>富驰化工至张湾村江</w:t>
            </w:r>
            <w:r>
              <w:rPr>
                <w:rFonts w:hint="default" w:ascii="Times New Roman" w:hAnsi="Times New Roman" w:eastAsia="宋体" w:cs="Times New Roman"/>
                <w:color w:val="auto"/>
                <w:sz w:val="21"/>
                <w:szCs w:val="24"/>
                <w:lang w:val="en-US" w:eastAsia="zh-CN" w:bidi="ar-SA"/>
              </w:rPr>
              <w:t>段</w:t>
            </w:r>
          </w:p>
        </w:tc>
        <w:tc>
          <w:tcPr>
            <w:tcW w:w="111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GB3838-2002Ⅱ类</w:t>
            </w:r>
          </w:p>
        </w:tc>
        <w:tc>
          <w:tcPr>
            <w:tcW w:w="10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GB3838-2002Ⅲ类</w:t>
            </w:r>
          </w:p>
        </w:tc>
        <w:tc>
          <w:tcPr>
            <w:tcW w:w="11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GB3838-2002Ⅲ类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color w:val="auto"/>
                <w:sz w:val="21"/>
                <w:szCs w:val="24"/>
                <w:lang w:val="en-US" w:eastAsia="zh-CN" w:bidi="ar-SA"/>
              </w:rPr>
            </w:pPr>
            <w:r>
              <w:rPr>
                <w:rFonts w:hint="eastAsia" w:cs="Times New Roman"/>
                <w:color w:val="auto"/>
                <w:sz w:val="21"/>
                <w:szCs w:val="24"/>
                <w:lang w:val="en-US" w:eastAsia="zh-CN" w:bidi="ar-SA"/>
              </w:rPr>
              <w:t>3</w:t>
            </w:r>
          </w:p>
        </w:tc>
        <w:tc>
          <w:tcPr>
            <w:tcW w:w="591"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地下水</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黄石市土壤环境重点监管企业</w:t>
            </w:r>
          </w:p>
        </w:tc>
        <w:tc>
          <w:tcPr>
            <w:tcW w:w="111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IV类</w:t>
            </w:r>
          </w:p>
        </w:tc>
        <w:tc>
          <w:tcPr>
            <w:tcW w:w="10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IV类</w:t>
            </w:r>
          </w:p>
        </w:tc>
        <w:tc>
          <w:tcPr>
            <w:tcW w:w="11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IV类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color w:val="auto"/>
                <w:sz w:val="21"/>
                <w:szCs w:val="24"/>
                <w:lang w:val="en-US" w:eastAsia="zh-CN" w:bidi="ar-SA"/>
              </w:rPr>
            </w:pPr>
            <w:r>
              <w:rPr>
                <w:rFonts w:hint="eastAsia" w:cs="Times New Roman"/>
                <w:color w:val="auto"/>
                <w:sz w:val="21"/>
                <w:szCs w:val="24"/>
                <w:lang w:val="en-US" w:eastAsia="zh-CN" w:bidi="ar-SA"/>
              </w:rPr>
              <w:t>4</w:t>
            </w:r>
          </w:p>
        </w:tc>
        <w:tc>
          <w:tcPr>
            <w:tcW w:w="591"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4"/>
                <w:lang w:val="en-US" w:eastAsia="zh-CN" w:bidi="ar-SA"/>
              </w:rPr>
            </w:pP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园区其他范围</w:t>
            </w:r>
          </w:p>
        </w:tc>
        <w:tc>
          <w:tcPr>
            <w:tcW w:w="111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III类</w:t>
            </w:r>
          </w:p>
        </w:tc>
        <w:tc>
          <w:tcPr>
            <w:tcW w:w="10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III类</w:t>
            </w:r>
          </w:p>
        </w:tc>
        <w:tc>
          <w:tcPr>
            <w:tcW w:w="11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ascii="Times New Roman" w:hAnsi="Times New Roman" w:eastAsia="宋体" w:cs="Times New Roman"/>
                <w:color w:val="auto"/>
                <w:sz w:val="21"/>
                <w:szCs w:val="24"/>
                <w:lang w:val="en-US" w:eastAsia="zh-CN" w:bidi="ar-SA"/>
              </w:rPr>
              <w:t>满足GB/T14848-2017 III类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b/>
                <w:bCs/>
                <w:color w:val="auto"/>
                <w:sz w:val="21"/>
                <w:szCs w:val="24"/>
                <w:lang w:val="en-US" w:eastAsia="zh-CN" w:bidi="ar-SA"/>
              </w:rPr>
              <w:t>大气环境质量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项目</w:t>
            </w:r>
          </w:p>
        </w:tc>
        <w:tc>
          <w:tcPr>
            <w:tcW w:w="1620"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eastAsia="宋体" w:cs="Times New Roman"/>
                <w:color w:val="auto"/>
                <w:sz w:val="21"/>
                <w:szCs w:val="24"/>
                <w:lang w:val="en-US" w:eastAsia="zh-CN" w:bidi="ar-SA"/>
              </w:rPr>
              <w:t>6项大气常规因子</w:t>
            </w:r>
          </w:p>
        </w:tc>
        <w:tc>
          <w:tcPr>
            <w:tcW w:w="2780"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eastAsia" w:eastAsia="宋体" w:cs="Times New Roman"/>
                <w:color w:val="auto"/>
                <w:sz w:val="21"/>
                <w:szCs w:val="24"/>
                <w:lang w:val="en-US" w:eastAsia="zh-CN" w:bidi="ar-SA"/>
              </w:rPr>
              <w:t>TVOC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2025年</w:t>
            </w:r>
          </w:p>
        </w:tc>
        <w:tc>
          <w:tcPr>
            <w:tcW w:w="1620"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GB3095-2012 二级</w:t>
            </w:r>
          </w:p>
        </w:tc>
        <w:tc>
          <w:tcPr>
            <w:tcW w:w="2780" w:type="pct"/>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满足《环境影响评价技术导则 大气环境》（HJ 2.2-2018）中其他污染物空气质量浓度参考限值对TVOC的相应要求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w:t>
            </w:r>
            <w:r>
              <w:rPr>
                <w:rFonts w:hint="eastAsia" w:eastAsia="宋体" w:cs="Times New Roman"/>
                <w:color w:val="auto"/>
                <w:sz w:val="21"/>
                <w:szCs w:val="24"/>
                <w:lang w:val="en-US" w:eastAsia="zh-CN" w:bidi="ar-SA"/>
              </w:rPr>
              <w:t>35</w:t>
            </w:r>
            <w:r>
              <w:rPr>
                <w:rFonts w:hint="default" w:ascii="Times New Roman" w:hAnsi="Times New Roman" w:eastAsia="宋体" w:cs="Times New Roman"/>
                <w:color w:val="auto"/>
                <w:sz w:val="21"/>
                <w:szCs w:val="24"/>
                <w:lang w:val="en-US" w:eastAsia="zh-CN" w:bidi="ar-SA"/>
              </w:rPr>
              <w:t>年</w:t>
            </w:r>
          </w:p>
        </w:tc>
        <w:tc>
          <w:tcPr>
            <w:tcW w:w="1620"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GB3095-2012 二级</w:t>
            </w:r>
          </w:p>
        </w:tc>
        <w:tc>
          <w:tcPr>
            <w:tcW w:w="2780" w:type="pct"/>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b/>
                <w:bCs/>
                <w:color w:val="auto"/>
                <w:kern w:val="2"/>
                <w:sz w:val="21"/>
                <w:szCs w:val="24"/>
                <w:lang w:val="en-US" w:eastAsia="zh-CN" w:bidi="ar-SA"/>
              </w:rPr>
              <w:t>声环境质量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项目</w:t>
            </w:r>
          </w:p>
        </w:tc>
        <w:tc>
          <w:tcPr>
            <w:tcW w:w="162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工业企业</w:t>
            </w:r>
          </w:p>
        </w:tc>
        <w:tc>
          <w:tcPr>
            <w:tcW w:w="278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交通干线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2025年</w:t>
            </w:r>
          </w:p>
        </w:tc>
        <w:tc>
          <w:tcPr>
            <w:tcW w:w="162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 xml:space="preserve">GB3096-2008 </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3类</w:t>
            </w:r>
          </w:p>
        </w:tc>
        <w:tc>
          <w:tcPr>
            <w:tcW w:w="278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GB3096-2008  4a类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lang w:eastAsia="zh-CN"/>
              </w:rPr>
              <w:t>2035年</w:t>
            </w:r>
          </w:p>
        </w:tc>
        <w:tc>
          <w:tcPr>
            <w:tcW w:w="162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GB3096-2008  3类</w:t>
            </w:r>
          </w:p>
        </w:tc>
        <w:tc>
          <w:tcPr>
            <w:tcW w:w="2780" w:type="pct"/>
            <w:gridSpan w:val="3"/>
            <w:tcBorders>
              <w:tl2br w:val="nil"/>
              <w:tr2bl w:val="nil"/>
            </w:tcBorders>
            <w:noWrap w:val="0"/>
            <w:vAlign w:val="center"/>
          </w:tcPr>
          <w:p>
            <w:pPr>
              <w:pStyle w:val="28"/>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cs="Times New Roman"/>
                <w:color w:val="auto"/>
              </w:rPr>
              <w:t>GB3096-2008  4a类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b/>
                <w:bCs/>
                <w:color w:val="auto"/>
                <w:sz w:val="21"/>
                <w:szCs w:val="24"/>
                <w:lang w:val="en-US" w:eastAsia="zh-CN" w:bidi="ar-SA"/>
              </w:rPr>
              <w:t>土壤环境质量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项目</w:t>
            </w:r>
          </w:p>
        </w:tc>
        <w:tc>
          <w:tcPr>
            <w:tcW w:w="44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二类用地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2025年</w:t>
            </w:r>
          </w:p>
        </w:tc>
        <w:tc>
          <w:tcPr>
            <w:tcW w:w="44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《土壤环境质量 建设用地土壤污染风险管控标准（试行）》筛选值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203</w:t>
            </w:r>
            <w:r>
              <w:rPr>
                <w:rFonts w:hint="eastAsia" w:eastAsia="宋体" w:cs="Times New Roman"/>
                <w:color w:val="auto"/>
                <w:sz w:val="21"/>
                <w:szCs w:val="24"/>
                <w:lang w:val="en-US" w:eastAsia="zh-CN" w:bidi="ar-SA"/>
              </w:rPr>
              <w:t>5</w:t>
            </w:r>
            <w:r>
              <w:rPr>
                <w:rFonts w:hint="default" w:ascii="Times New Roman" w:hAnsi="Times New Roman" w:eastAsia="宋体" w:cs="Times New Roman"/>
                <w:color w:val="auto"/>
                <w:sz w:val="21"/>
                <w:szCs w:val="24"/>
                <w:lang w:val="en-US" w:eastAsia="zh-CN" w:bidi="ar-SA"/>
              </w:rPr>
              <w:t>年</w:t>
            </w:r>
          </w:p>
        </w:tc>
        <w:tc>
          <w:tcPr>
            <w:tcW w:w="44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sz w:val="21"/>
                <w:szCs w:val="24"/>
                <w:lang w:val="en-US" w:eastAsia="zh-CN" w:bidi="ar-SA"/>
              </w:rPr>
              <w:t>《土壤环境质量 建设用地土壤污染风险管控标准（试行）》筛选值</w:t>
            </w:r>
          </w:p>
        </w:tc>
      </w:tr>
    </w:tbl>
    <w:p>
      <w:pPr>
        <w:pStyle w:val="5"/>
        <w:bidi w:val="0"/>
        <w:rPr>
          <w:rFonts w:hint="default"/>
          <w:color w:val="auto"/>
        </w:rPr>
      </w:pPr>
      <w:bookmarkStart w:id="96" w:name="_Toc8357"/>
      <w:bookmarkStart w:id="97" w:name="_Toc108789163"/>
      <w:r>
        <w:rPr>
          <w:rFonts w:hint="default"/>
          <w:color w:val="auto"/>
        </w:rPr>
        <w:t>污染物总量管控要求</w:t>
      </w:r>
      <w:bookmarkEnd w:id="96"/>
    </w:p>
    <w:p>
      <w:pPr>
        <w:bidi w:val="0"/>
        <w:rPr>
          <w:rFonts w:hint="eastAsia"/>
          <w:color w:val="auto"/>
          <w:lang w:val="en-US" w:eastAsia="zh-CN"/>
        </w:rPr>
      </w:pPr>
      <w:r>
        <w:rPr>
          <w:rFonts w:hint="eastAsia"/>
          <w:color w:val="auto"/>
          <w:lang w:val="en-US" w:eastAsia="zh-CN"/>
        </w:rPr>
        <w:t>阳新经济开发区滨江工业园（医药化工园区）污染物排放总量管控建议值如下：</w:t>
      </w:r>
    </w:p>
    <w:p>
      <w:pPr>
        <w:pStyle w:val="26"/>
        <w:bidi w:val="0"/>
        <w:rPr>
          <w:rFonts w:hint="default"/>
        </w:rPr>
      </w:pPr>
      <w:r>
        <w:rPr>
          <w:rFonts w:hint="eastAsia" w:ascii="Times New Roman" w:hAnsi="Times New Roman" w:cs="Times New Roman"/>
          <w:lang w:val="en-US" w:eastAsia="zh-CN"/>
        </w:rPr>
        <w:t>表</w:t>
      </w:r>
      <w:r>
        <w:rPr>
          <w:rFonts w:hint="eastAsia" w:cs="Times New Roman"/>
          <w:lang w:val="en-US" w:eastAsia="zh-CN"/>
        </w:rPr>
        <w:t>7.2.2</w:t>
      </w:r>
      <w:r>
        <w:rPr>
          <w:rFonts w:hint="eastAsia" w:ascii="Times New Roman" w:hAnsi="Times New Roman" w:cs="Times New Roman"/>
          <w:lang w:val="en-US" w:eastAsia="zh-CN"/>
        </w:rPr>
        <w:t>-</w:t>
      </w:r>
      <w:r>
        <w:rPr>
          <w:rFonts w:hint="eastAsia" w:cs="Times New Roman"/>
          <w:lang w:val="en-US" w:eastAsia="zh-CN"/>
        </w:rPr>
        <w:t>1</w:t>
      </w:r>
      <w:r>
        <w:rPr>
          <w:rFonts w:hint="eastAsia" w:ascii="Times New Roman" w:hAnsi="Times New Roman" w:cs="Times New Roman"/>
          <w:lang w:val="en-US" w:eastAsia="zh-CN"/>
        </w:rPr>
        <w:t xml:space="preserve"> </w:t>
      </w:r>
      <w:r>
        <w:rPr>
          <w:rFonts w:hint="default" w:ascii="Times New Roman" w:hAnsi="Times New Roman" w:cs="Times New Roman"/>
        </w:rPr>
        <w:t>园区</w:t>
      </w:r>
      <w:r>
        <w:rPr>
          <w:rFonts w:hint="eastAsia" w:cs="Times New Roman"/>
          <w:lang w:val="en-US" w:eastAsia="zh-CN"/>
        </w:rPr>
        <w:t>污染物排放总量管控限值</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854"/>
        <w:gridCol w:w="2009"/>
        <w:gridCol w:w="1396"/>
        <w:gridCol w:w="3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348" w:type="pct"/>
            <w:gridSpan w:val="3"/>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规划期</w:t>
            </w:r>
          </w:p>
        </w:tc>
        <w:tc>
          <w:tcPr>
            <w:tcW w:w="2651" w:type="pct"/>
            <w:gridSpan w:val="2"/>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规划期至2025年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348" w:type="pct"/>
            <w:gridSpan w:val="3"/>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rPr>
              <w:t>总量</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t</w:t>
            </w:r>
            <w:r>
              <w:rPr>
                <w:rFonts w:hint="default" w:ascii="Times New Roman" w:hAnsi="Times New Roman" w:cs="Times New Roman"/>
                <w:color w:val="auto"/>
                <w:lang w:eastAsia="zh-CN"/>
              </w:rPr>
              <w:t>）</w:t>
            </w:r>
          </w:p>
        </w:tc>
        <w:tc>
          <w:tcPr>
            <w:tcW w:w="1832"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环境质量变化趋势，能否达到环境质量底线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668"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水污染物总量管控限值（t/a）</w:t>
            </w: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COD</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32.30</w:t>
            </w:r>
          </w:p>
        </w:tc>
        <w:tc>
          <w:tcPr>
            <w:tcW w:w="1832"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园区</w:t>
            </w:r>
            <w:r>
              <w:rPr>
                <w:rFonts w:hint="default" w:ascii="Times New Roman" w:hAnsi="Times New Roman" w:cs="Times New Roman"/>
                <w:color w:val="auto"/>
              </w:rPr>
              <w:t>污水</w:t>
            </w:r>
            <w:r>
              <w:rPr>
                <w:rFonts w:hint="default" w:ascii="Times New Roman" w:hAnsi="Times New Roman" w:cs="Times New Roman"/>
                <w:color w:val="auto"/>
                <w:lang w:val="en-US" w:eastAsia="zh-CN"/>
              </w:rPr>
              <w:t>集中</w:t>
            </w:r>
            <w:r>
              <w:rPr>
                <w:rFonts w:hint="default" w:ascii="Times New Roman" w:hAnsi="Times New Roman" w:cs="Times New Roman"/>
                <w:color w:val="auto"/>
              </w:rPr>
              <w:t>收集处理，在</w:t>
            </w:r>
            <w:r>
              <w:rPr>
                <w:rFonts w:hint="eastAsia" w:cs="Times New Roman"/>
                <w:color w:val="auto"/>
                <w:lang w:val="en-US" w:eastAsia="zh-CN"/>
              </w:rPr>
              <w:t>受纳水体（长江）</w:t>
            </w:r>
            <w:r>
              <w:rPr>
                <w:rFonts w:hint="default" w:ascii="Times New Roman" w:hAnsi="Times New Roman" w:cs="Times New Roman"/>
                <w:color w:val="auto"/>
              </w:rPr>
              <w:t>水环境承载能力范围内，</w:t>
            </w:r>
            <w:r>
              <w:rPr>
                <w:rFonts w:hint="eastAsia" w:cs="Times New Roman"/>
                <w:color w:val="auto"/>
                <w:lang w:val="en-US" w:eastAsia="zh-CN"/>
              </w:rPr>
              <w:t>长江</w:t>
            </w:r>
            <w:r>
              <w:rPr>
                <w:rFonts w:hint="default" w:ascii="Times New Roman" w:hAnsi="Times New Roman" w:cs="Times New Roman"/>
                <w:color w:val="auto"/>
              </w:rPr>
              <w:t>水环</w:t>
            </w:r>
            <w:r>
              <w:rPr>
                <w:rFonts w:hint="default" w:ascii="Times New Roman" w:hAnsi="Times New Roman" w:cs="Times New Roman"/>
                <w:color w:val="auto"/>
                <w:lang w:val="en-US" w:eastAsia="zh-CN"/>
              </w:rPr>
              <w:t>能满足功能区划要求，能达到环境质量底线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68.47</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氨氮</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2.91</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6.53</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大气污染物总量管控限值（t/a）</w:t>
            </w: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颗粒物</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cs="Times New Roman"/>
                <w:color w:val="auto"/>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2.237</w:t>
            </w:r>
          </w:p>
        </w:tc>
        <w:tc>
          <w:tcPr>
            <w:tcW w:w="1832"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eastAsia="zh-CN"/>
              </w:rPr>
            </w:pPr>
            <w:r>
              <w:rPr>
                <w:rFonts w:hint="eastAsia" w:cs="Times New Roman"/>
                <w:color w:val="auto"/>
                <w:lang w:val="en-US" w:eastAsia="zh-CN"/>
              </w:rPr>
              <w:t>未超过现有企业排许可证许可排放总量之和，</w:t>
            </w:r>
            <w:r>
              <w:rPr>
                <w:rFonts w:hint="default" w:ascii="Times New Roman" w:hAnsi="Times New Roman" w:cs="Times New Roman"/>
                <w:color w:val="auto"/>
                <w:lang w:val="en-US" w:eastAsia="zh-CN"/>
              </w:rPr>
              <w:t>区域</w:t>
            </w:r>
            <w:r>
              <w:rPr>
                <w:rFonts w:hint="eastAsia" w:cs="Times New Roman"/>
                <w:color w:val="auto"/>
                <w:lang w:val="en-US" w:eastAsia="zh-CN"/>
              </w:rPr>
              <w:t>污染物排放总量不增加，</w:t>
            </w:r>
            <w:r>
              <w:rPr>
                <w:rFonts w:hint="default" w:ascii="Times New Roman" w:hAnsi="Times New Roman" w:cs="Times New Roman"/>
                <w:color w:val="auto"/>
                <w:lang w:val="en-US" w:eastAsia="zh-CN"/>
              </w:rPr>
              <w:t>环境不会恶化，能达到环境质量底线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cs="Times New Roman"/>
                <w:color w:val="auto"/>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000000"/>
                <w:kern w:val="0"/>
                <w:sz w:val="21"/>
                <w:szCs w:val="21"/>
                <w:u w:val="none"/>
                <w:lang w:val="en-US" w:eastAsia="zh-CN" w:bidi="ar"/>
              </w:rPr>
              <w:t>9.857</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SO</w:t>
            </w:r>
            <w:r>
              <w:rPr>
                <w:rFonts w:hint="default" w:ascii="Times New Roman" w:hAnsi="Times New Roman" w:cs="Times New Roman"/>
                <w:color w:val="auto"/>
                <w:vertAlign w:val="subscript"/>
                <w:lang w:val="en-US" w:eastAsia="zh-CN"/>
              </w:rPr>
              <w:t>2</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cs="Times New Roman"/>
                <w:color w:val="auto"/>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28.139</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cs="Times New Roman"/>
                <w:color w:val="auto"/>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43.941</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NOx</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40.779</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ind w:firstLine="0" w:firstLineChars="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59.369</w:t>
            </w:r>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rPr>
              <w:t>VOC</w:t>
            </w:r>
            <w:r>
              <w:rPr>
                <w:rFonts w:hint="default" w:ascii="Times New Roman" w:hAnsi="Times New Roman" w:cs="Times New Roman"/>
                <w:color w:val="auto"/>
                <w:lang w:val="en-US" w:eastAsia="zh-CN"/>
              </w:rPr>
              <w:t>s</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现状排放量</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21.146</w:t>
            </w:r>
          </w:p>
        </w:tc>
        <w:tc>
          <w:tcPr>
            <w:tcW w:w="1832"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满足VOC</w:t>
            </w:r>
            <w:r>
              <w:rPr>
                <w:rFonts w:hint="default" w:ascii="Times New Roman" w:hAnsi="Times New Roman" w:cs="Times New Roman"/>
                <w:color w:val="auto"/>
                <w:lang w:val="en-US" w:eastAsia="zh-CN"/>
              </w:rPr>
              <w:t>s</w:t>
            </w:r>
            <w:r>
              <w:rPr>
                <w:rFonts w:hint="default" w:ascii="Times New Roman" w:hAnsi="Times New Roman" w:cs="Times New Roman"/>
                <w:color w:val="auto"/>
              </w:rPr>
              <w:t>排放相关要求，区域内环</w:t>
            </w:r>
            <w:r>
              <w:rPr>
                <w:rFonts w:hint="eastAsia" w:cs="Times New Roman"/>
                <w:color w:val="auto"/>
                <w:lang w:val="en-US" w:eastAsia="zh-CN"/>
              </w:rPr>
              <w:t>环</w:t>
            </w:r>
            <w:r>
              <w:rPr>
                <w:rFonts w:hint="default" w:ascii="Times New Roman" w:hAnsi="Times New Roman" w:cs="Times New Roman"/>
                <w:color w:val="auto"/>
              </w:rPr>
              <w:t>境不会恶化，能达到环境质量底线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501"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本轮总量管控限值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22.336</w:t>
            </w:r>
            <w:bookmarkStart w:id="105" w:name="_GoBack"/>
            <w:bookmarkEnd w:id="105"/>
          </w:p>
        </w:tc>
        <w:tc>
          <w:tcPr>
            <w:tcW w:w="1832"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9" w:type="pct"/>
            <w:gridSpan w:val="2"/>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危险废物管控总量限值</w:t>
            </w:r>
          </w:p>
        </w:tc>
        <w:tc>
          <w:tcPr>
            <w:tcW w:w="1178"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总量管控限值</w:t>
            </w:r>
          </w:p>
        </w:tc>
        <w:tc>
          <w:tcPr>
            <w:tcW w:w="819"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全部交由有资质单位进行处置</w:t>
            </w:r>
          </w:p>
        </w:tc>
        <w:tc>
          <w:tcPr>
            <w:tcW w:w="1832" w:type="pct"/>
            <w:vAlign w:val="center"/>
          </w:tcPr>
          <w:p>
            <w:pPr>
              <w:pStyle w:val="28"/>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auto"/>
              </w:rPr>
            </w:pPr>
            <w:r>
              <w:rPr>
                <w:rFonts w:hint="default" w:ascii="Times New Roman" w:hAnsi="Times New Roman" w:cs="Times New Roman"/>
                <w:color w:val="auto"/>
              </w:rPr>
              <w:t>危废全部合理处置，能达到环境质量底线</w:t>
            </w:r>
          </w:p>
        </w:tc>
      </w:tr>
    </w:tbl>
    <w:p>
      <w:pPr>
        <w:pStyle w:val="4"/>
        <w:keepNext/>
        <w:keepLines/>
        <w:pageBreakBefore w:val="0"/>
        <w:widowControl w:val="0"/>
        <w:kinsoku/>
        <w:wordWrap/>
        <w:overflowPunct/>
        <w:topLinePunct w:val="0"/>
        <w:autoSpaceDE/>
        <w:autoSpaceDN/>
        <w:bidi w:val="0"/>
        <w:adjustRightInd/>
        <w:snapToGrid/>
        <w:spacing w:line="416" w:lineRule="auto"/>
        <w:ind w:left="0" w:leftChars="0" w:firstLineChars="0"/>
        <w:jc w:val="both"/>
        <w:textAlignment w:val="auto"/>
        <w:rPr>
          <w:rFonts w:hint="default"/>
          <w:color w:val="auto"/>
        </w:rPr>
      </w:pPr>
      <w:bookmarkStart w:id="98" w:name="_Toc13718"/>
      <w:bookmarkStart w:id="99" w:name="_Toc24736"/>
      <w:r>
        <w:rPr>
          <w:rFonts w:hint="default"/>
          <w:color w:val="auto"/>
        </w:rPr>
        <w:t>资源开发利用</w:t>
      </w:r>
      <w:bookmarkEnd w:id="97"/>
      <w:bookmarkEnd w:id="98"/>
      <w:bookmarkEnd w:id="99"/>
    </w:p>
    <w:p>
      <w:pPr>
        <w:pStyle w:val="5"/>
        <w:bidi w:val="0"/>
        <w:rPr>
          <w:rFonts w:hint="default"/>
          <w:color w:val="auto"/>
        </w:rPr>
      </w:pPr>
      <w:bookmarkStart w:id="100" w:name="_Toc108789164"/>
      <w:bookmarkStart w:id="101" w:name="_Toc25626"/>
      <w:r>
        <w:rPr>
          <w:rFonts w:hint="default"/>
          <w:color w:val="auto"/>
        </w:rPr>
        <w:t>土地资源利用总量管控</w:t>
      </w:r>
      <w:bookmarkEnd w:id="100"/>
      <w:bookmarkEnd w:id="101"/>
    </w:p>
    <w:p>
      <w:pPr>
        <w:ind w:firstLine="480"/>
        <w:rPr>
          <w:rFonts w:hint="default" w:ascii="Times New Roman" w:hAnsi="Times New Roman" w:cs="Times New Roman"/>
          <w:color w:val="auto"/>
        </w:rPr>
      </w:pPr>
      <w:r>
        <w:rPr>
          <w:rFonts w:hint="default" w:ascii="Times New Roman" w:hAnsi="Times New Roman" w:cs="Times New Roman"/>
          <w:color w:val="auto"/>
        </w:rPr>
        <w:t>本次评价建议，区域土地利用、开发建设，建设范围不得突破园区规划范围，即</w:t>
      </w:r>
      <w:r>
        <w:rPr>
          <w:rFonts w:hint="eastAsia" w:cs="Times New Roman"/>
          <w:color w:val="auto"/>
          <w:lang w:val="en-US" w:eastAsia="zh-CN"/>
        </w:rPr>
        <w:t>169.45</w:t>
      </w:r>
      <w:r>
        <w:rPr>
          <w:rFonts w:hint="default" w:ascii="Times New Roman" w:hAnsi="Times New Roman" w:cs="Times New Roman"/>
          <w:color w:val="auto"/>
          <w:lang w:val="en-US" w:eastAsia="zh-CN"/>
        </w:rPr>
        <w:t>公顷</w:t>
      </w:r>
      <w:r>
        <w:rPr>
          <w:rFonts w:hint="default" w:ascii="Times New Roman" w:hAnsi="Times New Roman" w:cs="Times New Roman"/>
          <w:color w:val="auto"/>
        </w:rPr>
        <w:t>；建设用地面积不得突破规划面积，即</w:t>
      </w:r>
      <w:r>
        <w:rPr>
          <w:rFonts w:hint="eastAsia" w:cs="Times New Roman"/>
          <w:color w:val="auto"/>
          <w:lang w:val="en-US" w:eastAsia="zh-CN"/>
        </w:rPr>
        <w:t>157.77</w:t>
      </w:r>
      <w:r>
        <w:rPr>
          <w:rFonts w:hint="default" w:ascii="Times New Roman" w:hAnsi="Times New Roman" w:cs="Times New Roman"/>
          <w:color w:val="auto"/>
          <w:lang w:val="en-US" w:eastAsia="zh-CN"/>
        </w:rPr>
        <w:t>公顷</w:t>
      </w:r>
      <w:r>
        <w:rPr>
          <w:rFonts w:hint="eastAsia" w:cs="Times New Roman"/>
          <w:color w:val="auto"/>
          <w:lang w:eastAsia="zh-CN"/>
        </w:rPr>
        <w:t>，</w:t>
      </w:r>
      <w:r>
        <w:rPr>
          <w:rFonts w:hint="eastAsia" w:cs="Times New Roman"/>
          <w:color w:val="auto"/>
          <w:lang w:val="en-US" w:eastAsia="zh-CN"/>
        </w:rPr>
        <w:t>工业用地面积不得突破规划面积，即132.15</w:t>
      </w:r>
      <w:r>
        <w:rPr>
          <w:rFonts w:hint="default" w:ascii="Times New Roman" w:hAnsi="Times New Roman" w:cs="Times New Roman"/>
          <w:color w:val="auto"/>
          <w:lang w:val="en-US" w:eastAsia="zh-CN"/>
        </w:rPr>
        <w:t>公顷</w:t>
      </w:r>
      <w:r>
        <w:rPr>
          <w:rFonts w:hint="default" w:ascii="Times New Roman" w:hAnsi="Times New Roman" w:cs="Times New Roman"/>
          <w:color w:val="auto"/>
        </w:rPr>
        <w:t>。</w:t>
      </w:r>
    </w:p>
    <w:p>
      <w:pPr>
        <w:pStyle w:val="5"/>
        <w:bidi w:val="0"/>
        <w:rPr>
          <w:rFonts w:hint="default"/>
          <w:color w:val="auto"/>
        </w:rPr>
      </w:pPr>
      <w:bookmarkStart w:id="102" w:name="_Toc108789165"/>
      <w:bookmarkStart w:id="103" w:name="_Toc18745"/>
      <w:r>
        <w:rPr>
          <w:rFonts w:hint="default"/>
          <w:color w:val="auto"/>
        </w:rPr>
        <w:t>水资源、能源利用总量管控</w:t>
      </w:r>
      <w:bookmarkEnd w:id="102"/>
      <w:bookmarkEnd w:id="103"/>
    </w:p>
    <w:p>
      <w:pPr>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rPr>
        <w:t>本次评价建议，区域水资源、能源利用应满足清洁生产相关要求，具体为：单万元工业增加值综合能耗≤0.5吨标煤</w:t>
      </w:r>
      <w:r>
        <w:rPr>
          <w:rFonts w:hint="default" w:ascii="Times New Roman" w:hAnsi="Times New Roman" w:cs="Times New Roman"/>
          <w:color w:val="auto"/>
          <w:lang w:eastAsia="zh-CN"/>
        </w:rPr>
        <w:t>；</w:t>
      </w:r>
      <w:r>
        <w:rPr>
          <w:rFonts w:hint="default" w:ascii="Times New Roman" w:hAnsi="Times New Roman" w:cs="Times New Roman"/>
          <w:color w:val="auto"/>
        </w:rPr>
        <w:t>工业用水重复利用率≥75%</w:t>
      </w:r>
      <w:r>
        <w:rPr>
          <w:rFonts w:hint="default" w:ascii="Times New Roman" w:hAnsi="Times New Roman" w:cs="Times New Roman"/>
          <w:color w:val="auto"/>
          <w:lang w:eastAsia="zh-CN"/>
        </w:rPr>
        <w:t>；</w:t>
      </w:r>
      <w:r>
        <w:rPr>
          <w:rFonts w:hint="default" w:ascii="Times New Roman" w:hAnsi="Times New Roman" w:cs="Times New Roman"/>
          <w:color w:val="auto"/>
        </w:rPr>
        <w:t>万元工业增加值新鲜水耗≤8立方米。</w:t>
      </w:r>
    </w:p>
    <w:p>
      <w:pPr>
        <w:bidi w:val="0"/>
        <w:rPr>
          <w:rFonts w:hint="default"/>
          <w:lang w:val="en-US" w:eastAsia="zh-CN"/>
        </w:rPr>
      </w:pPr>
      <w:r>
        <w:rPr>
          <w:rFonts w:hint="default"/>
        </w:rPr>
        <w:br w:type="page"/>
      </w:r>
    </w:p>
    <w:p>
      <w:pPr>
        <w:pStyle w:val="3"/>
        <w:bidi w:val="0"/>
        <w:rPr>
          <w:rFonts w:hint="default"/>
          <w:lang w:val="en-US" w:eastAsia="zh-CN"/>
        </w:rPr>
      </w:pPr>
      <w:bookmarkStart w:id="104" w:name="_Toc27347"/>
      <w:r>
        <w:rPr>
          <w:rFonts w:hint="eastAsia"/>
          <w:lang w:val="en-US" w:eastAsia="zh-CN"/>
        </w:rPr>
        <w:t>评价结论</w:t>
      </w:r>
      <w:bookmarkEnd w:id="104"/>
    </w:p>
    <w:p>
      <w:pPr>
        <w:ind w:firstLine="480"/>
        <w:rPr>
          <w:rFonts w:hint="default" w:ascii="Times New Roman" w:hAnsi="Times New Roman" w:cs="Times New Roman"/>
          <w:color w:val="auto"/>
        </w:rPr>
      </w:pPr>
      <w:r>
        <w:rPr>
          <w:rFonts w:hint="default" w:ascii="Times New Roman" w:hAnsi="Times New Roman" w:cs="Times New Roman"/>
          <w:color w:val="auto"/>
        </w:rPr>
        <w:t>《阳新经济开发区滨江工业园（医药化工园区）（2022-2035年）》总体符合上位规划和相关规划要求，功能布局、产业定位、产业结构与区域发展战略相符合。</w:t>
      </w:r>
    </w:p>
    <w:p>
      <w:pPr>
        <w:ind w:firstLine="480"/>
        <w:rPr>
          <w:rFonts w:hint="default" w:ascii="Times New Roman" w:hAnsi="Times New Roman" w:cs="Times New Roman"/>
          <w:color w:val="auto"/>
        </w:rPr>
      </w:pPr>
      <w:r>
        <w:rPr>
          <w:rFonts w:hint="default" w:ascii="Times New Roman" w:hAnsi="Times New Roman" w:cs="Times New Roman"/>
          <w:color w:val="auto"/>
        </w:rPr>
        <w:t>规划的实施具有广泛的经济效益、社会效益，对于促进区域经济的转型升级及人民生活水平提高具有重要的意义。规划区域在保持区域生态平衡和可持续发展的前提下，集约利用土地，提高土地效用。</w:t>
      </w:r>
    </w:p>
    <w:p>
      <w:pPr>
        <w:ind w:firstLine="480"/>
        <w:rPr>
          <w:rFonts w:hint="default" w:ascii="Times New Roman" w:hAnsi="Times New Roman" w:cs="Times New Roman"/>
          <w:color w:val="auto"/>
        </w:rPr>
      </w:pPr>
      <w:r>
        <w:rPr>
          <w:rFonts w:hint="default" w:ascii="Times New Roman" w:hAnsi="Times New Roman" w:cs="Times New Roman"/>
          <w:color w:val="auto"/>
        </w:rPr>
        <w:t>规划实施过程中应充分采纳环境主管部门和本评价提出的各项建议，关注各项环境保护规划和措施的落实。</w:t>
      </w:r>
    </w:p>
    <w:p>
      <w:pPr>
        <w:ind w:firstLine="480"/>
        <w:rPr>
          <w:rFonts w:hint="default" w:ascii="Times New Roman" w:hAnsi="Times New Roman" w:cs="Times New Roman"/>
          <w:color w:val="auto"/>
        </w:rPr>
      </w:pPr>
      <w:r>
        <w:rPr>
          <w:rFonts w:hint="default" w:ascii="Times New Roman" w:hAnsi="Times New Roman" w:cs="Times New Roman"/>
          <w:color w:val="auto"/>
        </w:rPr>
        <w:t>根据资源环境、区域经济发展、产业定位及规划布局综合评价，本次规划</w:t>
      </w:r>
      <w:r>
        <w:rPr>
          <w:rFonts w:hint="eastAsia" w:cs="Times New Roman"/>
          <w:color w:val="auto"/>
          <w:lang w:val="en-US" w:eastAsia="zh-CN"/>
        </w:rPr>
        <w:t>在严格落实环保保护相关政策要求后，</w:t>
      </w:r>
      <w:r>
        <w:rPr>
          <w:rFonts w:hint="default" w:ascii="Times New Roman" w:hAnsi="Times New Roman" w:cs="Times New Roman"/>
          <w:color w:val="auto"/>
        </w:rPr>
        <w:t>总体可行。</w:t>
      </w:r>
    </w:p>
    <w:p>
      <w:pPr>
        <w:ind w:firstLine="480"/>
        <w:rPr>
          <w:rFonts w:hint="default" w:ascii="Times New Roman" w:hAnsi="Times New Roman" w:cs="Times New Roman"/>
          <w:color w:val="auto"/>
        </w:rPr>
      </w:pPr>
    </w:p>
    <w:p>
      <w:pPr>
        <w:pStyle w:val="44"/>
        <w:rPr>
          <w:rFonts w:hint="default" w:ascii="Times New Roman" w:hAnsi="Times New Roman" w:cs="Times New Roman"/>
          <w:color w:val="auto"/>
          <w:lang w:val="en-US" w:eastAsia="zh-CN"/>
        </w:rPr>
      </w:pPr>
    </w:p>
    <w:p>
      <w:pPr>
        <w:spacing w:beforeLines="0" w:afterLines="0" w:line="360" w:lineRule="auto"/>
        <w:ind w:firstLine="468" w:firstLineChars="200"/>
        <w:rPr>
          <w:rFonts w:hint="default" w:ascii="Times New Roman" w:hAnsi="Times New Roman"/>
          <w:spacing w:val="-3"/>
          <w:kern w:val="2"/>
          <w:sz w:val="24"/>
          <w:szCs w:val="24"/>
          <w:lang w:eastAsia="zh-CN" w:bidi="zh-CN"/>
        </w:rPr>
      </w:pPr>
    </w:p>
    <w:p>
      <w:pPr>
        <w:rPr>
          <w:rFonts w:hint="eastAsia"/>
          <w:lang w:val="en-US" w:eastAsia="zh-CN"/>
        </w:rPr>
      </w:pPr>
    </w:p>
    <w:p>
      <w:pPr>
        <w:rPr>
          <w:rFonts w:hint="eastAsia"/>
          <w:color w:val="auto"/>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094833"/>
      <w:docPartObj>
        <w:docPartGallery w:val="autotext"/>
      </w:docPartObj>
    </w:sdtPr>
    <w:sdtContent>
      <w:p>
        <w:pPr>
          <w:tabs>
            <w:tab w:val="center" w:pos="4153"/>
            <w:tab w:val="right" w:pos="8306"/>
          </w:tabs>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top w:val="none" w:color="auto" w:sz="0" w:space="1"/>
        <w:left w:val="none" w:color="auto" w:sz="0" w:space="4"/>
        <w:bottom w:val="thinThickSmallGap" w:color="auto" w:sz="24" w:space="1"/>
        <w:right w:val="none" w:color="auto" w:sz="0" w:space="4"/>
        <w:between w:val="none" w:color="auto" w:sz="0" w:space="0"/>
      </w:pBdr>
      <w:kinsoku/>
      <w:wordWrap/>
      <w:overflowPunct/>
      <w:topLinePunct w:val="0"/>
      <w:autoSpaceDE/>
      <w:autoSpaceDN/>
      <w:bidi w:val="0"/>
      <w:adjustRightInd/>
      <w:snapToGrid w:val="0"/>
      <w:spacing w:line="240" w:lineRule="auto"/>
      <w:ind w:firstLine="360" w:firstLineChars="200"/>
      <w:jc w:val="center"/>
      <w:textAlignment w:val="auto"/>
      <w:rPr>
        <w:rFonts w:hint="eastAsia" w:eastAsia="宋体"/>
        <w:lang w:eastAsia="zh-CN"/>
      </w:rPr>
    </w:pPr>
    <w:r>
      <w:rPr>
        <w:rFonts w:hint="eastAsia"/>
      </w:rPr>
      <w:t>阳新经济开发区滨江工业园（医药化工园区）总体规划环境影响报告书</w:t>
    </w:r>
    <w:r>
      <w:rPr>
        <w:rFonts w:hint="eastAsia"/>
        <w:lang w:eastAsia="zh-CN"/>
      </w:rPr>
      <w:t>（</w:t>
    </w:r>
    <w:r>
      <w:rPr>
        <w:rFonts w:hint="eastAsia"/>
        <w:lang w:val="en-US" w:eastAsia="zh-CN"/>
      </w:rPr>
      <w:t>征求意见稿</w:t>
    </w:r>
    <w:r>
      <w:rPr>
        <w:rFonts w:hint="eastAsia"/>
        <w:lang w:eastAsia="zh-CN"/>
      </w:rPr>
      <w:t>）</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84018"/>
    <w:multiLevelType w:val="multilevel"/>
    <w:tmpl w:val="83084018"/>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3D2809EE"/>
    <w:multiLevelType w:val="singleLevel"/>
    <w:tmpl w:val="3D2809EE"/>
    <w:lvl w:ilvl="0" w:tentative="0">
      <w:start w:val="2"/>
      <w:numFmt w:val="decimal"/>
      <w:suff w:val="nothing"/>
      <w:lvlText w:val="（%1）"/>
      <w:lvlJc w:val="left"/>
    </w:lvl>
  </w:abstractNum>
  <w:abstractNum w:abstractNumId="2">
    <w:nsid w:val="3E1D675B"/>
    <w:multiLevelType w:val="singleLevel"/>
    <w:tmpl w:val="3E1D675B"/>
    <w:lvl w:ilvl="0" w:tentative="0">
      <w:start w:val="1"/>
      <w:numFmt w:val="decimal"/>
      <w:suff w:val="nothing"/>
      <w:lvlText w:val="（%1）"/>
      <w:lvlJc w:val="left"/>
    </w:lvl>
  </w:abstractNum>
  <w:abstractNum w:abstractNumId="3">
    <w:nsid w:val="4C28F02F"/>
    <w:multiLevelType w:val="singleLevel"/>
    <w:tmpl w:val="4C28F02F"/>
    <w:lvl w:ilvl="0" w:tentative="0">
      <w:start w:val="1"/>
      <w:numFmt w:val="decimal"/>
      <w:suff w:val="nothing"/>
      <w:lvlText w:val="（%1）"/>
      <w:lvlJc w:val="left"/>
    </w:lvl>
  </w:abstractNum>
  <w:abstractNum w:abstractNumId="4">
    <w:nsid w:val="7BE26BDF"/>
    <w:multiLevelType w:val="multilevel"/>
    <w:tmpl w:val="7BE26BDF"/>
    <w:lvl w:ilvl="0" w:tentative="0">
      <w:start w:val="1"/>
      <w:numFmt w:val="decimal"/>
      <w:pStyle w:val="3"/>
      <w:lvlText w:val="%1"/>
      <w:lvlJc w:val="left"/>
      <w:pPr>
        <w:ind w:left="3120" w:firstLine="0"/>
      </w:pPr>
      <w:rPr>
        <w:rFonts w:hint="default" w:ascii="Times New Roman" w:hAnsi="Times New Roman" w:eastAsia="黑体"/>
        <w:b/>
        <w:i w:val="0"/>
        <w:sz w:val="44"/>
      </w:rPr>
    </w:lvl>
    <w:lvl w:ilvl="1" w:tentative="0">
      <w:start w:val="1"/>
      <w:numFmt w:val="decimal"/>
      <w:pStyle w:val="4"/>
      <w:lvlText w:val="%1.%2"/>
      <w:lvlJc w:val="left"/>
      <w:pPr>
        <w:ind w:left="2160" w:firstLine="0"/>
      </w:pPr>
      <w:rPr>
        <w:rFonts w:hint="default" w:ascii="Times New Roman" w:hAnsi="Times New Roman" w:eastAsia="黑体"/>
        <w:b/>
        <w:i w:val="0"/>
        <w:sz w:val="32"/>
      </w:rPr>
    </w:lvl>
    <w:lvl w:ilvl="2" w:tentative="0">
      <w:start w:val="1"/>
      <w:numFmt w:val="decimal"/>
      <w:pStyle w:val="5"/>
      <w:lvlText w:val="%1.%2.%3"/>
      <w:lvlJc w:val="left"/>
      <w:pPr>
        <w:ind w:left="0" w:firstLine="0"/>
      </w:pPr>
      <w:rPr>
        <w:rFonts w:hint="default" w:ascii="Times New Roman" w:hAnsi="Times New Roman" w:eastAsia="宋体"/>
        <w:b/>
        <w:i w:val="0"/>
        <w:sz w:val="30"/>
      </w:rPr>
    </w:lvl>
    <w:lvl w:ilvl="3" w:tentative="0">
      <w:start w:val="1"/>
      <w:numFmt w:val="decimal"/>
      <w:pStyle w:val="6"/>
      <w:lvlText w:val="%1.%2.%3.%4"/>
      <w:lvlJc w:val="left"/>
      <w:pPr>
        <w:ind w:left="0" w:firstLine="0"/>
      </w:pPr>
      <w:rPr>
        <w:rFonts w:hint="default" w:ascii="Times New Roman" w:hAnsi="Times New Roman" w:eastAsia="宋体"/>
        <w:b/>
        <w:bCs/>
        <w:i w:val="0"/>
        <w:sz w:val="28"/>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iYzYxOGZhMDkwY2Q3ZThkZTY2ZmJlMTdlOWNjNTMifQ=="/>
  </w:docVars>
  <w:rsids>
    <w:rsidRoot w:val="00E269CE"/>
    <w:rsid w:val="000110E2"/>
    <w:rsid w:val="0004443D"/>
    <w:rsid w:val="00050648"/>
    <w:rsid w:val="00072DEB"/>
    <w:rsid w:val="00076E2B"/>
    <w:rsid w:val="000A49C9"/>
    <w:rsid w:val="000D2A79"/>
    <w:rsid w:val="0010526E"/>
    <w:rsid w:val="001720F7"/>
    <w:rsid w:val="00183225"/>
    <w:rsid w:val="00194AAC"/>
    <w:rsid w:val="001A294D"/>
    <w:rsid w:val="001C2355"/>
    <w:rsid w:val="001E502B"/>
    <w:rsid w:val="00231B8C"/>
    <w:rsid w:val="00246702"/>
    <w:rsid w:val="0025244C"/>
    <w:rsid w:val="00252B7B"/>
    <w:rsid w:val="002A5FC1"/>
    <w:rsid w:val="002A70F4"/>
    <w:rsid w:val="002E0E54"/>
    <w:rsid w:val="0030197D"/>
    <w:rsid w:val="00346559"/>
    <w:rsid w:val="00362A35"/>
    <w:rsid w:val="00364F49"/>
    <w:rsid w:val="00376021"/>
    <w:rsid w:val="00385C31"/>
    <w:rsid w:val="003A6FD6"/>
    <w:rsid w:val="003B1804"/>
    <w:rsid w:val="00401A27"/>
    <w:rsid w:val="004070C6"/>
    <w:rsid w:val="004379F7"/>
    <w:rsid w:val="00444D76"/>
    <w:rsid w:val="004568DF"/>
    <w:rsid w:val="00474298"/>
    <w:rsid w:val="004854C4"/>
    <w:rsid w:val="004C6D52"/>
    <w:rsid w:val="004D7745"/>
    <w:rsid w:val="004E2D7C"/>
    <w:rsid w:val="00527F43"/>
    <w:rsid w:val="005C7631"/>
    <w:rsid w:val="005D0A1E"/>
    <w:rsid w:val="005F666E"/>
    <w:rsid w:val="00607732"/>
    <w:rsid w:val="00613CBB"/>
    <w:rsid w:val="006217B4"/>
    <w:rsid w:val="00661C48"/>
    <w:rsid w:val="0067371B"/>
    <w:rsid w:val="006D0891"/>
    <w:rsid w:val="006F35B9"/>
    <w:rsid w:val="00706C77"/>
    <w:rsid w:val="00752C1B"/>
    <w:rsid w:val="007F423F"/>
    <w:rsid w:val="00801761"/>
    <w:rsid w:val="008821E1"/>
    <w:rsid w:val="00953EEF"/>
    <w:rsid w:val="00992BDF"/>
    <w:rsid w:val="009E4D21"/>
    <w:rsid w:val="00A0794F"/>
    <w:rsid w:val="00A15027"/>
    <w:rsid w:val="00A40A37"/>
    <w:rsid w:val="00A47448"/>
    <w:rsid w:val="00A647AD"/>
    <w:rsid w:val="00AB51B9"/>
    <w:rsid w:val="00AB5A7C"/>
    <w:rsid w:val="00AE3FE3"/>
    <w:rsid w:val="00AF04BB"/>
    <w:rsid w:val="00B25D5B"/>
    <w:rsid w:val="00B4390F"/>
    <w:rsid w:val="00B44C3C"/>
    <w:rsid w:val="00B95DBB"/>
    <w:rsid w:val="00BA1184"/>
    <w:rsid w:val="00BA5C95"/>
    <w:rsid w:val="00BA78B2"/>
    <w:rsid w:val="00BD2F86"/>
    <w:rsid w:val="00C34DAD"/>
    <w:rsid w:val="00C3726F"/>
    <w:rsid w:val="00C47357"/>
    <w:rsid w:val="00CD18C1"/>
    <w:rsid w:val="00D0748C"/>
    <w:rsid w:val="00D2655F"/>
    <w:rsid w:val="00D76EA9"/>
    <w:rsid w:val="00D8688E"/>
    <w:rsid w:val="00D93434"/>
    <w:rsid w:val="00D97CC7"/>
    <w:rsid w:val="00DE2F11"/>
    <w:rsid w:val="00DE7D4F"/>
    <w:rsid w:val="00E269CE"/>
    <w:rsid w:val="00E62E55"/>
    <w:rsid w:val="00E92D47"/>
    <w:rsid w:val="00ED0192"/>
    <w:rsid w:val="00EE6E80"/>
    <w:rsid w:val="00F22F9D"/>
    <w:rsid w:val="00F6458C"/>
    <w:rsid w:val="00F8006E"/>
    <w:rsid w:val="00F81C08"/>
    <w:rsid w:val="00FA2302"/>
    <w:rsid w:val="00FC1F15"/>
    <w:rsid w:val="00FD38D2"/>
    <w:rsid w:val="00FE083D"/>
    <w:rsid w:val="012B64AF"/>
    <w:rsid w:val="013265DF"/>
    <w:rsid w:val="01385F6D"/>
    <w:rsid w:val="017915A8"/>
    <w:rsid w:val="01797C67"/>
    <w:rsid w:val="01B45EC4"/>
    <w:rsid w:val="01D31020"/>
    <w:rsid w:val="020236B3"/>
    <w:rsid w:val="0246596C"/>
    <w:rsid w:val="0253666C"/>
    <w:rsid w:val="02732A09"/>
    <w:rsid w:val="02837479"/>
    <w:rsid w:val="028408CB"/>
    <w:rsid w:val="02CF7A3A"/>
    <w:rsid w:val="031A08EE"/>
    <w:rsid w:val="03336DFF"/>
    <w:rsid w:val="03912BAA"/>
    <w:rsid w:val="03D25772"/>
    <w:rsid w:val="03F67E59"/>
    <w:rsid w:val="04434D68"/>
    <w:rsid w:val="046C5C25"/>
    <w:rsid w:val="046D0DC6"/>
    <w:rsid w:val="05523641"/>
    <w:rsid w:val="05BC0528"/>
    <w:rsid w:val="05E626C6"/>
    <w:rsid w:val="06DA7EF0"/>
    <w:rsid w:val="06F13473"/>
    <w:rsid w:val="078F59E9"/>
    <w:rsid w:val="07CB0FB1"/>
    <w:rsid w:val="080E566C"/>
    <w:rsid w:val="08153ED0"/>
    <w:rsid w:val="08854B16"/>
    <w:rsid w:val="08863819"/>
    <w:rsid w:val="08941E5F"/>
    <w:rsid w:val="08CB2A51"/>
    <w:rsid w:val="08E476EB"/>
    <w:rsid w:val="09123D3B"/>
    <w:rsid w:val="094C023E"/>
    <w:rsid w:val="09944C60"/>
    <w:rsid w:val="099F623E"/>
    <w:rsid w:val="0A3B59B5"/>
    <w:rsid w:val="0A3C0923"/>
    <w:rsid w:val="0AC56433"/>
    <w:rsid w:val="0AEC3153"/>
    <w:rsid w:val="0AF661EE"/>
    <w:rsid w:val="0BAA49FC"/>
    <w:rsid w:val="0BB05A36"/>
    <w:rsid w:val="0BBD3FC6"/>
    <w:rsid w:val="0C6311BB"/>
    <w:rsid w:val="0DA03D92"/>
    <w:rsid w:val="0DB3336D"/>
    <w:rsid w:val="0DC7755F"/>
    <w:rsid w:val="0E073C01"/>
    <w:rsid w:val="0E0E02E7"/>
    <w:rsid w:val="0E0F056F"/>
    <w:rsid w:val="0E11668F"/>
    <w:rsid w:val="0E36129F"/>
    <w:rsid w:val="0E3630F2"/>
    <w:rsid w:val="0E4312DC"/>
    <w:rsid w:val="0E5E14CC"/>
    <w:rsid w:val="0E6A167F"/>
    <w:rsid w:val="0EA3371E"/>
    <w:rsid w:val="0EB75826"/>
    <w:rsid w:val="0ED65281"/>
    <w:rsid w:val="0EE82791"/>
    <w:rsid w:val="0F432DA0"/>
    <w:rsid w:val="0F456BFB"/>
    <w:rsid w:val="0F900C4F"/>
    <w:rsid w:val="0F933D23"/>
    <w:rsid w:val="0FC24F0B"/>
    <w:rsid w:val="0FFF56D6"/>
    <w:rsid w:val="1041184B"/>
    <w:rsid w:val="106C2D6C"/>
    <w:rsid w:val="10A22AD0"/>
    <w:rsid w:val="10A92A68"/>
    <w:rsid w:val="10CA0838"/>
    <w:rsid w:val="11263805"/>
    <w:rsid w:val="11BF336F"/>
    <w:rsid w:val="11D54609"/>
    <w:rsid w:val="12263F3B"/>
    <w:rsid w:val="126D328C"/>
    <w:rsid w:val="127C300E"/>
    <w:rsid w:val="128B3A0F"/>
    <w:rsid w:val="12D303A3"/>
    <w:rsid w:val="133D3470"/>
    <w:rsid w:val="13511AD9"/>
    <w:rsid w:val="13956DFF"/>
    <w:rsid w:val="13A516AA"/>
    <w:rsid w:val="13AE45F2"/>
    <w:rsid w:val="13D61633"/>
    <w:rsid w:val="13F70440"/>
    <w:rsid w:val="142E56FC"/>
    <w:rsid w:val="14691370"/>
    <w:rsid w:val="14BC5944"/>
    <w:rsid w:val="14F859A2"/>
    <w:rsid w:val="14FD5665"/>
    <w:rsid w:val="150C68CB"/>
    <w:rsid w:val="154949B8"/>
    <w:rsid w:val="15507C03"/>
    <w:rsid w:val="15E42323"/>
    <w:rsid w:val="15EC04AB"/>
    <w:rsid w:val="160F7CF5"/>
    <w:rsid w:val="162E6FEA"/>
    <w:rsid w:val="165A1248"/>
    <w:rsid w:val="16E93F38"/>
    <w:rsid w:val="1750271A"/>
    <w:rsid w:val="1761771B"/>
    <w:rsid w:val="17931083"/>
    <w:rsid w:val="18516EAA"/>
    <w:rsid w:val="18FD33A8"/>
    <w:rsid w:val="19C46E7E"/>
    <w:rsid w:val="1A656751"/>
    <w:rsid w:val="1B706CA1"/>
    <w:rsid w:val="1B773C1D"/>
    <w:rsid w:val="1BD97329"/>
    <w:rsid w:val="1C896A53"/>
    <w:rsid w:val="1CD85459"/>
    <w:rsid w:val="1DA77CA0"/>
    <w:rsid w:val="1DB14067"/>
    <w:rsid w:val="1DC32E7E"/>
    <w:rsid w:val="1DDB32DF"/>
    <w:rsid w:val="1DE0334E"/>
    <w:rsid w:val="1E957931"/>
    <w:rsid w:val="1E9F35F7"/>
    <w:rsid w:val="1EAA4A5F"/>
    <w:rsid w:val="1F202F07"/>
    <w:rsid w:val="1FBC2E91"/>
    <w:rsid w:val="1FF27875"/>
    <w:rsid w:val="201130A3"/>
    <w:rsid w:val="206C1787"/>
    <w:rsid w:val="212925B3"/>
    <w:rsid w:val="214A7C4F"/>
    <w:rsid w:val="21C9535E"/>
    <w:rsid w:val="21F77FBB"/>
    <w:rsid w:val="22487DEB"/>
    <w:rsid w:val="2275603E"/>
    <w:rsid w:val="227C6712"/>
    <w:rsid w:val="22CA227D"/>
    <w:rsid w:val="22F52051"/>
    <w:rsid w:val="23706277"/>
    <w:rsid w:val="23D1216B"/>
    <w:rsid w:val="23ED7CFB"/>
    <w:rsid w:val="240D1EC8"/>
    <w:rsid w:val="249B7324"/>
    <w:rsid w:val="24A77AFB"/>
    <w:rsid w:val="252235A1"/>
    <w:rsid w:val="252668FD"/>
    <w:rsid w:val="257F27A2"/>
    <w:rsid w:val="258942EE"/>
    <w:rsid w:val="2596774B"/>
    <w:rsid w:val="25F82554"/>
    <w:rsid w:val="26373F6F"/>
    <w:rsid w:val="265939BE"/>
    <w:rsid w:val="26B66697"/>
    <w:rsid w:val="27471363"/>
    <w:rsid w:val="276E3319"/>
    <w:rsid w:val="280E42B1"/>
    <w:rsid w:val="282648D9"/>
    <w:rsid w:val="282A1D9B"/>
    <w:rsid w:val="28463A4A"/>
    <w:rsid w:val="28C8445F"/>
    <w:rsid w:val="28F84AFF"/>
    <w:rsid w:val="29652902"/>
    <w:rsid w:val="29986B7F"/>
    <w:rsid w:val="29B0529B"/>
    <w:rsid w:val="2A353AB1"/>
    <w:rsid w:val="2A5E2B9F"/>
    <w:rsid w:val="2AB248D1"/>
    <w:rsid w:val="2ACD2618"/>
    <w:rsid w:val="2B0418B2"/>
    <w:rsid w:val="2B484E10"/>
    <w:rsid w:val="2B911481"/>
    <w:rsid w:val="2BBF0134"/>
    <w:rsid w:val="2C09043D"/>
    <w:rsid w:val="2C131E96"/>
    <w:rsid w:val="2C144A2C"/>
    <w:rsid w:val="2C5F6BF1"/>
    <w:rsid w:val="2CE349BF"/>
    <w:rsid w:val="2CFC0B7C"/>
    <w:rsid w:val="2D593CB1"/>
    <w:rsid w:val="2D60735C"/>
    <w:rsid w:val="2D8906A9"/>
    <w:rsid w:val="2D9159E1"/>
    <w:rsid w:val="2DA24F89"/>
    <w:rsid w:val="2DBF55C6"/>
    <w:rsid w:val="2DCE28B7"/>
    <w:rsid w:val="2DEE4968"/>
    <w:rsid w:val="2E3E6034"/>
    <w:rsid w:val="2EBF5A14"/>
    <w:rsid w:val="2EC12915"/>
    <w:rsid w:val="2F5B427F"/>
    <w:rsid w:val="2F63761F"/>
    <w:rsid w:val="2F9A5100"/>
    <w:rsid w:val="2FDD6ACB"/>
    <w:rsid w:val="307153DD"/>
    <w:rsid w:val="30A63E5B"/>
    <w:rsid w:val="30D4499E"/>
    <w:rsid w:val="3103320C"/>
    <w:rsid w:val="31181CFC"/>
    <w:rsid w:val="3132036D"/>
    <w:rsid w:val="31601370"/>
    <w:rsid w:val="316B5033"/>
    <w:rsid w:val="31995ABB"/>
    <w:rsid w:val="31EF0391"/>
    <w:rsid w:val="32125567"/>
    <w:rsid w:val="329E7737"/>
    <w:rsid w:val="32E4516F"/>
    <w:rsid w:val="33171638"/>
    <w:rsid w:val="33DB4680"/>
    <w:rsid w:val="341766E3"/>
    <w:rsid w:val="34CE1050"/>
    <w:rsid w:val="34DE24E6"/>
    <w:rsid w:val="34F0546A"/>
    <w:rsid w:val="350C3926"/>
    <w:rsid w:val="355040A9"/>
    <w:rsid w:val="35692DF4"/>
    <w:rsid w:val="35824739"/>
    <w:rsid w:val="36406384"/>
    <w:rsid w:val="366B28CE"/>
    <w:rsid w:val="36D13079"/>
    <w:rsid w:val="375B6622"/>
    <w:rsid w:val="37B4427A"/>
    <w:rsid w:val="39733167"/>
    <w:rsid w:val="3A543DA5"/>
    <w:rsid w:val="3A59585F"/>
    <w:rsid w:val="3A8469CC"/>
    <w:rsid w:val="3A944AE9"/>
    <w:rsid w:val="3ACA4067"/>
    <w:rsid w:val="3B044CBF"/>
    <w:rsid w:val="3B121B78"/>
    <w:rsid w:val="3B550D01"/>
    <w:rsid w:val="3B7526B3"/>
    <w:rsid w:val="3BD0322D"/>
    <w:rsid w:val="3C153A08"/>
    <w:rsid w:val="3C3F712C"/>
    <w:rsid w:val="3C591B47"/>
    <w:rsid w:val="3C7078E6"/>
    <w:rsid w:val="3C920BB5"/>
    <w:rsid w:val="3C99397C"/>
    <w:rsid w:val="3CCD6091"/>
    <w:rsid w:val="3D785FFC"/>
    <w:rsid w:val="3DBD6105"/>
    <w:rsid w:val="3DD67722"/>
    <w:rsid w:val="3E32264F"/>
    <w:rsid w:val="3E865133"/>
    <w:rsid w:val="3E9F74CC"/>
    <w:rsid w:val="3EB05C6A"/>
    <w:rsid w:val="3ED767AD"/>
    <w:rsid w:val="3EE96E22"/>
    <w:rsid w:val="3EF270AB"/>
    <w:rsid w:val="3F9E5AC2"/>
    <w:rsid w:val="3FB31DBF"/>
    <w:rsid w:val="3FD062C1"/>
    <w:rsid w:val="3FF820FE"/>
    <w:rsid w:val="40247BB8"/>
    <w:rsid w:val="40A47108"/>
    <w:rsid w:val="40FA4E7B"/>
    <w:rsid w:val="41341E71"/>
    <w:rsid w:val="41F75C21"/>
    <w:rsid w:val="43061B1A"/>
    <w:rsid w:val="436430B4"/>
    <w:rsid w:val="43962E53"/>
    <w:rsid w:val="43DD225E"/>
    <w:rsid w:val="44022AC4"/>
    <w:rsid w:val="44765141"/>
    <w:rsid w:val="449741FF"/>
    <w:rsid w:val="44F97BA9"/>
    <w:rsid w:val="454A3606"/>
    <w:rsid w:val="456D0411"/>
    <w:rsid w:val="45773FB8"/>
    <w:rsid w:val="45CC6828"/>
    <w:rsid w:val="46050649"/>
    <w:rsid w:val="462D194E"/>
    <w:rsid w:val="466730B2"/>
    <w:rsid w:val="46800A18"/>
    <w:rsid w:val="470041B9"/>
    <w:rsid w:val="4704182B"/>
    <w:rsid w:val="4777325F"/>
    <w:rsid w:val="47983191"/>
    <w:rsid w:val="479D17CE"/>
    <w:rsid w:val="47B6727D"/>
    <w:rsid w:val="47E45F12"/>
    <w:rsid w:val="47F06F8A"/>
    <w:rsid w:val="480A1B36"/>
    <w:rsid w:val="48147019"/>
    <w:rsid w:val="481728B6"/>
    <w:rsid w:val="481903DC"/>
    <w:rsid w:val="48582CDA"/>
    <w:rsid w:val="487D2952"/>
    <w:rsid w:val="4880239E"/>
    <w:rsid w:val="4905680A"/>
    <w:rsid w:val="491A08B0"/>
    <w:rsid w:val="49D3750A"/>
    <w:rsid w:val="49EE5B16"/>
    <w:rsid w:val="4A2A2D74"/>
    <w:rsid w:val="4A6E0EB3"/>
    <w:rsid w:val="4A8C6388"/>
    <w:rsid w:val="4AFF3796"/>
    <w:rsid w:val="4B3164EA"/>
    <w:rsid w:val="4B4820C4"/>
    <w:rsid w:val="4B627223"/>
    <w:rsid w:val="4BB95A90"/>
    <w:rsid w:val="4BC92119"/>
    <w:rsid w:val="4BD341FB"/>
    <w:rsid w:val="4BF2341E"/>
    <w:rsid w:val="4BF809BB"/>
    <w:rsid w:val="4BF83DF6"/>
    <w:rsid w:val="4C26098E"/>
    <w:rsid w:val="4C380359"/>
    <w:rsid w:val="4C460C04"/>
    <w:rsid w:val="4C581765"/>
    <w:rsid w:val="4D626381"/>
    <w:rsid w:val="4DCD44AB"/>
    <w:rsid w:val="4EFD701C"/>
    <w:rsid w:val="4F3F0B07"/>
    <w:rsid w:val="4F5605F2"/>
    <w:rsid w:val="4FF117AF"/>
    <w:rsid w:val="4FFF408F"/>
    <w:rsid w:val="502B33A2"/>
    <w:rsid w:val="507310BD"/>
    <w:rsid w:val="50F43794"/>
    <w:rsid w:val="5197189D"/>
    <w:rsid w:val="51FF0DF9"/>
    <w:rsid w:val="52755DC1"/>
    <w:rsid w:val="52884ADC"/>
    <w:rsid w:val="52CF44B9"/>
    <w:rsid w:val="534529CD"/>
    <w:rsid w:val="53901E9A"/>
    <w:rsid w:val="539D0113"/>
    <w:rsid w:val="53B00758"/>
    <w:rsid w:val="54014B46"/>
    <w:rsid w:val="54666F20"/>
    <w:rsid w:val="549379F5"/>
    <w:rsid w:val="54E931C6"/>
    <w:rsid w:val="552E5222"/>
    <w:rsid w:val="55384597"/>
    <w:rsid w:val="55831706"/>
    <w:rsid w:val="55894DF3"/>
    <w:rsid w:val="55962477"/>
    <w:rsid w:val="5648204C"/>
    <w:rsid w:val="56542F49"/>
    <w:rsid w:val="568F3D95"/>
    <w:rsid w:val="569577C7"/>
    <w:rsid w:val="56A37A85"/>
    <w:rsid w:val="56EE3F8F"/>
    <w:rsid w:val="56F52014"/>
    <w:rsid w:val="57041C90"/>
    <w:rsid w:val="57390153"/>
    <w:rsid w:val="578D3B53"/>
    <w:rsid w:val="583E1337"/>
    <w:rsid w:val="58FB4C34"/>
    <w:rsid w:val="590B409C"/>
    <w:rsid w:val="59107D35"/>
    <w:rsid w:val="593712F4"/>
    <w:rsid w:val="5A963B0E"/>
    <w:rsid w:val="5AAF1567"/>
    <w:rsid w:val="5AD31D08"/>
    <w:rsid w:val="5B664C34"/>
    <w:rsid w:val="5C050B30"/>
    <w:rsid w:val="5C142F3C"/>
    <w:rsid w:val="5C1E64C4"/>
    <w:rsid w:val="5C8B4533"/>
    <w:rsid w:val="5CE213C7"/>
    <w:rsid w:val="5D485594"/>
    <w:rsid w:val="5E1E66DC"/>
    <w:rsid w:val="5E854C96"/>
    <w:rsid w:val="5EC53F2E"/>
    <w:rsid w:val="5F127651"/>
    <w:rsid w:val="5F2F4C78"/>
    <w:rsid w:val="5FBD4480"/>
    <w:rsid w:val="5FCC7779"/>
    <w:rsid w:val="5FE377F5"/>
    <w:rsid w:val="6037544B"/>
    <w:rsid w:val="606219AB"/>
    <w:rsid w:val="60DA29A7"/>
    <w:rsid w:val="612759C5"/>
    <w:rsid w:val="61657B33"/>
    <w:rsid w:val="616C7E47"/>
    <w:rsid w:val="619F6D61"/>
    <w:rsid w:val="61B72CE8"/>
    <w:rsid w:val="61C96C87"/>
    <w:rsid w:val="61DC26F6"/>
    <w:rsid w:val="61DD5177"/>
    <w:rsid w:val="61E05076"/>
    <w:rsid w:val="61E56259"/>
    <w:rsid w:val="61E635CD"/>
    <w:rsid w:val="62724E61"/>
    <w:rsid w:val="62BF7398"/>
    <w:rsid w:val="62DB24A6"/>
    <w:rsid w:val="62E5615D"/>
    <w:rsid w:val="64192071"/>
    <w:rsid w:val="643E3873"/>
    <w:rsid w:val="6464608E"/>
    <w:rsid w:val="64F46001"/>
    <w:rsid w:val="64F55461"/>
    <w:rsid w:val="66755E43"/>
    <w:rsid w:val="66D57032"/>
    <w:rsid w:val="67381C49"/>
    <w:rsid w:val="67547AD3"/>
    <w:rsid w:val="675544DD"/>
    <w:rsid w:val="68522888"/>
    <w:rsid w:val="68771BAC"/>
    <w:rsid w:val="689A0C71"/>
    <w:rsid w:val="68BC6E36"/>
    <w:rsid w:val="694366BF"/>
    <w:rsid w:val="69485C3C"/>
    <w:rsid w:val="694A4441"/>
    <w:rsid w:val="696B21B4"/>
    <w:rsid w:val="6A7536DF"/>
    <w:rsid w:val="6B164DC9"/>
    <w:rsid w:val="6B221F41"/>
    <w:rsid w:val="6B9145AA"/>
    <w:rsid w:val="6BD232A5"/>
    <w:rsid w:val="6BE96194"/>
    <w:rsid w:val="6BEC358E"/>
    <w:rsid w:val="6C112FFD"/>
    <w:rsid w:val="6C2D22F4"/>
    <w:rsid w:val="6CAB51F7"/>
    <w:rsid w:val="6CDE737B"/>
    <w:rsid w:val="6D26265B"/>
    <w:rsid w:val="6D3B0F1C"/>
    <w:rsid w:val="6DA71E62"/>
    <w:rsid w:val="6DFE2480"/>
    <w:rsid w:val="6E663ACB"/>
    <w:rsid w:val="6E6E2980"/>
    <w:rsid w:val="6ED0363B"/>
    <w:rsid w:val="6EDA6267"/>
    <w:rsid w:val="6F094735"/>
    <w:rsid w:val="6F2B6AC3"/>
    <w:rsid w:val="6F906926"/>
    <w:rsid w:val="70131A31"/>
    <w:rsid w:val="71FB277D"/>
    <w:rsid w:val="71FD64F5"/>
    <w:rsid w:val="7231619E"/>
    <w:rsid w:val="726E4115"/>
    <w:rsid w:val="72E175FA"/>
    <w:rsid w:val="72EE16EB"/>
    <w:rsid w:val="73B407AD"/>
    <w:rsid w:val="741E6BF6"/>
    <w:rsid w:val="74407763"/>
    <w:rsid w:val="746F2FAE"/>
    <w:rsid w:val="74700CF5"/>
    <w:rsid w:val="75170835"/>
    <w:rsid w:val="753D3CA8"/>
    <w:rsid w:val="75564973"/>
    <w:rsid w:val="755D54FC"/>
    <w:rsid w:val="75713981"/>
    <w:rsid w:val="7579607C"/>
    <w:rsid w:val="758A5319"/>
    <w:rsid w:val="75A97A87"/>
    <w:rsid w:val="75ED4AD2"/>
    <w:rsid w:val="77426567"/>
    <w:rsid w:val="774E334F"/>
    <w:rsid w:val="776823B8"/>
    <w:rsid w:val="77792F59"/>
    <w:rsid w:val="78066D81"/>
    <w:rsid w:val="78246EFA"/>
    <w:rsid w:val="78730A53"/>
    <w:rsid w:val="78D54D23"/>
    <w:rsid w:val="79155A45"/>
    <w:rsid w:val="791A6129"/>
    <w:rsid w:val="79272FFD"/>
    <w:rsid w:val="79BD656A"/>
    <w:rsid w:val="79DA7EE1"/>
    <w:rsid w:val="79FC20AD"/>
    <w:rsid w:val="7A9C0875"/>
    <w:rsid w:val="7AD249C5"/>
    <w:rsid w:val="7B4E7DC1"/>
    <w:rsid w:val="7B8A64F8"/>
    <w:rsid w:val="7B8B00B6"/>
    <w:rsid w:val="7B9E3578"/>
    <w:rsid w:val="7C053029"/>
    <w:rsid w:val="7C6F7FEF"/>
    <w:rsid w:val="7C7E7F49"/>
    <w:rsid w:val="7C855A65"/>
    <w:rsid w:val="7CB71996"/>
    <w:rsid w:val="7D1F55E6"/>
    <w:rsid w:val="7D75158B"/>
    <w:rsid w:val="7E6E560C"/>
    <w:rsid w:val="7E735A00"/>
    <w:rsid w:val="7E8C180D"/>
    <w:rsid w:val="7EBA7C8B"/>
    <w:rsid w:val="7EC13AA5"/>
    <w:rsid w:val="7F1C084B"/>
    <w:rsid w:val="7F405C73"/>
    <w:rsid w:val="7F631961"/>
    <w:rsid w:val="7F89586C"/>
    <w:rsid w:val="7FEB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qFormat="1"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124"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43"/>
    <w:qFormat/>
    <w:uiPriority w:val="9"/>
    <w:pPr>
      <w:keepNext/>
      <w:keepLines/>
      <w:numPr>
        <w:ilvl w:val="0"/>
        <w:numId w:val="1"/>
      </w:numPr>
      <w:spacing w:before="340" w:after="330" w:line="579" w:lineRule="auto"/>
      <w:ind w:left="0" w:firstLineChars="0"/>
      <w:jc w:val="center"/>
      <w:outlineLvl w:val="0"/>
    </w:pPr>
    <w:rPr>
      <w:rFonts w:eastAsia="黑体"/>
      <w:b/>
      <w:bCs/>
      <w:kern w:val="44"/>
      <w:sz w:val="44"/>
      <w:szCs w:val="44"/>
    </w:rPr>
  </w:style>
  <w:style w:type="paragraph" w:styleId="4">
    <w:name w:val="heading 2"/>
    <w:basedOn w:val="3"/>
    <w:next w:val="1"/>
    <w:link w:val="22"/>
    <w:unhideWhenUsed/>
    <w:qFormat/>
    <w:uiPriority w:val="9"/>
    <w:pPr>
      <w:keepNext/>
      <w:keepLines/>
      <w:numPr>
        <w:ilvl w:val="1"/>
        <w:numId w:val="1"/>
      </w:numPr>
      <w:spacing w:before="260" w:after="260" w:line="416" w:lineRule="auto"/>
      <w:ind w:firstLineChars="0"/>
      <w:outlineLvl w:val="1"/>
    </w:pPr>
    <w:rPr>
      <w:rFonts w:ascii="Times New Roman" w:hAnsi="Times New Roman" w:cstheme="majorBidi"/>
      <w:sz w:val="32"/>
      <w:szCs w:val="32"/>
    </w:rPr>
  </w:style>
  <w:style w:type="paragraph" w:styleId="5">
    <w:name w:val="heading 3"/>
    <w:basedOn w:val="1"/>
    <w:next w:val="1"/>
    <w:link w:val="23"/>
    <w:unhideWhenUsed/>
    <w:qFormat/>
    <w:uiPriority w:val="9"/>
    <w:pPr>
      <w:keepNext/>
      <w:keepLines/>
      <w:numPr>
        <w:ilvl w:val="2"/>
        <w:numId w:val="1"/>
      </w:numPr>
      <w:spacing w:before="260" w:after="260" w:line="416" w:lineRule="auto"/>
      <w:ind w:firstLineChars="0"/>
      <w:outlineLvl w:val="2"/>
    </w:pPr>
    <w:rPr>
      <w:rFonts w:eastAsia="黑体"/>
      <w:b/>
      <w:bCs/>
      <w:sz w:val="30"/>
      <w:szCs w:val="32"/>
    </w:rPr>
  </w:style>
  <w:style w:type="paragraph" w:styleId="6">
    <w:name w:val="heading 4"/>
    <w:basedOn w:val="1"/>
    <w:next w:val="1"/>
    <w:link w:val="24"/>
    <w:unhideWhenUsed/>
    <w:qFormat/>
    <w:uiPriority w:val="9"/>
    <w:pPr>
      <w:keepNext/>
      <w:keepLines/>
      <w:numPr>
        <w:ilvl w:val="3"/>
        <w:numId w:val="1"/>
      </w:numPr>
      <w:spacing w:before="280" w:after="290" w:line="377" w:lineRule="auto"/>
      <w:ind w:firstLineChars="0"/>
      <w:outlineLvl w:val="3"/>
    </w:pPr>
    <w:rPr>
      <w:rFonts w:eastAsia="黑体" w:cstheme="majorBidi"/>
      <w:b/>
      <w:bCs/>
      <w:sz w:val="28"/>
      <w:szCs w:val="28"/>
    </w:rPr>
  </w:style>
  <w:style w:type="paragraph" w:styleId="7">
    <w:name w:val="heading 5"/>
    <w:basedOn w:val="1"/>
    <w:next w:val="1"/>
    <w:unhideWhenUsed/>
    <w:qFormat/>
    <w:uiPriority w:val="9"/>
    <w:pPr>
      <w:keepNext/>
      <w:keepLines/>
      <w:numPr>
        <w:ilvl w:val="4"/>
        <w:numId w:val="2"/>
      </w:numPr>
      <w:spacing w:before="280" w:beforeLines="0" w:beforeAutospacing="0" w:after="290" w:afterLines="0" w:afterAutospacing="0" w:line="372" w:lineRule="auto"/>
      <w:ind w:left="0" w:firstLine="0" w:firstLineChars="0"/>
      <w:outlineLvl w:val="4"/>
    </w:pPr>
    <w:rPr>
      <w:rFonts w:ascii="Times New Roman" w:hAnsi="Times New Roman" w:eastAsia="黑体"/>
      <w:b/>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8">
    <w:name w:val="caption"/>
    <w:basedOn w:val="1"/>
    <w:next w:val="1"/>
    <w:unhideWhenUsed/>
    <w:qFormat/>
    <w:uiPriority w:val="0"/>
    <w:rPr>
      <w:rFonts w:eastAsia="黑体" w:asciiTheme="majorHAnsi" w:hAnsiTheme="majorHAnsi" w:cstheme="majorBidi"/>
      <w:sz w:val="20"/>
      <w:szCs w:val="20"/>
    </w:rPr>
  </w:style>
  <w:style w:type="paragraph" w:styleId="9">
    <w:name w:val="annotation text"/>
    <w:basedOn w:val="1"/>
    <w:semiHidden/>
    <w:unhideWhenUsed/>
    <w:qFormat/>
    <w:uiPriority w:val="99"/>
    <w:pPr>
      <w:jc w:val="left"/>
    </w:pPr>
  </w:style>
  <w:style w:type="paragraph" w:styleId="10">
    <w:name w:val="Body Text Indent"/>
    <w:basedOn w:val="1"/>
    <w:qFormat/>
    <w:uiPriority w:val="0"/>
    <w:pPr>
      <w:spacing w:after="120" w:afterLines="0" w:afterAutospacing="0"/>
      <w:ind w:left="420" w:leftChars="200"/>
    </w:pPr>
  </w:style>
  <w:style w:type="paragraph" w:styleId="11">
    <w:name w:val="Plain Text"/>
    <w:basedOn w:val="1"/>
    <w:semiHidden/>
    <w:unhideWhenUsed/>
    <w:qFormat/>
    <w:uiPriority w:val="99"/>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unhideWhenUsed/>
    <w:qFormat/>
    <w:uiPriority w:val="0"/>
    <w:pPr>
      <w:widowControl/>
      <w:autoSpaceDE/>
      <w:autoSpaceDN/>
      <w:spacing w:line="360" w:lineRule="auto"/>
      <w:ind w:firstLine="723" w:firstLineChars="200"/>
      <w:jc w:val="both"/>
    </w:pPr>
    <w:rPr>
      <w:rFonts w:ascii="Times New Roman" w:hAnsi="Times New Roman" w:eastAsia="宋体" w:cs="仿宋_GB2312"/>
      <w:kern w:val="0"/>
      <w:sz w:val="24"/>
      <w:szCs w:val="24"/>
      <w:lang w:val="en-US" w:eastAsia="zh-CN" w:bidi="ar-SA"/>
    </w:rPr>
  </w:style>
  <w:style w:type="paragraph" w:styleId="15">
    <w:name w:val="Body Text First Indent 2"/>
    <w:basedOn w:val="1"/>
    <w:next w:val="1"/>
    <w:qFormat/>
    <w:uiPriority w:val="0"/>
    <w:pPr>
      <w:ind w:firstLine="420" w:firstLineChars="200"/>
    </w:pPr>
  </w:style>
  <w:style w:type="table" w:styleId="17">
    <w:name w:val="Table Grid"/>
    <w:basedOn w:val="1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Hyperlink"/>
    <w:basedOn w:val="18"/>
    <w:qFormat/>
    <w:uiPriority w:val="0"/>
    <w:rPr>
      <w:color w:val="0000FF"/>
      <w:u w:val="single"/>
    </w:rPr>
  </w:style>
  <w:style w:type="character" w:customStyle="1" w:styleId="21">
    <w:name w:val="标题 1 字符"/>
    <w:basedOn w:val="18"/>
    <w:link w:val="3"/>
    <w:qFormat/>
    <w:uiPriority w:val="9"/>
    <w:rPr>
      <w:rFonts w:ascii="Times New Roman" w:hAnsi="Times New Roman" w:eastAsia="黑体"/>
      <w:b/>
      <w:bCs/>
      <w:kern w:val="44"/>
      <w:sz w:val="44"/>
      <w:szCs w:val="44"/>
    </w:rPr>
  </w:style>
  <w:style w:type="character" w:customStyle="1" w:styleId="22">
    <w:name w:val="标题 2 字符"/>
    <w:basedOn w:val="18"/>
    <w:link w:val="4"/>
    <w:qFormat/>
    <w:uiPriority w:val="9"/>
    <w:rPr>
      <w:rFonts w:ascii="Times New Roman" w:hAnsi="Times New Roman" w:eastAsia="黑体" w:cstheme="majorBidi"/>
      <w:b/>
      <w:bCs/>
      <w:sz w:val="32"/>
      <w:szCs w:val="32"/>
    </w:rPr>
  </w:style>
  <w:style w:type="character" w:customStyle="1" w:styleId="23">
    <w:name w:val="标题 3 字符"/>
    <w:basedOn w:val="18"/>
    <w:link w:val="5"/>
    <w:qFormat/>
    <w:uiPriority w:val="9"/>
    <w:rPr>
      <w:rFonts w:ascii="Times New Roman" w:hAnsi="Times New Roman" w:eastAsia="黑体"/>
      <w:b/>
      <w:bCs/>
      <w:sz w:val="30"/>
      <w:szCs w:val="32"/>
    </w:rPr>
  </w:style>
  <w:style w:type="character" w:customStyle="1" w:styleId="24">
    <w:name w:val="标题 4 字符"/>
    <w:basedOn w:val="18"/>
    <w:link w:val="6"/>
    <w:qFormat/>
    <w:uiPriority w:val="9"/>
    <w:rPr>
      <w:rFonts w:ascii="Times New Roman" w:hAnsi="Times New Roman" w:eastAsia="黑体" w:cstheme="majorBidi"/>
      <w:b/>
      <w:bCs/>
      <w:sz w:val="28"/>
      <w:szCs w:val="28"/>
    </w:rPr>
  </w:style>
  <w:style w:type="paragraph" w:customStyle="1" w:styleId="25">
    <w:name w:val="科室-正文"/>
    <w:basedOn w:val="1"/>
    <w:link w:val="31"/>
    <w:qFormat/>
    <w:uiPriority w:val="0"/>
    <w:pPr>
      <w:spacing w:line="360" w:lineRule="auto"/>
      <w:ind w:firstLine="480" w:firstLineChars="200"/>
    </w:pPr>
    <w:rPr>
      <w:rFonts w:cs="Times New Roman"/>
      <w:szCs w:val="24"/>
    </w:rPr>
  </w:style>
  <w:style w:type="paragraph" w:customStyle="1" w:styleId="26">
    <w:name w:val="科室-表头"/>
    <w:basedOn w:val="27"/>
    <w:next w:val="27"/>
    <w:qFormat/>
    <w:uiPriority w:val="0"/>
    <w:pPr>
      <w:tabs>
        <w:tab w:val="left" w:pos="360"/>
      </w:tabs>
      <w:spacing w:line="240" w:lineRule="auto"/>
      <w:ind w:left="0" w:firstLine="0" w:firstLineChars="0"/>
      <w:jc w:val="center"/>
      <w:outlineLvl w:val="9"/>
    </w:pPr>
    <w:rPr>
      <w:rFonts w:ascii="Times New Roman" w:hAnsi="Times New Roman"/>
      <w:szCs w:val="21"/>
    </w:rPr>
  </w:style>
  <w:style w:type="paragraph" w:customStyle="1" w:styleId="27">
    <w:name w:val="科室表头"/>
    <w:basedOn w:val="8"/>
    <w:qFormat/>
    <w:uiPriority w:val="0"/>
    <w:pPr>
      <w:spacing w:line="360" w:lineRule="auto"/>
      <w:jc w:val="center"/>
    </w:pPr>
    <w:rPr>
      <w:rFonts w:ascii="Arial" w:hAnsi="Arial" w:eastAsia="宋体" w:cs="Times New Roman"/>
      <w:b/>
      <w:sz w:val="21"/>
    </w:rPr>
  </w:style>
  <w:style w:type="paragraph" w:customStyle="1" w:styleId="28">
    <w:name w:val="科室-表格"/>
    <w:basedOn w:val="29"/>
    <w:qFormat/>
    <w:uiPriority w:val="0"/>
    <w:pPr>
      <w:spacing w:line="240" w:lineRule="auto"/>
      <w:ind w:firstLine="0" w:firstLineChars="0"/>
      <w:jc w:val="center"/>
    </w:pPr>
    <w:rPr>
      <w:sz w:val="21"/>
      <w:szCs w:val="21"/>
    </w:rPr>
  </w:style>
  <w:style w:type="paragraph" w:customStyle="1" w:styleId="29">
    <w:name w:val="科室表格文字"/>
    <w:basedOn w:val="1"/>
    <w:qFormat/>
    <w:uiPriority w:val="0"/>
    <w:pPr>
      <w:jc w:val="center"/>
    </w:pPr>
    <w:rPr>
      <w:rFonts w:ascii="Times New Roman" w:hAnsi="Times New Roman" w:eastAsia="宋体" w:cs="Times New Roman"/>
      <w:sz w:val="18"/>
      <w:szCs w:val="20"/>
    </w:rPr>
  </w:style>
  <w:style w:type="paragraph" w:customStyle="1" w:styleId="30">
    <w:name w:val="科室-图名"/>
    <w:basedOn w:val="1"/>
    <w:qFormat/>
    <w:uiPriority w:val="0"/>
    <w:pPr>
      <w:spacing w:after="50" w:line="240" w:lineRule="auto"/>
      <w:ind w:firstLine="0" w:firstLineChars="0"/>
      <w:jc w:val="center"/>
    </w:pPr>
    <w:rPr>
      <w:rFonts w:ascii="Times New Roman" w:hAnsi="Times New Roman" w:eastAsia="宋体"/>
      <w:b/>
      <w:bCs/>
      <w:sz w:val="21"/>
      <w:szCs w:val="21"/>
    </w:rPr>
  </w:style>
  <w:style w:type="character" w:customStyle="1" w:styleId="31">
    <w:name w:val="7级正文 Char"/>
    <w:basedOn w:val="18"/>
    <w:link w:val="25"/>
    <w:qFormat/>
    <w:uiPriority w:val="0"/>
    <w:rPr>
      <w:rFonts w:cs="Times New Roman"/>
      <w:szCs w:val="24"/>
    </w:rPr>
  </w:style>
  <w:style w:type="paragraph" w:customStyle="1" w:styleId="32">
    <w:name w:val="样式4"/>
    <w:basedOn w:val="6"/>
    <w:qFormat/>
    <w:uiPriority w:val="0"/>
    <w:pPr>
      <w:spacing w:before="0" w:after="0"/>
    </w:pPr>
    <w:rPr>
      <w:rFonts w:ascii="Cambria" w:hAnsi="Cambria" w:eastAsiaTheme="minorEastAsia" w:cstheme="minorBidi"/>
      <w:sz w:val="24"/>
    </w:rPr>
  </w:style>
  <w:style w:type="paragraph" w:customStyle="1" w:styleId="33">
    <w:name w:val="5级"/>
    <w:basedOn w:val="1"/>
    <w:qFormat/>
    <w:uiPriority w:val="0"/>
    <w:pPr>
      <w:spacing w:before="50" w:beforeLines="50" w:after="50" w:afterLines="50"/>
      <w:outlineLvl w:val="4"/>
    </w:pPr>
    <w:rPr>
      <w:rFonts w:hint="eastAsia" w:ascii="Times New Roman" w:hAnsi="Times New Roman"/>
      <w:b/>
      <w:bCs/>
    </w:rPr>
  </w:style>
  <w:style w:type="paragraph" w:customStyle="1" w:styleId="34">
    <w:name w:val="Table Paragraph"/>
    <w:basedOn w:val="1"/>
    <w:qFormat/>
    <w:uiPriority w:val="1"/>
    <w:pPr>
      <w:jc w:val="center"/>
    </w:pPr>
    <w:rPr>
      <w:rFonts w:ascii="Times New Roman" w:hAnsi="Times New Roman" w:eastAsia="Times New Roman" w:cs="Times New Roman"/>
      <w:lang w:val="zh-CN" w:eastAsia="zh-CN" w:bidi="zh-CN"/>
    </w:rPr>
  </w:style>
  <w:style w:type="paragraph" w:customStyle="1" w:styleId="35">
    <w:name w:val="表内格式"/>
    <w:qFormat/>
    <w:uiPriority w:val="0"/>
    <w:pPr>
      <w:widowControl w:val="0"/>
      <w:adjustRightInd w:val="0"/>
      <w:snapToGrid w:val="0"/>
      <w:spacing w:line="240" w:lineRule="auto"/>
      <w:jc w:val="center"/>
    </w:pPr>
    <w:rPr>
      <w:rFonts w:ascii="Times New Roman" w:hAnsi="Times New Roman" w:eastAsia="宋体" w:cs="Times New Roman"/>
      <w:sz w:val="21"/>
      <w:szCs w:val="20"/>
    </w:rPr>
  </w:style>
  <w:style w:type="table" w:customStyle="1" w:styleId="36">
    <w:name w:val="网格型2"/>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表头"/>
    <w:next w:val="1"/>
    <w:qFormat/>
    <w:uiPriority w:val="0"/>
    <w:pPr>
      <w:spacing w:line="360" w:lineRule="auto"/>
      <w:ind w:firstLine="0"/>
      <w:jc w:val="center"/>
    </w:pPr>
    <w:rPr>
      <w:rFonts w:hint="eastAsia" w:ascii="Times New Roman" w:hAnsi="Times New Roman" w:eastAsia="宋体" w:cs="Times New Roman"/>
      <w:b/>
      <w:bCs/>
      <w:sz w:val="21"/>
    </w:rPr>
  </w:style>
  <w:style w:type="paragraph" w:customStyle="1" w:styleId="38">
    <w:name w:val="表格格式"/>
    <w:basedOn w:val="1"/>
    <w:next w:val="1"/>
    <w:qFormat/>
    <w:uiPriority w:val="0"/>
    <w:pPr>
      <w:spacing w:line="240" w:lineRule="auto"/>
      <w:ind w:firstLine="0" w:firstLineChars="0"/>
      <w:jc w:val="center"/>
    </w:pPr>
    <w:rPr>
      <w:rFonts w:ascii="Times New Roman" w:hAnsi="Times New Roman" w:eastAsia="宋体"/>
      <w:sz w:val="21"/>
      <w:szCs w:val="21"/>
    </w:rPr>
  </w:style>
  <w:style w:type="paragraph" w:customStyle="1" w:styleId="39">
    <w:name w:val="君邦正文"/>
    <w:qFormat/>
    <w:uiPriority w:val="0"/>
    <w:pPr>
      <w:snapToGrid w:val="0"/>
      <w:spacing w:after="60" w:line="360" w:lineRule="auto"/>
      <w:ind w:firstLine="480" w:firstLineChars="200"/>
      <w:jc w:val="both"/>
    </w:pPr>
    <w:rPr>
      <w:rFonts w:ascii="Calibri" w:hAnsi="Calibri" w:eastAsia="宋体" w:cs="宋体"/>
      <w:bCs/>
      <w:kern w:val="2"/>
      <w:sz w:val="24"/>
      <w:szCs w:val="22"/>
      <w:lang w:val="en-US" w:eastAsia="zh-CN" w:bidi="ar-SA"/>
    </w:rPr>
  </w:style>
  <w:style w:type="paragraph" w:customStyle="1" w:styleId="40">
    <w:name w:val="表名"/>
    <w:basedOn w:val="1"/>
    <w:next w:val="11"/>
    <w:qFormat/>
    <w:uiPriority w:val="0"/>
    <w:pPr>
      <w:snapToGrid w:val="0"/>
      <w:spacing w:line="240" w:lineRule="auto"/>
      <w:ind w:firstLine="0" w:firstLineChars="0"/>
      <w:jc w:val="center"/>
    </w:pPr>
    <w:rPr>
      <w:rFonts w:ascii="Times New Roman" w:hAnsi="Times New Roman" w:eastAsia="宋体"/>
      <w:b/>
      <w:sz w:val="21"/>
    </w:rPr>
  </w:style>
  <w:style w:type="paragraph" w:customStyle="1" w:styleId="41">
    <w:name w:val="表格表头"/>
    <w:basedOn w:val="1"/>
    <w:qFormat/>
    <w:uiPriority w:val="0"/>
    <w:pPr>
      <w:ind w:firstLine="0" w:firstLineChars="0"/>
      <w:jc w:val="center"/>
    </w:pPr>
    <w:rPr>
      <w:b/>
      <w:sz w:val="21"/>
      <w:szCs w:val="21"/>
    </w:rPr>
  </w:style>
  <w:style w:type="paragraph" w:customStyle="1" w:styleId="42">
    <w:name w:val="7级正文"/>
    <w:basedOn w:val="1"/>
    <w:qFormat/>
    <w:uiPriority w:val="0"/>
    <w:pPr>
      <w:spacing w:line="360" w:lineRule="auto"/>
      <w:ind w:firstLine="480" w:firstLineChars="200"/>
    </w:pPr>
    <w:rPr>
      <w:rFonts w:ascii="Times New Roman" w:hAnsi="Times New Roman" w:cs="Times New Roman"/>
      <w:sz w:val="24"/>
      <w:szCs w:val="24"/>
    </w:rPr>
  </w:style>
  <w:style w:type="character" w:customStyle="1" w:styleId="43">
    <w:name w:val="标题 1 Char"/>
    <w:link w:val="3"/>
    <w:qFormat/>
    <w:uiPriority w:val="0"/>
    <w:rPr>
      <w:rFonts w:ascii="Times New Roman" w:hAnsi="Times New Roman" w:eastAsia="黑体" w:cs="Times New Roman"/>
      <w:b/>
      <w:kern w:val="44"/>
      <w:sz w:val="44"/>
      <w:szCs w:val="44"/>
      <w:lang w:val="en-US" w:eastAsia="zh-CN" w:bidi="ar-SA"/>
    </w:rPr>
  </w:style>
  <w:style w:type="paragraph" w:customStyle="1" w:styleId="44">
    <w:name w:val="Default"/>
    <w:basedOn w:val="1"/>
    <w:semiHidden/>
    <w:qFormat/>
    <w:uiPriority w:val="0"/>
    <w:pPr>
      <w:autoSpaceDE w:val="0"/>
      <w:autoSpaceDN w:val="0"/>
      <w:adjustRightInd w:val="0"/>
      <w:spacing w:line="240" w:lineRule="auto"/>
      <w:ind w:firstLine="0" w:firstLineChars="0"/>
      <w:jc w:val="left"/>
    </w:pPr>
    <w:rPr>
      <w:rFonts w:ascii="宋体" w:hAnsi="宋体"/>
      <w:color w:val="000000"/>
      <w:kern w:val="0"/>
      <w:szCs w:val="24"/>
    </w:rPr>
  </w:style>
  <w:style w:type="paragraph" w:customStyle="1" w:styleId="45">
    <w:name w:val="WPSOffice手动目录 1"/>
    <w:qFormat/>
    <w:uiPriority w:val="0"/>
    <w:pPr>
      <w:ind w:leftChars="0"/>
    </w:pPr>
    <w:rPr>
      <w:rFonts w:ascii="Times New Roman" w:hAnsi="Times New Roman" w:eastAsia="宋体" w:cs="Times New Roman"/>
      <w:sz w:val="20"/>
      <w:szCs w:val="20"/>
    </w:rPr>
  </w:style>
  <w:style w:type="paragraph" w:customStyle="1" w:styleId="4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B42F2-67B6-48C0-8A5C-77FB74233549}">
  <ds:schemaRefs/>
</ds:datastoreItem>
</file>

<file path=docProps/app.xml><?xml version="1.0" encoding="utf-8"?>
<Properties xmlns="http://schemas.openxmlformats.org/officeDocument/2006/extended-properties" xmlns:vt="http://schemas.openxmlformats.org/officeDocument/2006/docPropsVTypes">
  <Template>Normal</Template>
  <Pages>70</Pages>
  <Words>44448</Words>
  <Characters>48534</Characters>
  <Lines>87</Lines>
  <Paragraphs>24</Paragraphs>
  <TotalTime>0</TotalTime>
  <ScaleCrop>false</ScaleCrop>
  <LinksUpToDate>false</LinksUpToDate>
  <CharactersWithSpaces>48945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2019-09-18T07:13:00Z</dcterms:created>
  <dc:creator>wwy</dc:creator>
  <cp:lastModifiedBy>面面</cp:lastModifiedBy>
  <cp:lastPrinted>2019-09-09T04:12:00Z</cp:lastPrinted>
  <dcterms:modified xsi:type="dcterms:W3CDTF">2022-10-25T03:26:28Z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7B3047E707A342DF8BCF0E6EB90A2F9E</vt:lpwstr>
  </property>
</Properties>
</file>