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rPr>
        <w:t>（三）义务教育领域基层政务公开标准目录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黑体" w:hAnsi="Times New Roman" w:eastAsia="黑体"/>
                <w:color w:val="000000"/>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left"/>
              <w:rPr>
                <w:rFonts w:hint="eastAsia" w:ascii="黑体" w:hAnsi="宋体" w:eastAsia="黑体" w:cs="宋体"/>
                <w:color w:val="000000"/>
                <w:kern w:val="0"/>
                <w:sz w:val="22"/>
              </w:rPr>
            </w:pPr>
          </w:p>
        </w:tc>
        <w:tc>
          <w:tcPr>
            <w:tcW w:w="216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jc w:val="left"/>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jc w:val="left"/>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■阳新县政府网</w:t>
            </w:r>
            <w:r>
              <w:rPr>
                <w:rFonts w:hint="eastAsia" w:ascii="仿宋_GB2312" w:hAnsi="仿宋" w:eastAsia="仿宋_GB2312"/>
                <w:color w:val="000000"/>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■阳新县政府网</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■阳新县政府网</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spacing w:line="240" w:lineRule="exact"/>
              <w:jc w:val="left"/>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hint="eastAsia" w:ascii="仿宋_GB2312" w:hAnsi="宋体" w:eastAsia="仿宋_GB2312" w:cs="宋体"/>
                <w:color w:val="000000"/>
                <w:sz w:val="18"/>
                <w:szCs w:val="18"/>
              </w:rPr>
            </w:pP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spacing w:line="240" w:lineRule="exact"/>
              <w:jc w:val="left"/>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noWrap w:val="0"/>
            <w:vAlign w:val="center"/>
          </w:tcPr>
          <w:p>
            <w:pPr>
              <w:spacing w:line="240" w:lineRule="exact"/>
              <w:jc w:val="left"/>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noWrap w:val="0"/>
            <w:vAlign w:val="center"/>
          </w:tcPr>
          <w:p>
            <w:pPr>
              <w:spacing w:line="240" w:lineRule="exact"/>
              <w:jc w:val="left"/>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lang w:eastAsia="zh-CN"/>
              </w:rPr>
              <w:t>■阳新县政府网</w:t>
            </w:r>
            <w:r>
              <w:rPr>
                <w:rFonts w:hint="eastAsia" w:ascii="仿宋_GB2312" w:hAnsi="仿宋" w:eastAsia="仿宋_GB2312"/>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lang w:eastAsia="zh-CN"/>
              </w:rPr>
              <w:t>■阳新县政府网</w:t>
            </w:r>
            <w:r>
              <w:rPr>
                <w:rFonts w:hint="eastAsia" w:ascii="仿宋_GB2312" w:hAnsi="仿宋" w:eastAsia="仿宋_GB2312"/>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lang w:eastAsia="zh-CN"/>
              </w:rPr>
              <w:t>■阳新县政府网</w:t>
            </w:r>
            <w:r>
              <w:rPr>
                <w:rFonts w:hint="eastAsia" w:ascii="仿宋_GB2312" w:hAnsi="仿宋" w:eastAsia="仿宋_GB2312"/>
                <w:sz w:val="18"/>
                <w:szCs w:val="18"/>
              </w:rPr>
              <w:t xml:space="preserve">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■阳新县政府网</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sz w:val="18"/>
                <w:szCs w:val="18"/>
                <w:lang w:eastAsia="zh-CN"/>
              </w:rPr>
            </w:pPr>
            <w:r>
              <w:rPr>
                <w:rFonts w:hint="eastAsia" w:ascii="仿宋_GB2312" w:hAnsi="仿宋" w:eastAsia="仿宋_GB2312"/>
                <w:sz w:val="18"/>
                <w:szCs w:val="18"/>
                <w:lang w:eastAsia="zh-CN"/>
              </w:rPr>
              <w:t>■阳新县政府网</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lang w:eastAsia="zh-CN"/>
              </w:rPr>
              <w:t>■阳新县政府网</w:t>
            </w:r>
            <w:r>
              <w:rPr>
                <w:rFonts w:hint="eastAsia" w:ascii="仿宋_GB2312" w:hAnsi="仿宋" w:eastAsia="仿宋_GB2312"/>
                <w:sz w:val="18"/>
                <w:szCs w:val="18"/>
              </w:rPr>
              <w:t xml:space="preserve">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4295C"/>
    <w:rsid w:val="2134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2022-01-03T21:01:00Z</dcterms:created>
  <dc:creator>周玉洁</dc:creator>
  <cp:lastModifiedBy>周玉洁</cp:lastModifiedBy>
  <dcterms:modified xsi:type="dcterms:W3CDTF">2022-01-03T21:01:58Z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4142151C3C594F9CBEC678579276483D</vt:lpwstr>
  </property>
</Properties>
</file>