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375"/>
        <w:jc w:val="center"/>
        <w:outlineLvl w:val="4"/>
        <w:rPr>
          <w:rFonts w:ascii="微软雅黑" w:hAnsi="微软雅黑" w:eastAsia="微软雅黑" w:cs="宋体"/>
          <w:b/>
          <w:bCs/>
          <w:color w:val="BC1010"/>
          <w:kern w:val="0"/>
          <w:sz w:val="41"/>
          <w:szCs w:val="41"/>
        </w:rPr>
      </w:pPr>
      <w:bookmarkStart w:id="5" w:name="_GoBack"/>
      <w:bookmarkEnd w:id="5"/>
      <w:r>
        <w:rPr>
          <w:rFonts w:hint="eastAsia" w:ascii="MS Gothic" w:hAnsi="MS Gothic" w:eastAsia="MS Gothic" w:cs="MS Gothic"/>
          <w:b/>
          <w:bCs/>
          <w:color w:val="BC1010"/>
          <w:kern w:val="0"/>
          <w:sz w:val="41"/>
          <w:szCs w:val="41"/>
        </w:rPr>
        <w:t>​</w:t>
      </w:r>
      <w:r>
        <w:rPr>
          <w:rFonts w:hint="eastAsia" w:ascii="微软雅黑" w:hAnsi="微软雅黑" w:eastAsia="微软雅黑" w:cs="微软雅黑"/>
          <w:b/>
          <w:bCs/>
          <w:kern w:val="0"/>
          <w:sz w:val="24"/>
          <w:szCs w:val="24"/>
        </w:rPr>
        <w:t>阳新县中医医院城东院区一期建设项目窗帘采购及安装项目更正附件</w:t>
      </w:r>
    </w:p>
    <w:p>
      <w:pPr>
        <w:widowControl/>
        <w:shd w:val="clear" w:color="auto" w:fill="FFFFFF"/>
        <w:tabs>
          <w:tab w:val="left" w:pos="142"/>
        </w:tabs>
        <w:spacing w:line="360" w:lineRule="atLeast"/>
        <w:ind w:firstLine="480"/>
        <w:jc w:val="left"/>
        <w:rPr>
          <w:rFonts w:ascii="微软雅黑" w:hAnsi="微软雅黑" w:eastAsia="微软雅黑" w:cs="宋体"/>
          <w:kern w:val="0"/>
          <w:szCs w:val="21"/>
        </w:rPr>
      </w:pPr>
      <w:r>
        <w:rPr>
          <w:rFonts w:hint="eastAsia" w:ascii="宋体" w:hAnsi="宋体" w:eastAsia="宋体" w:cs="宋体"/>
          <w:b/>
          <w:kern w:val="0"/>
          <w:sz w:val="24"/>
          <w:szCs w:val="24"/>
          <w:shd w:val="clear" w:color="auto" w:fill="FFFFFF"/>
        </w:rPr>
        <w:t>更正内容：</w:t>
      </w:r>
      <w:r>
        <w:rPr>
          <w:rFonts w:hint="eastAsia" w:ascii="宋体" w:hAnsi="宋体" w:eastAsia="宋体" w:cs="宋体"/>
          <w:b/>
          <w:bCs/>
          <w:kern w:val="0"/>
          <w:szCs w:val="21"/>
        </w:rPr>
        <w:t>原招标文件第三章项目采购清单、技术规格、参数及要求</w:t>
      </w:r>
    </w:p>
    <w:tbl>
      <w:tblPr>
        <w:tblStyle w:val="6"/>
        <w:tblW w:w="10058" w:type="dxa"/>
        <w:tblInd w:w="-318" w:type="dxa"/>
        <w:tblLayout w:type="autofit"/>
        <w:tblCellMar>
          <w:top w:w="0" w:type="dxa"/>
          <w:left w:w="108" w:type="dxa"/>
          <w:bottom w:w="0" w:type="dxa"/>
          <w:right w:w="108" w:type="dxa"/>
        </w:tblCellMar>
      </w:tblPr>
      <w:tblGrid>
        <w:gridCol w:w="676"/>
        <w:gridCol w:w="892"/>
        <w:gridCol w:w="1026"/>
        <w:gridCol w:w="5013"/>
        <w:gridCol w:w="636"/>
        <w:gridCol w:w="544"/>
        <w:gridCol w:w="1271"/>
      </w:tblGrid>
      <w:tr>
        <w:tblPrEx>
          <w:tblCellMar>
            <w:top w:w="0" w:type="dxa"/>
            <w:left w:w="108" w:type="dxa"/>
            <w:bottom w:w="0" w:type="dxa"/>
            <w:right w:w="108" w:type="dxa"/>
          </w:tblCellMar>
        </w:tblPrEx>
        <w:trPr>
          <w:trHeight w:val="600"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bookmarkStart w:id="0" w:name="_Toc338065594"/>
            <w:bookmarkStart w:id="1" w:name="_Toc494561953"/>
            <w:bookmarkStart w:id="2" w:name="_Toc339378680"/>
            <w:bookmarkStart w:id="3" w:name="_Toc495861534"/>
            <w:r>
              <w:rPr>
                <w:rFonts w:hint="eastAsia" w:ascii="宋体" w:hAnsi="宋体" w:cs="宋体"/>
                <w:b/>
                <w:bCs/>
                <w:kern w:val="0"/>
                <w:szCs w:val="21"/>
              </w:rPr>
              <w:t>序号</w:t>
            </w:r>
          </w:p>
        </w:tc>
        <w:tc>
          <w:tcPr>
            <w:tcW w:w="892" w:type="dxa"/>
            <w:tcBorders>
              <w:top w:val="single" w:color="auto" w:sz="4" w:space="0"/>
              <w:left w:val="nil"/>
              <w:bottom w:val="single" w:color="auto" w:sz="4" w:space="0"/>
              <w:right w:val="single" w:color="auto" w:sz="4" w:space="0"/>
            </w:tcBorders>
            <w:vAlign w:val="center"/>
          </w:tcPr>
          <w:p>
            <w:pPr>
              <w:widowControl/>
              <w:tabs>
                <w:tab w:val="left" w:pos="242"/>
              </w:tabs>
              <w:ind w:left="-73" w:leftChars="-35" w:firstLine="74" w:firstLineChars="35"/>
              <w:jc w:val="center"/>
              <w:rPr>
                <w:rFonts w:ascii="宋体" w:hAnsi="宋体" w:cs="宋体"/>
                <w:b/>
                <w:bCs/>
                <w:kern w:val="0"/>
                <w:szCs w:val="21"/>
              </w:rPr>
            </w:pPr>
            <w:r>
              <w:rPr>
                <w:rFonts w:hint="eastAsia" w:ascii="宋体" w:hAnsi="宋体" w:cs="宋体"/>
                <w:b/>
                <w:bCs/>
                <w:kern w:val="0"/>
                <w:szCs w:val="21"/>
              </w:rPr>
              <w:t>品名</w:t>
            </w:r>
          </w:p>
        </w:tc>
        <w:tc>
          <w:tcPr>
            <w:tcW w:w="10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规格</w:t>
            </w:r>
          </w:p>
        </w:tc>
        <w:tc>
          <w:tcPr>
            <w:tcW w:w="48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参考图片</w:t>
            </w:r>
          </w:p>
        </w:tc>
        <w:tc>
          <w:tcPr>
            <w:tcW w:w="6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6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c>
          <w:tcPr>
            <w:tcW w:w="135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材质说明</w:t>
            </w:r>
          </w:p>
        </w:tc>
      </w:tr>
      <w:tr>
        <w:tblPrEx>
          <w:tblCellMar>
            <w:top w:w="0" w:type="dxa"/>
            <w:left w:w="108" w:type="dxa"/>
            <w:bottom w:w="0" w:type="dxa"/>
            <w:right w:w="108" w:type="dxa"/>
          </w:tblCellMar>
        </w:tblPrEx>
        <w:trPr>
          <w:trHeight w:val="2839" w:hRule="atLeast"/>
        </w:trPr>
        <w:tc>
          <w:tcPr>
            <w:tcW w:w="67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Cs w:val="21"/>
              </w:rPr>
            </w:pPr>
            <w:r>
              <w:rPr>
                <w:rFonts w:hint="eastAsia" w:ascii="宋体" w:hAnsi="宋体" w:cs="宋体"/>
                <w:b/>
                <w:bCs/>
                <w:kern w:val="0"/>
                <w:szCs w:val="21"/>
              </w:rPr>
              <w:t>1</w:t>
            </w:r>
          </w:p>
        </w:tc>
        <w:tc>
          <w:tcPr>
            <w:tcW w:w="892"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窗帘布</w:t>
            </w:r>
          </w:p>
        </w:tc>
        <w:tc>
          <w:tcPr>
            <w:tcW w:w="102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H2700mm</w:t>
            </w:r>
          </w:p>
        </w:tc>
        <w:tc>
          <w:tcPr>
            <w:tcW w:w="4847" w:type="dxa"/>
            <w:tcBorders>
              <w:top w:val="nil"/>
              <w:left w:val="nil"/>
              <w:bottom w:val="nil"/>
              <w:right w:val="single" w:color="auto" w:sz="4" w:space="0"/>
            </w:tcBorders>
            <w:noWrap/>
            <w:vAlign w:val="center"/>
          </w:tcPr>
          <w:p>
            <w:pPr>
              <w:widowControl/>
              <w:jc w:val="left"/>
              <w:rPr>
                <w:rFonts w:ascii="宋体" w:hAnsi="宋体" w:cs="宋体"/>
                <w:kern w:val="0"/>
                <w:szCs w:val="21"/>
              </w:rPr>
            </w:pPr>
            <w:r>
              <w:rPr>
                <w:rFonts w:ascii="宋体" w:hAnsi="宋体" w:cs="宋体"/>
                <w:kern w:val="0"/>
                <w:szCs w:val="21"/>
              </w:rPr>
              <w:drawing>
                <wp:anchor distT="0" distB="0" distL="114300" distR="114300" simplePos="0" relativeHeight="251660288" behindDoc="0" locked="0" layoutInCell="1" allowOverlap="1">
                  <wp:simplePos x="0" y="0"/>
                  <wp:positionH relativeFrom="column">
                    <wp:posOffset>371475</wp:posOffset>
                  </wp:positionH>
                  <wp:positionV relativeFrom="paragraph">
                    <wp:posOffset>47625</wp:posOffset>
                  </wp:positionV>
                  <wp:extent cx="1828800" cy="1838325"/>
                  <wp:effectExtent l="0" t="0" r="0" b="0"/>
                  <wp:wrapNone/>
                  <wp:docPr id="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1"/>
                          <pic:cNvPicPr>
                            <a:picLocks noChangeAspect="1"/>
                          </pic:cNvPicPr>
                        </pic:nvPicPr>
                        <pic:blipFill>
                          <a:blip r:embed="rId6" cstate="print"/>
                          <a:srcRect t="5693" b="7791"/>
                          <a:stretch>
                            <a:fillRect/>
                          </a:stretch>
                        </pic:blipFill>
                        <pic:spPr>
                          <a:xfrm>
                            <a:off x="0" y="0"/>
                            <a:ext cx="1809750" cy="1834216"/>
                          </a:xfrm>
                          <a:prstGeom prst="rect">
                            <a:avLst/>
                          </a:prstGeom>
                        </pic:spPr>
                      </pic:pic>
                    </a:graphicData>
                  </a:graphic>
                </wp:anchor>
              </w:drawing>
            </w:r>
          </w:p>
          <w:tbl>
            <w:tblPr>
              <w:tblStyle w:val="6"/>
              <w:tblW w:w="4797" w:type="dxa"/>
              <w:tblCellSpacing w:w="0" w:type="dxa"/>
              <w:tblInd w:w="0" w:type="dxa"/>
              <w:tblLayout w:type="autofit"/>
              <w:tblCellMar>
                <w:top w:w="0" w:type="dxa"/>
                <w:left w:w="0" w:type="dxa"/>
                <w:bottom w:w="0" w:type="dxa"/>
                <w:right w:w="0" w:type="dxa"/>
              </w:tblCellMar>
            </w:tblPr>
            <w:tblGrid>
              <w:gridCol w:w="4797"/>
            </w:tblGrid>
            <w:tr>
              <w:tblPrEx>
                <w:tblCellMar>
                  <w:top w:w="0" w:type="dxa"/>
                  <w:left w:w="0" w:type="dxa"/>
                  <w:bottom w:w="0" w:type="dxa"/>
                  <w:right w:w="0" w:type="dxa"/>
                </w:tblCellMar>
              </w:tblPrEx>
              <w:trPr>
                <w:trHeight w:val="2839" w:hRule="atLeast"/>
                <w:tblCellSpacing w:w="0" w:type="dxa"/>
              </w:trPr>
              <w:tc>
                <w:tcPr>
                  <w:tcW w:w="479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bl>
          <w:p>
            <w:pPr>
              <w:widowControl/>
              <w:jc w:val="left"/>
              <w:rPr>
                <w:rFonts w:ascii="宋体" w:hAnsi="宋体" w:cs="宋体"/>
                <w:kern w:val="0"/>
                <w:szCs w:val="21"/>
              </w:rPr>
            </w:pPr>
          </w:p>
        </w:tc>
        <w:tc>
          <w:tcPr>
            <w:tcW w:w="63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5666 </w:t>
            </w:r>
          </w:p>
        </w:tc>
        <w:tc>
          <w:tcPr>
            <w:tcW w:w="6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米</w:t>
            </w:r>
          </w:p>
        </w:tc>
        <w:tc>
          <w:tcPr>
            <w:tcW w:w="135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单层打孔，浅蓝色半遮光窗帘布，符合国家环保标准。检测甲醛含量≤1.1mg/L。</w:t>
            </w:r>
          </w:p>
        </w:tc>
      </w:tr>
      <w:tr>
        <w:tblPrEx>
          <w:tblCellMar>
            <w:top w:w="0" w:type="dxa"/>
            <w:left w:w="108" w:type="dxa"/>
            <w:bottom w:w="0" w:type="dxa"/>
            <w:right w:w="108" w:type="dxa"/>
          </w:tblCellMar>
        </w:tblPrEx>
        <w:trPr>
          <w:trHeight w:val="2839" w:hRule="atLeast"/>
        </w:trPr>
        <w:tc>
          <w:tcPr>
            <w:tcW w:w="67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Cs w:val="21"/>
              </w:rPr>
            </w:pPr>
            <w:r>
              <w:rPr>
                <w:rFonts w:hint="eastAsia" w:ascii="宋体" w:hAnsi="宋体" w:cs="宋体"/>
                <w:b/>
                <w:bCs/>
                <w:kern w:val="0"/>
                <w:szCs w:val="21"/>
              </w:rPr>
              <w:t>2</w:t>
            </w:r>
          </w:p>
        </w:tc>
        <w:tc>
          <w:tcPr>
            <w:tcW w:w="8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窗帘杆</w:t>
            </w:r>
            <w:r>
              <w:rPr>
                <w:rFonts w:hint="eastAsia" w:ascii="宋体" w:hAnsi="宋体" w:cs="宋体"/>
                <w:kern w:val="0"/>
                <w:szCs w:val="21"/>
              </w:rPr>
              <w:br w:type="textWrapping"/>
            </w:r>
            <w:r>
              <w:rPr>
                <w:rFonts w:hint="eastAsia" w:ascii="宋体" w:hAnsi="宋体" w:cs="宋体"/>
                <w:kern w:val="0"/>
                <w:szCs w:val="21"/>
              </w:rPr>
              <w:t>及配件</w:t>
            </w:r>
          </w:p>
        </w:tc>
        <w:tc>
          <w:tcPr>
            <w:tcW w:w="102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φ35mm</w:t>
            </w:r>
          </w:p>
        </w:tc>
        <w:tc>
          <w:tcPr>
            <w:tcW w:w="484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drawing>
                <wp:anchor distT="0" distB="0" distL="114300" distR="114300" simplePos="0" relativeHeight="251662336" behindDoc="0" locked="0" layoutInCell="1" allowOverlap="1">
                  <wp:simplePos x="0" y="0"/>
                  <wp:positionH relativeFrom="column">
                    <wp:posOffset>1601470</wp:posOffset>
                  </wp:positionH>
                  <wp:positionV relativeFrom="paragraph">
                    <wp:posOffset>118110</wp:posOffset>
                  </wp:positionV>
                  <wp:extent cx="1341120" cy="1590675"/>
                  <wp:effectExtent l="0" t="0" r="0" b="0"/>
                  <wp:wrapNone/>
                  <wp:docPr id="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4"/>
                          <pic:cNvPicPr>
                            <a:picLocks noChangeAspect="1"/>
                          </pic:cNvPicPr>
                        </pic:nvPicPr>
                        <pic:blipFill>
                          <a:blip r:embed="rId7" cstate="print"/>
                          <a:srcRect b="24560"/>
                          <a:stretch>
                            <a:fillRect/>
                          </a:stretch>
                        </pic:blipFill>
                        <pic:spPr>
                          <a:xfrm>
                            <a:off x="0" y="0"/>
                            <a:ext cx="1074420" cy="1567815"/>
                          </a:xfrm>
                          <a:prstGeom prst="rect">
                            <a:avLst/>
                          </a:prstGeom>
                        </pic:spPr>
                      </pic:pic>
                    </a:graphicData>
                  </a:graphic>
                </wp:anchor>
              </w:drawing>
            </w:r>
            <w:r>
              <w:rPr>
                <w:rFonts w:ascii="宋体" w:hAnsi="宋体" w:cs="宋体"/>
                <w:kern w:val="0"/>
                <w:szCs w:val="21"/>
              </w:rPr>
              <w:drawing>
                <wp:anchor distT="0" distB="0" distL="114300" distR="114300" simplePos="0" relativeHeight="251661312" behindDoc="0" locked="0" layoutInCell="1" allowOverlap="1">
                  <wp:simplePos x="0" y="0"/>
                  <wp:positionH relativeFrom="column">
                    <wp:posOffset>6985</wp:posOffset>
                  </wp:positionH>
                  <wp:positionV relativeFrom="paragraph">
                    <wp:posOffset>184785</wp:posOffset>
                  </wp:positionV>
                  <wp:extent cx="1438275" cy="1590675"/>
                  <wp:effectExtent l="0" t="0" r="0" b="0"/>
                  <wp:wrapNone/>
                  <wp:docPr id="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3"/>
                          <pic:cNvPicPr>
                            <a:picLocks noChangeAspect="1"/>
                          </pic:cNvPicPr>
                        </pic:nvPicPr>
                        <pic:blipFill>
                          <a:blip r:embed="rId8" cstate="print"/>
                          <a:srcRect t="4380" r="51050" b="26156"/>
                          <a:stretch>
                            <a:fillRect/>
                          </a:stretch>
                        </pic:blipFill>
                        <pic:spPr>
                          <a:xfrm>
                            <a:off x="0" y="0"/>
                            <a:ext cx="1421765" cy="1583690"/>
                          </a:xfrm>
                          <a:prstGeom prst="rect">
                            <a:avLst/>
                          </a:prstGeom>
                        </pic:spPr>
                      </pic:pic>
                    </a:graphicData>
                  </a:graphic>
                </wp:anchor>
              </w:drawing>
            </w:r>
            <w:r>
              <w:rPr>
                <w:rFonts w:hint="eastAsia" w:ascii="宋体" w:hAnsi="宋体" w:cs="宋体"/>
                <w:kern w:val="0"/>
                <w:szCs w:val="21"/>
              </w:rPr>
              <w:t>　</w:t>
            </w:r>
          </w:p>
        </w:tc>
        <w:tc>
          <w:tcPr>
            <w:tcW w:w="6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2833 </w:t>
            </w:r>
          </w:p>
        </w:tc>
        <w:tc>
          <w:tcPr>
            <w:tcW w:w="6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米</w:t>
            </w:r>
          </w:p>
        </w:tc>
        <w:tc>
          <w:tcPr>
            <w:tcW w:w="135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铝合金窗帘杆壁厚≥3mm，以及相应的支架、吊环等配件。</w:t>
            </w:r>
          </w:p>
        </w:tc>
      </w:tr>
    </w:tbl>
    <w:p>
      <w:pPr>
        <w:spacing w:line="360" w:lineRule="auto"/>
        <w:rPr>
          <w:rFonts w:ascii="宋体" w:hAnsi="宋体" w:cs="宋体"/>
          <w:szCs w:val="21"/>
        </w:rPr>
      </w:pPr>
    </w:p>
    <w:tbl>
      <w:tblPr>
        <w:tblStyle w:val="6"/>
        <w:tblW w:w="9781" w:type="dxa"/>
        <w:tblInd w:w="108" w:type="dxa"/>
        <w:tblLayout w:type="autofit"/>
        <w:tblCellMar>
          <w:top w:w="0" w:type="dxa"/>
          <w:left w:w="108" w:type="dxa"/>
          <w:bottom w:w="0" w:type="dxa"/>
          <w:right w:w="108" w:type="dxa"/>
        </w:tblCellMar>
      </w:tblPr>
      <w:tblGrid>
        <w:gridCol w:w="9781"/>
      </w:tblGrid>
      <w:tr>
        <w:tblPrEx>
          <w:tblCellMar>
            <w:top w:w="0" w:type="dxa"/>
            <w:left w:w="108" w:type="dxa"/>
            <w:bottom w:w="0" w:type="dxa"/>
            <w:right w:w="108" w:type="dxa"/>
          </w:tblCellMar>
        </w:tblPrEx>
        <w:trPr>
          <w:trHeight w:val="312" w:hRule="atLeast"/>
        </w:trPr>
        <w:tc>
          <w:tcPr>
            <w:tcW w:w="9781" w:type="dxa"/>
            <w:vMerge w:val="restart"/>
            <w:tcBorders>
              <w:top w:val="nil"/>
              <w:left w:val="nil"/>
              <w:bottom w:val="nil"/>
              <w:right w:val="nil"/>
            </w:tcBorders>
          </w:tcPr>
          <w:p>
            <w:pPr>
              <w:widowControl/>
              <w:jc w:val="left"/>
              <w:rPr>
                <w:rFonts w:ascii="宋体" w:hAnsi="宋体" w:cs="宋体"/>
                <w:kern w:val="0"/>
                <w:szCs w:val="21"/>
              </w:rPr>
            </w:pPr>
            <w:r>
              <w:rPr>
                <w:rFonts w:hint="eastAsia" w:ascii="宋体" w:hAnsi="宋体" w:cs="宋体"/>
                <w:kern w:val="0"/>
                <w:szCs w:val="21"/>
              </w:rPr>
              <w:t>附件：产品技术参数</w:t>
            </w:r>
            <w:r>
              <w:rPr>
                <w:rFonts w:hint="eastAsia" w:ascii="宋体" w:hAnsi="宋体" w:cs="宋体"/>
                <w:kern w:val="0"/>
                <w:szCs w:val="21"/>
              </w:rPr>
              <w:br w:type="textWrapping"/>
            </w:r>
            <w:r>
              <w:rPr>
                <w:rFonts w:hint="eastAsia" w:ascii="宋体" w:hAnsi="宋体" w:cs="宋体"/>
                <w:kern w:val="0"/>
                <w:szCs w:val="21"/>
              </w:rPr>
              <w:t>一、主要原材料和成品家具检验依据技术要求：</w:t>
            </w:r>
            <w:r>
              <w:rPr>
                <w:rFonts w:hint="eastAsia" w:ascii="宋体" w:hAnsi="宋体" w:cs="宋体"/>
                <w:kern w:val="0"/>
                <w:szCs w:val="21"/>
              </w:rPr>
              <w:br w:type="textWrapping"/>
            </w:r>
            <w:r>
              <w:rPr>
                <w:rFonts w:hint="eastAsia" w:ascii="宋体" w:hAnsi="宋体" w:cs="宋体"/>
                <w:kern w:val="0"/>
                <w:szCs w:val="21"/>
              </w:rPr>
              <w:t>1、双面电解钢板</w:t>
            </w:r>
            <w:r>
              <w:rPr>
                <w:rFonts w:hint="eastAsia" w:ascii="宋体" w:hAnsi="宋体" w:cs="宋体"/>
                <w:kern w:val="0"/>
                <w:szCs w:val="21"/>
              </w:rPr>
              <w:br w:type="textWrapping"/>
            </w:r>
            <w:r>
              <w:rPr>
                <w:rFonts w:hint="eastAsia" w:ascii="宋体" w:hAnsi="宋体" w:cs="宋体"/>
                <w:kern w:val="0"/>
                <w:szCs w:val="21"/>
              </w:rPr>
              <w:t>采用优质SECC双面电解钢板，整体钢板厚度≥1.0mm；</w:t>
            </w:r>
            <w:r>
              <w:rPr>
                <w:rFonts w:hint="eastAsia" w:ascii="宋体" w:hAnsi="宋体" w:cs="宋体"/>
                <w:kern w:val="0"/>
                <w:szCs w:val="21"/>
              </w:rPr>
              <w:br w:type="textWrapping"/>
            </w:r>
            <w:r>
              <w:rPr>
                <w:rFonts w:hint="eastAsia" w:ascii="宋体" w:hAnsi="宋体" w:cs="宋体"/>
                <w:kern w:val="0"/>
                <w:szCs w:val="21"/>
              </w:rPr>
              <w:t>电解钢板喷涂腐蚀样块满足不低于100小时，铜加速乙酸盐雾试验无锈蚀。涂层理化性能检测检验参照GB/T3325-2017《金属家具通用技术条件》。</w:t>
            </w:r>
            <w:r>
              <w:rPr>
                <w:rFonts w:hint="eastAsia" w:ascii="宋体" w:hAnsi="宋体" w:cs="宋体"/>
                <w:kern w:val="0"/>
                <w:szCs w:val="21"/>
              </w:rPr>
              <w:br w:type="textWrapping"/>
            </w:r>
            <w:r>
              <w:rPr>
                <w:rFonts w:hint="eastAsia" w:ascii="宋体" w:hAnsi="宋体" w:cs="宋体"/>
                <w:kern w:val="0"/>
                <w:szCs w:val="21"/>
              </w:rPr>
              <w:t>2、医用纳米抗菌粉末涂料</w:t>
            </w:r>
            <w:r>
              <w:rPr>
                <w:rFonts w:hint="eastAsia" w:ascii="宋体" w:hAnsi="宋体" w:cs="宋体"/>
                <w:kern w:val="0"/>
                <w:szCs w:val="21"/>
              </w:rPr>
              <w:br w:type="textWrapping"/>
            </w:r>
            <w:r>
              <w:rPr>
                <w:rFonts w:hint="eastAsia" w:ascii="宋体" w:hAnsi="宋体" w:cs="宋体"/>
                <w:kern w:val="0"/>
                <w:szCs w:val="21"/>
              </w:rPr>
              <w:t>表面采用环保室内型环氧树脂静电粉末喷涂，涂层膜厚度均匀。</w:t>
            </w:r>
            <w:r>
              <w:rPr>
                <w:rFonts w:hint="eastAsia" w:ascii="宋体" w:hAnsi="宋体" w:cs="宋体"/>
                <w:kern w:val="0"/>
                <w:szCs w:val="21"/>
              </w:rPr>
              <w:br w:type="textWrapping"/>
            </w:r>
            <w:r>
              <w:rPr>
                <w:rFonts w:hint="eastAsia" w:ascii="宋体" w:hAnsi="宋体" w:cs="宋体"/>
                <w:kern w:val="0"/>
                <w:szCs w:val="21"/>
              </w:rPr>
              <w:t>静电粉末中重金属含量参照GB/T28481-2012《塑料家具中有害物质限量》。</w:t>
            </w:r>
            <w:r>
              <w:rPr>
                <w:rFonts w:hint="eastAsia" w:ascii="宋体" w:hAnsi="宋体" w:cs="宋体"/>
                <w:kern w:val="0"/>
                <w:szCs w:val="21"/>
              </w:rPr>
              <w:br w:type="textWrapping"/>
            </w:r>
            <w:r>
              <w:rPr>
                <w:rFonts w:hint="eastAsia" w:ascii="宋体" w:hAnsi="宋体" w:cs="宋体"/>
                <w:kern w:val="0"/>
                <w:szCs w:val="21"/>
              </w:rPr>
              <w:t>3、ABS塑料</w:t>
            </w:r>
            <w:r>
              <w:rPr>
                <w:rFonts w:hint="eastAsia" w:ascii="宋体" w:hAnsi="宋体" w:cs="宋体"/>
                <w:kern w:val="0"/>
                <w:szCs w:val="21"/>
              </w:rPr>
              <w:br w:type="textWrapping"/>
            </w:r>
            <w:r>
              <w:rPr>
                <w:rFonts w:hint="eastAsia" w:ascii="宋体" w:hAnsi="宋体" w:cs="宋体"/>
                <w:kern w:val="0"/>
                <w:szCs w:val="21"/>
              </w:rPr>
              <w:t>使用一次性注塑件，整体美观、手感光滑、无毛刺，重金属含量参照GB/T28481-2012《塑料家具中有害物质限量》。</w:t>
            </w:r>
            <w:r>
              <w:rPr>
                <w:rFonts w:hint="eastAsia" w:ascii="宋体" w:hAnsi="宋体" w:cs="宋体"/>
                <w:kern w:val="0"/>
                <w:szCs w:val="21"/>
              </w:rPr>
              <w:br w:type="textWrapping"/>
            </w:r>
            <w:r>
              <w:rPr>
                <w:rFonts w:hint="eastAsia" w:ascii="宋体" w:hAnsi="宋体" w:cs="宋体"/>
                <w:kern w:val="0"/>
                <w:szCs w:val="21"/>
              </w:rPr>
              <w:t>4、转舌锁</w:t>
            </w:r>
            <w:r>
              <w:rPr>
                <w:rFonts w:hint="eastAsia" w:ascii="宋体" w:hAnsi="宋体" w:cs="宋体"/>
                <w:kern w:val="0"/>
                <w:szCs w:val="21"/>
              </w:rPr>
              <w:br w:type="textWrapping"/>
            </w:r>
            <w:r>
              <w:rPr>
                <w:rFonts w:hint="eastAsia" w:ascii="宋体" w:hAnsi="宋体" w:cs="宋体"/>
                <w:kern w:val="0"/>
                <w:szCs w:val="21"/>
              </w:rPr>
              <w:t>采用叶片转舌锁，该锁具钥匙重复率低，制作工艺精湛，外观漂亮。产品具备换芯功能，便于终身服务，锁芯具有定位功能，让用户使用时可以明显体验到已经到位的弹挡</w:t>
            </w:r>
            <w:r>
              <w:rPr>
                <w:rFonts w:hint="eastAsia" w:ascii="宋体" w:hAnsi="宋体" w:cs="宋体"/>
                <w:kern w:val="0"/>
                <w:szCs w:val="21"/>
              </w:rPr>
              <w:br w:type="textWrapping"/>
            </w:r>
            <w:r>
              <w:rPr>
                <w:rFonts w:hint="eastAsia" w:ascii="宋体" w:hAnsi="宋体" w:cs="宋体"/>
                <w:kern w:val="0"/>
                <w:szCs w:val="21"/>
              </w:rPr>
              <w:t>感。外观质量美观、牢固度高、金属电镀层理化性能抗盐雾检验参照GB/T3325-2017《金属家具通用技术条件》。</w:t>
            </w:r>
            <w:r>
              <w:rPr>
                <w:rFonts w:hint="eastAsia" w:ascii="宋体" w:hAnsi="宋体" w:cs="宋体"/>
                <w:kern w:val="0"/>
                <w:szCs w:val="21"/>
              </w:rPr>
              <w:br w:type="textWrapping"/>
            </w:r>
            <w:r>
              <w:rPr>
                <w:rFonts w:hint="eastAsia" w:ascii="宋体" w:hAnsi="宋体" w:cs="宋体"/>
                <w:kern w:val="0"/>
                <w:szCs w:val="21"/>
              </w:rPr>
              <w:t>5、三节阻尼导轨</w:t>
            </w:r>
            <w:r>
              <w:rPr>
                <w:rFonts w:hint="eastAsia" w:ascii="宋体" w:hAnsi="宋体" w:cs="宋体"/>
                <w:kern w:val="0"/>
                <w:szCs w:val="21"/>
              </w:rPr>
              <w:br w:type="textWrapping"/>
            </w:r>
            <w:r>
              <w:rPr>
                <w:rFonts w:hint="eastAsia" w:ascii="宋体" w:hAnsi="宋体" w:cs="宋体"/>
                <w:kern w:val="0"/>
                <w:szCs w:val="21"/>
              </w:rPr>
              <w:t>采用医用三节走珠滑轨，抽拉自如，开关顺滑，双叠全拉带定位结构，防止滑出，静音效果好，使用寿命长。</w:t>
            </w:r>
            <w:r>
              <w:rPr>
                <w:rFonts w:hint="eastAsia" w:ascii="宋体" w:hAnsi="宋体" w:cs="宋体"/>
                <w:kern w:val="0"/>
                <w:szCs w:val="21"/>
              </w:rPr>
              <w:br w:type="textWrapping"/>
            </w:r>
            <w:r>
              <w:rPr>
                <w:rFonts w:hint="eastAsia" w:ascii="宋体" w:hAnsi="宋体" w:cs="宋体"/>
                <w:kern w:val="0"/>
                <w:szCs w:val="21"/>
              </w:rPr>
              <w:t>耐久性、耐腐蚀均符合GB/T3325-2017《金属家具通用技术条件》。</w:t>
            </w:r>
            <w:r>
              <w:rPr>
                <w:rFonts w:hint="eastAsia" w:ascii="宋体" w:hAnsi="宋体" w:cs="宋体"/>
                <w:kern w:val="0"/>
                <w:szCs w:val="21"/>
              </w:rPr>
              <w:br w:type="textWrapping"/>
            </w:r>
            <w:r>
              <w:rPr>
                <w:rFonts w:hint="eastAsia" w:ascii="宋体" w:hAnsi="宋体" w:cs="宋体"/>
                <w:kern w:val="0"/>
                <w:szCs w:val="21"/>
              </w:rPr>
              <w:t>6、阻尼缓冲铰链</w:t>
            </w:r>
            <w:r>
              <w:rPr>
                <w:rFonts w:hint="eastAsia" w:ascii="宋体" w:hAnsi="宋体" w:cs="宋体"/>
                <w:kern w:val="0"/>
                <w:szCs w:val="21"/>
              </w:rPr>
              <w:br w:type="textWrapping"/>
            </w:r>
            <w:r>
              <w:rPr>
                <w:rFonts w:hint="eastAsia" w:ascii="宋体" w:hAnsi="宋体" w:cs="宋体"/>
                <w:kern w:val="0"/>
                <w:szCs w:val="21"/>
              </w:rPr>
              <w:t>采用带缓冲铰链，开关顺滑静音缓冲，安装简易。</w:t>
            </w:r>
            <w:r>
              <w:rPr>
                <w:rFonts w:hint="eastAsia" w:ascii="宋体" w:hAnsi="宋体" w:cs="宋体"/>
                <w:kern w:val="0"/>
                <w:szCs w:val="21"/>
              </w:rPr>
              <w:br w:type="textWrapping"/>
            </w:r>
            <w:r>
              <w:rPr>
                <w:rFonts w:hint="eastAsia" w:ascii="宋体" w:hAnsi="宋体" w:cs="宋体"/>
                <w:kern w:val="0"/>
                <w:szCs w:val="21"/>
              </w:rPr>
              <w:t>耐久性、耐腐蚀均符合GB/T3325-2017《金属家具通用技术条件》。</w:t>
            </w:r>
            <w:r>
              <w:rPr>
                <w:rFonts w:hint="eastAsia" w:ascii="宋体" w:hAnsi="宋体" w:cs="宋体"/>
                <w:kern w:val="0"/>
                <w:szCs w:val="21"/>
              </w:rPr>
              <w:br w:type="textWrapping"/>
            </w:r>
            <w:r>
              <w:rPr>
                <w:rFonts w:hint="eastAsia" w:ascii="宋体" w:hAnsi="宋体" w:cs="宋体"/>
                <w:kern w:val="0"/>
                <w:szCs w:val="21"/>
              </w:rPr>
              <w:t>7、（木制板材）基材</w:t>
            </w:r>
            <w:r>
              <w:rPr>
                <w:rFonts w:hint="eastAsia" w:ascii="宋体" w:hAnsi="宋体" w:cs="宋体"/>
                <w:kern w:val="0"/>
                <w:szCs w:val="21"/>
              </w:rPr>
              <w:br w:type="textWrapping"/>
            </w:r>
            <w:r>
              <w:rPr>
                <w:rFonts w:hint="eastAsia" w:ascii="宋体" w:hAnsi="宋体" w:cs="宋体"/>
                <w:kern w:val="0"/>
                <w:szCs w:val="21"/>
              </w:rPr>
              <w:t>基材采用优质实木多层板、中密度板、三聚氰胺板、防火板贴面符合国家标准GB18584-2001《室内装饰装修材料 木家具中有害物质限量》E1级环保标准。国家E1检测甲醛</w:t>
            </w:r>
            <w:r>
              <w:rPr>
                <w:rFonts w:hint="eastAsia" w:ascii="宋体" w:hAnsi="宋体" w:cs="宋体"/>
                <w:kern w:val="0"/>
                <w:szCs w:val="21"/>
              </w:rPr>
              <w:br w:type="textWrapping"/>
            </w:r>
            <w:r>
              <w:rPr>
                <w:rFonts w:hint="eastAsia" w:ascii="宋体" w:hAnsi="宋体" w:cs="宋体"/>
                <w:kern w:val="0"/>
                <w:szCs w:val="21"/>
              </w:rPr>
              <w:t>含量≤1.1mg/L，此次招标家具所用板材穿孔萃取法甲醛检测含量不高于2mg/100g。</w:t>
            </w:r>
            <w:r>
              <w:rPr>
                <w:rFonts w:hint="eastAsia" w:ascii="宋体" w:hAnsi="宋体" w:cs="宋体"/>
                <w:kern w:val="0"/>
                <w:szCs w:val="21"/>
              </w:rPr>
              <w:br w:type="textWrapping"/>
            </w:r>
            <w:r>
              <w:rPr>
                <w:rFonts w:hint="eastAsia" w:ascii="宋体" w:hAnsi="宋体" w:cs="宋体"/>
                <w:kern w:val="0"/>
                <w:szCs w:val="21"/>
              </w:rPr>
              <w:t>8、高密度定型阻燃海绵</w:t>
            </w:r>
            <w:r>
              <w:rPr>
                <w:rFonts w:hint="eastAsia" w:ascii="宋体" w:hAnsi="宋体" w:cs="宋体"/>
                <w:kern w:val="0"/>
                <w:szCs w:val="21"/>
              </w:rPr>
              <w:br w:type="textWrapping"/>
            </w:r>
            <w:r>
              <w:rPr>
                <w:rFonts w:hint="eastAsia" w:ascii="宋体" w:hAnsi="宋体" w:cs="宋体"/>
                <w:kern w:val="0"/>
                <w:szCs w:val="21"/>
              </w:rPr>
              <w:t>检验参照QB/T1952.1-2012《软体家具 沙发》</w:t>
            </w:r>
            <w:r>
              <w:rPr>
                <w:rFonts w:hint="eastAsia" w:ascii="宋体" w:hAnsi="宋体" w:cs="宋体"/>
                <w:kern w:val="0"/>
                <w:szCs w:val="21"/>
              </w:rPr>
              <w:br w:type="textWrapping"/>
            </w:r>
            <w:r>
              <w:rPr>
                <w:rFonts w:hint="eastAsia" w:ascii="宋体" w:hAnsi="宋体" w:cs="宋体"/>
                <w:kern w:val="0"/>
                <w:szCs w:val="21"/>
              </w:rPr>
              <w:t>1）压缩永久变形率≤4.0%</w:t>
            </w:r>
            <w:r>
              <w:rPr>
                <w:rFonts w:hint="eastAsia" w:ascii="宋体" w:hAnsi="宋体" w:cs="宋体"/>
                <w:kern w:val="0"/>
                <w:szCs w:val="21"/>
              </w:rPr>
              <w:br w:type="textWrapping"/>
            </w:r>
            <w:r>
              <w:rPr>
                <w:rFonts w:hint="eastAsia" w:ascii="宋体" w:hAnsi="宋体" w:cs="宋体"/>
                <w:kern w:val="0"/>
                <w:szCs w:val="21"/>
              </w:rPr>
              <w:t>2）表观密度≥40KG/m³</w:t>
            </w:r>
            <w:r>
              <w:rPr>
                <w:rFonts w:hint="eastAsia" w:ascii="宋体" w:hAnsi="宋体" w:cs="宋体"/>
                <w:kern w:val="0"/>
                <w:szCs w:val="21"/>
              </w:rPr>
              <w:br w:type="textWrapping"/>
            </w:r>
            <w:r>
              <w:rPr>
                <w:rFonts w:hint="eastAsia" w:ascii="宋体" w:hAnsi="宋体" w:cs="宋体"/>
                <w:kern w:val="0"/>
                <w:szCs w:val="21"/>
              </w:rPr>
              <w:t>3）回弹性能≥38%</w:t>
            </w:r>
            <w:r>
              <w:rPr>
                <w:rFonts w:hint="eastAsia" w:ascii="宋体" w:hAnsi="宋体" w:cs="宋体"/>
                <w:kern w:val="0"/>
                <w:szCs w:val="21"/>
              </w:rPr>
              <w:br w:type="textWrapping"/>
            </w:r>
            <w:r>
              <w:rPr>
                <w:rFonts w:hint="eastAsia" w:ascii="宋体" w:hAnsi="宋体" w:cs="宋体"/>
                <w:kern w:val="0"/>
                <w:szCs w:val="21"/>
              </w:rPr>
              <w:t>9、牛皮  检验参照QB/T1952.1-2012《软体家具 沙发》</w:t>
            </w:r>
            <w:r>
              <w:rPr>
                <w:rFonts w:hint="eastAsia" w:ascii="宋体" w:hAnsi="宋体" w:cs="宋体"/>
                <w:kern w:val="0"/>
                <w:szCs w:val="21"/>
              </w:rPr>
              <w:br w:type="textWrapping"/>
            </w:r>
            <w:r>
              <w:rPr>
                <w:rFonts w:hint="eastAsia" w:ascii="宋体" w:hAnsi="宋体" w:cs="宋体"/>
                <w:kern w:val="0"/>
                <w:szCs w:val="21"/>
              </w:rPr>
              <w:t>10、西皮  检验参照QB/T1952.1-2012《软体家具 沙发》</w:t>
            </w:r>
            <w:r>
              <w:rPr>
                <w:rFonts w:hint="eastAsia" w:ascii="宋体" w:hAnsi="宋体" w:cs="宋体"/>
                <w:kern w:val="0"/>
                <w:szCs w:val="21"/>
              </w:rPr>
              <w:br w:type="textWrapping"/>
            </w:r>
            <w:r>
              <w:rPr>
                <w:rFonts w:hint="eastAsia" w:ascii="宋体" w:hAnsi="宋体" w:cs="宋体"/>
                <w:kern w:val="0"/>
                <w:szCs w:val="21"/>
              </w:rPr>
              <w:t>11、办公转椅    检验参照QB/T2280-2016《办公家具 办公椅》</w:t>
            </w:r>
            <w:r>
              <w:rPr>
                <w:rFonts w:hint="eastAsia" w:ascii="宋体" w:hAnsi="宋体" w:cs="宋体"/>
                <w:kern w:val="0"/>
                <w:szCs w:val="21"/>
              </w:rPr>
              <w:br w:type="textWrapping"/>
            </w:r>
            <w:r>
              <w:rPr>
                <w:rFonts w:hint="eastAsia" w:ascii="宋体" w:hAnsi="宋体" w:cs="宋体"/>
                <w:kern w:val="0"/>
                <w:szCs w:val="21"/>
              </w:rPr>
              <w:t>1）塑料件外观应无明显缩孔、气泡、杂质、伤痕、无裂纹、无明显变形、色差、污渍。</w:t>
            </w:r>
            <w:r>
              <w:rPr>
                <w:rFonts w:hint="eastAsia" w:ascii="宋体" w:hAnsi="宋体" w:cs="宋体"/>
                <w:kern w:val="0"/>
                <w:szCs w:val="21"/>
              </w:rPr>
              <w:br w:type="textWrapping"/>
            </w:r>
            <w:r>
              <w:rPr>
                <w:rFonts w:hint="eastAsia" w:ascii="宋体" w:hAnsi="宋体" w:cs="宋体"/>
                <w:kern w:val="0"/>
                <w:szCs w:val="21"/>
              </w:rPr>
              <w:t>2）发泡成型部件应结合牢固、平服、无脱落、起皱。松弛、厚道均匀，质感致密。</w:t>
            </w:r>
            <w:r>
              <w:rPr>
                <w:rFonts w:hint="eastAsia" w:ascii="宋体" w:hAnsi="宋体" w:cs="宋体"/>
                <w:kern w:val="0"/>
                <w:szCs w:val="21"/>
              </w:rPr>
              <w:br w:type="textWrapping"/>
            </w:r>
            <w:r>
              <w:rPr>
                <w:rFonts w:hint="eastAsia" w:ascii="宋体" w:hAnsi="宋体" w:cs="宋体"/>
                <w:kern w:val="0"/>
                <w:szCs w:val="21"/>
              </w:rPr>
              <w:t>3）金属件应无裂纹、结疤，焊接处无脱焊、虚焊、焊穿、涂层应无露底、凹凸、明显流挂、皱皮、毛刺、花斑和划痕。</w:t>
            </w:r>
            <w:r>
              <w:rPr>
                <w:rFonts w:hint="eastAsia" w:ascii="宋体" w:hAnsi="宋体" w:cs="宋体"/>
                <w:kern w:val="0"/>
                <w:szCs w:val="21"/>
              </w:rPr>
              <w:br w:type="textWrapping"/>
            </w:r>
            <w:r>
              <w:rPr>
                <w:rFonts w:hint="eastAsia" w:ascii="宋体" w:hAnsi="宋体" w:cs="宋体"/>
                <w:kern w:val="0"/>
                <w:szCs w:val="21"/>
              </w:rPr>
              <w:t>4）甲醛释放量≤0.5mg/L</w:t>
            </w:r>
            <w:r>
              <w:rPr>
                <w:rFonts w:hint="eastAsia" w:ascii="宋体" w:hAnsi="宋体" w:cs="宋体"/>
                <w:kern w:val="0"/>
                <w:szCs w:val="21"/>
              </w:rPr>
              <w:br w:type="textWrapping"/>
            </w:r>
            <w:r>
              <w:rPr>
                <w:rFonts w:hint="eastAsia" w:ascii="宋体" w:hAnsi="宋体" w:cs="宋体"/>
                <w:kern w:val="0"/>
                <w:szCs w:val="21"/>
              </w:rPr>
              <w:t>12、钢制文件柜、高低床、药架等金属家具</w:t>
            </w:r>
            <w:r>
              <w:rPr>
                <w:rFonts w:hint="eastAsia" w:ascii="宋体" w:hAnsi="宋体" w:cs="宋体"/>
                <w:kern w:val="0"/>
                <w:szCs w:val="21"/>
              </w:rPr>
              <w:br w:type="textWrapping"/>
            </w:r>
            <w:r>
              <w:rPr>
                <w:rFonts w:hint="eastAsia" w:ascii="宋体" w:hAnsi="宋体" w:cs="宋体"/>
                <w:kern w:val="0"/>
                <w:szCs w:val="21"/>
              </w:rPr>
              <w:t>检验依据GB/T13668-2015《钢制书柜、资料柜通用技术条件》、GB/T3325-2017《金属家具通用技术条件》</w:t>
            </w: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12" w:hRule="atLeast"/>
        </w:trPr>
        <w:tc>
          <w:tcPr>
            <w:tcW w:w="9781" w:type="dxa"/>
            <w:vMerge w:val="continue"/>
            <w:tcBorders>
              <w:top w:val="nil"/>
              <w:left w:val="nil"/>
              <w:bottom w:val="nil"/>
              <w:right w:val="nil"/>
            </w:tcBorders>
            <w:vAlign w:val="center"/>
          </w:tcPr>
          <w:p>
            <w:pPr>
              <w:widowControl/>
              <w:jc w:val="left"/>
              <w:rPr>
                <w:rFonts w:ascii="宋体" w:hAnsi="宋体" w:cs="宋体"/>
                <w:kern w:val="0"/>
                <w:szCs w:val="21"/>
              </w:rPr>
            </w:pPr>
          </w:p>
        </w:tc>
      </w:tr>
    </w:tbl>
    <w:p>
      <w:pPr>
        <w:rPr>
          <w:b/>
          <w:bCs/>
          <w:szCs w:val="21"/>
        </w:rPr>
      </w:pPr>
      <w:r>
        <w:rPr>
          <w:rFonts w:hint="eastAsia"/>
          <w:b/>
          <w:bCs/>
          <w:szCs w:val="21"/>
        </w:rPr>
        <w:t>医用隔帘</w:t>
      </w:r>
    </w:p>
    <w:p>
      <w:pPr>
        <w:rPr>
          <w:szCs w:val="21"/>
        </w:rPr>
      </w:pPr>
      <w:r>
        <w:rPr>
          <w:rFonts w:hint="eastAsia"/>
          <w:szCs w:val="21"/>
        </w:rPr>
        <w:t>布帘材质：</w:t>
      </w:r>
      <w:r>
        <w:rPr>
          <w:szCs w:val="21"/>
        </w:rPr>
        <w:t>100%聚酯纤维，克重≥220g/㎡</w:t>
      </w:r>
    </w:p>
    <w:p>
      <w:pPr>
        <w:rPr>
          <w:szCs w:val="21"/>
        </w:rPr>
      </w:pPr>
      <w:r>
        <w:rPr>
          <w:rFonts w:hint="eastAsia"/>
          <w:szCs w:val="21"/>
        </w:rPr>
        <w:t>★甲醛含量：符合</w:t>
      </w:r>
      <w:r>
        <w:rPr>
          <w:szCs w:val="21"/>
        </w:rPr>
        <w:t>18401-2010《国家纺织产品基本安全规范》C类标准或更优标准（GB18401-2010B类或A类），检测标准GB/T2912.1-2009。</w:t>
      </w:r>
    </w:p>
    <w:p>
      <w:pPr>
        <w:rPr>
          <w:szCs w:val="21"/>
        </w:rPr>
      </w:pPr>
      <w:r>
        <w:rPr>
          <w:rFonts w:hint="eastAsia"/>
          <w:szCs w:val="21"/>
        </w:rPr>
        <w:t>阻燃标准：水洗</w:t>
      </w:r>
      <w:r>
        <w:rPr>
          <w:szCs w:val="21"/>
        </w:rPr>
        <w:t>50次后检测符合GB8624-2012 B1级。符合GB/T5454-1997、GB/T5455-2014经向/纬向氧指数≥32%，损毁长度≤150mm，续燃时间≤5S，阴燃时间≤15S，燃烧滴落物未引起脱脂棉燃烧或阴燃，洗涤按自动洗衣机A型缓和洗涤程序、洗涤≥50次。。</w:t>
      </w:r>
    </w:p>
    <w:p>
      <w:pPr>
        <w:rPr>
          <w:szCs w:val="21"/>
        </w:rPr>
      </w:pPr>
      <w:r>
        <w:rPr>
          <w:rFonts w:hint="eastAsia"/>
          <w:szCs w:val="21"/>
        </w:rPr>
        <w:t>★抑菌抗菌性（大肠杆菌、白色念珠菌、金黄色葡萄）：符合</w:t>
      </w:r>
      <w:r>
        <w:rPr>
          <w:szCs w:val="21"/>
        </w:rPr>
        <w:t>GB/T20944.3-2008标准抑菌率90%以上。</w:t>
      </w:r>
    </w:p>
    <w:p>
      <w:pPr>
        <w:rPr>
          <w:szCs w:val="21"/>
        </w:rPr>
      </w:pPr>
      <w:r>
        <w:rPr>
          <w:rFonts w:hint="eastAsia"/>
          <w:szCs w:val="21"/>
        </w:rPr>
        <w:t>窗帘滑轮需抗老化测试</w:t>
      </w:r>
    </w:p>
    <w:p>
      <w:pPr>
        <w:rPr>
          <w:szCs w:val="21"/>
        </w:rPr>
      </w:pPr>
    </w:p>
    <w:p>
      <w:pPr>
        <w:rPr>
          <w:b/>
          <w:bCs/>
          <w:szCs w:val="21"/>
        </w:rPr>
      </w:pPr>
      <w:r>
        <w:rPr>
          <w:rFonts w:hint="eastAsia"/>
          <w:b/>
          <w:bCs/>
          <w:szCs w:val="21"/>
        </w:rPr>
        <w:t>医用布帘</w:t>
      </w:r>
    </w:p>
    <w:p>
      <w:pPr>
        <w:rPr>
          <w:szCs w:val="21"/>
        </w:rPr>
      </w:pPr>
      <w:r>
        <w:rPr>
          <w:rFonts w:hint="eastAsia"/>
          <w:szCs w:val="21"/>
        </w:rPr>
        <w:t>布帘材质：</w:t>
      </w:r>
      <w:r>
        <w:rPr>
          <w:szCs w:val="21"/>
        </w:rPr>
        <w:t>100%聚酯纤维，遮光率100%，克重≥291g/㎡，</w:t>
      </w:r>
    </w:p>
    <w:p>
      <w:pPr>
        <w:rPr>
          <w:szCs w:val="21"/>
        </w:rPr>
      </w:pPr>
      <w:r>
        <w:rPr>
          <w:rFonts w:hint="eastAsia"/>
          <w:szCs w:val="21"/>
        </w:rPr>
        <w:t>★甲醛含量：符合</w:t>
      </w:r>
      <w:r>
        <w:rPr>
          <w:szCs w:val="21"/>
        </w:rPr>
        <w:t>18401-2010《国家纺织产品基本安全规范》C类标准或更优标准（GB18401-2010B类或A类），检测标准GB/T2912.1-2009。</w:t>
      </w:r>
    </w:p>
    <w:p>
      <w:pPr>
        <w:rPr>
          <w:szCs w:val="21"/>
        </w:rPr>
      </w:pPr>
      <w:r>
        <w:rPr>
          <w:rFonts w:hint="eastAsia"/>
          <w:szCs w:val="21"/>
        </w:rPr>
        <w:t>阻燃标准：水洗</w:t>
      </w:r>
      <w:r>
        <w:rPr>
          <w:szCs w:val="21"/>
        </w:rPr>
        <w:t>50次后检测符合GB8624-2012 B1级。符合GB/T5454-1997、GB/T5455-2014经向/纬向氧指数≥32%，损毁长度≤150mm，续燃时间≤5S，阴燃时间≤15S，燃烧滴落物未引起脱脂棉燃烧或阴燃，洗涤按自动洗衣机A型缓和洗涤程序、洗涤≥50次。</w:t>
      </w:r>
    </w:p>
    <w:p>
      <w:pPr>
        <w:rPr>
          <w:szCs w:val="21"/>
        </w:rPr>
      </w:pPr>
      <w:r>
        <w:rPr>
          <w:rFonts w:hint="eastAsia"/>
          <w:szCs w:val="21"/>
        </w:rPr>
        <w:t>干</w:t>
      </w:r>
      <w:r>
        <w:rPr>
          <w:szCs w:val="21"/>
        </w:rPr>
        <w:t>/水洗尺寸变化率：-3.0～+3.0，检测标准：GB/T19981.2-2005。</w:t>
      </w:r>
    </w:p>
    <w:p>
      <w:pPr>
        <w:rPr>
          <w:szCs w:val="21"/>
        </w:rPr>
      </w:pPr>
      <w:r>
        <w:rPr>
          <w:rFonts w:hint="eastAsia"/>
          <w:szCs w:val="21"/>
        </w:rPr>
        <w:t>起球率：≥</w:t>
      </w:r>
      <w:r>
        <w:rPr>
          <w:szCs w:val="21"/>
        </w:rPr>
        <w:t>2级。</w:t>
      </w:r>
    </w:p>
    <w:p>
      <w:pPr>
        <w:rPr>
          <w:szCs w:val="21"/>
        </w:rPr>
      </w:pPr>
      <w:bookmarkStart w:id="4" w:name="_Hlk57627818"/>
      <w:r>
        <w:rPr>
          <w:rFonts w:hint="eastAsia"/>
          <w:szCs w:val="21"/>
        </w:rPr>
        <w:t>★</w:t>
      </w:r>
      <w:bookmarkEnd w:id="4"/>
      <w:r>
        <w:rPr>
          <w:rFonts w:hint="eastAsia"/>
          <w:szCs w:val="21"/>
        </w:rPr>
        <w:t>抑菌抗菌性（大肠杆菌、白色念珠菌、金黄色葡萄）：符合</w:t>
      </w:r>
      <w:r>
        <w:rPr>
          <w:szCs w:val="21"/>
        </w:rPr>
        <w:t>GB/T20944.3-2008标准抑菌率90%以上。</w:t>
      </w:r>
    </w:p>
    <w:p>
      <w:pPr>
        <w:rPr>
          <w:szCs w:val="21"/>
        </w:rPr>
      </w:pPr>
      <w:r>
        <w:rPr>
          <w:rFonts w:hint="eastAsia"/>
          <w:szCs w:val="21"/>
        </w:rPr>
        <w:t>窗帘滑轮需抗老化测试</w:t>
      </w:r>
    </w:p>
    <w:p>
      <w:pPr>
        <w:rPr>
          <w:b/>
          <w:bCs/>
          <w:szCs w:val="21"/>
        </w:rPr>
      </w:pPr>
    </w:p>
    <w:p>
      <w:pPr>
        <w:rPr>
          <w:b/>
          <w:bCs/>
          <w:szCs w:val="21"/>
        </w:rPr>
      </w:pPr>
      <w:r>
        <w:rPr>
          <w:rFonts w:hint="eastAsia"/>
          <w:b/>
          <w:bCs/>
          <w:szCs w:val="21"/>
        </w:rPr>
        <w:t>手动布艺帘轨道</w:t>
      </w:r>
    </w:p>
    <w:p>
      <w:pPr>
        <w:rPr>
          <w:szCs w:val="21"/>
        </w:rPr>
      </w:pPr>
      <w:r>
        <w:rPr>
          <w:rFonts w:hint="eastAsia"/>
          <w:szCs w:val="21"/>
        </w:rPr>
        <w:t>★</w:t>
      </w:r>
      <w:r>
        <w:rPr>
          <w:szCs w:val="21"/>
        </w:rPr>
        <w:t>1、优质铝材原料，品质保证；轨道表面采用电泳工艺处理，附着力强，亮度好，十年不褪色。</w:t>
      </w:r>
      <w:r>
        <w:rPr>
          <w:rFonts w:hint="eastAsia"/>
          <w:szCs w:val="21"/>
        </w:rPr>
        <w:t>漆膜硬度4</w:t>
      </w:r>
      <w:r>
        <w:rPr>
          <w:szCs w:val="21"/>
        </w:rPr>
        <w:t>H</w:t>
      </w:r>
      <w:r>
        <w:rPr>
          <w:rFonts w:hint="eastAsia"/>
          <w:szCs w:val="21"/>
        </w:rPr>
        <w:t>，通过耐盐酸性，耐沸水性，耐砂浆性，耐溶剂性等检测。</w:t>
      </w:r>
    </w:p>
    <w:p>
      <w:pPr>
        <w:rPr>
          <w:szCs w:val="21"/>
        </w:rPr>
      </w:pPr>
      <w:r>
        <w:rPr>
          <w:szCs w:val="21"/>
        </w:rPr>
        <w:t>2、方形轨道结构，燕尾槽滑道设置，壁厚1.</w:t>
      </w:r>
      <w:r>
        <w:rPr>
          <w:rFonts w:hint="eastAsia"/>
          <w:szCs w:val="21"/>
        </w:rPr>
        <w:t>1</w:t>
      </w:r>
      <w:r>
        <w:rPr>
          <w:szCs w:val="21"/>
        </w:rPr>
        <w:t>mm,抗弯曲性能强</w:t>
      </w:r>
    </w:p>
    <w:p>
      <w:pPr>
        <w:rPr>
          <w:szCs w:val="21"/>
        </w:rPr>
      </w:pPr>
      <w:r>
        <w:rPr>
          <w:szCs w:val="21"/>
        </w:rPr>
        <w:t>3、</w:t>
      </w:r>
      <w:r>
        <w:rPr>
          <w:rFonts w:hint="eastAsia"/>
          <w:szCs w:val="21"/>
        </w:rPr>
        <w:t>力学性能：维氏硬度（H</w:t>
      </w:r>
      <w:r>
        <w:rPr>
          <w:szCs w:val="21"/>
        </w:rPr>
        <w:t>V）</w:t>
      </w:r>
      <w:r>
        <w:rPr>
          <w:rFonts w:hint="eastAsia"/>
          <w:szCs w:val="21"/>
        </w:rPr>
        <w:t>不小于70，抗拉强度不小于200，断后伸长率小于10%</w:t>
      </w:r>
    </w:p>
    <w:p>
      <w:pPr>
        <w:rPr>
          <w:szCs w:val="21"/>
        </w:rPr>
      </w:pPr>
      <w:r>
        <w:rPr>
          <w:szCs w:val="21"/>
        </w:rPr>
        <w:t>4、吊轮：采用3mm铆钉固定，标准承重达10KG</w:t>
      </w:r>
    </w:p>
    <w:p>
      <w:pPr>
        <w:rPr>
          <w:szCs w:val="21"/>
        </w:rPr>
      </w:pPr>
      <w:r>
        <w:rPr>
          <w:szCs w:val="21"/>
        </w:rPr>
        <w:t xml:space="preserve">5、封口：方形封口 </w:t>
      </w:r>
    </w:p>
    <w:p>
      <w:pPr>
        <w:rPr>
          <w:szCs w:val="21"/>
        </w:rPr>
      </w:pPr>
      <w:r>
        <w:rPr>
          <w:szCs w:val="21"/>
        </w:rPr>
        <w:t>6、安装座：外卡式安装码，独特弹力支撑结构，稳定度高，拆装便捷，标准承重15KG。白色</w:t>
      </w:r>
    </w:p>
    <w:p>
      <w:pPr>
        <w:rPr>
          <w:b/>
          <w:bCs/>
          <w:szCs w:val="21"/>
        </w:rPr>
      </w:pPr>
      <w:r>
        <w:rPr>
          <w:rFonts w:hint="eastAsia"/>
          <w:b/>
          <w:bCs/>
          <w:szCs w:val="21"/>
        </w:rPr>
        <w:t>抗菌卷帘</w:t>
      </w:r>
    </w:p>
    <w:p>
      <w:pPr>
        <w:rPr>
          <w:szCs w:val="21"/>
        </w:rPr>
      </w:pPr>
      <w:r>
        <w:rPr>
          <w:rFonts w:hint="eastAsia"/>
          <w:szCs w:val="21"/>
        </w:rPr>
        <w:t>面料材质：</w:t>
      </w:r>
      <w:r>
        <w:rPr>
          <w:szCs w:val="21"/>
        </w:rPr>
        <w:t>30%聚酯纤维，70%聚氯乙烯，开孔率3%，克重≥385g/㎡，厚度≥0.51mm</w:t>
      </w:r>
    </w:p>
    <w:p>
      <w:pPr>
        <w:rPr>
          <w:szCs w:val="21"/>
        </w:rPr>
      </w:pPr>
      <w:r>
        <w:rPr>
          <w:rFonts w:hint="eastAsia"/>
          <w:szCs w:val="21"/>
        </w:rPr>
        <w:t>★面料防火等级符合</w:t>
      </w:r>
      <w:r>
        <w:rPr>
          <w:szCs w:val="21"/>
        </w:rPr>
        <w:t>GB/8624-2012 B1级</w:t>
      </w:r>
    </w:p>
    <w:p>
      <w:pPr>
        <w:rPr>
          <w:szCs w:val="21"/>
        </w:rPr>
      </w:pPr>
      <w:r>
        <w:rPr>
          <w:rFonts w:hint="eastAsia"/>
          <w:szCs w:val="21"/>
        </w:rPr>
        <w:t>★面料防霉认证等级：</w:t>
      </w:r>
      <w:r>
        <w:rPr>
          <w:szCs w:val="21"/>
        </w:rPr>
        <w:t>0级。面料抗菌认证：通过国家纺织制品质量监督检验中心CTTC检测长效抗菌：99%长效抗菌-大肠杆菌、金黄色葡萄球菌，白色念珠菌、肺炎克雷白式菌。</w:t>
      </w:r>
    </w:p>
    <w:p>
      <w:pPr>
        <w:rPr>
          <w:szCs w:val="21"/>
        </w:rPr>
      </w:pPr>
      <w:r>
        <w:rPr>
          <w:rFonts w:hint="eastAsia"/>
          <w:szCs w:val="21"/>
        </w:rPr>
        <w:t>圆管材质：</w:t>
      </w:r>
      <w:r>
        <w:rPr>
          <w:szCs w:val="21"/>
        </w:rPr>
        <w:t>6063-T5优质铝合金成型，圆形铝合金挤压管材，表面银白阳极氧化表面处理工艺，内置6条加强筋，以保证铝管的强度使顶槽不产生挠度，确保系统平整、经久耐用。</w:t>
      </w:r>
    </w:p>
    <w:p>
      <w:pPr>
        <w:rPr>
          <w:szCs w:val="21"/>
        </w:rPr>
      </w:pPr>
      <w:r>
        <w:rPr>
          <w:rFonts w:hint="eastAsia"/>
          <w:szCs w:val="21"/>
        </w:rPr>
        <w:t>壁厚：≥</w:t>
      </w:r>
      <w:r>
        <w:rPr>
          <w:szCs w:val="21"/>
        </w:rPr>
        <w:t>1.2mm、  φ：≥38mm</w:t>
      </w:r>
    </w:p>
    <w:p>
      <w:pPr>
        <w:rPr>
          <w:szCs w:val="21"/>
        </w:rPr>
      </w:pPr>
      <w:r>
        <w:rPr>
          <w:rFonts w:hint="eastAsia"/>
          <w:szCs w:val="21"/>
        </w:rPr>
        <w:t>下梁材质：</w:t>
      </w:r>
      <w:r>
        <w:rPr>
          <w:szCs w:val="21"/>
        </w:rPr>
        <w:t>6063-T5优质铝合金成型，铝合金挤压型材。</w:t>
      </w:r>
    </w:p>
    <w:p>
      <w:pPr>
        <w:rPr>
          <w:szCs w:val="21"/>
        </w:rPr>
      </w:pPr>
      <w:r>
        <w:rPr>
          <w:rFonts w:hint="eastAsia"/>
          <w:szCs w:val="21"/>
        </w:rPr>
        <w:t>壁厚：≥</w:t>
      </w:r>
      <w:r>
        <w:rPr>
          <w:szCs w:val="21"/>
        </w:rPr>
        <w:t>1.2mm，规格：32*9mm</w:t>
      </w:r>
    </w:p>
    <w:p>
      <w:pPr>
        <w:rPr>
          <w:szCs w:val="21"/>
        </w:rPr>
      </w:pPr>
      <w:r>
        <w:rPr>
          <w:rFonts w:hint="eastAsia"/>
          <w:szCs w:val="21"/>
        </w:rPr>
        <w:t>表面处理：静电喷涂。</w:t>
      </w:r>
    </w:p>
    <w:p>
      <w:pPr>
        <w:rPr>
          <w:szCs w:val="21"/>
        </w:rPr>
      </w:pPr>
      <w:r>
        <w:rPr>
          <w:rFonts w:hint="eastAsia"/>
          <w:szCs w:val="21"/>
        </w:rPr>
        <w:t>功能：固定窗帘下端面料，下降时的负重。</w:t>
      </w:r>
    </w:p>
    <w:p>
      <w:pPr>
        <w:rPr>
          <w:szCs w:val="21"/>
        </w:rPr>
      </w:pPr>
      <w:r>
        <w:rPr>
          <w:rFonts w:hint="eastAsia"/>
          <w:szCs w:val="21"/>
        </w:rPr>
        <w:t>性能：要求造型简洁、流畅，设计紧凑合理。</w:t>
      </w:r>
    </w:p>
    <w:p>
      <w:pPr>
        <w:spacing w:line="360" w:lineRule="auto"/>
        <w:ind w:left="626" w:hanging="626" w:hangingChars="297"/>
        <w:rPr>
          <w:rFonts w:ascii="宋体" w:hAnsi="宋体"/>
          <w:b/>
          <w:bCs/>
          <w:szCs w:val="21"/>
          <w:lang w:val="zh-CN"/>
        </w:rPr>
      </w:pPr>
      <w:r>
        <w:rPr>
          <w:rFonts w:hint="eastAsia" w:ascii="宋体" w:hAnsi="宋体"/>
          <w:b/>
          <w:bCs/>
          <w:szCs w:val="21"/>
          <w:lang w:val="zh-CN"/>
        </w:rPr>
        <w:t>商务要求</w:t>
      </w:r>
    </w:p>
    <w:p>
      <w:pPr>
        <w:rPr>
          <w:szCs w:val="21"/>
        </w:rPr>
      </w:pPr>
      <w:r>
        <w:rPr>
          <w:rFonts w:hint="eastAsia"/>
          <w:szCs w:val="21"/>
        </w:rPr>
        <w:t>1、★交货期限：60天</w:t>
      </w:r>
    </w:p>
    <w:p>
      <w:pPr>
        <w:rPr>
          <w:szCs w:val="21"/>
        </w:rPr>
      </w:pPr>
      <w:r>
        <w:rPr>
          <w:rFonts w:hint="eastAsia"/>
          <w:szCs w:val="21"/>
        </w:rPr>
        <w:t>2、交货地点：阳新县中医医院城东院区传染病楼</w:t>
      </w:r>
    </w:p>
    <w:p>
      <w:pPr>
        <w:rPr>
          <w:szCs w:val="21"/>
        </w:rPr>
      </w:pPr>
      <w:r>
        <w:rPr>
          <w:rFonts w:hint="eastAsia"/>
          <w:szCs w:val="21"/>
        </w:rPr>
        <w:t>3、★质保期：叁年(安装验收合格之日算起)</w:t>
      </w:r>
    </w:p>
    <w:p>
      <w:pPr>
        <w:rPr>
          <w:szCs w:val="21"/>
        </w:rPr>
      </w:pPr>
      <w:r>
        <w:rPr>
          <w:rFonts w:hint="eastAsia"/>
          <w:szCs w:val="21"/>
        </w:rPr>
        <w:t>4、付款方式：</w:t>
      </w:r>
      <w:r>
        <w:rPr>
          <w:szCs w:val="21"/>
        </w:rPr>
        <w:t xml:space="preserve"> </w:t>
      </w:r>
      <w:r>
        <w:rPr>
          <w:rFonts w:hint="eastAsia"/>
          <w:szCs w:val="21"/>
        </w:rPr>
        <w:t>合同签订后预付合同金额的20%；货到后付至合同金额的57%，验收合格后付至合同金额的97%，余款质保期满后付清。</w:t>
      </w:r>
    </w:p>
    <w:p>
      <w:pPr>
        <w:rPr>
          <w:szCs w:val="21"/>
        </w:rPr>
      </w:pPr>
      <w:r>
        <w:rPr>
          <w:rFonts w:hint="eastAsia"/>
          <w:szCs w:val="21"/>
        </w:rPr>
        <w:t>5、总承包服务费：总承包服务费由承包人支付给总承包单位，总承包服务费（包括配合费、管理费）为合同价的2%，投标人不得在投标报价中单列此项费用。</w:t>
      </w:r>
    </w:p>
    <w:p>
      <w:pPr>
        <w:spacing w:line="360" w:lineRule="auto"/>
        <w:rPr>
          <w:szCs w:val="21"/>
        </w:rPr>
      </w:pPr>
      <w:r>
        <w:rPr>
          <w:rFonts w:hint="eastAsia"/>
          <w:szCs w:val="21"/>
        </w:rPr>
        <w:t>投标样品：窗帘布30 Cm×30 Cm一块；窗帘杆长3 Cm一根；窗帘环2个；窗帘布带长30Cm</w:t>
      </w:r>
    </w:p>
    <w:p>
      <w:pPr>
        <w:widowControl/>
        <w:shd w:val="clear" w:color="auto" w:fill="FFFFFF"/>
        <w:spacing w:line="360" w:lineRule="atLeast"/>
        <w:ind w:firstLine="480"/>
        <w:jc w:val="left"/>
        <w:rPr>
          <w:rFonts w:ascii="微软雅黑" w:hAnsi="微软雅黑" w:eastAsia="微软雅黑" w:cs="宋体"/>
          <w:b/>
          <w:kern w:val="0"/>
          <w:sz w:val="24"/>
          <w:szCs w:val="24"/>
        </w:rPr>
      </w:pPr>
      <w:r>
        <w:rPr>
          <w:rFonts w:hint="eastAsia" w:ascii="宋体" w:hAnsi="宋体" w:eastAsia="宋体" w:cs="宋体"/>
          <w:b/>
          <w:kern w:val="0"/>
          <w:sz w:val="24"/>
          <w:szCs w:val="24"/>
          <w:shd w:val="clear" w:color="auto" w:fill="FFFFFF"/>
        </w:rPr>
        <w:t>现更正为：</w:t>
      </w:r>
    </w:p>
    <w:p>
      <w:pPr>
        <w:widowControl/>
        <w:shd w:val="clear" w:color="auto" w:fill="FFFFFF"/>
        <w:spacing w:line="360" w:lineRule="atLeast"/>
        <w:ind w:firstLine="480"/>
        <w:jc w:val="left"/>
        <w:rPr>
          <w:rFonts w:ascii="微软雅黑" w:hAnsi="微软雅黑" w:eastAsia="微软雅黑" w:cs="宋体"/>
          <w:kern w:val="0"/>
          <w:szCs w:val="21"/>
        </w:rPr>
      </w:pPr>
      <w:r>
        <w:rPr>
          <w:rFonts w:hint="eastAsia" w:ascii="宋体" w:hAnsi="宋体" w:eastAsia="宋体" w:cs="宋体"/>
          <w:b/>
          <w:bCs/>
          <w:kern w:val="0"/>
          <w:szCs w:val="21"/>
        </w:rPr>
        <w:t>第三章 项目采购清单、技术规格、参数及要求</w:t>
      </w:r>
    </w:p>
    <w:tbl>
      <w:tblPr>
        <w:tblStyle w:val="6"/>
        <w:tblW w:w="10058" w:type="dxa"/>
        <w:tblInd w:w="-318" w:type="dxa"/>
        <w:tblLayout w:type="autofit"/>
        <w:tblCellMar>
          <w:top w:w="0" w:type="dxa"/>
          <w:left w:w="108" w:type="dxa"/>
          <w:bottom w:w="0" w:type="dxa"/>
          <w:right w:w="108" w:type="dxa"/>
        </w:tblCellMar>
      </w:tblPr>
      <w:tblGrid>
        <w:gridCol w:w="676"/>
        <w:gridCol w:w="892"/>
        <w:gridCol w:w="1026"/>
        <w:gridCol w:w="5013"/>
        <w:gridCol w:w="636"/>
        <w:gridCol w:w="544"/>
        <w:gridCol w:w="1271"/>
      </w:tblGrid>
      <w:tr>
        <w:tblPrEx>
          <w:tblCellMar>
            <w:top w:w="0" w:type="dxa"/>
            <w:left w:w="108" w:type="dxa"/>
            <w:bottom w:w="0" w:type="dxa"/>
            <w:right w:w="108" w:type="dxa"/>
          </w:tblCellMar>
        </w:tblPrEx>
        <w:trPr>
          <w:trHeight w:val="600"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8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品名</w:t>
            </w:r>
          </w:p>
        </w:tc>
        <w:tc>
          <w:tcPr>
            <w:tcW w:w="10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规格</w:t>
            </w:r>
          </w:p>
        </w:tc>
        <w:tc>
          <w:tcPr>
            <w:tcW w:w="48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参考图片</w:t>
            </w:r>
          </w:p>
        </w:tc>
        <w:tc>
          <w:tcPr>
            <w:tcW w:w="6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6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c>
          <w:tcPr>
            <w:tcW w:w="135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材质说明</w:t>
            </w:r>
          </w:p>
        </w:tc>
      </w:tr>
      <w:tr>
        <w:tblPrEx>
          <w:tblCellMar>
            <w:top w:w="0" w:type="dxa"/>
            <w:left w:w="108" w:type="dxa"/>
            <w:bottom w:w="0" w:type="dxa"/>
            <w:right w:w="108" w:type="dxa"/>
          </w:tblCellMar>
        </w:tblPrEx>
        <w:trPr>
          <w:trHeight w:val="2839" w:hRule="atLeast"/>
        </w:trPr>
        <w:tc>
          <w:tcPr>
            <w:tcW w:w="67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Cs w:val="21"/>
              </w:rPr>
            </w:pPr>
            <w:r>
              <w:rPr>
                <w:rFonts w:hint="eastAsia" w:ascii="宋体" w:hAnsi="宋体" w:cs="宋体"/>
                <w:b/>
                <w:bCs/>
                <w:kern w:val="0"/>
                <w:szCs w:val="21"/>
              </w:rPr>
              <w:t>1</w:t>
            </w:r>
          </w:p>
        </w:tc>
        <w:tc>
          <w:tcPr>
            <w:tcW w:w="892"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窗帘布</w:t>
            </w:r>
          </w:p>
        </w:tc>
        <w:tc>
          <w:tcPr>
            <w:tcW w:w="102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H2700mm</w:t>
            </w:r>
          </w:p>
        </w:tc>
        <w:tc>
          <w:tcPr>
            <w:tcW w:w="4847" w:type="dxa"/>
            <w:tcBorders>
              <w:top w:val="nil"/>
              <w:left w:val="nil"/>
              <w:bottom w:val="nil"/>
              <w:right w:val="single" w:color="auto" w:sz="4" w:space="0"/>
            </w:tcBorders>
            <w:noWrap/>
            <w:vAlign w:val="center"/>
          </w:tcPr>
          <w:p>
            <w:pPr>
              <w:widowControl/>
              <w:jc w:val="left"/>
              <w:rPr>
                <w:rFonts w:ascii="宋体" w:hAnsi="宋体" w:cs="宋体"/>
                <w:kern w:val="0"/>
                <w:szCs w:val="21"/>
              </w:rPr>
            </w:pPr>
            <w:r>
              <w:rPr>
                <w:rFonts w:ascii="宋体" w:hAnsi="宋体" w:cs="宋体"/>
                <w:kern w:val="0"/>
                <w:szCs w:val="21"/>
              </w:rPr>
              <w:drawing>
                <wp:anchor distT="0" distB="0" distL="114300" distR="114300" simplePos="0" relativeHeight="251664384" behindDoc="0" locked="0" layoutInCell="1" allowOverlap="1">
                  <wp:simplePos x="0" y="0"/>
                  <wp:positionH relativeFrom="column">
                    <wp:posOffset>371475</wp:posOffset>
                  </wp:positionH>
                  <wp:positionV relativeFrom="paragraph">
                    <wp:posOffset>47625</wp:posOffset>
                  </wp:positionV>
                  <wp:extent cx="1828800" cy="1838325"/>
                  <wp:effectExtent l="0" t="0" r="0" b="0"/>
                  <wp:wrapNone/>
                  <wp:docPr id="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1"/>
                          <pic:cNvPicPr>
                            <a:picLocks noChangeAspect="1"/>
                          </pic:cNvPicPr>
                        </pic:nvPicPr>
                        <pic:blipFill>
                          <a:blip r:embed="rId6" cstate="print"/>
                          <a:srcRect t="5693" b="7791"/>
                          <a:stretch>
                            <a:fillRect/>
                          </a:stretch>
                        </pic:blipFill>
                        <pic:spPr>
                          <a:xfrm>
                            <a:off x="0" y="0"/>
                            <a:ext cx="1809750" cy="1834216"/>
                          </a:xfrm>
                          <a:prstGeom prst="rect">
                            <a:avLst/>
                          </a:prstGeom>
                        </pic:spPr>
                      </pic:pic>
                    </a:graphicData>
                  </a:graphic>
                </wp:anchor>
              </w:drawing>
            </w:r>
          </w:p>
          <w:tbl>
            <w:tblPr>
              <w:tblStyle w:val="6"/>
              <w:tblW w:w="4797" w:type="dxa"/>
              <w:tblCellSpacing w:w="0" w:type="dxa"/>
              <w:tblInd w:w="0" w:type="dxa"/>
              <w:tblLayout w:type="autofit"/>
              <w:tblCellMar>
                <w:top w:w="0" w:type="dxa"/>
                <w:left w:w="0" w:type="dxa"/>
                <w:bottom w:w="0" w:type="dxa"/>
                <w:right w:w="0" w:type="dxa"/>
              </w:tblCellMar>
            </w:tblPr>
            <w:tblGrid>
              <w:gridCol w:w="4797"/>
            </w:tblGrid>
            <w:tr>
              <w:tblPrEx>
                <w:tblCellMar>
                  <w:top w:w="0" w:type="dxa"/>
                  <w:left w:w="0" w:type="dxa"/>
                  <w:bottom w:w="0" w:type="dxa"/>
                  <w:right w:w="0" w:type="dxa"/>
                </w:tblCellMar>
              </w:tblPrEx>
              <w:trPr>
                <w:trHeight w:val="2839" w:hRule="atLeast"/>
                <w:tblCellSpacing w:w="0" w:type="dxa"/>
              </w:trPr>
              <w:tc>
                <w:tcPr>
                  <w:tcW w:w="479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bl>
          <w:p>
            <w:pPr>
              <w:widowControl/>
              <w:jc w:val="left"/>
              <w:rPr>
                <w:rFonts w:ascii="宋体" w:hAnsi="宋体" w:cs="宋体"/>
                <w:kern w:val="0"/>
                <w:szCs w:val="21"/>
              </w:rPr>
            </w:pPr>
          </w:p>
        </w:tc>
        <w:tc>
          <w:tcPr>
            <w:tcW w:w="63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5666 </w:t>
            </w:r>
          </w:p>
        </w:tc>
        <w:tc>
          <w:tcPr>
            <w:tcW w:w="6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米</w:t>
            </w:r>
          </w:p>
        </w:tc>
        <w:tc>
          <w:tcPr>
            <w:tcW w:w="135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单层打孔，浅蓝色半遮光窗帘布，符合国家环保标准。检测甲醛含量≤1.1mg/L。</w:t>
            </w:r>
          </w:p>
        </w:tc>
      </w:tr>
      <w:tr>
        <w:tblPrEx>
          <w:tblCellMar>
            <w:top w:w="0" w:type="dxa"/>
            <w:left w:w="108" w:type="dxa"/>
            <w:bottom w:w="0" w:type="dxa"/>
            <w:right w:w="108" w:type="dxa"/>
          </w:tblCellMar>
        </w:tblPrEx>
        <w:trPr>
          <w:trHeight w:val="2839" w:hRule="atLeast"/>
        </w:trPr>
        <w:tc>
          <w:tcPr>
            <w:tcW w:w="67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Cs w:val="21"/>
              </w:rPr>
            </w:pPr>
            <w:r>
              <w:rPr>
                <w:rFonts w:hint="eastAsia" w:ascii="宋体" w:hAnsi="宋体" w:cs="宋体"/>
                <w:b/>
                <w:bCs/>
                <w:kern w:val="0"/>
                <w:szCs w:val="21"/>
              </w:rPr>
              <w:t>2</w:t>
            </w:r>
          </w:p>
        </w:tc>
        <w:tc>
          <w:tcPr>
            <w:tcW w:w="8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窗帘杆</w:t>
            </w:r>
            <w:r>
              <w:rPr>
                <w:rFonts w:hint="eastAsia" w:ascii="宋体" w:hAnsi="宋体" w:cs="宋体"/>
                <w:kern w:val="0"/>
                <w:szCs w:val="21"/>
              </w:rPr>
              <w:br w:type="textWrapping"/>
            </w:r>
            <w:r>
              <w:rPr>
                <w:rFonts w:hint="eastAsia" w:ascii="宋体" w:hAnsi="宋体" w:cs="宋体"/>
                <w:kern w:val="0"/>
                <w:szCs w:val="21"/>
              </w:rPr>
              <w:t>及配件</w:t>
            </w:r>
          </w:p>
        </w:tc>
        <w:tc>
          <w:tcPr>
            <w:tcW w:w="102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φ35mm</w:t>
            </w:r>
          </w:p>
        </w:tc>
        <w:tc>
          <w:tcPr>
            <w:tcW w:w="484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drawing>
                <wp:anchor distT="0" distB="0" distL="114300" distR="114300" simplePos="0" relativeHeight="251666432" behindDoc="0" locked="0" layoutInCell="1" allowOverlap="1">
                  <wp:simplePos x="0" y="0"/>
                  <wp:positionH relativeFrom="column">
                    <wp:posOffset>1601470</wp:posOffset>
                  </wp:positionH>
                  <wp:positionV relativeFrom="paragraph">
                    <wp:posOffset>118110</wp:posOffset>
                  </wp:positionV>
                  <wp:extent cx="1341120" cy="1590675"/>
                  <wp:effectExtent l="0" t="0" r="0" b="0"/>
                  <wp:wrapNone/>
                  <wp:docPr id="5"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4"/>
                          <pic:cNvPicPr>
                            <a:picLocks noChangeAspect="1"/>
                          </pic:cNvPicPr>
                        </pic:nvPicPr>
                        <pic:blipFill>
                          <a:blip r:embed="rId9" cstate="print"/>
                          <a:srcRect b="24560"/>
                          <a:stretch>
                            <a:fillRect/>
                          </a:stretch>
                        </pic:blipFill>
                        <pic:spPr>
                          <a:xfrm>
                            <a:off x="0" y="0"/>
                            <a:ext cx="1074420" cy="1567815"/>
                          </a:xfrm>
                          <a:prstGeom prst="rect">
                            <a:avLst/>
                          </a:prstGeom>
                        </pic:spPr>
                      </pic:pic>
                    </a:graphicData>
                  </a:graphic>
                </wp:anchor>
              </w:drawing>
            </w:r>
            <w:r>
              <w:rPr>
                <w:rFonts w:ascii="宋体" w:hAnsi="宋体" w:cs="宋体"/>
                <w:kern w:val="0"/>
                <w:szCs w:val="21"/>
              </w:rPr>
              <w:drawing>
                <wp:anchor distT="0" distB="0" distL="114300" distR="114300" simplePos="0" relativeHeight="251665408" behindDoc="0" locked="0" layoutInCell="1" allowOverlap="1">
                  <wp:simplePos x="0" y="0"/>
                  <wp:positionH relativeFrom="column">
                    <wp:posOffset>6985</wp:posOffset>
                  </wp:positionH>
                  <wp:positionV relativeFrom="paragraph">
                    <wp:posOffset>184785</wp:posOffset>
                  </wp:positionV>
                  <wp:extent cx="1438275" cy="1590675"/>
                  <wp:effectExtent l="0" t="0" r="0" b="0"/>
                  <wp:wrapNone/>
                  <wp:docPr id="6"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3"/>
                          <pic:cNvPicPr>
                            <a:picLocks noChangeAspect="1"/>
                          </pic:cNvPicPr>
                        </pic:nvPicPr>
                        <pic:blipFill>
                          <a:blip r:embed="rId8" cstate="print"/>
                          <a:srcRect t="4380" r="51050" b="26156"/>
                          <a:stretch>
                            <a:fillRect/>
                          </a:stretch>
                        </pic:blipFill>
                        <pic:spPr>
                          <a:xfrm>
                            <a:off x="0" y="0"/>
                            <a:ext cx="1421765" cy="1583690"/>
                          </a:xfrm>
                          <a:prstGeom prst="rect">
                            <a:avLst/>
                          </a:prstGeom>
                        </pic:spPr>
                      </pic:pic>
                    </a:graphicData>
                  </a:graphic>
                </wp:anchor>
              </w:drawing>
            </w:r>
            <w:r>
              <w:rPr>
                <w:rFonts w:hint="eastAsia" w:ascii="宋体" w:hAnsi="宋体" w:cs="宋体"/>
                <w:kern w:val="0"/>
                <w:szCs w:val="21"/>
              </w:rPr>
              <w:t>　</w:t>
            </w:r>
          </w:p>
        </w:tc>
        <w:tc>
          <w:tcPr>
            <w:tcW w:w="6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2833 </w:t>
            </w:r>
          </w:p>
        </w:tc>
        <w:tc>
          <w:tcPr>
            <w:tcW w:w="6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米</w:t>
            </w:r>
          </w:p>
        </w:tc>
        <w:tc>
          <w:tcPr>
            <w:tcW w:w="135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铝合金窗帘杆壁厚≥3mm，以及相应的支架、吊环等配件。</w:t>
            </w:r>
          </w:p>
        </w:tc>
      </w:tr>
    </w:tbl>
    <w:p>
      <w:pPr>
        <w:rPr>
          <w:szCs w:val="21"/>
        </w:rPr>
      </w:pPr>
      <w:r>
        <w:rPr>
          <w:rFonts w:hint="eastAsia"/>
          <w:szCs w:val="21"/>
        </w:rPr>
        <w:t>注：数量以现场实际安装为准。</w:t>
      </w:r>
    </w:p>
    <w:p>
      <w:pPr>
        <w:rPr>
          <w:rFonts w:ascii="Calibri" w:hAnsi="Calibri" w:cs="Times New Roman"/>
          <w:b/>
          <w:bCs/>
          <w:szCs w:val="21"/>
        </w:rPr>
      </w:pPr>
      <w:r>
        <w:rPr>
          <w:rFonts w:hint="eastAsia" w:ascii="Calibri" w:hAnsi="Calibri" w:cs="Times New Roman"/>
          <w:b/>
          <w:bCs/>
          <w:szCs w:val="21"/>
        </w:rPr>
        <w:t>窗帘布</w:t>
      </w:r>
    </w:p>
    <w:p>
      <w:pPr>
        <w:rPr>
          <w:szCs w:val="21"/>
        </w:rPr>
      </w:pPr>
      <w:r>
        <w:rPr>
          <w:rFonts w:hint="eastAsia"/>
          <w:szCs w:val="21"/>
        </w:rPr>
        <w:t>布帘材质：</w:t>
      </w:r>
      <w:r>
        <w:rPr>
          <w:szCs w:val="21"/>
        </w:rPr>
        <w:t>100%聚酯纤维，遮光率100%，克重≥291g/㎡，</w:t>
      </w:r>
    </w:p>
    <w:p>
      <w:pPr>
        <w:rPr>
          <w:szCs w:val="21"/>
        </w:rPr>
      </w:pPr>
      <w:r>
        <w:rPr>
          <w:rFonts w:hint="eastAsia"/>
          <w:szCs w:val="21"/>
        </w:rPr>
        <w:t>★甲醛含量：符合</w:t>
      </w:r>
      <w:r>
        <w:rPr>
          <w:szCs w:val="21"/>
        </w:rPr>
        <w:t>18401-2010《国家纺织产品基本安全规范》C类标准或更优标准（GB18401-2010B类或A类），检测标准GB/T2912.1-2009。</w:t>
      </w:r>
    </w:p>
    <w:p>
      <w:pPr>
        <w:rPr>
          <w:szCs w:val="21"/>
        </w:rPr>
      </w:pPr>
      <w:r>
        <w:rPr>
          <w:rFonts w:hint="eastAsia"/>
          <w:szCs w:val="21"/>
        </w:rPr>
        <w:t>阻燃标准：水洗</w:t>
      </w:r>
      <w:r>
        <w:rPr>
          <w:szCs w:val="21"/>
        </w:rPr>
        <w:t>50次后检测符合GB8624-2012 B1级。符合GB/T5454-1997、GB/T5455-2014经向/纬向氧指数≥32%，损毁长度≤150mm，续燃时间≤5S，阴燃时间≤15S，燃烧滴落物未引起脱脂棉燃烧或阴燃，洗涤按自动洗衣机A型缓和洗涤程序、洗涤≥50次。</w:t>
      </w:r>
    </w:p>
    <w:p>
      <w:pPr>
        <w:rPr>
          <w:szCs w:val="21"/>
        </w:rPr>
      </w:pPr>
      <w:r>
        <w:rPr>
          <w:rFonts w:hint="eastAsia"/>
          <w:szCs w:val="21"/>
        </w:rPr>
        <w:t>干</w:t>
      </w:r>
      <w:r>
        <w:rPr>
          <w:szCs w:val="21"/>
        </w:rPr>
        <w:t>/水洗尺寸变化率：-3.0～+3.0，检测标准：GB/T19981.2-2005。</w:t>
      </w:r>
    </w:p>
    <w:p>
      <w:pPr>
        <w:rPr>
          <w:szCs w:val="21"/>
        </w:rPr>
      </w:pPr>
      <w:r>
        <w:rPr>
          <w:rFonts w:hint="eastAsia"/>
          <w:szCs w:val="21"/>
        </w:rPr>
        <w:t>起球率：≥</w:t>
      </w:r>
      <w:r>
        <w:rPr>
          <w:szCs w:val="21"/>
        </w:rPr>
        <w:t>2级。</w:t>
      </w:r>
    </w:p>
    <w:p>
      <w:pPr>
        <w:rPr>
          <w:szCs w:val="21"/>
        </w:rPr>
      </w:pPr>
      <w:r>
        <w:rPr>
          <w:rFonts w:hint="eastAsia"/>
          <w:szCs w:val="21"/>
        </w:rPr>
        <w:t>★抑菌抗菌性（大肠杆菌、白色念珠菌、金黄色葡萄）：符合</w:t>
      </w:r>
      <w:r>
        <w:rPr>
          <w:szCs w:val="21"/>
        </w:rPr>
        <w:t>GB/T20944.3-2008标准抑菌率90%以上。</w:t>
      </w:r>
    </w:p>
    <w:p>
      <w:pPr>
        <w:rPr>
          <w:b/>
          <w:bCs/>
          <w:szCs w:val="21"/>
        </w:rPr>
      </w:pPr>
      <w:r>
        <w:rPr>
          <w:rFonts w:hint="eastAsia"/>
          <w:b/>
          <w:bCs/>
          <w:szCs w:val="21"/>
        </w:rPr>
        <w:t>罗马杆</w:t>
      </w:r>
    </w:p>
    <w:p>
      <w:pPr>
        <w:rPr>
          <w:szCs w:val="21"/>
        </w:rPr>
      </w:pPr>
      <w:r>
        <w:rPr>
          <w:rFonts w:hint="eastAsia"/>
          <w:szCs w:val="21"/>
        </w:rPr>
        <w:t>★1、罗马杆壁厚</w:t>
      </w:r>
      <w:r>
        <w:rPr>
          <w:szCs w:val="21"/>
        </w:rPr>
        <w:t>≥</w:t>
      </w:r>
      <w:r>
        <w:rPr>
          <w:rFonts w:hint="eastAsia"/>
          <w:szCs w:val="21"/>
        </w:rPr>
        <w:t>3.0MM，力学性能优良，其中抗拉强度</w:t>
      </w:r>
      <w:r>
        <w:rPr>
          <w:szCs w:val="21"/>
        </w:rPr>
        <w:t>≥</w:t>
      </w:r>
      <w:r>
        <w:rPr>
          <w:rFonts w:hint="eastAsia"/>
          <w:szCs w:val="21"/>
        </w:rPr>
        <w:t>250N/m ㎡,断后伸长率</w:t>
      </w:r>
      <w:r>
        <w:rPr>
          <w:szCs w:val="21"/>
        </w:rPr>
        <w:t>≤</w:t>
      </w:r>
      <w:r>
        <w:rPr>
          <w:rFonts w:hint="eastAsia"/>
          <w:szCs w:val="21"/>
        </w:rPr>
        <w:t>10%，规定非比例延伸程度</w:t>
      </w:r>
      <w:r>
        <w:rPr>
          <w:szCs w:val="21"/>
        </w:rPr>
        <w:t>≥</w:t>
      </w:r>
      <w:r>
        <w:rPr>
          <w:rFonts w:hint="eastAsia"/>
          <w:szCs w:val="21"/>
        </w:rPr>
        <w:t>190,维式硬度（HV）</w:t>
      </w:r>
      <w:r>
        <w:rPr>
          <w:szCs w:val="21"/>
        </w:rPr>
        <w:t>≥</w:t>
      </w:r>
      <w:r>
        <w:rPr>
          <w:rFonts w:hint="eastAsia"/>
          <w:szCs w:val="21"/>
        </w:rPr>
        <w:t>70，韦式硬度（HW）</w:t>
      </w:r>
      <w:r>
        <w:rPr>
          <w:szCs w:val="21"/>
        </w:rPr>
        <w:t>≥</w:t>
      </w:r>
      <w:r>
        <w:rPr>
          <w:rFonts w:hint="eastAsia"/>
          <w:szCs w:val="21"/>
        </w:rPr>
        <w:t>10；型材尺寸偏差小，弯曲度0.1mm，扭拧度0.19mm</w:t>
      </w:r>
    </w:p>
    <w:p>
      <w:pPr>
        <w:ind w:firstLine="210" w:firstLineChars="100"/>
        <w:rPr>
          <w:rFonts w:ascii="宋体" w:hAnsi="宋体" w:cs="宋体"/>
          <w:kern w:val="0"/>
          <w:szCs w:val="21"/>
        </w:rPr>
      </w:pPr>
      <w:r>
        <w:rPr>
          <w:rFonts w:hint="eastAsia"/>
          <w:szCs w:val="21"/>
        </w:rPr>
        <w:t>2、罗马杆管径</w:t>
      </w:r>
      <w:r>
        <w:rPr>
          <w:rFonts w:hint="eastAsia" w:ascii="宋体" w:hAnsi="宋体" w:cs="宋体"/>
          <w:kern w:val="0"/>
          <w:szCs w:val="21"/>
        </w:rPr>
        <w:t>φ28mm，表面高光三酸氧化处理。</w:t>
      </w:r>
    </w:p>
    <w:p>
      <w:pPr>
        <w:ind w:firstLine="210" w:firstLineChars="100"/>
        <w:rPr>
          <w:szCs w:val="21"/>
        </w:rPr>
      </w:pPr>
      <w:r>
        <w:rPr>
          <w:rFonts w:hint="eastAsia" w:ascii="宋体" w:hAnsi="宋体" w:cs="宋体"/>
          <w:kern w:val="0"/>
          <w:szCs w:val="21"/>
        </w:rPr>
        <w:t>3、吊环为原生PP顺滑材质。</w:t>
      </w:r>
    </w:p>
    <w:p>
      <w:pPr>
        <w:spacing w:line="360" w:lineRule="auto"/>
        <w:ind w:left="626" w:hanging="626" w:hangingChars="297"/>
        <w:rPr>
          <w:rFonts w:ascii="宋体" w:hAnsi="宋体"/>
          <w:b/>
          <w:bCs/>
          <w:szCs w:val="21"/>
          <w:lang w:val="zh-CN"/>
        </w:rPr>
      </w:pPr>
      <w:r>
        <w:rPr>
          <w:rFonts w:hint="eastAsia" w:ascii="宋体" w:hAnsi="宋体"/>
          <w:b/>
          <w:bCs/>
          <w:szCs w:val="21"/>
          <w:lang w:val="zh-CN"/>
        </w:rPr>
        <w:t>商务要求</w:t>
      </w:r>
    </w:p>
    <w:p>
      <w:pPr>
        <w:rPr>
          <w:szCs w:val="21"/>
        </w:rPr>
      </w:pPr>
      <w:r>
        <w:rPr>
          <w:rFonts w:hint="eastAsia"/>
          <w:szCs w:val="21"/>
        </w:rPr>
        <w:t>1、★交货期限：60天</w:t>
      </w:r>
    </w:p>
    <w:p>
      <w:pPr>
        <w:rPr>
          <w:szCs w:val="21"/>
        </w:rPr>
      </w:pPr>
      <w:r>
        <w:rPr>
          <w:rFonts w:hint="eastAsia"/>
          <w:szCs w:val="21"/>
        </w:rPr>
        <w:t>2、交货地点：阳新县中医医院城东院区传染病楼</w:t>
      </w:r>
    </w:p>
    <w:p>
      <w:pPr>
        <w:rPr>
          <w:szCs w:val="21"/>
        </w:rPr>
      </w:pPr>
      <w:r>
        <w:rPr>
          <w:rFonts w:hint="eastAsia"/>
          <w:szCs w:val="21"/>
        </w:rPr>
        <w:t>3、★质保期：叁年(安装验收合格之日算起)</w:t>
      </w:r>
    </w:p>
    <w:p>
      <w:pPr>
        <w:rPr>
          <w:szCs w:val="21"/>
        </w:rPr>
      </w:pPr>
      <w:r>
        <w:rPr>
          <w:rFonts w:hint="eastAsia"/>
          <w:szCs w:val="21"/>
        </w:rPr>
        <w:t>4、付款方式：</w:t>
      </w:r>
      <w:r>
        <w:rPr>
          <w:szCs w:val="21"/>
        </w:rPr>
        <w:t xml:space="preserve"> </w:t>
      </w:r>
      <w:r>
        <w:rPr>
          <w:rFonts w:hint="eastAsia"/>
          <w:szCs w:val="21"/>
        </w:rPr>
        <w:t>合同签订后预付合同金额的20%；货到后付至合同金额的57%，验收合格后付至合同金额的97%，余款质保期满后付清。</w:t>
      </w:r>
    </w:p>
    <w:p>
      <w:pPr>
        <w:rPr>
          <w:szCs w:val="21"/>
        </w:rPr>
      </w:pPr>
      <w:r>
        <w:rPr>
          <w:rFonts w:hint="eastAsia"/>
          <w:szCs w:val="21"/>
        </w:rPr>
        <w:t>5、总承包服务费：总承包服务费由承包人支付给总承包单位，总承包服务费（包括配合费、管理费）为合同价的2%，投标人不得在投标报价中单列此项费用。</w:t>
      </w:r>
    </w:p>
    <w:p>
      <w:pPr>
        <w:spacing w:line="360" w:lineRule="auto"/>
        <w:rPr>
          <w:szCs w:val="21"/>
        </w:rPr>
      </w:pPr>
      <w:r>
        <w:rPr>
          <w:rFonts w:hint="eastAsia"/>
          <w:szCs w:val="21"/>
        </w:rPr>
        <w:t>投标样品：窗帘布30 Cm×30 Cm一块；窗帘杆长1m一根；窗帘环2个。</w:t>
      </w:r>
    </w:p>
    <w:p>
      <w:pPr>
        <w:widowControl/>
        <w:shd w:val="clear" w:color="auto" w:fill="FFFFFF"/>
        <w:spacing w:line="360" w:lineRule="atLeast"/>
        <w:ind w:firstLine="480"/>
        <w:jc w:val="left"/>
        <w:rPr>
          <w:rFonts w:ascii="微软雅黑" w:hAnsi="微软雅黑" w:eastAsia="微软雅黑" w:cs="宋体"/>
          <w:kern w:val="0"/>
          <w:szCs w:val="21"/>
        </w:rPr>
      </w:pPr>
      <w:r>
        <w:rPr>
          <w:rFonts w:hint="eastAsia" w:ascii="宋体" w:hAnsi="宋体" w:eastAsia="宋体" w:cs="宋体"/>
          <w:kern w:val="0"/>
          <w:szCs w:val="21"/>
          <w:shd w:val="clear" w:color="auto" w:fill="FFFFFF"/>
        </w:rPr>
        <w:t>更正日期：2020年12月15日</w:t>
      </w:r>
    </w:p>
    <w:p>
      <w:pPr>
        <w:spacing w:line="360" w:lineRule="auto"/>
      </w:pPr>
    </w:p>
    <w:bookmarkEnd w:id="0"/>
    <w:bookmarkEnd w:id="1"/>
    <w:bookmarkEnd w:id="2"/>
    <w:bookmarkEnd w:id="3"/>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1"/>
      </w:pBdr>
      <w:tabs>
        <w:tab w:val="clear" w:pos="4153"/>
        <w:tab w:val="clear" w:pos="8306"/>
      </w:tabs>
      <w:ind w:right="-9"/>
      <w:jc w:val="center"/>
      <w:rPr>
        <w:rFonts w:ascii="宋体" w:hAnsi="宋体"/>
        <w:b/>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69595" cy="211455"/>
              <wp:effectExtent l="0" t="0" r="0" b="0"/>
              <wp:wrapNone/>
              <wp:docPr id="7" name="文本框 5"/>
              <wp:cNvGraphicFramePr/>
              <a:graphic xmlns:a="http://schemas.openxmlformats.org/drawingml/2006/main">
                <a:graphicData uri="http://schemas.microsoft.com/office/word/2010/wordprocessingShape">
                  <wps:wsp>
                    <wps:cNvSpPr txBox="1"/>
                    <wps:spPr>
                      <a:xfrm>
                        <a:off x="0" y="0"/>
                        <a:ext cx="569595" cy="211455"/>
                      </a:xfrm>
                      <a:prstGeom prst="rect">
                        <a:avLst/>
                      </a:prstGeom>
                      <a:noFill/>
                      <a:ln w="6350">
                        <a:noFill/>
                      </a:ln>
                      <a:effectLst/>
                    </wps:spPr>
                    <wps:txbx>
                      <w:txbxContent>
                        <w:p>
                          <w:pPr>
                            <w:pStyle w:val="3"/>
                            <w:pBdr>
                              <w:top w:val="single" w:color="000000" w:sz="4" w:space="1"/>
                            </w:pBdr>
                            <w:tabs>
                              <w:tab w:val="clear" w:pos="4153"/>
                              <w:tab w:val="clear" w:pos="8306"/>
                            </w:tabs>
                            <w:ind w:right="-9"/>
                            <w:jc w:val="cente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5" o:spid="_x0000_s1026" o:spt="202" type="#_x0000_t202" style="position:absolute;left:0pt;margin-top:0pt;height:16.65pt;width:44.85pt;mso-position-horizontal:center;mso-position-horizontal-relative:margin;z-index:251660288;mso-width-relative:page;mso-height-relative:page;" filled="f" stroked="f" coordsize="21600,21600" o:gfxdata="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hQMV7UAAAAAwEAAA8AAAAAAAAAAQAgAAAAIgAAAGRycy9k&#10;b3ducmV2LnhtbFBLAQIUABQAAAAIAIdO4kAaYrq7PwIAAG8EAAAOAAAAAAAAAAEAIAAAACMBAABk&#10;cnMvZTJvRG9jLnhtbFBLBQYAAAAABgAGAFkBAADUBQAAAAA=&#10;">
              <v:fill on="f" focussize="0,0"/>
              <v:stroke on="f" weight="0.5pt"/>
              <v:imagedata o:title=""/>
              <o:lock v:ext="edit" aspectratio="f"/>
              <v:textbox inset="0mm,0mm,0mm,0mm">
                <w:txbxContent>
                  <w:p>
                    <w:pPr>
                      <w:pStyle w:val="3"/>
                      <w:pBdr>
                        <w:top w:val="single" w:color="000000" w:sz="4" w:space="1"/>
                      </w:pBdr>
                      <w:tabs>
                        <w:tab w:val="clear" w:pos="4153"/>
                        <w:tab w:val="clear" w:pos="8306"/>
                      </w:tabs>
                      <w:ind w:right="-9"/>
                      <w:jc w:val="cente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000000" w:sz="0" w:space="1"/>
      </w:pBdr>
      <w:tabs>
        <w:tab w:val="clear" w:pos="4153"/>
      </w:tabs>
      <w:jc w:val="left"/>
      <w:rPr>
        <w:b/>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F6"/>
    <w:rsid w:val="001E27C0"/>
    <w:rsid w:val="00541B40"/>
    <w:rsid w:val="006840F6"/>
    <w:rsid w:val="007B7F65"/>
    <w:rsid w:val="00F761F6"/>
    <w:rsid w:val="00FF7363"/>
    <w:rsid w:val="3E9C3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11"/>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标题 5 Char"/>
    <w:basedOn w:val="7"/>
    <w:link w:val="2"/>
    <w:uiPriority w:val="9"/>
    <w:rPr>
      <w:rFonts w:ascii="宋体" w:hAnsi="宋体" w:eastAsia="宋体" w:cs="宋体"/>
      <w:b/>
      <w:bCs/>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595</Words>
  <Characters>3397</Characters>
  <Lines>28</Lines>
  <Paragraphs>7</Paragraphs>
  <TotalTime>32</TotalTime>
  <ScaleCrop>false</ScaleCrop>
  <LinksUpToDate>false</LinksUpToDate>
  <CharactersWithSpaces>3985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2020-12-15T00:57:00Z</dcterms:created>
  <dc:creator>微软用户</dc:creator>
  <cp:lastModifiedBy>Administrator</cp:lastModifiedBy>
  <dcterms:modified xsi:type="dcterms:W3CDTF">2020-12-16T01:47:52Z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