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afterLines="300"/>
        <w:jc w:val="center"/>
        <w:rPr>
          <w:rFonts w:hint="eastAsia" w:ascii="黑体" w:hAnsi="黑体" w:eastAsia="黑体"/>
          <w:b/>
          <w:sz w:val="52"/>
          <w:szCs w:val="52"/>
        </w:rPr>
      </w:pPr>
    </w:p>
    <w:p>
      <w:pPr>
        <w:spacing w:beforeLines="100" w:afterLines="300"/>
        <w:jc w:val="center"/>
        <w:rPr>
          <w:rFonts w:ascii="黑体" w:hAnsi="黑体" w:eastAsia="黑体"/>
          <w:b/>
          <w:sz w:val="52"/>
          <w:szCs w:val="52"/>
        </w:rPr>
      </w:pPr>
      <w:r>
        <w:rPr>
          <w:rFonts w:hint="eastAsia" w:ascii="黑体" w:hAnsi="黑体" w:eastAsia="黑体"/>
          <w:b/>
          <w:sz w:val="52"/>
          <w:szCs w:val="52"/>
        </w:rPr>
        <w:t>阳新县县级政府采购</w:t>
      </w:r>
    </w:p>
    <w:p>
      <w:pPr>
        <w:spacing w:afterLines="300"/>
        <w:jc w:val="center"/>
        <w:rPr>
          <w:rFonts w:ascii="黑体" w:hAnsi="黑体" w:eastAsia="黑体"/>
          <w:b/>
          <w:sz w:val="144"/>
          <w:szCs w:val="144"/>
        </w:rPr>
      </w:pPr>
      <w:r>
        <w:rPr>
          <w:rFonts w:hint="eastAsia" w:ascii="黑体" w:hAnsi="黑体" w:eastAsia="黑体"/>
          <w:b/>
          <w:sz w:val="144"/>
          <w:szCs w:val="144"/>
        </w:rPr>
        <w:t>招 标 文 件</w:t>
      </w:r>
    </w:p>
    <w:p>
      <w:pPr>
        <w:spacing w:line="360" w:lineRule="auto"/>
        <w:ind w:right="1306" w:rightChars="622"/>
        <w:rPr>
          <w:rFonts w:ascii="黑体" w:hAnsi="黑体" w:eastAsia="黑体" w:cs="Times New Roman"/>
          <w:b/>
          <w:bCs/>
          <w:sz w:val="36"/>
          <w:szCs w:val="24"/>
        </w:rPr>
      </w:pPr>
    </w:p>
    <w:p>
      <w:pPr>
        <w:spacing w:line="360" w:lineRule="auto"/>
        <w:ind w:left="2055" w:leftChars="619" w:right="1306" w:rightChars="622" w:hanging="755" w:hangingChars="209"/>
        <w:rPr>
          <w:rFonts w:ascii="黑体" w:hAnsi="黑体" w:eastAsia="黑体" w:cs="Times New Roman"/>
          <w:b/>
          <w:bCs/>
          <w:sz w:val="36"/>
          <w:szCs w:val="24"/>
        </w:rPr>
      </w:pPr>
    </w:p>
    <w:p>
      <w:pPr>
        <w:spacing w:line="360" w:lineRule="auto"/>
        <w:ind w:right="63" w:rightChars="30" w:firstLine="600" w:firstLineChars="200"/>
        <w:rPr>
          <w:rFonts w:ascii="宋体" w:hAnsi="宋体" w:eastAsia="宋体" w:cs="Times New Roman"/>
          <w:kern w:val="0"/>
          <w:sz w:val="30"/>
          <w:szCs w:val="30"/>
          <w:lang w:val="zh-CN" w:bidi="zh-CN"/>
        </w:rPr>
      </w:pPr>
      <w:r>
        <w:rPr>
          <w:rFonts w:hint="eastAsia" w:ascii="宋体" w:hAnsi="宋体" w:eastAsia="宋体" w:cs="Times New Roman"/>
          <w:kern w:val="0"/>
          <w:sz w:val="30"/>
          <w:szCs w:val="30"/>
          <w:lang w:val="zh-CN" w:bidi="zh-CN"/>
        </w:rPr>
        <w:t>项目编号：131-2022CG</w:t>
      </w:r>
      <w:r>
        <w:rPr>
          <w:rFonts w:hint="eastAsia" w:ascii="宋体" w:hAnsi="宋体" w:eastAsia="宋体" w:cs="Times New Roman"/>
          <w:kern w:val="0"/>
          <w:sz w:val="30"/>
          <w:szCs w:val="30"/>
          <w:lang w:bidi="zh-CN"/>
        </w:rPr>
        <w:t>-</w:t>
      </w:r>
      <w:r>
        <w:rPr>
          <w:rFonts w:hint="eastAsia" w:ascii="宋体" w:hAnsi="宋体" w:eastAsia="宋体" w:cs="Times New Roman"/>
          <w:kern w:val="0"/>
          <w:sz w:val="30"/>
          <w:szCs w:val="30"/>
          <w:lang w:val="en-US" w:bidi="zh-CN"/>
        </w:rPr>
        <w:t>095</w:t>
      </w:r>
      <w:r>
        <w:rPr>
          <w:rFonts w:hint="eastAsia" w:ascii="宋体" w:hAnsi="宋体" w:eastAsia="宋体" w:cs="Times New Roman"/>
          <w:kern w:val="0"/>
          <w:sz w:val="30"/>
          <w:szCs w:val="30"/>
          <w:lang w:val="zh-CN" w:bidi="zh-CN"/>
        </w:rPr>
        <w:t xml:space="preserve">                 </w:t>
      </w:r>
    </w:p>
    <w:p>
      <w:pPr>
        <w:spacing w:line="360" w:lineRule="auto"/>
        <w:ind w:right="283" w:rightChars="135" w:firstLine="600" w:firstLineChars="200"/>
        <w:rPr>
          <w:rFonts w:ascii="宋体" w:hAnsi="宋体" w:eastAsia="宋体" w:cs="Times New Roman"/>
          <w:kern w:val="0"/>
          <w:sz w:val="30"/>
          <w:szCs w:val="30"/>
          <w:lang w:val="zh-CN" w:bidi="zh-CN"/>
        </w:rPr>
      </w:pPr>
      <w:r>
        <w:rPr>
          <w:rFonts w:hint="eastAsia" w:ascii="宋体" w:hAnsi="宋体" w:eastAsia="宋体" w:cs="Times New Roman"/>
          <w:kern w:val="0"/>
          <w:sz w:val="30"/>
          <w:szCs w:val="30"/>
          <w:lang w:val="zh-CN" w:bidi="zh-CN"/>
        </w:rPr>
        <w:t xml:space="preserve">采 购 人：阳新县住房和城乡建设局              </w:t>
      </w:r>
    </w:p>
    <w:p>
      <w:pPr>
        <w:spacing w:line="360" w:lineRule="auto"/>
        <w:ind w:left="2130" w:leftChars="300" w:right="63" w:rightChars="30" w:hanging="1500" w:hangingChars="500"/>
        <w:jc w:val="left"/>
        <w:rPr>
          <w:rFonts w:ascii="宋体" w:hAnsi="宋体" w:eastAsia="宋体" w:cs="Times New Roman"/>
          <w:kern w:val="0"/>
          <w:sz w:val="30"/>
          <w:szCs w:val="30"/>
          <w:lang w:val="zh-CN" w:bidi="zh-CN"/>
        </w:rPr>
      </w:pPr>
      <w:r>
        <w:rPr>
          <w:rFonts w:hint="eastAsia" w:ascii="宋体" w:hAnsi="宋体" w:eastAsia="宋体" w:cs="Times New Roman"/>
          <w:kern w:val="0"/>
          <w:sz w:val="30"/>
          <w:szCs w:val="30"/>
          <w:lang w:val="zh-CN" w:bidi="zh-CN"/>
        </w:rPr>
        <w:t>项目名称：阳新县长江大保护水环境综合治理PPP项目（一期工程）建设项目检测服务</w:t>
      </w:r>
    </w:p>
    <w:p>
      <w:pPr>
        <w:spacing w:line="360" w:lineRule="auto"/>
        <w:ind w:right="-134" w:rightChars="-64" w:firstLine="600" w:firstLineChars="200"/>
        <w:rPr>
          <w:rFonts w:ascii="宋体" w:hAnsi="宋体" w:eastAsia="宋体" w:cs="Times New Roman"/>
          <w:kern w:val="0"/>
          <w:sz w:val="30"/>
          <w:szCs w:val="30"/>
          <w:lang w:val="zh-CN" w:bidi="zh-CN"/>
        </w:rPr>
      </w:pPr>
      <w:r>
        <w:rPr>
          <w:rFonts w:hint="eastAsia" w:ascii="宋体" w:hAnsi="宋体" w:eastAsia="宋体" w:cs="Times New Roman"/>
          <w:kern w:val="0"/>
          <w:sz w:val="30"/>
          <w:szCs w:val="30"/>
          <w:lang w:val="zh-CN" w:bidi="zh-CN"/>
        </w:rPr>
        <w:t xml:space="preserve">                   </w:t>
      </w:r>
    </w:p>
    <w:p>
      <w:pPr>
        <w:autoSpaceDE w:val="0"/>
        <w:autoSpaceDN w:val="0"/>
        <w:adjustRightInd w:val="0"/>
        <w:snapToGrid w:val="0"/>
        <w:spacing w:line="360" w:lineRule="auto"/>
        <w:jc w:val="center"/>
        <w:rPr>
          <w:rFonts w:ascii="Times New Roman" w:hAnsi="Times New Roman" w:eastAsia="宋体" w:cs="Times New Roman"/>
          <w:bCs/>
          <w:color w:val="000000"/>
          <w:kern w:val="0"/>
          <w:sz w:val="56"/>
          <w:szCs w:val="56"/>
          <w:lang w:val="zh-CN" w:bidi="zh-CN"/>
        </w:rPr>
      </w:pPr>
    </w:p>
    <w:p>
      <w:pPr>
        <w:autoSpaceDE w:val="0"/>
        <w:autoSpaceDN w:val="0"/>
        <w:adjustRightInd w:val="0"/>
        <w:snapToGrid w:val="0"/>
        <w:spacing w:line="360" w:lineRule="auto"/>
        <w:jc w:val="center"/>
        <w:rPr>
          <w:rFonts w:ascii="Times New Roman" w:hAnsi="Times New Roman" w:eastAsia="宋体" w:cs="Times New Roman"/>
          <w:bCs/>
          <w:color w:val="000000"/>
          <w:kern w:val="0"/>
          <w:sz w:val="56"/>
          <w:szCs w:val="56"/>
          <w:lang w:val="zh-CN" w:bidi="zh-CN"/>
        </w:rPr>
      </w:pPr>
      <w:r>
        <w:rPr>
          <w:rFonts w:hint="eastAsia" w:ascii="Times New Roman" w:hAnsi="Times New Roman" w:eastAsia="宋体" w:cs="Times New Roman"/>
          <w:bCs/>
          <w:color w:val="000000"/>
          <w:kern w:val="0"/>
          <w:sz w:val="56"/>
          <w:szCs w:val="56"/>
          <w:lang w:val="zh-CN" w:bidi="zh-CN"/>
        </w:rPr>
        <w:t>湖北大绪工程项目管理有限公司</w:t>
      </w:r>
    </w:p>
    <w:p>
      <w:pPr>
        <w:jc w:val="center"/>
        <w:rPr>
          <w:rFonts w:ascii="黑体" w:hAnsi="黑体" w:eastAsia="黑体" w:cs="Times New Roman"/>
          <w:b/>
          <w:bCs/>
          <w:sz w:val="32"/>
        </w:rPr>
        <w:sectPr>
          <w:headerReference r:id="rId3" w:type="default"/>
          <w:footerReference r:id="rId4" w:type="default"/>
          <w:pgSz w:w="11906" w:h="16838"/>
          <w:pgMar w:top="1440" w:right="1701" w:bottom="1440" w:left="1701" w:header="850" w:footer="992" w:gutter="0"/>
          <w:cols w:space="720" w:num="1"/>
          <w:rtlGutter w:val="0"/>
          <w:docGrid w:linePitch="286" w:charSpace="0"/>
        </w:sectPr>
      </w:pPr>
      <w:r>
        <w:rPr>
          <w:rFonts w:hint="eastAsia" w:ascii="黑体" w:hAnsi="黑体" w:eastAsia="黑体" w:cs="Times New Roman"/>
          <w:b/>
          <w:bCs/>
          <w:sz w:val="44"/>
          <w:szCs w:val="44"/>
          <w:u w:val="single"/>
        </w:rPr>
        <w:t>2022</w:t>
      </w:r>
      <w:r>
        <w:rPr>
          <w:rFonts w:hint="eastAsia" w:ascii="黑体" w:hAnsi="黑体" w:eastAsia="黑体"/>
          <w:b/>
          <w:sz w:val="44"/>
          <w:szCs w:val="44"/>
        </w:rPr>
        <w:t>年</w:t>
      </w:r>
      <w:r>
        <w:rPr>
          <w:rFonts w:hint="eastAsia" w:ascii="黑体" w:hAnsi="黑体" w:eastAsia="黑体"/>
          <w:b/>
          <w:sz w:val="44"/>
          <w:szCs w:val="44"/>
          <w:u w:val="single"/>
          <w:lang w:val="en-US" w:eastAsia="zh-CN"/>
        </w:rPr>
        <w:t>5</w:t>
      </w:r>
      <w:r>
        <w:rPr>
          <w:rFonts w:hint="eastAsia" w:ascii="黑体" w:hAnsi="黑体" w:eastAsia="黑体"/>
          <w:b/>
          <w:sz w:val="44"/>
          <w:szCs w:val="44"/>
        </w:rPr>
        <w:t>月</w:t>
      </w:r>
    </w:p>
    <w:p/>
    <w:p>
      <w:pPr>
        <w:jc w:val="center"/>
        <w:rPr>
          <w:rFonts w:ascii="宋体" w:hAnsi="宋体"/>
          <w:b/>
          <w:sz w:val="44"/>
          <w:szCs w:val="44"/>
        </w:rPr>
      </w:pPr>
      <w:r>
        <w:rPr>
          <w:rFonts w:hint="eastAsia" w:ascii="宋体" w:hAnsi="宋体"/>
          <w:b/>
          <w:sz w:val="44"/>
          <w:szCs w:val="44"/>
        </w:rPr>
        <w:t>招标文件审核意见表</w:t>
      </w:r>
    </w:p>
    <w:tbl>
      <w:tblPr>
        <w:tblStyle w:val="25"/>
        <w:tblpPr w:leftFromText="180" w:rightFromText="180" w:vertAnchor="text" w:horzAnchor="page" w:tblpX="1804" w:tblpY="5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7" w:hRule="atLeast"/>
        </w:trPr>
        <w:tc>
          <w:tcPr>
            <w:tcW w:w="8533" w:type="dxa"/>
          </w:tcPr>
          <w:p>
            <w:pPr>
              <w:pStyle w:val="4"/>
              <w:ind w:firstLine="840" w:firstLineChars="300"/>
              <w:rPr>
                <w:rFonts w:hint="eastAsia"/>
                <w:b w:val="0"/>
                <w:bCs w:val="0"/>
                <w:sz w:val="28"/>
                <w:szCs w:val="28"/>
                <w:lang w:val="en-US"/>
              </w:rPr>
            </w:pPr>
            <w:bookmarkStart w:id="0" w:name="_Toc5075"/>
            <w:bookmarkStart w:id="1" w:name="_Toc14276"/>
            <w:bookmarkStart w:id="2" w:name="_Toc22190"/>
            <w:r>
              <w:rPr>
                <w:rFonts w:hint="eastAsia"/>
                <w:b w:val="0"/>
                <w:bCs w:val="0"/>
                <w:sz w:val="28"/>
                <w:szCs w:val="28"/>
                <w:lang w:val="en-US" w:eastAsia="zh-CN"/>
              </w:rPr>
              <w:t>经我公司编制的</w:t>
            </w:r>
            <w:r>
              <w:rPr>
                <w:rFonts w:hint="eastAsia"/>
                <w:b w:val="0"/>
                <w:bCs w:val="0"/>
                <w:sz w:val="28"/>
                <w:szCs w:val="28"/>
                <w:u w:val="single"/>
                <w:lang w:val="zh-CN"/>
              </w:rPr>
              <w:t>阳新县长江大保护水环境综合治理PPP项目（一期工程）建设项目检测服务</w:t>
            </w:r>
            <w:r>
              <w:rPr>
                <w:rFonts w:hint="eastAsia"/>
                <w:b w:val="0"/>
                <w:bCs w:val="0"/>
                <w:sz w:val="28"/>
                <w:szCs w:val="28"/>
                <w:lang w:val="en-US"/>
              </w:rPr>
              <w:t>招标文件（采购文件）符合《招标投标法》《政府采购法》及相关法律法规的要求，请招标人（采购人）审核确认。</w:t>
            </w:r>
            <w:bookmarkEnd w:id="0"/>
            <w:bookmarkEnd w:id="1"/>
            <w:bookmarkEnd w:id="2"/>
          </w:p>
          <w:p>
            <w:pPr>
              <w:jc w:val="right"/>
              <w:rPr>
                <w:rFonts w:hint="default"/>
                <w:lang w:val="en-US" w:eastAsia="zh-CN"/>
              </w:rPr>
            </w:pPr>
            <w:r>
              <w:rPr>
                <w:rFonts w:hint="eastAsia" w:ascii="宋体" w:hAnsi="宋体" w:eastAsia="宋体" w:cs="Times New Roman"/>
                <w:b w:val="0"/>
                <w:bCs w:val="0"/>
                <w:kern w:val="0"/>
                <w:sz w:val="30"/>
                <w:szCs w:val="30"/>
                <w:lang w:val="en-US" w:eastAsia="zh-CN" w:bidi="zh-CN"/>
              </w:rPr>
              <w:t xml:space="preserve">   采购代理机构（盖章）：湖北大绪工程项目管理有限公司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6" w:hRule="atLeast"/>
        </w:trPr>
        <w:tc>
          <w:tcPr>
            <w:tcW w:w="8533" w:type="dxa"/>
          </w:tcPr>
          <w:p>
            <w:pPr>
              <w:pStyle w:val="4"/>
              <w:ind w:firstLine="840" w:firstLineChars="300"/>
              <w:rPr>
                <w:rFonts w:hint="eastAsia"/>
                <w:b w:val="0"/>
                <w:bCs w:val="0"/>
                <w:sz w:val="28"/>
                <w:szCs w:val="28"/>
                <w:lang w:val="en-US" w:eastAsia="zh-CN"/>
              </w:rPr>
            </w:pPr>
            <w:bookmarkStart w:id="3" w:name="_Toc6923"/>
            <w:bookmarkStart w:id="4" w:name="_Toc5513"/>
            <w:bookmarkStart w:id="5" w:name="_Toc32299"/>
            <w:r>
              <w:rPr>
                <w:rFonts w:hint="eastAsia"/>
                <w:b w:val="0"/>
                <w:bCs w:val="0"/>
                <w:sz w:val="28"/>
                <w:szCs w:val="28"/>
                <w:lang w:val="en-US" w:eastAsia="zh-CN"/>
              </w:rPr>
              <w:t>经我方对</w:t>
            </w:r>
            <w:r>
              <w:rPr>
                <w:rFonts w:hint="eastAsia"/>
                <w:b w:val="0"/>
                <w:bCs w:val="0"/>
                <w:sz w:val="28"/>
                <w:szCs w:val="28"/>
                <w:u w:val="single"/>
                <w:lang w:val="zh-CN" w:eastAsia="zh-CN"/>
              </w:rPr>
              <w:t>阳新县长江大保护水环境综合治理PPP项目（一期工程）建设项目检测服务</w:t>
            </w:r>
            <w:r>
              <w:rPr>
                <w:rFonts w:hint="eastAsia"/>
                <w:b w:val="0"/>
                <w:bCs w:val="0"/>
                <w:sz w:val="28"/>
                <w:szCs w:val="28"/>
                <w:u w:val="single"/>
                <w:lang w:val="en-US" w:eastAsia="zh-CN"/>
              </w:rPr>
              <w:t>招标文件（采购文件）</w:t>
            </w:r>
            <w:r>
              <w:rPr>
                <w:rFonts w:hint="eastAsia"/>
                <w:b w:val="0"/>
                <w:bCs w:val="0"/>
                <w:sz w:val="28"/>
                <w:szCs w:val="28"/>
                <w:lang w:val="en-US" w:eastAsia="zh-CN"/>
              </w:rPr>
              <w:t>的审核确认，符合相关法律法规，满足我方的招标（采购）需求。</w:t>
            </w:r>
            <w:bookmarkEnd w:id="3"/>
            <w:bookmarkEnd w:id="4"/>
            <w:bookmarkEnd w:id="5"/>
          </w:p>
          <w:p>
            <w:pPr>
              <w:rPr>
                <w:rFonts w:hint="eastAsia"/>
                <w:lang w:val="en-US"/>
              </w:rPr>
            </w:pPr>
          </w:p>
          <w:p>
            <w:pPr>
              <w:pStyle w:val="4"/>
              <w:jc w:val="center"/>
              <w:rPr>
                <w:rFonts w:hint="eastAsia" w:ascii="宋体" w:hAnsi="宋体" w:eastAsia="宋体" w:cs="Times New Roman"/>
                <w:b w:val="0"/>
                <w:bCs w:val="0"/>
                <w:kern w:val="0"/>
                <w:sz w:val="30"/>
                <w:szCs w:val="30"/>
                <w:lang w:val="en-US" w:eastAsia="zh-CN" w:bidi="zh-CN"/>
              </w:rPr>
            </w:pPr>
            <w:bookmarkStart w:id="6" w:name="_Toc21033"/>
            <w:bookmarkStart w:id="7" w:name="_Toc30650"/>
            <w:bookmarkStart w:id="8" w:name="_Toc23384"/>
            <w:r>
              <w:rPr>
                <w:rFonts w:hint="eastAsia" w:ascii="宋体" w:hAnsi="宋体" w:eastAsia="宋体" w:cs="Times New Roman"/>
                <w:b w:val="0"/>
                <w:bCs w:val="0"/>
                <w:kern w:val="0"/>
                <w:sz w:val="30"/>
                <w:szCs w:val="30"/>
                <w:lang w:val="en-US" w:eastAsia="zh-CN" w:bidi="zh-CN"/>
              </w:rPr>
              <w:t>采购人(签章）：</w:t>
            </w:r>
            <w:bookmarkEnd w:id="6"/>
            <w:bookmarkEnd w:id="7"/>
            <w:bookmarkEnd w:id="8"/>
            <w:r>
              <w:rPr>
                <w:rFonts w:hint="eastAsia" w:ascii="宋体" w:hAnsi="宋体" w:eastAsia="宋体" w:cs="Times New Roman"/>
                <w:b w:val="0"/>
                <w:bCs w:val="0"/>
                <w:kern w:val="0"/>
                <w:sz w:val="30"/>
                <w:szCs w:val="30"/>
                <w:lang w:val="zh-CN" w:eastAsia="zh-CN" w:bidi="zh-CN"/>
              </w:rPr>
              <w:t xml:space="preserve">阳新县住房和城乡建设局 </w:t>
            </w:r>
          </w:p>
          <w:p>
            <w:pPr>
              <w:pStyle w:val="4"/>
              <w:jc w:val="right"/>
              <w:rPr>
                <w:rFonts w:hint="eastAsia" w:ascii="宋体" w:hAnsi="宋体" w:eastAsia="宋体" w:cs="Times New Roman"/>
                <w:b w:val="0"/>
                <w:bCs w:val="0"/>
                <w:kern w:val="0"/>
                <w:sz w:val="30"/>
                <w:szCs w:val="30"/>
                <w:lang w:val="en-US" w:eastAsia="zh-CN" w:bidi="zh-CN"/>
              </w:rPr>
            </w:pPr>
          </w:p>
          <w:p>
            <w:pPr>
              <w:pStyle w:val="4"/>
              <w:jc w:val="right"/>
              <w:rPr>
                <w:rFonts w:hint="default"/>
                <w:lang w:val="en-US" w:eastAsia="zh-CN"/>
              </w:rPr>
            </w:pPr>
            <w:r>
              <w:rPr>
                <w:rFonts w:hint="eastAsia" w:ascii="宋体" w:hAnsi="宋体" w:eastAsia="宋体" w:cs="Times New Roman"/>
                <w:b w:val="0"/>
                <w:bCs w:val="0"/>
                <w:kern w:val="0"/>
                <w:sz w:val="30"/>
                <w:szCs w:val="30"/>
                <w:lang w:val="en-US" w:eastAsia="zh-CN" w:bidi="zh-CN"/>
              </w:rPr>
              <w:t xml:space="preserve">  </w:t>
            </w:r>
            <w:bookmarkStart w:id="9" w:name="_Toc20846"/>
            <w:bookmarkStart w:id="10" w:name="_Toc18846"/>
            <w:bookmarkStart w:id="11" w:name="_Toc32089"/>
            <w:r>
              <w:rPr>
                <w:rFonts w:hint="eastAsia" w:ascii="宋体" w:hAnsi="宋体" w:eastAsia="宋体" w:cs="Times New Roman"/>
                <w:b w:val="0"/>
                <w:bCs w:val="0"/>
                <w:kern w:val="0"/>
                <w:sz w:val="30"/>
                <w:szCs w:val="30"/>
                <w:lang w:val="en-US" w:eastAsia="zh-CN" w:bidi="zh-CN"/>
              </w:rPr>
              <w:t>2022年5月25日</w:t>
            </w:r>
            <w:bookmarkEnd w:id="9"/>
            <w:bookmarkEnd w:id="10"/>
            <w:bookmarkEnd w:id="11"/>
          </w:p>
        </w:tc>
      </w:tr>
    </w:tbl>
    <w:p>
      <w:pPr>
        <w:spacing w:line="360" w:lineRule="auto"/>
        <w:rPr>
          <w:rFonts w:hint="default" w:ascii="黑体" w:hAnsi="黑体" w:eastAsiaTheme="minorEastAsia"/>
          <w:sz w:val="44"/>
          <w:szCs w:val="44"/>
          <w:lang w:val="en-US" w:eastAsia="zh-CN"/>
        </w:rPr>
        <w:sectPr>
          <w:footerReference r:id="rId5" w:type="default"/>
          <w:pgSz w:w="11906" w:h="16839"/>
          <w:pgMar w:top="1440" w:right="1701" w:bottom="1440" w:left="1701" w:header="850" w:footer="1199" w:gutter="0"/>
          <w:pgNumType w:fmt="decimal"/>
          <w:cols w:space="720" w:num="1"/>
          <w:rtlGutter w:val="0"/>
        </w:sectPr>
      </w:pPr>
      <w:r>
        <w:rPr>
          <w:rFonts w:hint="eastAsia" w:ascii="宋体" w:hAnsi="宋体"/>
          <w:sz w:val="28"/>
          <w:szCs w:val="28"/>
        </w:rPr>
        <w:t>项目编号：</w:t>
      </w:r>
      <w:r>
        <w:rPr>
          <w:rFonts w:ascii="宋体" w:hAnsi="宋体"/>
          <w:sz w:val="28"/>
          <w:szCs w:val="28"/>
        </w:rPr>
        <w:t>1</w:t>
      </w:r>
      <w:r>
        <w:rPr>
          <w:rFonts w:hint="eastAsia" w:ascii="宋体" w:hAnsi="宋体"/>
          <w:sz w:val="28"/>
          <w:szCs w:val="28"/>
        </w:rPr>
        <w:t>31-2022CG-</w:t>
      </w:r>
      <w:r>
        <w:rPr>
          <w:rFonts w:hint="eastAsia" w:ascii="宋体" w:hAnsi="宋体"/>
          <w:sz w:val="28"/>
          <w:szCs w:val="28"/>
          <w:lang w:val="en-US" w:eastAsia="zh-CN"/>
        </w:rPr>
        <w:t>095</w:t>
      </w:r>
    </w:p>
    <w:p>
      <w:pPr>
        <w:spacing w:beforeLines="100"/>
        <w:jc w:val="center"/>
        <w:rPr>
          <w:rFonts w:ascii="黑体" w:hAnsi="黑体" w:eastAsia="黑体"/>
          <w:sz w:val="44"/>
          <w:szCs w:val="44"/>
        </w:rPr>
      </w:pPr>
      <w:r>
        <w:rPr>
          <w:rFonts w:hint="eastAsia" w:ascii="黑体" w:hAnsi="黑体" w:eastAsia="黑体"/>
          <w:sz w:val="44"/>
          <w:szCs w:val="44"/>
        </w:rPr>
        <w:t>目   录</w:t>
      </w:r>
    </w:p>
    <w:sdt>
      <w:sdtPr>
        <w:rPr>
          <w:lang w:val="zh-CN"/>
        </w:rPr>
        <w:id w:val="1482579200"/>
      </w:sdtPr>
      <w:sdtEndPr>
        <w:rPr>
          <w:b w:val="0"/>
          <w:bCs/>
          <w:lang w:val="zh-CN"/>
        </w:rPr>
      </w:sdtEndPr>
      <w:sdtContent>
        <w:p>
          <w:pPr>
            <w:pStyle w:val="18"/>
            <w:tabs>
              <w:tab w:val="left" w:pos="1260"/>
              <w:tab w:val="right" w:leader="dot" w:pos="8300"/>
            </w:tabs>
            <w:jc w:val="center"/>
            <w:rPr>
              <w:rFonts w:eastAsia="黑体" w:asciiTheme="minorHAnsi" w:hAnsiTheme="minorHAnsi" w:cstheme="minorBidi"/>
              <w:b/>
              <w:kern w:val="0"/>
              <w:sz w:val="28"/>
              <w:szCs w:val="22"/>
              <w:lang w:val="en-US" w:eastAsia="zh-CN" w:bidi="ar-SA"/>
            </w:rPr>
          </w:pPr>
          <w:r>
            <w:fldChar w:fldCharType="begin"/>
          </w:r>
          <w:r>
            <w:instrText xml:space="preserve"> TOC \o "1-2" \h \z \u </w:instrText>
          </w:r>
          <w:r>
            <w:fldChar w:fldCharType="separate"/>
          </w:r>
        </w:p>
        <w:p>
          <w:pPr>
            <w:pStyle w:val="18"/>
            <w:tabs>
              <w:tab w:val="right" w:leader="dot" w:pos="8504"/>
            </w:tabs>
          </w:pPr>
          <w:r>
            <w:fldChar w:fldCharType="begin"/>
          </w:r>
          <w:r>
            <w:instrText xml:space="preserve"> HYPERLINK \l _Toc3434 </w:instrText>
          </w:r>
          <w:r>
            <w:fldChar w:fldCharType="separate"/>
          </w:r>
          <w:r>
            <w:rPr>
              <w:rFonts w:hint="eastAsia" w:ascii="黑体" w:hAnsi="黑体" w:eastAsia="黑体"/>
            </w:rPr>
            <w:t>第一章 投标邀请书</w:t>
          </w:r>
          <w:r>
            <w:tab/>
          </w:r>
          <w:r>
            <w:fldChar w:fldCharType="begin"/>
          </w:r>
          <w:r>
            <w:instrText xml:space="preserve"> PAGEREF _Toc3434 \h </w:instrText>
          </w:r>
          <w:r>
            <w:fldChar w:fldCharType="separate"/>
          </w:r>
          <w:r>
            <w:t>3</w:t>
          </w:r>
          <w:r>
            <w:fldChar w:fldCharType="end"/>
          </w:r>
          <w:r>
            <w:fldChar w:fldCharType="end"/>
          </w:r>
        </w:p>
        <w:p>
          <w:pPr>
            <w:pStyle w:val="18"/>
            <w:tabs>
              <w:tab w:val="right" w:leader="dot" w:pos="8504"/>
            </w:tabs>
          </w:pPr>
          <w:r>
            <w:fldChar w:fldCharType="begin"/>
          </w:r>
          <w:r>
            <w:instrText xml:space="preserve"> HYPERLINK \l _Toc21225 </w:instrText>
          </w:r>
          <w:r>
            <w:fldChar w:fldCharType="separate"/>
          </w:r>
          <w:r>
            <w:rPr>
              <w:rFonts w:hint="eastAsia" w:ascii="黑体" w:hAnsi="黑体" w:eastAsia="黑体"/>
            </w:rPr>
            <w:t>第二章 投标人须知</w:t>
          </w:r>
          <w:r>
            <w:tab/>
          </w:r>
          <w:r>
            <w:fldChar w:fldCharType="begin"/>
          </w:r>
          <w:r>
            <w:instrText xml:space="preserve"> PAGEREF _Toc21225 \h </w:instrText>
          </w:r>
          <w:r>
            <w:fldChar w:fldCharType="separate"/>
          </w:r>
          <w:r>
            <w:t>6</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_Toc22921 </w:instrText>
          </w:r>
          <w:r>
            <w:fldChar w:fldCharType="separate"/>
          </w:r>
          <w:r>
            <w:rPr>
              <w:rFonts w:cs="Times New Roman" w:asciiTheme="majorEastAsia" w:hAnsiTheme="majorEastAsia" w:eastAsiaTheme="majorEastAsia"/>
              <w:bCs/>
              <w:szCs w:val="32"/>
              <w:lang w:val="zh-CN"/>
            </w:rPr>
            <w:t>投标须知前附表</w:t>
          </w:r>
          <w:r>
            <w:tab/>
          </w:r>
          <w:r>
            <w:fldChar w:fldCharType="begin"/>
          </w:r>
          <w:r>
            <w:instrText xml:space="preserve"> PAGEREF _Toc22921 \h </w:instrText>
          </w:r>
          <w:r>
            <w:fldChar w:fldCharType="separate"/>
          </w:r>
          <w:r>
            <w:t>6</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_Toc22460 </w:instrText>
          </w:r>
          <w:r>
            <w:fldChar w:fldCharType="separate"/>
          </w:r>
          <w:r>
            <w:rPr>
              <w:rFonts w:hint="eastAsia" w:cs="Times New Roman" w:asciiTheme="majorEastAsia" w:hAnsiTheme="majorEastAsia"/>
              <w:bCs/>
              <w:szCs w:val="40"/>
              <w:lang w:val="zh-CN"/>
            </w:rPr>
            <w:t>说  明</w:t>
          </w:r>
          <w:r>
            <w:tab/>
          </w:r>
          <w:r>
            <w:fldChar w:fldCharType="begin"/>
          </w:r>
          <w:r>
            <w:instrText xml:space="preserve"> PAGEREF _Toc22460 \h </w:instrText>
          </w:r>
          <w:r>
            <w:fldChar w:fldCharType="separate"/>
          </w:r>
          <w:r>
            <w:t>8</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_Toc8349 </w:instrText>
          </w:r>
          <w:r>
            <w:fldChar w:fldCharType="separate"/>
          </w:r>
          <w:r>
            <w:rPr>
              <w:rFonts w:hint="eastAsia" w:cs="Times New Roman" w:asciiTheme="majorEastAsia" w:hAnsiTheme="majorEastAsia"/>
              <w:bCs w:val="0"/>
              <w:szCs w:val="30"/>
              <w:lang w:val="zh-CN"/>
            </w:rPr>
            <w:t xml:space="preserve">一、 </w:t>
          </w:r>
          <w:r>
            <w:rPr>
              <w:rFonts w:hint="eastAsia" w:cs="Times New Roman" w:asciiTheme="majorEastAsia" w:hAnsiTheme="majorEastAsia"/>
              <w:bCs w:val="0"/>
              <w:lang w:val="zh-CN"/>
            </w:rPr>
            <w:t>招标文件</w:t>
          </w:r>
          <w:r>
            <w:tab/>
          </w:r>
          <w:r>
            <w:fldChar w:fldCharType="begin"/>
          </w:r>
          <w:r>
            <w:instrText xml:space="preserve"> PAGEREF _Toc8349 \h </w:instrText>
          </w:r>
          <w:r>
            <w:fldChar w:fldCharType="separate"/>
          </w:r>
          <w:r>
            <w:t>9</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_Toc20097 </w:instrText>
          </w:r>
          <w:r>
            <w:fldChar w:fldCharType="separate"/>
          </w:r>
          <w:r>
            <w:rPr>
              <w:rFonts w:hint="eastAsia" w:cs="Times New Roman" w:asciiTheme="majorEastAsia" w:hAnsiTheme="majorEastAsia"/>
              <w:bCs w:val="0"/>
              <w:szCs w:val="30"/>
              <w:lang w:val="zh-CN"/>
            </w:rPr>
            <w:t xml:space="preserve">二、 </w:t>
          </w:r>
          <w:r>
            <w:rPr>
              <w:rFonts w:hint="eastAsia" w:cs="Times New Roman" w:asciiTheme="majorEastAsia" w:hAnsiTheme="majorEastAsia"/>
              <w:bCs w:val="0"/>
              <w:lang w:val="zh-CN"/>
            </w:rPr>
            <w:t>投标文件</w:t>
          </w:r>
          <w:r>
            <w:tab/>
          </w:r>
          <w:r>
            <w:fldChar w:fldCharType="begin"/>
          </w:r>
          <w:r>
            <w:instrText xml:space="preserve"> PAGEREF _Toc20097 \h </w:instrText>
          </w:r>
          <w:r>
            <w:fldChar w:fldCharType="separate"/>
          </w:r>
          <w:r>
            <w:t>10</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_Toc29294 </w:instrText>
          </w:r>
          <w:r>
            <w:fldChar w:fldCharType="separate"/>
          </w:r>
          <w:r>
            <w:rPr>
              <w:rFonts w:hint="eastAsia" w:cs="Times New Roman" w:asciiTheme="majorEastAsia" w:hAnsiTheme="majorEastAsia"/>
              <w:bCs w:val="0"/>
              <w:szCs w:val="30"/>
              <w:lang w:val="zh-CN"/>
            </w:rPr>
            <w:t xml:space="preserve">三、 </w:t>
          </w:r>
          <w:r>
            <w:rPr>
              <w:rFonts w:hint="eastAsia" w:cs="Times New Roman" w:asciiTheme="majorEastAsia" w:hAnsiTheme="majorEastAsia"/>
              <w:bCs w:val="0"/>
              <w:lang w:val="zh-CN"/>
            </w:rPr>
            <w:t>开标与评标</w:t>
          </w:r>
          <w:r>
            <w:tab/>
          </w:r>
          <w:r>
            <w:fldChar w:fldCharType="begin"/>
          </w:r>
          <w:r>
            <w:instrText xml:space="preserve"> PAGEREF _Toc29294 \h </w:instrText>
          </w:r>
          <w:r>
            <w:fldChar w:fldCharType="separate"/>
          </w:r>
          <w:r>
            <w:t>15</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_Toc26702 </w:instrText>
          </w:r>
          <w:r>
            <w:fldChar w:fldCharType="separate"/>
          </w:r>
          <w:r>
            <w:rPr>
              <w:rFonts w:hint="eastAsia" w:cs="Times New Roman" w:asciiTheme="majorEastAsia" w:hAnsiTheme="majorEastAsia"/>
              <w:bCs w:val="0"/>
              <w:szCs w:val="30"/>
              <w:lang w:val="zh-CN"/>
            </w:rPr>
            <w:t xml:space="preserve">四、 </w:t>
          </w:r>
          <w:r>
            <w:rPr>
              <w:rFonts w:hint="eastAsia" w:cs="Times New Roman" w:asciiTheme="majorEastAsia" w:hAnsiTheme="majorEastAsia"/>
              <w:bCs w:val="0"/>
              <w:lang w:val="zh-CN"/>
            </w:rPr>
            <w:t>投标人信用信息及查询</w:t>
          </w:r>
          <w:r>
            <w:tab/>
          </w:r>
          <w:r>
            <w:fldChar w:fldCharType="begin"/>
          </w:r>
          <w:r>
            <w:instrText xml:space="preserve"> PAGEREF _Toc26702 \h </w:instrText>
          </w:r>
          <w:r>
            <w:fldChar w:fldCharType="separate"/>
          </w:r>
          <w:r>
            <w:t>17</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_Toc25190 </w:instrText>
          </w:r>
          <w:r>
            <w:fldChar w:fldCharType="separate"/>
          </w:r>
          <w:r>
            <w:rPr>
              <w:rFonts w:hint="eastAsia" w:cs="Times New Roman" w:asciiTheme="majorEastAsia" w:hAnsiTheme="majorEastAsia"/>
              <w:bCs w:val="0"/>
              <w:szCs w:val="30"/>
              <w:lang w:val="zh-CN"/>
            </w:rPr>
            <w:t xml:space="preserve">五、 </w:t>
          </w:r>
          <w:r>
            <w:rPr>
              <w:rFonts w:cs="Times New Roman" w:asciiTheme="majorEastAsia" w:hAnsiTheme="majorEastAsia"/>
              <w:bCs w:val="0"/>
              <w:lang w:val="zh-CN"/>
            </w:rPr>
            <w:t>中标</w:t>
          </w:r>
          <w:r>
            <w:rPr>
              <w:rFonts w:hint="eastAsia" w:cs="Times New Roman" w:asciiTheme="majorEastAsia" w:hAnsiTheme="majorEastAsia"/>
              <w:bCs w:val="0"/>
              <w:lang w:val="zh-CN"/>
            </w:rPr>
            <w:t>与</w:t>
          </w:r>
          <w:r>
            <w:rPr>
              <w:rFonts w:cs="Times New Roman" w:asciiTheme="majorEastAsia" w:hAnsiTheme="majorEastAsia"/>
              <w:bCs w:val="0"/>
              <w:lang w:val="zh-CN"/>
            </w:rPr>
            <w:t>合同</w:t>
          </w:r>
          <w:r>
            <w:tab/>
          </w:r>
          <w:r>
            <w:fldChar w:fldCharType="begin"/>
          </w:r>
          <w:r>
            <w:instrText xml:space="preserve"> PAGEREF _Toc25190 \h </w:instrText>
          </w:r>
          <w:r>
            <w:fldChar w:fldCharType="separate"/>
          </w:r>
          <w:r>
            <w:t>17</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_Toc7914 </w:instrText>
          </w:r>
          <w:r>
            <w:fldChar w:fldCharType="separate"/>
          </w:r>
          <w:r>
            <w:rPr>
              <w:rFonts w:hint="eastAsia" w:cs="Times New Roman" w:asciiTheme="majorEastAsia" w:hAnsiTheme="majorEastAsia"/>
              <w:bCs w:val="0"/>
              <w:szCs w:val="30"/>
              <w:lang w:val="zh-CN"/>
            </w:rPr>
            <w:t xml:space="preserve">六、 </w:t>
          </w:r>
          <w:r>
            <w:rPr>
              <w:rFonts w:hint="eastAsia" w:cs="Times New Roman" w:asciiTheme="majorEastAsia" w:hAnsiTheme="majorEastAsia"/>
              <w:bCs w:val="0"/>
              <w:lang w:val="zh-CN"/>
            </w:rPr>
            <w:t>采购信息公告</w:t>
          </w:r>
          <w:r>
            <w:tab/>
          </w:r>
          <w:r>
            <w:fldChar w:fldCharType="begin"/>
          </w:r>
          <w:r>
            <w:instrText xml:space="preserve"> PAGEREF _Toc7914 \h </w:instrText>
          </w:r>
          <w:r>
            <w:fldChar w:fldCharType="separate"/>
          </w:r>
          <w:r>
            <w:t>18</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_Toc28457 </w:instrText>
          </w:r>
          <w:r>
            <w:fldChar w:fldCharType="separate"/>
          </w:r>
          <w:r>
            <w:rPr>
              <w:rFonts w:hint="eastAsia" w:cs="Times New Roman" w:asciiTheme="majorEastAsia" w:hAnsiTheme="majorEastAsia"/>
              <w:bCs w:val="0"/>
              <w:szCs w:val="30"/>
              <w:lang w:val="zh-CN"/>
            </w:rPr>
            <w:t xml:space="preserve">七、 </w:t>
          </w:r>
          <w:r>
            <w:rPr>
              <w:rFonts w:hint="eastAsia" w:cs="Times New Roman" w:asciiTheme="majorEastAsia" w:hAnsiTheme="majorEastAsia"/>
              <w:bCs w:val="0"/>
              <w:lang w:val="zh-CN"/>
            </w:rPr>
            <w:t>质疑及提交</w:t>
          </w:r>
          <w:r>
            <w:tab/>
          </w:r>
          <w:r>
            <w:fldChar w:fldCharType="begin"/>
          </w:r>
          <w:r>
            <w:instrText xml:space="preserve"> PAGEREF _Toc28457 \h </w:instrText>
          </w:r>
          <w:r>
            <w:fldChar w:fldCharType="separate"/>
          </w:r>
          <w:r>
            <w:t>19</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_Toc6774 </w:instrText>
          </w:r>
          <w:r>
            <w:fldChar w:fldCharType="separate"/>
          </w:r>
          <w:r>
            <w:rPr>
              <w:rFonts w:hint="eastAsia" w:cs="Times New Roman" w:asciiTheme="majorEastAsia" w:hAnsiTheme="majorEastAsia"/>
              <w:bCs w:val="0"/>
              <w:szCs w:val="30"/>
              <w:lang w:val="zh-CN"/>
            </w:rPr>
            <w:t xml:space="preserve">八、 </w:t>
          </w:r>
          <w:r>
            <w:rPr>
              <w:rFonts w:hint="eastAsia" w:cs="Times New Roman" w:asciiTheme="majorEastAsia" w:hAnsiTheme="majorEastAsia"/>
              <w:bCs w:val="0"/>
              <w:lang w:val="zh-CN"/>
            </w:rPr>
            <w:t>相关条文解读</w:t>
          </w:r>
          <w:r>
            <w:tab/>
          </w:r>
          <w:r>
            <w:fldChar w:fldCharType="begin"/>
          </w:r>
          <w:r>
            <w:instrText xml:space="preserve"> PAGEREF _Toc6774 \h </w:instrText>
          </w:r>
          <w:r>
            <w:fldChar w:fldCharType="separate"/>
          </w:r>
          <w:r>
            <w:t>20</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_Toc31778 </w:instrText>
          </w:r>
          <w:r>
            <w:fldChar w:fldCharType="separate"/>
          </w:r>
          <w:r>
            <w:rPr>
              <w:rFonts w:hint="eastAsia" w:cs="Times New Roman" w:asciiTheme="majorEastAsia" w:hAnsiTheme="majorEastAsia"/>
              <w:bCs w:val="0"/>
              <w:szCs w:val="30"/>
              <w:lang w:val="zh-CN"/>
            </w:rPr>
            <w:t xml:space="preserve">九、 </w:t>
          </w:r>
          <w:r>
            <w:rPr>
              <w:rFonts w:hint="eastAsia" w:cs="Times New Roman" w:asciiTheme="majorEastAsia" w:hAnsiTheme="majorEastAsia"/>
              <w:bCs w:val="0"/>
              <w:lang w:val="zh-CN"/>
            </w:rPr>
            <w:t>其他注意事项</w:t>
          </w:r>
          <w:r>
            <w:tab/>
          </w:r>
          <w:r>
            <w:fldChar w:fldCharType="begin"/>
          </w:r>
          <w:r>
            <w:instrText xml:space="preserve"> PAGEREF _Toc31778 \h </w:instrText>
          </w:r>
          <w:r>
            <w:fldChar w:fldCharType="separate"/>
          </w:r>
          <w:r>
            <w:t>20</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_Toc17752 </w:instrText>
          </w:r>
          <w:r>
            <w:fldChar w:fldCharType="separate"/>
          </w:r>
          <w:r>
            <w:rPr>
              <w:rFonts w:hint="eastAsia" w:cs="Times New Roman" w:asciiTheme="majorEastAsia" w:hAnsiTheme="majorEastAsia"/>
              <w:bCs w:val="0"/>
              <w:szCs w:val="30"/>
              <w:lang w:val="zh-CN"/>
            </w:rPr>
            <w:t xml:space="preserve">十、 </w:t>
          </w:r>
          <w:r>
            <w:rPr>
              <w:rFonts w:hint="eastAsia" w:cs="Times New Roman" w:asciiTheme="majorEastAsia" w:hAnsiTheme="majorEastAsia"/>
              <w:bCs w:val="0"/>
              <w:lang w:val="zh-CN"/>
            </w:rPr>
            <w:t>适用法律</w:t>
          </w:r>
          <w:r>
            <w:tab/>
          </w:r>
          <w:r>
            <w:fldChar w:fldCharType="begin"/>
          </w:r>
          <w:r>
            <w:instrText xml:space="preserve"> PAGEREF _Toc17752 \h </w:instrText>
          </w:r>
          <w:r>
            <w:fldChar w:fldCharType="separate"/>
          </w:r>
          <w:r>
            <w:t>20</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_Toc5171 </w:instrText>
          </w:r>
          <w:r>
            <w:fldChar w:fldCharType="separate"/>
          </w:r>
          <w:r>
            <w:rPr>
              <w:rFonts w:hint="eastAsia" w:cs="Times New Roman" w:asciiTheme="majorEastAsia" w:hAnsiTheme="majorEastAsia"/>
              <w:bCs w:val="0"/>
              <w:szCs w:val="30"/>
              <w:lang w:val="zh-CN"/>
            </w:rPr>
            <w:t xml:space="preserve">十一、 </w:t>
          </w:r>
          <w:r>
            <w:rPr>
              <w:rFonts w:hint="eastAsia" w:cs="Times New Roman" w:asciiTheme="majorEastAsia" w:hAnsiTheme="majorEastAsia"/>
              <w:bCs w:val="0"/>
              <w:lang w:val="zh-CN"/>
            </w:rPr>
            <w:t>招标文件的解释权</w:t>
          </w:r>
          <w:r>
            <w:tab/>
          </w:r>
          <w:r>
            <w:fldChar w:fldCharType="begin"/>
          </w:r>
          <w:r>
            <w:instrText xml:space="preserve"> PAGEREF _Toc5171 \h </w:instrText>
          </w:r>
          <w:r>
            <w:fldChar w:fldCharType="separate"/>
          </w:r>
          <w:r>
            <w:t>20</w:t>
          </w:r>
          <w:r>
            <w:fldChar w:fldCharType="end"/>
          </w:r>
          <w:r>
            <w:fldChar w:fldCharType="end"/>
          </w:r>
        </w:p>
        <w:p>
          <w:pPr>
            <w:pStyle w:val="18"/>
            <w:tabs>
              <w:tab w:val="right" w:leader="dot" w:pos="8504"/>
            </w:tabs>
          </w:pPr>
          <w:r>
            <w:fldChar w:fldCharType="begin"/>
          </w:r>
          <w:r>
            <w:instrText xml:space="preserve"> HYPERLINK \l _Toc2204 </w:instrText>
          </w:r>
          <w:r>
            <w:fldChar w:fldCharType="separate"/>
          </w:r>
          <w:r>
            <w:rPr>
              <w:rFonts w:hint="eastAsia" w:ascii="Wingdings" w:hAnsi="Wingdings" w:eastAsia="黑体"/>
              <w:highlight w:val="lightGray"/>
            </w:rPr>
            <w:t>第三章</w:t>
          </w:r>
          <w:r>
            <w:rPr>
              <w:rFonts w:ascii="Wingdings" w:hAnsi="Wingdings" w:eastAsia="黑体"/>
            </w:rPr>
            <w:t></w:t>
          </w:r>
          <w:r>
            <w:rPr>
              <w:rFonts w:hint="eastAsia" w:ascii="黑体" w:hAnsi="黑体" w:eastAsia="黑体"/>
            </w:rPr>
            <w:t>项目技术、服务及商务要求</w:t>
          </w:r>
          <w:r>
            <w:tab/>
          </w:r>
          <w:r>
            <w:fldChar w:fldCharType="begin"/>
          </w:r>
          <w:r>
            <w:instrText xml:space="preserve"> PAGEREF _Toc2204 \h </w:instrText>
          </w:r>
          <w:r>
            <w:fldChar w:fldCharType="separate"/>
          </w:r>
          <w:r>
            <w:t>21</w:t>
          </w:r>
          <w:r>
            <w:fldChar w:fldCharType="end"/>
          </w:r>
          <w:r>
            <w:fldChar w:fldCharType="end"/>
          </w:r>
        </w:p>
        <w:p>
          <w:pPr>
            <w:pStyle w:val="18"/>
            <w:tabs>
              <w:tab w:val="right" w:leader="dot" w:pos="8504"/>
            </w:tabs>
          </w:pPr>
          <w:r>
            <w:fldChar w:fldCharType="begin"/>
          </w:r>
          <w:r>
            <w:instrText xml:space="preserve"> HYPERLINK \l _Toc10024 </w:instrText>
          </w:r>
          <w:r>
            <w:fldChar w:fldCharType="separate"/>
          </w:r>
          <w:r>
            <w:rPr>
              <w:rFonts w:hint="eastAsia" w:ascii="黑体" w:hAnsi="黑体" w:eastAsia="黑体"/>
            </w:rPr>
            <w:t>第四章 资格审查方法及标准</w:t>
          </w:r>
          <w:r>
            <w:tab/>
          </w:r>
          <w:r>
            <w:fldChar w:fldCharType="begin"/>
          </w:r>
          <w:r>
            <w:instrText xml:space="preserve"> PAGEREF _Toc10024 \h </w:instrText>
          </w:r>
          <w:r>
            <w:fldChar w:fldCharType="separate"/>
          </w:r>
          <w:r>
            <w:t>28</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_Toc15388 </w:instrText>
          </w:r>
          <w:r>
            <w:fldChar w:fldCharType="separate"/>
          </w:r>
          <w:r>
            <w:rPr>
              <w:rFonts w:hint="eastAsia" w:ascii="宋体" w:hAnsi="宋体" w:cs="Times New Roman"/>
              <w:bCs w:val="0"/>
              <w:szCs w:val="30"/>
            </w:rPr>
            <w:t>一、 资格审查方法</w:t>
          </w:r>
          <w:r>
            <w:tab/>
          </w:r>
          <w:r>
            <w:fldChar w:fldCharType="begin"/>
          </w:r>
          <w:r>
            <w:instrText xml:space="preserve"> PAGEREF _Toc15388 \h </w:instrText>
          </w:r>
          <w:r>
            <w:fldChar w:fldCharType="separate"/>
          </w:r>
          <w:r>
            <w:t>28</w:t>
          </w:r>
          <w:r>
            <w:fldChar w:fldCharType="end"/>
          </w:r>
          <w:r>
            <w:fldChar w:fldCharType="end"/>
          </w:r>
        </w:p>
        <w:p>
          <w:pPr>
            <w:pStyle w:val="18"/>
            <w:tabs>
              <w:tab w:val="right" w:leader="dot" w:pos="8504"/>
            </w:tabs>
          </w:pPr>
          <w:r>
            <w:fldChar w:fldCharType="begin"/>
          </w:r>
          <w:r>
            <w:instrText xml:space="preserve"> HYPERLINK \l _Toc16298 </w:instrText>
          </w:r>
          <w:r>
            <w:fldChar w:fldCharType="separate"/>
          </w:r>
          <w:r>
            <w:rPr>
              <w:rFonts w:hint="eastAsia" w:ascii="黑体" w:hAnsi="黑体" w:eastAsia="黑体"/>
            </w:rPr>
            <w:t>第五章 评标方法、程序及标准</w:t>
          </w:r>
          <w:r>
            <w:tab/>
          </w:r>
          <w:r>
            <w:fldChar w:fldCharType="begin"/>
          </w:r>
          <w:r>
            <w:instrText xml:space="preserve"> PAGEREF _Toc16298 \h </w:instrText>
          </w:r>
          <w:r>
            <w:fldChar w:fldCharType="separate"/>
          </w:r>
          <w:r>
            <w:t>30</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_Toc28977 </w:instrText>
          </w:r>
          <w:r>
            <w:fldChar w:fldCharType="separate"/>
          </w:r>
          <w:r>
            <w:rPr>
              <w:rFonts w:hint="eastAsia" w:cs="Times New Roman" w:asciiTheme="majorEastAsia" w:hAnsiTheme="majorEastAsia"/>
              <w:bCs w:val="0"/>
              <w:szCs w:val="30"/>
              <w:lang w:val="zh-CN"/>
            </w:rPr>
            <w:t>一、 评标方法</w:t>
          </w:r>
          <w:r>
            <w:tab/>
          </w:r>
          <w:r>
            <w:fldChar w:fldCharType="begin"/>
          </w:r>
          <w:r>
            <w:instrText xml:space="preserve"> PAGEREF _Toc28977 \h </w:instrText>
          </w:r>
          <w:r>
            <w:fldChar w:fldCharType="separate"/>
          </w:r>
          <w:r>
            <w:t>30</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_Toc23991 </w:instrText>
          </w:r>
          <w:r>
            <w:fldChar w:fldCharType="separate"/>
          </w:r>
          <w:r>
            <w:rPr>
              <w:rFonts w:hint="eastAsia" w:cs="Times New Roman" w:asciiTheme="majorEastAsia" w:hAnsiTheme="majorEastAsia"/>
              <w:bCs w:val="0"/>
              <w:szCs w:val="30"/>
              <w:lang w:val="zh-CN"/>
            </w:rPr>
            <w:t>二、 评标程序及标准</w:t>
          </w:r>
          <w:r>
            <w:tab/>
          </w:r>
          <w:r>
            <w:fldChar w:fldCharType="begin"/>
          </w:r>
          <w:r>
            <w:instrText xml:space="preserve"> PAGEREF _Toc23991 \h </w:instrText>
          </w:r>
          <w:r>
            <w:fldChar w:fldCharType="separate"/>
          </w:r>
          <w:r>
            <w:t>30</w:t>
          </w:r>
          <w:r>
            <w:fldChar w:fldCharType="end"/>
          </w:r>
          <w:r>
            <w:fldChar w:fldCharType="end"/>
          </w:r>
        </w:p>
        <w:p>
          <w:pPr>
            <w:pStyle w:val="18"/>
            <w:tabs>
              <w:tab w:val="right" w:leader="dot" w:pos="8504"/>
            </w:tabs>
          </w:pPr>
          <w:r>
            <w:fldChar w:fldCharType="begin"/>
          </w:r>
          <w:r>
            <w:instrText xml:space="preserve"> HYPERLINK \l _Toc13253 </w:instrText>
          </w:r>
          <w:r>
            <w:fldChar w:fldCharType="separate"/>
          </w:r>
          <w:r>
            <w:rPr>
              <w:rFonts w:hint="eastAsia" w:ascii="黑体" w:hAnsi="黑体" w:eastAsia="黑体"/>
            </w:rPr>
            <w:t xml:space="preserve">第六章 </w:t>
          </w:r>
          <w:r>
            <w:rPr>
              <w:rFonts w:ascii="黑体" w:hAnsi="黑体" w:eastAsia="黑体"/>
            </w:rPr>
            <w:t xml:space="preserve"> </w:t>
          </w:r>
          <w:r>
            <w:rPr>
              <w:rFonts w:hint="eastAsia" w:ascii="黑体" w:hAnsi="黑体" w:eastAsia="黑体"/>
            </w:rPr>
            <w:t>合同书格式（参考）</w:t>
          </w:r>
          <w:r>
            <w:tab/>
          </w:r>
          <w:r>
            <w:fldChar w:fldCharType="begin"/>
          </w:r>
          <w:r>
            <w:instrText xml:space="preserve"> PAGEREF _Toc13253 \h </w:instrText>
          </w:r>
          <w:r>
            <w:fldChar w:fldCharType="separate"/>
          </w:r>
          <w:r>
            <w:t>38</w:t>
          </w:r>
          <w:r>
            <w:fldChar w:fldCharType="end"/>
          </w:r>
          <w:r>
            <w:fldChar w:fldCharType="end"/>
          </w:r>
        </w:p>
        <w:p>
          <w:pPr>
            <w:pStyle w:val="18"/>
            <w:tabs>
              <w:tab w:val="right" w:leader="dot" w:pos="8504"/>
            </w:tabs>
          </w:pPr>
          <w:r>
            <w:fldChar w:fldCharType="begin"/>
          </w:r>
          <w:r>
            <w:instrText xml:space="preserve"> HYPERLINK \l _Toc16876 </w:instrText>
          </w:r>
          <w:r>
            <w:fldChar w:fldCharType="separate"/>
          </w:r>
          <w:r>
            <w:rPr>
              <w:rFonts w:hint="eastAsia" w:ascii="黑体" w:hAnsi="黑体" w:eastAsia="黑体"/>
            </w:rPr>
            <w:t xml:space="preserve">第七章 </w:t>
          </w:r>
          <w:r>
            <w:rPr>
              <w:rFonts w:ascii="黑体" w:hAnsi="黑体" w:eastAsia="黑体"/>
            </w:rPr>
            <w:t xml:space="preserve"> </w:t>
          </w:r>
          <w:r>
            <w:rPr>
              <w:rFonts w:hint="eastAsia" w:ascii="黑体" w:hAnsi="黑体" w:eastAsia="黑体"/>
            </w:rPr>
            <w:t>投标文件格式（参考）</w:t>
          </w:r>
          <w:r>
            <w:tab/>
          </w:r>
          <w:r>
            <w:fldChar w:fldCharType="begin"/>
          </w:r>
          <w:r>
            <w:instrText xml:space="preserve"> PAGEREF _Toc16876 \h </w:instrText>
          </w:r>
          <w:r>
            <w:fldChar w:fldCharType="separate"/>
          </w:r>
          <w:r>
            <w:t>40</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_Toc31984 </w:instrText>
          </w:r>
          <w:r>
            <w:fldChar w:fldCharType="separate"/>
          </w:r>
          <w:r>
            <w:rPr>
              <w:rFonts w:hint="eastAsia" w:ascii="宋体" w:hAnsi="宋体" w:eastAsia="宋体"/>
              <w:i w:val="0"/>
            </w:rPr>
            <w:t xml:space="preserve">附件一、 </w:t>
          </w:r>
          <w:r>
            <w:rPr>
              <w:rFonts w:hint="eastAsia" w:ascii="宋体" w:hAnsi="宋体" w:eastAsia="宋体"/>
            </w:rPr>
            <w:t>投标书</w:t>
          </w:r>
          <w:r>
            <w:tab/>
          </w:r>
          <w:r>
            <w:fldChar w:fldCharType="begin"/>
          </w:r>
          <w:r>
            <w:instrText xml:space="preserve"> PAGEREF _Toc31984 \h </w:instrText>
          </w:r>
          <w:r>
            <w:fldChar w:fldCharType="separate"/>
          </w:r>
          <w:r>
            <w:t>46</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_Toc6188 </w:instrText>
          </w:r>
          <w:r>
            <w:fldChar w:fldCharType="separate"/>
          </w:r>
          <w:r>
            <w:rPr>
              <w:rFonts w:hint="eastAsia" w:ascii="宋体" w:hAnsi="宋体" w:eastAsia="宋体"/>
              <w:i w:val="0"/>
            </w:rPr>
            <w:t xml:space="preserve">附件二、 </w:t>
          </w:r>
          <w:r>
            <w:rPr>
              <w:rFonts w:hint="eastAsia" w:ascii="宋体" w:hAnsi="宋体" w:eastAsia="宋体"/>
            </w:rPr>
            <w:t>中小企业声明函</w:t>
          </w:r>
          <w:r>
            <w:tab/>
          </w:r>
          <w:r>
            <w:fldChar w:fldCharType="begin"/>
          </w:r>
          <w:r>
            <w:instrText xml:space="preserve"> PAGEREF _Toc6188 \h </w:instrText>
          </w:r>
          <w:r>
            <w:fldChar w:fldCharType="separate"/>
          </w:r>
          <w:r>
            <w:t>47</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_Toc11148 </w:instrText>
          </w:r>
          <w:r>
            <w:fldChar w:fldCharType="separate"/>
          </w:r>
          <w:r>
            <w:rPr>
              <w:rFonts w:hint="eastAsia" w:ascii="宋体" w:hAnsi="宋体" w:eastAsia="宋体"/>
              <w:i w:val="0"/>
              <w:lang w:val="zh-CN"/>
            </w:rPr>
            <w:t xml:space="preserve">附件三、 </w:t>
          </w:r>
          <w:r>
            <w:rPr>
              <w:rFonts w:hint="eastAsia" w:ascii="宋体" w:hAnsi="宋体" w:eastAsia="宋体"/>
            </w:rPr>
            <w:t>残疾人福利性单位声明函（不符合不提供）</w:t>
          </w:r>
          <w:r>
            <w:tab/>
          </w:r>
          <w:r>
            <w:fldChar w:fldCharType="begin"/>
          </w:r>
          <w:r>
            <w:instrText xml:space="preserve"> PAGEREF _Toc11148 \h </w:instrText>
          </w:r>
          <w:r>
            <w:fldChar w:fldCharType="separate"/>
          </w:r>
          <w:r>
            <w:t>50</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_Toc9316 </w:instrText>
          </w:r>
          <w:r>
            <w:fldChar w:fldCharType="separate"/>
          </w:r>
          <w:r>
            <w:rPr>
              <w:rFonts w:hint="eastAsia" w:ascii="宋体" w:hAnsi="宋体" w:eastAsia="宋体"/>
              <w:i w:val="0"/>
            </w:rPr>
            <w:t xml:space="preserve">附件四、 </w:t>
          </w:r>
          <w:r>
            <w:rPr>
              <w:rFonts w:hint="eastAsia" w:ascii="宋体" w:hAnsi="宋体" w:eastAsia="宋体"/>
            </w:rPr>
            <w:t>开标一览表</w:t>
          </w:r>
          <w:r>
            <w:tab/>
          </w:r>
          <w:r>
            <w:fldChar w:fldCharType="begin"/>
          </w:r>
          <w:r>
            <w:instrText xml:space="preserve"> PAGEREF _Toc9316 \h </w:instrText>
          </w:r>
          <w:r>
            <w:fldChar w:fldCharType="separate"/>
          </w:r>
          <w:r>
            <w:t>52</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_Toc14948 </w:instrText>
          </w:r>
          <w:r>
            <w:fldChar w:fldCharType="separate"/>
          </w:r>
          <w:r>
            <w:rPr>
              <w:rFonts w:hint="eastAsia" w:ascii="宋体" w:hAnsi="宋体" w:eastAsia="宋体" w:cs="宋体"/>
              <w:i w:val="0"/>
            </w:rPr>
            <w:t xml:space="preserve">附件五、 </w:t>
          </w:r>
          <w:r>
            <w:rPr>
              <w:rFonts w:hint="eastAsia" w:ascii="宋体" w:hAnsi="宋体" w:eastAsia="宋体" w:cs="宋体"/>
            </w:rPr>
            <w:t>投标报价明细表</w:t>
          </w:r>
          <w:r>
            <w:tab/>
          </w:r>
          <w:r>
            <w:fldChar w:fldCharType="begin"/>
          </w:r>
          <w:r>
            <w:instrText xml:space="preserve"> PAGEREF _Toc14948 \h </w:instrText>
          </w:r>
          <w:r>
            <w:fldChar w:fldCharType="separate"/>
          </w:r>
          <w:r>
            <w:t>53</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_Toc27256 </w:instrText>
          </w:r>
          <w:r>
            <w:fldChar w:fldCharType="separate"/>
          </w:r>
          <w:r>
            <w:rPr>
              <w:rFonts w:hint="eastAsia" w:ascii="宋体" w:hAnsi="宋体" w:eastAsia="宋体"/>
              <w:i w:val="0"/>
            </w:rPr>
            <w:t xml:space="preserve">附件六、 </w:t>
          </w:r>
          <w:r>
            <w:rPr>
              <w:rFonts w:hint="eastAsia" w:ascii="宋体" w:hAnsi="宋体" w:eastAsia="宋体"/>
            </w:rPr>
            <w:t>法定代表人授权书</w:t>
          </w:r>
          <w:r>
            <w:tab/>
          </w:r>
          <w:r>
            <w:fldChar w:fldCharType="begin"/>
          </w:r>
          <w:r>
            <w:instrText xml:space="preserve"> PAGEREF _Toc27256 \h </w:instrText>
          </w:r>
          <w:r>
            <w:fldChar w:fldCharType="separate"/>
          </w:r>
          <w:r>
            <w:t>54</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_Toc26863 </w:instrText>
          </w:r>
          <w:r>
            <w:fldChar w:fldCharType="separate"/>
          </w:r>
          <w:r>
            <w:rPr>
              <w:rFonts w:hint="eastAsia" w:ascii="宋体" w:hAnsi="宋体" w:eastAsia="宋体"/>
              <w:i w:val="0"/>
            </w:rPr>
            <w:t xml:space="preserve">附件七、 </w:t>
          </w:r>
          <w:r>
            <w:rPr>
              <w:rFonts w:hint="eastAsia" w:ascii="宋体" w:hAnsi="宋体" w:eastAsia="宋体"/>
            </w:rPr>
            <w:t>投标人的资格声明</w:t>
          </w:r>
          <w:r>
            <w:tab/>
          </w:r>
          <w:r>
            <w:fldChar w:fldCharType="begin"/>
          </w:r>
          <w:r>
            <w:instrText xml:space="preserve"> PAGEREF _Toc26863 \h </w:instrText>
          </w:r>
          <w:r>
            <w:fldChar w:fldCharType="separate"/>
          </w:r>
          <w:r>
            <w:t>55</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_Toc21156 </w:instrText>
          </w:r>
          <w:r>
            <w:fldChar w:fldCharType="separate"/>
          </w:r>
          <w:r>
            <w:rPr>
              <w:rFonts w:hint="eastAsia" w:ascii="宋体" w:hAnsi="宋体" w:eastAsia="宋体"/>
              <w:i w:val="0"/>
            </w:rPr>
            <w:t xml:space="preserve">附件八、 </w:t>
          </w:r>
          <w:r>
            <w:rPr>
              <w:rFonts w:hint="eastAsia" w:ascii="宋体" w:hAnsi="宋体" w:eastAsia="宋体"/>
            </w:rPr>
            <w:t>项目负责人、技术负责人简历表</w:t>
          </w:r>
          <w:r>
            <w:tab/>
          </w:r>
          <w:r>
            <w:fldChar w:fldCharType="begin"/>
          </w:r>
          <w:r>
            <w:instrText xml:space="preserve"> PAGEREF _Toc21156 \h </w:instrText>
          </w:r>
          <w:r>
            <w:fldChar w:fldCharType="separate"/>
          </w:r>
          <w:r>
            <w:t>56</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_Toc29355 </w:instrText>
          </w:r>
          <w:r>
            <w:fldChar w:fldCharType="separate"/>
          </w:r>
          <w:r>
            <w:rPr>
              <w:rFonts w:hint="eastAsia" w:ascii="宋体" w:hAnsi="宋体" w:eastAsia="宋体"/>
              <w:i w:val="0"/>
            </w:rPr>
            <w:t xml:space="preserve">附件九、 </w:t>
          </w:r>
          <w:r>
            <w:rPr>
              <w:rFonts w:hint="eastAsia" w:ascii="宋体" w:hAnsi="宋体" w:eastAsia="宋体"/>
            </w:rPr>
            <w:t>项目班子成员情况表</w:t>
          </w:r>
          <w:r>
            <w:tab/>
          </w:r>
          <w:r>
            <w:fldChar w:fldCharType="begin"/>
          </w:r>
          <w:r>
            <w:instrText xml:space="preserve"> PAGEREF _Toc29355 \h </w:instrText>
          </w:r>
          <w:r>
            <w:fldChar w:fldCharType="separate"/>
          </w:r>
          <w:r>
            <w:t>57</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_Toc5586 </w:instrText>
          </w:r>
          <w:r>
            <w:fldChar w:fldCharType="separate"/>
          </w:r>
          <w:r>
            <w:rPr>
              <w:rFonts w:hint="eastAsia" w:ascii="宋体" w:hAnsi="宋体" w:eastAsia="宋体"/>
              <w:i w:val="0"/>
            </w:rPr>
            <w:t xml:space="preserve">附件十、 </w:t>
          </w:r>
          <w:r>
            <w:rPr>
              <w:rFonts w:hint="eastAsia" w:ascii="宋体" w:hAnsi="宋体" w:eastAsia="宋体"/>
            </w:rPr>
            <w:t>投标人类似项目业绩表</w:t>
          </w:r>
          <w:r>
            <w:tab/>
          </w:r>
          <w:r>
            <w:fldChar w:fldCharType="begin"/>
          </w:r>
          <w:r>
            <w:instrText xml:space="preserve"> PAGEREF _Toc5586 \h </w:instrText>
          </w:r>
          <w:r>
            <w:fldChar w:fldCharType="separate"/>
          </w:r>
          <w:r>
            <w:t>58</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_Toc4763 </w:instrText>
          </w:r>
          <w:r>
            <w:fldChar w:fldCharType="separate"/>
          </w:r>
          <w:r>
            <w:rPr>
              <w:rFonts w:hint="eastAsia" w:ascii="宋体" w:hAnsi="宋体" w:eastAsia="宋体"/>
              <w:i w:val="0"/>
            </w:rPr>
            <w:t xml:space="preserve">附件十一、 </w:t>
          </w:r>
          <w:r>
            <w:rPr>
              <w:rFonts w:hint="eastAsia" w:ascii="宋体" w:hAnsi="宋体" w:eastAsia="宋体"/>
            </w:rPr>
            <w:t>符合性审查对照表</w:t>
          </w:r>
          <w:r>
            <w:tab/>
          </w:r>
          <w:r>
            <w:fldChar w:fldCharType="begin"/>
          </w:r>
          <w:r>
            <w:instrText xml:space="preserve"> PAGEREF _Toc4763 \h </w:instrText>
          </w:r>
          <w:r>
            <w:fldChar w:fldCharType="separate"/>
          </w:r>
          <w:r>
            <w:t>59</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_Toc22964 </w:instrText>
          </w:r>
          <w:r>
            <w:fldChar w:fldCharType="separate"/>
          </w:r>
          <w:r>
            <w:rPr>
              <w:rFonts w:hint="eastAsia" w:ascii="宋体" w:hAnsi="宋体" w:eastAsia="宋体"/>
              <w:i w:val="0"/>
            </w:rPr>
            <w:t xml:space="preserve">附件十二、 </w:t>
          </w:r>
          <w:r>
            <w:rPr>
              <w:rFonts w:hint="eastAsia" w:ascii="宋体" w:hAnsi="宋体" w:eastAsia="宋体"/>
            </w:rPr>
            <w:t>商务要求响应、偏离说明表</w:t>
          </w:r>
          <w:r>
            <w:tab/>
          </w:r>
          <w:r>
            <w:fldChar w:fldCharType="begin"/>
          </w:r>
          <w:r>
            <w:instrText xml:space="preserve"> PAGEREF _Toc22964 \h </w:instrText>
          </w:r>
          <w:r>
            <w:fldChar w:fldCharType="separate"/>
          </w:r>
          <w:r>
            <w:t>60</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_Toc15225 </w:instrText>
          </w:r>
          <w:r>
            <w:fldChar w:fldCharType="separate"/>
          </w:r>
          <w:r>
            <w:rPr>
              <w:rFonts w:hint="eastAsia" w:ascii="宋体" w:hAnsi="宋体" w:eastAsia="宋体"/>
              <w:i w:val="0"/>
            </w:rPr>
            <w:t xml:space="preserve">附件十三、 </w:t>
          </w:r>
          <w:r>
            <w:rPr>
              <w:rFonts w:hint="eastAsia" w:ascii="宋体" w:hAnsi="宋体" w:eastAsia="宋体"/>
            </w:rPr>
            <w:t>商务要求“★”号条款响应、偏离说明表</w:t>
          </w:r>
          <w:r>
            <w:tab/>
          </w:r>
          <w:r>
            <w:fldChar w:fldCharType="begin"/>
          </w:r>
          <w:r>
            <w:instrText xml:space="preserve"> PAGEREF _Toc15225 \h </w:instrText>
          </w:r>
          <w:r>
            <w:fldChar w:fldCharType="separate"/>
          </w:r>
          <w:r>
            <w:t>61</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_Toc25257 </w:instrText>
          </w:r>
          <w:r>
            <w:fldChar w:fldCharType="separate"/>
          </w:r>
          <w:r>
            <w:rPr>
              <w:rFonts w:hint="eastAsia" w:ascii="宋体" w:hAnsi="宋体" w:eastAsia="宋体"/>
              <w:i w:val="0"/>
            </w:rPr>
            <w:t xml:space="preserve">附件十四、 </w:t>
          </w:r>
          <w:r>
            <w:rPr>
              <w:rFonts w:hint="eastAsia" w:ascii="宋体" w:hAnsi="宋体" w:eastAsia="宋体"/>
            </w:rPr>
            <w:t>商务评议对照表</w:t>
          </w:r>
          <w:r>
            <w:tab/>
          </w:r>
          <w:r>
            <w:fldChar w:fldCharType="begin"/>
          </w:r>
          <w:r>
            <w:instrText xml:space="preserve"> PAGEREF _Toc25257 \h </w:instrText>
          </w:r>
          <w:r>
            <w:fldChar w:fldCharType="separate"/>
          </w:r>
          <w:r>
            <w:t>62</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_Toc29327 </w:instrText>
          </w:r>
          <w:r>
            <w:fldChar w:fldCharType="separate"/>
          </w:r>
          <w:r>
            <w:rPr>
              <w:rFonts w:hint="eastAsia" w:ascii="宋体" w:hAnsi="宋体" w:eastAsia="宋体"/>
              <w:i w:val="0"/>
            </w:rPr>
            <w:t xml:space="preserve">附件十五、 </w:t>
          </w:r>
          <w:r>
            <w:rPr>
              <w:rFonts w:hint="eastAsia" w:ascii="宋体" w:hAnsi="宋体" w:eastAsia="宋体"/>
            </w:rPr>
            <w:t>技术、服务要求响应、偏离说明表</w:t>
          </w:r>
          <w:r>
            <w:tab/>
          </w:r>
          <w:r>
            <w:fldChar w:fldCharType="begin"/>
          </w:r>
          <w:r>
            <w:instrText xml:space="preserve"> PAGEREF _Toc29327 \h </w:instrText>
          </w:r>
          <w:r>
            <w:fldChar w:fldCharType="separate"/>
          </w:r>
          <w:r>
            <w:t>63</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_Toc12714 </w:instrText>
          </w:r>
          <w:r>
            <w:fldChar w:fldCharType="separate"/>
          </w:r>
          <w:r>
            <w:rPr>
              <w:rFonts w:hint="eastAsia" w:ascii="宋体" w:hAnsi="宋体" w:eastAsia="宋体"/>
              <w:i w:val="0"/>
            </w:rPr>
            <w:t xml:space="preserve">附件十六、 </w:t>
          </w:r>
          <w:r>
            <w:rPr>
              <w:rFonts w:hint="eastAsia" w:ascii="宋体" w:hAnsi="宋体" w:eastAsia="宋体"/>
            </w:rPr>
            <w:t>技术、服务要求“★”号条款响应、偏离说明表</w:t>
          </w:r>
          <w:r>
            <w:tab/>
          </w:r>
          <w:r>
            <w:fldChar w:fldCharType="begin"/>
          </w:r>
          <w:r>
            <w:instrText xml:space="preserve"> PAGEREF _Toc12714 \h </w:instrText>
          </w:r>
          <w:r>
            <w:fldChar w:fldCharType="separate"/>
          </w:r>
          <w:r>
            <w:t>64</w:t>
          </w:r>
          <w:r>
            <w:fldChar w:fldCharType="end"/>
          </w:r>
          <w:r>
            <w:fldChar w:fldCharType="end"/>
          </w:r>
        </w:p>
        <w:p>
          <w:pPr>
            <w:pStyle w:val="19"/>
            <w:tabs>
              <w:tab w:val="right" w:leader="dot" w:pos="8504"/>
              <w:tab w:val="clear" w:pos="756"/>
              <w:tab w:val="clear" w:pos="966"/>
              <w:tab w:val="clear" w:pos="1204"/>
              <w:tab w:val="clear" w:pos="1442"/>
              <w:tab w:val="clear" w:pos="9514"/>
            </w:tabs>
          </w:pPr>
          <w:r>
            <w:fldChar w:fldCharType="begin"/>
          </w:r>
          <w:r>
            <w:instrText xml:space="preserve"> HYPERLINK \l _Toc27232 </w:instrText>
          </w:r>
          <w:r>
            <w:fldChar w:fldCharType="separate"/>
          </w:r>
          <w:r>
            <w:rPr>
              <w:rFonts w:hint="eastAsia" w:ascii="宋体" w:hAnsi="宋体" w:eastAsia="宋体"/>
              <w:i w:val="0"/>
            </w:rPr>
            <w:t xml:space="preserve">附件十七、 </w:t>
          </w:r>
          <w:r>
            <w:rPr>
              <w:rFonts w:hint="eastAsia" w:ascii="宋体" w:hAnsi="宋体" w:eastAsia="宋体"/>
            </w:rPr>
            <w:t>技术、服务评议对照表</w:t>
          </w:r>
          <w:r>
            <w:tab/>
          </w:r>
          <w:r>
            <w:fldChar w:fldCharType="begin"/>
          </w:r>
          <w:r>
            <w:instrText xml:space="preserve"> PAGEREF _Toc27232 \h </w:instrText>
          </w:r>
          <w:r>
            <w:fldChar w:fldCharType="separate"/>
          </w:r>
          <w:r>
            <w:t>65</w:t>
          </w:r>
          <w:r>
            <w:fldChar w:fldCharType="end"/>
          </w:r>
          <w:r>
            <w:fldChar w:fldCharType="end"/>
          </w:r>
        </w:p>
        <w:p>
          <w:pPr>
            <w:pStyle w:val="18"/>
            <w:tabs>
              <w:tab w:val="left" w:pos="1260"/>
              <w:tab w:val="right" w:leader="dot" w:pos="8222"/>
            </w:tabs>
            <w:jc w:val="center"/>
          </w:pPr>
          <w:r>
            <w:fldChar w:fldCharType="end"/>
          </w:r>
          <w:r>
            <w:rPr>
              <w:b w:val="0"/>
              <w:bCs/>
              <w:lang w:val="zh-CN"/>
            </w:rPr>
            <w:tab/>
          </w:r>
        </w:p>
      </w:sdtContent>
    </w:sdt>
    <w:p>
      <w:r>
        <w:br w:type="page"/>
      </w:r>
    </w:p>
    <w:p>
      <w:pPr>
        <w:pStyle w:val="3"/>
        <w:numPr>
          <w:ilvl w:val="0"/>
          <w:numId w:val="1"/>
        </w:numPr>
        <w:spacing w:before="240" w:after="0" w:line="240" w:lineRule="auto"/>
        <w:ind w:left="880" w:hanging="883" w:hangingChars="200"/>
        <w:jc w:val="center"/>
        <w:rPr>
          <w:rFonts w:ascii="黑体" w:hAnsi="黑体" w:eastAsia="黑体"/>
        </w:rPr>
      </w:pPr>
      <w:bookmarkStart w:id="12" w:name="_Toc3434"/>
      <w:r>
        <w:rPr>
          <w:rFonts w:hint="eastAsia" w:ascii="黑体" w:hAnsi="黑体" w:eastAsia="黑体"/>
        </w:rPr>
        <w:t>投标邀请书</w:t>
      </w:r>
      <w:bookmarkEnd w:id="12"/>
    </w:p>
    <w:tbl>
      <w:tblPr>
        <w:tblStyle w:val="25"/>
        <w:tblW w:w="85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8510" w:type="dxa"/>
          </w:tcPr>
          <w:p>
            <w:pPr>
              <w:pStyle w:val="21"/>
              <w:widowControl/>
              <w:snapToGrid w:val="0"/>
              <w:spacing w:beforeAutospacing="0" w:afterAutospacing="0" w:line="288" w:lineRule="auto"/>
              <w:ind w:right="-59" w:rightChars="0" w:firstLine="480" w:firstLineChars="200"/>
              <w:rPr>
                <w:rFonts w:ascii="Times New Roman" w:hAnsi="Times New Roman" w:eastAsia="宋体"/>
                <w:color w:val="000000" w:themeColor="text1"/>
                <w:kern w:val="2"/>
                <w:szCs w:val="24"/>
                <w:lang w:val="hr-HR"/>
              </w:rPr>
            </w:pPr>
            <w:r>
              <w:rPr>
                <w:rFonts w:hint="eastAsia" w:ascii="Times New Roman" w:hAnsi="Times New Roman" w:eastAsia="宋体"/>
                <w:color w:val="000000" w:themeColor="text1"/>
                <w:kern w:val="2"/>
                <w:szCs w:val="24"/>
                <w:lang w:val="hr-HR" w:eastAsia="zh-CN"/>
              </w:rPr>
              <w:t>阳新县长江大保护水环境综合治理PPP项目（一期工程）建设项目检测服务</w:t>
            </w:r>
            <w:r>
              <w:rPr>
                <w:rFonts w:hint="eastAsia" w:ascii="Times New Roman" w:hAnsi="Times New Roman" w:eastAsia="宋体"/>
                <w:color w:val="000000" w:themeColor="text1"/>
                <w:kern w:val="2"/>
                <w:szCs w:val="24"/>
                <w:lang w:val="hr-HR"/>
              </w:rPr>
              <w:t xml:space="preserve">的潜在投标人应在：可在 </w:t>
            </w:r>
            <w:r>
              <w:rPr>
                <w:rFonts w:hint="eastAsia" w:ascii="Times New Roman" w:hAnsi="Times New Roman" w:eastAsia="宋体"/>
                <w:color w:val="000000" w:themeColor="text1"/>
                <w:kern w:val="2"/>
                <w:szCs w:val="24"/>
                <w:lang w:val="hr-HR" w:eastAsia="zh-CN"/>
              </w:rPr>
              <w:t>“</w:t>
            </w:r>
            <w:r>
              <w:rPr>
                <w:rFonts w:hint="eastAsia" w:ascii="Times New Roman" w:hAnsi="Times New Roman" w:eastAsia="宋体"/>
                <w:color w:val="000000" w:themeColor="text1"/>
                <w:kern w:val="2"/>
                <w:szCs w:val="24"/>
                <w:lang w:val="en-US" w:eastAsia="zh-CN"/>
              </w:rPr>
              <w:t>湖北政府采购网</w:t>
            </w:r>
            <w:r>
              <w:rPr>
                <w:rFonts w:hint="eastAsia" w:ascii="Times New Roman" w:hAnsi="Times New Roman" w:eastAsia="宋体"/>
                <w:color w:val="000000" w:themeColor="text1"/>
                <w:kern w:val="2"/>
                <w:szCs w:val="24"/>
                <w:lang w:val="hr-HR" w:eastAsia="zh-CN"/>
              </w:rPr>
              <w:t>”</w:t>
            </w:r>
            <w:r>
              <w:rPr>
                <w:rFonts w:hint="eastAsia" w:ascii="Times New Roman" w:hAnsi="Times New Roman" w:eastAsia="宋体"/>
                <w:color w:val="000000" w:themeColor="text1"/>
                <w:kern w:val="2"/>
                <w:szCs w:val="24"/>
                <w:lang w:val="hr-HR"/>
              </w:rPr>
              <w:t>“黄石公共资源交易信息网”及“阳新县人民政府网”点击本公告中的链接下载获取招标文件，并于</w:t>
            </w:r>
            <w:r>
              <w:rPr>
                <w:rFonts w:hint="eastAsia" w:ascii="Times New Roman" w:hAnsi="Times New Roman" w:eastAsia="宋体"/>
                <w:color w:val="000000" w:themeColor="text1"/>
                <w:kern w:val="2"/>
                <w:szCs w:val="24"/>
              </w:rPr>
              <w:t>2022</w:t>
            </w:r>
            <w:r>
              <w:rPr>
                <w:rFonts w:hint="eastAsia" w:ascii="Times New Roman" w:hAnsi="Times New Roman" w:eastAsia="宋体"/>
                <w:color w:val="000000" w:themeColor="text1"/>
                <w:kern w:val="2"/>
                <w:szCs w:val="24"/>
                <w:lang w:val="hr-HR"/>
              </w:rPr>
              <w:t>年</w:t>
            </w:r>
            <w:r>
              <w:rPr>
                <w:rFonts w:hint="eastAsia" w:ascii="Times New Roman" w:hAnsi="Times New Roman" w:eastAsia="宋体"/>
                <w:color w:val="000000" w:themeColor="text1"/>
                <w:kern w:val="2"/>
                <w:szCs w:val="24"/>
                <w:lang w:val="en-US" w:eastAsia="zh-CN"/>
              </w:rPr>
              <w:t>6</w:t>
            </w:r>
            <w:r>
              <w:rPr>
                <w:rFonts w:hint="eastAsia" w:ascii="Times New Roman" w:hAnsi="Times New Roman" w:eastAsia="宋体"/>
                <w:color w:val="000000" w:themeColor="text1"/>
                <w:kern w:val="2"/>
                <w:szCs w:val="24"/>
                <w:lang w:val="hr-HR"/>
              </w:rPr>
              <w:t>月</w:t>
            </w:r>
            <w:r>
              <w:rPr>
                <w:rFonts w:hint="eastAsia" w:ascii="Times New Roman" w:hAnsi="Times New Roman" w:eastAsia="宋体"/>
                <w:color w:val="000000" w:themeColor="text1"/>
                <w:kern w:val="2"/>
                <w:szCs w:val="24"/>
                <w:lang w:val="en-US" w:eastAsia="zh-CN"/>
              </w:rPr>
              <w:t xml:space="preserve"> 20</w:t>
            </w:r>
            <w:r>
              <w:rPr>
                <w:rFonts w:hint="eastAsia" w:ascii="Times New Roman" w:hAnsi="Times New Roman" w:eastAsia="宋体"/>
                <w:color w:val="000000" w:themeColor="text1"/>
                <w:kern w:val="2"/>
                <w:szCs w:val="24"/>
                <w:lang w:val="hr-HR"/>
              </w:rPr>
              <w:t>日</w:t>
            </w:r>
            <w:r>
              <w:rPr>
                <w:rFonts w:hint="eastAsia" w:ascii="Times New Roman" w:hAnsi="Times New Roman" w:eastAsia="宋体"/>
                <w:color w:val="000000" w:themeColor="text1"/>
                <w:kern w:val="2"/>
                <w:szCs w:val="24"/>
              </w:rPr>
              <w:t>9</w:t>
            </w:r>
            <w:r>
              <w:rPr>
                <w:rFonts w:hint="eastAsia" w:ascii="Times New Roman" w:hAnsi="Times New Roman" w:eastAsia="宋体"/>
                <w:color w:val="000000" w:themeColor="text1"/>
                <w:kern w:val="2"/>
                <w:szCs w:val="24"/>
                <w:lang w:val="hr-HR"/>
              </w:rPr>
              <w:t>点</w:t>
            </w:r>
            <w:r>
              <w:rPr>
                <w:rFonts w:hint="eastAsia" w:ascii="Times New Roman" w:hAnsi="Times New Roman" w:eastAsia="宋体"/>
                <w:color w:val="000000" w:themeColor="text1"/>
                <w:kern w:val="2"/>
                <w:szCs w:val="24"/>
              </w:rPr>
              <w:t>00</w:t>
            </w:r>
            <w:r>
              <w:rPr>
                <w:rFonts w:hint="eastAsia" w:ascii="Times New Roman" w:hAnsi="Times New Roman" w:eastAsia="宋体"/>
                <w:color w:val="000000" w:themeColor="text1"/>
                <w:kern w:val="2"/>
                <w:szCs w:val="24"/>
                <w:lang w:val="hr-HR"/>
              </w:rPr>
              <w:t>分（北京时间）前递交投标文件。</w:t>
            </w:r>
          </w:p>
        </w:tc>
      </w:tr>
    </w:tbl>
    <w:p>
      <w:pPr>
        <w:pStyle w:val="21"/>
        <w:widowControl/>
        <w:snapToGrid w:val="0"/>
        <w:spacing w:beforeAutospacing="0" w:afterAutospacing="0" w:line="288" w:lineRule="auto"/>
        <w:ind w:left="330" w:right="330"/>
        <w:rPr>
          <w:rFonts w:ascii="Times New Roman" w:hAnsi="Times New Roman" w:eastAsia="宋体"/>
          <w:b/>
          <w:bCs/>
          <w:color w:val="000000" w:themeColor="text1"/>
          <w:kern w:val="2"/>
          <w:szCs w:val="24"/>
          <w:lang w:val="hr-HR"/>
        </w:rPr>
      </w:pPr>
      <w:r>
        <w:rPr>
          <w:rFonts w:hint="eastAsia" w:ascii="Times New Roman" w:hAnsi="Times New Roman" w:eastAsia="宋体"/>
          <w:b/>
          <w:bCs/>
          <w:color w:val="000000" w:themeColor="text1"/>
          <w:kern w:val="2"/>
          <w:szCs w:val="24"/>
          <w:lang w:val="hr-HR"/>
        </w:rPr>
        <w:t>一、项目基本情况</w:t>
      </w:r>
    </w:p>
    <w:p>
      <w:pPr>
        <w:pStyle w:val="21"/>
        <w:widowControl/>
        <w:snapToGrid w:val="0"/>
        <w:spacing w:beforeAutospacing="0" w:afterAutospacing="0" w:line="288" w:lineRule="auto"/>
        <w:ind w:left="330" w:right="330"/>
        <w:jc w:val="both"/>
        <w:rPr>
          <w:rFonts w:hint="default" w:ascii="Times New Roman" w:hAnsi="Times New Roman" w:eastAsia="宋体"/>
          <w:color w:val="000000" w:themeColor="text1"/>
          <w:kern w:val="2"/>
          <w:szCs w:val="24"/>
          <w:lang w:val="en-US" w:eastAsia="zh-CN"/>
        </w:rPr>
      </w:pPr>
      <w:r>
        <w:rPr>
          <w:rFonts w:hint="eastAsia" w:ascii="Times New Roman" w:hAnsi="Times New Roman" w:eastAsia="宋体"/>
          <w:color w:val="000000" w:themeColor="text1"/>
          <w:kern w:val="2"/>
          <w:szCs w:val="24"/>
          <w:lang w:val="hr-HR"/>
        </w:rPr>
        <w:t>1、项目编号：131-2022CG-</w:t>
      </w:r>
      <w:r>
        <w:rPr>
          <w:rFonts w:hint="eastAsia" w:ascii="Times New Roman" w:hAnsi="Times New Roman" w:eastAsia="宋体"/>
          <w:color w:val="000000" w:themeColor="text1"/>
          <w:kern w:val="2"/>
          <w:szCs w:val="24"/>
          <w:lang w:val="en-US" w:eastAsia="zh-CN"/>
        </w:rPr>
        <w:t>095</w:t>
      </w:r>
    </w:p>
    <w:p>
      <w:pPr>
        <w:pStyle w:val="21"/>
        <w:widowControl/>
        <w:snapToGrid w:val="0"/>
        <w:spacing w:beforeAutospacing="0" w:afterAutospacing="0" w:line="288" w:lineRule="auto"/>
        <w:ind w:left="1770" w:leftChars="157" w:right="-54" w:hanging="1440" w:hangingChars="600"/>
        <w:jc w:val="both"/>
        <w:rPr>
          <w:rFonts w:hint="eastAsia" w:ascii="Times New Roman" w:hAnsi="Times New Roman" w:eastAsia="宋体"/>
          <w:color w:val="000000" w:themeColor="text1"/>
          <w:kern w:val="2"/>
          <w:szCs w:val="24"/>
          <w:lang w:val="hr-HR" w:eastAsia="zh-CN"/>
        </w:rPr>
      </w:pPr>
      <w:r>
        <w:rPr>
          <w:rFonts w:hint="eastAsia" w:ascii="Times New Roman" w:hAnsi="Times New Roman" w:eastAsia="宋体"/>
          <w:color w:val="000000" w:themeColor="text1"/>
          <w:kern w:val="2"/>
          <w:szCs w:val="24"/>
        </w:rPr>
        <w:t>2</w:t>
      </w:r>
      <w:r>
        <w:rPr>
          <w:rFonts w:hint="eastAsia" w:ascii="Times New Roman" w:hAnsi="Times New Roman" w:eastAsia="宋体"/>
          <w:color w:val="000000" w:themeColor="text1"/>
          <w:kern w:val="2"/>
          <w:szCs w:val="24"/>
          <w:lang w:val="hr-HR"/>
        </w:rPr>
        <w:t>、项目名称：</w:t>
      </w:r>
      <w:r>
        <w:rPr>
          <w:rFonts w:hint="eastAsia" w:ascii="Times New Roman" w:hAnsi="Times New Roman" w:eastAsia="宋体"/>
          <w:color w:val="000000" w:themeColor="text1"/>
          <w:kern w:val="2"/>
          <w:szCs w:val="24"/>
          <w:lang w:val="hr-HR" w:eastAsia="zh-CN"/>
        </w:rPr>
        <w:t>阳新县长江大保护水环境综合治理PPP项目（一期工程）建设项</w:t>
      </w:r>
    </w:p>
    <w:p>
      <w:pPr>
        <w:pStyle w:val="21"/>
        <w:widowControl/>
        <w:snapToGrid w:val="0"/>
        <w:spacing w:beforeAutospacing="0" w:afterAutospacing="0" w:line="288" w:lineRule="auto"/>
        <w:ind w:left="1770" w:leftChars="157" w:right="-54" w:hanging="1440" w:hangingChars="600"/>
        <w:jc w:val="both"/>
        <w:rPr>
          <w:rFonts w:hint="default" w:ascii="Times New Roman" w:hAnsi="Times New Roman" w:eastAsia="宋体"/>
          <w:color w:val="000000" w:themeColor="text1"/>
          <w:kern w:val="2"/>
          <w:szCs w:val="24"/>
          <w:lang w:val="en-US"/>
        </w:rPr>
      </w:pPr>
      <w:r>
        <w:rPr>
          <w:rFonts w:hint="eastAsia" w:ascii="Times New Roman" w:hAnsi="Times New Roman" w:eastAsia="宋体"/>
          <w:color w:val="000000" w:themeColor="text1"/>
          <w:kern w:val="2"/>
          <w:szCs w:val="24"/>
          <w:lang w:val="hr-HR" w:eastAsia="zh-CN"/>
        </w:rPr>
        <w:t>目检测服务</w:t>
      </w:r>
      <w:r>
        <w:rPr>
          <w:rFonts w:hint="eastAsia" w:ascii="Times New Roman" w:hAnsi="Times New Roman" w:eastAsia="宋体"/>
          <w:color w:val="000000" w:themeColor="text1"/>
          <w:kern w:val="2"/>
          <w:szCs w:val="24"/>
          <w:lang w:val="en-US" w:eastAsia="zh-CN"/>
        </w:rPr>
        <w:t>项目</w:t>
      </w:r>
    </w:p>
    <w:p>
      <w:pPr>
        <w:pStyle w:val="21"/>
        <w:widowControl/>
        <w:snapToGrid w:val="0"/>
        <w:spacing w:beforeAutospacing="0" w:afterAutospacing="0" w:line="288" w:lineRule="auto"/>
        <w:ind w:left="330" w:right="330"/>
        <w:jc w:val="both"/>
        <w:rPr>
          <w:rFonts w:ascii="Times New Roman" w:hAnsi="Times New Roman" w:eastAsia="宋体"/>
          <w:color w:val="000000" w:themeColor="text1"/>
          <w:kern w:val="2"/>
          <w:szCs w:val="24"/>
          <w:lang w:val="hr-HR"/>
        </w:rPr>
      </w:pPr>
      <w:r>
        <w:rPr>
          <w:rFonts w:hint="eastAsia" w:ascii="Times New Roman" w:hAnsi="Times New Roman" w:eastAsia="宋体"/>
          <w:color w:val="000000" w:themeColor="text1"/>
          <w:kern w:val="2"/>
          <w:szCs w:val="24"/>
        </w:rPr>
        <w:t>3</w:t>
      </w:r>
      <w:r>
        <w:rPr>
          <w:rFonts w:hint="eastAsia" w:ascii="Times New Roman" w:hAnsi="Times New Roman" w:eastAsia="宋体"/>
          <w:color w:val="000000" w:themeColor="text1"/>
          <w:kern w:val="2"/>
          <w:szCs w:val="24"/>
          <w:lang w:val="hr-HR"/>
        </w:rPr>
        <w:t>、采购方式：公开招标</w:t>
      </w:r>
    </w:p>
    <w:p>
      <w:pPr>
        <w:pStyle w:val="21"/>
        <w:widowControl/>
        <w:snapToGrid w:val="0"/>
        <w:spacing w:beforeAutospacing="0" w:afterAutospacing="0" w:line="288" w:lineRule="auto"/>
        <w:ind w:left="1770" w:leftChars="157" w:right="-54" w:hanging="1440" w:hangingChars="600"/>
        <w:jc w:val="both"/>
        <w:rPr>
          <w:rFonts w:hint="default" w:ascii="Times New Roman" w:hAnsi="Times New Roman" w:eastAsia="宋体"/>
          <w:color w:val="000000" w:themeColor="text1"/>
          <w:kern w:val="2"/>
          <w:szCs w:val="24"/>
          <w:lang w:val="en-US" w:eastAsia="zh-CN"/>
        </w:rPr>
      </w:pPr>
      <w:r>
        <w:rPr>
          <w:rFonts w:hint="eastAsia" w:ascii="Times New Roman" w:hAnsi="Times New Roman" w:eastAsia="宋体"/>
          <w:color w:val="000000" w:themeColor="text1"/>
          <w:kern w:val="2"/>
          <w:szCs w:val="24"/>
          <w:lang w:val="hr-HR"/>
        </w:rPr>
        <w:t>4、预算金额（最高限价）：</w:t>
      </w:r>
      <w:r>
        <w:rPr>
          <w:rFonts w:hint="eastAsia" w:ascii="Times New Roman" w:hAnsi="Times New Roman" w:eastAsia="宋体"/>
          <w:color w:val="000000" w:themeColor="text1"/>
          <w:kern w:val="2"/>
          <w:szCs w:val="24"/>
          <w:lang w:val="en-US" w:eastAsia="zh-CN"/>
        </w:rPr>
        <w:t>613.13万元</w:t>
      </w:r>
      <w:r>
        <w:rPr>
          <w:rFonts w:hint="eastAsia" w:ascii="宋体" w:hAnsi="宋体" w:cs="宋体"/>
          <w:szCs w:val="24"/>
          <w:shd w:val="clear" w:color="auto" w:fill="FFFFFF"/>
        </w:rPr>
        <w:t>（超过此报价为无效投标）</w:t>
      </w:r>
    </w:p>
    <w:p>
      <w:pPr>
        <w:pStyle w:val="21"/>
        <w:widowControl/>
        <w:snapToGrid w:val="0"/>
        <w:spacing w:beforeAutospacing="0" w:afterAutospacing="0" w:line="288" w:lineRule="auto"/>
        <w:ind w:left="1770" w:leftChars="157" w:right="-54" w:hanging="1440" w:hangingChars="600"/>
        <w:jc w:val="both"/>
        <w:rPr>
          <w:rFonts w:hint="eastAsia" w:ascii="Times New Roman" w:hAnsi="Times New Roman" w:eastAsia="宋体"/>
          <w:color w:val="000000" w:themeColor="text1"/>
          <w:kern w:val="2"/>
          <w:szCs w:val="24"/>
          <w:lang w:val="hr-HR" w:eastAsia="zh-CN"/>
        </w:rPr>
      </w:pPr>
      <w:r>
        <w:rPr>
          <w:rFonts w:hint="eastAsia" w:ascii="Times New Roman" w:hAnsi="Times New Roman" w:eastAsia="宋体"/>
          <w:color w:val="000000" w:themeColor="text1"/>
          <w:kern w:val="2"/>
          <w:szCs w:val="24"/>
          <w:lang w:val="hr-HR"/>
        </w:rPr>
        <w:t>5、采购需求：</w:t>
      </w:r>
      <w:r>
        <w:rPr>
          <w:rFonts w:hint="eastAsia" w:ascii="Times New Roman" w:hAnsi="Times New Roman" w:eastAsia="宋体"/>
          <w:color w:val="000000" w:themeColor="text1"/>
          <w:kern w:val="2"/>
          <w:szCs w:val="24"/>
          <w:lang w:val="hr-HR" w:eastAsia="zh-CN"/>
        </w:rPr>
        <w:t>阳新县长江大保护水环境综合治理PPP项目（一期工程）建设项</w:t>
      </w:r>
    </w:p>
    <w:p>
      <w:pPr>
        <w:pStyle w:val="21"/>
        <w:widowControl/>
        <w:snapToGrid w:val="0"/>
        <w:spacing w:beforeAutospacing="0" w:afterAutospacing="0" w:line="288" w:lineRule="auto"/>
        <w:ind w:left="1770" w:leftChars="157" w:right="-54" w:hanging="1440" w:hangingChars="600"/>
        <w:jc w:val="both"/>
        <w:rPr>
          <w:rFonts w:hint="eastAsia" w:ascii="Times New Roman" w:hAnsi="Times New Roman" w:eastAsia="宋体"/>
          <w:color w:val="000000" w:themeColor="text1"/>
          <w:kern w:val="2"/>
          <w:szCs w:val="24"/>
          <w:lang w:val="hr-HR" w:eastAsia="zh-CN"/>
        </w:rPr>
      </w:pPr>
      <w:r>
        <w:rPr>
          <w:rFonts w:hint="eastAsia" w:ascii="Times New Roman" w:hAnsi="Times New Roman" w:eastAsia="宋体"/>
          <w:color w:val="000000" w:themeColor="text1"/>
          <w:kern w:val="2"/>
          <w:szCs w:val="24"/>
          <w:lang w:val="hr-HR" w:eastAsia="zh-CN"/>
        </w:rPr>
        <w:t>目</w:t>
      </w:r>
      <w:r>
        <w:rPr>
          <w:rFonts w:hint="eastAsia" w:ascii="Times New Roman" w:hAnsi="Times New Roman" w:eastAsia="宋体"/>
          <w:color w:val="000000" w:themeColor="text1"/>
          <w:kern w:val="2"/>
          <w:szCs w:val="24"/>
          <w:lang w:val="hr-HR"/>
        </w:rPr>
        <w:t>的检测</w:t>
      </w:r>
      <w:r>
        <w:rPr>
          <w:rFonts w:hint="eastAsia" w:ascii="Times New Roman" w:hAnsi="Times New Roman" w:eastAsia="宋体"/>
          <w:color w:val="000000" w:themeColor="text1"/>
          <w:kern w:val="2"/>
          <w:szCs w:val="24"/>
          <w:lang w:val="hr-HR" w:eastAsia="zh-CN"/>
        </w:rPr>
        <w:t>服务：见证取样等所有满足工程质量验收需检测的项目（具体检测项</w:t>
      </w:r>
    </w:p>
    <w:p>
      <w:pPr>
        <w:pStyle w:val="21"/>
        <w:widowControl/>
        <w:snapToGrid w:val="0"/>
        <w:spacing w:beforeAutospacing="0" w:afterAutospacing="0" w:line="288" w:lineRule="auto"/>
        <w:ind w:left="1770" w:leftChars="157" w:right="-54" w:hanging="1440" w:hangingChars="600"/>
        <w:jc w:val="both"/>
        <w:rPr>
          <w:rFonts w:hint="eastAsia" w:ascii="Times New Roman" w:hAnsi="Times New Roman" w:eastAsia="宋体"/>
          <w:color w:val="000000" w:themeColor="text1"/>
          <w:kern w:val="2"/>
          <w:szCs w:val="24"/>
          <w:lang w:val="hr-HR" w:eastAsia="zh-CN"/>
        </w:rPr>
      </w:pPr>
      <w:r>
        <w:rPr>
          <w:rFonts w:hint="eastAsia" w:ascii="Times New Roman" w:hAnsi="Times New Roman" w:eastAsia="宋体"/>
          <w:color w:val="000000" w:themeColor="text1"/>
          <w:kern w:val="2"/>
          <w:szCs w:val="24"/>
          <w:lang w:val="hr-HR" w:eastAsia="zh-CN"/>
        </w:rPr>
        <w:t>目以招标人要求为准） 详见本项目招标文件第三章采购需求。</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eastAsia="zh-CN"/>
        </w:rPr>
      </w:pPr>
      <w:r>
        <w:rPr>
          <w:rFonts w:hint="eastAsia" w:ascii="Times New Roman" w:hAnsi="Times New Roman" w:eastAsia="宋体" w:cs="Times New Roman"/>
          <w:color w:val="000000" w:themeColor="text1"/>
          <w:kern w:val="2"/>
          <w:szCs w:val="24"/>
          <w:lang w:val="en-US" w:eastAsia="zh-CN"/>
        </w:rPr>
        <w:t>6、</w:t>
      </w:r>
      <w:r>
        <w:rPr>
          <w:rFonts w:hint="eastAsia" w:ascii="Times New Roman" w:hAnsi="Times New Roman" w:eastAsia="宋体" w:cs="Times New Roman"/>
          <w:color w:val="000000" w:themeColor="text1"/>
          <w:kern w:val="2"/>
          <w:szCs w:val="24"/>
          <w:lang w:val="hr-HR" w:eastAsia="zh-CN"/>
        </w:rPr>
        <w:t>合同履行期限：自合同签订之日起至本项目完工提交认可的全过程见证取样</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eastAsia="zh-CN"/>
        </w:rPr>
      </w:pPr>
      <w:r>
        <w:rPr>
          <w:rFonts w:hint="eastAsia" w:ascii="Times New Roman" w:hAnsi="Times New Roman" w:eastAsia="宋体" w:cs="Times New Roman"/>
          <w:color w:val="000000" w:themeColor="text1"/>
          <w:kern w:val="2"/>
          <w:szCs w:val="24"/>
          <w:lang w:val="hr-HR" w:eastAsia="zh-CN"/>
        </w:rPr>
        <w:t>检测报告，服务期与施工工期同步，并须满足施工方实际施工进度要求。若</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eastAsia="zh-CN"/>
        </w:rPr>
      </w:pPr>
      <w:r>
        <w:rPr>
          <w:rFonts w:hint="eastAsia" w:ascii="Times New Roman" w:hAnsi="Times New Roman" w:eastAsia="宋体" w:cs="Times New Roman"/>
          <w:color w:val="000000" w:themeColor="text1"/>
          <w:kern w:val="2"/>
          <w:szCs w:val="24"/>
          <w:lang w:val="hr-HR" w:eastAsia="zh-CN"/>
        </w:rPr>
        <w:t>因施工方实际施工工期延长或提前，则相应的检测工作随之延长或提前</w:t>
      </w:r>
      <w:r>
        <w:rPr>
          <w:rFonts w:hint="eastAsia" w:ascii="Times New Roman" w:hAnsi="Times New Roman" w:eastAsia="宋体" w:cs="Times New Roman"/>
          <w:color w:val="000000" w:themeColor="text1"/>
          <w:kern w:val="2"/>
          <w:szCs w:val="24"/>
          <w:lang w:val="zh-CN" w:eastAsia="zh-CN"/>
        </w:rPr>
        <w:t>。</w:t>
      </w:r>
    </w:p>
    <w:p>
      <w:pPr>
        <w:pStyle w:val="21"/>
        <w:widowControl/>
        <w:snapToGrid w:val="0"/>
        <w:spacing w:beforeAutospacing="0" w:afterAutospacing="0" w:line="288" w:lineRule="auto"/>
        <w:ind w:left="1770" w:leftChars="157" w:right="-54" w:hanging="1440" w:hangingChars="600"/>
        <w:jc w:val="both"/>
        <w:rPr>
          <w:rFonts w:hint="eastAsia" w:ascii="Times New Roman" w:hAnsi="Times New Roman" w:eastAsia="宋体"/>
          <w:color w:val="000000" w:themeColor="text1"/>
          <w:kern w:val="2"/>
          <w:szCs w:val="24"/>
          <w:lang w:val="hr-HR" w:eastAsia="zh-CN"/>
        </w:rPr>
      </w:pPr>
      <w:r>
        <w:rPr>
          <w:rFonts w:hint="eastAsia" w:ascii="Times New Roman" w:hAnsi="Times New Roman" w:eastAsia="宋体"/>
          <w:color w:val="000000" w:themeColor="text1"/>
          <w:kern w:val="2"/>
          <w:szCs w:val="24"/>
          <w:lang w:val="hr-HR"/>
        </w:rPr>
        <w:t>7、本项目（是/否）接受联合体投标：</w:t>
      </w:r>
      <w:r>
        <w:rPr>
          <w:rFonts w:hint="eastAsia" w:ascii="Times New Roman" w:hAnsi="Times New Roman" w:eastAsia="宋体"/>
          <w:color w:val="000000" w:themeColor="text1"/>
          <w:kern w:val="2"/>
          <w:szCs w:val="24"/>
          <w:lang w:val="en-US" w:eastAsia="zh-CN"/>
        </w:rPr>
        <w:t>否</w:t>
      </w:r>
    </w:p>
    <w:p>
      <w:pPr>
        <w:pStyle w:val="21"/>
        <w:widowControl/>
        <w:snapToGrid w:val="0"/>
        <w:spacing w:beforeAutospacing="0" w:afterAutospacing="0" w:line="288" w:lineRule="auto"/>
        <w:ind w:left="1770" w:leftChars="157" w:right="-54" w:hanging="1440" w:hangingChars="600"/>
        <w:jc w:val="both"/>
        <w:rPr>
          <w:rFonts w:hint="eastAsia" w:ascii="Times New Roman" w:hAnsi="Times New Roman" w:eastAsia="宋体"/>
          <w:color w:val="000000" w:themeColor="text1"/>
          <w:kern w:val="2"/>
          <w:szCs w:val="24"/>
          <w:lang w:val="hr-HR"/>
        </w:rPr>
      </w:pPr>
      <w:r>
        <w:rPr>
          <w:rFonts w:hint="eastAsia" w:ascii="Times New Roman" w:hAnsi="Times New Roman" w:eastAsia="宋体"/>
          <w:color w:val="000000" w:themeColor="text1"/>
          <w:kern w:val="2"/>
          <w:szCs w:val="24"/>
          <w:lang w:val="hr-HR"/>
        </w:rPr>
        <w:t>8、是否可采购进口产品：否</w:t>
      </w:r>
    </w:p>
    <w:p>
      <w:pPr>
        <w:pStyle w:val="21"/>
        <w:widowControl/>
        <w:snapToGrid w:val="0"/>
        <w:spacing w:beforeAutospacing="0" w:afterAutospacing="0" w:line="288" w:lineRule="auto"/>
        <w:ind w:left="1770" w:leftChars="157" w:right="-54" w:hanging="1440" w:hangingChars="600"/>
        <w:jc w:val="both"/>
        <w:rPr>
          <w:rFonts w:hint="eastAsia" w:ascii="Times New Roman" w:hAnsi="Times New Roman" w:eastAsia="宋体"/>
          <w:color w:val="000000" w:themeColor="text1"/>
          <w:kern w:val="2"/>
          <w:szCs w:val="24"/>
          <w:lang w:val="hr-HR" w:eastAsia="zh-CN"/>
        </w:rPr>
      </w:pPr>
      <w:r>
        <w:rPr>
          <w:rFonts w:hint="eastAsia" w:ascii="Times New Roman" w:hAnsi="Times New Roman" w:eastAsia="宋体"/>
          <w:color w:val="000000" w:themeColor="text1"/>
          <w:kern w:val="2"/>
          <w:szCs w:val="24"/>
          <w:lang w:val="hr-HR"/>
        </w:rPr>
        <w:t>9、本项目（是/否）专门面向中小微企业：</w:t>
      </w:r>
      <w:r>
        <w:rPr>
          <w:rFonts w:hint="eastAsia" w:ascii="Times New Roman" w:hAnsi="Times New Roman" w:eastAsia="宋体"/>
          <w:color w:val="000000" w:themeColor="text1"/>
          <w:kern w:val="2"/>
          <w:szCs w:val="24"/>
          <w:lang w:val="en-US" w:eastAsia="zh-CN"/>
        </w:rPr>
        <w:t>是</w:t>
      </w:r>
    </w:p>
    <w:p>
      <w:pPr>
        <w:pStyle w:val="21"/>
        <w:widowControl/>
        <w:snapToGrid w:val="0"/>
        <w:spacing w:beforeAutospacing="0" w:afterAutospacing="0" w:line="288" w:lineRule="auto"/>
        <w:ind w:left="330" w:right="330"/>
        <w:rPr>
          <w:rFonts w:ascii="Times New Roman" w:hAnsi="Times New Roman" w:eastAsia="宋体"/>
          <w:b/>
          <w:bCs/>
          <w:color w:val="000000" w:themeColor="text1"/>
          <w:kern w:val="2"/>
          <w:szCs w:val="24"/>
          <w:lang w:val="hr-HR"/>
        </w:rPr>
      </w:pPr>
      <w:r>
        <w:rPr>
          <w:rFonts w:hint="eastAsia" w:ascii="Times New Roman" w:hAnsi="Times New Roman" w:eastAsia="宋体"/>
          <w:b/>
          <w:bCs/>
          <w:color w:val="000000" w:themeColor="text1"/>
          <w:kern w:val="2"/>
          <w:szCs w:val="24"/>
          <w:lang w:val="hr-HR"/>
        </w:rPr>
        <w:t>二、申请人的资格要求</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rPr>
      </w:pPr>
      <w:r>
        <w:rPr>
          <w:rFonts w:hint="eastAsia" w:ascii="Times New Roman" w:hAnsi="Times New Roman" w:eastAsia="宋体" w:cs="Times New Roman"/>
          <w:color w:val="000000" w:themeColor="text1"/>
          <w:kern w:val="2"/>
          <w:szCs w:val="24"/>
          <w:lang w:val="zh-CN"/>
        </w:rPr>
        <w:t>1、应具备《政府采购法》第二十二条第一款规定的条件；</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rPr>
      </w:pPr>
      <w:r>
        <w:rPr>
          <w:rFonts w:hint="eastAsia" w:ascii="Times New Roman" w:hAnsi="Times New Roman" w:eastAsia="宋体" w:cs="Times New Roman"/>
          <w:color w:val="000000" w:themeColor="text1"/>
          <w:kern w:val="2"/>
          <w:szCs w:val="24"/>
          <w:lang w:val="zh-CN"/>
        </w:rPr>
        <w:t>（1）具有独立承担民事责任的能力；</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rPr>
      </w:pPr>
      <w:r>
        <w:rPr>
          <w:rFonts w:hint="eastAsia" w:ascii="Times New Roman" w:hAnsi="Times New Roman" w:eastAsia="宋体" w:cs="Times New Roman"/>
          <w:color w:val="000000" w:themeColor="text1"/>
          <w:kern w:val="2"/>
          <w:szCs w:val="24"/>
          <w:lang w:val="zh-CN"/>
        </w:rPr>
        <w:t>（2）具有良好的商业信誉和健全的财务会计制度；</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rPr>
      </w:pPr>
      <w:r>
        <w:rPr>
          <w:rFonts w:hint="eastAsia" w:ascii="Times New Roman" w:hAnsi="Times New Roman" w:eastAsia="宋体" w:cs="Times New Roman"/>
          <w:color w:val="000000" w:themeColor="text1"/>
          <w:kern w:val="2"/>
          <w:szCs w:val="24"/>
          <w:lang w:val="zh-CN"/>
        </w:rPr>
        <w:t>（3）具有履行合同所必需的设备和专业技术能力；</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rPr>
      </w:pPr>
      <w:r>
        <w:rPr>
          <w:rFonts w:hint="eastAsia" w:ascii="Times New Roman" w:hAnsi="Times New Roman" w:eastAsia="宋体" w:cs="Times New Roman"/>
          <w:color w:val="000000" w:themeColor="text1"/>
          <w:kern w:val="2"/>
          <w:szCs w:val="24"/>
          <w:lang w:val="zh-CN"/>
        </w:rPr>
        <w:t>（4）有依法缴纳税收和社会保障资金的良好记录；</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rPr>
      </w:pPr>
      <w:r>
        <w:rPr>
          <w:rFonts w:hint="eastAsia" w:ascii="Times New Roman" w:hAnsi="Times New Roman" w:eastAsia="宋体" w:cs="Times New Roman"/>
          <w:color w:val="000000" w:themeColor="text1"/>
          <w:kern w:val="2"/>
          <w:szCs w:val="24"/>
          <w:lang w:val="zh-CN"/>
        </w:rPr>
        <w:t>（5）参加政府采购活动前三年内，在经营活动中没有重大违法记录；</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rPr>
      </w:pPr>
      <w:r>
        <w:rPr>
          <w:rFonts w:hint="eastAsia" w:ascii="Times New Roman" w:hAnsi="Times New Roman" w:eastAsia="宋体" w:cs="Times New Roman"/>
          <w:color w:val="000000" w:themeColor="text1"/>
          <w:kern w:val="2"/>
          <w:szCs w:val="24"/>
          <w:lang w:val="zh-CN"/>
        </w:rPr>
        <w:t>（6）法律、行政法规规定的其他条件。</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rPr>
      </w:pPr>
      <w:r>
        <w:rPr>
          <w:rFonts w:hint="eastAsia" w:ascii="Times New Roman" w:hAnsi="Times New Roman" w:eastAsia="宋体" w:cs="Times New Roman"/>
          <w:color w:val="000000" w:themeColor="text1"/>
          <w:kern w:val="2"/>
          <w:szCs w:val="24"/>
          <w:lang w:val="zh-CN"/>
        </w:rPr>
        <w:t>2、单位负责人为同一人或者存在直接控股、管理关系的不同投标人，不得参加本项目同一合同项下的政府采购活动。</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rPr>
      </w:pPr>
      <w:r>
        <w:rPr>
          <w:rFonts w:hint="eastAsia" w:ascii="Times New Roman" w:hAnsi="Times New Roman" w:eastAsia="宋体" w:cs="Times New Roman"/>
          <w:color w:val="000000" w:themeColor="text1"/>
          <w:kern w:val="2"/>
          <w:szCs w:val="24"/>
          <w:lang w:val="zh-CN"/>
        </w:rPr>
        <w:t>3、为本采购项目提供整体设计、规范编制或者项目管理、监理、检测等服务的，不得再参加本项目的其他招标采购活动。</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Cs w:val="24"/>
          <w:lang w:val="zh-CN"/>
        </w:rPr>
      </w:pPr>
      <w:r>
        <w:rPr>
          <w:rFonts w:hint="eastAsia" w:ascii="Times New Roman" w:hAnsi="Times New Roman" w:eastAsia="宋体" w:cs="Times New Roman"/>
          <w:color w:val="000000" w:themeColor="text1"/>
          <w:kern w:val="2"/>
          <w:szCs w:val="24"/>
          <w:lang w:val="zh-CN"/>
        </w:rPr>
        <w:t>4、未被列入失信被执行人、重大税收违法案件当事人名单，未被列入政府采购严重违法失信行为记录名单。</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FF0000"/>
          <w:kern w:val="2"/>
          <w:szCs w:val="24"/>
          <w:lang w:val="zh-CN" w:eastAsia="zh-CN"/>
        </w:rPr>
      </w:pPr>
      <w:r>
        <w:rPr>
          <w:rFonts w:hint="eastAsia" w:ascii="Times New Roman" w:hAnsi="Times New Roman" w:eastAsia="宋体" w:cs="Times New Roman"/>
          <w:color w:val="000000" w:themeColor="text1"/>
          <w:kern w:val="2"/>
          <w:szCs w:val="24"/>
          <w:lang w:val="zh-CN" w:eastAsia="zh-CN"/>
        </w:rPr>
        <w:t>5、落实政府采购政策需满足的资格要求：</w:t>
      </w:r>
      <w:r>
        <w:rPr>
          <w:rFonts w:hint="eastAsia" w:ascii="Times New Roman" w:hAnsi="Times New Roman" w:eastAsia="宋体" w:cs="Times New Roman"/>
          <w:color w:val="FF0000"/>
          <w:kern w:val="2"/>
          <w:szCs w:val="24"/>
          <w:lang w:val="zh-CN" w:eastAsia="zh-CN"/>
        </w:rPr>
        <w:t>本项目专门面向中小企业采购，供应商应为符合《政府采购促进中小企业发展管理办法》（财库〔2020〕46号）规定的中小企业，提供中小企业声明函。对于有融资需求的供应商可在政府采购项目中标后登录黄石市政府采购信息共享平台，查询融资金融机构信息，并向意向金融机构提出政府采购合同线上信用融资申请。登陆网址：http://47.111.97.150/user/jump,用户名为联系人手机号，密码为统一社会信用代码。</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olor w:val="000000" w:themeColor="text1"/>
          <w:kern w:val="2"/>
          <w:szCs w:val="24"/>
          <w:lang w:val="zh-CN"/>
        </w:rPr>
      </w:pPr>
      <w:r>
        <w:rPr>
          <w:rFonts w:hint="eastAsia" w:ascii="Times New Roman" w:hAnsi="Times New Roman" w:eastAsia="宋体"/>
          <w:color w:val="000000" w:themeColor="text1"/>
          <w:kern w:val="2"/>
          <w:szCs w:val="24"/>
          <w:lang w:val="en-US" w:eastAsia="zh-CN"/>
        </w:rPr>
        <w:t>6</w:t>
      </w:r>
      <w:r>
        <w:rPr>
          <w:rFonts w:hint="eastAsia" w:ascii="Times New Roman" w:hAnsi="Times New Roman" w:eastAsia="宋体"/>
          <w:color w:val="000000" w:themeColor="text1"/>
          <w:kern w:val="2"/>
          <w:szCs w:val="24"/>
          <w:lang w:val="zh-CN"/>
        </w:rPr>
        <w:t>、特定条件：</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olor w:val="000000" w:themeColor="text1"/>
          <w:kern w:val="2"/>
          <w:szCs w:val="24"/>
          <w:lang w:val="zh-CN" w:eastAsia="zh-CN"/>
        </w:rPr>
      </w:pPr>
      <w:r>
        <w:rPr>
          <w:rFonts w:hint="eastAsia" w:ascii="Times New Roman" w:hAnsi="Times New Roman" w:eastAsia="宋体"/>
          <w:color w:val="000000" w:themeColor="text1"/>
          <w:kern w:val="2"/>
          <w:szCs w:val="24"/>
          <w:lang w:val="zh-CN" w:eastAsia="zh-CN"/>
        </w:rPr>
        <w:t>（1）本次招标要求投标人须为在中国境内登记注册的、具有独立承担民事责任的法人或其他组织，具有省级及以上建设行政主管部门颁发的建设工程质量检测机构资质证书（检测范围包含：见证取样），且具有省级及以上计量行政主管部门（质量技术监督局）颁发的检验检测机构资质认定证书（CMA）；</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s="Times New Roman"/>
          <w:color w:val="000000" w:themeColor="text1"/>
          <w:kern w:val="2"/>
          <w:sz w:val="24"/>
          <w:szCs w:val="24"/>
          <w:lang w:val="zh-CN" w:eastAsia="zh-CN" w:bidi="ar-SA"/>
        </w:rPr>
      </w:pPr>
      <w:r>
        <w:rPr>
          <w:rFonts w:hint="eastAsia" w:ascii="Times New Roman" w:hAnsi="Times New Roman" w:eastAsia="宋体"/>
          <w:color w:val="000000" w:themeColor="text1"/>
          <w:kern w:val="2"/>
          <w:szCs w:val="24"/>
          <w:lang w:val="zh-CN" w:eastAsia="zh-CN"/>
        </w:rPr>
        <w:t>（</w:t>
      </w:r>
      <w:r>
        <w:rPr>
          <w:rFonts w:hint="eastAsia" w:ascii="Times New Roman" w:hAnsi="Times New Roman" w:eastAsia="宋体"/>
          <w:color w:val="000000" w:themeColor="text1"/>
          <w:kern w:val="2"/>
          <w:szCs w:val="24"/>
          <w:lang w:val="en-US" w:eastAsia="zh-CN"/>
        </w:rPr>
        <w:t>2</w:t>
      </w:r>
      <w:r>
        <w:rPr>
          <w:rFonts w:hint="eastAsia" w:ascii="Times New Roman" w:hAnsi="Times New Roman" w:eastAsia="宋体"/>
          <w:color w:val="000000" w:themeColor="text1"/>
          <w:kern w:val="2"/>
          <w:szCs w:val="24"/>
          <w:lang w:val="zh-CN" w:eastAsia="zh-CN"/>
        </w:rPr>
        <w:t>）拟派的项目负责人须具备相关专业中级及以上职称证书，须提供身份证、职称证、社保缴纳证明 （近六个月） ；</w:t>
      </w:r>
    </w:p>
    <w:p>
      <w:pPr>
        <w:pStyle w:val="21"/>
        <w:widowControl/>
        <w:snapToGrid w:val="0"/>
        <w:spacing w:beforeAutospacing="0" w:afterAutospacing="0" w:line="288" w:lineRule="auto"/>
        <w:ind w:left="229" w:leftChars="109" w:right="-54" w:firstLine="98" w:firstLineChars="41"/>
        <w:jc w:val="both"/>
        <w:rPr>
          <w:rFonts w:hint="eastAsia" w:ascii="Times New Roman" w:hAnsi="Times New Roman" w:eastAsia="宋体"/>
          <w:color w:val="000000" w:themeColor="text1"/>
          <w:kern w:val="2"/>
          <w:szCs w:val="24"/>
          <w:lang w:val="zh-CN"/>
        </w:rPr>
      </w:pPr>
      <w:r>
        <w:rPr>
          <w:rFonts w:hint="eastAsia" w:ascii="Times New Roman" w:hAnsi="Times New Roman" w:eastAsia="宋体"/>
          <w:color w:val="000000" w:themeColor="text1"/>
          <w:kern w:val="2"/>
          <w:szCs w:val="24"/>
          <w:lang w:val="zh-CN"/>
        </w:rPr>
        <w:t>（</w:t>
      </w:r>
      <w:r>
        <w:rPr>
          <w:rFonts w:hint="eastAsia" w:ascii="Times New Roman" w:hAnsi="Times New Roman" w:eastAsia="宋体"/>
          <w:color w:val="000000" w:themeColor="text1"/>
          <w:kern w:val="2"/>
          <w:szCs w:val="24"/>
          <w:lang w:val="en-US" w:eastAsia="zh-CN"/>
        </w:rPr>
        <w:t>3</w:t>
      </w:r>
      <w:r>
        <w:rPr>
          <w:rFonts w:hint="eastAsia" w:ascii="Times New Roman" w:hAnsi="Times New Roman" w:eastAsia="宋体"/>
          <w:color w:val="000000" w:themeColor="text1"/>
          <w:kern w:val="2"/>
          <w:szCs w:val="24"/>
          <w:lang w:val="zh-CN"/>
        </w:rPr>
        <w:t>）根据《关于加强建设工程质量检测机构和人员管理的通知》（鄂建办〔2016〕 299 号） 要求，“从  事水泥、钢筋、混凝土、砂浆等见证取样检测的检测机构，原则上不得跨区域（市、县） 开展检测业务” 。供应商应</w:t>
      </w:r>
      <w:r>
        <w:rPr>
          <w:rFonts w:hint="eastAsia" w:ascii="Times New Roman" w:hAnsi="Times New Roman" w:eastAsia="宋体"/>
          <w:color w:val="000000" w:themeColor="text1"/>
          <w:kern w:val="2"/>
          <w:szCs w:val="24"/>
          <w:lang w:val="en-US" w:eastAsia="zh-CN"/>
        </w:rPr>
        <w:t>承诺项目中标后一年内</w:t>
      </w:r>
      <w:r>
        <w:rPr>
          <w:rFonts w:hint="eastAsia" w:ascii="Times New Roman" w:hAnsi="Times New Roman" w:eastAsia="宋体"/>
          <w:color w:val="000000" w:themeColor="text1"/>
          <w:kern w:val="2"/>
          <w:szCs w:val="24"/>
          <w:lang w:val="zh-CN"/>
        </w:rPr>
        <w:t>在项目所在地</w:t>
      </w:r>
      <w:r>
        <w:rPr>
          <w:rFonts w:hint="eastAsia" w:ascii="Times New Roman" w:hAnsi="Times New Roman" w:eastAsia="宋体"/>
          <w:color w:val="000000" w:themeColor="text1"/>
          <w:kern w:val="2"/>
          <w:szCs w:val="24"/>
          <w:lang w:val="en-US" w:eastAsia="zh-CN"/>
        </w:rPr>
        <w:t>成立检测实验室或在项目所在地有合作的具备资质的检测实验室</w:t>
      </w:r>
      <w:r>
        <w:rPr>
          <w:rFonts w:hint="eastAsia" w:ascii="Times New Roman" w:hAnsi="Times New Roman" w:eastAsia="宋体"/>
          <w:color w:val="000000" w:themeColor="text1"/>
          <w:kern w:val="2"/>
          <w:szCs w:val="24"/>
          <w:lang w:val="zh-CN"/>
        </w:rPr>
        <w:t>(须提供</w:t>
      </w:r>
      <w:r>
        <w:rPr>
          <w:rFonts w:hint="eastAsia" w:ascii="Times New Roman" w:hAnsi="Times New Roman" w:eastAsia="宋体"/>
          <w:color w:val="000000" w:themeColor="text1"/>
          <w:kern w:val="2"/>
          <w:szCs w:val="24"/>
          <w:lang w:val="en-US" w:eastAsia="zh-CN"/>
        </w:rPr>
        <w:t>承诺函，格式自拟</w:t>
      </w:r>
      <w:r>
        <w:rPr>
          <w:rFonts w:hint="eastAsia" w:ascii="Times New Roman" w:hAnsi="Times New Roman" w:eastAsia="宋体"/>
          <w:color w:val="000000" w:themeColor="text1"/>
          <w:kern w:val="2"/>
          <w:szCs w:val="24"/>
          <w:lang w:val="zh-CN"/>
        </w:rPr>
        <w:t xml:space="preserve">）； </w:t>
      </w:r>
    </w:p>
    <w:p>
      <w:pPr>
        <w:pStyle w:val="21"/>
        <w:widowControl/>
        <w:snapToGrid w:val="0"/>
        <w:spacing w:beforeAutospacing="0" w:afterAutospacing="0" w:line="288" w:lineRule="auto"/>
        <w:ind w:right="330" w:firstLine="241" w:firstLineChars="100"/>
        <w:jc w:val="both"/>
        <w:rPr>
          <w:rFonts w:ascii="宋体" w:hAnsi="宋体" w:cs="宋体"/>
          <w:b/>
          <w:szCs w:val="24"/>
          <w:lang w:val="hr-HR"/>
        </w:rPr>
      </w:pPr>
      <w:r>
        <w:rPr>
          <w:rFonts w:hint="eastAsia" w:ascii="宋体" w:hAnsi="宋体" w:cs="宋体"/>
          <w:b/>
          <w:szCs w:val="24"/>
          <w:lang w:val="hr-HR"/>
        </w:rPr>
        <w:t>三、获取招标文件</w:t>
      </w:r>
    </w:p>
    <w:p>
      <w:pPr>
        <w:pStyle w:val="21"/>
        <w:widowControl/>
        <w:snapToGrid w:val="0"/>
        <w:spacing w:beforeAutospacing="0" w:afterAutospacing="0" w:line="288" w:lineRule="auto"/>
        <w:ind w:left="330" w:right="330"/>
        <w:jc w:val="both"/>
        <w:rPr>
          <w:rFonts w:hint="eastAsia" w:ascii="Times New Roman" w:hAnsi="Times New Roman" w:eastAsia="宋体" w:cs="Times New Roman"/>
          <w:color w:val="000000" w:themeColor="text1"/>
          <w:kern w:val="2"/>
          <w:szCs w:val="24"/>
          <w:lang w:val="hr-HR"/>
        </w:rPr>
      </w:pPr>
      <w:r>
        <w:rPr>
          <w:rFonts w:hint="eastAsia" w:ascii="Times New Roman" w:hAnsi="Times New Roman" w:eastAsia="宋体" w:cs="Times New Roman"/>
          <w:color w:val="000000" w:themeColor="text1"/>
          <w:kern w:val="2"/>
          <w:szCs w:val="24"/>
          <w:lang w:val="hr-HR"/>
        </w:rPr>
        <w:t>1、时间：202</w:t>
      </w:r>
      <w:r>
        <w:rPr>
          <w:rFonts w:hint="eastAsia" w:ascii="Times New Roman" w:hAnsi="Times New Roman" w:eastAsia="宋体" w:cs="Times New Roman"/>
          <w:color w:val="000000" w:themeColor="text1"/>
          <w:kern w:val="2"/>
          <w:szCs w:val="24"/>
          <w:lang w:val="en-US" w:eastAsia="zh-CN"/>
        </w:rPr>
        <w:t>2</w:t>
      </w:r>
      <w:r>
        <w:rPr>
          <w:rFonts w:hint="eastAsia" w:ascii="Times New Roman" w:hAnsi="Times New Roman" w:eastAsia="宋体" w:cs="Times New Roman"/>
          <w:color w:val="000000" w:themeColor="text1"/>
          <w:kern w:val="2"/>
          <w:szCs w:val="24"/>
          <w:lang w:val="hr-HR"/>
        </w:rPr>
        <w:t>年</w:t>
      </w:r>
      <w:r>
        <w:rPr>
          <w:rFonts w:hint="eastAsia" w:ascii="Times New Roman" w:hAnsi="Times New Roman" w:eastAsia="宋体" w:cs="Times New Roman"/>
          <w:color w:val="000000" w:themeColor="text1"/>
          <w:kern w:val="2"/>
          <w:szCs w:val="24"/>
          <w:lang w:val="en-US" w:eastAsia="zh-CN"/>
        </w:rPr>
        <w:t>5</w:t>
      </w:r>
      <w:r>
        <w:rPr>
          <w:rFonts w:hint="eastAsia" w:ascii="Times New Roman" w:hAnsi="Times New Roman" w:eastAsia="宋体" w:cs="Times New Roman"/>
          <w:color w:val="000000" w:themeColor="text1"/>
          <w:kern w:val="2"/>
          <w:szCs w:val="24"/>
          <w:lang w:val="hr-HR"/>
        </w:rPr>
        <w:t>月</w:t>
      </w:r>
      <w:r>
        <w:rPr>
          <w:rFonts w:hint="eastAsia" w:ascii="Times New Roman" w:hAnsi="Times New Roman" w:eastAsia="宋体" w:cs="Times New Roman"/>
          <w:color w:val="000000" w:themeColor="text1"/>
          <w:kern w:val="2"/>
          <w:szCs w:val="24"/>
          <w:lang w:val="en-US" w:eastAsia="zh-CN"/>
        </w:rPr>
        <w:t>25</w:t>
      </w:r>
      <w:r>
        <w:rPr>
          <w:rFonts w:hint="eastAsia" w:ascii="Times New Roman" w:hAnsi="Times New Roman" w:eastAsia="宋体" w:cs="Times New Roman"/>
          <w:color w:val="000000" w:themeColor="text1"/>
          <w:kern w:val="2"/>
          <w:szCs w:val="24"/>
          <w:lang w:val="hr-HR"/>
        </w:rPr>
        <w:t>日至202</w:t>
      </w:r>
      <w:r>
        <w:rPr>
          <w:rFonts w:hint="eastAsia" w:ascii="Times New Roman" w:hAnsi="Times New Roman" w:eastAsia="宋体" w:cs="Times New Roman"/>
          <w:color w:val="000000" w:themeColor="text1"/>
          <w:kern w:val="2"/>
          <w:szCs w:val="24"/>
          <w:lang w:val="en-US" w:eastAsia="zh-CN"/>
        </w:rPr>
        <w:t>2</w:t>
      </w:r>
      <w:r>
        <w:rPr>
          <w:rFonts w:hint="eastAsia" w:ascii="Times New Roman" w:hAnsi="Times New Roman" w:eastAsia="宋体" w:cs="Times New Roman"/>
          <w:color w:val="000000" w:themeColor="text1"/>
          <w:kern w:val="2"/>
          <w:szCs w:val="24"/>
          <w:lang w:val="hr-HR"/>
        </w:rPr>
        <w:t>年</w:t>
      </w:r>
      <w:r>
        <w:rPr>
          <w:rFonts w:hint="eastAsia" w:ascii="Times New Roman" w:hAnsi="Times New Roman" w:eastAsia="宋体" w:cs="Times New Roman"/>
          <w:color w:val="000000" w:themeColor="text1"/>
          <w:kern w:val="2"/>
          <w:szCs w:val="24"/>
          <w:lang w:val="en-US" w:eastAsia="zh-CN"/>
        </w:rPr>
        <w:t>6</w:t>
      </w:r>
      <w:r>
        <w:rPr>
          <w:rFonts w:hint="eastAsia" w:ascii="Times New Roman" w:hAnsi="Times New Roman" w:eastAsia="宋体" w:cs="Times New Roman"/>
          <w:color w:val="000000" w:themeColor="text1"/>
          <w:kern w:val="2"/>
          <w:szCs w:val="24"/>
          <w:lang w:val="hr-HR"/>
        </w:rPr>
        <w:t>月</w:t>
      </w:r>
      <w:r>
        <w:rPr>
          <w:rFonts w:hint="eastAsia" w:ascii="Times New Roman" w:hAnsi="Times New Roman" w:eastAsia="宋体" w:cs="Times New Roman"/>
          <w:color w:val="000000" w:themeColor="text1"/>
          <w:kern w:val="2"/>
          <w:szCs w:val="24"/>
          <w:lang w:val="en-US" w:eastAsia="zh-CN"/>
        </w:rPr>
        <w:t>2</w:t>
      </w:r>
      <w:r>
        <w:rPr>
          <w:rFonts w:hint="eastAsia" w:ascii="Times New Roman" w:hAnsi="Times New Roman" w:eastAsia="宋体" w:cs="Times New Roman"/>
          <w:color w:val="000000" w:themeColor="text1"/>
          <w:kern w:val="2"/>
          <w:szCs w:val="24"/>
          <w:lang w:val="hr-HR"/>
        </w:rPr>
        <w:t>日（北京时间，法定节假日除外）</w:t>
      </w:r>
    </w:p>
    <w:p>
      <w:pPr>
        <w:pStyle w:val="21"/>
        <w:widowControl/>
        <w:snapToGrid w:val="0"/>
        <w:spacing w:beforeAutospacing="0" w:afterAutospacing="0" w:line="288" w:lineRule="auto"/>
        <w:ind w:left="330" w:right="330"/>
        <w:jc w:val="both"/>
        <w:rPr>
          <w:rFonts w:hint="eastAsia" w:ascii="Times New Roman" w:hAnsi="Times New Roman" w:eastAsia="宋体" w:cs="Times New Roman"/>
          <w:color w:val="000000" w:themeColor="text1"/>
          <w:kern w:val="2"/>
          <w:szCs w:val="24"/>
          <w:lang w:val="hr-HR"/>
        </w:rPr>
      </w:pPr>
      <w:r>
        <w:rPr>
          <w:rFonts w:hint="eastAsia" w:ascii="Times New Roman" w:hAnsi="Times New Roman" w:eastAsia="宋体" w:cs="Times New Roman"/>
          <w:color w:val="000000" w:themeColor="text1"/>
          <w:kern w:val="2"/>
          <w:szCs w:val="24"/>
          <w:lang w:val="hr-HR"/>
        </w:rPr>
        <w:t>2、地点：网上下载</w:t>
      </w:r>
    </w:p>
    <w:p>
      <w:pPr>
        <w:pStyle w:val="21"/>
        <w:widowControl/>
        <w:snapToGrid w:val="0"/>
        <w:spacing w:beforeAutospacing="0" w:afterAutospacing="0" w:line="288" w:lineRule="auto"/>
        <w:ind w:left="330" w:right="330"/>
        <w:jc w:val="both"/>
        <w:rPr>
          <w:rFonts w:hint="eastAsia" w:ascii="Times New Roman" w:hAnsi="Times New Roman" w:eastAsia="宋体" w:cs="Times New Roman"/>
          <w:color w:val="000000" w:themeColor="text1"/>
          <w:kern w:val="2"/>
          <w:szCs w:val="24"/>
          <w:lang w:val="hr-HR"/>
        </w:rPr>
      </w:pPr>
      <w:r>
        <w:rPr>
          <w:rFonts w:hint="eastAsia" w:ascii="Times New Roman" w:hAnsi="Times New Roman" w:eastAsia="宋体" w:cs="Times New Roman"/>
          <w:color w:val="000000" w:themeColor="text1"/>
          <w:kern w:val="2"/>
          <w:szCs w:val="24"/>
          <w:lang w:val="hr-HR"/>
        </w:rPr>
        <w:t>3、方式：点击本公告附件下载</w:t>
      </w:r>
    </w:p>
    <w:p>
      <w:pPr>
        <w:pStyle w:val="21"/>
        <w:widowControl/>
        <w:snapToGrid w:val="0"/>
        <w:spacing w:beforeAutospacing="0" w:afterAutospacing="0" w:line="288" w:lineRule="auto"/>
        <w:ind w:left="330" w:right="330"/>
        <w:jc w:val="both"/>
        <w:rPr>
          <w:rFonts w:hint="eastAsia" w:ascii="Times New Roman" w:hAnsi="Times New Roman" w:eastAsia="宋体" w:cs="Times New Roman"/>
          <w:color w:val="000000" w:themeColor="text1"/>
          <w:kern w:val="2"/>
          <w:szCs w:val="24"/>
          <w:lang w:val="hr-HR"/>
        </w:rPr>
      </w:pPr>
      <w:r>
        <w:rPr>
          <w:rFonts w:hint="eastAsia" w:ascii="Times New Roman" w:hAnsi="Times New Roman" w:eastAsia="宋体" w:cs="Times New Roman"/>
          <w:color w:val="000000" w:themeColor="text1"/>
          <w:kern w:val="2"/>
          <w:szCs w:val="24"/>
          <w:lang w:val="hr-HR"/>
        </w:rPr>
        <w:t>4、售价：0(元)</w:t>
      </w:r>
    </w:p>
    <w:p>
      <w:pPr>
        <w:pStyle w:val="21"/>
        <w:widowControl/>
        <w:snapToGrid w:val="0"/>
        <w:spacing w:beforeAutospacing="0" w:afterAutospacing="0" w:line="288" w:lineRule="auto"/>
        <w:ind w:left="330" w:right="330"/>
        <w:rPr>
          <w:rFonts w:ascii="Times New Roman" w:hAnsi="Times New Roman" w:eastAsia="宋体"/>
          <w:b/>
          <w:bCs/>
          <w:color w:val="000000" w:themeColor="text1"/>
          <w:kern w:val="2"/>
          <w:szCs w:val="24"/>
          <w:lang w:val="hr-HR"/>
        </w:rPr>
      </w:pPr>
      <w:r>
        <w:rPr>
          <w:rFonts w:hint="eastAsia" w:ascii="Times New Roman" w:hAnsi="Times New Roman" w:eastAsia="宋体"/>
          <w:b/>
          <w:bCs/>
          <w:color w:val="000000" w:themeColor="text1"/>
          <w:kern w:val="2"/>
          <w:szCs w:val="24"/>
          <w:lang w:val="hr-HR"/>
        </w:rPr>
        <w:t>四、提交投标文件截止时间、开标时间和地点</w:t>
      </w:r>
    </w:p>
    <w:p>
      <w:pPr>
        <w:pStyle w:val="21"/>
        <w:widowControl/>
        <w:snapToGrid w:val="0"/>
        <w:spacing w:beforeAutospacing="0" w:afterAutospacing="0" w:line="288" w:lineRule="auto"/>
        <w:ind w:left="330" w:right="330"/>
        <w:jc w:val="both"/>
        <w:rPr>
          <w:rFonts w:ascii="Times New Roman" w:hAnsi="Times New Roman" w:eastAsia="宋体"/>
          <w:color w:val="000000" w:themeColor="text1"/>
          <w:kern w:val="2"/>
          <w:szCs w:val="24"/>
          <w:lang w:val="hr-HR"/>
        </w:rPr>
      </w:pPr>
      <w:r>
        <w:rPr>
          <w:rFonts w:hint="eastAsia" w:ascii="Times New Roman" w:hAnsi="Times New Roman" w:eastAsia="宋体"/>
          <w:color w:val="000000" w:themeColor="text1"/>
          <w:kern w:val="2"/>
          <w:szCs w:val="24"/>
          <w:lang w:val="hr-HR"/>
        </w:rPr>
        <w:t>1、开始时间：202</w:t>
      </w:r>
      <w:r>
        <w:rPr>
          <w:rFonts w:hint="eastAsia" w:ascii="Times New Roman" w:hAnsi="Times New Roman" w:eastAsia="宋体"/>
          <w:color w:val="000000" w:themeColor="text1"/>
          <w:kern w:val="2"/>
          <w:szCs w:val="24"/>
        </w:rPr>
        <w:t>2</w:t>
      </w:r>
      <w:r>
        <w:rPr>
          <w:rFonts w:hint="eastAsia" w:ascii="Times New Roman" w:hAnsi="Times New Roman" w:eastAsia="宋体"/>
          <w:color w:val="000000" w:themeColor="text1"/>
          <w:kern w:val="2"/>
          <w:szCs w:val="24"/>
          <w:lang w:val="hr-HR"/>
        </w:rPr>
        <w:t>年</w:t>
      </w:r>
      <w:r>
        <w:rPr>
          <w:rFonts w:hint="eastAsia" w:ascii="Times New Roman" w:hAnsi="Times New Roman" w:eastAsia="宋体"/>
          <w:color w:val="000000" w:themeColor="text1"/>
          <w:kern w:val="2"/>
          <w:szCs w:val="24"/>
          <w:lang w:val="en-US" w:eastAsia="zh-CN"/>
        </w:rPr>
        <w:t>6</w:t>
      </w:r>
      <w:r>
        <w:rPr>
          <w:rFonts w:hint="eastAsia" w:ascii="Times New Roman" w:hAnsi="Times New Roman" w:eastAsia="宋体"/>
          <w:color w:val="000000" w:themeColor="text1"/>
          <w:kern w:val="2"/>
          <w:szCs w:val="24"/>
          <w:lang w:val="hr-HR"/>
        </w:rPr>
        <w:t>月</w:t>
      </w:r>
      <w:r>
        <w:rPr>
          <w:rFonts w:hint="eastAsia" w:ascii="Times New Roman" w:hAnsi="Times New Roman" w:eastAsia="宋体"/>
          <w:color w:val="000000" w:themeColor="text1"/>
          <w:kern w:val="2"/>
          <w:szCs w:val="24"/>
          <w:lang w:val="en-US" w:eastAsia="zh-CN"/>
        </w:rPr>
        <w:t>20</w:t>
      </w:r>
      <w:r>
        <w:rPr>
          <w:rFonts w:hint="eastAsia" w:ascii="Times New Roman" w:hAnsi="Times New Roman" w:eastAsia="宋体"/>
          <w:color w:val="000000" w:themeColor="text1"/>
          <w:kern w:val="2"/>
          <w:szCs w:val="24"/>
          <w:lang w:val="hr-HR"/>
        </w:rPr>
        <w:t>日</w:t>
      </w:r>
      <w:r>
        <w:rPr>
          <w:rFonts w:hint="eastAsia" w:ascii="Times New Roman" w:hAnsi="Times New Roman" w:eastAsia="宋体"/>
          <w:color w:val="000000" w:themeColor="text1"/>
          <w:kern w:val="2"/>
          <w:szCs w:val="24"/>
        </w:rPr>
        <w:t>8</w:t>
      </w:r>
      <w:r>
        <w:rPr>
          <w:rFonts w:hint="eastAsia" w:ascii="Times New Roman" w:hAnsi="Times New Roman" w:eastAsia="宋体"/>
          <w:color w:val="000000" w:themeColor="text1"/>
          <w:kern w:val="2"/>
          <w:szCs w:val="24"/>
          <w:lang w:val="hr-HR"/>
        </w:rPr>
        <w:t>点</w:t>
      </w:r>
      <w:r>
        <w:rPr>
          <w:rFonts w:hint="eastAsia" w:ascii="Times New Roman" w:hAnsi="Times New Roman" w:eastAsia="宋体"/>
          <w:color w:val="000000" w:themeColor="text1"/>
          <w:kern w:val="2"/>
          <w:szCs w:val="24"/>
        </w:rPr>
        <w:t>30</w:t>
      </w:r>
      <w:r>
        <w:rPr>
          <w:rFonts w:hint="eastAsia" w:ascii="Times New Roman" w:hAnsi="Times New Roman" w:eastAsia="宋体"/>
          <w:color w:val="000000" w:themeColor="text1"/>
          <w:kern w:val="2"/>
          <w:szCs w:val="24"/>
          <w:lang w:val="hr-HR"/>
        </w:rPr>
        <w:t>分（北京时间）</w:t>
      </w:r>
    </w:p>
    <w:p>
      <w:pPr>
        <w:pStyle w:val="21"/>
        <w:widowControl/>
        <w:snapToGrid w:val="0"/>
        <w:spacing w:beforeAutospacing="0" w:afterAutospacing="0" w:line="288" w:lineRule="auto"/>
        <w:ind w:left="330" w:right="330"/>
        <w:jc w:val="both"/>
        <w:rPr>
          <w:rFonts w:ascii="Times New Roman" w:hAnsi="Times New Roman" w:eastAsia="宋体"/>
          <w:color w:val="000000" w:themeColor="text1"/>
          <w:kern w:val="2"/>
          <w:szCs w:val="24"/>
          <w:lang w:val="hr-HR"/>
        </w:rPr>
      </w:pPr>
      <w:r>
        <w:rPr>
          <w:rFonts w:hint="eastAsia" w:ascii="Times New Roman" w:hAnsi="Times New Roman" w:eastAsia="宋体"/>
          <w:color w:val="000000" w:themeColor="text1"/>
          <w:kern w:val="2"/>
          <w:szCs w:val="24"/>
          <w:lang w:val="hr-HR"/>
        </w:rPr>
        <w:t>2、截止时间：202</w:t>
      </w:r>
      <w:r>
        <w:rPr>
          <w:rFonts w:hint="eastAsia" w:ascii="Times New Roman" w:hAnsi="Times New Roman" w:eastAsia="宋体"/>
          <w:color w:val="000000" w:themeColor="text1"/>
          <w:kern w:val="2"/>
          <w:szCs w:val="24"/>
        </w:rPr>
        <w:t>2</w:t>
      </w:r>
      <w:r>
        <w:rPr>
          <w:rFonts w:hint="eastAsia" w:ascii="Times New Roman" w:hAnsi="Times New Roman" w:eastAsia="宋体"/>
          <w:color w:val="000000" w:themeColor="text1"/>
          <w:kern w:val="2"/>
          <w:szCs w:val="24"/>
          <w:lang w:val="hr-HR"/>
        </w:rPr>
        <w:t>年</w:t>
      </w:r>
      <w:r>
        <w:rPr>
          <w:rFonts w:hint="eastAsia" w:ascii="Times New Roman" w:hAnsi="Times New Roman" w:eastAsia="宋体"/>
          <w:color w:val="000000" w:themeColor="text1"/>
          <w:kern w:val="2"/>
          <w:szCs w:val="24"/>
          <w:lang w:val="en-US" w:eastAsia="zh-CN"/>
        </w:rPr>
        <w:t>6</w:t>
      </w:r>
      <w:r>
        <w:rPr>
          <w:rFonts w:hint="eastAsia" w:ascii="Times New Roman" w:hAnsi="Times New Roman" w:eastAsia="宋体"/>
          <w:color w:val="000000" w:themeColor="text1"/>
          <w:kern w:val="2"/>
          <w:szCs w:val="24"/>
          <w:lang w:val="hr-HR"/>
        </w:rPr>
        <w:t>月</w:t>
      </w:r>
      <w:r>
        <w:rPr>
          <w:rFonts w:hint="eastAsia" w:ascii="Times New Roman" w:hAnsi="Times New Roman" w:eastAsia="宋体"/>
          <w:color w:val="000000" w:themeColor="text1"/>
          <w:kern w:val="2"/>
          <w:szCs w:val="24"/>
          <w:lang w:val="en-US" w:eastAsia="zh-CN"/>
        </w:rPr>
        <w:t>20</w:t>
      </w:r>
      <w:r>
        <w:rPr>
          <w:rFonts w:hint="eastAsia" w:ascii="Times New Roman" w:hAnsi="Times New Roman" w:eastAsia="宋体"/>
          <w:color w:val="000000" w:themeColor="text1"/>
          <w:kern w:val="2"/>
          <w:szCs w:val="24"/>
          <w:lang w:val="hr-HR"/>
        </w:rPr>
        <w:t>日</w:t>
      </w:r>
      <w:r>
        <w:rPr>
          <w:rFonts w:hint="eastAsia" w:ascii="Times New Roman" w:hAnsi="Times New Roman" w:eastAsia="宋体"/>
          <w:color w:val="000000" w:themeColor="text1"/>
          <w:kern w:val="2"/>
          <w:szCs w:val="24"/>
        </w:rPr>
        <w:t>9</w:t>
      </w:r>
      <w:r>
        <w:rPr>
          <w:rFonts w:hint="eastAsia" w:ascii="Times New Roman" w:hAnsi="Times New Roman" w:eastAsia="宋体"/>
          <w:color w:val="000000" w:themeColor="text1"/>
          <w:kern w:val="2"/>
          <w:szCs w:val="24"/>
          <w:lang w:val="hr-HR"/>
        </w:rPr>
        <w:t>点</w:t>
      </w:r>
      <w:r>
        <w:rPr>
          <w:rFonts w:hint="eastAsia" w:ascii="Times New Roman" w:hAnsi="Times New Roman" w:eastAsia="宋体"/>
          <w:color w:val="000000" w:themeColor="text1"/>
          <w:kern w:val="2"/>
          <w:szCs w:val="24"/>
        </w:rPr>
        <w:t>00</w:t>
      </w:r>
      <w:r>
        <w:rPr>
          <w:rFonts w:hint="eastAsia" w:ascii="Times New Roman" w:hAnsi="Times New Roman" w:eastAsia="宋体"/>
          <w:color w:val="000000" w:themeColor="text1"/>
          <w:kern w:val="2"/>
          <w:szCs w:val="24"/>
          <w:lang w:val="hr-HR"/>
        </w:rPr>
        <w:t>分（北京时间）</w:t>
      </w:r>
    </w:p>
    <w:p>
      <w:pPr>
        <w:pStyle w:val="21"/>
        <w:widowControl/>
        <w:snapToGrid w:val="0"/>
        <w:spacing w:beforeAutospacing="0" w:afterAutospacing="0" w:line="288" w:lineRule="auto"/>
        <w:ind w:left="329" w:right="329"/>
        <w:jc w:val="both"/>
        <w:rPr>
          <w:rFonts w:ascii="Times New Roman" w:hAnsi="Times New Roman" w:eastAsia="宋体"/>
          <w:color w:val="000000" w:themeColor="text1"/>
          <w:kern w:val="2"/>
          <w:szCs w:val="24"/>
          <w:lang w:val="hr-HR"/>
        </w:rPr>
      </w:pPr>
      <w:r>
        <w:rPr>
          <w:rFonts w:hint="eastAsia" w:ascii="Times New Roman" w:hAnsi="Times New Roman" w:eastAsia="宋体"/>
          <w:color w:val="000000" w:themeColor="text1"/>
          <w:kern w:val="2"/>
          <w:szCs w:val="24"/>
          <w:lang w:val="hr-HR"/>
        </w:rPr>
        <w:t>3、地点：阳新县公共资源交易中心</w:t>
      </w:r>
      <w:r>
        <w:rPr>
          <w:rFonts w:hint="eastAsia" w:ascii="Times New Roman" w:hAnsi="Times New Roman" w:eastAsia="宋体"/>
          <w:color w:val="000000" w:themeColor="text1"/>
          <w:kern w:val="2"/>
          <w:szCs w:val="24"/>
          <w:lang w:val="en-US" w:eastAsia="zh-CN"/>
        </w:rPr>
        <w:t>一</w:t>
      </w:r>
      <w:r>
        <w:rPr>
          <w:rFonts w:hint="eastAsia" w:ascii="Times New Roman" w:hAnsi="Times New Roman" w:eastAsia="宋体"/>
          <w:color w:val="000000" w:themeColor="text1"/>
          <w:kern w:val="2"/>
          <w:szCs w:val="24"/>
          <w:lang w:val="hr-HR"/>
        </w:rPr>
        <w:t>楼开标</w:t>
      </w:r>
      <w:r>
        <w:rPr>
          <w:rFonts w:hint="eastAsia" w:ascii="Times New Roman" w:hAnsi="Times New Roman" w:eastAsia="宋体"/>
          <w:color w:val="000000" w:themeColor="text1"/>
          <w:kern w:val="2"/>
          <w:szCs w:val="24"/>
          <w:lang w:val="en-US" w:eastAsia="zh-CN"/>
        </w:rPr>
        <w:t>一</w:t>
      </w:r>
      <w:r>
        <w:rPr>
          <w:rFonts w:hint="eastAsia" w:ascii="Times New Roman" w:hAnsi="Times New Roman" w:eastAsia="宋体"/>
          <w:color w:val="000000" w:themeColor="text1"/>
          <w:kern w:val="2"/>
          <w:szCs w:val="24"/>
          <w:lang w:val="hr-HR"/>
        </w:rPr>
        <w:t>厅</w:t>
      </w:r>
    </w:p>
    <w:p>
      <w:pPr>
        <w:pStyle w:val="21"/>
        <w:widowControl/>
        <w:snapToGrid w:val="0"/>
        <w:spacing w:beforeAutospacing="0" w:afterAutospacing="0" w:line="288" w:lineRule="auto"/>
        <w:ind w:left="330" w:right="330"/>
        <w:rPr>
          <w:rFonts w:ascii="Times New Roman" w:hAnsi="Times New Roman" w:eastAsia="宋体"/>
          <w:b/>
          <w:bCs/>
          <w:color w:val="000000" w:themeColor="text1"/>
          <w:kern w:val="2"/>
          <w:szCs w:val="24"/>
          <w:lang w:val="hr-HR"/>
        </w:rPr>
      </w:pPr>
      <w:r>
        <w:rPr>
          <w:rFonts w:hint="eastAsia" w:ascii="Times New Roman" w:hAnsi="Times New Roman" w:eastAsia="宋体"/>
          <w:b/>
          <w:bCs/>
          <w:color w:val="000000" w:themeColor="text1"/>
          <w:kern w:val="2"/>
          <w:szCs w:val="24"/>
          <w:lang w:val="hr-HR"/>
        </w:rPr>
        <w:t>五、公告期限</w:t>
      </w:r>
    </w:p>
    <w:p>
      <w:pPr>
        <w:pStyle w:val="21"/>
        <w:widowControl/>
        <w:snapToGrid w:val="0"/>
        <w:spacing w:beforeAutospacing="0" w:afterAutospacing="0" w:line="288" w:lineRule="auto"/>
        <w:ind w:left="329" w:right="329"/>
        <w:jc w:val="both"/>
        <w:rPr>
          <w:rFonts w:ascii="Times New Roman" w:hAnsi="Times New Roman" w:eastAsia="宋体"/>
          <w:color w:val="000000" w:themeColor="text1"/>
          <w:kern w:val="2"/>
          <w:szCs w:val="24"/>
          <w:lang w:val="hr-HR"/>
        </w:rPr>
      </w:pPr>
      <w:r>
        <w:rPr>
          <w:rFonts w:hint="eastAsia" w:ascii="Times New Roman" w:hAnsi="Times New Roman" w:eastAsia="宋体"/>
          <w:color w:val="000000" w:themeColor="text1"/>
          <w:kern w:val="2"/>
          <w:szCs w:val="24"/>
          <w:lang w:val="hr-HR"/>
        </w:rPr>
        <w:t>自本公告发布之日起5个工作日。</w:t>
      </w:r>
    </w:p>
    <w:p>
      <w:pPr>
        <w:pStyle w:val="21"/>
        <w:widowControl/>
        <w:snapToGrid w:val="0"/>
        <w:spacing w:beforeAutospacing="0" w:afterAutospacing="0" w:line="288" w:lineRule="auto"/>
        <w:ind w:left="330" w:right="330"/>
        <w:rPr>
          <w:rFonts w:ascii="Times New Roman" w:hAnsi="Times New Roman" w:eastAsia="宋体"/>
          <w:b/>
          <w:bCs/>
          <w:color w:val="000000" w:themeColor="text1"/>
          <w:kern w:val="2"/>
          <w:szCs w:val="24"/>
          <w:lang w:val="hr-HR"/>
        </w:rPr>
      </w:pPr>
      <w:r>
        <w:rPr>
          <w:rFonts w:hint="eastAsia" w:ascii="Times New Roman" w:hAnsi="Times New Roman" w:eastAsia="宋体"/>
          <w:b/>
          <w:bCs/>
          <w:color w:val="000000" w:themeColor="text1"/>
          <w:kern w:val="2"/>
          <w:szCs w:val="24"/>
          <w:lang w:val="hr-HR"/>
        </w:rPr>
        <w:t>六、其他补充事宜</w:t>
      </w:r>
    </w:p>
    <w:p>
      <w:pPr>
        <w:pStyle w:val="21"/>
        <w:widowControl/>
        <w:snapToGrid w:val="0"/>
        <w:spacing w:beforeAutospacing="0" w:afterAutospacing="0" w:line="288" w:lineRule="auto"/>
        <w:ind w:left="330" w:right="330"/>
        <w:jc w:val="both"/>
        <w:rPr>
          <w:rFonts w:hint="eastAsia" w:ascii="Times New Roman" w:hAnsi="Times New Roman" w:eastAsia="宋体" w:cs="Times New Roman"/>
          <w:color w:val="000000" w:themeColor="text1"/>
          <w:kern w:val="2"/>
          <w:szCs w:val="24"/>
          <w:lang w:val="hr-HR"/>
        </w:rPr>
      </w:pPr>
      <w:r>
        <w:rPr>
          <w:rFonts w:hint="eastAsia" w:ascii="Times New Roman" w:hAnsi="Times New Roman" w:eastAsia="宋体" w:cs="Times New Roman"/>
          <w:color w:val="000000" w:themeColor="text1"/>
          <w:kern w:val="2"/>
          <w:szCs w:val="24"/>
          <w:lang w:val="en-US" w:eastAsia="zh-CN"/>
        </w:rPr>
        <w:t>1</w:t>
      </w:r>
      <w:r>
        <w:rPr>
          <w:rFonts w:hint="eastAsia" w:ascii="Times New Roman" w:hAnsi="Times New Roman" w:eastAsia="宋体" w:cs="Times New Roman"/>
          <w:color w:val="000000" w:themeColor="text1"/>
          <w:kern w:val="2"/>
          <w:szCs w:val="24"/>
          <w:lang w:val="hr-HR"/>
        </w:rPr>
        <w:t>、投标人认为招标文件、招标过程和中标结果使自己的权益受到损害的，可以在知道或者应知其权益受到损害之日起7个工作日内向采购人或代理公司提出质疑（质疑函格式采用财政部国库司政府采购管理办公室发布的标准格式</w:t>
      </w:r>
    </w:p>
    <w:p>
      <w:pPr>
        <w:pStyle w:val="21"/>
        <w:widowControl/>
        <w:snapToGrid w:val="0"/>
        <w:spacing w:beforeAutospacing="0" w:afterAutospacing="0" w:line="288" w:lineRule="auto"/>
        <w:ind w:left="330" w:right="330"/>
        <w:jc w:val="both"/>
        <w:rPr>
          <w:rFonts w:hint="eastAsia" w:ascii="Times New Roman" w:hAnsi="Times New Roman" w:eastAsia="宋体" w:cs="Times New Roman"/>
          <w:color w:val="000000" w:themeColor="text1"/>
          <w:kern w:val="2"/>
          <w:szCs w:val="24"/>
          <w:lang w:val="hr-HR"/>
        </w:rPr>
      </w:pPr>
      <w:r>
        <w:rPr>
          <w:rFonts w:hint="eastAsia" w:ascii="Times New Roman" w:hAnsi="Times New Roman" w:eastAsia="宋体" w:cs="Times New Roman"/>
          <w:color w:val="000000" w:themeColor="text1"/>
          <w:kern w:val="2"/>
          <w:szCs w:val="24"/>
          <w:lang w:val="hr-HR"/>
        </w:rPr>
        <w:t>http://gks.mof.gov.cn/ztztz/zhengfucaigouguanli/201802/t20180201_2804589.htm）。</w:t>
      </w:r>
    </w:p>
    <w:p>
      <w:pPr>
        <w:pStyle w:val="21"/>
        <w:widowControl/>
        <w:snapToGrid w:val="0"/>
        <w:spacing w:beforeAutospacing="0" w:afterAutospacing="0" w:line="288" w:lineRule="auto"/>
        <w:ind w:left="330" w:right="330"/>
        <w:jc w:val="both"/>
        <w:rPr>
          <w:rFonts w:hint="eastAsia" w:ascii="Times New Roman" w:hAnsi="Times New Roman" w:eastAsia="宋体" w:cs="Times New Roman"/>
          <w:color w:val="000000" w:themeColor="text1"/>
          <w:kern w:val="2"/>
          <w:szCs w:val="24"/>
          <w:lang w:val="hr-HR" w:eastAsia="zh-CN"/>
        </w:rPr>
      </w:pPr>
      <w:r>
        <w:rPr>
          <w:rFonts w:hint="eastAsia" w:ascii="Times New Roman" w:hAnsi="Times New Roman" w:eastAsia="宋体" w:cs="Times New Roman"/>
          <w:color w:val="000000" w:themeColor="text1"/>
          <w:kern w:val="2"/>
          <w:szCs w:val="24"/>
          <w:lang w:val="hr-HR" w:eastAsia="zh-CN"/>
        </w:rPr>
        <w:t>2.本公告发布的信息媒体“湖北省政府采购网”、“黄石公共资源交易信息网”及“阳新县人民政府网”。</w:t>
      </w:r>
    </w:p>
    <w:p>
      <w:pPr>
        <w:pStyle w:val="21"/>
        <w:widowControl/>
        <w:snapToGrid w:val="0"/>
        <w:spacing w:beforeAutospacing="0" w:afterAutospacing="0" w:line="288" w:lineRule="auto"/>
        <w:ind w:left="330" w:right="330"/>
        <w:rPr>
          <w:rFonts w:ascii="Times New Roman" w:hAnsi="Times New Roman" w:eastAsia="宋体"/>
          <w:b/>
          <w:bCs/>
          <w:color w:val="000000" w:themeColor="text1"/>
          <w:kern w:val="2"/>
          <w:szCs w:val="24"/>
          <w:lang w:val="hr-HR"/>
        </w:rPr>
      </w:pPr>
      <w:r>
        <w:rPr>
          <w:rFonts w:hint="eastAsia" w:ascii="Times New Roman" w:hAnsi="Times New Roman" w:eastAsia="宋体"/>
          <w:b/>
          <w:bCs/>
          <w:color w:val="000000" w:themeColor="text1"/>
          <w:kern w:val="2"/>
          <w:szCs w:val="24"/>
          <w:lang w:val="hr-HR"/>
        </w:rPr>
        <w:t>七、对本次招标提出询问，请按以下方式联系</w:t>
      </w:r>
    </w:p>
    <w:p>
      <w:pPr>
        <w:snapToGrid w:val="0"/>
        <w:spacing w:line="288" w:lineRule="auto"/>
        <w:ind w:firstLine="480" w:firstLineChars="200"/>
        <w:rPr>
          <w:rFonts w:ascii="Times New Roman" w:hAnsi="Times New Roman" w:eastAsia="宋体" w:cs="Times New Roman"/>
          <w:color w:val="000000" w:themeColor="text1"/>
          <w:sz w:val="24"/>
          <w:szCs w:val="24"/>
          <w:lang w:val="hr-HR"/>
        </w:rPr>
      </w:pPr>
      <w:r>
        <w:rPr>
          <w:rFonts w:hint="eastAsia" w:ascii="Times New Roman" w:hAnsi="Times New Roman" w:eastAsia="宋体" w:cs="Times New Roman"/>
          <w:color w:val="000000" w:themeColor="text1"/>
          <w:sz w:val="24"/>
          <w:szCs w:val="24"/>
          <w:lang w:val="hr-HR"/>
        </w:rPr>
        <w:t>1、采购人信息</w:t>
      </w:r>
    </w:p>
    <w:p>
      <w:pPr>
        <w:snapToGrid w:val="0"/>
        <w:spacing w:line="288" w:lineRule="auto"/>
        <w:ind w:firstLine="480" w:firstLineChars="200"/>
        <w:rPr>
          <w:rFonts w:ascii="Times New Roman" w:hAnsi="Times New Roman" w:eastAsia="宋体" w:cs="Times New Roman"/>
          <w:color w:val="000000" w:themeColor="text1"/>
          <w:sz w:val="24"/>
          <w:szCs w:val="24"/>
          <w:lang w:val="hr-HR"/>
        </w:rPr>
      </w:pPr>
      <w:r>
        <w:rPr>
          <w:rFonts w:hint="eastAsia" w:ascii="Times New Roman" w:hAnsi="Times New Roman" w:eastAsia="宋体" w:cs="Times New Roman"/>
          <w:color w:val="000000" w:themeColor="text1"/>
          <w:sz w:val="24"/>
          <w:szCs w:val="24"/>
          <w:lang w:val="hr-HR"/>
        </w:rPr>
        <w:t xml:space="preserve">名   称：阳新县住房和城乡建设局 </w:t>
      </w:r>
    </w:p>
    <w:p>
      <w:pPr>
        <w:snapToGrid w:val="0"/>
        <w:spacing w:line="288" w:lineRule="auto"/>
        <w:ind w:firstLine="480" w:firstLineChars="200"/>
        <w:rPr>
          <w:rFonts w:ascii="Times New Roman" w:hAnsi="Times New Roman" w:eastAsia="宋体" w:cs="Times New Roman"/>
          <w:color w:val="000000" w:themeColor="text1"/>
          <w:sz w:val="24"/>
          <w:szCs w:val="24"/>
          <w:lang w:val="zh-CN"/>
        </w:rPr>
      </w:pPr>
      <w:r>
        <w:rPr>
          <w:rFonts w:hint="eastAsia" w:ascii="Times New Roman" w:hAnsi="Times New Roman" w:eastAsia="宋体" w:cs="Times New Roman"/>
          <w:color w:val="000000" w:themeColor="text1"/>
          <w:sz w:val="24"/>
          <w:szCs w:val="24"/>
          <w:lang w:val="hr-HR"/>
        </w:rPr>
        <w:t>地   址：阳新县陵园大道13号</w:t>
      </w:r>
    </w:p>
    <w:p>
      <w:pPr>
        <w:snapToGrid w:val="0"/>
        <w:spacing w:line="288" w:lineRule="auto"/>
        <w:ind w:firstLine="480" w:firstLineChars="200"/>
        <w:rPr>
          <w:rFonts w:ascii="Times New Roman" w:hAnsi="Times New Roman" w:eastAsia="宋体" w:cs="Times New Roman"/>
          <w:color w:val="000000" w:themeColor="text1"/>
          <w:sz w:val="24"/>
          <w:szCs w:val="24"/>
          <w:lang w:val="zh-CN"/>
        </w:rPr>
      </w:pPr>
      <w:r>
        <w:rPr>
          <w:rFonts w:hint="eastAsia" w:ascii="Times New Roman" w:hAnsi="Times New Roman" w:eastAsia="宋体" w:cs="Times New Roman"/>
          <w:color w:val="000000" w:themeColor="text1"/>
          <w:sz w:val="24"/>
          <w:szCs w:val="24"/>
          <w:lang w:val="zh-CN"/>
        </w:rPr>
        <w:t>联系人：</w:t>
      </w:r>
      <w:r>
        <w:rPr>
          <w:rFonts w:hint="eastAsia" w:ascii="Times New Roman" w:hAnsi="Times New Roman" w:eastAsia="宋体" w:cs="Times New Roman"/>
          <w:color w:val="000000" w:themeColor="text1"/>
          <w:sz w:val="24"/>
          <w:szCs w:val="24"/>
        </w:rPr>
        <w:t>徐利水</w:t>
      </w:r>
    </w:p>
    <w:p>
      <w:pPr>
        <w:snapToGrid w:val="0"/>
        <w:spacing w:line="288"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联系电</w:t>
      </w:r>
      <w:r>
        <w:rPr>
          <w:rFonts w:hint="eastAsia" w:ascii="Times New Roman" w:hAnsi="Times New Roman" w:eastAsia="宋体" w:cs="Times New Roman"/>
          <w:color w:val="000000" w:themeColor="text1"/>
          <w:sz w:val="24"/>
          <w:szCs w:val="24"/>
          <w:lang w:val="zh-CN"/>
        </w:rPr>
        <w:t>话：</w:t>
      </w:r>
      <w:r>
        <w:rPr>
          <w:rFonts w:hint="eastAsia" w:ascii="Times New Roman" w:hAnsi="Times New Roman" w:eastAsia="宋体" w:cs="Times New Roman"/>
          <w:color w:val="000000" w:themeColor="text1"/>
          <w:sz w:val="24"/>
          <w:szCs w:val="24"/>
        </w:rPr>
        <w:t>18972766686</w:t>
      </w:r>
    </w:p>
    <w:p>
      <w:pPr>
        <w:snapToGrid w:val="0"/>
        <w:spacing w:line="288" w:lineRule="auto"/>
        <w:ind w:firstLine="480" w:firstLineChars="200"/>
        <w:rPr>
          <w:rFonts w:ascii="Times New Roman" w:hAnsi="Times New Roman" w:eastAsia="宋体" w:cs="Times New Roman"/>
          <w:color w:val="000000" w:themeColor="text1"/>
          <w:sz w:val="24"/>
          <w:szCs w:val="24"/>
          <w:lang w:val="hr-HR"/>
        </w:rPr>
      </w:pPr>
      <w:r>
        <w:rPr>
          <w:rFonts w:hint="eastAsia" w:ascii="Times New Roman" w:hAnsi="Times New Roman" w:eastAsia="宋体" w:cs="Times New Roman"/>
          <w:color w:val="000000" w:themeColor="text1"/>
          <w:sz w:val="24"/>
          <w:szCs w:val="24"/>
          <w:lang w:val="hr-HR"/>
        </w:rPr>
        <w:t>2、采购代理机构信息</w:t>
      </w:r>
    </w:p>
    <w:p>
      <w:pPr>
        <w:snapToGrid w:val="0"/>
        <w:spacing w:line="288" w:lineRule="auto"/>
        <w:ind w:firstLine="480" w:firstLineChars="200"/>
        <w:rPr>
          <w:rFonts w:ascii="Times New Roman" w:hAnsi="Times New Roman" w:eastAsia="宋体" w:cs="Times New Roman"/>
          <w:color w:val="000000" w:themeColor="text1"/>
          <w:sz w:val="24"/>
          <w:szCs w:val="24"/>
          <w:lang w:val="hr-HR"/>
        </w:rPr>
      </w:pPr>
      <w:r>
        <w:rPr>
          <w:rFonts w:hint="eastAsia" w:ascii="Times New Roman" w:hAnsi="Times New Roman" w:eastAsia="宋体" w:cs="Times New Roman"/>
          <w:color w:val="000000" w:themeColor="text1"/>
          <w:sz w:val="24"/>
          <w:szCs w:val="24"/>
          <w:lang w:val="hr-HR"/>
        </w:rPr>
        <w:t>名   称：湖北大绪工程项目管理有限公司</w:t>
      </w:r>
    </w:p>
    <w:p>
      <w:pPr>
        <w:snapToGrid w:val="0"/>
        <w:spacing w:line="288"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lang w:val="zh-CN"/>
        </w:rPr>
        <w:t>地   址：</w:t>
      </w:r>
      <w:r>
        <w:rPr>
          <w:rFonts w:hint="eastAsia" w:ascii="Times New Roman" w:hAnsi="Times New Roman" w:eastAsia="宋体" w:cs="Times New Roman"/>
          <w:color w:val="000000" w:themeColor="text1"/>
          <w:sz w:val="24"/>
          <w:szCs w:val="24"/>
        </w:rPr>
        <w:t>阳新县王龙港小区9栋1单元</w:t>
      </w:r>
    </w:p>
    <w:p>
      <w:pPr>
        <w:snapToGrid w:val="0"/>
        <w:spacing w:line="288"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lang w:val="zh-CN"/>
        </w:rPr>
        <w:t>联系方式：</w:t>
      </w:r>
      <w:r>
        <w:rPr>
          <w:rFonts w:hint="eastAsia" w:ascii="Times New Roman" w:hAnsi="Times New Roman" w:eastAsia="宋体" w:cs="Times New Roman"/>
          <w:color w:val="000000" w:themeColor="text1"/>
          <w:sz w:val="24"/>
          <w:szCs w:val="24"/>
        </w:rPr>
        <w:t>15072070168</w:t>
      </w:r>
    </w:p>
    <w:p>
      <w:pPr>
        <w:snapToGrid w:val="0"/>
        <w:spacing w:line="288" w:lineRule="auto"/>
        <w:ind w:firstLine="480" w:firstLineChars="200"/>
        <w:rPr>
          <w:rFonts w:ascii="Times New Roman" w:hAnsi="Times New Roman" w:eastAsia="宋体" w:cs="Times New Roman"/>
          <w:color w:val="000000" w:themeColor="text1"/>
          <w:sz w:val="24"/>
          <w:szCs w:val="24"/>
          <w:lang w:val="hr-HR"/>
        </w:rPr>
      </w:pPr>
      <w:r>
        <w:rPr>
          <w:rFonts w:hint="eastAsia" w:ascii="Times New Roman" w:hAnsi="Times New Roman" w:eastAsia="宋体" w:cs="Times New Roman"/>
          <w:color w:val="000000" w:themeColor="text1"/>
          <w:sz w:val="24"/>
          <w:szCs w:val="24"/>
          <w:lang w:val="hr-HR"/>
        </w:rPr>
        <w:t>3、项目联系方式</w:t>
      </w:r>
    </w:p>
    <w:p>
      <w:pPr>
        <w:snapToGrid w:val="0"/>
        <w:spacing w:line="288" w:lineRule="auto"/>
        <w:ind w:firstLine="480" w:firstLineChars="200"/>
        <w:rPr>
          <w:rFonts w:ascii="Times New Roman" w:hAnsi="Times New Roman" w:eastAsia="宋体" w:cs="Times New Roman"/>
          <w:color w:val="000000" w:themeColor="text1"/>
          <w:sz w:val="24"/>
          <w:szCs w:val="24"/>
          <w:lang w:val="hr-HR"/>
        </w:rPr>
      </w:pPr>
      <w:r>
        <w:rPr>
          <w:rFonts w:hint="eastAsia" w:ascii="Times New Roman" w:hAnsi="Times New Roman" w:eastAsia="宋体" w:cs="Times New Roman"/>
          <w:color w:val="000000" w:themeColor="text1"/>
          <w:sz w:val="24"/>
          <w:szCs w:val="24"/>
          <w:lang w:val="hr-HR"/>
        </w:rPr>
        <w:t>项目联系人：姜玉华</w:t>
      </w:r>
    </w:p>
    <w:p>
      <w:pPr>
        <w:snapToGrid w:val="0"/>
        <w:spacing w:line="288"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lang w:val="hr-HR"/>
        </w:rPr>
        <w:t>电   话：</w:t>
      </w:r>
      <w:r>
        <w:rPr>
          <w:rFonts w:hint="eastAsia" w:ascii="Times New Roman" w:hAnsi="Times New Roman" w:eastAsia="宋体" w:cs="Times New Roman"/>
          <w:color w:val="000000" w:themeColor="text1"/>
          <w:sz w:val="24"/>
          <w:szCs w:val="24"/>
        </w:rPr>
        <w:t>15072070168</w:t>
      </w:r>
    </w:p>
    <w:p>
      <w:pPr>
        <w:pStyle w:val="33"/>
        <w:snapToGrid w:val="0"/>
        <w:spacing w:line="288" w:lineRule="auto"/>
        <w:ind w:firstLine="0" w:firstLineChars="0"/>
        <w:jc w:val="right"/>
        <w:rPr>
          <w:rFonts w:ascii="Times New Roman" w:hAnsi="Times New Roman" w:eastAsia="宋体" w:cs="Times New Roman"/>
          <w:color w:val="000000" w:themeColor="text1"/>
          <w:szCs w:val="24"/>
          <w:lang w:val="hr-HR"/>
        </w:rPr>
      </w:pPr>
      <w:r>
        <w:rPr>
          <w:rFonts w:hint="eastAsia" w:ascii="Times New Roman" w:hAnsi="Times New Roman" w:eastAsia="宋体" w:cs="Times New Roman"/>
          <w:color w:val="000000" w:themeColor="text1"/>
          <w:szCs w:val="24"/>
          <w:lang w:val="hr-HR"/>
        </w:rPr>
        <w:t>2022年</w:t>
      </w:r>
      <w:r>
        <w:rPr>
          <w:rFonts w:hint="eastAsia" w:ascii="Times New Roman" w:hAnsi="Times New Roman" w:eastAsia="宋体" w:cs="Times New Roman"/>
          <w:color w:val="000000" w:themeColor="text1"/>
          <w:szCs w:val="24"/>
          <w:lang w:val="en-US" w:eastAsia="zh-CN"/>
        </w:rPr>
        <w:t>5</w:t>
      </w:r>
      <w:r>
        <w:rPr>
          <w:rFonts w:hint="eastAsia" w:ascii="Times New Roman" w:hAnsi="Times New Roman" w:eastAsia="宋体" w:cs="Times New Roman"/>
          <w:color w:val="000000" w:themeColor="text1"/>
          <w:szCs w:val="24"/>
          <w:lang w:val="hr-HR"/>
        </w:rPr>
        <w:t>月</w:t>
      </w:r>
      <w:r>
        <w:rPr>
          <w:rFonts w:hint="eastAsia" w:ascii="Times New Roman" w:hAnsi="Times New Roman" w:eastAsia="宋体" w:cs="Times New Roman"/>
          <w:color w:val="000000" w:themeColor="text1"/>
          <w:szCs w:val="24"/>
          <w:lang w:val="en-US" w:eastAsia="zh-CN"/>
        </w:rPr>
        <w:t>25</w:t>
      </w:r>
      <w:r>
        <w:rPr>
          <w:rFonts w:hint="eastAsia" w:ascii="Times New Roman" w:hAnsi="Times New Roman" w:eastAsia="宋体" w:cs="Times New Roman"/>
          <w:color w:val="000000" w:themeColor="text1"/>
          <w:szCs w:val="24"/>
          <w:lang w:val="hr-HR"/>
        </w:rPr>
        <w:t>日</w:t>
      </w:r>
    </w:p>
    <w:p>
      <w:pPr>
        <w:rPr>
          <w:lang w:val="hr-HR"/>
        </w:rPr>
      </w:pPr>
      <w:r>
        <w:rPr>
          <w:rFonts w:hint="eastAsia" w:ascii="Times New Roman" w:hAnsi="Times New Roman" w:eastAsia="宋体" w:cs="Times New Roman"/>
          <w:color w:val="000000" w:themeColor="text1"/>
          <w:sz w:val="24"/>
          <w:szCs w:val="24"/>
          <w:lang w:val="hr-HR"/>
        </w:rPr>
        <w:br w:type="page"/>
      </w:r>
    </w:p>
    <w:p>
      <w:pPr>
        <w:pStyle w:val="3"/>
        <w:numPr>
          <w:ilvl w:val="0"/>
          <w:numId w:val="1"/>
        </w:numPr>
        <w:spacing w:before="240" w:after="120" w:line="240" w:lineRule="auto"/>
        <w:ind w:left="880" w:hanging="883" w:hangingChars="200"/>
        <w:jc w:val="center"/>
        <w:rPr>
          <w:rFonts w:ascii="黑体" w:hAnsi="黑体" w:eastAsia="黑体"/>
        </w:rPr>
      </w:pPr>
      <w:bookmarkStart w:id="13" w:name="_Toc21225"/>
      <w:r>
        <w:rPr>
          <w:rFonts w:hint="eastAsia" w:ascii="黑体" w:hAnsi="黑体" w:eastAsia="黑体"/>
        </w:rPr>
        <w:t>投标人须知</w:t>
      </w:r>
      <w:bookmarkEnd w:id="13"/>
    </w:p>
    <w:p>
      <w:pPr>
        <w:keepNext/>
        <w:keepLines/>
        <w:spacing w:line="360" w:lineRule="auto"/>
        <w:jc w:val="center"/>
        <w:outlineLvl w:val="1"/>
        <w:rPr>
          <w:rFonts w:hint="eastAsia" w:ascii="宋体" w:hAnsi="宋体" w:eastAsia="宋体" w:cs="宋体"/>
          <w:color w:val="000000" w:themeColor="text1"/>
          <w:kern w:val="0"/>
          <w:sz w:val="24"/>
          <w:szCs w:val="24"/>
        </w:rPr>
      </w:pPr>
      <w:bookmarkStart w:id="14" w:name="_Toc22921"/>
      <w:bookmarkStart w:id="15" w:name="_Toc494561937"/>
      <w:r>
        <w:rPr>
          <w:rFonts w:cs="Times New Roman" w:asciiTheme="majorEastAsia" w:hAnsiTheme="majorEastAsia" w:eastAsiaTheme="majorEastAsia"/>
          <w:b/>
          <w:bCs/>
          <w:sz w:val="32"/>
          <w:szCs w:val="32"/>
          <w:lang w:val="zh-CN"/>
        </w:rPr>
        <w:t>投标须知前附表</w:t>
      </w:r>
      <w:bookmarkEnd w:id="14"/>
      <w:bookmarkEnd w:id="15"/>
    </w:p>
    <w:tbl>
      <w:tblPr>
        <w:tblStyle w:val="24"/>
        <w:tblW w:w="8496" w:type="dxa"/>
        <w:tblInd w:w="12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2337"/>
        <w:gridCol w:w="54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15" w:type="dxa"/>
            <w:tcBorders>
              <w:top w:val="single" w:color="auto" w:sz="4" w:space="0"/>
              <w:bottom w:val="single" w:color="auto" w:sz="4" w:space="0"/>
              <w:right w:val="single" w:color="auto" w:sz="4" w:space="0"/>
            </w:tcBorders>
            <w:vAlign w:val="center"/>
          </w:tcPr>
          <w:p>
            <w:pPr>
              <w:spacing w:line="276" w:lineRule="auto"/>
              <w:ind w:left="-53" w:leftChars="-25" w:right="-27" w:rightChars="-13"/>
              <w:jc w:val="center"/>
              <w:rPr>
                <w:rFonts w:ascii="宋体" w:hAnsi="宋体" w:eastAsia="宋体" w:cs="Times New Roman"/>
                <w:b/>
                <w:sz w:val="24"/>
                <w:szCs w:val="24"/>
              </w:rPr>
            </w:pPr>
            <w:r>
              <w:rPr>
                <w:rFonts w:ascii="宋体" w:hAnsi="宋体" w:eastAsia="宋体" w:cs="Times New Roman"/>
                <w:b/>
                <w:sz w:val="24"/>
                <w:szCs w:val="24"/>
              </w:rPr>
              <w:t>序号</w:t>
            </w:r>
          </w:p>
        </w:tc>
        <w:tc>
          <w:tcPr>
            <w:tcW w:w="2337" w:type="dxa"/>
            <w:tcBorders>
              <w:top w:val="single" w:color="auto" w:sz="4" w:space="0"/>
              <w:left w:val="single" w:color="auto" w:sz="4" w:space="0"/>
              <w:bottom w:val="single" w:color="auto" w:sz="4" w:space="0"/>
              <w:right w:val="single" w:color="auto" w:sz="4" w:space="0"/>
            </w:tcBorders>
            <w:vAlign w:val="center"/>
          </w:tcPr>
          <w:p>
            <w:pPr>
              <w:spacing w:line="276" w:lineRule="auto"/>
              <w:ind w:right="-11"/>
              <w:jc w:val="center"/>
              <w:rPr>
                <w:rFonts w:ascii="Times New Roman" w:hAnsi="Times New Roman" w:eastAsia="宋体" w:cs="Times New Roman"/>
                <w:b/>
                <w:sz w:val="24"/>
                <w:szCs w:val="24"/>
              </w:rPr>
            </w:pPr>
            <w:r>
              <w:rPr>
                <w:rFonts w:hint="eastAsia" w:ascii="Times New Roman" w:hAnsi="宋体" w:eastAsia="宋体" w:cs="Times New Roman"/>
                <w:b/>
                <w:sz w:val="24"/>
                <w:szCs w:val="24"/>
              </w:rPr>
              <w:t>名  称</w:t>
            </w:r>
          </w:p>
        </w:tc>
        <w:tc>
          <w:tcPr>
            <w:tcW w:w="5444" w:type="dxa"/>
            <w:tcBorders>
              <w:top w:val="single" w:color="auto" w:sz="4" w:space="0"/>
              <w:left w:val="single" w:color="auto" w:sz="4" w:space="0"/>
              <w:bottom w:val="single" w:color="auto" w:sz="4" w:space="0"/>
            </w:tcBorders>
            <w:vAlign w:val="center"/>
          </w:tcPr>
          <w:p>
            <w:pPr>
              <w:spacing w:line="276" w:lineRule="auto"/>
              <w:ind w:left="57" w:right="57" w:firstLine="484" w:firstLineChars="201"/>
              <w:jc w:val="center"/>
              <w:rPr>
                <w:rFonts w:ascii="Times New Roman" w:hAnsi="Times New Roman" w:eastAsia="宋体" w:cs="Times New Roman"/>
                <w:b/>
                <w:sz w:val="24"/>
                <w:szCs w:val="24"/>
              </w:rPr>
            </w:pPr>
            <w:r>
              <w:rPr>
                <w:rFonts w:ascii="Times New Roman" w:hAnsi="宋体" w:eastAsia="宋体" w:cs="Times New Roman"/>
                <w:b/>
                <w:sz w:val="24"/>
                <w:szCs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4"/>
                <w:szCs w:val="24"/>
                <w:lang w:val="en-US" w:eastAsia="zh-CN"/>
              </w:rPr>
            </w:pPr>
            <w:r>
              <w:rPr>
                <w:rFonts w:hint="eastAsia" w:ascii="Times New Roman" w:hAnsi="Times New Roman" w:eastAsia="宋体" w:cs="Times New Roman"/>
                <w:color w:val="000000" w:themeColor="text1"/>
                <w:sz w:val="24"/>
                <w:szCs w:val="24"/>
                <w:lang w:val="en-US" w:eastAsia="zh-CN"/>
              </w:rPr>
              <w:t>项目编号</w:t>
            </w:r>
          </w:p>
        </w:tc>
        <w:tc>
          <w:tcPr>
            <w:tcW w:w="5444" w:type="dxa"/>
            <w:tcBorders>
              <w:top w:val="single" w:color="auto" w:sz="4" w:space="0"/>
              <w:left w:val="single" w:color="auto" w:sz="4" w:space="0"/>
              <w:bottom w:val="single" w:color="auto" w:sz="4" w:space="0"/>
            </w:tcBorders>
            <w:vAlign w:val="center"/>
          </w:tcPr>
          <w:p>
            <w:pPr>
              <w:pStyle w:val="21"/>
              <w:widowControl/>
              <w:snapToGrid w:val="0"/>
              <w:spacing w:beforeAutospacing="0" w:afterAutospacing="0" w:line="288" w:lineRule="auto"/>
              <w:ind w:right="330"/>
              <w:jc w:val="both"/>
              <w:rPr>
                <w:rFonts w:hint="default" w:ascii="Times New Roman" w:hAnsi="Times New Roman" w:eastAsia="宋体" w:cs="Times New Roman"/>
                <w:color w:val="000000" w:themeColor="text1"/>
                <w:sz w:val="24"/>
                <w:szCs w:val="24"/>
                <w:lang w:val="en-US" w:eastAsia="zh-CN"/>
              </w:rPr>
            </w:pPr>
            <w:r>
              <w:rPr>
                <w:rFonts w:hint="eastAsia" w:ascii="Times New Roman" w:hAnsi="Times New Roman" w:eastAsia="宋体"/>
                <w:color w:val="000000" w:themeColor="text1"/>
                <w:kern w:val="2"/>
                <w:szCs w:val="24"/>
                <w:lang w:val="hr-HR"/>
              </w:rPr>
              <w:t>131-2022CG-</w:t>
            </w:r>
            <w:r>
              <w:rPr>
                <w:rFonts w:hint="eastAsia" w:ascii="Times New Roman" w:hAnsi="Times New Roman" w:eastAsia="宋体"/>
                <w:color w:val="000000" w:themeColor="text1"/>
                <w:kern w:val="2"/>
                <w:szCs w:val="24"/>
                <w:lang w:val="en-US" w:eastAsia="zh-CN"/>
              </w:rPr>
              <w:t>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color w:val="000000" w:themeColor="text1"/>
                <w:sz w:val="24"/>
                <w:szCs w:val="24"/>
                <w:lang w:val="hr-HR"/>
              </w:rPr>
              <w:t>项目名称</w:t>
            </w:r>
          </w:p>
        </w:tc>
        <w:tc>
          <w:tcPr>
            <w:tcW w:w="5444" w:type="dxa"/>
            <w:tcBorders>
              <w:top w:val="single" w:color="auto" w:sz="4" w:space="0"/>
              <w:left w:val="single" w:color="auto" w:sz="4" w:space="0"/>
              <w:bottom w:val="single" w:color="auto" w:sz="4" w:space="0"/>
            </w:tcBorders>
            <w:vAlign w:val="center"/>
          </w:tcPr>
          <w:p>
            <w:pPr>
              <w:jc w:val="both"/>
              <w:rPr>
                <w:rFonts w:ascii="Times New Roman" w:hAnsi="Times New Roman" w:eastAsia="宋体" w:cs="Times New Roman"/>
                <w:color w:val="FF0000"/>
                <w:sz w:val="24"/>
                <w:szCs w:val="24"/>
              </w:rPr>
            </w:pPr>
            <w:r>
              <w:rPr>
                <w:rFonts w:hint="eastAsia" w:ascii="Times New Roman" w:hAnsi="Times New Roman" w:eastAsia="宋体" w:cs="Times New Roman"/>
                <w:color w:val="000000" w:themeColor="text1"/>
                <w:sz w:val="24"/>
                <w:szCs w:val="24"/>
                <w:lang w:val="zh-CN"/>
              </w:rPr>
              <w:t>阳新县长江大保护水环境综合治理PPP项目（一期工程）建设项目检测服务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Times New Roman" w:hAnsi="Times New Roman" w:eastAsia="宋体" w:cs="Times New Roman"/>
                <w:color w:val="000000" w:themeColor="text1"/>
                <w:sz w:val="24"/>
                <w:szCs w:val="24"/>
                <w:lang w:val="hr-HR"/>
              </w:rPr>
              <w:t>项目属性</w:t>
            </w:r>
          </w:p>
        </w:tc>
        <w:tc>
          <w:tcPr>
            <w:tcW w:w="5444" w:type="dxa"/>
            <w:tcBorders>
              <w:top w:val="single" w:color="auto" w:sz="4" w:space="0"/>
              <w:left w:val="single" w:color="auto" w:sz="4" w:space="0"/>
              <w:bottom w:val="single" w:color="auto" w:sz="4" w:space="0"/>
            </w:tcBorders>
            <w:vAlign w:val="center"/>
          </w:tcPr>
          <w:p>
            <w:pPr>
              <w:jc w:val="both"/>
              <w:rPr>
                <w:rFonts w:hint="eastAsia" w:ascii="Times New Roman" w:hAnsi="Times New Roman" w:eastAsia="宋体" w:cs="Times New Roman"/>
                <w:color w:val="000000" w:themeColor="text1"/>
                <w:sz w:val="24"/>
                <w:szCs w:val="24"/>
                <w:lang w:eastAsia="zh-CN"/>
              </w:rPr>
            </w:pPr>
            <w:r>
              <w:rPr>
                <w:rFonts w:hint="eastAsia" w:ascii="Times New Roman" w:hAnsi="Times New Roman" w:eastAsia="宋体" w:cs="Times New Roman"/>
                <w:color w:val="000000" w:themeColor="text1"/>
                <w:sz w:val="24"/>
                <w:szCs w:val="24"/>
                <w:lang w:val="hr-HR"/>
              </w:rPr>
              <w:t>采购（服务类）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color w:val="0D0D0D"/>
                <w:sz w:val="24"/>
                <w:szCs w:val="24"/>
              </w:rPr>
            </w:pPr>
            <w:r>
              <w:rPr>
                <w:rFonts w:hint="eastAsia" w:ascii="Times New Roman" w:hAnsi="Times New Roman" w:eastAsia="宋体" w:cs="Times New Roman"/>
                <w:color w:val="000000" w:themeColor="text1"/>
                <w:sz w:val="24"/>
                <w:szCs w:val="24"/>
                <w:lang w:val="hr-HR"/>
              </w:rPr>
              <w:t>采购人</w:t>
            </w:r>
          </w:p>
        </w:tc>
        <w:tc>
          <w:tcPr>
            <w:tcW w:w="5444" w:type="dxa"/>
            <w:tcBorders>
              <w:top w:val="single" w:color="auto" w:sz="4" w:space="0"/>
              <w:left w:val="single" w:color="auto" w:sz="4" w:space="0"/>
              <w:bottom w:val="single" w:color="auto" w:sz="4" w:space="0"/>
            </w:tcBorders>
            <w:vAlign w:val="center"/>
          </w:tcPr>
          <w:p>
            <w:pPr>
              <w:jc w:val="both"/>
              <w:rPr>
                <w:rFonts w:ascii="宋体" w:hAnsi="宋体" w:eastAsia="宋体" w:cs="宋体"/>
                <w:color w:val="000000" w:themeColor="text1"/>
                <w:kern w:val="0"/>
                <w:sz w:val="24"/>
                <w:szCs w:val="24"/>
              </w:rPr>
            </w:pPr>
            <w:r>
              <w:rPr>
                <w:rFonts w:hint="eastAsia" w:ascii="Times New Roman" w:hAnsi="Times New Roman" w:eastAsia="宋体" w:cs="Times New Roman"/>
                <w:color w:val="000000" w:themeColor="text1"/>
                <w:sz w:val="24"/>
                <w:szCs w:val="24"/>
                <w:lang w:val="hr-HR"/>
              </w:rPr>
              <w:t>阳新县住房和城乡建设局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Times New Roman" w:hAnsi="Times New Roman" w:eastAsia="宋体" w:cs="Times New Roman"/>
                <w:color w:val="000000" w:themeColor="text1"/>
                <w:sz w:val="24"/>
                <w:szCs w:val="24"/>
                <w:lang w:val="hr-HR"/>
              </w:rPr>
              <w:t>资金来源</w:t>
            </w:r>
          </w:p>
        </w:tc>
        <w:tc>
          <w:tcPr>
            <w:tcW w:w="5444" w:type="dxa"/>
            <w:tcBorders>
              <w:top w:val="single" w:color="auto" w:sz="4" w:space="0"/>
              <w:left w:val="single" w:color="auto" w:sz="4" w:space="0"/>
              <w:bottom w:val="single" w:color="auto" w:sz="4" w:space="0"/>
            </w:tcBorders>
            <w:vAlign w:val="center"/>
          </w:tcPr>
          <w:p>
            <w:pPr>
              <w:jc w:val="both"/>
              <w:rPr>
                <w:rFonts w:ascii="宋体" w:hAnsi="宋体" w:eastAsia="宋体" w:cs="宋体"/>
                <w:color w:val="000000" w:themeColor="text1"/>
                <w:kern w:val="0"/>
                <w:sz w:val="24"/>
                <w:szCs w:val="24"/>
              </w:rPr>
            </w:pPr>
            <w:r>
              <w:rPr>
                <w:rFonts w:hint="eastAsia" w:ascii="Times New Roman" w:hAnsi="Times New Roman" w:eastAsia="宋体" w:cs="Times New Roman"/>
                <w:color w:val="000000" w:themeColor="text1"/>
                <w:sz w:val="24"/>
                <w:szCs w:val="24"/>
                <w:lang w:val="hr-HR"/>
              </w:rPr>
              <w:t>由阳新县长江大保护水环境综合治理PPP项目项目公司出资，出资比例100%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宋体" w:hAnsi="宋体" w:eastAsia="宋体" w:cs="宋体"/>
                <w:color w:val="000000" w:themeColor="text1"/>
                <w:kern w:val="0"/>
                <w:sz w:val="24"/>
                <w:szCs w:val="24"/>
              </w:rPr>
              <w:t>资金落实情况</w:t>
            </w:r>
          </w:p>
        </w:tc>
        <w:tc>
          <w:tcPr>
            <w:tcW w:w="5444" w:type="dxa"/>
            <w:tcBorders>
              <w:top w:val="single" w:color="auto" w:sz="4" w:space="0"/>
              <w:left w:val="single" w:color="auto" w:sz="4" w:space="0"/>
              <w:bottom w:val="single" w:color="auto" w:sz="4" w:space="0"/>
            </w:tcBorders>
            <w:vAlign w:val="center"/>
          </w:tcPr>
          <w:p>
            <w:pPr>
              <w:jc w:val="both"/>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宋体" w:hAnsi="宋体" w:eastAsia="宋体" w:cs="宋体"/>
                <w:color w:val="000000" w:themeColor="text1"/>
                <w:kern w:val="0"/>
                <w:sz w:val="24"/>
                <w:szCs w:val="24"/>
              </w:rPr>
              <w:t>采购内容</w:t>
            </w:r>
          </w:p>
        </w:tc>
        <w:tc>
          <w:tcPr>
            <w:tcW w:w="5444" w:type="dxa"/>
            <w:tcBorders>
              <w:top w:val="single" w:color="auto" w:sz="4" w:space="0"/>
              <w:left w:val="single" w:color="auto" w:sz="4" w:space="0"/>
              <w:bottom w:val="single" w:color="auto" w:sz="4" w:space="0"/>
            </w:tcBorders>
            <w:vAlign w:val="center"/>
          </w:tcPr>
          <w:p>
            <w:pPr>
              <w:jc w:val="both"/>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详见第三章采购需求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9"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宋体" w:hAnsi="宋体" w:eastAsia="宋体" w:cs="宋体"/>
                <w:color w:val="000000" w:themeColor="text1"/>
                <w:kern w:val="0"/>
                <w:sz w:val="24"/>
                <w:szCs w:val="24"/>
              </w:rPr>
              <w:t>合同履行期限</w:t>
            </w:r>
          </w:p>
        </w:tc>
        <w:tc>
          <w:tcPr>
            <w:tcW w:w="5444" w:type="dxa"/>
            <w:tcBorders>
              <w:top w:val="single" w:color="auto" w:sz="4" w:space="0"/>
              <w:left w:val="single" w:color="auto" w:sz="4" w:space="0"/>
              <w:bottom w:val="single" w:color="auto" w:sz="4" w:space="0"/>
            </w:tcBorders>
            <w:vAlign w:val="center"/>
          </w:tcPr>
          <w:p>
            <w:pPr>
              <w:jc w:val="both"/>
              <w:rPr>
                <w:rFonts w:ascii="宋体" w:hAnsi="宋体" w:eastAsia="宋体" w:cs="宋体"/>
                <w:kern w:val="0"/>
                <w:sz w:val="24"/>
                <w:szCs w:val="24"/>
              </w:rPr>
            </w:pPr>
            <w:r>
              <w:rPr>
                <w:rFonts w:hint="eastAsia" w:ascii="宋体" w:hAnsi="宋体" w:eastAsia="宋体" w:cs="宋体"/>
                <w:color w:val="000000" w:themeColor="text1"/>
                <w:kern w:val="0"/>
                <w:sz w:val="24"/>
                <w:szCs w:val="24"/>
                <w:lang w:val="hr-HR" w:eastAsia="zh-CN"/>
              </w:rPr>
              <w:t>自合同签订之日起至本项目完工提交认可的全过程见证取样检测报告，服务期与施工工期同步，并须满足施工方实际施工进度要求。若因施工方实际施工工期延长或提前，则相应的检测工作随之延长或提前</w:t>
            </w:r>
            <w:r>
              <w:rPr>
                <w:rFonts w:hint="eastAsia" w:ascii="宋体" w:hAnsi="宋体" w:eastAsia="宋体" w:cs="宋体"/>
                <w:color w:val="000000" w:themeColor="text1"/>
                <w:kern w:val="0"/>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宋体"/>
                <w:color w:val="000000" w:themeColor="text1"/>
                <w:kern w:val="0"/>
                <w:sz w:val="24"/>
                <w:szCs w:val="24"/>
              </w:rPr>
              <w:t>供应商资格要求</w:t>
            </w:r>
          </w:p>
        </w:tc>
        <w:tc>
          <w:tcPr>
            <w:tcW w:w="5444" w:type="dxa"/>
            <w:tcBorders>
              <w:top w:val="single" w:color="auto" w:sz="4" w:space="0"/>
              <w:left w:val="single" w:color="auto" w:sz="4" w:space="0"/>
              <w:bottom w:val="single" w:color="auto" w:sz="4" w:space="0"/>
            </w:tcBorders>
            <w:vAlign w:val="center"/>
          </w:tcPr>
          <w:p>
            <w:pPr>
              <w:jc w:val="both"/>
              <w:rPr>
                <w:rFonts w:ascii="Times New Roman" w:hAnsi="Times New Roman" w:eastAsia="宋体" w:cs="Times New Roman"/>
                <w:color w:val="0D0D0D"/>
                <w:sz w:val="24"/>
                <w:szCs w:val="24"/>
              </w:rPr>
            </w:pPr>
            <w:r>
              <w:rPr>
                <w:rFonts w:hint="eastAsia" w:ascii="Times New Roman" w:hAnsi="Times New Roman" w:eastAsia="宋体" w:cs="Times New Roman"/>
                <w:color w:val="0D0D0D"/>
                <w:sz w:val="24"/>
                <w:szCs w:val="24"/>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宋体" w:hAnsi="宋体" w:eastAsia="宋体" w:cs="宋体"/>
                <w:color w:val="000000" w:themeColor="text1"/>
                <w:kern w:val="0"/>
                <w:sz w:val="24"/>
                <w:szCs w:val="24"/>
              </w:rPr>
              <w:t>资格审查方式</w:t>
            </w:r>
          </w:p>
        </w:tc>
        <w:tc>
          <w:tcPr>
            <w:tcW w:w="5444" w:type="dxa"/>
            <w:tcBorders>
              <w:top w:val="single" w:color="auto" w:sz="4" w:space="0"/>
              <w:left w:val="single" w:color="auto" w:sz="4" w:space="0"/>
              <w:bottom w:val="single" w:color="auto" w:sz="4" w:space="0"/>
            </w:tcBorders>
            <w:vAlign w:val="center"/>
          </w:tcPr>
          <w:p>
            <w:pPr>
              <w:jc w:val="both"/>
              <w:rPr>
                <w:rFonts w:ascii="Times New Roman" w:hAnsi="Times New Roman" w:eastAsia="宋体" w:cs="Times New Roman"/>
                <w:color w:val="0D0D0D"/>
                <w:sz w:val="24"/>
                <w:szCs w:val="24"/>
              </w:rPr>
            </w:pPr>
            <w:r>
              <w:rPr>
                <w:rFonts w:hint="eastAsia" w:ascii="宋体" w:hAnsi="宋体" w:eastAsia="宋体" w:cs="宋体"/>
                <w:color w:val="000000" w:themeColor="text1"/>
                <w:kern w:val="0"/>
                <w:sz w:val="24"/>
                <w:szCs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投标文件的份数</w:t>
            </w:r>
          </w:p>
        </w:tc>
        <w:tc>
          <w:tcPr>
            <w:tcW w:w="5444" w:type="dxa"/>
            <w:tcBorders>
              <w:top w:val="single" w:color="auto" w:sz="4" w:space="0"/>
              <w:left w:val="single" w:color="auto" w:sz="4" w:space="0"/>
              <w:bottom w:val="single" w:color="auto" w:sz="4" w:space="0"/>
            </w:tcBorders>
            <w:vAlign w:val="center"/>
          </w:tcPr>
          <w:p>
            <w:pPr>
              <w:jc w:val="left"/>
              <w:rPr>
                <w:rFonts w:hint="eastAsia" w:ascii="宋体" w:hAnsi="宋体" w:eastAsia="宋体" w:cs="宋体"/>
                <w:color w:val="000000" w:themeColor="text1"/>
                <w:kern w:val="0"/>
                <w:sz w:val="24"/>
                <w:szCs w:val="24"/>
              </w:rPr>
            </w:pPr>
            <w:r>
              <w:rPr>
                <w:rFonts w:ascii="Times New Roman" w:hAnsi="Times New Roman" w:eastAsia="宋体" w:cs="Times New Roman"/>
                <w:color w:val="0D0D0D"/>
                <w:sz w:val="24"/>
                <w:szCs w:val="24"/>
              </w:rPr>
              <w:t>正本</w:t>
            </w:r>
            <w:r>
              <w:rPr>
                <w:rFonts w:hint="eastAsia" w:ascii="Times New Roman" w:hAnsi="Times New Roman" w:eastAsia="宋体" w:cs="Times New Roman"/>
                <w:color w:val="0D0D0D"/>
                <w:sz w:val="24"/>
                <w:szCs w:val="24"/>
              </w:rPr>
              <w:t>一</w:t>
            </w:r>
            <w:r>
              <w:rPr>
                <w:rFonts w:ascii="Times New Roman" w:hAnsi="Times New Roman" w:eastAsia="宋体" w:cs="Times New Roman"/>
                <w:color w:val="0D0D0D"/>
                <w:sz w:val="24"/>
                <w:szCs w:val="24"/>
              </w:rPr>
              <w:t>份</w:t>
            </w:r>
            <w:r>
              <w:rPr>
                <w:rFonts w:hint="eastAsia" w:ascii="Times New Roman" w:hAnsi="Times New Roman" w:eastAsia="宋体" w:cs="Times New Roman"/>
                <w:color w:val="0D0D0D"/>
                <w:sz w:val="24"/>
                <w:szCs w:val="24"/>
              </w:rPr>
              <w:t>，</w:t>
            </w:r>
            <w:r>
              <w:rPr>
                <w:rFonts w:ascii="Times New Roman" w:hAnsi="Times New Roman" w:eastAsia="宋体" w:cs="Times New Roman"/>
                <w:color w:val="0D0D0D"/>
                <w:sz w:val="24"/>
                <w:szCs w:val="24"/>
              </w:rPr>
              <w:t>副本</w:t>
            </w:r>
            <w:r>
              <w:rPr>
                <w:rFonts w:hint="eastAsia" w:ascii="Times New Roman" w:hAnsi="Times New Roman" w:eastAsia="宋体" w:cs="Times New Roman"/>
                <w:color w:val="0D0D0D"/>
                <w:sz w:val="24"/>
                <w:szCs w:val="24"/>
              </w:rPr>
              <w:t>四</w:t>
            </w:r>
            <w:r>
              <w:rPr>
                <w:rFonts w:ascii="Times New Roman" w:hAnsi="Times New Roman" w:eastAsia="宋体" w:cs="Times New Roman"/>
                <w:color w:val="0D0D0D"/>
                <w:sz w:val="24"/>
                <w:szCs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2"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130"/>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szCs w:val="24"/>
              </w:rPr>
            </w:pPr>
          </w:p>
          <w:p>
            <w:pPr>
              <w:jc w:val="center"/>
              <w:rPr>
                <w:rFonts w:ascii="Times New Roman" w:hAnsi="宋体" w:eastAsia="宋体" w:cs="Times New Roman"/>
                <w:sz w:val="24"/>
                <w:szCs w:val="24"/>
              </w:rPr>
            </w:pPr>
            <w:r>
              <w:rPr>
                <w:rFonts w:hint="eastAsia" w:ascii="宋体" w:hAnsi="宋体" w:eastAsia="宋体" w:cs="宋体"/>
                <w:color w:val="000000" w:themeColor="text1"/>
                <w:kern w:val="0"/>
                <w:sz w:val="24"/>
                <w:szCs w:val="24"/>
              </w:rPr>
              <w:t>招标文件的修改</w:t>
            </w:r>
          </w:p>
        </w:tc>
        <w:tc>
          <w:tcPr>
            <w:tcW w:w="5444" w:type="dxa"/>
            <w:tcBorders>
              <w:top w:val="single" w:color="auto" w:sz="4" w:space="0"/>
              <w:left w:val="single" w:color="auto" w:sz="4" w:space="0"/>
              <w:bottom w:val="single" w:color="auto" w:sz="4" w:space="0"/>
            </w:tcBorders>
            <w:vAlign w:val="center"/>
          </w:tcPr>
          <w:p>
            <w:pPr>
              <w:jc w:val="left"/>
              <w:rPr>
                <w:rFonts w:ascii="Times New Roman" w:hAnsi="Times New Roman" w:eastAsia="宋体" w:cs="Times New Roman"/>
                <w:color w:val="0D0D0D"/>
                <w:sz w:val="24"/>
                <w:szCs w:val="24"/>
                <w:highlight w:val="yellow"/>
              </w:rPr>
            </w:pPr>
            <w:r>
              <w:rPr>
                <w:rFonts w:hint="eastAsia" w:ascii="宋体" w:hAnsi="宋体" w:eastAsia="宋体" w:cs="宋体"/>
                <w:color w:val="000000" w:themeColor="text1"/>
                <w:kern w:val="0"/>
                <w:sz w:val="24"/>
                <w:szCs w:val="24"/>
              </w:rPr>
              <w:t>采购代理机构根据项目情况可以补充、修改招标文件，并将补充修改内容在</w:t>
            </w:r>
            <w:r>
              <w:rPr>
                <w:rFonts w:hint="eastAsia" w:ascii="宋体" w:hAnsi="宋体" w:eastAsia="宋体" w:cs="宋体"/>
                <w:color w:val="000000" w:themeColor="text1"/>
                <w:kern w:val="0"/>
                <w:sz w:val="24"/>
                <w:szCs w:val="24"/>
                <w:lang w:val="en-US" w:eastAsia="zh-CN"/>
              </w:rPr>
              <w:t>阳新县人民政府网、黄石公共资源交易信息网、</w:t>
            </w:r>
            <w:r>
              <w:rPr>
                <w:rFonts w:hint="eastAsia" w:ascii="宋体" w:hAnsi="宋体" w:eastAsia="宋体" w:cs="宋体"/>
                <w:color w:val="000000" w:themeColor="text1"/>
                <w:kern w:val="0"/>
                <w:sz w:val="24"/>
                <w:szCs w:val="24"/>
              </w:rPr>
              <w:t>湖北省政府采购网发布。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36"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szCs w:val="24"/>
              </w:rPr>
            </w:pPr>
          </w:p>
          <w:p>
            <w:pPr>
              <w:jc w:val="center"/>
              <w:rPr>
                <w:rFonts w:ascii="Times New Roman" w:hAnsi="Times New Roman" w:eastAsia="宋体" w:cs="Times New Roman"/>
                <w:sz w:val="24"/>
                <w:szCs w:val="24"/>
              </w:rPr>
            </w:pPr>
            <w:r>
              <w:rPr>
                <w:rFonts w:hint="eastAsia" w:ascii="宋体" w:hAnsi="宋体" w:eastAsia="宋体" w:cs="宋体"/>
                <w:color w:val="000000" w:themeColor="text1"/>
                <w:kern w:val="0"/>
                <w:sz w:val="24"/>
                <w:szCs w:val="24"/>
              </w:rPr>
              <w:t>招标文件澄清与修改 注意事项</w:t>
            </w:r>
          </w:p>
        </w:tc>
        <w:tc>
          <w:tcPr>
            <w:tcW w:w="5444" w:type="dxa"/>
            <w:tcBorders>
              <w:top w:val="single" w:color="auto" w:sz="4" w:space="0"/>
              <w:left w:val="single" w:color="auto" w:sz="4" w:space="0"/>
              <w:bottom w:val="single" w:color="auto" w:sz="4" w:space="0"/>
            </w:tcBorders>
            <w:vAlign w:val="center"/>
          </w:tcPr>
          <w:p>
            <w:pPr>
              <w:jc w:val="left"/>
              <w:rPr>
                <w:rFonts w:ascii="Times New Roman" w:hAnsi="Times New Roman" w:eastAsia="宋体" w:cs="Times New Roman"/>
                <w:color w:val="0D0D0D"/>
                <w:sz w:val="24"/>
                <w:szCs w:val="24"/>
              </w:rPr>
            </w:pPr>
            <w:r>
              <w:rPr>
                <w:rFonts w:hint="eastAsia" w:ascii="宋体" w:hAnsi="宋体" w:eastAsia="宋体" w:cs="宋体"/>
                <w:color w:val="000000" w:themeColor="text1"/>
                <w:kern w:val="0"/>
                <w:sz w:val="24"/>
                <w:szCs w:val="24"/>
              </w:rPr>
              <w:t>澄清、补充、修改信息等一经在</w:t>
            </w:r>
            <w:r>
              <w:rPr>
                <w:rFonts w:hint="eastAsia" w:ascii="宋体" w:hAnsi="宋体" w:eastAsia="宋体" w:cs="宋体"/>
                <w:color w:val="000000" w:themeColor="text1"/>
                <w:kern w:val="0"/>
                <w:sz w:val="24"/>
                <w:szCs w:val="24"/>
                <w:lang w:val="en-US" w:eastAsia="zh-CN"/>
              </w:rPr>
              <w:t>阳新县人民政府网、黄石公共资源交易信息网、</w:t>
            </w:r>
            <w:r>
              <w:rPr>
                <w:rFonts w:hint="eastAsia" w:ascii="宋体" w:hAnsi="宋体" w:eastAsia="宋体" w:cs="宋体"/>
                <w:color w:val="000000" w:themeColor="text1"/>
                <w:kern w:val="0"/>
                <w:sz w:val="24"/>
                <w:szCs w:val="24"/>
              </w:rPr>
              <w:t>湖北省政府采购网上发布，视作已发放给所有供应商（发布时间即为发出时间） ，各供应商应随时关注报名项目信息并及时登录</w:t>
            </w:r>
            <w:r>
              <w:rPr>
                <w:rFonts w:hint="eastAsia" w:ascii="宋体" w:hAnsi="宋体" w:eastAsia="宋体" w:cs="宋体"/>
                <w:color w:val="000000" w:themeColor="text1"/>
                <w:kern w:val="0"/>
                <w:sz w:val="24"/>
                <w:szCs w:val="24"/>
                <w:lang w:val="en-US" w:eastAsia="zh-CN"/>
              </w:rPr>
              <w:t>阳新县人民政府网、黄石公共资源交易信息网、</w:t>
            </w:r>
            <w:r>
              <w:rPr>
                <w:rFonts w:hint="eastAsia" w:ascii="宋体" w:hAnsi="宋体" w:eastAsia="宋体" w:cs="宋体"/>
                <w:color w:val="000000" w:themeColor="text1"/>
                <w:kern w:val="0"/>
                <w:sz w:val="24"/>
                <w:szCs w:val="24"/>
              </w:rPr>
              <w:t>湖北省政府采购网下载各类文件及资料，否则所造成的一切后果由供应商自负。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备选方案</w:t>
            </w:r>
          </w:p>
        </w:tc>
        <w:tc>
          <w:tcPr>
            <w:tcW w:w="5444" w:type="dxa"/>
            <w:tcBorders>
              <w:top w:val="single" w:color="auto" w:sz="4" w:space="0"/>
              <w:left w:val="single" w:color="auto" w:sz="4" w:space="0"/>
              <w:bottom w:val="single" w:color="auto" w:sz="4" w:space="0"/>
            </w:tcBorders>
            <w:vAlign w:val="center"/>
          </w:tcPr>
          <w:p>
            <w:pP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不允许</w:t>
            </w:r>
          </w:p>
          <w:p>
            <w:pP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详见第三章“项目技术、服务及商务要求”要求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宋体" w:hAnsi="宋体" w:eastAsia="宋体" w:cs="宋体"/>
                <w:color w:val="000000"/>
                <w:sz w:val="24"/>
                <w:szCs w:val="24"/>
              </w:rPr>
              <w:t>现</w:t>
            </w:r>
            <w:r>
              <w:rPr>
                <w:rFonts w:hint="eastAsia" w:ascii="宋体" w:hAnsi="宋体" w:eastAsia="宋体" w:cs="宋体"/>
                <w:sz w:val="24"/>
                <w:szCs w:val="24"/>
              </w:rPr>
              <w:t>场考察</w:t>
            </w:r>
          </w:p>
        </w:tc>
        <w:tc>
          <w:tcPr>
            <w:tcW w:w="5444" w:type="dxa"/>
            <w:tcBorders>
              <w:top w:val="single" w:color="auto" w:sz="4" w:space="0"/>
              <w:left w:val="single" w:color="auto" w:sz="4" w:space="0"/>
              <w:bottom w:val="single" w:color="auto" w:sz="4" w:space="0"/>
            </w:tcBorders>
            <w:vAlign w:val="center"/>
          </w:tcPr>
          <w:p>
            <w:pPr>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rPr>
              <w:t>不组织</w:t>
            </w:r>
            <w:r>
              <w:rPr>
                <w:rFonts w:hint="eastAsia" w:ascii="宋体" w:hAnsi="宋体" w:eastAsia="宋体" w:cs="宋体"/>
                <w:color w:val="000000" w:themeColor="text1"/>
                <w:kern w:val="0"/>
                <w:sz w:val="24"/>
                <w:szCs w:val="24"/>
                <w:lang w:eastAsia="zh-CN"/>
              </w:rPr>
              <w:t>、</w:t>
            </w:r>
            <w:r>
              <w:rPr>
                <w:rFonts w:hint="eastAsia" w:ascii="宋体" w:hAnsi="宋体" w:eastAsia="宋体" w:cs="宋体"/>
                <w:color w:val="000000" w:themeColor="text1"/>
                <w:kern w:val="0"/>
                <w:sz w:val="24"/>
                <w:szCs w:val="24"/>
              </w:rPr>
              <w:t>供应商可自行踏勘。</w:t>
            </w:r>
          </w:p>
          <w:p>
            <w:pP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详见第三章“项目技术、服务及商务要求”要求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color w:val="0D0D0D"/>
                <w:sz w:val="24"/>
                <w:szCs w:val="24"/>
              </w:rPr>
              <w:t>中标后分包</w:t>
            </w:r>
          </w:p>
        </w:tc>
        <w:tc>
          <w:tcPr>
            <w:tcW w:w="5444" w:type="dxa"/>
            <w:tcBorders>
              <w:top w:val="single" w:color="auto" w:sz="4" w:space="0"/>
              <w:left w:val="single" w:color="auto" w:sz="4" w:space="0"/>
              <w:bottom w:val="single" w:color="auto" w:sz="4" w:space="0"/>
            </w:tcBorders>
            <w:vAlign w:val="center"/>
          </w:tcPr>
          <w:p>
            <w:pP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不允许</w:t>
            </w:r>
          </w:p>
          <w:p>
            <w:pP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详见第三章“项目技术、服务及商务要求”要求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ascii="Times New Roman" w:hAnsi="宋体" w:eastAsia="宋体" w:cs="Times New Roman"/>
                <w:sz w:val="24"/>
                <w:szCs w:val="24"/>
              </w:rPr>
              <w:t>评标办法</w:t>
            </w:r>
          </w:p>
        </w:tc>
        <w:tc>
          <w:tcPr>
            <w:tcW w:w="5444"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rPr>
            </w:pPr>
            <w:r>
              <w:rPr>
                <w:rFonts w:ascii="Times New Roman" w:hAnsi="Times New Roman" w:eastAsia="宋体" w:cs="Times New Roman"/>
                <w:color w:val="0D0D0D"/>
                <w:sz w:val="24"/>
                <w:szCs w:val="24"/>
              </w:rPr>
              <w:t>综合评分法</w:t>
            </w:r>
          </w:p>
          <w:p>
            <w:pPr>
              <w:rPr>
                <w:rFonts w:ascii="宋体" w:hAnsi="宋体" w:eastAsia="宋体" w:cs="宋体"/>
                <w:color w:val="000000" w:themeColor="text1"/>
                <w:kern w:val="0"/>
                <w:sz w:val="24"/>
                <w:szCs w:val="24"/>
              </w:rPr>
            </w:pPr>
            <w:r>
              <w:rPr>
                <w:rFonts w:hint="eastAsia" w:ascii="Times New Roman" w:hAnsi="Times New Roman" w:eastAsia="宋体" w:cs="Times New Roman"/>
                <w:color w:val="0D0D0D"/>
                <w:sz w:val="24"/>
                <w:szCs w:val="24"/>
              </w:rPr>
              <w:t>详见第五章“评标方法、程序及标准”要求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color w:val="0D0D0D"/>
                <w:sz w:val="24"/>
                <w:szCs w:val="24"/>
              </w:rPr>
            </w:pPr>
            <w:r>
              <w:rPr>
                <w:rFonts w:hint="eastAsia" w:ascii="宋体" w:hAnsi="宋体" w:eastAsia="宋体" w:cs="宋体"/>
                <w:color w:val="000000" w:themeColor="text1"/>
                <w:kern w:val="0"/>
                <w:sz w:val="24"/>
                <w:szCs w:val="24"/>
              </w:rPr>
              <w:t>构成招标文件的其他 材料</w:t>
            </w:r>
          </w:p>
        </w:tc>
        <w:tc>
          <w:tcPr>
            <w:tcW w:w="5444" w:type="dxa"/>
            <w:tcBorders>
              <w:top w:val="single" w:color="auto" w:sz="4" w:space="0"/>
              <w:left w:val="single" w:color="auto" w:sz="4" w:space="0"/>
              <w:bottom w:val="single" w:color="auto" w:sz="4" w:space="0"/>
            </w:tcBorders>
            <w:vAlign w:val="center"/>
          </w:tcPr>
          <w:p>
            <w:pPr>
              <w:jc w:val="both"/>
              <w:rPr>
                <w:rFonts w:ascii="Times New Roman" w:hAnsi="Times New Roman" w:eastAsia="宋体" w:cs="Times New Roman"/>
                <w:color w:val="0D0D0D"/>
                <w:sz w:val="24"/>
                <w:szCs w:val="24"/>
                <w:highlight w:val="yellow"/>
              </w:rPr>
            </w:pPr>
            <w:r>
              <w:rPr>
                <w:rFonts w:hint="eastAsia" w:ascii="宋体" w:hAnsi="宋体" w:eastAsia="宋体" w:cs="宋体"/>
                <w:color w:val="000000" w:themeColor="text1"/>
                <w:kern w:val="0"/>
                <w:sz w:val="24"/>
                <w:szCs w:val="24"/>
              </w:rPr>
              <w:t>包含采购人另行发出的对招标文件的修改、补充、澄清等有关资料。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宋体" w:hAnsi="宋体" w:eastAsia="宋体" w:cs="宋体"/>
                <w:color w:val="000000" w:themeColor="text1"/>
                <w:kern w:val="0"/>
                <w:sz w:val="24"/>
                <w:szCs w:val="24"/>
              </w:rPr>
              <w:t>投标有效期</w:t>
            </w:r>
          </w:p>
        </w:tc>
        <w:tc>
          <w:tcPr>
            <w:tcW w:w="5444" w:type="dxa"/>
            <w:tcBorders>
              <w:top w:val="single" w:color="auto" w:sz="4" w:space="0"/>
              <w:left w:val="single" w:color="auto" w:sz="4" w:space="0"/>
              <w:bottom w:val="single" w:color="auto" w:sz="4" w:space="0"/>
            </w:tcBorders>
            <w:vAlign w:val="top"/>
          </w:tcPr>
          <w:p>
            <w:pPr>
              <w:rPr>
                <w:rFonts w:ascii="Times New Roman" w:hAnsi="Times New Roman" w:eastAsia="宋体" w:cs="Times New Roman"/>
                <w:color w:val="FF0000"/>
                <w:sz w:val="24"/>
                <w:szCs w:val="24"/>
              </w:rPr>
            </w:pPr>
            <w:r>
              <w:rPr>
                <w:rFonts w:hint="eastAsia" w:ascii="宋体" w:hAnsi="宋体" w:eastAsia="宋体" w:cs="宋体"/>
                <w:color w:val="000000" w:themeColor="text1"/>
                <w:kern w:val="0"/>
                <w:sz w:val="24"/>
                <w:szCs w:val="24"/>
              </w:rPr>
              <w:t>60 日历天(自响应文件递交截止时间起)。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宋体" w:hAnsi="宋体" w:eastAsia="宋体" w:cs="宋体"/>
                <w:color w:val="000000" w:themeColor="text1"/>
                <w:kern w:val="0"/>
                <w:sz w:val="24"/>
                <w:szCs w:val="24"/>
              </w:rPr>
              <w:t>投标保证金</w:t>
            </w:r>
          </w:p>
        </w:tc>
        <w:tc>
          <w:tcPr>
            <w:tcW w:w="5444" w:type="dxa"/>
            <w:tcBorders>
              <w:top w:val="single" w:color="auto" w:sz="4" w:space="0"/>
              <w:left w:val="single" w:color="auto" w:sz="4" w:space="0"/>
              <w:bottom w:val="single" w:color="auto" w:sz="4" w:space="0"/>
            </w:tcBorders>
            <w:vAlign w:val="top"/>
          </w:tcPr>
          <w:p>
            <w:pPr>
              <w:rPr>
                <w:rFonts w:ascii="Times New Roman" w:hAnsi="Times New Roman" w:eastAsia="宋体" w:cs="Times New Roman"/>
                <w:color w:val="FF0000"/>
                <w:sz w:val="24"/>
                <w:szCs w:val="24"/>
              </w:rPr>
            </w:pPr>
            <w:r>
              <w:rPr>
                <w:rFonts w:hint="eastAsia" w:ascii="宋体" w:hAnsi="宋体" w:eastAsia="宋体" w:cs="宋体"/>
                <w:color w:val="000000" w:themeColor="text1"/>
                <w:kern w:val="0"/>
                <w:sz w:val="24"/>
                <w:szCs w:val="24"/>
              </w:rPr>
              <w:t>本项目无须递交投标保证金，该文件涉及投标保证金的部分都将不作任何要求。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宋体" w:eastAsia="宋体" w:cs="Times New Roman"/>
                <w:sz w:val="24"/>
                <w:szCs w:val="24"/>
              </w:rPr>
            </w:pPr>
            <w:r>
              <w:rPr>
                <w:rFonts w:ascii="Times New Roman" w:hAnsi="宋体" w:eastAsia="宋体" w:cs="Times New Roman"/>
                <w:sz w:val="24"/>
                <w:szCs w:val="24"/>
              </w:rPr>
              <w:t>投标文件递交时间</w:t>
            </w:r>
          </w:p>
        </w:tc>
        <w:tc>
          <w:tcPr>
            <w:tcW w:w="5444" w:type="dxa"/>
            <w:tcBorders>
              <w:top w:val="single" w:color="auto" w:sz="4" w:space="0"/>
              <w:left w:val="single" w:color="auto" w:sz="4" w:space="0"/>
              <w:bottom w:val="single" w:color="auto" w:sz="4" w:space="0"/>
            </w:tcBorders>
            <w:vAlign w:val="center"/>
          </w:tcPr>
          <w:p>
            <w:pPr>
              <w:rPr>
                <w:rFonts w:hint="eastAsia" w:cs="Times New Roman" w:asciiTheme="minorEastAsia" w:hAnsiTheme="minorEastAsia"/>
                <w:color w:val="0D0D0D"/>
                <w:sz w:val="24"/>
                <w:szCs w:val="24"/>
              </w:rPr>
            </w:pPr>
            <w:r>
              <w:rPr>
                <w:rFonts w:hint="eastAsia" w:ascii="Times New Roman" w:hAnsi="Times New Roman" w:eastAsia="宋体" w:cs="Times New Roman"/>
                <w:color w:val="0D0D0D"/>
                <w:sz w:val="24"/>
                <w:szCs w:val="24"/>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宋体" w:eastAsia="宋体" w:cs="Times New Roman"/>
                <w:sz w:val="24"/>
                <w:szCs w:val="24"/>
              </w:rPr>
            </w:pPr>
            <w:r>
              <w:rPr>
                <w:rFonts w:ascii="Times New Roman" w:hAnsi="宋体" w:eastAsia="宋体" w:cs="Times New Roman"/>
                <w:sz w:val="24"/>
                <w:szCs w:val="24"/>
              </w:rPr>
              <w:t>开标时间</w:t>
            </w:r>
            <w:r>
              <w:rPr>
                <w:rFonts w:hint="eastAsia" w:ascii="Times New Roman" w:hAnsi="宋体" w:eastAsia="宋体" w:cs="Times New Roman"/>
                <w:sz w:val="24"/>
                <w:szCs w:val="24"/>
              </w:rPr>
              <w:t>、地点</w:t>
            </w:r>
          </w:p>
        </w:tc>
        <w:tc>
          <w:tcPr>
            <w:tcW w:w="5444" w:type="dxa"/>
            <w:tcBorders>
              <w:top w:val="single" w:color="auto" w:sz="4" w:space="0"/>
              <w:left w:val="single" w:color="auto" w:sz="4" w:space="0"/>
              <w:bottom w:val="single" w:color="auto" w:sz="4" w:space="0"/>
            </w:tcBorders>
            <w:vAlign w:val="center"/>
          </w:tcPr>
          <w:p>
            <w:pPr>
              <w:rPr>
                <w:rFonts w:hint="eastAsia" w:cs="Times New Roman" w:asciiTheme="minorEastAsia" w:hAnsiTheme="minorEastAsia"/>
                <w:color w:val="0D0D0D"/>
                <w:sz w:val="24"/>
                <w:szCs w:val="24"/>
              </w:rPr>
            </w:pPr>
            <w:r>
              <w:rPr>
                <w:rFonts w:hint="eastAsia" w:ascii="Times New Roman" w:hAnsi="Times New Roman" w:eastAsia="宋体" w:cs="Times New Roman"/>
                <w:color w:val="0D0D0D"/>
                <w:sz w:val="24"/>
                <w:szCs w:val="24"/>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宋体" w:eastAsia="宋体" w:cs="Times New Roman"/>
                <w:sz w:val="24"/>
                <w:szCs w:val="24"/>
              </w:rPr>
            </w:pPr>
            <w:r>
              <w:rPr>
                <w:rFonts w:hint="eastAsia" w:ascii="宋体" w:hAnsi="宋体" w:eastAsia="宋体" w:cs="宋体"/>
                <w:color w:val="000000" w:themeColor="text1"/>
                <w:kern w:val="0"/>
                <w:sz w:val="24"/>
                <w:szCs w:val="24"/>
              </w:rPr>
              <w:t>评标办法及标准</w:t>
            </w:r>
          </w:p>
        </w:tc>
        <w:tc>
          <w:tcPr>
            <w:tcW w:w="5444" w:type="dxa"/>
            <w:tcBorders>
              <w:top w:val="single" w:color="auto" w:sz="4" w:space="0"/>
              <w:left w:val="single" w:color="auto" w:sz="4" w:space="0"/>
              <w:bottom w:val="single" w:color="auto" w:sz="4" w:space="0"/>
            </w:tcBorders>
            <w:vAlign w:val="center"/>
          </w:tcPr>
          <w:p>
            <w:pPr>
              <w:jc w:val="both"/>
              <w:rPr>
                <w:rFonts w:hint="eastAsia" w:cs="Times New Roman" w:asciiTheme="minorEastAsia" w:hAnsiTheme="minorEastAsia"/>
                <w:color w:val="0D0D0D"/>
                <w:sz w:val="24"/>
                <w:szCs w:val="24"/>
              </w:rPr>
            </w:pPr>
            <w:r>
              <w:rPr>
                <w:rFonts w:hint="eastAsia" w:ascii="宋体" w:hAnsi="宋体" w:eastAsia="宋体" w:cs="宋体"/>
                <w:color w:val="000000" w:themeColor="text1"/>
                <w:kern w:val="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4"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szCs w:val="24"/>
              </w:rPr>
            </w:pPr>
          </w:p>
          <w:p>
            <w:pPr>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招标控制价</w:t>
            </w:r>
          </w:p>
          <w:p>
            <w:pPr>
              <w:jc w:val="center"/>
              <w:rPr>
                <w:rFonts w:hint="eastAsia" w:ascii="Times New Roman" w:hAnsi="宋体" w:eastAsia="宋体" w:cs="Times New Roman"/>
                <w:sz w:val="24"/>
                <w:szCs w:val="24"/>
              </w:rPr>
            </w:pPr>
            <w:r>
              <w:rPr>
                <w:rFonts w:hint="eastAsia" w:ascii="宋体" w:hAnsi="宋体" w:eastAsia="宋体" w:cs="宋体"/>
                <w:color w:val="000000" w:themeColor="text1"/>
                <w:kern w:val="0"/>
                <w:sz w:val="24"/>
                <w:szCs w:val="24"/>
              </w:rPr>
              <w:t>（最高限价）</w:t>
            </w:r>
          </w:p>
        </w:tc>
        <w:tc>
          <w:tcPr>
            <w:tcW w:w="5444" w:type="dxa"/>
            <w:tcBorders>
              <w:top w:val="single" w:color="auto" w:sz="4" w:space="0"/>
              <w:left w:val="single" w:color="auto" w:sz="4" w:space="0"/>
              <w:bottom w:val="single" w:color="auto" w:sz="4" w:space="0"/>
            </w:tcBorders>
            <w:vAlign w:val="top"/>
          </w:tcPr>
          <w:p>
            <w:pPr>
              <w:rPr>
                <w:rFonts w:hint="eastAsia" w:ascii="宋体" w:hAnsi="宋体" w:eastAsia="宋体" w:cs="宋体"/>
                <w:b/>
                <w:bCs/>
                <w:color w:val="FF0000"/>
                <w:kern w:val="0"/>
                <w:sz w:val="28"/>
                <w:szCs w:val="28"/>
              </w:rPr>
            </w:pPr>
            <w:r>
              <w:rPr>
                <w:rFonts w:hint="eastAsia" w:ascii="Times New Roman" w:hAnsi="Times New Roman" w:eastAsia="宋体"/>
                <w:b/>
                <w:bCs/>
                <w:color w:val="FF0000"/>
                <w:kern w:val="2"/>
                <w:sz w:val="22"/>
                <w:szCs w:val="28"/>
                <w:lang w:val="en-US" w:eastAsia="zh-CN"/>
              </w:rPr>
              <w:t>613.13万元</w:t>
            </w:r>
          </w:p>
          <w:p>
            <w:pPr>
              <w:rPr>
                <w:rFonts w:hint="eastAsia" w:cs="Times New Roman" w:asciiTheme="minorEastAsia" w:hAnsiTheme="minorEastAsia"/>
                <w:color w:val="0D0D0D"/>
                <w:sz w:val="24"/>
                <w:szCs w:val="24"/>
              </w:rPr>
            </w:pPr>
            <w:r>
              <w:rPr>
                <w:rFonts w:hint="eastAsia" w:ascii="宋体" w:hAnsi="宋体" w:eastAsia="宋体" w:cs="宋体"/>
                <w:color w:val="000000" w:themeColor="text1"/>
                <w:kern w:val="0"/>
                <w:sz w:val="24"/>
                <w:szCs w:val="24"/>
              </w:rPr>
              <w:t>最高限价包含为完成见证取样检测所需的所有费用，具体以后续实际施工为准</w:t>
            </w:r>
            <w:r>
              <w:rPr>
                <w:rFonts w:hint="eastAsia" w:ascii="宋体" w:hAnsi="宋体" w:eastAsia="宋体" w:cs="宋体"/>
                <w:color w:val="000000" w:themeColor="text1"/>
                <w:kern w:val="0"/>
                <w:sz w:val="24"/>
                <w:szCs w:val="24"/>
                <w:lang w:eastAsia="zh-CN"/>
              </w:rPr>
              <w:t>，</w:t>
            </w:r>
            <w:r>
              <w:rPr>
                <w:rFonts w:hint="eastAsia" w:ascii="宋体" w:hAnsi="宋体" w:eastAsia="宋体" w:cs="宋体"/>
                <w:color w:val="000000" w:themeColor="text1"/>
                <w:kern w:val="0"/>
                <w:sz w:val="24"/>
                <w:szCs w:val="24"/>
              </w:rPr>
              <w:t>未尽事宜按国家规范、相关标准及设计说明执行</w:t>
            </w:r>
            <w:r>
              <w:rPr>
                <w:rFonts w:hint="eastAsia" w:ascii="宋体" w:hAnsi="宋体" w:eastAsia="宋体" w:cs="宋体"/>
                <w:color w:val="000000" w:themeColor="text1"/>
                <w:kern w:val="0"/>
                <w:sz w:val="24"/>
                <w:szCs w:val="24"/>
                <w:lang w:eastAsia="zh-CN"/>
              </w:rPr>
              <w:t>，</w:t>
            </w:r>
            <w:r>
              <w:rPr>
                <w:rFonts w:hint="eastAsia" w:ascii="宋体" w:hAnsi="宋体" w:eastAsia="宋体" w:cs="宋体"/>
                <w:color w:val="000000" w:themeColor="text1"/>
                <w:kern w:val="0"/>
                <w:sz w:val="24"/>
                <w:szCs w:val="24"/>
              </w:rPr>
              <w:t>超过最高限价的投标文件为无效投标文件。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9"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宋体" w:eastAsia="宋体" w:cs="Times New Roman"/>
                <w:sz w:val="24"/>
                <w:szCs w:val="24"/>
              </w:rPr>
            </w:pPr>
            <w:r>
              <w:rPr>
                <w:rFonts w:hint="eastAsia" w:ascii="Times New Roman" w:hAnsi="宋体" w:eastAsia="宋体" w:cs="Times New Roman"/>
                <w:sz w:val="24"/>
                <w:szCs w:val="24"/>
              </w:rPr>
              <w:t>中小</w:t>
            </w:r>
            <w:r>
              <w:rPr>
                <w:rFonts w:hint="eastAsia" w:ascii="Times New Roman" w:hAnsi="宋体" w:eastAsia="宋体" w:cs="Times New Roman"/>
                <w:sz w:val="24"/>
                <w:szCs w:val="24"/>
                <w:lang w:val="en-US" w:eastAsia="zh-CN"/>
              </w:rPr>
              <w:t>微</w:t>
            </w:r>
            <w:r>
              <w:rPr>
                <w:rFonts w:hint="eastAsia" w:ascii="Times New Roman" w:hAnsi="宋体" w:eastAsia="宋体" w:cs="Times New Roman"/>
                <w:sz w:val="24"/>
                <w:szCs w:val="24"/>
              </w:rPr>
              <w:t>企业</w:t>
            </w:r>
          </w:p>
        </w:tc>
        <w:tc>
          <w:tcPr>
            <w:tcW w:w="5444" w:type="dxa"/>
            <w:tcBorders>
              <w:top w:val="single" w:color="auto" w:sz="4" w:space="0"/>
              <w:left w:val="single" w:color="auto" w:sz="4" w:space="0"/>
              <w:bottom w:val="single" w:color="auto" w:sz="4" w:space="0"/>
            </w:tcBorders>
            <w:vAlign w:val="center"/>
          </w:tcPr>
          <w:p>
            <w:pPr>
              <w:widowControl/>
              <w:jc w:val="left"/>
            </w:pPr>
            <w:r>
              <w:rPr>
                <w:rFonts w:hint="eastAsia" w:ascii="Times New Roman" w:hAnsi="Times New Roman" w:eastAsia="宋体" w:cs="Times New Roman"/>
                <w:color w:val="FF0000"/>
                <w:sz w:val="24"/>
                <w:szCs w:val="24"/>
                <w:lang w:val="en-US" w:eastAsia="zh-CN"/>
              </w:rPr>
              <w:t>本项目</w:t>
            </w:r>
            <w:r>
              <w:rPr>
                <w:rFonts w:hint="eastAsia" w:ascii="Times New Roman" w:hAnsi="Times New Roman" w:eastAsia="宋体" w:cs="Times New Roman"/>
                <w:color w:val="FF0000"/>
                <w:sz w:val="24"/>
                <w:szCs w:val="24"/>
              </w:rPr>
              <w:t>专门面向</w:t>
            </w:r>
            <w:r>
              <w:rPr>
                <w:rFonts w:hint="eastAsia" w:ascii="Times New Roman" w:hAnsi="Times New Roman" w:eastAsia="宋体" w:cs="Times New Roman"/>
                <w:color w:val="FF0000"/>
                <w:sz w:val="24"/>
                <w:szCs w:val="24"/>
                <w:lang w:val="en-US" w:eastAsia="zh-CN"/>
              </w:rPr>
              <w:t>中小微企业</w:t>
            </w:r>
            <w:r>
              <w:rPr>
                <w:rFonts w:hint="eastAsia" w:ascii="Times New Roman" w:hAnsi="Times New Roman" w:eastAsia="宋体" w:cs="Times New Roman"/>
                <w:color w:val="FF0000"/>
                <w:sz w:val="24"/>
                <w:szCs w:val="24"/>
              </w:rPr>
              <w:t>，</w:t>
            </w:r>
            <w:r>
              <w:rPr>
                <w:rFonts w:hint="eastAsia" w:ascii="宋体" w:hAnsi="宋体" w:eastAsia="宋体" w:cs="宋体"/>
                <w:color w:val="000000"/>
                <w:kern w:val="0"/>
                <w:sz w:val="24"/>
                <w:szCs w:val="24"/>
              </w:rPr>
              <w:t xml:space="preserve">若投标人为中小企业，应符合《政府采购促进中小企业发展管理办法》（财库【2020】46号）相关规定（监狱企业、残疾人福利性单位均视同小型、微型企业）。 </w:t>
            </w:r>
          </w:p>
          <w:p>
            <w:pPr>
              <w:rPr>
                <w:rFonts w:hint="eastAsia" w:cs="Times New Roman" w:asciiTheme="minorEastAsia" w:hAnsiTheme="minorEastAsia"/>
                <w:color w:val="0D0D0D"/>
                <w:sz w:val="24"/>
                <w:szCs w:val="24"/>
              </w:rPr>
            </w:pPr>
            <w:r>
              <w:rPr>
                <w:rFonts w:hint="eastAsia" w:ascii="宋体" w:hAnsi="宋体" w:eastAsia="宋体" w:cs="宋体"/>
                <w:color w:val="000000"/>
                <w:kern w:val="0"/>
                <w:sz w:val="24"/>
                <w:szCs w:val="24"/>
              </w:rPr>
              <w:t>本项目企业划分标准所属行业为“其他未列明行业</w:t>
            </w:r>
            <w:r>
              <w:rPr>
                <w:rFonts w:hint="eastAsia" w:ascii="宋体" w:hAnsi="宋体" w:eastAsia="宋体" w:cs="宋体"/>
                <w:color w:val="FF0000"/>
                <w:kern w:val="0"/>
                <w:sz w:val="24"/>
                <w:szCs w:val="24"/>
              </w:rPr>
              <w:t>（其他专业技术服务）</w:t>
            </w:r>
            <w:r>
              <w:rPr>
                <w:rFonts w:hint="eastAsia" w:ascii="宋体" w:hAnsi="宋体" w:eastAsia="宋体" w:cs="宋体"/>
                <w:color w:val="000000"/>
                <w:kern w:val="0"/>
                <w:sz w:val="24"/>
                <w:szCs w:val="24"/>
              </w:rPr>
              <w:t>”。需提供本单位的 《中小企业声明函》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5" w:type="dxa"/>
            <w:tcBorders>
              <w:top w:val="single" w:color="auto" w:sz="4" w:space="0"/>
              <w:bottom w:val="single" w:color="auto" w:sz="4" w:space="0"/>
              <w:right w:val="single" w:color="auto" w:sz="4" w:space="0"/>
            </w:tcBorders>
            <w:vAlign w:val="center"/>
          </w:tcPr>
          <w:p>
            <w:pPr>
              <w:numPr>
                <w:ilvl w:val="0"/>
                <w:numId w:val="2"/>
              </w:numPr>
              <w:tabs>
                <w:tab w:val="left" w:pos="242"/>
              </w:tabs>
              <w:ind w:right="57"/>
              <w:jc w:val="center"/>
              <w:rPr>
                <w:rFonts w:ascii="宋体" w:hAnsi="宋体" w:eastAsia="宋体" w:cs="Times New Roman"/>
                <w:b/>
                <w:sz w:val="24"/>
                <w:szCs w:val="24"/>
              </w:rPr>
            </w:pPr>
          </w:p>
        </w:tc>
        <w:tc>
          <w:tcPr>
            <w:tcW w:w="2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宋体" w:eastAsia="宋体" w:cs="Times New Roman"/>
                <w:sz w:val="24"/>
                <w:szCs w:val="24"/>
              </w:rPr>
            </w:pPr>
            <w:r>
              <w:rPr>
                <w:rFonts w:hint="eastAsia" w:ascii="Times New Roman" w:hAnsi="宋体" w:eastAsia="宋体" w:cs="Times New Roman"/>
                <w:sz w:val="24"/>
                <w:szCs w:val="24"/>
              </w:rPr>
              <w:t>质疑及提交</w:t>
            </w:r>
          </w:p>
        </w:tc>
        <w:tc>
          <w:tcPr>
            <w:tcW w:w="5444" w:type="dxa"/>
            <w:tcBorders>
              <w:top w:val="single" w:color="auto" w:sz="4" w:space="0"/>
              <w:left w:val="single" w:color="auto" w:sz="4" w:space="0"/>
              <w:bottom w:val="single" w:color="auto" w:sz="4" w:space="0"/>
            </w:tcBorders>
            <w:vAlign w:val="center"/>
          </w:tcPr>
          <w:p>
            <w:pPr>
              <w:rPr>
                <w:rFonts w:hint="eastAsia" w:cs="Times New Roman" w:asciiTheme="minorEastAsia" w:hAnsiTheme="minorEastAsia"/>
                <w:color w:val="0D0D0D"/>
                <w:sz w:val="24"/>
                <w:szCs w:val="24"/>
              </w:rPr>
            </w:pPr>
            <w:r>
              <w:rPr>
                <w:rFonts w:hint="eastAsia" w:cs="Times New Roman" w:asciiTheme="minorEastAsia" w:hAnsiTheme="minorEastAsia"/>
                <w:color w:val="0D0D0D"/>
                <w:sz w:val="24"/>
                <w:szCs w:val="24"/>
              </w:rPr>
              <w:t>详见本章“质疑及提交”要求</w:t>
            </w:r>
          </w:p>
        </w:tc>
      </w:tr>
    </w:tbl>
    <w:p>
      <w:pPr>
        <w:keepNext/>
        <w:keepLines/>
        <w:spacing w:line="360" w:lineRule="auto"/>
        <w:jc w:val="center"/>
        <w:outlineLvl w:val="1"/>
        <w:rPr>
          <w:rFonts w:hint="eastAsia" w:ascii="宋体" w:hAnsi="宋体" w:eastAsia="宋体" w:cs="宋体"/>
          <w:color w:val="000000" w:themeColor="text1"/>
          <w:kern w:val="0"/>
          <w:sz w:val="24"/>
          <w:szCs w:val="24"/>
        </w:rPr>
        <w:sectPr>
          <w:footerReference r:id="rId6" w:type="default"/>
          <w:pgSz w:w="11906" w:h="16839"/>
          <w:pgMar w:top="1440" w:right="1701" w:bottom="1440" w:left="1701" w:header="850" w:footer="1199" w:gutter="0"/>
          <w:pgNumType w:fmt="decimal" w:start="1"/>
          <w:cols w:space="720" w:num="1"/>
          <w:rtlGutter w:val="0"/>
        </w:sectPr>
      </w:pPr>
    </w:p>
    <w:p>
      <w:pPr>
        <w:keepNext/>
        <w:keepLines/>
        <w:spacing w:before="100" w:beforeAutospacing="1" w:after="100" w:afterAutospacing="1" w:line="360" w:lineRule="auto"/>
        <w:jc w:val="center"/>
        <w:outlineLvl w:val="1"/>
        <w:rPr>
          <w:rFonts w:cs="Times New Roman" w:asciiTheme="majorEastAsia" w:hAnsiTheme="majorEastAsia"/>
          <w:b/>
          <w:bCs/>
          <w:lang w:val="zh-CN"/>
        </w:rPr>
      </w:pPr>
      <w:bookmarkStart w:id="16" w:name="_Toc22460"/>
      <w:bookmarkStart w:id="17" w:name="_Toc494561938"/>
      <w:r>
        <w:rPr>
          <w:rFonts w:hint="eastAsia" w:cs="Times New Roman" w:asciiTheme="majorEastAsia" w:hAnsiTheme="majorEastAsia"/>
          <w:b/>
          <w:bCs/>
          <w:sz w:val="36"/>
          <w:szCs w:val="40"/>
          <w:lang w:val="zh-CN"/>
        </w:rPr>
        <w:t>说  明</w:t>
      </w:r>
      <w:bookmarkEnd w:id="16"/>
      <w:bookmarkEnd w:id="17"/>
    </w:p>
    <w:p>
      <w:pPr>
        <w:numPr>
          <w:ilvl w:val="0"/>
          <w:numId w:val="3"/>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适用范围</w:t>
      </w:r>
    </w:p>
    <w:p>
      <w:pPr>
        <w:spacing w:line="360" w:lineRule="auto"/>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招标文件仅适用于第一章“投标邀请书”中所述项目的货物、工程及服务的采购。</w:t>
      </w:r>
    </w:p>
    <w:p>
      <w:pPr>
        <w:numPr>
          <w:ilvl w:val="0"/>
          <w:numId w:val="3"/>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当事人定义</w:t>
      </w:r>
    </w:p>
    <w:p>
      <w:pPr>
        <w:numPr>
          <w:ilvl w:val="0"/>
          <w:numId w:val="4"/>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“采购人”是指：</w:t>
      </w:r>
      <w:r>
        <w:rPr>
          <w:rFonts w:hint="eastAsia" w:ascii="宋体" w:hAnsi="宋体" w:eastAsia="宋体" w:cs="宋体"/>
          <w:color w:val="000000" w:themeColor="text1"/>
          <w:kern w:val="0"/>
          <w:sz w:val="24"/>
          <w:szCs w:val="24"/>
        </w:rPr>
        <w:t>阳新县住房和城乡建设局</w:t>
      </w:r>
      <w:r>
        <w:rPr>
          <w:rFonts w:hint="eastAsia" w:cs="Times New Roman" w:asciiTheme="minorEastAsia" w:hAnsiTheme="minorEastAsia"/>
          <w:sz w:val="24"/>
          <w:szCs w:val="24"/>
          <w:lang w:val="zh-CN"/>
        </w:rPr>
        <w:t>。</w:t>
      </w:r>
    </w:p>
    <w:p>
      <w:pPr>
        <w:numPr>
          <w:ilvl w:val="0"/>
          <w:numId w:val="4"/>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“监管部门”是指：</w:t>
      </w:r>
      <w:r>
        <w:rPr>
          <w:rFonts w:hint="eastAsia" w:cs="Helvetica" w:asciiTheme="minorEastAsia" w:hAnsiTheme="minorEastAsia"/>
          <w:kern w:val="0"/>
          <w:sz w:val="24"/>
          <w:szCs w:val="24"/>
          <w:lang w:val="zh-CN"/>
        </w:rPr>
        <w:t>阳新县政府采购办公室、阳新县</w:t>
      </w:r>
      <w:r>
        <w:rPr>
          <w:rFonts w:hint="eastAsia" w:cs="Helvetica" w:asciiTheme="minorEastAsia" w:hAnsiTheme="minorEastAsia"/>
          <w:kern w:val="0"/>
          <w:sz w:val="24"/>
          <w:szCs w:val="24"/>
          <w:lang w:val="en-US" w:eastAsia="zh-CN"/>
        </w:rPr>
        <w:t>政务服务和大数据管理局</w:t>
      </w:r>
      <w:r>
        <w:rPr>
          <w:rFonts w:hint="eastAsia" w:cs="Times New Roman" w:asciiTheme="minorEastAsia" w:hAnsiTheme="minorEastAsia"/>
          <w:color w:val="FF0000"/>
          <w:sz w:val="24"/>
          <w:szCs w:val="24"/>
          <w:lang w:val="zh-CN"/>
        </w:rPr>
        <w:t>。</w:t>
      </w:r>
    </w:p>
    <w:p>
      <w:pPr>
        <w:numPr>
          <w:ilvl w:val="0"/>
          <w:numId w:val="4"/>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“采购代理机构”是指：</w:t>
      </w:r>
      <w:r>
        <w:rPr>
          <w:rFonts w:hint="eastAsia" w:cs="Helvetica" w:asciiTheme="minorEastAsia" w:hAnsiTheme="minorEastAsia"/>
          <w:kern w:val="0"/>
          <w:sz w:val="24"/>
          <w:szCs w:val="24"/>
          <w:lang w:val="zh-CN"/>
        </w:rPr>
        <w:t>湖北大绪工程项目管理有限公司。</w:t>
      </w:r>
    </w:p>
    <w:p>
      <w:pPr>
        <w:numPr>
          <w:ilvl w:val="0"/>
          <w:numId w:val="4"/>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“投标人”是指：</w:t>
      </w:r>
      <w:r>
        <w:rPr>
          <w:rFonts w:cs="Helvetica" w:asciiTheme="minorEastAsia" w:hAnsiTheme="minorEastAsia"/>
          <w:kern w:val="0"/>
          <w:sz w:val="24"/>
          <w:szCs w:val="24"/>
          <w:lang w:val="zh-CN"/>
        </w:rPr>
        <w:t>响应招标、参加投标竞争的法人、其他组织或者自然人。</w:t>
      </w:r>
    </w:p>
    <w:p>
      <w:pPr>
        <w:numPr>
          <w:ilvl w:val="0"/>
          <w:numId w:val="4"/>
        </w:numPr>
        <w:spacing w:line="360" w:lineRule="auto"/>
        <w:ind w:left="476" w:hanging="476"/>
        <w:rPr>
          <w:rFonts w:cs="Helvetica" w:asciiTheme="minorEastAsia" w:hAnsiTheme="minorEastAsia"/>
          <w:kern w:val="0"/>
          <w:sz w:val="24"/>
          <w:szCs w:val="24"/>
          <w:lang w:val="zh-CN"/>
        </w:rPr>
      </w:pPr>
      <w:r>
        <w:rPr>
          <w:rFonts w:hint="eastAsia" w:cs="Times New Roman" w:asciiTheme="minorEastAsia" w:hAnsiTheme="minorEastAsia"/>
          <w:b/>
          <w:sz w:val="24"/>
          <w:szCs w:val="24"/>
          <w:lang w:val="zh-CN"/>
        </w:rPr>
        <w:t>“合格的投标人”是指：</w:t>
      </w:r>
      <w:r>
        <w:rPr>
          <w:rFonts w:hint="eastAsia" w:cs="Helvetica" w:asciiTheme="minorEastAsia" w:hAnsiTheme="minorEastAsia"/>
          <w:kern w:val="0"/>
          <w:sz w:val="24"/>
          <w:szCs w:val="24"/>
          <w:lang w:val="zh-CN"/>
        </w:rPr>
        <w:t>资格审查和符合性审查合格的投标人。</w:t>
      </w:r>
    </w:p>
    <w:p>
      <w:pPr>
        <w:numPr>
          <w:ilvl w:val="0"/>
          <w:numId w:val="4"/>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“中标人”是指：</w:t>
      </w:r>
      <w:r>
        <w:rPr>
          <w:rFonts w:hint="eastAsia" w:cs="Times New Roman" w:asciiTheme="minorEastAsia" w:hAnsiTheme="minorEastAsia"/>
          <w:sz w:val="24"/>
          <w:szCs w:val="24"/>
          <w:lang w:val="zh-CN"/>
        </w:rPr>
        <w:t>经评标委员会评审，授予合同的投标人。</w:t>
      </w:r>
    </w:p>
    <w:p>
      <w:pPr>
        <w:numPr>
          <w:ilvl w:val="0"/>
          <w:numId w:val="3"/>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项目属性及定义</w:t>
      </w:r>
    </w:p>
    <w:p>
      <w:pPr>
        <w:numPr>
          <w:ilvl w:val="0"/>
          <w:numId w:val="5"/>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“货物”是指</w:t>
      </w:r>
      <w:r>
        <w:rPr>
          <w:rFonts w:hint="eastAsia" w:cs="Times New Roman" w:asciiTheme="minorEastAsia" w:hAnsiTheme="minorEastAsia"/>
          <w:sz w:val="24"/>
          <w:szCs w:val="24"/>
          <w:lang w:val="zh-CN"/>
        </w:rPr>
        <w:t>：各种形态和种类的物品，包括原材料、燃料、设备、产品等。</w:t>
      </w:r>
    </w:p>
    <w:p>
      <w:pPr>
        <w:numPr>
          <w:ilvl w:val="0"/>
          <w:numId w:val="6"/>
        </w:numPr>
        <w:spacing w:line="360" w:lineRule="auto"/>
        <w:ind w:left="854" w:hanging="728"/>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招标文件中没有提及招标货物来源地的，根据《政府采购法》及相关规定均应是本国货物，另有规定的除外。</w:t>
      </w:r>
    </w:p>
    <w:p>
      <w:pPr>
        <w:numPr>
          <w:ilvl w:val="0"/>
          <w:numId w:val="6"/>
        </w:numPr>
        <w:spacing w:line="360" w:lineRule="auto"/>
        <w:ind w:left="854" w:hanging="728"/>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投标的货物应是合法生产的符合国家有关标准要求的货物，并能够按照合同规定的品牌、产地、质量、价格和有效期等履约。</w:t>
      </w:r>
    </w:p>
    <w:p>
      <w:pPr>
        <w:numPr>
          <w:ilvl w:val="0"/>
          <w:numId w:val="5"/>
        </w:numPr>
        <w:spacing w:line="360" w:lineRule="auto"/>
        <w:ind w:left="476" w:hanging="476"/>
        <w:rPr>
          <w:rFonts w:cs="Times New Roman" w:asciiTheme="minorEastAsia" w:hAnsiTheme="minorEastAsia"/>
          <w:b/>
          <w:color w:val="0D0D0D"/>
          <w:sz w:val="24"/>
          <w:szCs w:val="24"/>
          <w:lang w:val="zh-CN"/>
        </w:rPr>
      </w:pPr>
      <w:r>
        <w:rPr>
          <w:rFonts w:hint="eastAsia" w:cs="Times New Roman" w:asciiTheme="minorEastAsia" w:hAnsiTheme="minorEastAsia"/>
          <w:b/>
          <w:color w:val="0D0D0D"/>
          <w:sz w:val="24"/>
          <w:szCs w:val="24"/>
          <w:lang w:val="zh-CN"/>
        </w:rPr>
        <w:t>“工程”是指</w:t>
      </w:r>
      <w:r>
        <w:rPr>
          <w:rFonts w:hint="eastAsia" w:cs="Times New Roman" w:asciiTheme="minorEastAsia" w:hAnsiTheme="minorEastAsia"/>
          <w:color w:val="0D0D0D"/>
          <w:sz w:val="24"/>
          <w:szCs w:val="24"/>
          <w:lang w:val="zh-CN"/>
        </w:rPr>
        <w:t>：与建筑物和构筑物的新建、改建、扩建及其相关的装修、拆除、修缮无关的工程。</w:t>
      </w:r>
    </w:p>
    <w:p>
      <w:pPr>
        <w:numPr>
          <w:ilvl w:val="0"/>
          <w:numId w:val="5"/>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“服务”</w:t>
      </w:r>
      <w:r>
        <w:rPr>
          <w:rFonts w:hint="eastAsia" w:cs="Times New Roman" w:asciiTheme="minorEastAsia" w:hAnsiTheme="minorEastAsia"/>
          <w:b/>
          <w:color w:val="0C0C0C" w:themeColor="text1" w:themeTint="F2"/>
          <w:sz w:val="24"/>
          <w:szCs w:val="24"/>
          <w:lang w:val="zh-CN"/>
        </w:rPr>
        <w:t>是指：</w:t>
      </w:r>
      <w:r>
        <w:rPr>
          <w:rFonts w:hint="eastAsia" w:cs="Times New Roman" w:asciiTheme="minorEastAsia" w:hAnsiTheme="minorEastAsia"/>
          <w:color w:val="0C0C0C" w:themeColor="text1" w:themeTint="F2"/>
          <w:sz w:val="24"/>
          <w:szCs w:val="24"/>
          <w:lang w:val="zh-CN"/>
        </w:rPr>
        <w:t>除货物和工程（含本章3.2条所述工程及《招标投标法》所定义工程）以外的其他政府采购对象,包括政府自身需要的服务和政府向社会公众提供的公共服务。</w:t>
      </w:r>
    </w:p>
    <w:p>
      <w:pPr>
        <w:numPr>
          <w:ilvl w:val="0"/>
          <w:numId w:val="5"/>
        </w:numPr>
        <w:spacing w:line="360" w:lineRule="auto"/>
        <w:ind w:left="476" w:hanging="476"/>
        <w:rPr>
          <w:rFonts w:cs="Times New Roman" w:asciiTheme="minorEastAsia" w:hAnsiTheme="minorEastAsia"/>
          <w:sz w:val="24"/>
          <w:szCs w:val="24"/>
          <w:lang w:val="zh-CN"/>
        </w:rPr>
      </w:pPr>
      <w:r>
        <w:rPr>
          <w:rFonts w:cs="Times New Roman" w:asciiTheme="minorEastAsia" w:hAnsiTheme="minorEastAsia"/>
          <w:sz w:val="24"/>
          <w:szCs w:val="24"/>
          <w:lang w:val="zh-CN"/>
        </w:rPr>
        <w:t>采购人应当按照财政部制定的《政府采购品目分类目录》确定采购项目属性</w:t>
      </w:r>
      <w:r>
        <w:rPr>
          <w:rFonts w:hint="eastAsia" w:cs="Times New Roman" w:asciiTheme="minorEastAsia" w:hAnsiTheme="minorEastAsia"/>
          <w:sz w:val="24"/>
          <w:szCs w:val="24"/>
          <w:lang w:val="zh-CN"/>
        </w:rPr>
        <w:t>。</w:t>
      </w:r>
      <w:r>
        <w:rPr>
          <w:rFonts w:cs="Times New Roman" w:asciiTheme="minorEastAsia" w:hAnsiTheme="minorEastAsia"/>
          <w:sz w:val="24"/>
          <w:szCs w:val="24"/>
          <w:lang w:val="zh-CN"/>
        </w:rPr>
        <w:t>按照《政府采购品目分类目录》无法确定的，按照有利于采购项目实施的原则确定。</w:t>
      </w:r>
    </w:p>
    <w:p>
      <w:pPr>
        <w:numPr>
          <w:ilvl w:val="0"/>
          <w:numId w:val="3"/>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投标费用</w:t>
      </w:r>
    </w:p>
    <w:p>
      <w:pPr>
        <w:numPr>
          <w:ilvl w:val="0"/>
          <w:numId w:val="7"/>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投标人应承担所有与准备和参加投标有关的费用。不论投标的结果如何，采购代理机构和采购人均无义务和责任承担这些费用。</w:t>
      </w:r>
    </w:p>
    <w:p>
      <w:pPr>
        <w:pStyle w:val="48"/>
        <w:numPr>
          <w:ilvl w:val="0"/>
          <w:numId w:val="7"/>
        </w:numPr>
        <w:adjustRightInd w:val="0"/>
        <w:snapToGrid w:val="0"/>
        <w:spacing w:line="300" w:lineRule="auto"/>
        <w:ind w:firstLineChars="0"/>
        <w:rPr>
          <w:rFonts w:ascii="宋体" w:hAnsi="宋体"/>
          <w:bCs/>
          <w:sz w:val="24"/>
          <w:szCs w:val="24"/>
        </w:rPr>
      </w:pPr>
      <w:r>
        <w:rPr>
          <w:rFonts w:hint="eastAsia" w:ascii="宋体" w:hAnsi="宋体"/>
          <w:sz w:val="24"/>
          <w:szCs w:val="24"/>
        </w:rPr>
        <w:t>采购代理服务费</w:t>
      </w:r>
    </w:p>
    <w:p>
      <w:pPr>
        <w:pStyle w:val="48"/>
        <w:spacing w:line="360" w:lineRule="auto"/>
        <w:ind w:firstLine="0" w:firstLineChars="0"/>
        <w:rPr>
          <w:rFonts w:hint="eastAsia" w:ascii="宋体" w:hAnsi="宋体"/>
          <w:b/>
          <w:color w:val="FF0000"/>
          <w:sz w:val="24"/>
          <w:szCs w:val="24"/>
        </w:rPr>
      </w:pPr>
      <w:r>
        <w:rPr>
          <w:rFonts w:hint="eastAsia" w:ascii="宋体" w:hAnsi="宋体"/>
          <w:b/>
          <w:sz w:val="24"/>
          <w:szCs w:val="24"/>
        </w:rPr>
        <w:t>4.2.1</w:t>
      </w:r>
      <w:r>
        <w:rPr>
          <w:rFonts w:hint="eastAsia" w:ascii="宋体" w:hAnsi="宋体"/>
          <w:b/>
          <w:color w:val="FF0000"/>
          <w:sz w:val="24"/>
          <w:szCs w:val="24"/>
        </w:rPr>
        <w:t>经过采购代理机构与采购人协议，</w:t>
      </w:r>
      <w:r>
        <w:rPr>
          <w:rFonts w:hint="eastAsia" w:ascii="宋体" w:hAnsi="宋体"/>
          <w:b/>
          <w:color w:val="FF0000"/>
          <w:sz w:val="24"/>
          <w:szCs w:val="24"/>
          <w:lang w:val="en-US" w:eastAsia="zh-CN"/>
        </w:rPr>
        <w:t>检测</w:t>
      </w:r>
      <w:r>
        <w:rPr>
          <w:rFonts w:hint="eastAsia" w:ascii="宋体" w:hAnsi="宋体"/>
          <w:b/>
          <w:color w:val="FF0000"/>
          <w:sz w:val="24"/>
          <w:szCs w:val="24"/>
        </w:rPr>
        <w:t>服务费预算审核费用及采购代理服务按规定由中标单位支付</w:t>
      </w:r>
    </w:p>
    <w:p>
      <w:pPr>
        <w:pStyle w:val="48"/>
        <w:spacing w:line="360" w:lineRule="auto"/>
        <w:ind w:firstLine="0" w:firstLineChars="0"/>
        <w:rPr>
          <w:rFonts w:ascii="宋体" w:hAnsi="宋体"/>
          <w:sz w:val="24"/>
          <w:szCs w:val="24"/>
        </w:rPr>
      </w:pPr>
      <w:r>
        <w:rPr>
          <w:rFonts w:hint="eastAsia" w:ascii="宋体" w:hAnsi="宋体"/>
          <w:b/>
          <w:sz w:val="24"/>
          <w:szCs w:val="24"/>
        </w:rPr>
        <w:t>采购代理服务费收费标准如下：</w:t>
      </w:r>
    </w:p>
    <w:tbl>
      <w:tblPr>
        <w:tblStyle w:val="2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984"/>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552" w:type="dxa"/>
          </w:tcPr>
          <w:p>
            <w:pPr>
              <w:spacing w:line="300" w:lineRule="auto"/>
              <w:ind w:firstLine="998" w:firstLineChars="416"/>
              <w:rPr>
                <w:rFonts w:ascii="宋体" w:hAnsi="宋体" w:cs="宋体"/>
                <w:sz w:val="24"/>
                <w:szCs w:val="24"/>
              </w:rPr>
            </w:pPr>
            <w:r>
              <w:rPr>
                <w:rFonts w:ascii="宋体" w:hAnsi="宋体" w:cs="宋体"/>
                <w:sz w:val="24"/>
                <w:szCs w:val="24"/>
              </w:rPr>
              <w:pict>
                <v:line id="Line 16" o:spid="_x0000_s2054" o:spt="20" style="position:absolute;left:0pt;flip:x y;margin-left:-1pt;margin-top:8.1pt;height:68.5pt;width:119.2pt;z-index:251667456;mso-width-relative:page;mso-height-relative:page;" coordsize="21600,21600" o:gfxdata="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p6owvV&#10;AAAACQEAAA8AAAAAAAAAAQAgAAAAIgAAAGRycy9kb3ducmV2LnhtbFBLAQIUABQAAAAIAIdO4kDs&#10;jzKV6gEAAPUDAAAOAAAAAAAAAAEAIAAAACQBAABkcnMvZTJvRG9jLnhtbFBLBQYAAAAABgAGAFkB&#10;AACABQAAAAA=&#10;">
                  <v:path arrowok="t"/>
                  <v:fill focussize="0,0"/>
                  <v:stroke/>
                  <v:imagedata o:title=""/>
                  <o:lock v:ext="edit"/>
                </v:line>
              </w:pict>
            </w:r>
            <w:r>
              <w:rPr>
                <w:rFonts w:ascii="宋体" w:hAnsi="宋体" w:cs="宋体"/>
                <w:sz w:val="24"/>
                <w:szCs w:val="24"/>
              </w:rPr>
              <w:pict>
                <v:line id="Line 17" o:spid="_x0000_s2055" o:spt="20" style="position:absolute;left:0pt;flip:x y;margin-left:-5.15pt;margin-top:4.3pt;height:33.15pt;width:125.75pt;z-index:251668480;mso-width-relative:page;mso-height-relative:page;" coordsize="21600,21600" o:gfxdata="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4uAobVAAAA&#10;CAEAAA8AAAAAAAAAAQAgAAAAIgAAAGRycy9kb3ducmV2LnhtbFBLAQIUABQAAAAIAIdO4kD6cOSQ&#10;5wEAAPUDAAAOAAAAAAAAAAEAIAAAACQBAABkcnMvZTJvRG9jLnhtbFBLBQYAAAAABgAGAFkBAAB9&#10;BQAAAAA=&#10;">
                  <v:path arrowok="t"/>
                  <v:fill focussize="0,0"/>
                  <v:stroke/>
                  <v:imagedata o:title=""/>
                  <o:lock v:ext="edit"/>
                </v:line>
              </w:pict>
            </w:r>
            <w:r>
              <w:rPr>
                <w:rFonts w:ascii="宋体" w:hAnsi="宋体" w:cs="宋体"/>
                <w:sz w:val="24"/>
                <w:szCs w:val="24"/>
              </w:rPr>
              <w:pict>
                <v:line id="Line 15" o:spid="_x0000_s2056" o:spt="20" style="position:absolute;left:0pt;margin-left:-9pt;margin-top:-0.5pt;height:0pt;width:0.05pt;z-index:251666432;mso-width-relative:page;mso-height-relative:page;"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5HTftUAAAAJAQAADwAAAAAAAAABACAAAAAi&#10;AAAAZHJzL2Rvd25yZXYueG1sUEsBAhQAFAAAAAgAh07iQKiChf3UAQAA2AMAAA4AAAAAAAAAAQAg&#10;AAAAJAEAAGRycy9lMm9Eb2MueG1sUEsFBgAAAAAGAAYAWQEAAGoFAAAAAA==&#10;">
                  <v:path arrowok="t"/>
                  <v:fill focussize="0,0"/>
                  <v:stroke/>
                  <v:imagedata o:title=""/>
                  <o:lock v:ext="edit"/>
                </v:line>
              </w:pict>
            </w:r>
            <w:r>
              <w:rPr>
                <w:rFonts w:hint="eastAsia" w:ascii="宋体" w:hAnsi="宋体" w:cs="宋体"/>
                <w:sz w:val="24"/>
                <w:szCs w:val="24"/>
              </w:rPr>
              <w:t>招标类型　　　</w:t>
            </w:r>
          </w:p>
          <w:p>
            <w:pPr>
              <w:spacing w:line="300" w:lineRule="auto"/>
              <w:ind w:firstLine="998" w:firstLineChars="416"/>
              <w:rPr>
                <w:rFonts w:ascii="宋体" w:hAnsi="宋体" w:cs="宋体"/>
                <w:sz w:val="24"/>
                <w:szCs w:val="24"/>
              </w:rPr>
            </w:pPr>
            <w:r>
              <w:rPr>
                <w:rFonts w:hint="eastAsia" w:ascii="宋体" w:hAnsi="宋体" w:cs="宋体"/>
                <w:bCs/>
                <w:sz w:val="24"/>
                <w:szCs w:val="24"/>
              </w:rPr>
              <w:t>中标</w:t>
            </w:r>
            <w:r>
              <w:rPr>
                <w:rFonts w:hint="eastAsia" w:ascii="宋体" w:hAnsi="宋体" w:cs="宋体"/>
                <w:sz w:val="24"/>
                <w:szCs w:val="24"/>
              </w:rPr>
              <w:t xml:space="preserve">　　　 </w:t>
            </w:r>
          </w:p>
          <w:p>
            <w:pPr>
              <w:spacing w:line="300" w:lineRule="auto"/>
              <w:ind w:firstLine="1504" w:firstLineChars="627"/>
              <w:rPr>
                <w:rFonts w:ascii="宋体" w:hAnsi="宋体" w:cs="宋体"/>
                <w:bCs/>
                <w:sz w:val="24"/>
                <w:szCs w:val="24"/>
              </w:rPr>
            </w:pPr>
            <w:r>
              <w:rPr>
                <w:rFonts w:hint="eastAsia" w:ascii="宋体" w:hAnsi="宋体" w:cs="宋体"/>
                <w:bCs/>
                <w:sz w:val="24"/>
                <w:szCs w:val="24"/>
              </w:rPr>
              <w:t>费率</w:t>
            </w:r>
          </w:p>
          <w:p>
            <w:pPr>
              <w:spacing w:line="300" w:lineRule="auto"/>
              <w:rPr>
                <w:rFonts w:ascii="宋体" w:hAnsi="宋体" w:cs="宋体"/>
                <w:sz w:val="24"/>
                <w:szCs w:val="24"/>
              </w:rPr>
            </w:pPr>
            <w:r>
              <w:rPr>
                <w:rFonts w:hint="eastAsia" w:ascii="宋体" w:hAnsi="宋体" w:cs="宋体"/>
                <w:sz w:val="24"/>
                <w:szCs w:val="24"/>
              </w:rPr>
              <w:t>金额（万元）</w:t>
            </w:r>
          </w:p>
        </w:tc>
        <w:tc>
          <w:tcPr>
            <w:tcW w:w="1984" w:type="dxa"/>
            <w:vAlign w:val="center"/>
          </w:tcPr>
          <w:p>
            <w:pPr>
              <w:spacing w:line="300" w:lineRule="auto"/>
              <w:jc w:val="center"/>
              <w:rPr>
                <w:rFonts w:ascii="宋体" w:hAnsi="宋体" w:cs="宋体"/>
                <w:sz w:val="24"/>
                <w:szCs w:val="24"/>
              </w:rPr>
            </w:pPr>
            <w:r>
              <w:rPr>
                <w:rFonts w:hint="eastAsia" w:ascii="宋体" w:hAnsi="宋体" w:cs="宋体"/>
                <w:sz w:val="24"/>
                <w:szCs w:val="24"/>
              </w:rPr>
              <w:t>货物招标</w:t>
            </w:r>
          </w:p>
        </w:tc>
        <w:tc>
          <w:tcPr>
            <w:tcW w:w="1985" w:type="dxa"/>
            <w:vAlign w:val="center"/>
          </w:tcPr>
          <w:p>
            <w:pPr>
              <w:spacing w:line="300" w:lineRule="auto"/>
              <w:jc w:val="center"/>
              <w:rPr>
                <w:rFonts w:ascii="宋体" w:hAnsi="宋体" w:cs="宋体"/>
                <w:sz w:val="24"/>
                <w:szCs w:val="24"/>
              </w:rPr>
            </w:pPr>
            <w:r>
              <w:rPr>
                <w:rFonts w:hint="eastAsia" w:ascii="宋体" w:hAnsi="宋体" w:cs="宋体"/>
                <w:sz w:val="24"/>
                <w:szCs w:val="24"/>
              </w:rPr>
              <w:t>服务招标</w:t>
            </w:r>
          </w:p>
        </w:tc>
        <w:tc>
          <w:tcPr>
            <w:tcW w:w="1843" w:type="dxa"/>
            <w:vAlign w:val="center"/>
          </w:tcPr>
          <w:p>
            <w:pPr>
              <w:spacing w:line="300" w:lineRule="auto"/>
              <w:jc w:val="center"/>
              <w:rPr>
                <w:rFonts w:ascii="宋体" w:hAnsi="宋体" w:cs="宋体"/>
                <w:sz w:val="24"/>
                <w:szCs w:val="24"/>
              </w:rPr>
            </w:pPr>
            <w:r>
              <w:rPr>
                <w:rFonts w:hint="eastAsia" w:ascii="宋体" w:hAnsi="宋体" w:cs="宋体"/>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52" w:type="dxa"/>
          </w:tcPr>
          <w:p>
            <w:pPr>
              <w:spacing w:line="300" w:lineRule="auto"/>
              <w:jc w:val="center"/>
              <w:rPr>
                <w:rFonts w:ascii="宋体" w:hAnsi="宋体" w:cs="宋体"/>
                <w:sz w:val="24"/>
                <w:szCs w:val="24"/>
              </w:rPr>
            </w:pPr>
            <w:r>
              <w:rPr>
                <w:rFonts w:hint="eastAsia" w:ascii="宋体" w:hAnsi="宋体" w:cs="宋体"/>
                <w:sz w:val="24"/>
                <w:szCs w:val="24"/>
              </w:rPr>
              <w:t>100以下</w:t>
            </w:r>
          </w:p>
        </w:tc>
        <w:tc>
          <w:tcPr>
            <w:tcW w:w="1984" w:type="dxa"/>
          </w:tcPr>
          <w:p>
            <w:pPr>
              <w:spacing w:line="300" w:lineRule="auto"/>
              <w:jc w:val="center"/>
              <w:rPr>
                <w:rFonts w:ascii="宋体" w:hAnsi="宋体" w:cs="宋体"/>
                <w:sz w:val="24"/>
                <w:szCs w:val="24"/>
              </w:rPr>
            </w:pPr>
            <w:r>
              <w:rPr>
                <w:rFonts w:hint="eastAsia" w:ascii="宋体" w:hAnsi="宋体" w:cs="宋体"/>
                <w:sz w:val="24"/>
                <w:szCs w:val="24"/>
              </w:rPr>
              <w:t>1.5%</w:t>
            </w:r>
          </w:p>
        </w:tc>
        <w:tc>
          <w:tcPr>
            <w:tcW w:w="1985" w:type="dxa"/>
          </w:tcPr>
          <w:p>
            <w:pPr>
              <w:spacing w:line="300" w:lineRule="auto"/>
              <w:jc w:val="center"/>
              <w:rPr>
                <w:rFonts w:ascii="宋体" w:hAnsi="宋体" w:cs="宋体"/>
                <w:sz w:val="24"/>
                <w:szCs w:val="24"/>
              </w:rPr>
            </w:pPr>
            <w:r>
              <w:rPr>
                <w:rFonts w:hint="eastAsia" w:ascii="宋体" w:hAnsi="宋体" w:cs="宋体"/>
                <w:sz w:val="24"/>
                <w:szCs w:val="24"/>
              </w:rPr>
              <w:t>1.5%</w:t>
            </w:r>
          </w:p>
        </w:tc>
        <w:tc>
          <w:tcPr>
            <w:tcW w:w="1843" w:type="dxa"/>
          </w:tcPr>
          <w:p>
            <w:pPr>
              <w:spacing w:line="300" w:lineRule="auto"/>
              <w:jc w:val="center"/>
              <w:rPr>
                <w:rFonts w:ascii="宋体" w:hAnsi="宋体" w:cs="宋体"/>
                <w:sz w:val="24"/>
                <w:szCs w:val="24"/>
              </w:rPr>
            </w:pPr>
            <w:r>
              <w:rPr>
                <w:rFonts w:hint="eastAsia" w:ascii="宋体" w:hAnsi="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552" w:type="dxa"/>
          </w:tcPr>
          <w:p>
            <w:pPr>
              <w:spacing w:line="300" w:lineRule="auto"/>
              <w:jc w:val="center"/>
              <w:rPr>
                <w:rFonts w:ascii="宋体" w:hAnsi="宋体" w:cs="宋体"/>
                <w:sz w:val="24"/>
                <w:szCs w:val="24"/>
              </w:rPr>
            </w:pPr>
            <w:r>
              <w:rPr>
                <w:rFonts w:hint="eastAsia" w:ascii="宋体" w:hAnsi="宋体" w:cs="宋体"/>
                <w:sz w:val="24"/>
                <w:szCs w:val="24"/>
              </w:rPr>
              <w:t>100-500</w:t>
            </w:r>
          </w:p>
        </w:tc>
        <w:tc>
          <w:tcPr>
            <w:tcW w:w="1984" w:type="dxa"/>
          </w:tcPr>
          <w:p>
            <w:pPr>
              <w:spacing w:line="300" w:lineRule="auto"/>
              <w:jc w:val="center"/>
              <w:rPr>
                <w:rFonts w:ascii="宋体" w:hAnsi="宋体" w:cs="宋体"/>
                <w:sz w:val="24"/>
                <w:szCs w:val="24"/>
              </w:rPr>
            </w:pPr>
            <w:r>
              <w:rPr>
                <w:rFonts w:hint="eastAsia" w:ascii="宋体" w:hAnsi="宋体" w:cs="宋体"/>
                <w:sz w:val="24"/>
                <w:szCs w:val="24"/>
              </w:rPr>
              <w:t>1.1%</w:t>
            </w:r>
          </w:p>
        </w:tc>
        <w:tc>
          <w:tcPr>
            <w:tcW w:w="1985" w:type="dxa"/>
          </w:tcPr>
          <w:p>
            <w:pPr>
              <w:spacing w:line="300" w:lineRule="auto"/>
              <w:jc w:val="center"/>
              <w:rPr>
                <w:rFonts w:ascii="宋体" w:hAnsi="宋体" w:cs="宋体"/>
                <w:sz w:val="24"/>
                <w:szCs w:val="24"/>
              </w:rPr>
            </w:pPr>
            <w:r>
              <w:rPr>
                <w:rFonts w:hint="eastAsia" w:ascii="宋体" w:hAnsi="宋体" w:cs="宋体"/>
                <w:sz w:val="24"/>
                <w:szCs w:val="24"/>
              </w:rPr>
              <w:t>0.8%</w:t>
            </w:r>
          </w:p>
        </w:tc>
        <w:tc>
          <w:tcPr>
            <w:tcW w:w="1843" w:type="dxa"/>
          </w:tcPr>
          <w:p>
            <w:pPr>
              <w:spacing w:line="300" w:lineRule="auto"/>
              <w:jc w:val="center"/>
              <w:rPr>
                <w:rFonts w:ascii="宋体" w:hAnsi="宋体" w:cs="宋体"/>
                <w:sz w:val="24"/>
                <w:szCs w:val="24"/>
              </w:rPr>
            </w:pPr>
            <w:r>
              <w:rPr>
                <w:rFonts w:hint="eastAsia" w:ascii="宋体" w:hAnsi="宋体" w:cs="宋体"/>
                <w:sz w:val="24"/>
                <w:szCs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552" w:type="dxa"/>
          </w:tcPr>
          <w:p>
            <w:pPr>
              <w:spacing w:line="300" w:lineRule="auto"/>
              <w:jc w:val="center"/>
              <w:rPr>
                <w:rFonts w:ascii="宋体" w:hAnsi="宋体" w:cs="宋体"/>
                <w:sz w:val="24"/>
                <w:szCs w:val="24"/>
              </w:rPr>
            </w:pPr>
            <w:r>
              <w:rPr>
                <w:rFonts w:hint="eastAsia" w:ascii="宋体" w:hAnsi="宋体" w:cs="宋体"/>
                <w:sz w:val="24"/>
                <w:szCs w:val="24"/>
              </w:rPr>
              <w:t>500-1000</w:t>
            </w:r>
          </w:p>
        </w:tc>
        <w:tc>
          <w:tcPr>
            <w:tcW w:w="1984" w:type="dxa"/>
          </w:tcPr>
          <w:p>
            <w:pPr>
              <w:spacing w:line="300" w:lineRule="auto"/>
              <w:jc w:val="center"/>
              <w:rPr>
                <w:rFonts w:ascii="宋体" w:hAnsi="宋体" w:cs="宋体"/>
                <w:sz w:val="24"/>
                <w:szCs w:val="24"/>
              </w:rPr>
            </w:pPr>
            <w:r>
              <w:rPr>
                <w:rFonts w:hint="eastAsia" w:ascii="宋体" w:hAnsi="宋体" w:cs="宋体"/>
                <w:sz w:val="24"/>
                <w:szCs w:val="24"/>
              </w:rPr>
              <w:t>0.8%</w:t>
            </w:r>
          </w:p>
        </w:tc>
        <w:tc>
          <w:tcPr>
            <w:tcW w:w="1985" w:type="dxa"/>
          </w:tcPr>
          <w:p>
            <w:pPr>
              <w:spacing w:line="300" w:lineRule="auto"/>
              <w:jc w:val="center"/>
              <w:rPr>
                <w:rFonts w:ascii="宋体" w:hAnsi="宋体" w:cs="宋体"/>
                <w:sz w:val="24"/>
                <w:szCs w:val="24"/>
              </w:rPr>
            </w:pPr>
            <w:r>
              <w:rPr>
                <w:rFonts w:hint="eastAsia" w:ascii="宋体" w:hAnsi="宋体" w:cs="宋体"/>
                <w:sz w:val="24"/>
                <w:szCs w:val="24"/>
              </w:rPr>
              <w:t>0.45%</w:t>
            </w:r>
          </w:p>
        </w:tc>
        <w:tc>
          <w:tcPr>
            <w:tcW w:w="1843" w:type="dxa"/>
          </w:tcPr>
          <w:p>
            <w:pPr>
              <w:spacing w:line="300" w:lineRule="auto"/>
              <w:jc w:val="center"/>
              <w:rPr>
                <w:rFonts w:ascii="宋体" w:hAnsi="宋体" w:cs="宋体"/>
                <w:sz w:val="24"/>
                <w:szCs w:val="24"/>
              </w:rPr>
            </w:pPr>
            <w:r>
              <w:rPr>
                <w:rFonts w:hint="eastAsia" w:ascii="宋体" w:hAnsi="宋体" w:cs="宋体"/>
                <w:sz w:val="24"/>
                <w:szCs w:val="24"/>
              </w:rPr>
              <w:t>0.55％</w:t>
            </w:r>
          </w:p>
        </w:tc>
      </w:tr>
    </w:tbl>
    <w:p>
      <w:pPr>
        <w:numPr>
          <w:ilvl w:val="0"/>
          <w:numId w:val="0"/>
        </w:numPr>
        <w:spacing w:line="360" w:lineRule="auto"/>
        <w:ind w:leftChars="0"/>
        <w:rPr>
          <w:rFonts w:hint="eastAsia" w:ascii="宋体" w:hAnsi="宋体" w:eastAsia="宋体" w:cs="Times New Roman"/>
          <w:b/>
          <w:sz w:val="24"/>
          <w:szCs w:val="20"/>
          <w:lang w:val="zh-CN"/>
        </w:rPr>
      </w:pPr>
      <w:bookmarkStart w:id="18" w:name="_Toc278891592"/>
      <w:bookmarkStart w:id="19" w:name="_Toc494561939"/>
      <w:bookmarkStart w:id="20" w:name="_Toc272247695"/>
      <w:bookmarkStart w:id="21" w:name="_Toc8349"/>
    </w:p>
    <w:p>
      <w:pPr>
        <w:numPr>
          <w:ilvl w:val="0"/>
          <w:numId w:val="0"/>
        </w:numPr>
        <w:spacing w:line="360" w:lineRule="auto"/>
        <w:ind w:leftChars="0"/>
        <w:rPr>
          <w:rFonts w:hint="eastAsia" w:ascii="宋体" w:hAnsi="宋体" w:eastAsia="宋体" w:cs="Times New Roman"/>
          <w:b/>
          <w:sz w:val="24"/>
          <w:szCs w:val="20"/>
          <w:lang w:val="zh-CN"/>
        </w:rPr>
      </w:pPr>
      <w:r>
        <w:rPr>
          <w:rFonts w:hint="eastAsia" w:ascii="宋体" w:hAnsi="宋体" w:eastAsia="宋体" w:cs="Times New Roman"/>
          <w:b/>
          <w:sz w:val="24"/>
          <w:szCs w:val="20"/>
          <w:lang w:val="zh-CN"/>
        </w:rPr>
        <w:t>招标文件</w:t>
      </w:r>
      <w:bookmarkEnd w:id="18"/>
      <w:bookmarkEnd w:id="19"/>
      <w:bookmarkEnd w:id="20"/>
      <w:bookmarkEnd w:id="21"/>
    </w:p>
    <w:p>
      <w:pPr>
        <w:numPr>
          <w:ilvl w:val="0"/>
          <w:numId w:val="3"/>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招标文件的构成</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第一章 投标邀请书</w:t>
      </w:r>
    </w:p>
    <w:p>
      <w:pPr>
        <w:tabs>
          <w:tab w:val="left" w:pos="476"/>
        </w:tabs>
        <w:spacing w:line="360" w:lineRule="auto"/>
        <w:ind w:left="476" w:leftChars="0"/>
        <w:rPr>
          <w:rFonts w:ascii="宋体" w:hAnsi="宋体" w:eastAsia="宋体" w:cs="Times New Roman"/>
          <w:sz w:val="24"/>
          <w:szCs w:val="20"/>
          <w:lang w:val="zh-CN"/>
        </w:rPr>
      </w:pPr>
      <w:r>
        <w:rPr>
          <w:rFonts w:hint="eastAsia" w:ascii="宋体" w:hAnsi="宋体" w:eastAsia="宋体" w:cs="Times New Roman"/>
          <w:sz w:val="24"/>
          <w:szCs w:val="20"/>
          <w:lang w:val="zh-CN"/>
        </w:rPr>
        <w:t>第二章 投标人须知</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第三章 项目技术、服务及商务要求</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第四章 资格审查方法及标准</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第五章 评标方法、程序及标准</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第六章 合同书格式（参考）</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第七章 投标文件格式（参考）</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其 他  在招标过程中由采购机构发出的修正和补充文件等</w:t>
      </w:r>
    </w:p>
    <w:p>
      <w:pPr>
        <w:numPr>
          <w:ilvl w:val="0"/>
          <w:numId w:val="3"/>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招标文件疑问的提交</w:t>
      </w:r>
    </w:p>
    <w:p>
      <w:pPr>
        <w:numPr>
          <w:ilvl w:val="0"/>
          <w:numId w:val="8"/>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潜在投标人对招标文件有疑问的，可以向采购机构提出询问，或在6.2规定的时间前以书面的形式向采购机构提交疑问函。</w:t>
      </w:r>
    </w:p>
    <w:p>
      <w:pPr>
        <w:numPr>
          <w:ilvl w:val="0"/>
          <w:numId w:val="8"/>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潜在投标人在项目招标公告期限届满之日起7个工作日内未对招标文件提出疑问的，采购机构将视其认同招标文件，在规定的时间后就招标文件内容提出的疑问将不予受理。</w:t>
      </w:r>
    </w:p>
    <w:p>
      <w:pPr>
        <w:numPr>
          <w:ilvl w:val="0"/>
          <w:numId w:val="8"/>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采购机构将组织采购人对潜在投标人所提交疑问以书面（或网上公告）的形式予以答复。必要时，采购机构将组织相关专家召开答疑会，并将会议内容以书面的形式发给每个领取招标文件的潜在投标人（答复中不包括问</w:t>
      </w:r>
      <w:bookmarkStart w:id="240" w:name="_GoBack"/>
      <w:bookmarkEnd w:id="240"/>
      <w:r>
        <w:rPr>
          <w:rFonts w:hint="eastAsia" w:ascii="宋体" w:hAnsi="宋体" w:eastAsia="宋体" w:cs="Times New Roman"/>
          <w:sz w:val="24"/>
          <w:szCs w:val="20"/>
          <w:lang w:val="zh-CN"/>
        </w:rPr>
        <w:t>题的来源）。</w:t>
      </w:r>
    </w:p>
    <w:p>
      <w:pPr>
        <w:numPr>
          <w:ilvl w:val="0"/>
          <w:numId w:val="3"/>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招标文件的澄清、修改</w:t>
      </w:r>
    </w:p>
    <w:p>
      <w:pPr>
        <w:numPr>
          <w:ilvl w:val="0"/>
          <w:numId w:val="9"/>
        </w:numPr>
        <w:spacing w:line="360" w:lineRule="auto"/>
        <w:ind w:left="476" w:hanging="476"/>
        <w:rPr>
          <w:rFonts w:ascii="Helvetica" w:hAnsi="Helvetica" w:eastAsia="宋体" w:cs="Helvetica"/>
          <w:kern w:val="0"/>
          <w:sz w:val="24"/>
          <w:szCs w:val="24"/>
          <w:lang w:val="zh-CN"/>
        </w:rPr>
      </w:pPr>
      <w:r>
        <w:rPr>
          <w:rFonts w:hint="eastAsia" w:ascii="宋体" w:hAnsi="宋体" w:eastAsia="宋体" w:cs="Times New Roman"/>
          <w:sz w:val="24"/>
          <w:szCs w:val="20"/>
          <w:lang w:val="zh-CN"/>
        </w:rPr>
        <w:t>采购机构和采购人可以对已发出的招标文件进行必要的澄清或者修改。</w:t>
      </w:r>
      <w:r>
        <w:rPr>
          <w:rFonts w:hint="eastAsia" w:ascii="Helvetica" w:hAnsi="Helvetica" w:eastAsia="宋体" w:cs="Helvetica"/>
          <w:kern w:val="0"/>
          <w:sz w:val="24"/>
          <w:szCs w:val="24"/>
          <w:lang w:val="zh-CN"/>
        </w:rPr>
        <w:t>澄清或者修改将在原公告发布媒体上发布澄清公告。澄清或者修改的内容可能影响投标文件编制的，采购机构和采购人将在投标截止时间至少</w:t>
      </w:r>
      <w:r>
        <w:rPr>
          <w:rFonts w:hint="eastAsia" w:ascii="宋体" w:hAnsi="宋体" w:eastAsia="宋体" w:cs="Times New Roman"/>
          <w:sz w:val="24"/>
          <w:szCs w:val="20"/>
          <w:lang w:val="zh-CN"/>
        </w:rPr>
        <w:t>15</w:t>
      </w:r>
      <w:r>
        <w:rPr>
          <w:rFonts w:hint="eastAsia" w:ascii="Helvetica" w:hAnsi="Helvetica" w:eastAsia="宋体" w:cs="Helvetica"/>
          <w:kern w:val="0"/>
          <w:sz w:val="24"/>
          <w:szCs w:val="24"/>
          <w:lang w:val="zh-CN"/>
        </w:rPr>
        <w:t>日前，以书面</w:t>
      </w:r>
      <w:r>
        <w:rPr>
          <w:rFonts w:hint="eastAsia" w:ascii="宋体" w:hAnsi="宋体" w:eastAsia="宋体" w:cs="Times New Roman"/>
          <w:sz w:val="24"/>
          <w:szCs w:val="20"/>
          <w:lang w:val="zh-CN"/>
        </w:rPr>
        <w:t>（或网上公告）</w:t>
      </w:r>
      <w:r>
        <w:rPr>
          <w:rFonts w:hint="eastAsia" w:ascii="Helvetica" w:hAnsi="Helvetica" w:eastAsia="宋体" w:cs="Helvetica"/>
          <w:kern w:val="0"/>
          <w:sz w:val="24"/>
          <w:szCs w:val="24"/>
          <w:lang w:val="zh-CN"/>
        </w:rPr>
        <w:t>形式通知所有获取招标文件的潜在投标人。</w:t>
      </w:r>
    </w:p>
    <w:p>
      <w:pPr>
        <w:numPr>
          <w:ilvl w:val="0"/>
          <w:numId w:val="9"/>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为使潜在投标人有充足时间对招标文件的澄清或者修改的内容进行研究和响应，采购机构和采购人可适当顺延提交投标文件的截止时间，并以书面（或网上公告）的形式通知所有领取招标文件的潜在投标人。</w:t>
      </w:r>
    </w:p>
    <w:p>
      <w:pPr>
        <w:numPr>
          <w:ilvl w:val="0"/>
          <w:numId w:val="9"/>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澄清或者修改的内容为招标文件的组成部分，并对潜在投标人具有约束力。</w:t>
      </w:r>
    </w:p>
    <w:p>
      <w:pPr>
        <w:numPr>
          <w:ilvl w:val="0"/>
          <w:numId w:val="3"/>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现场考察</w:t>
      </w:r>
    </w:p>
    <w:p>
      <w:pPr>
        <w:numPr>
          <w:ilvl w:val="0"/>
          <w:numId w:val="10"/>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采购人可以在招标文件提供期限截止后，组织已获取招标文件的潜在投标人现场考察。采购人组织现场考察的，潜在投标人可对项目现场及周围环境进行踏勘，以便获取有关编制投标文件和签署合同所涉及现场的资料。</w:t>
      </w:r>
    </w:p>
    <w:p>
      <w:pPr>
        <w:numPr>
          <w:ilvl w:val="0"/>
          <w:numId w:val="10"/>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采购人向潜在投标人提供有关现场的数据和资料。是采购人现有的能被潜在投标人利用的客观资料，采购人对潜在投标人依此作出的任何推论、理解和结论均不负责任。</w:t>
      </w:r>
    </w:p>
    <w:p>
      <w:pPr>
        <w:numPr>
          <w:ilvl w:val="0"/>
          <w:numId w:val="10"/>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经采购人允许，潜在投标人可进入项目现场进行考察，但潜在投标人不得因此使采购人承担有关责任和蒙受损失。潜在投标人应自行承担现场考察的全部费用、责任和风险。</w:t>
      </w:r>
    </w:p>
    <w:p>
      <w:pPr>
        <w:pStyle w:val="4"/>
        <w:numPr>
          <w:ilvl w:val="0"/>
          <w:numId w:val="11"/>
        </w:numPr>
        <w:spacing w:before="40" w:after="40" w:line="360" w:lineRule="auto"/>
        <w:ind w:left="658" w:hanging="658"/>
        <w:jc w:val="left"/>
        <w:rPr>
          <w:rFonts w:cs="Times New Roman" w:asciiTheme="majorEastAsia" w:hAnsiTheme="majorEastAsia"/>
          <w:bCs w:val="0"/>
          <w:lang w:val="zh-CN"/>
        </w:rPr>
      </w:pPr>
      <w:bookmarkStart w:id="22" w:name="_Toc494561940"/>
      <w:bookmarkStart w:id="23" w:name="_Toc20097"/>
      <w:bookmarkStart w:id="24" w:name="_Toc278891593"/>
      <w:bookmarkStart w:id="25" w:name="_Toc272247696"/>
      <w:r>
        <w:rPr>
          <w:rFonts w:hint="eastAsia" w:cs="Times New Roman" w:asciiTheme="majorEastAsia" w:hAnsiTheme="majorEastAsia"/>
          <w:bCs w:val="0"/>
          <w:lang w:val="zh-CN"/>
        </w:rPr>
        <w:t>投标文件</w:t>
      </w:r>
      <w:bookmarkEnd w:id="22"/>
      <w:bookmarkEnd w:id="23"/>
      <w:bookmarkEnd w:id="24"/>
      <w:bookmarkEnd w:id="25"/>
    </w:p>
    <w:p>
      <w:pPr>
        <w:numPr>
          <w:ilvl w:val="0"/>
          <w:numId w:val="3"/>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投标的语言</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提交的投标文件以及投标人与采购机构或采购人就有关投标的所有来往函电均应使用中文。投标人提交的相关证明文件、资料或文献可以用另一种语言，但相应内容应附有中文翻译本，在解释投标文件的相关内容时以中文翻译本为准。</w:t>
      </w:r>
    </w:p>
    <w:p>
      <w:pPr>
        <w:numPr>
          <w:ilvl w:val="0"/>
          <w:numId w:val="3"/>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投标文件的构成</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投标人编制的投标文件应包括但不限于下列内容：</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第一部分  资格证明文件（详见第七章“投标文件格式”中资格证明文件组成）</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第二部分  商务文件（详见第七章“投标文件格式”中商务文件组成）</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第三部分  技术、服务文件（详见第七章“投标文件格式”中技术、服务文件组成）</w:t>
      </w:r>
    </w:p>
    <w:p>
      <w:pPr>
        <w:numPr>
          <w:ilvl w:val="0"/>
          <w:numId w:val="3"/>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投标文件编制</w:t>
      </w:r>
    </w:p>
    <w:p>
      <w:pPr>
        <w:numPr>
          <w:ilvl w:val="0"/>
          <w:numId w:val="12"/>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如招标文件有分包要求，投标人对招标文件中多个包进行投标的，其投标文件的编制应按每包要求分别装订和封装，并注明对应包号。</w:t>
      </w:r>
    </w:p>
    <w:p>
      <w:pPr>
        <w:numPr>
          <w:ilvl w:val="0"/>
          <w:numId w:val="12"/>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投标人应当对投标文件进行装订，对未经装订的投标书可能发生的文件散落或缺损，由此产生的后果及责任由投标人自行承担。</w:t>
      </w:r>
    </w:p>
    <w:p>
      <w:pPr>
        <w:numPr>
          <w:ilvl w:val="0"/>
          <w:numId w:val="12"/>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投标人应按照招标文件第七章“投标文件格式”提供的《投标书》、《开标一览表》、《投标报价明细表》、《法定代表人授权书》等格式、要求、规定来编制投标文件。</w:t>
      </w:r>
    </w:p>
    <w:p>
      <w:pPr>
        <w:numPr>
          <w:ilvl w:val="0"/>
          <w:numId w:val="12"/>
        </w:numPr>
        <w:spacing w:line="360" w:lineRule="auto"/>
        <w:ind w:left="616" w:hanging="616"/>
        <w:rPr>
          <w:rFonts w:cs="Times New Roman" w:asciiTheme="minorEastAsia" w:hAnsiTheme="minorEastAsia"/>
          <w:color w:val="0C0C0C" w:themeColor="text1" w:themeTint="F2"/>
          <w:sz w:val="24"/>
          <w:szCs w:val="24"/>
          <w:lang w:val="zh-CN"/>
        </w:rPr>
      </w:pPr>
      <w:r>
        <w:rPr>
          <w:rFonts w:hint="eastAsia" w:cs="Times New Roman" w:asciiTheme="minorEastAsia" w:hAnsiTheme="minorEastAsia"/>
          <w:color w:val="0C0C0C" w:themeColor="text1" w:themeTint="F2"/>
          <w:sz w:val="24"/>
          <w:szCs w:val="24"/>
          <w:lang w:val="zh-CN"/>
        </w:rPr>
        <w:t>投标人应对投标文件中所提供资料的真实性负责，如有虚假，将依法承担相应责任。投标人应自觉接受采购机构对其中任何资料进一步核实的要求。</w:t>
      </w:r>
    </w:p>
    <w:p>
      <w:pPr>
        <w:numPr>
          <w:ilvl w:val="0"/>
          <w:numId w:val="12"/>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因投标人投标文件填报的内容不详，或没有提供招标文件中所要求的全部资料及数据等，由此产生的后果及责任由投标人自行承担。</w:t>
      </w:r>
    </w:p>
    <w:p>
      <w:pPr>
        <w:numPr>
          <w:ilvl w:val="0"/>
          <w:numId w:val="12"/>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投标文件用纸应统一为A4规格（图纸除外）。</w:t>
      </w:r>
    </w:p>
    <w:p>
      <w:pPr>
        <w:numPr>
          <w:ilvl w:val="0"/>
          <w:numId w:val="12"/>
        </w:numPr>
        <w:spacing w:line="360" w:lineRule="auto"/>
        <w:ind w:left="616" w:hanging="616"/>
        <w:rPr>
          <w:rFonts w:cs="Times New Roman" w:asciiTheme="minorEastAsia" w:hAnsiTheme="minorEastAsia"/>
          <w:b/>
          <w:sz w:val="24"/>
          <w:szCs w:val="24"/>
          <w:highlight w:val="yellow"/>
          <w:lang w:val="zh-CN"/>
        </w:rPr>
      </w:pPr>
      <w:r>
        <w:rPr>
          <w:rFonts w:hint="eastAsia" w:cs="Times New Roman" w:asciiTheme="minorEastAsia" w:hAnsiTheme="minorEastAsia"/>
          <w:b/>
          <w:sz w:val="24"/>
          <w:szCs w:val="24"/>
          <w:highlight w:val="yellow"/>
          <w:lang w:val="zh-CN"/>
        </w:rPr>
        <w:t>投标文件共分为</w:t>
      </w:r>
      <w:r>
        <w:rPr>
          <w:rFonts w:hint="eastAsia" w:cs="Times New Roman" w:asciiTheme="minorEastAsia" w:hAnsiTheme="minorEastAsia"/>
          <w:b/>
          <w:sz w:val="24"/>
          <w:szCs w:val="24"/>
          <w:highlight w:val="yellow"/>
        </w:rPr>
        <w:t>第一部分资格证明文件、第二部分商务文件和第三部分技术、服务文件。投标人应将投标文件第一部分资格证明文件、第二部分商务文件、第三部分技术、服务文件分别用显著文字说明，统一编制合订成一本投标文件，统一连续标注页码，建立目录索引。各部分文件及内容详见第七章“投标文件格式”要求。</w:t>
      </w:r>
    </w:p>
    <w:p>
      <w:pPr>
        <w:numPr>
          <w:ilvl w:val="0"/>
          <w:numId w:val="12"/>
        </w:numPr>
        <w:spacing w:line="360" w:lineRule="auto"/>
        <w:ind w:left="616" w:hanging="616"/>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为方便开标时唱标，投标人应将《开标一览表》一份单独密封提交，并在信封上标明"开标一览表"字样。投标人应将投标文件正本和所有的副本一起密封装在文件袋（或封装袋）中，</w:t>
      </w:r>
      <w:r>
        <w:rPr>
          <w:rFonts w:hint="eastAsia" w:cs="Times New Roman" w:asciiTheme="minorEastAsia" w:hAnsiTheme="minorEastAsia"/>
          <w:b/>
          <w:sz w:val="24"/>
          <w:szCs w:val="24"/>
          <w:highlight w:val="yellow"/>
          <w:lang w:val="zh-CN"/>
        </w:rPr>
        <w:t>并在封面上标明"正本和副本"字样。</w:t>
      </w:r>
      <w:r>
        <w:rPr>
          <w:rFonts w:hint="eastAsia" w:cs="Times New Roman" w:asciiTheme="minorEastAsia" w:hAnsiTheme="minorEastAsia"/>
          <w:b/>
          <w:sz w:val="24"/>
          <w:szCs w:val="24"/>
          <w:lang w:val="zh-CN"/>
        </w:rPr>
        <w:t>未单独提交或单独提交的上述资料未按照招标文件规定的要求填写完整并签字、盖章的其投标将有可能被拒绝。开标一览表必须按要求由投标人法定代表人或法定代表人授权代表签字，并加盖投标单位公章，单独密封提交，否则将被视为非响应性投标，将按照无效投标处理。</w:t>
      </w:r>
    </w:p>
    <w:p>
      <w:pPr>
        <w:numPr>
          <w:ilvl w:val="0"/>
          <w:numId w:val="3"/>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投标报价</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投标人所提供的货物（工程或服务）均以人民币计价。</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投标人应按照“第三章 项目技术、服务及商务要求”规定的货物（工程或服务）内容、责任范围以及合同条款进行报价。并按照《开标一览表》和《投标报价明细表》的格式报出分项价格和投标总价。报价上的优惠应体现在各分项报价中，投标总价应为优惠后的最终报价。投标总价中不得包含招标文件要求以外的内容，否则，在评标时不予核减。</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《投标报价明细表》填写时应响应下列要求：</w:t>
      </w:r>
    </w:p>
    <w:p>
      <w:pPr>
        <w:numPr>
          <w:ilvl w:val="0"/>
          <w:numId w:val="14"/>
        </w:numPr>
        <w:spacing w:line="360" w:lineRule="auto"/>
        <w:ind w:left="980" w:hanging="854"/>
        <w:rPr>
          <w:rFonts w:cs="Times New Roman" w:asciiTheme="minorEastAsia" w:hAnsiTheme="minorEastAsia"/>
          <w:sz w:val="24"/>
          <w:szCs w:val="24"/>
          <w:lang w:val="zh-CN"/>
        </w:rPr>
      </w:pPr>
      <w:r>
        <w:rPr>
          <w:rFonts w:hint="eastAsia" w:ascii="宋体" w:hAnsi="宋体"/>
          <w:sz w:val="24"/>
        </w:rPr>
        <w:t>应包括所有根据合同或其他原因由投标人支付的款项、费用</w:t>
      </w:r>
      <w:r>
        <w:rPr>
          <w:rFonts w:hint="eastAsia" w:cs="Times New Roman" w:asciiTheme="minorEastAsia" w:hAnsiTheme="minorEastAsia"/>
          <w:sz w:val="24"/>
          <w:szCs w:val="24"/>
          <w:lang w:val="zh-CN"/>
        </w:rPr>
        <w:t>；</w:t>
      </w:r>
    </w:p>
    <w:p>
      <w:pPr>
        <w:numPr>
          <w:ilvl w:val="0"/>
          <w:numId w:val="14"/>
        </w:numPr>
        <w:spacing w:line="360" w:lineRule="auto"/>
        <w:ind w:left="980" w:hanging="854"/>
        <w:rPr>
          <w:rFonts w:cs="Times New Roman" w:asciiTheme="minorEastAsia" w:hAnsiTheme="minorEastAsia"/>
          <w:sz w:val="24"/>
          <w:szCs w:val="24"/>
          <w:lang w:val="zh-CN"/>
        </w:rPr>
      </w:pPr>
      <w:r>
        <w:rPr>
          <w:rFonts w:hint="eastAsia" w:cs="Times New Roman" w:asciiTheme="minorEastAsia" w:hAnsiTheme="minorEastAsia"/>
          <w:sz w:val="24"/>
          <w:szCs w:val="24"/>
          <w:lang w:val="zh-CN"/>
        </w:rPr>
        <w:t>应包含货物运至最终目的地的运输、保险和伴随货物（工程或服务）的有关费用；</w:t>
      </w:r>
    </w:p>
    <w:p>
      <w:pPr>
        <w:numPr>
          <w:ilvl w:val="0"/>
          <w:numId w:val="14"/>
        </w:numPr>
        <w:spacing w:line="360" w:lineRule="auto"/>
        <w:ind w:left="980" w:hanging="854"/>
        <w:rPr>
          <w:rFonts w:cs="Courier New" w:asciiTheme="minorEastAsia" w:hAnsiTheme="minorEastAsia"/>
          <w:sz w:val="24"/>
          <w:szCs w:val="24"/>
          <w:lang w:val="zh-CN"/>
        </w:rPr>
      </w:pPr>
      <w:r>
        <w:rPr>
          <w:rFonts w:hint="eastAsia" w:cs="Times New Roman" w:asciiTheme="minorEastAsia" w:hAnsiTheme="minorEastAsia"/>
          <w:sz w:val="24"/>
          <w:szCs w:val="24"/>
          <w:lang w:val="zh-CN"/>
        </w:rPr>
        <w:t>应详细提供《投标报价明细表》和《投标货物、服务清单》等内容，否则按照</w:t>
      </w:r>
      <w:r>
        <w:rPr>
          <w:rFonts w:hint="eastAsia" w:cs="Times New Roman" w:asciiTheme="minorEastAsia" w:hAnsiTheme="minorEastAsia"/>
          <w:b/>
          <w:sz w:val="24"/>
          <w:szCs w:val="24"/>
          <w:lang w:val="zh-CN"/>
        </w:rPr>
        <w:t>无效投标处理。</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每一种规格的货物（工程或服务）只允许有一个报价，否则按照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的投标总报价在合同执行过程中是固定不变的，不得以任何理由予以变更。故投标人的投标总报价应包含本招标内容全部工作所需的一切费用，即投标总报价为“交钥匙”价。对在合同实施过程中可能发生的其它费用（如：增加耗材、材料涨价、人工、运输成本增加等因素），采购人不予支付。</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对于招标文件未列明，而投标人认为必需的费用也需列入其投标总价。在合同实施时，采购人将不予支付投标人没有列入的项目费用，并认为此项目的费用已包括在其投标总价中。</w:t>
      </w:r>
    </w:p>
    <w:p>
      <w:pPr>
        <w:numPr>
          <w:ilvl w:val="0"/>
          <w:numId w:val="13"/>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投标人应对项目招标范围内的全部内容进行报价，不得缺、漏项或只投其中的部分内容的，否则按照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w:t>
      </w:r>
    </w:p>
    <w:p>
      <w:pPr>
        <w:numPr>
          <w:ilvl w:val="0"/>
          <w:numId w:val="3"/>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备选方案</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只允许投标人提供一个投标方案（招标文件中要求提供备选方案的除外），否则按照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w:t>
      </w:r>
    </w:p>
    <w:p>
      <w:pPr>
        <w:numPr>
          <w:ilvl w:val="0"/>
          <w:numId w:val="3"/>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中标后分包</w:t>
      </w:r>
    </w:p>
    <w:p>
      <w:pPr>
        <w:spacing w:line="360" w:lineRule="auto"/>
        <w:ind w:firstLine="480" w:firstLineChars="200"/>
        <w:rPr>
          <w:rFonts w:cs="Times New Roman" w:asciiTheme="minorEastAsia" w:hAnsiTheme="minorEastAsia"/>
          <w:sz w:val="24"/>
          <w:szCs w:val="24"/>
          <w:lang w:val="zh-CN"/>
        </w:rPr>
      </w:pPr>
      <w:r>
        <w:rPr>
          <w:rFonts w:cs="Times New Roman" w:asciiTheme="minorEastAsia" w:hAnsiTheme="minorEastAsia"/>
          <w:sz w:val="24"/>
          <w:szCs w:val="24"/>
          <w:lang w:val="zh-CN"/>
        </w:rPr>
        <w:t>招标文件规定</w:t>
      </w:r>
      <w:r>
        <w:rPr>
          <w:rFonts w:hint="eastAsia" w:cs="Times New Roman" w:asciiTheme="minorEastAsia" w:hAnsiTheme="minorEastAsia"/>
          <w:sz w:val="24"/>
          <w:szCs w:val="24"/>
          <w:lang w:val="zh-CN"/>
        </w:rPr>
        <w:t>项目非主体、非关键性工作中标后可以分包</w:t>
      </w:r>
      <w:r>
        <w:rPr>
          <w:rFonts w:cs="Times New Roman" w:asciiTheme="minorEastAsia" w:hAnsiTheme="minorEastAsia"/>
          <w:sz w:val="24"/>
          <w:szCs w:val="24"/>
          <w:lang w:val="zh-CN"/>
        </w:rPr>
        <w:t>的，投标人拟在中标后将项目的非主体、非关键性工作分包，应当在投标文件中载明</w:t>
      </w:r>
      <w:r>
        <w:rPr>
          <w:rFonts w:hint="eastAsia" w:cs="Times New Roman" w:asciiTheme="minorEastAsia" w:hAnsiTheme="minorEastAsia"/>
          <w:sz w:val="24"/>
          <w:szCs w:val="24"/>
          <w:lang w:val="zh-CN"/>
        </w:rPr>
        <w:t>具备相应资质条件的</w:t>
      </w:r>
      <w:r>
        <w:rPr>
          <w:rFonts w:cs="Times New Roman" w:asciiTheme="minorEastAsia" w:hAnsiTheme="minorEastAsia"/>
          <w:sz w:val="24"/>
          <w:szCs w:val="24"/>
          <w:lang w:val="zh-CN"/>
        </w:rPr>
        <w:t>分包承担主体，分包承担主体不得再次分包。</w:t>
      </w:r>
      <w:r>
        <w:rPr>
          <w:rFonts w:hint="eastAsia" w:cs="Times New Roman" w:asciiTheme="minorEastAsia" w:hAnsiTheme="minorEastAsia"/>
          <w:sz w:val="24"/>
          <w:szCs w:val="24"/>
          <w:lang w:val="zh-CN"/>
        </w:rPr>
        <w:t>否则中标后不允许分包。</w:t>
      </w:r>
    </w:p>
    <w:p>
      <w:pPr>
        <w:numPr>
          <w:ilvl w:val="0"/>
          <w:numId w:val="3"/>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联合体投标</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两个及以上供应商可以组成一个联合体，以一个投标人的身份共同参与投标。</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采取联合体形式投标的，联合体各方均应当符合政府采购法第二十二条第一款规定的条件。联合体的主体应完全满足项目投标人资格要求。</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联合体各方之间应签订联合投标协议，明确约定联合体主体及各方承担的工作和相应的责任，其投标文件中应提供联合投标协议。</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以联合体形式参加政府采购活动的，联合体各方不得再单独参加或者与其他供应商另外组成联合体参加同一合同项下的政府采购活动。</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采取联合体形式投标的，其投标文件应由联合体所有成员或其各自正式书面授权的代表签署（盖章），以便对所有成员作为整体及作为个体均具有法律约束力。</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采取联合体形式投标的，项目评审时只对联合体主体进行评议。</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联合体中标的，联合体各方应当共同与采购人</w:t>
      </w:r>
      <w:r>
        <w:rPr>
          <w:rFonts w:hint="eastAsia" w:cs="Times New Roman" w:asciiTheme="minorEastAsia" w:hAnsiTheme="minorEastAsia"/>
          <w:color w:val="0C0C0C" w:themeColor="text1" w:themeTint="F2"/>
          <w:sz w:val="24"/>
          <w:szCs w:val="24"/>
          <w:lang w:val="zh-CN"/>
        </w:rPr>
        <w:t>签订采购合同，</w:t>
      </w:r>
      <w:r>
        <w:rPr>
          <w:rFonts w:hint="eastAsia" w:ascii="宋体" w:hAnsi="宋体"/>
          <w:color w:val="0C0C0C" w:themeColor="text1" w:themeTint="F2"/>
          <w:sz w:val="24"/>
        </w:rPr>
        <w:t>就采购合同约定的事项对采购人承担连带责任，</w:t>
      </w:r>
      <w:r>
        <w:rPr>
          <w:rFonts w:hint="eastAsia" w:cs="Times New Roman" w:asciiTheme="minorEastAsia" w:hAnsiTheme="minorEastAsia"/>
          <w:color w:val="0C0C0C" w:themeColor="text1" w:themeTint="F2"/>
          <w:sz w:val="24"/>
          <w:szCs w:val="24"/>
          <w:lang w:val="zh-CN"/>
        </w:rPr>
        <w:t>联合体主体单位负主要</w:t>
      </w:r>
      <w:r>
        <w:rPr>
          <w:rFonts w:hint="eastAsia" w:cs="Times New Roman" w:asciiTheme="minorEastAsia" w:hAnsiTheme="minorEastAsia"/>
          <w:sz w:val="24"/>
          <w:szCs w:val="24"/>
          <w:lang w:val="zh-CN"/>
        </w:rPr>
        <w:t>责任。</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联合体中有同类资质的供应商按照联合体分工承担相同工作的，应当按照资质等级较低的供应商确定资质等级。</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招标文件第一章“投标人资格要求”中</w:t>
      </w:r>
      <w:r>
        <w:rPr>
          <w:rFonts w:cs="Times New Roman" w:asciiTheme="minorEastAsia" w:hAnsiTheme="minorEastAsia"/>
          <w:sz w:val="24"/>
          <w:szCs w:val="24"/>
          <w:lang w:val="zh-CN"/>
        </w:rPr>
        <w:t>未载明</w:t>
      </w:r>
      <w:r>
        <w:rPr>
          <w:rFonts w:hint="eastAsia" w:cs="Times New Roman" w:asciiTheme="minorEastAsia" w:hAnsiTheme="minorEastAsia"/>
          <w:sz w:val="24"/>
          <w:szCs w:val="24"/>
          <w:lang w:val="zh-CN"/>
        </w:rPr>
        <w:t>是否接受联合体投标的</w:t>
      </w:r>
      <w:r>
        <w:rPr>
          <w:rFonts w:cs="Times New Roman" w:asciiTheme="minorEastAsia" w:hAnsiTheme="minorEastAsia"/>
          <w:sz w:val="24"/>
          <w:szCs w:val="24"/>
          <w:lang w:val="zh-CN"/>
        </w:rPr>
        <w:t>，</w:t>
      </w:r>
      <w:r>
        <w:rPr>
          <w:rFonts w:hint="eastAsia" w:cs="Times New Roman" w:asciiTheme="minorEastAsia" w:hAnsiTheme="minorEastAsia"/>
          <w:sz w:val="24"/>
          <w:szCs w:val="24"/>
          <w:lang w:val="zh-CN"/>
        </w:rPr>
        <w:t>视同接受</w:t>
      </w:r>
      <w:r>
        <w:rPr>
          <w:rFonts w:cs="Times New Roman" w:asciiTheme="minorEastAsia" w:hAnsiTheme="minorEastAsia"/>
          <w:sz w:val="24"/>
          <w:szCs w:val="24"/>
          <w:lang w:val="zh-CN"/>
        </w:rPr>
        <w:t>。</w:t>
      </w:r>
    </w:p>
    <w:p>
      <w:pPr>
        <w:numPr>
          <w:ilvl w:val="0"/>
          <w:numId w:val="15"/>
        </w:numPr>
        <w:spacing w:line="360" w:lineRule="auto"/>
        <w:ind w:left="728" w:hanging="728"/>
        <w:rPr>
          <w:rFonts w:cs="Times New Roman" w:asciiTheme="minorEastAsia" w:hAnsiTheme="minorEastAsia"/>
          <w:sz w:val="24"/>
          <w:szCs w:val="24"/>
          <w:lang w:val="zh-CN"/>
        </w:rPr>
      </w:pPr>
      <w:r>
        <w:rPr>
          <w:rFonts w:hint="eastAsia" w:cs="Times New Roman" w:asciiTheme="minorEastAsia" w:hAnsiTheme="minorEastAsia"/>
          <w:sz w:val="24"/>
          <w:szCs w:val="24"/>
          <w:lang w:val="zh-CN"/>
        </w:rPr>
        <w:t>以联合体形式参与投标的，其价格扣除相关规定详见第五章“评标方法、程序及标准”。</w:t>
      </w:r>
    </w:p>
    <w:p>
      <w:pPr>
        <w:numPr>
          <w:ilvl w:val="0"/>
          <w:numId w:val="3"/>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资格证明文件</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投标人应按本节及第四章“资格审查方法及标准”的要求，提供足以证明其符合项目“投标人资格要求”且中标后有能力履行合同的文件，并作为其投标文件的组成部分。</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资格证明文件应真实、合法，并就此承担相应法律责任。</w:t>
      </w:r>
    </w:p>
    <w:p>
      <w:pPr>
        <w:numPr>
          <w:ilvl w:val="0"/>
          <w:numId w:val="16"/>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资格证明文件正本应为清晰影印件且加盖单位公章，否则按照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。副本可为正本的复印件,但应在副本封面加盖单位公章。</w:t>
      </w:r>
    </w:p>
    <w:p>
      <w:pPr>
        <w:numPr>
          <w:ilvl w:val="0"/>
          <w:numId w:val="16"/>
        </w:numPr>
        <w:spacing w:line="360" w:lineRule="auto"/>
        <w:ind w:left="616" w:hanging="616"/>
        <w:rPr>
          <w:rFonts w:cs="Times New Roman" w:asciiTheme="minorEastAsia" w:hAnsiTheme="minorEastAsia"/>
          <w:sz w:val="24"/>
          <w:szCs w:val="24"/>
          <w:lang w:val="zh-CN"/>
        </w:rPr>
      </w:pPr>
      <w:r>
        <w:rPr>
          <w:rFonts w:hint="eastAsia" w:cs="Helvetica" w:asciiTheme="minorEastAsia" w:hAnsiTheme="minorEastAsia"/>
          <w:kern w:val="0"/>
          <w:sz w:val="24"/>
          <w:szCs w:val="24"/>
          <w:lang w:val="zh-CN"/>
        </w:rPr>
        <w:t>资格证明文件内容详见</w:t>
      </w:r>
      <w:r>
        <w:rPr>
          <w:rFonts w:hint="eastAsia" w:cs="Times New Roman" w:asciiTheme="minorEastAsia" w:hAnsiTheme="minorEastAsia"/>
          <w:sz w:val="24"/>
          <w:szCs w:val="24"/>
          <w:lang w:val="zh-CN"/>
        </w:rPr>
        <w:t>第四章“资格审查方法及标准”中资格审查内容</w:t>
      </w:r>
      <w:r>
        <w:rPr>
          <w:rFonts w:hint="eastAsia" w:cs="Helvetica" w:asciiTheme="minorEastAsia" w:hAnsiTheme="minorEastAsia"/>
          <w:kern w:val="0"/>
          <w:sz w:val="24"/>
          <w:szCs w:val="24"/>
          <w:lang w:val="zh-CN"/>
        </w:rPr>
        <w:t>。</w:t>
      </w:r>
    </w:p>
    <w:p>
      <w:pPr>
        <w:numPr>
          <w:ilvl w:val="0"/>
          <w:numId w:val="3"/>
        </w:numPr>
        <w:spacing w:line="360" w:lineRule="auto"/>
        <w:ind w:left="560" w:hanging="560"/>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投标保证金</w:t>
      </w:r>
      <w:r>
        <w:rPr>
          <w:rFonts w:hint="eastAsia" w:cs="Times New Roman" w:asciiTheme="minorEastAsia" w:hAnsiTheme="minorEastAsia"/>
          <w:sz w:val="24"/>
          <w:szCs w:val="24"/>
          <w:lang w:val="zh-CN"/>
        </w:rPr>
        <w:t>（交纳金额及账户信息详见本章“投标须知前附表”中规定）。</w:t>
      </w:r>
    </w:p>
    <w:p>
      <w:pPr>
        <w:numPr>
          <w:ilvl w:val="0"/>
          <w:numId w:val="3"/>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投标有效期</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投标有效期详见本章“投标须知前附表”中规定。</w:t>
      </w:r>
      <w:r>
        <w:rPr>
          <w:rFonts w:cs="Helvetica" w:asciiTheme="minorEastAsia" w:hAnsiTheme="minorEastAsia"/>
          <w:kern w:val="0"/>
          <w:sz w:val="24"/>
          <w:szCs w:val="24"/>
          <w:lang w:val="zh-CN"/>
        </w:rPr>
        <w:t>投标文件中承诺的投标有效期应当不少于招标文件中载明的投标有效期</w:t>
      </w:r>
      <w:r>
        <w:rPr>
          <w:rFonts w:hint="eastAsia" w:cs="Helvetica" w:asciiTheme="minorEastAsia" w:hAnsiTheme="minorEastAsia"/>
          <w:kern w:val="0"/>
          <w:sz w:val="24"/>
          <w:szCs w:val="24"/>
          <w:lang w:val="zh-CN"/>
        </w:rPr>
        <w:t>。投标有效期不足的，</w:t>
      </w:r>
      <w:r>
        <w:rPr>
          <w:rFonts w:hint="eastAsia" w:cs="Times New Roman" w:asciiTheme="minorEastAsia" w:hAnsiTheme="minorEastAsia"/>
          <w:sz w:val="24"/>
          <w:szCs w:val="24"/>
          <w:lang w:val="zh-CN"/>
        </w:rPr>
        <w:t>按照</w:t>
      </w:r>
      <w:r>
        <w:rPr>
          <w:rFonts w:hint="eastAsia" w:cs="Times New Roman" w:asciiTheme="minorEastAsia" w:hAnsiTheme="minorEastAsia"/>
          <w:b/>
          <w:sz w:val="24"/>
          <w:szCs w:val="24"/>
          <w:lang w:val="zh-CN"/>
        </w:rPr>
        <w:t>无效投标处理。</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特殊情况下，在原投标有效期截止之前，采购机构或采购人可要求投标人延长投标有效期。这种要求与答复均应以书面形式提交。投标人可拒绝采购机构或采购人的这种要求，但其投标在原投标有效期期满后将不再有效。同意延长投标有效期的投标人不会被要求和允许修正其投标内容，而只会被要求相应地延长其投标保证金的有效期。在这种情况下，本章“投标保证金”的退还和不予退还的规定将在延长了的有效期内继续有效。</w:t>
      </w:r>
    </w:p>
    <w:p>
      <w:pPr>
        <w:numPr>
          <w:ilvl w:val="0"/>
          <w:numId w:val="3"/>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投标文件的数量和签署</w:t>
      </w:r>
    </w:p>
    <w:p>
      <w:pPr>
        <w:numPr>
          <w:ilvl w:val="0"/>
          <w:numId w:val="18"/>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本章“投标须知前附表”中规定的份数要求编制投标文件，投标文件的副本可为正本的复印件,但应在副本封面加盖单位公章。每套投标文件应清楚地标明“正本”、“副本”。副本与正本不一致的，以正本为准。</w:t>
      </w:r>
    </w:p>
    <w:p>
      <w:pPr>
        <w:numPr>
          <w:ilvl w:val="0"/>
          <w:numId w:val="18"/>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投标文件的正本应打印或用不褪色墨水书写，应由法定代表人或经其正式授权的代表签字或盖章。由被授权代表签字或盖章的，应以书面形式出具授权证明，其《法定代表人授权书》应附在投标文件中。</w:t>
      </w:r>
    </w:p>
    <w:p>
      <w:pPr>
        <w:numPr>
          <w:ilvl w:val="0"/>
          <w:numId w:val="18"/>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投标文件中任何涂改和增删，应由法定代表人或经其正式授权的代表在旁边签字后方为有效。</w:t>
      </w:r>
    </w:p>
    <w:p>
      <w:pPr>
        <w:numPr>
          <w:ilvl w:val="0"/>
          <w:numId w:val="18"/>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招标文件中要求加盖公章及签字（签章）之处，投标文件正本中应按要求提供加盖公章及签字（签章）的原件，否则按照</w:t>
      </w:r>
      <w:r>
        <w:rPr>
          <w:rFonts w:hint="eastAsia" w:cs="Times New Roman" w:asciiTheme="minorEastAsia" w:hAnsiTheme="minorEastAsia"/>
          <w:b/>
          <w:sz w:val="24"/>
          <w:szCs w:val="24"/>
          <w:lang w:val="zh-CN"/>
        </w:rPr>
        <w:t>无效投标处理。</w:t>
      </w:r>
    </w:p>
    <w:p>
      <w:pPr>
        <w:numPr>
          <w:ilvl w:val="0"/>
          <w:numId w:val="18"/>
        </w:numPr>
        <w:spacing w:line="360" w:lineRule="auto"/>
        <w:ind w:left="616" w:hanging="616"/>
        <w:rPr>
          <w:rFonts w:cs="Times New Roman" w:asciiTheme="minorEastAsia" w:hAnsiTheme="minorEastAsia"/>
          <w:b/>
          <w:bCs/>
          <w:sz w:val="24"/>
          <w:szCs w:val="24"/>
          <w:lang w:val="zh-CN"/>
        </w:rPr>
      </w:pPr>
      <w:r>
        <w:rPr>
          <w:rFonts w:hint="eastAsia" w:cs="Times New Roman" w:asciiTheme="minorEastAsia" w:hAnsiTheme="minorEastAsia"/>
          <w:b/>
          <w:bCs/>
          <w:sz w:val="24"/>
          <w:szCs w:val="24"/>
          <w:lang w:val="zh-CN"/>
        </w:rPr>
        <w:t>投标文件的密封和标记</w:t>
      </w:r>
    </w:p>
    <w:p>
      <w:pPr>
        <w:numPr>
          <w:ilvl w:val="0"/>
          <w:numId w:val="18"/>
        </w:numPr>
        <w:spacing w:line="360" w:lineRule="auto"/>
        <w:ind w:left="616" w:hanging="616"/>
        <w:rPr>
          <w:rFonts w:cs="Times New Roman" w:asciiTheme="minorEastAsia" w:hAnsiTheme="minorEastAsia"/>
          <w:b/>
          <w:bCs/>
          <w:sz w:val="24"/>
          <w:szCs w:val="24"/>
          <w:lang w:val="zh-CN"/>
        </w:rPr>
      </w:pPr>
      <w:r>
        <w:rPr>
          <w:rFonts w:hint="eastAsia" w:cs="Times New Roman" w:asciiTheme="minorEastAsia" w:hAnsiTheme="minorEastAsia"/>
          <w:b/>
          <w:bCs/>
          <w:sz w:val="24"/>
          <w:szCs w:val="24"/>
          <w:lang w:val="zh-CN"/>
        </w:rPr>
        <w:t>投标人应将投标文件第一部分资格证明文件、第二部分商务文件、第三部分技术、服务文件一起合并装订成一本投标文件，一起封装。</w:t>
      </w:r>
    </w:p>
    <w:p>
      <w:pPr>
        <w:numPr>
          <w:ilvl w:val="0"/>
          <w:numId w:val="18"/>
        </w:numPr>
        <w:spacing w:line="360" w:lineRule="auto"/>
        <w:ind w:left="616" w:hanging="616"/>
        <w:rPr>
          <w:rFonts w:cs="Times New Roman" w:asciiTheme="minorEastAsia" w:hAnsiTheme="minorEastAsia"/>
          <w:b/>
          <w:bCs/>
          <w:sz w:val="24"/>
          <w:szCs w:val="24"/>
          <w:lang w:val="zh-CN"/>
        </w:rPr>
      </w:pPr>
      <w:r>
        <w:rPr>
          <w:rFonts w:hint="eastAsia" w:cs="Times New Roman" w:asciiTheme="minorEastAsia" w:hAnsiTheme="minorEastAsia"/>
          <w:b/>
          <w:bCs/>
          <w:sz w:val="24"/>
          <w:szCs w:val="24"/>
          <w:lang w:val="zh-CN"/>
        </w:rPr>
        <w:t>投标人应将投标文件正本和副本密封合装在封包中。</w:t>
      </w:r>
    </w:p>
    <w:p>
      <w:pPr>
        <w:numPr>
          <w:ilvl w:val="0"/>
          <w:numId w:val="19"/>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如果未按要求加写密封、标记或存在错误，采购机构对其误投或提前启封概不负责。</w:t>
      </w:r>
    </w:p>
    <w:p>
      <w:pPr>
        <w:numPr>
          <w:ilvl w:val="0"/>
          <w:numId w:val="19"/>
        </w:numPr>
        <w:spacing w:line="360" w:lineRule="auto"/>
        <w:ind w:left="616" w:hanging="616"/>
        <w:rPr>
          <w:rFonts w:ascii="宋体" w:hAnsi="宋体" w:eastAsia="宋体" w:cs="Times New Roman"/>
          <w:b/>
          <w:sz w:val="24"/>
          <w:szCs w:val="20"/>
          <w:lang w:val="zh-CN"/>
        </w:rPr>
      </w:pPr>
      <w:r>
        <w:rPr>
          <w:rFonts w:hint="eastAsia" w:ascii="宋体" w:hAnsi="宋体" w:eastAsia="宋体" w:cs="Times New Roman"/>
          <w:sz w:val="24"/>
          <w:szCs w:val="20"/>
          <w:lang w:val="zh-CN"/>
        </w:rPr>
        <w:t>为方便开标时唱标，投标人应将《开标一览表》原件</w:t>
      </w:r>
      <w:r>
        <w:rPr>
          <w:rFonts w:hint="eastAsia" w:ascii="宋体" w:hAnsi="宋体" w:eastAsia="宋体" w:cs="Times New Roman"/>
          <w:spacing w:val="-6"/>
          <w:kern w:val="0"/>
          <w:sz w:val="24"/>
          <w:szCs w:val="20"/>
          <w:lang w:val="zh-CN"/>
        </w:rPr>
        <w:t>装入一个信封，单独密封提交</w:t>
      </w:r>
      <w:r>
        <w:rPr>
          <w:rFonts w:hint="eastAsia" w:ascii="宋体" w:hAnsi="宋体" w:eastAsia="宋体" w:cs="Times New Roman"/>
          <w:sz w:val="24"/>
          <w:szCs w:val="20"/>
          <w:lang w:val="zh-CN"/>
        </w:rPr>
        <w:t>，并在信封上标明“开标一览表”字样。未单独提交或单独提交的上述资料未按照招标文件规定的格式填写完整并签字、盖章的采购人</w:t>
      </w:r>
      <w:r>
        <w:rPr>
          <w:rFonts w:hint="eastAsia" w:ascii="宋体" w:hAnsi="宋体" w:eastAsia="宋体" w:cs="Times New Roman"/>
          <w:b/>
          <w:sz w:val="24"/>
          <w:szCs w:val="20"/>
          <w:lang w:val="zh-CN"/>
        </w:rPr>
        <w:t>拒绝</w:t>
      </w:r>
      <w:r>
        <w:rPr>
          <w:rFonts w:hint="eastAsia" w:ascii="宋体" w:hAnsi="宋体" w:eastAsia="宋体" w:cs="Times New Roman"/>
          <w:sz w:val="24"/>
          <w:szCs w:val="20"/>
          <w:lang w:val="zh-CN"/>
        </w:rPr>
        <w:t>其投标。</w:t>
      </w:r>
    </w:p>
    <w:p>
      <w:pPr>
        <w:numPr>
          <w:ilvl w:val="0"/>
          <w:numId w:val="19"/>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“开标一览表”信封和投标文件的封包上应注明采购项目编号、项目名称、投标内容和有“在（招标文件中规定的开标日期和时间）之前不得启封”的字样，封口处加盖投标人公章。</w:t>
      </w:r>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投标文件递交</w:t>
      </w:r>
    </w:p>
    <w:p>
      <w:pPr>
        <w:numPr>
          <w:ilvl w:val="0"/>
          <w:numId w:val="20"/>
        </w:numPr>
        <w:spacing w:line="360" w:lineRule="auto"/>
        <w:ind w:left="616" w:hanging="616"/>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投标人应在不迟于投标邀请书中规定的投标截止日期和时间将投标文件密封递交至</w:t>
      </w:r>
      <w:r>
        <w:rPr>
          <w:rFonts w:hint="eastAsia" w:cs="Times New Roman" w:asciiTheme="minorEastAsia" w:hAnsiTheme="minorEastAsia"/>
          <w:sz w:val="24"/>
          <w:szCs w:val="24"/>
          <w:lang w:val="zh-CN"/>
        </w:rPr>
        <w:t>采购人（或代理公司）</w:t>
      </w:r>
      <w:r>
        <w:rPr>
          <w:rFonts w:hint="eastAsia" w:ascii="Helvetica" w:hAnsi="Helvetica" w:eastAsia="宋体" w:cs="Helvetica"/>
          <w:kern w:val="0"/>
          <w:sz w:val="24"/>
          <w:szCs w:val="24"/>
          <w:lang w:val="zh-CN"/>
        </w:rPr>
        <w:t>规定的投标地点。</w:t>
      </w:r>
    </w:p>
    <w:p>
      <w:pPr>
        <w:numPr>
          <w:ilvl w:val="0"/>
          <w:numId w:val="20"/>
        </w:numPr>
        <w:spacing w:line="360" w:lineRule="auto"/>
        <w:ind w:left="616" w:hanging="616"/>
        <w:rPr>
          <w:rFonts w:ascii="Helvetica" w:hAnsi="Helvetica" w:eastAsia="宋体" w:cs="Helvetica"/>
          <w:b/>
          <w:kern w:val="0"/>
          <w:sz w:val="24"/>
          <w:szCs w:val="24"/>
          <w:lang w:val="zh-CN"/>
        </w:rPr>
      </w:pPr>
      <w:r>
        <w:rPr>
          <w:rFonts w:hint="eastAsia" w:cs="Times New Roman" w:asciiTheme="minorEastAsia" w:hAnsiTheme="minorEastAsia"/>
          <w:sz w:val="24"/>
          <w:szCs w:val="24"/>
          <w:lang w:val="zh-CN"/>
        </w:rPr>
        <w:t>采购人（或代理公司）</w:t>
      </w:r>
      <w:r>
        <w:rPr>
          <w:rFonts w:hint="eastAsia" w:ascii="Helvetica" w:hAnsi="Helvetica" w:eastAsia="宋体" w:cs="Helvetica"/>
          <w:b/>
          <w:kern w:val="0"/>
          <w:sz w:val="24"/>
          <w:szCs w:val="24"/>
          <w:lang w:val="zh-CN"/>
        </w:rPr>
        <w:t>拒收逾期送达或者未按招标文件要求密封的投标文件。</w:t>
      </w:r>
    </w:p>
    <w:p>
      <w:pPr>
        <w:numPr>
          <w:ilvl w:val="0"/>
          <w:numId w:val="20"/>
        </w:numPr>
        <w:spacing w:line="360" w:lineRule="auto"/>
        <w:ind w:left="616" w:hanging="616"/>
        <w:rPr>
          <w:rFonts w:ascii="Helvetica" w:hAnsi="Helvetica" w:eastAsia="宋体" w:cs="Helvetica"/>
          <w:kern w:val="0"/>
          <w:sz w:val="24"/>
          <w:szCs w:val="24"/>
          <w:lang w:val="zh-CN"/>
        </w:rPr>
      </w:pPr>
      <w:r>
        <w:rPr>
          <w:rFonts w:hint="eastAsia" w:cs="Times New Roman" w:asciiTheme="minorEastAsia" w:hAnsiTheme="minorEastAsia"/>
          <w:sz w:val="24"/>
          <w:szCs w:val="24"/>
          <w:lang w:val="zh-CN"/>
        </w:rPr>
        <w:t>采购人（或代理公司）</w:t>
      </w:r>
      <w:r>
        <w:rPr>
          <w:rFonts w:ascii="Helvetica" w:hAnsi="Helvetica" w:eastAsia="宋体" w:cs="Helvetica"/>
          <w:kern w:val="0"/>
          <w:sz w:val="24"/>
          <w:szCs w:val="24"/>
          <w:lang w:val="zh-CN"/>
        </w:rPr>
        <w:t>收到投标文件后，应当如实记载投标文件的送达时间和密封情况，签收保存，并向投标人出具签收回执。</w:t>
      </w:r>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投标文件的修改和撤回</w:t>
      </w:r>
    </w:p>
    <w:p>
      <w:pPr>
        <w:numPr>
          <w:ilvl w:val="0"/>
          <w:numId w:val="21"/>
        </w:numPr>
        <w:spacing w:line="360" w:lineRule="auto"/>
        <w:ind w:left="616" w:hanging="616"/>
        <w:rPr>
          <w:rFonts w:ascii="宋体" w:hAnsi="宋体" w:eastAsia="宋体" w:cs="Times New Roman"/>
          <w:strike/>
          <w:sz w:val="24"/>
          <w:szCs w:val="20"/>
          <w:lang w:val="zh-CN"/>
        </w:rPr>
      </w:pPr>
      <w:r>
        <w:rPr>
          <w:rFonts w:ascii="宋体" w:hAnsi="宋体" w:eastAsia="宋体" w:cs="Times New Roman"/>
          <w:sz w:val="24"/>
          <w:szCs w:val="20"/>
          <w:lang w:val="zh-CN"/>
        </w:rPr>
        <w:t>投标人在投标截止时间前，可以对所递交的投标文件进行补充、修改或者撤回，并书面通知</w:t>
      </w:r>
      <w:r>
        <w:rPr>
          <w:rFonts w:hint="eastAsia" w:ascii="宋体" w:hAnsi="宋体" w:eastAsia="宋体" w:cs="Times New Roman"/>
          <w:sz w:val="24"/>
          <w:szCs w:val="20"/>
          <w:lang w:val="zh-CN"/>
        </w:rPr>
        <w:t>采购机构</w:t>
      </w:r>
      <w:r>
        <w:rPr>
          <w:rFonts w:ascii="宋体" w:hAnsi="宋体" w:eastAsia="宋体" w:cs="Times New Roman"/>
          <w:sz w:val="24"/>
          <w:szCs w:val="20"/>
          <w:lang w:val="zh-CN"/>
        </w:rPr>
        <w:t>。补充、修改的内容应当按照招标文件要求签署、盖章、密封后，作为投标文件的组成部分。</w:t>
      </w:r>
    </w:p>
    <w:p>
      <w:pPr>
        <w:numPr>
          <w:ilvl w:val="0"/>
          <w:numId w:val="21"/>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投标有效期内投标人不得撤销其投标文件，否则按照本章“投标保证金”的规定其投标保证金不予退还。</w:t>
      </w:r>
    </w:p>
    <w:p>
      <w:pPr>
        <w:numPr>
          <w:ilvl w:val="0"/>
          <w:numId w:val="21"/>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投标人所递交的投标文件无论中标与否不予退还。</w:t>
      </w:r>
    </w:p>
    <w:p>
      <w:pPr>
        <w:pStyle w:val="4"/>
        <w:numPr>
          <w:ilvl w:val="0"/>
          <w:numId w:val="11"/>
        </w:numPr>
        <w:spacing w:before="40" w:after="40" w:line="360" w:lineRule="auto"/>
        <w:ind w:left="658" w:hanging="658"/>
        <w:jc w:val="left"/>
        <w:rPr>
          <w:rFonts w:cs="Times New Roman" w:asciiTheme="majorEastAsia" w:hAnsiTheme="majorEastAsia"/>
          <w:bCs w:val="0"/>
          <w:lang w:val="zh-CN"/>
        </w:rPr>
      </w:pPr>
      <w:bookmarkStart w:id="26" w:name="_Toc494561942"/>
      <w:bookmarkStart w:id="27" w:name="_Toc278891595"/>
      <w:bookmarkStart w:id="28" w:name="_Toc29294"/>
      <w:bookmarkStart w:id="29" w:name="_Toc272247698"/>
      <w:r>
        <w:rPr>
          <w:rFonts w:hint="eastAsia" w:cs="Times New Roman" w:asciiTheme="majorEastAsia" w:hAnsiTheme="majorEastAsia"/>
          <w:bCs w:val="0"/>
          <w:lang w:val="zh-CN"/>
        </w:rPr>
        <w:t>开标与评标</w:t>
      </w:r>
      <w:bookmarkEnd w:id="26"/>
      <w:bookmarkEnd w:id="27"/>
      <w:bookmarkEnd w:id="28"/>
      <w:bookmarkEnd w:id="29"/>
    </w:p>
    <w:p>
      <w:pPr>
        <w:numPr>
          <w:ilvl w:val="0"/>
          <w:numId w:val="3"/>
        </w:numPr>
        <w:spacing w:line="360" w:lineRule="auto"/>
        <w:ind w:left="560" w:hanging="560"/>
        <w:rPr>
          <w:rFonts w:cs="Times New Roman" w:asciiTheme="minorEastAsia" w:hAnsiTheme="minorEastAsia"/>
          <w:sz w:val="24"/>
          <w:szCs w:val="24"/>
          <w:lang w:val="zh-CN"/>
        </w:rPr>
      </w:pPr>
      <w:r>
        <w:rPr>
          <w:rFonts w:hint="eastAsia" w:ascii="宋体" w:hAnsi="宋体" w:eastAsia="宋体" w:cs="Times New Roman"/>
          <w:b/>
          <w:sz w:val="24"/>
          <w:szCs w:val="20"/>
          <w:lang w:val="zh-CN"/>
        </w:rPr>
        <w:t>开标</w:t>
      </w:r>
    </w:p>
    <w:p>
      <w:pPr>
        <w:numPr>
          <w:ilvl w:val="0"/>
          <w:numId w:val="22"/>
        </w:numPr>
        <w:spacing w:line="360" w:lineRule="auto"/>
        <w:ind w:left="616" w:hanging="616"/>
        <w:rPr>
          <w:rFonts w:ascii="宋体" w:hAnsi="宋体" w:eastAsia="宋体" w:cs="Times New Roman"/>
          <w:b/>
          <w:sz w:val="24"/>
          <w:szCs w:val="20"/>
          <w:lang w:val="zh-CN"/>
        </w:rPr>
      </w:pPr>
      <w:r>
        <w:rPr>
          <w:rFonts w:hint="eastAsia" w:ascii="Helvetica" w:hAnsi="Helvetica" w:eastAsia="宋体" w:cs="Helvetica"/>
          <w:color w:val="FF0000"/>
          <w:kern w:val="0"/>
          <w:sz w:val="24"/>
          <w:szCs w:val="24"/>
          <w:lang w:val="zh-CN"/>
        </w:rPr>
        <w:t>采购人（或代理公司）</w:t>
      </w:r>
      <w:r>
        <w:rPr>
          <w:rFonts w:hint="eastAsia" w:ascii="宋体" w:hAnsi="宋体" w:eastAsia="宋体" w:cs="Times New Roman"/>
          <w:sz w:val="24"/>
          <w:szCs w:val="20"/>
          <w:lang w:val="zh-CN"/>
        </w:rPr>
        <w:t>在第一章“投标邀请书”中约定的日期、时间和地点组织公开开标。开标时采购人和投标人代表（投标人法定代表人或其授权代表）参加,参加开标的代表应签到以证明其出席</w:t>
      </w:r>
      <w:r>
        <w:rPr>
          <w:rFonts w:hint="eastAsia" w:ascii="宋体" w:hAnsi="宋体" w:eastAsia="宋体" w:cs="Times New Roman"/>
          <w:b/>
          <w:sz w:val="24"/>
          <w:szCs w:val="20"/>
          <w:lang w:val="zh-CN"/>
        </w:rPr>
        <w:t>，否则视同认可开标结果。</w:t>
      </w:r>
    </w:p>
    <w:p>
      <w:pPr>
        <w:numPr>
          <w:ilvl w:val="0"/>
          <w:numId w:val="22"/>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投标人法定代表人或其授权代表应携带有效身份证明参加项目开标会，</w:t>
      </w:r>
      <w:r>
        <w:rPr>
          <w:rFonts w:ascii="宋体" w:hAnsi="宋体" w:eastAsia="宋体" w:cs="Times New Roman"/>
          <w:sz w:val="24"/>
          <w:szCs w:val="20"/>
          <w:lang w:val="zh-CN"/>
        </w:rPr>
        <w:t>投标人未参加开标的，视同认可开标结果。</w:t>
      </w:r>
      <w:r>
        <w:rPr>
          <w:rFonts w:hint="eastAsia" w:ascii="宋体" w:hAnsi="宋体" w:eastAsia="宋体" w:cs="Times New Roman"/>
          <w:sz w:val="24"/>
          <w:szCs w:val="20"/>
          <w:lang w:val="zh-CN"/>
        </w:rPr>
        <w:t>截止</w:t>
      </w:r>
      <w:r>
        <w:rPr>
          <w:rFonts w:hint="eastAsia" w:ascii="宋体" w:hAnsi="宋体" w:eastAsia="宋体" w:cs="宋体"/>
          <w:kern w:val="0"/>
          <w:sz w:val="24"/>
          <w:szCs w:val="24"/>
        </w:rPr>
        <w:t>投标文件</w:t>
      </w:r>
      <w:r>
        <w:rPr>
          <w:rFonts w:hint="eastAsia" w:ascii="宋体" w:hAnsi="宋体" w:eastAsia="宋体" w:cs="Times New Roman"/>
          <w:sz w:val="24"/>
          <w:szCs w:val="20"/>
          <w:lang w:val="zh-CN"/>
        </w:rPr>
        <w:t>递交时间，投标人不足3家的，不进行开标</w:t>
      </w:r>
      <w:r>
        <w:rPr>
          <w:rFonts w:hint="eastAsia" w:ascii="Helvetica" w:hAnsi="Helvetica" w:eastAsia="宋体" w:cs="Helvetica"/>
          <w:kern w:val="0"/>
          <w:sz w:val="24"/>
          <w:szCs w:val="24"/>
          <w:lang w:val="zh-CN"/>
        </w:rPr>
        <w:t>。</w:t>
      </w:r>
    </w:p>
    <w:p>
      <w:pPr>
        <w:numPr>
          <w:ilvl w:val="0"/>
          <w:numId w:val="22"/>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开标时，由投标人或其推选的代表检查投标文件的密封情况，经确认无误后由</w:t>
      </w:r>
      <w:r>
        <w:rPr>
          <w:rFonts w:hint="eastAsia" w:ascii="Helvetica" w:hAnsi="Helvetica" w:eastAsia="宋体" w:cs="Helvetica"/>
          <w:color w:val="FF0000"/>
          <w:kern w:val="0"/>
          <w:sz w:val="24"/>
          <w:szCs w:val="24"/>
          <w:lang w:val="zh-CN"/>
        </w:rPr>
        <w:t>采购人</w:t>
      </w:r>
      <w:r>
        <w:rPr>
          <w:rFonts w:hint="eastAsia" w:ascii="宋体" w:hAnsi="宋体" w:eastAsia="宋体" w:cs="Times New Roman"/>
          <w:sz w:val="24"/>
          <w:szCs w:val="20"/>
          <w:lang w:val="zh-CN"/>
        </w:rPr>
        <w:t>（或代理公司）工作人员当众拆封，宣布投标人名称、投标价格和招标文件规定的需要宣布的其他内容。</w:t>
      </w:r>
    </w:p>
    <w:p>
      <w:pPr>
        <w:numPr>
          <w:ilvl w:val="0"/>
          <w:numId w:val="22"/>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采购人（或代理公司）负责对开标过程进行记录，由参加开标的各投标人代表和相关工作人员对开标记录进行签字确认。</w:t>
      </w:r>
    </w:p>
    <w:p>
      <w:pPr>
        <w:numPr>
          <w:ilvl w:val="0"/>
          <w:numId w:val="22"/>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投标人代表对开标过程和开标记录有疑义，以及认为采购人、代理公司相关工作人员有需要回避的情形的，应当场提出询问或者回避申请。采购人、代理公司将及时处理投标人代表提出的询问或者回避申请。</w:t>
      </w:r>
    </w:p>
    <w:p>
      <w:pPr>
        <w:numPr>
          <w:ilvl w:val="0"/>
          <w:numId w:val="22"/>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资格审查</w:t>
      </w:r>
    </w:p>
    <w:p>
      <w:pPr>
        <w:numPr>
          <w:ilvl w:val="0"/>
          <w:numId w:val="22"/>
        </w:numPr>
        <w:spacing w:line="360" w:lineRule="auto"/>
        <w:ind w:left="616" w:hanging="616"/>
        <w:rPr>
          <w:rFonts w:ascii="Helvetica" w:hAnsi="Helvetica" w:eastAsia="宋体" w:cs="Helvetica"/>
          <w:kern w:val="0"/>
          <w:sz w:val="24"/>
          <w:szCs w:val="24"/>
          <w:lang w:val="zh-CN"/>
        </w:rPr>
      </w:pPr>
      <w:r>
        <w:rPr>
          <w:rFonts w:hint="eastAsia" w:ascii="宋体" w:hAnsi="宋体" w:eastAsia="宋体" w:cs="Times New Roman"/>
          <w:sz w:val="24"/>
          <w:szCs w:val="20"/>
          <w:lang w:val="zh-CN"/>
        </w:rPr>
        <w:t>公开招标采购项目开标结束后，采购人和采购代理公司依据法律、法规及招标文件的规定，对投标人的资格进行审查，以确定投</w:t>
      </w:r>
      <w:r>
        <w:rPr>
          <w:rFonts w:hint="eastAsia" w:ascii="宋体" w:hAnsi="宋体" w:eastAsia="宋体" w:cs="Times New Roman"/>
          <w:bCs/>
          <w:sz w:val="24"/>
          <w:szCs w:val="20"/>
          <w:lang w:val="zh-CN"/>
        </w:rPr>
        <w:t>标人资格是否合格。</w:t>
      </w:r>
      <w:r>
        <w:rPr>
          <w:rFonts w:ascii="Helvetica" w:hAnsi="Helvetica" w:eastAsia="宋体" w:cs="Helvetica"/>
          <w:kern w:val="0"/>
          <w:sz w:val="24"/>
          <w:szCs w:val="24"/>
          <w:lang w:val="zh-CN"/>
        </w:rPr>
        <w:t>合格投标人不足</w:t>
      </w:r>
      <w:r>
        <w:rPr>
          <w:rFonts w:ascii="宋体" w:hAnsi="宋体" w:eastAsia="宋体" w:cs="Helvetica"/>
          <w:kern w:val="0"/>
          <w:sz w:val="24"/>
          <w:szCs w:val="24"/>
          <w:lang w:val="zh-CN"/>
        </w:rPr>
        <w:t>3</w:t>
      </w:r>
      <w:r>
        <w:rPr>
          <w:rFonts w:ascii="Helvetica" w:hAnsi="Helvetica" w:eastAsia="宋体" w:cs="Helvetica"/>
          <w:kern w:val="0"/>
          <w:sz w:val="24"/>
          <w:szCs w:val="24"/>
          <w:lang w:val="zh-CN"/>
        </w:rPr>
        <w:t>家的，不</w:t>
      </w:r>
      <w:r>
        <w:rPr>
          <w:rFonts w:hint="eastAsia" w:ascii="Helvetica" w:hAnsi="Helvetica" w:eastAsia="宋体" w:cs="Helvetica"/>
          <w:kern w:val="0"/>
          <w:sz w:val="24"/>
          <w:szCs w:val="24"/>
          <w:lang w:val="zh-CN"/>
        </w:rPr>
        <w:t>进行</w:t>
      </w:r>
      <w:r>
        <w:rPr>
          <w:rFonts w:ascii="Helvetica" w:hAnsi="Helvetica" w:eastAsia="宋体" w:cs="Helvetica"/>
          <w:kern w:val="0"/>
          <w:sz w:val="24"/>
          <w:szCs w:val="24"/>
          <w:lang w:val="zh-CN"/>
        </w:rPr>
        <w:t>评标</w:t>
      </w:r>
      <w:r>
        <w:rPr>
          <w:rFonts w:hint="eastAsia" w:ascii="Helvetica" w:hAnsi="Helvetica" w:eastAsia="宋体" w:cs="Helvetica"/>
          <w:kern w:val="0"/>
          <w:sz w:val="24"/>
          <w:szCs w:val="24"/>
          <w:lang w:val="zh-CN"/>
        </w:rPr>
        <w:t>。</w:t>
      </w:r>
    </w:p>
    <w:p>
      <w:pPr>
        <w:numPr>
          <w:ilvl w:val="0"/>
          <w:numId w:val="23"/>
        </w:numPr>
        <w:spacing w:line="360" w:lineRule="auto"/>
        <w:ind w:left="616" w:hanging="616"/>
        <w:rPr>
          <w:rFonts w:ascii="宋体" w:hAnsi="宋体" w:eastAsia="宋体" w:cs="Times New Roman"/>
          <w:bCs/>
          <w:sz w:val="24"/>
          <w:szCs w:val="20"/>
          <w:lang w:val="zh-CN"/>
        </w:rPr>
      </w:pPr>
      <w:r>
        <w:rPr>
          <w:rFonts w:hint="eastAsia" w:ascii="宋体" w:hAnsi="宋体" w:eastAsia="宋体" w:cs="Times New Roman"/>
          <w:bCs/>
          <w:sz w:val="24"/>
          <w:szCs w:val="20"/>
          <w:lang w:val="zh-CN"/>
        </w:rPr>
        <w:t>资格审查详见第四章“资格审查方法及标准”。</w:t>
      </w:r>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评标方法</w:t>
      </w:r>
    </w:p>
    <w:p>
      <w:pPr>
        <w:numPr>
          <w:ilvl w:val="0"/>
          <w:numId w:val="24"/>
        </w:numPr>
        <w:spacing w:line="360" w:lineRule="auto"/>
        <w:ind w:left="616" w:hanging="616"/>
        <w:rPr>
          <w:rFonts w:ascii="宋体" w:hAnsi="宋体" w:eastAsia="宋体" w:cs="Times New Roman"/>
          <w:bCs/>
          <w:sz w:val="24"/>
          <w:szCs w:val="20"/>
          <w:lang w:val="zh-CN"/>
        </w:rPr>
      </w:pPr>
      <w:r>
        <w:rPr>
          <w:rFonts w:hint="eastAsia" w:ascii="宋体" w:hAnsi="宋体" w:eastAsia="宋体" w:cs="Times New Roman"/>
          <w:bCs/>
          <w:sz w:val="24"/>
          <w:szCs w:val="20"/>
          <w:lang w:val="zh-CN"/>
        </w:rPr>
        <w:t>最低评标价法。最低评标价法是指投标文件满足招标文件全部实质性要求，且投标报价最低的投标人为中标候选人的评标方法。</w:t>
      </w:r>
    </w:p>
    <w:p>
      <w:pPr>
        <w:numPr>
          <w:ilvl w:val="0"/>
          <w:numId w:val="24"/>
        </w:numPr>
        <w:spacing w:line="360" w:lineRule="auto"/>
        <w:ind w:left="616" w:hanging="616"/>
        <w:rPr>
          <w:rFonts w:ascii="宋体" w:hAnsi="宋体" w:eastAsia="宋体" w:cs="Times New Roman"/>
          <w:bCs/>
          <w:sz w:val="24"/>
          <w:szCs w:val="20"/>
          <w:lang w:val="zh-CN"/>
        </w:rPr>
      </w:pPr>
      <w:r>
        <w:rPr>
          <w:rFonts w:hint="eastAsia" w:ascii="宋体" w:hAnsi="宋体" w:eastAsia="宋体" w:cs="Times New Roman"/>
          <w:bCs/>
          <w:sz w:val="24"/>
          <w:szCs w:val="20"/>
          <w:lang w:val="zh-CN"/>
        </w:rPr>
        <w:t>综合评分法。</w:t>
      </w:r>
      <w:r>
        <w:rPr>
          <w:rFonts w:ascii="宋体" w:hAnsi="宋体" w:eastAsia="宋体" w:cs="Times New Roman"/>
          <w:bCs/>
          <w:sz w:val="24"/>
          <w:szCs w:val="20"/>
          <w:lang w:val="zh-CN"/>
        </w:rPr>
        <w:t>综合评分法是指投标文件满足招标文件全部实质性要求，且按照评审因素的量化指标评审得分最高的投标人为中标候选人的评标方法。</w:t>
      </w:r>
    </w:p>
    <w:p>
      <w:pPr>
        <w:numPr>
          <w:ilvl w:val="0"/>
          <w:numId w:val="24"/>
        </w:numPr>
        <w:spacing w:line="360" w:lineRule="auto"/>
        <w:ind w:left="616" w:hanging="616"/>
        <w:rPr>
          <w:rFonts w:ascii="宋体" w:hAnsi="宋体" w:eastAsia="宋体" w:cs="Times New Roman"/>
          <w:bCs/>
          <w:sz w:val="24"/>
          <w:szCs w:val="20"/>
          <w:lang w:val="zh-CN"/>
        </w:rPr>
      </w:pPr>
      <w:r>
        <w:rPr>
          <w:rFonts w:hint="eastAsia" w:ascii="Helvetica" w:hAnsi="Helvetica" w:eastAsia="宋体" w:cs="Helvetica"/>
          <w:kern w:val="0"/>
          <w:sz w:val="24"/>
          <w:szCs w:val="24"/>
          <w:lang w:val="zh-CN"/>
        </w:rPr>
        <w:t>评标方法详见第五章“评标方法、程序及标准”</w:t>
      </w:r>
      <w:r>
        <w:rPr>
          <w:rFonts w:hint="eastAsia" w:ascii="宋体" w:hAnsi="宋体" w:eastAsia="宋体" w:cs="Times New Roman"/>
          <w:bCs/>
          <w:sz w:val="24"/>
          <w:szCs w:val="20"/>
          <w:lang w:val="zh-CN"/>
        </w:rPr>
        <w:t>。</w:t>
      </w:r>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评标委员会的组成</w:t>
      </w:r>
    </w:p>
    <w:p>
      <w:pPr>
        <w:numPr>
          <w:ilvl w:val="0"/>
          <w:numId w:val="25"/>
        </w:numPr>
        <w:spacing w:line="360" w:lineRule="auto"/>
        <w:ind w:left="616" w:hanging="616"/>
        <w:rPr>
          <w:rFonts w:ascii="宋体" w:hAnsi="宋体" w:eastAsia="宋体" w:cs="Times New Roman"/>
          <w:sz w:val="24"/>
          <w:szCs w:val="20"/>
          <w:lang w:val="zh-CN"/>
        </w:rPr>
      </w:pPr>
      <w:r>
        <w:rPr>
          <w:rFonts w:ascii="宋体" w:hAnsi="宋体" w:eastAsia="宋体" w:cs="Helvetica"/>
          <w:kern w:val="0"/>
          <w:sz w:val="24"/>
          <w:szCs w:val="24"/>
          <w:lang w:val="zh-CN"/>
        </w:rPr>
        <w:t>评标委员会由采购人代表和评审专家组成，成员人数应当为5人</w:t>
      </w:r>
      <w:r>
        <w:rPr>
          <w:rFonts w:hint="eastAsia" w:ascii="宋体" w:hAnsi="宋体" w:eastAsia="宋体" w:cs="Helvetica"/>
          <w:kern w:val="0"/>
          <w:sz w:val="24"/>
          <w:szCs w:val="24"/>
          <w:lang w:val="en-US" w:eastAsia="zh-CN"/>
        </w:rPr>
        <w:t>或</w:t>
      </w:r>
      <w:r>
        <w:rPr>
          <w:rFonts w:ascii="宋体" w:hAnsi="宋体" w:eastAsia="宋体" w:cs="Helvetica"/>
          <w:kern w:val="0"/>
          <w:sz w:val="24"/>
          <w:szCs w:val="24"/>
          <w:lang w:val="zh-CN"/>
        </w:rPr>
        <w:t>以上单数，其中评审专家不得少于成员总数的三分之二</w:t>
      </w:r>
      <w:r>
        <w:rPr>
          <w:rFonts w:hint="eastAsia" w:ascii="宋体" w:hAnsi="宋体" w:eastAsia="宋体" w:cs="Helvetica"/>
          <w:kern w:val="0"/>
          <w:sz w:val="24"/>
          <w:szCs w:val="24"/>
          <w:lang w:val="zh-CN"/>
        </w:rPr>
        <w:t>；</w:t>
      </w:r>
      <w:r>
        <w:rPr>
          <w:rFonts w:ascii="宋体" w:hAnsi="宋体" w:eastAsia="宋体" w:cs="Times New Roman"/>
          <w:sz w:val="24"/>
          <w:szCs w:val="20"/>
          <w:lang w:val="zh-CN"/>
        </w:rPr>
        <w:t>采购预算金额在1000万元</w:t>
      </w:r>
      <w:r>
        <w:rPr>
          <w:rFonts w:hint="eastAsia" w:ascii="宋体" w:hAnsi="宋体" w:eastAsia="宋体" w:cs="Times New Roman"/>
          <w:sz w:val="24"/>
          <w:szCs w:val="20"/>
          <w:lang w:val="zh-CN"/>
        </w:rPr>
        <w:t>及</w:t>
      </w:r>
      <w:r>
        <w:rPr>
          <w:rFonts w:ascii="宋体" w:hAnsi="宋体" w:eastAsia="宋体" w:cs="Times New Roman"/>
          <w:sz w:val="24"/>
          <w:szCs w:val="20"/>
          <w:lang w:val="zh-CN"/>
        </w:rPr>
        <w:t>以上</w:t>
      </w:r>
      <w:r>
        <w:rPr>
          <w:rFonts w:hint="eastAsia" w:ascii="宋体" w:hAnsi="宋体" w:eastAsia="宋体" w:cs="Times New Roman"/>
          <w:sz w:val="24"/>
          <w:szCs w:val="20"/>
          <w:lang w:val="zh-CN"/>
        </w:rPr>
        <w:t>、</w:t>
      </w:r>
      <w:r>
        <w:rPr>
          <w:rFonts w:ascii="宋体" w:hAnsi="宋体" w:eastAsia="宋体" w:cs="Times New Roman"/>
          <w:sz w:val="24"/>
          <w:szCs w:val="20"/>
          <w:lang w:val="zh-CN"/>
        </w:rPr>
        <w:t>技术复杂</w:t>
      </w:r>
      <w:r>
        <w:rPr>
          <w:rFonts w:hint="eastAsia" w:ascii="宋体" w:hAnsi="宋体" w:eastAsia="宋体" w:cs="Times New Roman"/>
          <w:sz w:val="24"/>
          <w:szCs w:val="20"/>
          <w:lang w:val="zh-CN"/>
        </w:rPr>
        <w:t>或</w:t>
      </w:r>
      <w:r>
        <w:rPr>
          <w:rFonts w:ascii="宋体" w:hAnsi="宋体" w:eastAsia="宋体" w:cs="Times New Roman"/>
          <w:sz w:val="24"/>
          <w:szCs w:val="20"/>
          <w:lang w:val="zh-CN"/>
        </w:rPr>
        <w:t>社会影响较大</w:t>
      </w:r>
      <w:r>
        <w:rPr>
          <w:rFonts w:hint="eastAsia" w:ascii="宋体" w:hAnsi="宋体" w:eastAsia="宋体" w:cs="Times New Roman"/>
          <w:sz w:val="24"/>
          <w:szCs w:val="20"/>
          <w:lang w:val="zh-CN"/>
        </w:rPr>
        <w:t>的项目，</w:t>
      </w:r>
      <w:r>
        <w:rPr>
          <w:rFonts w:ascii="宋体" w:hAnsi="宋体" w:eastAsia="宋体" w:cs="Times New Roman"/>
          <w:sz w:val="24"/>
          <w:szCs w:val="20"/>
          <w:lang w:val="zh-CN"/>
        </w:rPr>
        <w:t>评标委员会成员人数应当为7人</w:t>
      </w:r>
      <w:r>
        <w:rPr>
          <w:rFonts w:hint="eastAsia" w:ascii="宋体" w:hAnsi="宋体" w:eastAsia="宋体" w:cs="Times New Roman"/>
          <w:sz w:val="24"/>
          <w:szCs w:val="20"/>
          <w:lang w:val="zh-CN"/>
        </w:rPr>
        <w:t>及</w:t>
      </w:r>
      <w:r>
        <w:rPr>
          <w:rFonts w:ascii="宋体" w:hAnsi="宋体" w:eastAsia="宋体" w:cs="Times New Roman"/>
          <w:sz w:val="24"/>
          <w:szCs w:val="20"/>
          <w:lang w:val="zh-CN"/>
        </w:rPr>
        <w:t>以上单数</w:t>
      </w:r>
      <w:r>
        <w:rPr>
          <w:rFonts w:hint="eastAsia" w:ascii="宋体" w:hAnsi="宋体" w:eastAsia="宋体" w:cs="Times New Roman"/>
          <w:sz w:val="24"/>
          <w:szCs w:val="20"/>
          <w:lang w:val="zh-CN"/>
        </w:rPr>
        <w:t>。</w:t>
      </w:r>
    </w:p>
    <w:p>
      <w:pPr>
        <w:numPr>
          <w:ilvl w:val="0"/>
          <w:numId w:val="25"/>
        </w:numPr>
        <w:spacing w:line="360" w:lineRule="auto"/>
        <w:ind w:left="616" w:hanging="616"/>
        <w:rPr>
          <w:rFonts w:ascii="宋体" w:hAnsi="宋体" w:eastAsia="宋体" w:cs="Times New Roman"/>
          <w:b/>
          <w:sz w:val="24"/>
          <w:szCs w:val="20"/>
          <w:lang w:val="zh-CN"/>
        </w:rPr>
      </w:pPr>
      <w:r>
        <w:rPr>
          <w:rFonts w:hint="eastAsia" w:ascii="宋体" w:hAnsi="宋体" w:eastAsia="宋体" w:cs="Times New Roman"/>
          <w:b/>
          <w:sz w:val="24"/>
          <w:szCs w:val="20"/>
          <w:lang w:val="zh-CN"/>
        </w:rPr>
        <w:t>评标委员会成员依法从政府采购专家库中随机抽取。</w:t>
      </w:r>
      <w:r>
        <w:rPr>
          <w:rFonts w:ascii="宋体" w:hAnsi="宋体" w:eastAsia="宋体" w:cs="Times New Roman"/>
          <w:b/>
          <w:sz w:val="24"/>
          <w:szCs w:val="20"/>
          <w:lang w:val="zh-CN"/>
        </w:rPr>
        <w:t>对技术复杂、专业性强的采购项目，通过随机方式难以确定合适评审专家的，经主管预算单位同意，采购人可以自行选定相应专业领域的评审专家。</w:t>
      </w:r>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评标程序</w:t>
      </w:r>
    </w:p>
    <w:p>
      <w:pPr>
        <w:numPr>
          <w:ilvl w:val="0"/>
          <w:numId w:val="26"/>
        </w:numPr>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评标委员会负责具体评标事务，并独立履行下列职责：</w:t>
      </w:r>
    </w:p>
    <w:p>
      <w:pPr>
        <w:numPr>
          <w:ilvl w:val="0"/>
          <w:numId w:val="27"/>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审查、评价投标文件是否符合招标文件的商务、技术等实质性要求；</w:t>
      </w:r>
    </w:p>
    <w:p>
      <w:pPr>
        <w:numPr>
          <w:ilvl w:val="0"/>
          <w:numId w:val="27"/>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要求投标人对投标文件有关事项作出澄清或者说明；</w:t>
      </w:r>
    </w:p>
    <w:p>
      <w:pPr>
        <w:numPr>
          <w:ilvl w:val="0"/>
          <w:numId w:val="27"/>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对投标文件进行</w:t>
      </w:r>
      <w:r>
        <w:rPr>
          <w:rFonts w:hint="eastAsia" w:ascii="宋体" w:hAnsi="宋体" w:eastAsia="宋体" w:cs="Times New Roman"/>
          <w:sz w:val="24"/>
          <w:szCs w:val="20"/>
          <w:lang w:val="zh-CN"/>
        </w:rPr>
        <w:t>综合</w:t>
      </w:r>
      <w:r>
        <w:rPr>
          <w:rFonts w:ascii="宋体" w:hAnsi="宋体" w:eastAsia="宋体" w:cs="Times New Roman"/>
          <w:sz w:val="24"/>
          <w:szCs w:val="20"/>
          <w:lang w:val="zh-CN"/>
        </w:rPr>
        <w:t>比较和评价；</w:t>
      </w:r>
    </w:p>
    <w:p>
      <w:pPr>
        <w:numPr>
          <w:ilvl w:val="0"/>
          <w:numId w:val="27"/>
        </w:numPr>
        <w:spacing w:line="360" w:lineRule="auto"/>
        <w:ind w:left="980" w:hanging="854"/>
        <w:rPr>
          <w:rFonts w:ascii="宋体" w:hAnsi="宋体" w:eastAsia="宋体" w:cs="Times New Roman"/>
          <w:sz w:val="24"/>
          <w:szCs w:val="20"/>
          <w:lang w:val="zh-CN"/>
        </w:rPr>
      </w:pPr>
      <w:r>
        <w:rPr>
          <w:rFonts w:hint="eastAsia" w:ascii="宋体" w:hAnsi="宋体" w:eastAsia="宋体" w:cs="Times New Roman"/>
          <w:sz w:val="24"/>
          <w:szCs w:val="20"/>
          <w:lang w:val="zh-CN"/>
        </w:rPr>
        <w:t>确定中标候选人名单或中标人；</w:t>
      </w:r>
    </w:p>
    <w:p>
      <w:pPr>
        <w:numPr>
          <w:ilvl w:val="0"/>
          <w:numId w:val="27"/>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向采购人、</w:t>
      </w:r>
      <w:r>
        <w:rPr>
          <w:rFonts w:hint="eastAsia" w:ascii="宋体" w:hAnsi="宋体" w:eastAsia="宋体" w:cs="Times New Roman"/>
          <w:sz w:val="24"/>
          <w:szCs w:val="20"/>
          <w:lang w:val="zh-CN"/>
        </w:rPr>
        <w:t>采购</w:t>
      </w:r>
      <w:r>
        <w:rPr>
          <w:rFonts w:ascii="宋体" w:hAnsi="宋体" w:eastAsia="宋体" w:cs="Times New Roman"/>
          <w:sz w:val="24"/>
          <w:szCs w:val="20"/>
          <w:lang w:val="zh-CN"/>
        </w:rPr>
        <w:t>机构或者有关部门报告评标中发现的违法行为。</w:t>
      </w:r>
    </w:p>
    <w:p>
      <w:pPr>
        <w:numPr>
          <w:ilvl w:val="0"/>
          <w:numId w:val="26"/>
        </w:numPr>
        <w:spacing w:line="360" w:lineRule="auto"/>
        <w:ind w:left="616" w:hanging="616"/>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评标程序详见第五章“评标方法、程序及标准”。</w:t>
      </w:r>
    </w:p>
    <w:p>
      <w:pPr>
        <w:pStyle w:val="4"/>
        <w:numPr>
          <w:ilvl w:val="0"/>
          <w:numId w:val="11"/>
        </w:numPr>
        <w:spacing w:before="40" w:after="40" w:line="360" w:lineRule="auto"/>
        <w:ind w:left="658" w:hanging="658"/>
        <w:jc w:val="left"/>
        <w:rPr>
          <w:rFonts w:cs="Times New Roman" w:asciiTheme="majorEastAsia" w:hAnsiTheme="majorEastAsia"/>
          <w:bCs w:val="0"/>
          <w:lang w:val="zh-CN"/>
        </w:rPr>
      </w:pPr>
      <w:bookmarkStart w:id="30" w:name="_Toc494561943"/>
      <w:bookmarkStart w:id="31" w:name="_Toc26702"/>
      <w:r>
        <w:rPr>
          <w:rFonts w:hint="eastAsia" w:cs="Times New Roman" w:asciiTheme="majorEastAsia" w:hAnsiTheme="majorEastAsia"/>
          <w:bCs w:val="0"/>
          <w:lang w:val="zh-CN"/>
        </w:rPr>
        <w:t>投标人信用信息及查询</w:t>
      </w:r>
      <w:bookmarkEnd w:id="30"/>
      <w:bookmarkEnd w:id="31"/>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信用信息查询渠道及使用规则</w:t>
      </w:r>
    </w:p>
    <w:p>
      <w:pPr>
        <w:numPr>
          <w:ilvl w:val="0"/>
          <w:numId w:val="28"/>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按照《关于在政府采购活动中查询及使用信用记录有关问题的通知》的要求，参与政府采购的投标人，信用记录的查询渠道为“信用中国”网站(www.creditchina.gov.cn)、中国政府采购网(</w:t>
      </w:r>
      <w:r>
        <w:fldChar w:fldCharType="begin"/>
      </w:r>
      <w:r>
        <w:instrText xml:space="preserve"> HYPERLINK "http://www.ccgp.gov.cn" </w:instrText>
      </w:r>
      <w:r>
        <w:fldChar w:fldCharType="separate"/>
      </w:r>
      <w:r>
        <w:rPr>
          <w:rFonts w:hint="eastAsia" w:cs="Helvetica" w:asciiTheme="minorEastAsia" w:hAnsiTheme="minorEastAsia"/>
          <w:kern w:val="0"/>
          <w:sz w:val="24"/>
          <w:szCs w:val="24"/>
          <w:lang w:val="zh-CN"/>
        </w:rPr>
        <w:t>www.ccgp.gov.cn</w:t>
      </w:r>
      <w:r>
        <w:rPr>
          <w:rFonts w:hint="eastAsia" w:cs="Helvetica" w:asciiTheme="minorEastAsia" w:hAnsiTheme="minorEastAsia"/>
          <w:kern w:val="0"/>
          <w:sz w:val="24"/>
          <w:szCs w:val="24"/>
          <w:lang w:val="zh-CN"/>
        </w:rPr>
        <w:fldChar w:fldCharType="end"/>
      </w:r>
      <w:r>
        <w:rPr>
          <w:rFonts w:hint="eastAsia" w:cs="Helvetica" w:asciiTheme="minorEastAsia" w:hAnsiTheme="minorEastAsia"/>
          <w:kern w:val="0"/>
          <w:sz w:val="24"/>
          <w:szCs w:val="24"/>
          <w:lang w:val="zh-CN"/>
        </w:rPr>
        <w:t>)。</w:t>
      </w:r>
    </w:p>
    <w:p>
      <w:pPr>
        <w:numPr>
          <w:ilvl w:val="0"/>
          <w:numId w:val="28"/>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列入失信被执行人、重大税收违法案件当事人名单、政府采购严重违法失信行为记录名单的供应商，采购人、采购代理机构</w:t>
      </w:r>
      <w:r>
        <w:rPr>
          <w:rFonts w:hint="eastAsia" w:cs="Helvetica" w:asciiTheme="minorEastAsia" w:hAnsiTheme="minorEastAsia"/>
          <w:b/>
          <w:kern w:val="0"/>
          <w:sz w:val="24"/>
          <w:szCs w:val="24"/>
          <w:lang w:val="zh-CN"/>
        </w:rPr>
        <w:t>拒绝</w:t>
      </w:r>
      <w:r>
        <w:rPr>
          <w:rFonts w:hint="eastAsia" w:cs="Helvetica" w:asciiTheme="minorEastAsia" w:hAnsiTheme="minorEastAsia"/>
          <w:kern w:val="0"/>
          <w:sz w:val="24"/>
          <w:szCs w:val="24"/>
          <w:lang w:val="zh-CN"/>
        </w:rPr>
        <w:t>其参与政府采购活动。</w:t>
      </w:r>
    </w:p>
    <w:p>
      <w:pPr>
        <w:numPr>
          <w:ilvl w:val="0"/>
          <w:numId w:val="28"/>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两个及以上自然人、法人或者其他组织组成联合体，以一个供应商的身份共同参加政府采购活动的，应当对所有联合体成员进行信用记录查询，联合体成员存在不良信用记录的，视同联合体存在不良信用信息。</w:t>
      </w:r>
    </w:p>
    <w:p>
      <w:pPr>
        <w:numPr>
          <w:ilvl w:val="0"/>
          <w:numId w:val="28"/>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投标人的信用记录，最终以评标时的“信用中国”网站发布的信息为准。</w:t>
      </w:r>
    </w:p>
    <w:p>
      <w:pPr>
        <w:numPr>
          <w:ilvl w:val="0"/>
          <w:numId w:val="28"/>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在资格审查与评标工作未同日进行的特殊情形下，</w:t>
      </w:r>
      <w:r>
        <w:rPr>
          <w:rFonts w:hint="eastAsia" w:ascii="Helvetica" w:hAnsi="Helvetica" w:eastAsia="宋体" w:cs="Helvetica"/>
          <w:color w:val="FF0000"/>
          <w:kern w:val="0"/>
          <w:sz w:val="24"/>
          <w:szCs w:val="24"/>
          <w:lang w:val="zh-CN"/>
        </w:rPr>
        <w:t>采购人（或代理公司）</w:t>
      </w:r>
      <w:r>
        <w:rPr>
          <w:rFonts w:hint="eastAsia" w:cs="Helvetica" w:asciiTheme="minorEastAsia" w:hAnsiTheme="minorEastAsia"/>
          <w:kern w:val="0"/>
          <w:sz w:val="24"/>
          <w:szCs w:val="24"/>
          <w:lang w:val="zh-CN"/>
        </w:rPr>
        <w:t>工作人员在评标时对投标人的信用信息进行复核，发现评标当日存在不良信用信息的，由评标委员会按照符合性审查不合格作</w:t>
      </w:r>
      <w:r>
        <w:rPr>
          <w:rFonts w:hint="eastAsia" w:cs="Helvetica" w:asciiTheme="minorEastAsia" w:hAnsiTheme="minorEastAsia"/>
          <w:b/>
          <w:kern w:val="0"/>
          <w:sz w:val="24"/>
          <w:szCs w:val="24"/>
          <w:lang w:val="zh-CN"/>
        </w:rPr>
        <w:t>无效投标处理</w:t>
      </w:r>
      <w:r>
        <w:rPr>
          <w:rFonts w:hint="eastAsia" w:cs="Helvetica" w:asciiTheme="minorEastAsia" w:hAnsiTheme="minorEastAsia"/>
          <w:kern w:val="0"/>
          <w:sz w:val="24"/>
          <w:szCs w:val="24"/>
          <w:lang w:val="zh-CN"/>
        </w:rPr>
        <w:t>。</w:t>
      </w:r>
    </w:p>
    <w:p>
      <w:pPr>
        <w:pStyle w:val="4"/>
        <w:numPr>
          <w:ilvl w:val="0"/>
          <w:numId w:val="11"/>
        </w:numPr>
        <w:spacing w:before="40" w:after="40" w:line="360" w:lineRule="auto"/>
        <w:ind w:left="658" w:hanging="658"/>
        <w:jc w:val="left"/>
        <w:rPr>
          <w:rFonts w:cs="Times New Roman" w:asciiTheme="majorEastAsia" w:hAnsiTheme="majorEastAsia"/>
          <w:bCs w:val="0"/>
          <w:lang w:val="zh-CN"/>
        </w:rPr>
      </w:pPr>
      <w:bookmarkStart w:id="32" w:name="_Toc25190"/>
      <w:bookmarkStart w:id="33" w:name="_Toc494561944"/>
      <w:r>
        <w:rPr>
          <w:rFonts w:cs="Times New Roman" w:asciiTheme="majorEastAsia" w:hAnsiTheme="majorEastAsia"/>
          <w:bCs w:val="0"/>
          <w:lang w:val="zh-CN"/>
        </w:rPr>
        <w:t>中标</w:t>
      </w:r>
      <w:r>
        <w:rPr>
          <w:rFonts w:hint="eastAsia" w:cs="Times New Roman" w:asciiTheme="majorEastAsia" w:hAnsiTheme="majorEastAsia"/>
          <w:bCs w:val="0"/>
          <w:lang w:val="zh-CN"/>
        </w:rPr>
        <w:t>与</w:t>
      </w:r>
      <w:r>
        <w:rPr>
          <w:rFonts w:cs="Times New Roman" w:asciiTheme="majorEastAsia" w:hAnsiTheme="majorEastAsia"/>
          <w:bCs w:val="0"/>
          <w:lang w:val="zh-CN"/>
        </w:rPr>
        <w:t>合同</w:t>
      </w:r>
      <w:bookmarkEnd w:id="32"/>
      <w:bookmarkEnd w:id="33"/>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确定中标人</w:t>
      </w:r>
    </w:p>
    <w:p>
      <w:pPr>
        <w:numPr>
          <w:ilvl w:val="0"/>
          <w:numId w:val="29"/>
        </w:numPr>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采购人收到评标报告</w:t>
      </w:r>
      <w:r>
        <w:rPr>
          <w:rFonts w:ascii="宋体" w:hAnsi="宋体" w:eastAsia="宋体" w:cs="Helvetica"/>
          <w:kern w:val="0"/>
          <w:sz w:val="24"/>
          <w:szCs w:val="24"/>
          <w:lang w:val="zh-CN"/>
        </w:rPr>
        <w:t>5个工作日内，</w:t>
      </w:r>
      <w:r>
        <w:rPr>
          <w:rFonts w:hint="eastAsia" w:ascii="宋体" w:hAnsi="宋体" w:eastAsia="宋体" w:cs="Helvetica"/>
          <w:kern w:val="0"/>
          <w:sz w:val="24"/>
          <w:szCs w:val="24"/>
          <w:lang w:val="zh-CN"/>
        </w:rPr>
        <w:t>按</w:t>
      </w:r>
      <w:r>
        <w:rPr>
          <w:rFonts w:ascii="宋体" w:hAnsi="宋体" w:eastAsia="宋体" w:cs="Helvetica"/>
          <w:kern w:val="0"/>
          <w:sz w:val="24"/>
          <w:szCs w:val="24"/>
          <w:lang w:val="zh-CN"/>
        </w:rPr>
        <w:t>评标报告推荐的中标候选人顺序确定中标人。</w:t>
      </w:r>
    </w:p>
    <w:p>
      <w:pPr>
        <w:numPr>
          <w:ilvl w:val="0"/>
          <w:numId w:val="29"/>
        </w:numPr>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中标候选人并列的</w:t>
      </w:r>
      <w:r>
        <w:rPr>
          <w:rFonts w:hint="eastAsia" w:ascii="Helvetica" w:hAnsi="Helvetica" w:eastAsia="宋体" w:cs="Helvetica"/>
          <w:kern w:val="0"/>
          <w:sz w:val="24"/>
          <w:szCs w:val="24"/>
          <w:lang w:val="zh-CN"/>
        </w:rPr>
        <w:t>：</w:t>
      </w:r>
    </w:p>
    <w:p>
      <w:pPr>
        <w:numPr>
          <w:ilvl w:val="0"/>
          <w:numId w:val="30"/>
        </w:numPr>
        <w:spacing w:line="360" w:lineRule="auto"/>
        <w:ind w:left="980" w:hanging="854"/>
        <w:rPr>
          <w:rFonts w:ascii="宋体" w:hAnsi="宋体" w:eastAsia="宋体" w:cs="Times New Roman"/>
          <w:sz w:val="24"/>
          <w:szCs w:val="20"/>
          <w:lang w:val="zh-CN"/>
        </w:rPr>
      </w:pPr>
      <w:r>
        <w:rPr>
          <w:rFonts w:hint="eastAsia" w:ascii="宋体" w:hAnsi="宋体" w:eastAsia="宋体" w:cs="Times New Roman"/>
          <w:sz w:val="24"/>
          <w:szCs w:val="20"/>
          <w:lang w:val="zh-CN"/>
        </w:rPr>
        <w:t>采用最低评标价法的，评标结果按投标报价由低到高顺序排列。投标报价相同的，按技术部分由高到低顺序排列。</w:t>
      </w:r>
    </w:p>
    <w:p>
      <w:pPr>
        <w:numPr>
          <w:ilvl w:val="0"/>
          <w:numId w:val="30"/>
        </w:numPr>
        <w:spacing w:line="360" w:lineRule="auto"/>
        <w:ind w:left="980" w:hanging="854"/>
        <w:rPr>
          <w:rFonts w:ascii="宋体" w:hAnsi="宋体" w:eastAsia="宋体" w:cs="Times New Roman"/>
          <w:sz w:val="24"/>
          <w:szCs w:val="20"/>
          <w:lang w:val="zh-CN"/>
        </w:rPr>
      </w:pPr>
      <w:r>
        <w:rPr>
          <w:rFonts w:hint="eastAsia" w:ascii="宋体" w:hAnsi="宋体" w:eastAsia="宋体" w:cs="Times New Roman"/>
          <w:sz w:val="24"/>
          <w:szCs w:val="20"/>
          <w:lang w:val="zh-CN"/>
        </w:rPr>
        <w:t>采用综合评分法的，评标结果按评审后得分由高到低顺序排列。得分相同的，按投标报价由低到高顺序排列。得分且投标报价相同的，按技术部分由高到低顺序排列。</w:t>
      </w:r>
    </w:p>
    <w:p>
      <w:pPr>
        <w:numPr>
          <w:ilvl w:val="0"/>
          <w:numId w:val="29"/>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中标人的数量有其他规定的，按招标文件相关规定执行。</w:t>
      </w:r>
    </w:p>
    <w:p>
      <w:pPr>
        <w:numPr>
          <w:ilvl w:val="0"/>
          <w:numId w:val="29"/>
        </w:numPr>
        <w:spacing w:line="360" w:lineRule="auto"/>
        <w:ind w:left="616" w:hanging="616"/>
        <w:rPr>
          <w:rFonts w:ascii="宋体" w:hAnsi="宋体" w:eastAsia="宋体" w:cs="Times New Roman"/>
          <w:strike/>
          <w:sz w:val="24"/>
          <w:szCs w:val="20"/>
          <w:lang w:val="zh-CN"/>
        </w:rPr>
      </w:pPr>
      <w:r>
        <w:rPr>
          <w:rFonts w:hint="eastAsia" w:ascii="宋体" w:hAnsi="宋体" w:eastAsia="宋体" w:cs="Times New Roman"/>
          <w:sz w:val="24"/>
          <w:szCs w:val="20"/>
          <w:lang w:val="zh-CN"/>
        </w:rPr>
        <w:t>中标人确定后，采购人、采购代理机构在政府采购监管部门指定的媒体上发布中标公告，同时向中标人和采购人发出《中标通知书》。《中标通知书》是政府采购合同的组成部分,对中标人和采购人具有同等法律效力。</w:t>
      </w:r>
    </w:p>
    <w:p>
      <w:pPr>
        <w:numPr>
          <w:ilvl w:val="0"/>
          <w:numId w:val="29"/>
        </w:numPr>
        <w:spacing w:line="360" w:lineRule="auto"/>
        <w:ind w:left="616" w:hanging="616"/>
        <w:rPr>
          <w:rFonts w:ascii="宋体" w:hAnsi="宋体" w:eastAsia="宋体" w:cs="Times New Roman"/>
          <w:strike/>
          <w:sz w:val="24"/>
          <w:szCs w:val="20"/>
          <w:lang w:val="zh-CN"/>
        </w:rPr>
      </w:pPr>
      <w:r>
        <w:rPr>
          <w:rFonts w:ascii="Helvetica" w:hAnsi="Helvetica" w:eastAsia="宋体" w:cs="Helvetica"/>
          <w:kern w:val="0"/>
          <w:sz w:val="24"/>
          <w:szCs w:val="24"/>
          <w:lang w:val="zh-CN"/>
        </w:rPr>
        <w:t>中标通知书发出后，采购人不得违法改变中标结果，中标人无正当理由不得放弃中标。</w:t>
      </w:r>
    </w:p>
    <w:p>
      <w:pPr>
        <w:numPr>
          <w:ilvl w:val="0"/>
          <w:numId w:val="29"/>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中标人拒绝与采购人签订合同的，采购人可以按照评标报告推荐的中标候选人名单排序，确定下一候选人为中标人，也可以重新开展政府采购活动。</w:t>
      </w:r>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合同授予</w:t>
      </w:r>
    </w:p>
    <w:p>
      <w:pPr>
        <w:spacing w:line="360" w:lineRule="auto"/>
        <w:ind w:firstLine="480" w:firstLineChars="200"/>
        <w:rPr>
          <w:rFonts w:ascii="宋体" w:hAnsi="宋体" w:eastAsia="宋体" w:cs="Times New Roman"/>
          <w:sz w:val="24"/>
          <w:szCs w:val="20"/>
          <w:lang w:val="zh-CN"/>
        </w:rPr>
      </w:pPr>
      <w:r>
        <w:rPr>
          <w:rFonts w:hint="eastAsia" w:ascii="宋体" w:hAnsi="宋体" w:eastAsia="宋体" w:cs="Times New Roman"/>
          <w:sz w:val="24"/>
          <w:szCs w:val="20"/>
          <w:lang w:val="zh-CN"/>
        </w:rPr>
        <w:t>除本章“确定中标人”规定及其他法律规定的情形外，采购人把合同授予被确定为实质上响应招标文件要求且排名第一的中标人。</w:t>
      </w:r>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合同签订</w:t>
      </w:r>
    </w:p>
    <w:p>
      <w:pPr>
        <w:numPr>
          <w:ilvl w:val="0"/>
          <w:numId w:val="31"/>
        </w:numPr>
        <w:spacing w:line="360" w:lineRule="auto"/>
        <w:ind w:left="616" w:hanging="616"/>
        <w:rPr>
          <w:rFonts w:ascii="宋体" w:hAnsi="宋体" w:eastAsia="宋体" w:cs="Times New Roman"/>
          <w:sz w:val="24"/>
          <w:szCs w:val="20"/>
          <w:lang w:val="zh-CN"/>
        </w:rPr>
      </w:pPr>
      <w:bookmarkStart w:id="34" w:name="_Toc278891597"/>
      <w:bookmarkStart w:id="35" w:name="_Toc272247700"/>
      <w:r>
        <w:rPr>
          <w:rFonts w:ascii="宋体" w:hAnsi="宋体" w:eastAsia="宋体" w:cs="Times New Roman"/>
          <w:sz w:val="24"/>
          <w:szCs w:val="20"/>
          <w:lang w:val="zh-CN"/>
        </w:rPr>
        <w:t>采购人应当自中标通知书发出之日起30日内，按照招标文件</w:t>
      </w:r>
      <w:r>
        <w:rPr>
          <w:rFonts w:hint="eastAsia" w:ascii="宋体" w:hAnsi="宋体" w:eastAsia="宋体" w:cs="Times New Roman"/>
          <w:sz w:val="24"/>
          <w:szCs w:val="20"/>
          <w:lang w:val="zh-CN"/>
        </w:rPr>
        <w:t>规定</w:t>
      </w:r>
      <w:r>
        <w:rPr>
          <w:rFonts w:ascii="宋体" w:hAnsi="宋体" w:eastAsia="宋体" w:cs="Times New Roman"/>
          <w:sz w:val="24"/>
          <w:szCs w:val="20"/>
          <w:lang w:val="zh-CN"/>
        </w:rPr>
        <w:t>和中标人投标文件的</w:t>
      </w:r>
      <w:r>
        <w:rPr>
          <w:rFonts w:hint="eastAsia" w:ascii="宋体" w:hAnsi="宋体" w:eastAsia="宋体" w:cs="Times New Roman"/>
          <w:sz w:val="24"/>
          <w:szCs w:val="20"/>
          <w:lang w:val="zh-CN"/>
        </w:rPr>
        <w:t>承诺</w:t>
      </w:r>
      <w:r>
        <w:rPr>
          <w:rFonts w:ascii="宋体" w:hAnsi="宋体" w:eastAsia="宋体" w:cs="Times New Roman"/>
          <w:sz w:val="24"/>
          <w:szCs w:val="20"/>
          <w:lang w:val="zh-CN"/>
        </w:rPr>
        <w:t>，与中标人签订书面合同。所签订的合同不得对招标文件确定的事项和中标人投标文件作实质性修改。</w:t>
      </w:r>
    </w:p>
    <w:p>
      <w:pPr>
        <w:numPr>
          <w:ilvl w:val="0"/>
          <w:numId w:val="31"/>
        </w:numPr>
        <w:tabs>
          <w:tab w:val="left" w:pos="616"/>
        </w:tabs>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采购人不得向中标人提出任何不合理的要求作为签订合同的条件。</w:t>
      </w:r>
    </w:p>
    <w:p>
      <w:pPr>
        <w:numPr>
          <w:ilvl w:val="0"/>
          <w:numId w:val="31"/>
        </w:numPr>
        <w:tabs>
          <w:tab w:val="left" w:pos="616"/>
        </w:tabs>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政府采购合同应当包括采购人与中标人的名称和住所、标的、数量、质量、价款或者报酬、履行期限及地点和方式、验收要求、违约责任、解决争议的方法等内容。</w:t>
      </w:r>
    </w:p>
    <w:p>
      <w:pPr>
        <w:numPr>
          <w:ilvl w:val="0"/>
          <w:numId w:val="31"/>
        </w:numPr>
        <w:tabs>
          <w:tab w:val="left" w:pos="616"/>
        </w:tabs>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采购人与中标人应当根据合同的约定依法履行合同义务。政府采购合同的履行、违约责任和解决争议的方法等适用《中华人民共和国合同法》。</w:t>
      </w:r>
    </w:p>
    <w:p>
      <w:pPr>
        <w:numPr>
          <w:ilvl w:val="0"/>
          <w:numId w:val="31"/>
        </w:numPr>
        <w:tabs>
          <w:tab w:val="left" w:pos="616"/>
        </w:tabs>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rPr>
        <w:t>采购人应当自政府采购合同签订之日起2个工作日内，将政府采购合同在省级以上人民政府财政部门指定的媒体上公告，但政府采购合同中涉及国家秘密、商业秘密的内容除外。</w:t>
      </w:r>
    </w:p>
    <w:p>
      <w:pPr>
        <w:numPr>
          <w:ilvl w:val="0"/>
          <w:numId w:val="31"/>
        </w:numPr>
        <w:tabs>
          <w:tab w:val="left" w:pos="616"/>
        </w:tabs>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采购人应当加强对中标人的履约管理，并按照采购合同约定，及时向中标人支付采购资金。对于中标人违反采购合同约定的行为，采购人应当及时处理，依法追究其违约责任。</w:t>
      </w:r>
    </w:p>
    <w:p>
      <w:pPr>
        <w:pStyle w:val="4"/>
        <w:numPr>
          <w:ilvl w:val="0"/>
          <w:numId w:val="11"/>
        </w:numPr>
        <w:spacing w:before="40" w:after="40" w:line="360" w:lineRule="auto"/>
        <w:ind w:left="658" w:hanging="658"/>
        <w:jc w:val="left"/>
        <w:rPr>
          <w:rFonts w:cs="Times New Roman" w:asciiTheme="majorEastAsia" w:hAnsiTheme="majorEastAsia"/>
          <w:bCs w:val="0"/>
          <w:lang w:val="zh-CN"/>
        </w:rPr>
      </w:pPr>
      <w:bookmarkStart w:id="36" w:name="_Toc7914"/>
      <w:bookmarkStart w:id="37" w:name="_Toc494561945"/>
      <w:r>
        <w:rPr>
          <w:rFonts w:hint="eastAsia" w:cs="Times New Roman" w:asciiTheme="majorEastAsia" w:hAnsiTheme="majorEastAsia"/>
          <w:bCs w:val="0"/>
          <w:lang w:val="zh-CN"/>
        </w:rPr>
        <w:t>采购信息公告</w:t>
      </w:r>
      <w:bookmarkEnd w:id="36"/>
      <w:bookmarkEnd w:id="37"/>
    </w:p>
    <w:p>
      <w:pPr>
        <w:numPr>
          <w:ilvl w:val="0"/>
          <w:numId w:val="3"/>
        </w:numPr>
        <w:spacing w:line="360" w:lineRule="auto"/>
        <w:ind w:left="560" w:hanging="560"/>
        <w:rPr>
          <w:rFonts w:ascii="宋体" w:hAnsi="宋体" w:eastAsia="宋体" w:cs="Helvetica"/>
          <w:b/>
          <w:color w:val="0D0D0D"/>
          <w:kern w:val="0"/>
          <w:sz w:val="24"/>
          <w:szCs w:val="24"/>
          <w:lang w:val="zh-CN"/>
        </w:rPr>
      </w:pPr>
      <w:r>
        <w:rPr>
          <w:rFonts w:hint="eastAsia" w:ascii="宋体" w:hAnsi="宋体" w:eastAsia="宋体" w:cs="Helvetica"/>
          <w:b/>
          <w:color w:val="0D0D0D"/>
          <w:kern w:val="0"/>
          <w:sz w:val="24"/>
          <w:szCs w:val="24"/>
          <w:lang w:val="zh-CN"/>
        </w:rPr>
        <w:t>公告的媒体及规定</w:t>
      </w:r>
    </w:p>
    <w:p>
      <w:pPr>
        <w:numPr>
          <w:ilvl w:val="0"/>
          <w:numId w:val="32"/>
        </w:numPr>
        <w:tabs>
          <w:tab w:val="left" w:pos="616"/>
        </w:tabs>
        <w:spacing w:line="360" w:lineRule="auto"/>
        <w:ind w:left="616" w:hanging="616"/>
        <w:rPr>
          <w:rFonts w:hint="eastAsia" w:cs="Helvetica" w:asciiTheme="minorEastAsia" w:hAnsiTheme="minorEastAsia"/>
          <w:kern w:val="0"/>
          <w:sz w:val="24"/>
          <w:szCs w:val="24"/>
          <w:lang w:val="zh-CN"/>
        </w:rPr>
      </w:pPr>
      <w:r>
        <w:rPr>
          <w:rFonts w:hint="eastAsia" w:cs="Helvetica" w:asciiTheme="minorEastAsia" w:hAnsiTheme="minorEastAsia"/>
          <w:kern w:val="0"/>
          <w:sz w:val="24"/>
          <w:szCs w:val="24"/>
          <w:lang w:val="zh-CN"/>
        </w:rPr>
        <w:t>采购机构在招标活动中的公告、补充、更正、结果等采购信息均依法在政府采购监管部门指定媒体上（中国湖北政府采购网http://www.ccgp-hubei.gov.cn/黄石公共资源交易信息网网址：http://www.hsztbzx.com阳新县人民政府网网址：http://www.yx.gov.cn）发布。</w:t>
      </w:r>
    </w:p>
    <w:p>
      <w:pPr>
        <w:numPr>
          <w:ilvl w:val="0"/>
          <w:numId w:val="32"/>
        </w:numPr>
        <w:tabs>
          <w:tab w:val="left" w:pos="616"/>
        </w:tabs>
        <w:spacing w:line="360" w:lineRule="auto"/>
        <w:ind w:left="616" w:hanging="616"/>
        <w:rPr>
          <w:rFonts w:cs="Helvetica" w:asciiTheme="minorEastAsia" w:hAnsiTheme="minorEastAsia"/>
          <w:b/>
          <w:kern w:val="0"/>
          <w:sz w:val="24"/>
          <w:szCs w:val="24"/>
          <w:lang w:val="zh-CN"/>
        </w:rPr>
      </w:pPr>
      <w:r>
        <w:rPr>
          <w:rFonts w:hint="eastAsia" w:cs="Helvetica" w:asciiTheme="minorEastAsia" w:hAnsiTheme="minorEastAsia"/>
          <w:kern w:val="0"/>
          <w:sz w:val="24"/>
          <w:szCs w:val="24"/>
          <w:lang w:val="zh-CN"/>
        </w:rPr>
        <w:t>采购机构在自</w:t>
      </w:r>
      <w:r>
        <w:rPr>
          <w:rFonts w:cs="Helvetica" w:asciiTheme="minorEastAsia" w:hAnsiTheme="minorEastAsia"/>
          <w:kern w:val="0"/>
          <w:sz w:val="24"/>
          <w:szCs w:val="24"/>
          <w:lang w:val="zh-CN"/>
        </w:rPr>
        <w:t>中标人确定之日起2个工作日内，</w:t>
      </w:r>
      <w:r>
        <w:rPr>
          <w:rFonts w:hint="eastAsia" w:cs="Helvetica" w:asciiTheme="minorEastAsia" w:hAnsiTheme="minorEastAsia"/>
          <w:kern w:val="0"/>
          <w:sz w:val="24"/>
          <w:szCs w:val="24"/>
          <w:lang w:val="zh-CN"/>
        </w:rPr>
        <w:t>在政府采购监管部门指定媒体上</w:t>
      </w:r>
      <w:r>
        <w:rPr>
          <w:rFonts w:cs="Helvetica" w:asciiTheme="minorEastAsia" w:hAnsiTheme="minorEastAsia"/>
          <w:kern w:val="0"/>
          <w:sz w:val="24"/>
          <w:szCs w:val="24"/>
          <w:lang w:val="zh-CN"/>
        </w:rPr>
        <w:t>公告中标结果</w:t>
      </w:r>
      <w:r>
        <w:rPr>
          <w:rFonts w:hint="eastAsia" w:cs="Helvetica" w:asciiTheme="minorEastAsia" w:hAnsiTheme="minorEastAsia"/>
          <w:kern w:val="0"/>
          <w:sz w:val="24"/>
          <w:szCs w:val="24"/>
          <w:lang w:val="zh-CN"/>
        </w:rPr>
        <w:t>，</w:t>
      </w:r>
      <w:r>
        <w:rPr>
          <w:rFonts w:hint="eastAsia" w:cs="Helvetica" w:asciiTheme="minorEastAsia" w:hAnsiTheme="minorEastAsia"/>
          <w:b/>
          <w:kern w:val="0"/>
          <w:sz w:val="24"/>
          <w:szCs w:val="24"/>
          <w:lang w:val="zh-CN"/>
        </w:rPr>
        <w:t>中标公告的公示期为1个工作日。</w:t>
      </w:r>
    </w:p>
    <w:p>
      <w:pPr>
        <w:numPr>
          <w:ilvl w:val="0"/>
          <w:numId w:val="32"/>
        </w:numPr>
        <w:tabs>
          <w:tab w:val="left" w:pos="616"/>
        </w:tabs>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资格审查未通过的投标人可在结果公告质疑有效期内按公告中的联系方式获知</w:t>
      </w:r>
      <w:r>
        <w:rPr>
          <w:rFonts w:cs="Helvetica" w:asciiTheme="minorEastAsia" w:hAnsiTheme="minorEastAsia"/>
          <w:kern w:val="0"/>
          <w:sz w:val="24"/>
          <w:szCs w:val="24"/>
          <w:lang w:val="zh-CN"/>
        </w:rPr>
        <w:t>本</w:t>
      </w:r>
      <w:r>
        <w:rPr>
          <w:rFonts w:hint="eastAsia" w:cs="Helvetica" w:asciiTheme="minorEastAsia" w:hAnsiTheme="minorEastAsia"/>
          <w:kern w:val="0"/>
          <w:sz w:val="24"/>
          <w:szCs w:val="24"/>
          <w:lang w:val="zh-CN"/>
        </w:rPr>
        <w:t>单位</w:t>
      </w:r>
      <w:r>
        <w:rPr>
          <w:rFonts w:cs="Helvetica" w:asciiTheme="minorEastAsia" w:hAnsiTheme="minorEastAsia"/>
          <w:kern w:val="0"/>
          <w:sz w:val="24"/>
          <w:szCs w:val="24"/>
          <w:lang w:val="zh-CN"/>
        </w:rPr>
        <w:t>的</w:t>
      </w:r>
      <w:r>
        <w:rPr>
          <w:rFonts w:hint="eastAsia" w:cs="Helvetica" w:asciiTheme="minorEastAsia" w:hAnsiTheme="minorEastAsia"/>
          <w:kern w:val="0"/>
          <w:sz w:val="24"/>
          <w:szCs w:val="24"/>
          <w:lang w:val="zh-CN"/>
        </w:rPr>
        <w:t>资格审查情况</w:t>
      </w:r>
      <w:r>
        <w:rPr>
          <w:rFonts w:cs="Helvetica" w:asciiTheme="minorEastAsia" w:hAnsiTheme="minorEastAsia"/>
          <w:kern w:val="0"/>
          <w:sz w:val="24"/>
          <w:szCs w:val="24"/>
          <w:lang w:val="zh-CN"/>
        </w:rPr>
        <w:t>。</w:t>
      </w:r>
    </w:p>
    <w:p>
      <w:pPr>
        <w:numPr>
          <w:ilvl w:val="0"/>
          <w:numId w:val="32"/>
        </w:numPr>
        <w:tabs>
          <w:tab w:val="left" w:pos="616"/>
        </w:tabs>
        <w:spacing w:line="360" w:lineRule="auto"/>
        <w:ind w:left="616" w:hanging="616"/>
        <w:rPr>
          <w:rFonts w:cs="Helvetica" w:asciiTheme="minorEastAsia" w:hAnsiTheme="minorEastAsia"/>
          <w:kern w:val="0"/>
          <w:sz w:val="24"/>
          <w:szCs w:val="24"/>
          <w:lang w:val="zh-CN"/>
        </w:rPr>
      </w:pPr>
      <w:r>
        <w:rPr>
          <w:rFonts w:cs="Helvetica" w:asciiTheme="minorEastAsia" w:hAnsiTheme="minorEastAsia"/>
          <w:kern w:val="0"/>
          <w:sz w:val="24"/>
          <w:szCs w:val="24"/>
          <w:lang w:val="zh-CN"/>
        </w:rPr>
        <w:t>采用综合评分法评审的</w:t>
      </w:r>
      <w:r>
        <w:rPr>
          <w:rFonts w:hint="eastAsia" w:cs="Helvetica" w:asciiTheme="minorEastAsia" w:hAnsiTheme="minorEastAsia"/>
          <w:kern w:val="0"/>
          <w:sz w:val="24"/>
          <w:szCs w:val="24"/>
          <w:lang w:val="zh-CN"/>
        </w:rPr>
        <w:t>项目</w:t>
      </w:r>
      <w:r>
        <w:rPr>
          <w:rFonts w:cs="Helvetica" w:asciiTheme="minorEastAsia" w:hAnsiTheme="minorEastAsia"/>
          <w:kern w:val="0"/>
          <w:sz w:val="24"/>
          <w:szCs w:val="24"/>
          <w:lang w:val="zh-CN"/>
        </w:rPr>
        <w:t>，</w:t>
      </w:r>
      <w:r>
        <w:rPr>
          <w:rFonts w:hint="eastAsia" w:cs="Helvetica" w:asciiTheme="minorEastAsia" w:hAnsiTheme="minorEastAsia"/>
          <w:kern w:val="0"/>
          <w:sz w:val="24"/>
          <w:szCs w:val="24"/>
          <w:lang w:val="zh-CN"/>
        </w:rPr>
        <w:t>未中标人可在结果公告质疑有效期内按公告中的联系方式获知</w:t>
      </w:r>
      <w:r>
        <w:rPr>
          <w:rFonts w:cs="Helvetica" w:asciiTheme="minorEastAsia" w:hAnsiTheme="minorEastAsia"/>
          <w:kern w:val="0"/>
          <w:sz w:val="24"/>
          <w:szCs w:val="24"/>
          <w:lang w:val="zh-CN"/>
        </w:rPr>
        <w:t>本</w:t>
      </w:r>
      <w:r>
        <w:rPr>
          <w:rFonts w:hint="eastAsia" w:cs="Helvetica" w:asciiTheme="minorEastAsia" w:hAnsiTheme="minorEastAsia"/>
          <w:kern w:val="0"/>
          <w:sz w:val="24"/>
          <w:szCs w:val="24"/>
          <w:lang w:val="zh-CN"/>
        </w:rPr>
        <w:t>单位</w:t>
      </w:r>
      <w:r>
        <w:rPr>
          <w:rFonts w:cs="Helvetica" w:asciiTheme="minorEastAsia" w:hAnsiTheme="minorEastAsia"/>
          <w:kern w:val="0"/>
          <w:sz w:val="24"/>
          <w:szCs w:val="24"/>
          <w:lang w:val="zh-CN"/>
        </w:rPr>
        <w:t>的评审得分与排序。</w:t>
      </w:r>
    </w:p>
    <w:p>
      <w:pPr>
        <w:pStyle w:val="4"/>
        <w:numPr>
          <w:ilvl w:val="0"/>
          <w:numId w:val="11"/>
        </w:numPr>
        <w:spacing w:before="40" w:after="40" w:line="360" w:lineRule="auto"/>
        <w:ind w:left="658" w:hanging="658"/>
        <w:jc w:val="left"/>
        <w:rPr>
          <w:rFonts w:cs="Times New Roman" w:asciiTheme="majorEastAsia" w:hAnsiTheme="majorEastAsia"/>
          <w:bCs w:val="0"/>
          <w:lang w:val="zh-CN"/>
        </w:rPr>
      </w:pPr>
      <w:bookmarkStart w:id="38" w:name="_Toc494561946"/>
      <w:bookmarkStart w:id="39" w:name="_Toc28457"/>
      <w:r>
        <w:rPr>
          <w:rFonts w:hint="eastAsia" w:cs="Times New Roman" w:asciiTheme="majorEastAsia" w:hAnsiTheme="majorEastAsia"/>
          <w:bCs w:val="0"/>
          <w:lang w:val="zh-CN"/>
        </w:rPr>
        <w:t>质疑</w:t>
      </w:r>
      <w:bookmarkEnd w:id="34"/>
      <w:bookmarkEnd w:id="35"/>
      <w:r>
        <w:rPr>
          <w:rFonts w:hint="eastAsia" w:cs="Times New Roman" w:asciiTheme="majorEastAsia" w:hAnsiTheme="majorEastAsia"/>
          <w:bCs w:val="0"/>
          <w:lang w:val="zh-CN"/>
        </w:rPr>
        <w:t>及提交</w:t>
      </w:r>
      <w:bookmarkEnd w:id="38"/>
      <w:bookmarkEnd w:id="39"/>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质疑提交</w:t>
      </w:r>
    </w:p>
    <w:p>
      <w:pPr>
        <w:autoSpaceDE w:val="0"/>
        <w:autoSpaceDN w:val="0"/>
        <w:adjustRightInd w:val="0"/>
        <w:snapToGrid w:val="0"/>
        <w:spacing w:line="300" w:lineRule="auto"/>
        <w:ind w:left="420" w:right="32" w:firstLine="6"/>
        <w:rPr>
          <w:rFonts w:ascii="宋体" w:hAnsi="宋体" w:eastAsia="宋体" w:cs="Times New Roman"/>
          <w:sz w:val="24"/>
          <w:szCs w:val="20"/>
          <w:lang w:val="zh-CN"/>
        </w:rPr>
      </w:pPr>
      <w:r>
        <w:rPr>
          <w:rFonts w:hint="eastAsia" w:ascii="宋体" w:hAnsi="宋体" w:eastAsia="宋体" w:cs="Times New Roman"/>
          <w:sz w:val="24"/>
          <w:szCs w:val="20"/>
          <w:lang w:val="zh-CN"/>
        </w:rPr>
        <w:t>投标人认为招标文件、招标过程和中标结果使自己的权益受到损害的，可以在知道或者应知其权益受到损害之日起7个工作日内，向采购人（或代理公司）</w:t>
      </w:r>
      <w:r>
        <w:rPr>
          <w:rFonts w:ascii="宋体" w:hAnsi="宋体" w:eastAsia="宋体" w:cs="Times New Roman"/>
          <w:sz w:val="24"/>
          <w:szCs w:val="20"/>
          <w:lang w:val="zh-CN"/>
        </w:rPr>
        <w:t>提出</w:t>
      </w:r>
      <w:r>
        <w:rPr>
          <w:rFonts w:hint="eastAsia" w:ascii="宋体" w:hAnsi="宋体" w:eastAsia="宋体" w:cs="Times New Roman"/>
          <w:sz w:val="24"/>
          <w:szCs w:val="20"/>
          <w:lang w:val="zh-CN"/>
        </w:rPr>
        <w:t>书面</w:t>
      </w:r>
      <w:r>
        <w:rPr>
          <w:rFonts w:ascii="宋体" w:hAnsi="宋体" w:eastAsia="宋体" w:cs="Times New Roman"/>
          <w:sz w:val="24"/>
          <w:szCs w:val="20"/>
          <w:lang w:val="zh-CN"/>
        </w:rPr>
        <w:t>质疑</w:t>
      </w:r>
      <w:r>
        <w:rPr>
          <w:rFonts w:hint="eastAsia" w:ascii="宋体" w:hAnsi="宋体" w:eastAsia="宋体" w:cs="Times New Roman"/>
          <w:sz w:val="24"/>
          <w:szCs w:val="20"/>
          <w:lang w:val="zh-CN"/>
        </w:rPr>
        <w:t>，质疑提出时间以收到之日为准。</w:t>
      </w:r>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投标人</w:t>
      </w:r>
      <w:r>
        <w:rPr>
          <w:rFonts w:ascii="宋体" w:hAnsi="宋体" w:eastAsia="宋体" w:cs="Times New Roman"/>
          <w:b/>
          <w:sz w:val="24"/>
          <w:szCs w:val="20"/>
          <w:lang w:val="zh-CN"/>
        </w:rPr>
        <w:t>应知其权益受到损害之日是指：</w:t>
      </w:r>
    </w:p>
    <w:p>
      <w:pPr>
        <w:numPr>
          <w:ilvl w:val="0"/>
          <w:numId w:val="33"/>
        </w:numPr>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对可以质疑的</w:t>
      </w:r>
      <w:r>
        <w:rPr>
          <w:rFonts w:hint="eastAsia" w:ascii="宋体" w:hAnsi="宋体" w:eastAsia="宋体" w:cs="Times New Roman"/>
          <w:sz w:val="24"/>
          <w:szCs w:val="20"/>
          <w:lang w:val="zh-CN"/>
        </w:rPr>
        <w:t>招标</w:t>
      </w:r>
      <w:r>
        <w:rPr>
          <w:rFonts w:ascii="宋体" w:hAnsi="宋体" w:eastAsia="宋体" w:cs="Times New Roman"/>
          <w:sz w:val="24"/>
          <w:szCs w:val="20"/>
          <w:lang w:val="zh-CN"/>
        </w:rPr>
        <w:t>文件提出质疑的，为收到</w:t>
      </w:r>
      <w:r>
        <w:rPr>
          <w:rFonts w:hint="eastAsia" w:ascii="宋体" w:hAnsi="宋体" w:eastAsia="宋体" w:cs="Times New Roman"/>
          <w:sz w:val="24"/>
          <w:szCs w:val="20"/>
          <w:lang w:val="zh-CN"/>
        </w:rPr>
        <w:t>招标</w:t>
      </w:r>
      <w:r>
        <w:rPr>
          <w:rFonts w:ascii="宋体" w:hAnsi="宋体" w:eastAsia="宋体" w:cs="Times New Roman"/>
          <w:sz w:val="24"/>
          <w:szCs w:val="20"/>
          <w:lang w:val="zh-CN"/>
        </w:rPr>
        <w:t>文件之日或者</w:t>
      </w:r>
      <w:r>
        <w:rPr>
          <w:rFonts w:hint="eastAsia" w:ascii="宋体" w:hAnsi="宋体" w:eastAsia="宋体" w:cs="Times New Roman"/>
          <w:sz w:val="24"/>
          <w:szCs w:val="20"/>
          <w:lang w:val="zh-CN"/>
        </w:rPr>
        <w:t>招标</w:t>
      </w:r>
      <w:r>
        <w:rPr>
          <w:rFonts w:ascii="宋体" w:hAnsi="宋体" w:eastAsia="宋体" w:cs="Times New Roman"/>
          <w:sz w:val="24"/>
          <w:szCs w:val="20"/>
          <w:lang w:val="zh-CN"/>
        </w:rPr>
        <w:t>文件公告期限届满之日</w:t>
      </w:r>
      <w:r>
        <w:rPr>
          <w:rFonts w:hint="eastAsia" w:ascii="宋体" w:hAnsi="宋体" w:eastAsia="宋体" w:cs="Times New Roman"/>
          <w:sz w:val="24"/>
          <w:szCs w:val="20"/>
          <w:lang w:val="zh-CN"/>
        </w:rPr>
        <w:t>；</w:t>
      </w:r>
    </w:p>
    <w:p>
      <w:pPr>
        <w:numPr>
          <w:ilvl w:val="0"/>
          <w:numId w:val="33"/>
        </w:numPr>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对</w:t>
      </w:r>
      <w:r>
        <w:rPr>
          <w:rFonts w:hint="eastAsia" w:ascii="宋体" w:hAnsi="宋体" w:eastAsia="宋体" w:cs="Times New Roman"/>
          <w:sz w:val="24"/>
          <w:szCs w:val="20"/>
          <w:lang w:val="zh-CN"/>
        </w:rPr>
        <w:t>招标</w:t>
      </w:r>
      <w:r>
        <w:rPr>
          <w:rFonts w:ascii="宋体" w:hAnsi="宋体" w:eastAsia="宋体" w:cs="Times New Roman"/>
          <w:sz w:val="24"/>
          <w:szCs w:val="20"/>
          <w:lang w:val="zh-CN"/>
        </w:rPr>
        <w:t>过程提出质疑的，为各</w:t>
      </w:r>
      <w:r>
        <w:rPr>
          <w:rFonts w:hint="eastAsia" w:ascii="宋体" w:hAnsi="宋体" w:eastAsia="宋体" w:cs="Times New Roman"/>
          <w:sz w:val="24"/>
          <w:szCs w:val="20"/>
          <w:lang w:val="zh-CN"/>
        </w:rPr>
        <w:t>招标</w:t>
      </w:r>
      <w:r>
        <w:rPr>
          <w:rFonts w:ascii="宋体" w:hAnsi="宋体" w:eastAsia="宋体" w:cs="Times New Roman"/>
          <w:sz w:val="24"/>
          <w:szCs w:val="20"/>
          <w:lang w:val="zh-CN"/>
        </w:rPr>
        <w:t>程序环节结束之日</w:t>
      </w:r>
      <w:r>
        <w:rPr>
          <w:rFonts w:hint="eastAsia" w:ascii="宋体" w:hAnsi="宋体" w:eastAsia="宋体" w:cs="Times New Roman"/>
          <w:sz w:val="24"/>
          <w:szCs w:val="20"/>
          <w:lang w:val="zh-CN"/>
        </w:rPr>
        <w:t>；</w:t>
      </w:r>
    </w:p>
    <w:p>
      <w:pPr>
        <w:numPr>
          <w:ilvl w:val="0"/>
          <w:numId w:val="33"/>
        </w:numPr>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对中标结果提出质疑的，为中标公告期限届满之日。</w:t>
      </w:r>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质疑书应当包括下列主要内容：</w:t>
      </w:r>
    </w:p>
    <w:p>
      <w:pPr>
        <w:numPr>
          <w:ilvl w:val="0"/>
          <w:numId w:val="34"/>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质疑人的名称、地址、联系人及联系电话等；</w:t>
      </w:r>
    </w:p>
    <w:p>
      <w:pPr>
        <w:numPr>
          <w:ilvl w:val="0"/>
          <w:numId w:val="34"/>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被质疑人的名称、地址、联系人及联系电话等；</w:t>
      </w:r>
    </w:p>
    <w:p>
      <w:pPr>
        <w:numPr>
          <w:ilvl w:val="0"/>
          <w:numId w:val="34"/>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质疑项目名称及编号、质疑事项和明确的请求；</w:t>
      </w:r>
    </w:p>
    <w:p>
      <w:pPr>
        <w:numPr>
          <w:ilvl w:val="0"/>
          <w:numId w:val="34"/>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质疑事项的事实根据、法律依据及其他必要的证明材料；</w:t>
      </w:r>
    </w:p>
    <w:p>
      <w:pPr>
        <w:numPr>
          <w:ilvl w:val="0"/>
          <w:numId w:val="34"/>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提出质疑的日期；</w:t>
      </w:r>
    </w:p>
    <w:p>
      <w:pPr>
        <w:numPr>
          <w:ilvl w:val="0"/>
          <w:numId w:val="34"/>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质疑人的署名及签章（质疑人为自然人的，应当由本人签字；质疑人为法人或者其他组织的，应当由法定代表人或者主要负责人签字盖章并加盖公章）；</w:t>
      </w:r>
    </w:p>
    <w:p>
      <w:pPr>
        <w:numPr>
          <w:ilvl w:val="0"/>
          <w:numId w:val="34"/>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法人授权委托书（质疑人或法人委托代理人办理质疑事务的，应当提供授权委托书，授权委托书应当载明委托代理的具体权限和事项）。</w:t>
      </w:r>
    </w:p>
    <w:p>
      <w:pPr>
        <w:numPr>
          <w:ilvl w:val="0"/>
          <w:numId w:val="3"/>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不予受理的情形</w:t>
      </w:r>
    </w:p>
    <w:p>
      <w:pPr>
        <w:spacing w:line="360" w:lineRule="auto"/>
        <w:ind w:firstLine="480" w:firstLineChars="200"/>
        <w:rPr>
          <w:rFonts w:ascii="宋体" w:hAnsi="宋体" w:eastAsia="宋体" w:cs="Times New Roman"/>
          <w:sz w:val="24"/>
          <w:szCs w:val="20"/>
          <w:lang w:val="zh-CN"/>
        </w:rPr>
      </w:pPr>
      <w:r>
        <w:rPr>
          <w:rFonts w:hint="eastAsia" w:ascii="宋体" w:hAnsi="宋体" w:eastAsia="宋体" w:cs="Times New Roman"/>
          <w:sz w:val="24"/>
          <w:szCs w:val="20"/>
          <w:lang w:val="zh-CN"/>
        </w:rPr>
        <w:t>投标人未按本章“质疑及提交”规定的时限、内容及方式进行质疑的，采购人</w:t>
      </w:r>
      <w:r>
        <w:rPr>
          <w:rFonts w:hint="eastAsia" w:ascii="宋体" w:hAnsi="宋体" w:eastAsia="宋体" w:cs="Times New Roman"/>
          <w:color w:val="FF0000"/>
          <w:sz w:val="24"/>
          <w:szCs w:val="20"/>
          <w:lang w:val="zh-CN"/>
        </w:rPr>
        <w:t>（或代理公司）</w:t>
      </w:r>
      <w:r>
        <w:rPr>
          <w:rFonts w:hint="eastAsia" w:ascii="宋体" w:hAnsi="宋体" w:eastAsia="宋体" w:cs="Times New Roman"/>
          <w:sz w:val="24"/>
          <w:szCs w:val="20"/>
          <w:lang w:val="zh-CN"/>
        </w:rPr>
        <w:t>不予受理。</w:t>
      </w:r>
    </w:p>
    <w:p>
      <w:pPr>
        <w:pStyle w:val="4"/>
        <w:numPr>
          <w:ilvl w:val="0"/>
          <w:numId w:val="11"/>
        </w:numPr>
        <w:spacing w:before="40" w:after="40" w:line="360" w:lineRule="auto"/>
        <w:ind w:left="658" w:hanging="658"/>
        <w:jc w:val="left"/>
        <w:rPr>
          <w:rFonts w:cs="Times New Roman" w:asciiTheme="majorEastAsia" w:hAnsiTheme="majorEastAsia"/>
          <w:bCs w:val="0"/>
          <w:lang w:val="zh-CN"/>
        </w:rPr>
      </w:pPr>
      <w:bookmarkStart w:id="40" w:name="_Toc494561947"/>
      <w:bookmarkStart w:id="41" w:name="_Toc6774"/>
      <w:r>
        <w:rPr>
          <w:rFonts w:hint="eastAsia" w:cs="Times New Roman" w:asciiTheme="majorEastAsia" w:hAnsiTheme="majorEastAsia"/>
          <w:bCs w:val="0"/>
          <w:lang w:val="zh-CN"/>
        </w:rPr>
        <w:t>相关条文解读</w:t>
      </w:r>
      <w:bookmarkEnd w:id="40"/>
      <w:bookmarkEnd w:id="41"/>
    </w:p>
    <w:p>
      <w:pPr>
        <w:numPr>
          <w:ilvl w:val="0"/>
          <w:numId w:val="3"/>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政府采购法第二十二条第一款第五项所称重大违法记录，是指供应商因违法经营受到刑事处罚或者责令停产停业、吊销许可证或者执照、较大数额罚款等行政处罚。</w:t>
      </w:r>
    </w:p>
    <w:p>
      <w:pPr>
        <w:numPr>
          <w:ilvl w:val="0"/>
          <w:numId w:val="3"/>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按照财政部《关于规范政府采购行政处罚有关问题的通知》的规定，</w:t>
      </w:r>
      <w:r>
        <w:rPr>
          <w:rFonts w:ascii="宋体" w:hAnsi="宋体" w:eastAsia="宋体" w:cs="Times New Roman"/>
          <w:sz w:val="24"/>
          <w:szCs w:val="20"/>
          <w:lang w:val="zh-CN"/>
        </w:rPr>
        <w:t>各级人民政府财政部门依法对参加政府采购活动的供应商作出的禁止参加政府采购活动等行政处罚决定在全国范围内生效。</w:t>
      </w:r>
    </w:p>
    <w:p>
      <w:pPr>
        <w:numPr>
          <w:ilvl w:val="0"/>
          <w:numId w:val="3"/>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供应商在参加政府采购活动前3年内因违法经营被禁止在一定期限内参加政府采购活动，期限届满的，可以参加政府采购活动。</w:t>
      </w:r>
    </w:p>
    <w:p>
      <w:pPr>
        <w:numPr>
          <w:ilvl w:val="0"/>
          <w:numId w:val="3"/>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根据财政部《政府采购法实施条例》释义中关于供应商资格条件的解释，对于银行、保险、石油石化、电力、电信等有行业特殊情况的，采购人和采购机构允许其分支机构参与投标。</w:t>
      </w:r>
    </w:p>
    <w:p>
      <w:pPr>
        <w:pStyle w:val="4"/>
        <w:numPr>
          <w:ilvl w:val="0"/>
          <w:numId w:val="11"/>
        </w:numPr>
        <w:spacing w:before="40" w:after="40" w:line="360" w:lineRule="auto"/>
        <w:ind w:left="658" w:hanging="658"/>
        <w:jc w:val="left"/>
        <w:rPr>
          <w:rFonts w:cs="Times New Roman" w:asciiTheme="majorEastAsia" w:hAnsiTheme="majorEastAsia"/>
          <w:bCs w:val="0"/>
          <w:lang w:val="zh-CN"/>
        </w:rPr>
      </w:pPr>
      <w:bookmarkStart w:id="42" w:name="_Toc31778"/>
      <w:bookmarkStart w:id="43" w:name="_Toc494561948"/>
      <w:r>
        <w:rPr>
          <w:rFonts w:hint="eastAsia" w:cs="Times New Roman" w:asciiTheme="majorEastAsia" w:hAnsiTheme="majorEastAsia"/>
          <w:bCs w:val="0"/>
          <w:lang w:val="zh-CN"/>
        </w:rPr>
        <w:t>其他注意事项</w:t>
      </w:r>
      <w:bookmarkEnd w:id="42"/>
      <w:bookmarkEnd w:id="43"/>
    </w:p>
    <w:p>
      <w:pPr>
        <w:numPr>
          <w:ilvl w:val="0"/>
          <w:numId w:val="3"/>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单位负责人为同一人或者存在直接控股、管理关系的不同供应商，不得参加同一合同项下的政府采购活动。</w:t>
      </w:r>
    </w:p>
    <w:p>
      <w:pPr>
        <w:numPr>
          <w:ilvl w:val="0"/>
          <w:numId w:val="3"/>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除单一来源采购项目外，为采购项目提供整体设计、规范编制或者项目管理、监理、检测等服务的供应商，不得再参加该采购项目的其他采购活动。</w:t>
      </w:r>
    </w:p>
    <w:p>
      <w:pPr>
        <w:pStyle w:val="4"/>
        <w:numPr>
          <w:ilvl w:val="0"/>
          <w:numId w:val="11"/>
        </w:numPr>
        <w:spacing w:before="40" w:after="40" w:line="360" w:lineRule="auto"/>
        <w:ind w:left="966" w:hanging="966"/>
        <w:jc w:val="left"/>
        <w:rPr>
          <w:rFonts w:cs="Times New Roman" w:asciiTheme="majorEastAsia" w:hAnsiTheme="majorEastAsia"/>
          <w:bCs w:val="0"/>
          <w:lang w:val="zh-CN"/>
        </w:rPr>
      </w:pPr>
      <w:bookmarkStart w:id="44" w:name="_Toc278891598"/>
      <w:bookmarkStart w:id="45" w:name="_Toc17752"/>
      <w:bookmarkStart w:id="46" w:name="_Toc494561949"/>
      <w:bookmarkStart w:id="47" w:name="_Toc272247701"/>
      <w:r>
        <w:rPr>
          <w:rFonts w:hint="eastAsia" w:cs="Times New Roman" w:asciiTheme="majorEastAsia" w:hAnsiTheme="majorEastAsia"/>
          <w:bCs w:val="0"/>
          <w:lang w:val="zh-CN"/>
        </w:rPr>
        <w:t>适用法律</w:t>
      </w:r>
      <w:bookmarkEnd w:id="44"/>
      <w:bookmarkEnd w:id="45"/>
      <w:bookmarkEnd w:id="46"/>
      <w:bookmarkEnd w:id="47"/>
    </w:p>
    <w:p>
      <w:pPr>
        <w:numPr>
          <w:ilvl w:val="0"/>
          <w:numId w:val="3"/>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采购人、采购代理机构及投标人的一切招标投标活动均适用《政府采购法》、《政府采购法实施条例》、</w:t>
      </w:r>
      <w:r>
        <w:rPr>
          <w:rFonts w:ascii="宋体" w:hAnsi="宋体" w:eastAsia="宋体" w:cs="Times New Roman"/>
          <w:sz w:val="24"/>
          <w:szCs w:val="20"/>
          <w:lang w:val="zh-CN"/>
        </w:rPr>
        <w:t>《政府采购货物和服务招标投标管理办法》</w:t>
      </w:r>
      <w:r>
        <w:rPr>
          <w:rFonts w:hint="eastAsia" w:ascii="宋体" w:hAnsi="宋体" w:eastAsia="宋体" w:cs="Times New Roman"/>
          <w:sz w:val="24"/>
          <w:szCs w:val="20"/>
          <w:lang w:val="zh-CN"/>
        </w:rPr>
        <w:t>及相关法律法规。</w:t>
      </w:r>
    </w:p>
    <w:p>
      <w:pPr>
        <w:numPr>
          <w:ilvl w:val="0"/>
          <w:numId w:val="3"/>
        </w:numPr>
        <w:spacing w:line="360" w:lineRule="auto"/>
        <w:ind w:left="560" w:hanging="560"/>
        <w:rPr>
          <w:rFonts w:ascii="宋体" w:hAnsi="宋体" w:eastAsia="宋体" w:cs="Times New Roman"/>
          <w:sz w:val="24"/>
          <w:szCs w:val="20"/>
          <w:lang w:val="zh-CN"/>
        </w:rPr>
      </w:pPr>
      <w:r>
        <w:rPr>
          <w:rFonts w:ascii="Helvetica" w:hAnsi="Helvetica" w:eastAsia="宋体" w:cs="Helvetica"/>
          <w:kern w:val="0"/>
          <w:sz w:val="24"/>
          <w:szCs w:val="24"/>
          <w:lang w:val="zh-CN"/>
        </w:rPr>
        <w:t>政府采购合同的履行、违约责任和解决争议的方法等适用《合同法》。</w:t>
      </w:r>
    </w:p>
    <w:p>
      <w:pPr>
        <w:pStyle w:val="4"/>
        <w:numPr>
          <w:ilvl w:val="0"/>
          <w:numId w:val="11"/>
        </w:numPr>
        <w:spacing w:before="40" w:after="40" w:line="360" w:lineRule="auto"/>
        <w:ind w:left="966" w:hanging="966"/>
        <w:jc w:val="left"/>
        <w:rPr>
          <w:rFonts w:cs="Times New Roman" w:asciiTheme="majorEastAsia" w:hAnsiTheme="majorEastAsia"/>
          <w:bCs w:val="0"/>
          <w:lang w:val="zh-CN"/>
        </w:rPr>
      </w:pPr>
      <w:bookmarkStart w:id="48" w:name="_Toc272247702"/>
      <w:bookmarkStart w:id="49" w:name="_Toc278891599"/>
      <w:bookmarkStart w:id="50" w:name="_Toc5171"/>
      <w:bookmarkStart w:id="51" w:name="_Toc494561950"/>
      <w:r>
        <w:rPr>
          <w:rFonts w:hint="eastAsia" w:cs="Times New Roman" w:asciiTheme="majorEastAsia" w:hAnsiTheme="majorEastAsia"/>
          <w:bCs w:val="0"/>
          <w:lang w:val="zh-CN"/>
        </w:rPr>
        <w:t>招标文件的解释权</w:t>
      </w:r>
      <w:bookmarkEnd w:id="48"/>
      <w:bookmarkEnd w:id="49"/>
      <w:bookmarkEnd w:id="50"/>
      <w:bookmarkEnd w:id="51"/>
    </w:p>
    <w:p>
      <w:pPr>
        <w:numPr>
          <w:ilvl w:val="0"/>
          <w:numId w:val="3"/>
        </w:numPr>
        <w:spacing w:line="360" w:lineRule="auto"/>
        <w:ind w:left="560" w:hanging="560"/>
      </w:pPr>
      <w:r>
        <w:rPr>
          <w:rFonts w:hint="eastAsia" w:ascii="宋体" w:hAnsi="宋体" w:eastAsia="宋体" w:cs="Times New Roman"/>
          <w:sz w:val="24"/>
          <w:szCs w:val="20"/>
          <w:lang w:val="zh-CN"/>
        </w:rPr>
        <w:t>招标文件的最终解释权为</w:t>
      </w:r>
      <w:r>
        <w:rPr>
          <w:rFonts w:hint="eastAsia" w:ascii="宋体" w:hAnsi="宋体" w:eastAsia="宋体" w:cs="Times New Roman"/>
          <w:color w:val="FF0000"/>
          <w:sz w:val="24"/>
          <w:szCs w:val="20"/>
          <w:lang w:val="zh-CN"/>
        </w:rPr>
        <w:t>采购人、采购代理机构</w:t>
      </w:r>
      <w:r>
        <w:rPr>
          <w:rFonts w:hint="eastAsia" w:ascii="宋体" w:hAnsi="宋体" w:eastAsia="宋体" w:cs="Times New Roman"/>
          <w:sz w:val="24"/>
          <w:szCs w:val="20"/>
          <w:lang w:val="zh-CN"/>
        </w:rPr>
        <w:t>所有。</w:t>
      </w:r>
      <w:r>
        <w:br w:type="page"/>
      </w:r>
    </w:p>
    <w:p>
      <w:pPr>
        <w:pStyle w:val="3"/>
        <w:spacing w:line="240" w:lineRule="auto"/>
        <w:jc w:val="center"/>
        <w:rPr>
          <w:rFonts w:ascii="黑体" w:hAnsi="黑体" w:eastAsia="黑体"/>
        </w:rPr>
      </w:pPr>
      <w:bookmarkStart w:id="52" w:name="_Toc2204"/>
      <w:r>
        <w:rPr>
          <w:rFonts w:hint="eastAsia" w:ascii="Wingdings" w:hAnsi="Wingdings" w:eastAsia="黑体"/>
          <w:b w:val="0"/>
          <w:highlight w:val="lightGray"/>
        </w:rPr>
        <w:t>第三章</w:t>
      </w:r>
      <w:r>
        <w:rPr>
          <w:rFonts w:ascii="Wingdings" w:hAnsi="Wingdings" w:eastAsia="黑体"/>
          <w:b w:val="0"/>
        </w:rPr>
        <w:t></w:t>
      </w:r>
      <w:r>
        <w:rPr>
          <w:rFonts w:hint="eastAsia" w:ascii="黑体" w:hAnsi="黑体" w:eastAsia="黑体"/>
        </w:rPr>
        <w:t>项目技术、服务及商务要求</w:t>
      </w:r>
      <w:bookmarkEnd w:id="52"/>
    </w:p>
    <w:p>
      <w:pPr>
        <w:spacing w:line="360" w:lineRule="auto"/>
        <w:rPr>
          <w:rFonts w:ascii="宋体" w:hAnsi="宋体" w:eastAsia="宋体" w:cs="宋体"/>
          <w:b/>
          <w:bCs/>
          <w:kern w:val="0"/>
          <w:sz w:val="28"/>
          <w:szCs w:val="28"/>
          <w:lang w:val="zh-CN" w:bidi="zh-CN"/>
        </w:rPr>
      </w:pPr>
      <w:bookmarkStart w:id="53" w:name="_Toc17827"/>
      <w:r>
        <w:rPr>
          <w:rFonts w:ascii="宋体" w:hAnsi="宋体" w:eastAsia="宋体" w:cs="宋体"/>
          <w:b/>
          <w:bCs/>
          <w:kern w:val="0"/>
          <w:sz w:val="28"/>
          <w:szCs w:val="28"/>
          <w:lang w:val="zh-CN" w:bidi="zh-CN"/>
        </w:rPr>
        <w:t>一、</w:t>
      </w:r>
      <w:bookmarkEnd w:id="53"/>
      <w:bookmarkStart w:id="54" w:name="_Toc21666"/>
      <w:r>
        <w:rPr>
          <w:rFonts w:hint="eastAsia" w:ascii="宋体" w:hAnsi="宋体" w:eastAsia="宋体" w:cs="宋体"/>
          <w:b/>
          <w:bCs/>
          <w:kern w:val="0"/>
          <w:sz w:val="28"/>
          <w:szCs w:val="28"/>
          <w:lang w:val="zh-CN" w:bidi="zh-CN"/>
        </w:rPr>
        <w:t>项目概况</w:t>
      </w:r>
    </w:p>
    <w:p>
      <w:pPr>
        <w:pStyle w:val="9"/>
        <w:tabs>
          <w:tab w:val="left" w:pos="3704"/>
        </w:tabs>
        <w:spacing w:line="360" w:lineRule="auto"/>
        <w:ind w:firstLine="476" w:firstLineChars="200"/>
        <w:rPr>
          <w:rFonts w:hint="eastAsia" w:ascii="宋体" w:hAnsi="宋体" w:eastAsia="宋体" w:cs="宋体"/>
          <w:spacing w:val="-1"/>
          <w:kern w:val="0"/>
          <w:sz w:val="24"/>
          <w:szCs w:val="22"/>
          <w:lang w:val="zh-CN" w:eastAsia="zh-CN" w:bidi="zh-CN"/>
        </w:rPr>
      </w:pPr>
      <w:r>
        <w:rPr>
          <w:rFonts w:hint="eastAsia" w:ascii="宋体" w:hAnsi="宋体" w:eastAsia="宋体" w:cs="宋体"/>
          <w:spacing w:val="-1"/>
          <w:kern w:val="0"/>
          <w:sz w:val="24"/>
          <w:szCs w:val="22"/>
          <w:lang w:val="en-US" w:eastAsia="zh-CN" w:bidi="zh-CN"/>
        </w:rPr>
        <w:t>1、</w:t>
      </w:r>
      <w:r>
        <w:rPr>
          <w:rFonts w:hint="eastAsia" w:ascii="宋体" w:hAnsi="宋体" w:eastAsia="宋体" w:cs="宋体"/>
          <w:spacing w:val="-1"/>
          <w:kern w:val="0"/>
          <w:sz w:val="24"/>
          <w:szCs w:val="22"/>
          <w:lang w:val="zh-CN" w:eastAsia="zh-CN" w:bidi="zh-CN"/>
        </w:rPr>
        <w:t>项目名称：阳新县长江大保护水环境综合治理PPP项目(一期工程)建设项目</w:t>
      </w:r>
      <w:r>
        <w:rPr>
          <w:rFonts w:hint="eastAsia" w:ascii="宋体" w:hAnsi="宋体" w:eastAsia="宋体" w:cs="宋体"/>
          <w:spacing w:val="-1"/>
          <w:kern w:val="0"/>
          <w:sz w:val="24"/>
          <w:szCs w:val="22"/>
          <w:lang w:val="en-US" w:eastAsia="zh-CN" w:bidi="zh-CN"/>
        </w:rPr>
        <w:t>检测</w:t>
      </w:r>
      <w:r>
        <w:rPr>
          <w:rFonts w:hint="eastAsia" w:ascii="宋体" w:hAnsi="宋体" w:eastAsia="宋体" w:cs="宋体"/>
          <w:spacing w:val="-1"/>
          <w:kern w:val="0"/>
          <w:sz w:val="24"/>
          <w:szCs w:val="22"/>
          <w:lang w:val="zh-CN" w:eastAsia="zh-CN" w:bidi="zh-CN"/>
        </w:rPr>
        <w:t>服务</w:t>
      </w:r>
    </w:p>
    <w:p>
      <w:pPr>
        <w:pStyle w:val="9"/>
        <w:tabs>
          <w:tab w:val="left" w:pos="3704"/>
        </w:tabs>
        <w:spacing w:line="360" w:lineRule="auto"/>
        <w:ind w:firstLine="476" w:firstLineChars="200"/>
        <w:rPr>
          <w:rFonts w:hint="eastAsia" w:ascii="宋体" w:hAnsi="宋体" w:eastAsia="宋体" w:cs="宋体"/>
          <w:spacing w:val="-1"/>
          <w:kern w:val="0"/>
          <w:sz w:val="24"/>
          <w:szCs w:val="22"/>
          <w:lang w:val="hr-HR" w:eastAsia="zh-CN" w:bidi="zh-CN"/>
        </w:rPr>
      </w:pPr>
      <w:r>
        <w:rPr>
          <w:rFonts w:hint="eastAsia" w:ascii="宋体" w:hAnsi="宋体" w:eastAsia="宋体" w:cs="宋体"/>
          <w:spacing w:val="-1"/>
          <w:kern w:val="0"/>
          <w:sz w:val="24"/>
          <w:szCs w:val="22"/>
          <w:lang w:val="en-US" w:eastAsia="zh-CN" w:bidi="zh-CN"/>
        </w:rPr>
        <w:t xml:space="preserve"> 2</w:t>
      </w:r>
      <w:r>
        <w:rPr>
          <w:rFonts w:hint="eastAsia" w:ascii="宋体" w:hAnsi="宋体" w:eastAsia="宋体" w:cs="宋体"/>
          <w:spacing w:val="-1"/>
          <w:kern w:val="0"/>
          <w:sz w:val="24"/>
          <w:szCs w:val="22"/>
          <w:lang w:val="hr-HR" w:eastAsia="zh-CN" w:bidi="zh-CN"/>
        </w:rPr>
        <w:t>、采购需求：阳新县长江大保护水环境综合治理PPP项目（一期工程）建设项目的检测服务：见证取样等所有满足工程质量验收需检测的项目（具体检测项目以招标人要求为准） 详见本项目招标文件第三章采购需求。</w:t>
      </w:r>
    </w:p>
    <w:p>
      <w:pPr>
        <w:spacing w:line="360" w:lineRule="auto"/>
        <w:rPr>
          <w:rFonts w:ascii="宋体" w:hAnsi="宋体" w:eastAsia="宋体" w:cs="宋体"/>
          <w:b/>
          <w:bCs/>
          <w:kern w:val="0"/>
          <w:sz w:val="28"/>
          <w:szCs w:val="28"/>
          <w:lang w:val="zh-CN" w:bidi="zh-CN"/>
        </w:rPr>
      </w:pPr>
      <w:r>
        <w:rPr>
          <w:rFonts w:hint="eastAsia" w:ascii="宋体" w:hAnsi="宋体" w:eastAsia="宋体" w:cs="宋体"/>
          <w:b/>
          <w:bCs/>
          <w:kern w:val="0"/>
          <w:sz w:val="28"/>
          <w:szCs w:val="28"/>
          <w:lang w:bidi="zh-CN"/>
        </w:rPr>
        <w:t xml:space="preserve">二、项目需求 </w:t>
      </w:r>
    </w:p>
    <w:p>
      <w:pPr>
        <w:widowControl/>
        <w:snapToGrid w:val="0"/>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w:t>
      </w:r>
      <w:r>
        <w:rPr>
          <w:rFonts w:hint="eastAsia" w:ascii="宋体" w:hAnsi="宋体" w:eastAsia="宋体" w:cs="宋体"/>
          <w:color w:val="000000"/>
          <w:kern w:val="0"/>
          <w:sz w:val="24"/>
          <w:szCs w:val="24"/>
          <w:lang w:val="en-US" w:eastAsia="zh-CN"/>
        </w:rPr>
        <w:t>检测方法</w:t>
      </w:r>
      <w:r>
        <w:rPr>
          <w:rFonts w:hint="eastAsia" w:ascii="宋体" w:hAnsi="宋体" w:eastAsia="宋体" w:cs="宋体"/>
          <w:color w:val="000000"/>
          <w:kern w:val="0"/>
          <w:sz w:val="24"/>
          <w:szCs w:val="24"/>
        </w:rPr>
        <w:t xml:space="preserve"> </w:t>
      </w:r>
    </w:p>
    <w:p>
      <w:pPr>
        <w:widowControl/>
        <w:snapToGrid w:val="0"/>
        <w:spacing w:line="360" w:lineRule="auto"/>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检测方法应当按照国家法律法规、合同及现行技术标准、规范、规程、办法等进行。</w:t>
      </w:r>
    </w:p>
    <w:p>
      <w:pPr>
        <w:widowControl/>
        <w:snapToGrid w:val="0"/>
        <w:spacing w:line="360" w:lineRule="auto"/>
        <w:jc w:val="left"/>
      </w:pPr>
      <w:r>
        <w:rPr>
          <w:rFonts w:hint="eastAsia" w:ascii="宋体" w:hAnsi="宋体" w:eastAsia="宋体" w:cs="宋体"/>
          <w:color w:val="000000"/>
          <w:kern w:val="0"/>
          <w:sz w:val="24"/>
          <w:szCs w:val="24"/>
        </w:rPr>
        <w:t>（</w:t>
      </w:r>
      <w:r>
        <w:rPr>
          <w:rFonts w:hint="eastAsia" w:ascii="宋体" w:hAnsi="宋体" w:cs="宋体"/>
          <w:color w:val="000000"/>
          <w:kern w:val="0"/>
          <w:sz w:val="24"/>
          <w:szCs w:val="24"/>
        </w:rPr>
        <w:t>二</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检测</w:t>
      </w:r>
      <w:r>
        <w:rPr>
          <w:rFonts w:hint="eastAsia" w:ascii="宋体" w:hAnsi="宋体" w:eastAsia="宋体" w:cs="宋体"/>
          <w:color w:val="000000"/>
          <w:kern w:val="0"/>
          <w:sz w:val="24"/>
          <w:szCs w:val="24"/>
        </w:rPr>
        <w:t xml:space="preserve">要求 </w:t>
      </w:r>
    </w:p>
    <w:p>
      <w:pPr>
        <w:pStyle w:val="9"/>
        <w:tabs>
          <w:tab w:val="left" w:pos="3704"/>
        </w:tabs>
        <w:spacing w:line="360" w:lineRule="auto"/>
        <w:ind w:firstLine="476" w:firstLineChars="200"/>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1、投标人应满足检测项目的要求，在监管、建设、施工、监理四方见证下开展相关检测工作，负责派员到现场取样、包装、运送、检测、出具报告等检测业务，并注意对检测样品及检测结果的保密。</w:t>
      </w:r>
    </w:p>
    <w:p>
      <w:pPr>
        <w:pStyle w:val="9"/>
        <w:tabs>
          <w:tab w:val="left" w:pos="3704"/>
        </w:tabs>
        <w:spacing w:line="360" w:lineRule="auto"/>
        <w:ind w:firstLine="476" w:firstLineChars="200"/>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2、质量要求：符合但不限于下列规范要求：</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 xml:space="preserve">《建筑地基检测技术规范》（JGJ340-2015）；  </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 xml:space="preserve">《建筑桩基检测技术规范》(JGJ106-2014)； </w:t>
      </w:r>
    </w:p>
    <w:p>
      <w:pPr>
        <w:pStyle w:val="61"/>
        <w:numPr>
          <w:ilvl w:val="0"/>
          <w:numId w:val="35"/>
        </w:numPr>
        <w:spacing w:before="185"/>
        <w:ind w:left="840"/>
        <w:rPr>
          <w:rFonts w:ascii="宋体" w:hAnsi="宋体" w:cs="宋体"/>
          <w:spacing w:val="-13"/>
          <w:sz w:val="24"/>
          <w:szCs w:val="24"/>
        </w:rPr>
      </w:pPr>
      <w:r>
        <w:rPr>
          <w:rFonts w:ascii="宋体" w:hAnsi="宋体" w:cs="宋体"/>
          <w:spacing w:val="-13"/>
          <w:sz w:val="24"/>
          <w:szCs w:val="24"/>
        </w:rPr>
        <w:t>《水泥细度检验方法》（ GB/T1345-2005）</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 xml:space="preserve">《公路工程水泥及水泥混凝土试验规程》（JTG E30-2005） </w:t>
      </w:r>
    </w:p>
    <w:p>
      <w:pPr>
        <w:pStyle w:val="61"/>
        <w:numPr>
          <w:ilvl w:val="0"/>
          <w:numId w:val="35"/>
        </w:numPr>
        <w:spacing w:before="185"/>
        <w:ind w:left="840"/>
        <w:rPr>
          <w:rFonts w:hint="eastAsia" w:ascii="宋体" w:hAnsi="宋体" w:cs="宋体"/>
          <w:spacing w:val="-13"/>
          <w:sz w:val="24"/>
          <w:szCs w:val="24"/>
          <w:lang w:eastAsia="zh-CN"/>
        </w:rPr>
      </w:pP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水运工程混泥土试验规程</w:t>
      </w:r>
      <w:r>
        <w:rPr>
          <w:rFonts w:hint="eastAsia" w:ascii="宋体" w:hAnsi="宋体" w:cs="宋体"/>
          <w:spacing w:val="-13"/>
          <w:sz w:val="24"/>
          <w:szCs w:val="24"/>
          <w:lang w:eastAsia="zh-CN"/>
        </w:rPr>
        <w:t>》</w:t>
      </w:r>
      <w:r>
        <w:rPr>
          <w:rFonts w:ascii="宋体" w:hAnsi="宋体" w:cs="宋体"/>
          <w:spacing w:val="-13"/>
          <w:sz w:val="24"/>
          <w:szCs w:val="24"/>
        </w:rPr>
        <w:t xml:space="preserve">（JTJ </w:t>
      </w:r>
      <w:r>
        <w:rPr>
          <w:rFonts w:hint="eastAsia" w:ascii="宋体" w:hAnsi="宋体" w:cs="宋体"/>
          <w:spacing w:val="-13"/>
          <w:sz w:val="24"/>
          <w:szCs w:val="24"/>
          <w:lang w:val="en-US" w:eastAsia="zh-CN"/>
        </w:rPr>
        <w:t>270-1998</w:t>
      </w:r>
      <w:r>
        <w:rPr>
          <w:rFonts w:ascii="宋体" w:hAnsi="宋体" w:cs="宋体"/>
          <w:spacing w:val="-13"/>
          <w:sz w:val="24"/>
          <w:szCs w:val="24"/>
        </w:rPr>
        <w:t>）</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《水泥比表面积测定方法 勃氏法》（GB/T8074-2008）</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 xml:space="preserve"> 《水泥标准稠度用水量、凝结时间、安定性检验方法》（ GB/T1346-2011） </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 xml:space="preserve">《水泥胶砂强度检验方法》（GB/T17671-1999） </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 xml:space="preserve">《水泥胶砂流动度测定方法》（GB/T2419-2005）  </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《水泥</w:t>
      </w:r>
      <w:r>
        <w:rPr>
          <w:rFonts w:hint="eastAsia" w:ascii="宋体" w:hAnsi="宋体" w:cs="宋体"/>
          <w:spacing w:val="-13"/>
          <w:sz w:val="24"/>
          <w:szCs w:val="24"/>
          <w:lang w:val="en-US" w:eastAsia="zh-CN"/>
        </w:rPr>
        <w:t>密度</w:t>
      </w:r>
      <w:r>
        <w:rPr>
          <w:rFonts w:ascii="宋体" w:hAnsi="宋体" w:cs="宋体"/>
          <w:spacing w:val="-13"/>
          <w:sz w:val="24"/>
          <w:szCs w:val="24"/>
        </w:rPr>
        <w:t>测定方法》（GB/T</w:t>
      </w:r>
      <w:r>
        <w:rPr>
          <w:rFonts w:hint="eastAsia" w:ascii="宋体" w:hAnsi="宋体" w:cs="宋体"/>
          <w:spacing w:val="-13"/>
          <w:sz w:val="24"/>
          <w:szCs w:val="24"/>
          <w:lang w:val="en-US" w:eastAsia="zh-CN"/>
        </w:rPr>
        <w:t>208-2014</w:t>
      </w:r>
      <w:r>
        <w:rPr>
          <w:rFonts w:ascii="宋体" w:hAnsi="宋体" w:cs="宋体"/>
          <w:spacing w:val="-13"/>
          <w:sz w:val="24"/>
          <w:szCs w:val="24"/>
        </w:rPr>
        <w:t xml:space="preserve">）  </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 xml:space="preserve">《水泥化学分析方法》（GB/T176-2008） </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 xml:space="preserve">《普通混凝土用砂、石质量及检验方法标准》（JGJ52-2006） </w:t>
      </w:r>
      <w:r>
        <w:rPr>
          <w:rFonts w:hint="eastAsia" w:ascii="宋体" w:hAnsi="宋体" w:cs="宋体"/>
          <w:spacing w:val="-13"/>
          <w:sz w:val="24"/>
          <w:szCs w:val="24"/>
          <w:lang w:val="en-US" w:eastAsia="zh-CN"/>
        </w:rPr>
        <w:t xml:space="preserve"> </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w:t>
      </w:r>
      <w:r>
        <w:rPr>
          <w:rFonts w:hint="eastAsia" w:ascii="宋体" w:hAnsi="宋体" w:cs="宋体"/>
          <w:spacing w:val="-13"/>
          <w:sz w:val="24"/>
          <w:szCs w:val="24"/>
          <w:lang w:val="en-US" w:eastAsia="zh-CN"/>
        </w:rPr>
        <w:t>轻集料及其试验方法第1部分：轻集料</w:t>
      </w:r>
      <w:r>
        <w:rPr>
          <w:rFonts w:ascii="宋体" w:hAnsi="宋体" w:cs="宋体"/>
          <w:spacing w:val="-13"/>
          <w:sz w:val="24"/>
          <w:szCs w:val="24"/>
        </w:rPr>
        <w:t>》（GB/T17</w:t>
      </w:r>
      <w:r>
        <w:rPr>
          <w:rFonts w:hint="eastAsia" w:ascii="宋体" w:hAnsi="宋体" w:cs="宋体"/>
          <w:spacing w:val="-13"/>
          <w:sz w:val="24"/>
          <w:szCs w:val="24"/>
          <w:lang w:val="en-US" w:eastAsia="zh-CN"/>
        </w:rPr>
        <w:t>431.1-2010</w:t>
      </w:r>
      <w:r>
        <w:rPr>
          <w:rFonts w:ascii="宋体" w:hAnsi="宋体" w:cs="宋体"/>
          <w:spacing w:val="-13"/>
          <w:sz w:val="24"/>
          <w:szCs w:val="24"/>
        </w:rPr>
        <w:t xml:space="preserve">） </w:t>
      </w:r>
      <w:r>
        <w:rPr>
          <w:rFonts w:hint="eastAsia" w:ascii="宋体" w:hAnsi="宋体" w:cs="宋体"/>
          <w:spacing w:val="-13"/>
          <w:sz w:val="24"/>
          <w:szCs w:val="24"/>
          <w:lang w:val="en-US" w:eastAsia="zh-CN"/>
        </w:rPr>
        <w:t xml:space="preserve"> </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w:t>
      </w:r>
      <w:r>
        <w:rPr>
          <w:rFonts w:hint="eastAsia" w:ascii="宋体" w:hAnsi="宋体" w:cs="宋体"/>
          <w:spacing w:val="-13"/>
          <w:sz w:val="24"/>
          <w:szCs w:val="24"/>
          <w:lang w:val="en-US" w:eastAsia="zh-CN"/>
        </w:rPr>
        <w:t>轻集料及其试验方法第2部分：轻集料试验方法</w:t>
      </w:r>
      <w:r>
        <w:rPr>
          <w:rFonts w:ascii="宋体" w:hAnsi="宋体" w:cs="宋体"/>
          <w:spacing w:val="-13"/>
          <w:sz w:val="24"/>
          <w:szCs w:val="24"/>
        </w:rPr>
        <w:t>》（GB/T17</w:t>
      </w:r>
      <w:r>
        <w:rPr>
          <w:rFonts w:hint="eastAsia" w:ascii="宋体" w:hAnsi="宋体" w:cs="宋体"/>
          <w:spacing w:val="-13"/>
          <w:sz w:val="24"/>
          <w:szCs w:val="24"/>
          <w:lang w:val="en-US" w:eastAsia="zh-CN"/>
        </w:rPr>
        <w:t>431.2-2010</w:t>
      </w:r>
      <w:r>
        <w:rPr>
          <w:rFonts w:ascii="宋体" w:hAnsi="宋体" w:cs="宋体"/>
          <w:spacing w:val="-13"/>
          <w:sz w:val="24"/>
          <w:szCs w:val="24"/>
        </w:rPr>
        <w:t xml:space="preserve">） </w:t>
      </w:r>
      <w:r>
        <w:rPr>
          <w:rFonts w:hint="eastAsia" w:ascii="宋体" w:hAnsi="宋体" w:cs="宋体"/>
          <w:spacing w:val="-13"/>
          <w:sz w:val="24"/>
          <w:szCs w:val="24"/>
          <w:lang w:val="en-US" w:eastAsia="zh-CN"/>
        </w:rPr>
        <w:t xml:space="preserve"> </w:t>
      </w:r>
    </w:p>
    <w:p>
      <w:pPr>
        <w:pStyle w:val="61"/>
        <w:numPr>
          <w:ilvl w:val="0"/>
          <w:numId w:val="35"/>
        </w:numPr>
        <w:spacing w:before="185"/>
        <w:ind w:left="840"/>
        <w:rPr>
          <w:rFonts w:hint="eastAsia" w:ascii="宋体" w:hAnsi="宋体" w:cs="宋体"/>
          <w:spacing w:val="-13"/>
          <w:sz w:val="24"/>
          <w:szCs w:val="24"/>
          <w:lang w:eastAsia="zh-CN"/>
        </w:rPr>
      </w:pP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检查井盖</w:t>
      </w: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GB/T23858-2009</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《普通混凝土</w:t>
      </w:r>
      <w:r>
        <w:rPr>
          <w:rFonts w:hint="eastAsia" w:ascii="宋体" w:hAnsi="宋体" w:cs="宋体"/>
          <w:spacing w:val="-13"/>
          <w:sz w:val="24"/>
          <w:szCs w:val="24"/>
          <w:lang w:val="en-US" w:eastAsia="zh-CN"/>
        </w:rPr>
        <w:t>力学性能试验方法标准</w:t>
      </w:r>
      <w:r>
        <w:rPr>
          <w:rFonts w:ascii="宋体" w:hAnsi="宋体" w:cs="宋体"/>
          <w:spacing w:val="-13"/>
          <w:sz w:val="24"/>
          <w:szCs w:val="24"/>
        </w:rPr>
        <w:t>》（GB/T</w:t>
      </w:r>
      <w:r>
        <w:rPr>
          <w:rFonts w:hint="eastAsia" w:ascii="宋体" w:hAnsi="宋体" w:cs="宋体"/>
          <w:spacing w:val="-13"/>
          <w:sz w:val="24"/>
          <w:szCs w:val="24"/>
          <w:lang w:val="en-US" w:eastAsia="zh-CN"/>
        </w:rPr>
        <w:t>50081-2002</w:t>
      </w:r>
      <w:r>
        <w:rPr>
          <w:rFonts w:ascii="宋体" w:hAnsi="宋体" w:cs="宋体"/>
          <w:spacing w:val="-13"/>
          <w:sz w:val="24"/>
          <w:szCs w:val="24"/>
        </w:rPr>
        <w:t xml:space="preserve">） </w:t>
      </w:r>
      <w:r>
        <w:rPr>
          <w:rFonts w:hint="eastAsia" w:ascii="宋体" w:hAnsi="宋体" w:cs="宋体"/>
          <w:spacing w:val="-13"/>
          <w:sz w:val="24"/>
          <w:szCs w:val="24"/>
          <w:lang w:val="en-US" w:eastAsia="zh-CN"/>
        </w:rPr>
        <w:t xml:space="preserve"> </w:t>
      </w:r>
      <w:r>
        <w:rPr>
          <w:rFonts w:ascii="宋体" w:hAnsi="宋体" w:cs="宋体"/>
          <w:spacing w:val="-13"/>
          <w:sz w:val="24"/>
          <w:szCs w:val="24"/>
        </w:rPr>
        <w:t xml:space="preserve"> </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《普通混凝土</w:t>
      </w:r>
      <w:r>
        <w:rPr>
          <w:rFonts w:hint="eastAsia" w:ascii="宋体" w:hAnsi="宋体" w:cs="宋体"/>
          <w:spacing w:val="-13"/>
          <w:sz w:val="24"/>
          <w:szCs w:val="24"/>
          <w:lang w:val="en-US" w:eastAsia="zh-CN"/>
        </w:rPr>
        <w:t>长久性能和耐久性能试验方法标准</w:t>
      </w:r>
      <w:r>
        <w:rPr>
          <w:rFonts w:ascii="宋体" w:hAnsi="宋体" w:cs="宋体"/>
          <w:spacing w:val="-13"/>
          <w:sz w:val="24"/>
          <w:szCs w:val="24"/>
        </w:rPr>
        <w:t>》（GB/T</w:t>
      </w:r>
      <w:r>
        <w:rPr>
          <w:rFonts w:hint="eastAsia" w:ascii="宋体" w:hAnsi="宋体" w:cs="宋体"/>
          <w:spacing w:val="-13"/>
          <w:sz w:val="24"/>
          <w:szCs w:val="24"/>
          <w:lang w:val="en-US" w:eastAsia="zh-CN"/>
        </w:rPr>
        <w:t>50081-2002</w:t>
      </w:r>
      <w:r>
        <w:rPr>
          <w:rFonts w:ascii="宋体" w:hAnsi="宋体" w:cs="宋体"/>
          <w:spacing w:val="-13"/>
          <w:sz w:val="24"/>
          <w:szCs w:val="24"/>
        </w:rPr>
        <w:t xml:space="preserve">） </w:t>
      </w:r>
      <w:r>
        <w:rPr>
          <w:rFonts w:hint="eastAsia" w:ascii="宋体" w:hAnsi="宋体" w:cs="宋体"/>
          <w:spacing w:val="-13"/>
          <w:sz w:val="24"/>
          <w:szCs w:val="24"/>
          <w:lang w:val="en-US" w:eastAsia="zh-CN"/>
        </w:rPr>
        <w:t xml:space="preserve"> </w:t>
      </w:r>
      <w:r>
        <w:rPr>
          <w:rFonts w:ascii="宋体" w:hAnsi="宋体" w:cs="宋体"/>
          <w:spacing w:val="-13"/>
          <w:sz w:val="24"/>
          <w:szCs w:val="24"/>
        </w:rPr>
        <w:t xml:space="preserve"> </w:t>
      </w:r>
    </w:p>
    <w:p>
      <w:pPr>
        <w:pStyle w:val="61"/>
        <w:numPr>
          <w:ilvl w:val="0"/>
          <w:numId w:val="35"/>
        </w:numPr>
        <w:spacing w:before="185"/>
        <w:ind w:left="840"/>
        <w:rPr>
          <w:rFonts w:hint="eastAsia" w:ascii="宋体" w:hAnsi="宋体" w:cs="宋体"/>
          <w:spacing w:val="-13"/>
          <w:sz w:val="24"/>
          <w:szCs w:val="24"/>
          <w:lang w:eastAsia="zh-CN"/>
        </w:rPr>
      </w:pP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水工混凝土试验规程</w:t>
      </w: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SL352-2006</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水工混凝土试验规程</w:t>
      </w: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DL/T5150-2017</w:t>
      </w:r>
    </w:p>
    <w:p>
      <w:pPr>
        <w:pStyle w:val="61"/>
        <w:numPr>
          <w:ilvl w:val="0"/>
          <w:numId w:val="35"/>
        </w:numPr>
        <w:spacing w:before="185"/>
        <w:ind w:left="840"/>
        <w:rPr>
          <w:rFonts w:hint="default" w:ascii="宋体" w:hAnsi="宋体" w:cs="宋体"/>
          <w:spacing w:val="-13"/>
          <w:sz w:val="24"/>
          <w:szCs w:val="24"/>
          <w:lang w:val="en-US" w:eastAsia="zh-CN"/>
        </w:rPr>
      </w:pPr>
      <w:r>
        <w:rPr>
          <w:rFonts w:ascii="宋体" w:hAnsi="宋体" w:cs="宋体"/>
          <w:spacing w:val="-13"/>
          <w:sz w:val="24"/>
          <w:szCs w:val="24"/>
        </w:rPr>
        <w:t xml:space="preserve">《公路工程水泥及水泥混凝土试验规程》（JTG E30-2005） </w:t>
      </w:r>
    </w:p>
    <w:p>
      <w:pPr>
        <w:pStyle w:val="61"/>
        <w:numPr>
          <w:ilvl w:val="0"/>
          <w:numId w:val="35"/>
        </w:numPr>
        <w:spacing w:before="185"/>
        <w:ind w:left="840"/>
        <w:rPr>
          <w:rFonts w:hint="eastAsia" w:ascii="宋体" w:hAnsi="宋体" w:cs="宋体"/>
          <w:spacing w:val="-13"/>
          <w:sz w:val="24"/>
          <w:szCs w:val="24"/>
          <w:lang w:eastAsia="zh-CN"/>
        </w:rPr>
      </w:pPr>
      <w:r>
        <w:rPr>
          <w:rFonts w:ascii="宋体" w:hAnsi="宋体" w:cs="宋体"/>
          <w:spacing w:val="-13"/>
          <w:sz w:val="24"/>
          <w:szCs w:val="24"/>
        </w:rPr>
        <w:t>《普通混凝土</w:t>
      </w:r>
      <w:r>
        <w:rPr>
          <w:rFonts w:hint="eastAsia" w:ascii="宋体" w:hAnsi="宋体" w:cs="宋体"/>
          <w:spacing w:val="-13"/>
          <w:sz w:val="24"/>
          <w:szCs w:val="24"/>
          <w:lang w:val="en-US" w:eastAsia="zh-CN"/>
        </w:rPr>
        <w:t>配合比设计规程</w:t>
      </w:r>
      <w:r>
        <w:rPr>
          <w:rFonts w:ascii="宋体" w:hAnsi="宋体" w:cs="宋体"/>
          <w:spacing w:val="-13"/>
          <w:sz w:val="24"/>
          <w:szCs w:val="24"/>
        </w:rPr>
        <w:t>》（</w:t>
      </w:r>
      <w:r>
        <w:rPr>
          <w:rFonts w:hint="eastAsia" w:ascii="宋体" w:hAnsi="宋体" w:cs="宋体"/>
          <w:spacing w:val="-13"/>
          <w:sz w:val="24"/>
          <w:szCs w:val="24"/>
          <w:lang w:val="en-US" w:eastAsia="zh-CN"/>
        </w:rPr>
        <w:t>JG155-2011</w:t>
      </w:r>
      <w:r>
        <w:rPr>
          <w:rFonts w:ascii="宋体" w:hAnsi="宋体" w:cs="宋体"/>
          <w:spacing w:val="-13"/>
          <w:sz w:val="24"/>
          <w:szCs w:val="24"/>
        </w:rPr>
        <w:t xml:space="preserve">） </w:t>
      </w:r>
      <w:r>
        <w:rPr>
          <w:rFonts w:hint="eastAsia" w:ascii="宋体" w:hAnsi="宋体" w:cs="宋体"/>
          <w:spacing w:val="-13"/>
          <w:sz w:val="24"/>
          <w:szCs w:val="24"/>
          <w:lang w:val="en-US" w:eastAsia="zh-CN"/>
        </w:rPr>
        <w:t xml:space="preserve"> </w:t>
      </w:r>
      <w:r>
        <w:rPr>
          <w:rFonts w:ascii="宋体" w:hAnsi="宋体" w:cs="宋体"/>
          <w:spacing w:val="-13"/>
          <w:sz w:val="24"/>
          <w:szCs w:val="24"/>
        </w:rPr>
        <w:t xml:space="preserve"> </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水工混凝土配合比设计规程</w:t>
      </w: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DL/T5330-2015</w:t>
      </w:r>
    </w:p>
    <w:p>
      <w:pPr>
        <w:pStyle w:val="61"/>
        <w:numPr>
          <w:ilvl w:val="0"/>
          <w:numId w:val="35"/>
        </w:numPr>
        <w:spacing w:before="185"/>
        <w:ind w:left="840"/>
        <w:rPr>
          <w:rFonts w:hint="default" w:ascii="宋体" w:hAnsi="宋体" w:cs="宋体"/>
          <w:spacing w:val="-13"/>
          <w:sz w:val="24"/>
          <w:szCs w:val="24"/>
          <w:lang w:val="en-US" w:eastAsia="zh-CN"/>
        </w:rPr>
      </w:pPr>
      <w:r>
        <w:rPr>
          <w:rFonts w:ascii="宋体" w:hAnsi="宋体" w:cs="宋体"/>
          <w:spacing w:val="-13"/>
          <w:sz w:val="24"/>
          <w:szCs w:val="24"/>
        </w:rPr>
        <w:t>《公路工程水泥混凝土</w:t>
      </w:r>
      <w:r>
        <w:rPr>
          <w:rFonts w:hint="eastAsia" w:ascii="宋体" w:hAnsi="宋体" w:cs="宋体"/>
          <w:spacing w:val="-13"/>
          <w:sz w:val="24"/>
          <w:szCs w:val="24"/>
          <w:lang w:val="en-US" w:eastAsia="zh-CN"/>
        </w:rPr>
        <w:t>路面设计规范</w:t>
      </w:r>
      <w:r>
        <w:rPr>
          <w:rFonts w:ascii="宋体" w:hAnsi="宋体" w:cs="宋体"/>
          <w:spacing w:val="-13"/>
          <w:sz w:val="24"/>
          <w:szCs w:val="24"/>
        </w:rPr>
        <w:t>》（JTG</w:t>
      </w:r>
      <w:r>
        <w:rPr>
          <w:rFonts w:hint="eastAsia" w:ascii="宋体" w:hAnsi="宋体" w:cs="宋体"/>
          <w:spacing w:val="-13"/>
          <w:sz w:val="24"/>
          <w:szCs w:val="24"/>
          <w:lang w:val="en-US" w:eastAsia="zh-CN"/>
        </w:rPr>
        <w:t>D40</w:t>
      </w:r>
      <w:r>
        <w:rPr>
          <w:rFonts w:ascii="宋体" w:hAnsi="宋体" w:cs="宋体"/>
          <w:spacing w:val="-13"/>
          <w:sz w:val="24"/>
          <w:szCs w:val="24"/>
        </w:rPr>
        <w:t>-20</w:t>
      </w:r>
      <w:r>
        <w:rPr>
          <w:rFonts w:hint="eastAsia" w:ascii="宋体" w:hAnsi="宋体" w:cs="宋体"/>
          <w:spacing w:val="-13"/>
          <w:sz w:val="24"/>
          <w:szCs w:val="24"/>
          <w:lang w:val="en-US" w:eastAsia="zh-CN"/>
        </w:rPr>
        <w:t>11</w:t>
      </w:r>
      <w:r>
        <w:rPr>
          <w:rFonts w:ascii="宋体" w:hAnsi="宋体" w:cs="宋体"/>
          <w:spacing w:val="-13"/>
          <w:sz w:val="24"/>
          <w:szCs w:val="24"/>
        </w:rPr>
        <w:t xml:space="preserve">） </w:t>
      </w:r>
    </w:p>
    <w:p>
      <w:pPr>
        <w:pStyle w:val="61"/>
        <w:numPr>
          <w:ilvl w:val="0"/>
          <w:numId w:val="35"/>
        </w:numPr>
        <w:spacing w:before="185"/>
        <w:ind w:left="840"/>
        <w:rPr>
          <w:rFonts w:hint="eastAsia" w:ascii="宋体" w:hAnsi="宋体" w:cs="宋体"/>
          <w:spacing w:val="-13"/>
          <w:sz w:val="24"/>
          <w:szCs w:val="24"/>
          <w:lang w:eastAsia="zh-CN"/>
        </w:rPr>
      </w:pP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水运工程混泥土结构设计规范</w:t>
      </w:r>
      <w:r>
        <w:rPr>
          <w:rFonts w:hint="eastAsia" w:ascii="宋体" w:hAnsi="宋体" w:cs="宋体"/>
          <w:spacing w:val="-13"/>
          <w:sz w:val="24"/>
          <w:szCs w:val="24"/>
          <w:lang w:eastAsia="zh-CN"/>
        </w:rPr>
        <w:t>》</w:t>
      </w:r>
      <w:r>
        <w:rPr>
          <w:rFonts w:ascii="宋体" w:hAnsi="宋体" w:cs="宋体"/>
          <w:spacing w:val="-13"/>
          <w:sz w:val="24"/>
          <w:szCs w:val="24"/>
        </w:rPr>
        <w:t>（JT</w:t>
      </w:r>
      <w:r>
        <w:rPr>
          <w:rFonts w:hint="eastAsia" w:ascii="宋体" w:hAnsi="宋体" w:cs="宋体"/>
          <w:spacing w:val="-13"/>
          <w:sz w:val="24"/>
          <w:szCs w:val="24"/>
          <w:lang w:val="en-US" w:eastAsia="zh-CN"/>
        </w:rPr>
        <w:t>S151-2011</w:t>
      </w:r>
      <w:r>
        <w:rPr>
          <w:rFonts w:ascii="宋体" w:hAnsi="宋体" w:cs="宋体"/>
          <w:spacing w:val="-13"/>
          <w:sz w:val="24"/>
          <w:szCs w:val="24"/>
        </w:rPr>
        <w:t>）</w:t>
      </w:r>
    </w:p>
    <w:p>
      <w:pPr>
        <w:pStyle w:val="61"/>
        <w:numPr>
          <w:ilvl w:val="0"/>
          <w:numId w:val="35"/>
        </w:numPr>
        <w:spacing w:before="185"/>
        <w:ind w:left="840"/>
        <w:rPr>
          <w:rFonts w:hint="eastAsia" w:ascii="宋体" w:hAnsi="宋体" w:cs="宋体"/>
          <w:spacing w:val="-13"/>
          <w:sz w:val="24"/>
          <w:szCs w:val="24"/>
          <w:lang w:eastAsia="zh-CN"/>
        </w:rPr>
      </w:pP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建筑砂浆基本性能试验方法标准</w:t>
      </w:r>
      <w:r>
        <w:rPr>
          <w:rFonts w:hint="eastAsia" w:ascii="宋体" w:hAnsi="宋体" w:cs="宋体"/>
          <w:spacing w:val="-13"/>
          <w:sz w:val="24"/>
          <w:szCs w:val="24"/>
          <w:lang w:eastAsia="zh-CN"/>
        </w:rPr>
        <w:t>》</w:t>
      </w:r>
      <w:r>
        <w:rPr>
          <w:rFonts w:ascii="宋体" w:hAnsi="宋体" w:cs="宋体"/>
          <w:spacing w:val="-13"/>
          <w:sz w:val="24"/>
          <w:szCs w:val="24"/>
        </w:rPr>
        <w:t>（J</w:t>
      </w:r>
      <w:r>
        <w:rPr>
          <w:rFonts w:hint="eastAsia" w:ascii="宋体" w:hAnsi="宋体" w:cs="宋体"/>
          <w:spacing w:val="-13"/>
          <w:sz w:val="24"/>
          <w:szCs w:val="24"/>
          <w:lang w:val="en-US" w:eastAsia="zh-CN"/>
        </w:rPr>
        <w:t>GJ/T70-2009</w:t>
      </w:r>
      <w:r>
        <w:rPr>
          <w:rFonts w:ascii="宋体" w:hAnsi="宋体" w:cs="宋体"/>
          <w:spacing w:val="-13"/>
          <w:sz w:val="24"/>
          <w:szCs w:val="24"/>
        </w:rPr>
        <w:t>）</w:t>
      </w:r>
    </w:p>
    <w:p>
      <w:pPr>
        <w:pStyle w:val="61"/>
        <w:numPr>
          <w:ilvl w:val="0"/>
          <w:numId w:val="35"/>
        </w:numPr>
        <w:spacing w:before="185"/>
        <w:ind w:left="840"/>
        <w:rPr>
          <w:rFonts w:hint="default" w:ascii="宋体" w:hAnsi="宋体" w:cs="宋体"/>
          <w:spacing w:val="-13"/>
          <w:sz w:val="24"/>
          <w:szCs w:val="24"/>
          <w:lang w:val="en-US" w:eastAsia="zh-CN"/>
        </w:rPr>
      </w:pPr>
      <w:r>
        <w:rPr>
          <w:rFonts w:ascii="宋体" w:hAnsi="宋体" w:cs="宋体"/>
          <w:spacing w:val="-13"/>
          <w:sz w:val="24"/>
          <w:szCs w:val="24"/>
        </w:rPr>
        <w:t>《金属材料 弯曲试验方法》（ GB/T232-2010）</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钢筋混凝土用钢材试验方法</w:t>
      </w:r>
      <w:r>
        <w:rPr>
          <w:rFonts w:hint="eastAsia" w:ascii="宋体" w:hAnsi="宋体" w:cs="宋体"/>
          <w:spacing w:val="-13"/>
          <w:sz w:val="24"/>
          <w:szCs w:val="24"/>
          <w:lang w:eastAsia="zh-CN"/>
        </w:rPr>
        <w:t>》</w:t>
      </w:r>
      <w:r>
        <w:rPr>
          <w:rFonts w:ascii="宋体" w:hAnsi="宋体" w:cs="宋体"/>
          <w:spacing w:val="-13"/>
          <w:sz w:val="24"/>
          <w:szCs w:val="24"/>
        </w:rPr>
        <w:t>（ GB/T</w:t>
      </w:r>
      <w:r>
        <w:rPr>
          <w:rFonts w:hint="eastAsia" w:ascii="宋体" w:hAnsi="宋体" w:cs="宋体"/>
          <w:spacing w:val="-13"/>
          <w:sz w:val="24"/>
          <w:szCs w:val="24"/>
          <w:lang w:val="en-US" w:eastAsia="zh-CN"/>
        </w:rPr>
        <w:t>28900</w:t>
      </w:r>
      <w:r>
        <w:rPr>
          <w:rFonts w:ascii="宋体" w:hAnsi="宋体" w:cs="宋体"/>
          <w:spacing w:val="-13"/>
          <w:sz w:val="24"/>
          <w:szCs w:val="24"/>
        </w:rPr>
        <w:t>-201</w:t>
      </w:r>
      <w:r>
        <w:rPr>
          <w:rFonts w:hint="eastAsia" w:ascii="宋体" w:hAnsi="宋体" w:cs="宋体"/>
          <w:spacing w:val="-13"/>
          <w:sz w:val="24"/>
          <w:szCs w:val="24"/>
          <w:lang w:val="en-US" w:eastAsia="zh-CN"/>
        </w:rPr>
        <w:t>2</w:t>
      </w:r>
      <w:r>
        <w:rPr>
          <w:rFonts w:ascii="宋体" w:hAnsi="宋体" w:cs="宋体"/>
          <w:spacing w:val="-13"/>
          <w:sz w:val="24"/>
          <w:szCs w:val="24"/>
        </w:rPr>
        <w:t>）</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钢筋混凝土用钢筋弯曲和反向弯曲试验方法</w:t>
      </w:r>
      <w:r>
        <w:rPr>
          <w:rFonts w:hint="eastAsia" w:ascii="宋体" w:hAnsi="宋体" w:cs="宋体"/>
          <w:spacing w:val="-13"/>
          <w:sz w:val="24"/>
          <w:szCs w:val="24"/>
          <w:lang w:eastAsia="zh-CN"/>
        </w:rPr>
        <w:t>》</w:t>
      </w:r>
      <w:r>
        <w:rPr>
          <w:rFonts w:ascii="宋体" w:hAnsi="宋体" w:cs="宋体"/>
          <w:spacing w:val="-13"/>
          <w:sz w:val="24"/>
          <w:szCs w:val="24"/>
        </w:rPr>
        <w:t xml:space="preserve">（ </w:t>
      </w:r>
      <w:r>
        <w:rPr>
          <w:rFonts w:hint="eastAsia" w:ascii="宋体" w:hAnsi="宋体" w:cs="宋体"/>
          <w:spacing w:val="-13"/>
          <w:sz w:val="24"/>
          <w:szCs w:val="24"/>
          <w:lang w:val="en-US" w:eastAsia="zh-CN"/>
        </w:rPr>
        <w:t>YB/T5126-2003</w:t>
      </w:r>
      <w:r>
        <w:rPr>
          <w:rFonts w:ascii="宋体" w:hAnsi="宋体" w:cs="宋体"/>
          <w:spacing w:val="-13"/>
          <w:sz w:val="24"/>
          <w:szCs w:val="24"/>
        </w:rPr>
        <w:t>）</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eastAsia="zh-CN"/>
        </w:rPr>
        <w:t>《</w:t>
      </w:r>
      <w:r>
        <w:rPr>
          <w:rFonts w:hint="eastAsia" w:ascii="宋体" w:hAnsi="宋体" w:cs="宋体"/>
          <w:spacing w:val="-13"/>
          <w:sz w:val="24"/>
          <w:szCs w:val="24"/>
          <w:lang w:val="en-US" w:eastAsia="zh-CN"/>
        </w:rPr>
        <w:t>金属材料线材反复弯曲试验方法</w:t>
      </w:r>
      <w:r>
        <w:rPr>
          <w:rFonts w:hint="eastAsia" w:ascii="宋体" w:hAnsi="宋体" w:cs="宋体"/>
          <w:spacing w:val="-13"/>
          <w:sz w:val="24"/>
          <w:szCs w:val="24"/>
          <w:lang w:eastAsia="zh-CN"/>
        </w:rPr>
        <w:t>》</w:t>
      </w:r>
      <w:r>
        <w:rPr>
          <w:rFonts w:ascii="宋体" w:hAnsi="宋体" w:cs="宋体"/>
          <w:spacing w:val="-13"/>
          <w:sz w:val="24"/>
          <w:szCs w:val="24"/>
        </w:rPr>
        <w:t>（ GB/T</w:t>
      </w:r>
      <w:r>
        <w:rPr>
          <w:rFonts w:hint="eastAsia" w:ascii="宋体" w:hAnsi="宋体" w:cs="宋体"/>
          <w:spacing w:val="-13"/>
          <w:sz w:val="24"/>
          <w:szCs w:val="24"/>
          <w:lang w:val="en-US" w:eastAsia="zh-CN"/>
        </w:rPr>
        <w:t>238-2013</w:t>
      </w:r>
      <w:r>
        <w:rPr>
          <w:rFonts w:ascii="宋体" w:hAnsi="宋体" w:cs="宋体"/>
          <w:spacing w:val="-13"/>
          <w:sz w:val="24"/>
          <w:szCs w:val="24"/>
        </w:rPr>
        <w:t>）</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《金属材料拉伸试验第1部分：室温试验方法》</w:t>
      </w:r>
      <w:r>
        <w:rPr>
          <w:rFonts w:ascii="宋体" w:hAnsi="宋体" w:cs="宋体"/>
          <w:spacing w:val="-13"/>
          <w:sz w:val="24"/>
          <w:szCs w:val="24"/>
        </w:rPr>
        <w:t>（ GB/T</w:t>
      </w:r>
      <w:r>
        <w:rPr>
          <w:rFonts w:hint="eastAsia" w:ascii="宋体" w:hAnsi="宋体" w:cs="宋体"/>
          <w:spacing w:val="-13"/>
          <w:sz w:val="24"/>
          <w:szCs w:val="24"/>
          <w:lang w:val="en-US" w:eastAsia="zh-CN"/>
        </w:rPr>
        <w:t>228-2010</w:t>
      </w:r>
      <w:r>
        <w:rPr>
          <w:rFonts w:ascii="宋体" w:hAnsi="宋体" w:cs="宋体"/>
          <w:spacing w:val="-13"/>
          <w:sz w:val="24"/>
          <w:szCs w:val="24"/>
        </w:rPr>
        <w:t>）</w:t>
      </w:r>
    </w:p>
    <w:p>
      <w:pPr>
        <w:pStyle w:val="61"/>
        <w:numPr>
          <w:ilvl w:val="0"/>
          <w:numId w:val="35"/>
        </w:numPr>
        <w:spacing w:before="185"/>
        <w:ind w:left="840"/>
        <w:rPr>
          <w:rFonts w:hint="default" w:ascii="宋体" w:hAnsi="宋体" w:cs="宋体"/>
          <w:spacing w:val="-13"/>
          <w:sz w:val="24"/>
          <w:szCs w:val="24"/>
          <w:lang w:val="en-US" w:eastAsia="zh-CN"/>
        </w:rPr>
      </w:pPr>
      <w:r>
        <w:rPr>
          <w:rFonts w:ascii="宋体" w:hAnsi="宋体" w:cs="宋体"/>
          <w:spacing w:val="-13"/>
          <w:sz w:val="24"/>
          <w:szCs w:val="24"/>
        </w:rPr>
        <w:t xml:space="preserve">《水泥标准稠度用水量、凝结时间、安定性检验方法》（ GB/T1346-2011） </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《铁路后张法预应力混凝土梁管道压浆技术条件》(TB/T3192-2008)</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《公路桥涵施工技术规范》(JTC/TF50-2011)</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《热塑性塑料管材弯曲度测量方法》(GB/T8802-2001)</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《热塑性塑料管材、管件维卡软化温度的测定》(GB/T8802-2001)</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《热塑性塑料管材纵向回缩率的测定》(GB/T6671-2001)</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《热塑性塑料管材拉伸性能测定》(GB/T8804.1-3-2003)</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《热塑性塑料管材耐性外冲击性能试验方法时针旋转法》(GB/T14152-2001)</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《热塑性塑料管材环刚度的测定》(GB/T9647-2015)</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《热塑性塑料管材及输送系统热塑性塑料管材环柔性的测定》(GB/T9647-2015)</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《金属管液压试验方法》（GB/T241-2007）</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《液体输送用塑料管材液压瞬时爆破和耐压试验方法》(GB/T15560-1995)</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《埋地用聚乙烯（PE）结构壁管道系统第1部分：聚乙烯双壁波纹管》（GB/T19472.1-2004）</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《埋地用聚乙烯（PE）结构壁管道系统第2部分：聚乙烯缠绕结构壁管道》（GB/T19472.2-2017）</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《埋地排水用钢带增强聚乙烯（PE）螺旋波纹管》（GJ/T225-2011）</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《聚乙烯塑钢缠绕排水管》CJ/T270-2017</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《注射成型硬质聚氯乙烯PVC-U、氯化聚氯乙烯PVC-C、丙稀晴一丁二烯以苯乙烯三元共聚物ABS和丙稀晴一苯乙烯一丙稀酸盐三元共聚物ASA管件热烘箱试验方法》GB/T8803-2001</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 xml:space="preserve">《公路工程沥青及沥青混合料试验规程》（JTG E20-2011） </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 xml:space="preserve">《水工沥青混泥土试验规程》（DL/T5362-2006） </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《公路沥青路面施工技术规范》（JTG F40-2004）</w:t>
      </w:r>
    </w:p>
    <w:p>
      <w:pPr>
        <w:pStyle w:val="61"/>
        <w:numPr>
          <w:ilvl w:val="0"/>
          <w:numId w:val="35"/>
        </w:numPr>
        <w:spacing w:before="185"/>
        <w:ind w:left="840"/>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《土工试验方法标准》（ GB/T50123-1999</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 xml:space="preserve">《土工试验规程》（SL237-1999）  </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 xml:space="preserve">《城镇道路工程施工与质量验收规范》（ CJJ1-2008）  </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《建筑工程施工质量验收统一标准》（GB50300-2013）</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《建筑地基基础工程施工质量验收规范》（GB50202-2002）</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《混凝土结构工程施工质量验收规范》（GB50204-2002）</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《建设工程质量检测管理办法》</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《湖北省建设工程质量检测管理实施细则》</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《关于加强全省建设工程质量检测监督管理的若干意见》的有关规定。</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 xml:space="preserve"> 工程相关设计文件、图纸及变更资料文件等；  </w:t>
      </w:r>
    </w:p>
    <w:p>
      <w:pPr>
        <w:pStyle w:val="61"/>
        <w:numPr>
          <w:ilvl w:val="0"/>
          <w:numId w:val="35"/>
        </w:numPr>
        <w:spacing w:before="185"/>
        <w:ind w:left="840"/>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 xml:space="preserve"> 其他相关的国家及行业现行法规、标准、规程和批准文件。    </w:t>
      </w:r>
    </w:p>
    <w:p>
      <w:pPr>
        <w:pStyle w:val="61"/>
        <w:spacing w:line="240" w:lineRule="auto"/>
        <w:ind w:firstLine="480" w:firstLineChars="200"/>
        <w:rPr>
          <w:rFonts w:hint="eastAsia" w:ascii="宋体" w:hAnsi="宋体" w:cs="宋体"/>
          <w:bCs/>
          <w:color w:val="FF0000"/>
          <w:sz w:val="24"/>
          <w:szCs w:val="28"/>
        </w:rPr>
      </w:pPr>
      <w:r>
        <w:rPr>
          <w:rFonts w:hint="eastAsia" w:ascii="宋体" w:hAnsi="宋体" w:cs="宋体"/>
          <w:bCs/>
          <w:color w:val="FF0000"/>
          <w:sz w:val="24"/>
          <w:szCs w:val="28"/>
        </w:rPr>
        <w:t xml:space="preserve">注： </w:t>
      </w:r>
    </w:p>
    <w:p>
      <w:pPr>
        <w:pStyle w:val="61"/>
        <w:spacing w:line="240" w:lineRule="auto"/>
        <w:ind w:firstLine="480" w:firstLineChars="200"/>
        <w:rPr>
          <w:rFonts w:hint="eastAsia" w:ascii="宋体" w:hAnsi="宋体" w:cs="宋体"/>
          <w:bCs/>
          <w:color w:val="FF0000"/>
          <w:sz w:val="24"/>
          <w:szCs w:val="28"/>
        </w:rPr>
      </w:pPr>
      <w:r>
        <w:rPr>
          <w:rFonts w:hint="eastAsia" w:ascii="宋体" w:hAnsi="宋体" w:cs="宋体"/>
          <w:bCs/>
          <w:color w:val="FF0000"/>
          <w:sz w:val="24"/>
          <w:szCs w:val="28"/>
        </w:rPr>
        <w:t xml:space="preserve">1. 当上述标准、规范、规程等文件如有不一致之处，以标准和要求高者为准执行。 </w:t>
      </w:r>
    </w:p>
    <w:p>
      <w:pPr>
        <w:pStyle w:val="61"/>
        <w:spacing w:line="240" w:lineRule="auto"/>
        <w:ind w:firstLine="480" w:firstLineChars="200"/>
        <w:rPr>
          <w:rFonts w:hint="eastAsia" w:ascii="宋体" w:hAnsi="宋体" w:cs="宋体"/>
          <w:bCs/>
          <w:color w:val="FF0000"/>
          <w:sz w:val="24"/>
          <w:szCs w:val="28"/>
        </w:rPr>
      </w:pPr>
      <w:r>
        <w:rPr>
          <w:rFonts w:hint="eastAsia" w:ascii="宋体" w:hAnsi="宋体" w:cs="宋体"/>
          <w:bCs/>
          <w:color w:val="FF0000"/>
          <w:sz w:val="24"/>
          <w:szCs w:val="28"/>
        </w:rPr>
        <w:t>2. 检测机构在检测工作中使用或参考上述标准、规范以外的技术标准、规范时，应征得招标人的同意。</w:t>
      </w:r>
    </w:p>
    <w:p>
      <w:pPr>
        <w:pStyle w:val="61"/>
        <w:spacing w:line="240" w:lineRule="auto"/>
        <w:ind w:firstLine="480" w:firstLineChars="200"/>
        <w:rPr>
          <w:rFonts w:hint="eastAsia" w:ascii="宋体" w:hAnsi="宋体" w:eastAsia="宋体" w:cs="宋体"/>
          <w:spacing w:val="-1"/>
          <w:kern w:val="0"/>
          <w:sz w:val="24"/>
          <w:szCs w:val="22"/>
          <w:lang w:val="en-US" w:eastAsia="zh-CN" w:bidi="zh-CN"/>
        </w:rPr>
      </w:pPr>
      <w:r>
        <w:rPr>
          <w:rFonts w:hint="eastAsia" w:ascii="宋体" w:hAnsi="宋体" w:cs="宋体"/>
          <w:bCs/>
          <w:color w:val="FF0000"/>
          <w:sz w:val="24"/>
          <w:szCs w:val="28"/>
        </w:rPr>
        <w:t>3. 在检测过程中，如果国家或有关部门颁布了新的技术标准或规范,则以新的技术标注或规范为准。</w:t>
      </w:r>
    </w:p>
    <w:p>
      <w:pPr>
        <w:pStyle w:val="9"/>
        <w:tabs>
          <w:tab w:val="left" w:pos="3704"/>
        </w:tabs>
        <w:spacing w:line="360" w:lineRule="auto"/>
        <w:ind w:firstLine="476" w:firstLineChars="200"/>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3、人员要求：</w:t>
      </w:r>
    </w:p>
    <w:p>
      <w:pPr>
        <w:pStyle w:val="9"/>
        <w:tabs>
          <w:tab w:val="left" w:pos="3704"/>
        </w:tabs>
        <w:spacing w:line="360" w:lineRule="auto"/>
        <w:ind w:firstLine="476" w:firstLineChars="200"/>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（1）在项目施工过程中，根据实施情况及采购人指令，成交供应商及时增配相关岗位人员，以满足项目实施要求。</w:t>
      </w:r>
    </w:p>
    <w:p>
      <w:pPr>
        <w:pStyle w:val="9"/>
        <w:tabs>
          <w:tab w:val="left" w:pos="3704"/>
        </w:tabs>
        <w:spacing w:line="360" w:lineRule="auto"/>
        <w:ind w:firstLine="476" w:firstLineChars="200"/>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（2）拟投入本项目的人员在本项目服务期内应能在采购人要求的时间内到达现场。</w:t>
      </w:r>
    </w:p>
    <w:p>
      <w:pPr>
        <w:pStyle w:val="9"/>
        <w:tabs>
          <w:tab w:val="left" w:pos="3704"/>
        </w:tabs>
        <w:spacing w:line="360" w:lineRule="auto"/>
        <w:ind w:firstLine="476" w:firstLineChars="200"/>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4、服务需求：投标人完成检测业务后，应当及时出具检测报告。检测报告经检测人员签字、审核人员签字、授权签字人签字，并加盖检测机构的检测专用章后方可生效。同时需向发包人提交检测服务成果电子版一份。</w:t>
      </w:r>
    </w:p>
    <w:p>
      <w:pPr>
        <w:pStyle w:val="9"/>
        <w:tabs>
          <w:tab w:val="left" w:pos="3704"/>
        </w:tabs>
        <w:spacing w:line="360" w:lineRule="auto"/>
        <w:ind w:firstLine="476" w:firstLineChars="200"/>
        <w:rPr>
          <w:rFonts w:hint="eastAsia" w:ascii="宋体" w:hAnsi="宋体" w:eastAsia="宋体" w:cs="宋体"/>
          <w:spacing w:val="-1"/>
          <w:kern w:val="0"/>
          <w:sz w:val="24"/>
          <w:szCs w:val="22"/>
          <w:lang w:val="zh-CN" w:eastAsia="zh-CN" w:bidi="zh-CN"/>
        </w:rPr>
      </w:pPr>
      <w:r>
        <w:rPr>
          <w:rFonts w:hint="eastAsia" w:ascii="宋体" w:hAnsi="宋体" w:eastAsia="宋体" w:cs="宋体"/>
          <w:spacing w:val="-1"/>
          <w:kern w:val="0"/>
          <w:sz w:val="24"/>
          <w:szCs w:val="22"/>
          <w:lang w:val="en-US" w:eastAsia="zh-CN" w:bidi="zh-CN"/>
        </w:rPr>
        <w:t>5</w:t>
      </w:r>
      <w:r>
        <w:rPr>
          <w:rFonts w:hint="eastAsia" w:ascii="宋体" w:hAnsi="宋体" w:eastAsia="宋体" w:cs="宋体"/>
          <w:spacing w:val="-1"/>
          <w:kern w:val="0"/>
          <w:sz w:val="24"/>
          <w:szCs w:val="22"/>
          <w:lang w:val="hr-HR" w:eastAsia="zh-CN" w:bidi="zh-CN"/>
        </w:rPr>
        <w:t>、合同履行期限：自合同签订之日起至本项目完工提交认可的全过程见证取样检测报告，服务期与施工工期同步，并须满足施工方实际施工进度要求。若因施工方实际施工工期延长或提前，则相应的检测工作随之延长或提前</w:t>
      </w:r>
      <w:r>
        <w:rPr>
          <w:rFonts w:hint="eastAsia" w:ascii="宋体" w:hAnsi="宋体" w:eastAsia="宋体" w:cs="宋体"/>
          <w:spacing w:val="-1"/>
          <w:kern w:val="0"/>
          <w:sz w:val="24"/>
          <w:szCs w:val="22"/>
          <w:lang w:val="zh-CN" w:eastAsia="zh-CN" w:bidi="zh-CN"/>
        </w:rPr>
        <w:t>。</w:t>
      </w:r>
    </w:p>
    <w:p>
      <w:pPr>
        <w:pStyle w:val="9"/>
        <w:tabs>
          <w:tab w:val="left" w:pos="3704"/>
        </w:tabs>
        <w:spacing w:line="360" w:lineRule="auto"/>
        <w:ind w:firstLine="476" w:firstLineChars="200"/>
        <w:rPr>
          <w:rFonts w:hint="eastAsia" w:ascii="宋体" w:hAnsi="宋体" w:eastAsia="宋体" w:cs="宋体"/>
          <w:spacing w:val="-1"/>
          <w:kern w:val="0"/>
          <w:sz w:val="24"/>
          <w:szCs w:val="22"/>
          <w:lang w:val="hr-HR" w:eastAsia="zh-CN" w:bidi="zh-CN"/>
        </w:rPr>
        <w:sectPr>
          <w:footerReference r:id="rId7" w:type="default"/>
          <w:pgSz w:w="11850" w:h="16783"/>
          <w:pgMar w:top="1440" w:right="1701" w:bottom="1440" w:left="1701" w:header="850" w:footer="833" w:gutter="0"/>
          <w:pgNumType w:fmt="decimal"/>
          <w:cols w:space="720" w:num="1"/>
          <w:rtlGutter w:val="0"/>
        </w:sectPr>
      </w:pPr>
    </w:p>
    <w:bookmarkEnd w:id="54"/>
    <w:p>
      <w:pPr>
        <w:rPr>
          <w:rFonts w:hint="eastAsia" w:ascii="宋体" w:hAnsi="宋体" w:eastAsia="宋体" w:cs="宋体"/>
          <w:spacing w:val="-1"/>
          <w:kern w:val="0"/>
          <w:sz w:val="24"/>
          <w:szCs w:val="22"/>
          <w:lang w:val="zh-CN" w:eastAsia="zh-CN" w:bidi="zh-CN"/>
        </w:rPr>
      </w:pPr>
      <w:r>
        <w:rPr>
          <w:rFonts w:hint="eastAsia" w:ascii="宋体" w:hAnsi="宋体" w:eastAsia="宋体" w:cs="宋体"/>
          <w:spacing w:val="-1"/>
          <w:kern w:val="0"/>
          <w:sz w:val="24"/>
          <w:szCs w:val="22"/>
          <w:lang w:val="en-US" w:eastAsia="zh-CN" w:bidi="zh-CN"/>
        </w:rPr>
        <w:t>（三）检测内容</w:t>
      </w:r>
    </w:p>
    <w:tbl>
      <w:tblPr>
        <w:tblStyle w:val="25"/>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2280"/>
        <w:gridCol w:w="186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序号</w:t>
            </w:r>
          </w:p>
        </w:tc>
        <w:tc>
          <w:tcPr>
            <w:tcW w:w="2280"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样品名称</w:t>
            </w:r>
          </w:p>
        </w:tc>
        <w:tc>
          <w:tcPr>
            <w:tcW w:w="4874" w:type="dxa"/>
            <w:gridSpan w:val="2"/>
          </w:tcPr>
          <w:p>
            <w:pPr>
              <w:rPr>
                <w:rFonts w:hint="eastAsia" w:ascii="宋体" w:hAnsi="宋体" w:eastAsia="宋体" w:cs="宋体"/>
                <w:spacing w:val="-1"/>
                <w:kern w:val="0"/>
                <w:sz w:val="24"/>
                <w:szCs w:val="22"/>
                <w:lang w:val="zh-CN" w:eastAsia="zh-CN" w:bidi="zh-CN"/>
              </w:rPr>
            </w:pPr>
            <w:r>
              <w:rPr>
                <w:rFonts w:hint="eastAsia" w:ascii="宋体" w:hAnsi="宋体" w:eastAsia="宋体" w:cs="宋体"/>
                <w:spacing w:val="-1"/>
                <w:kern w:val="0"/>
                <w:sz w:val="24"/>
                <w:szCs w:val="22"/>
                <w:lang w:val="en-US" w:eastAsia="zh-CN" w:bidi="zh-CN"/>
              </w:rPr>
              <w:t>检测参数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水泥</w:t>
            </w:r>
          </w:p>
        </w:tc>
        <w:tc>
          <w:tcPr>
            <w:tcW w:w="1860"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1.1</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1860"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1.2</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比表面积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1860" w:type="dxa"/>
            <w:vMerge w:val="restart"/>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1.3</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标准稠度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1860" w:type="dxa"/>
            <w:vMerge w:val="continue"/>
          </w:tcPr>
          <w:p>
            <w:pPr>
              <w:rPr>
                <w:rFonts w:hint="default" w:ascii="宋体" w:hAnsi="宋体" w:eastAsia="宋体" w:cs="宋体"/>
                <w:spacing w:val="-1"/>
                <w:kern w:val="0"/>
                <w:sz w:val="24"/>
                <w:szCs w:val="22"/>
                <w:lang w:val="en-US" w:eastAsia="zh-CN" w:bidi="zh-CN"/>
              </w:rPr>
            </w:pP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用水量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1.4</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凝结时间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1.5</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安定性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1.6</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胶砂强度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1.7</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胶砂流动度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1"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zh-CN" w:eastAsia="zh-CN" w:bidi="zh-CN"/>
              </w:rPr>
            </w:pPr>
          </w:p>
        </w:tc>
        <w:tc>
          <w:tcPr>
            <w:tcW w:w="1860" w:type="dxa"/>
            <w:vAlign w:val="top"/>
          </w:tcPr>
          <w:p>
            <w:pPr>
              <w:rPr>
                <w:rFonts w:hint="eastAsia" w:ascii="宋体" w:hAnsi="宋体" w:eastAsia="宋体" w:cs="宋体"/>
                <w:spacing w:val="-1"/>
                <w:kern w:val="0"/>
                <w:sz w:val="24"/>
                <w:szCs w:val="22"/>
                <w:lang w:val="zh-CN" w:eastAsia="zh-CN" w:bidi="zh-CN"/>
              </w:rPr>
            </w:pPr>
            <w:r>
              <w:rPr>
                <w:rFonts w:hint="eastAsia" w:ascii="宋体" w:hAnsi="宋体" w:eastAsia="宋体" w:cs="宋体"/>
                <w:spacing w:val="-1"/>
                <w:kern w:val="0"/>
                <w:sz w:val="24"/>
                <w:szCs w:val="22"/>
                <w:lang w:val="en-US" w:eastAsia="zh-CN" w:bidi="zh-CN"/>
              </w:rPr>
              <w:t>1.8</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2</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细集料</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2.1</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颗粒级配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2.2</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2.3</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空隙率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2.4</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含泥量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2.5</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泥块含量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2.6</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含水率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2.7</w:t>
            </w:r>
          </w:p>
        </w:tc>
        <w:tc>
          <w:tcPr>
            <w:tcW w:w="3014" w:type="dxa"/>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吸水率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3</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粗集料</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3.1</w:t>
            </w:r>
          </w:p>
        </w:tc>
        <w:tc>
          <w:tcPr>
            <w:tcW w:w="3014" w:type="dxa"/>
            <w:vAlign w:val="top"/>
          </w:tcPr>
          <w:p>
            <w:pPr>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颗粒级配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3.2</w:t>
            </w:r>
          </w:p>
        </w:tc>
        <w:tc>
          <w:tcPr>
            <w:tcW w:w="3014" w:type="dxa"/>
            <w:vAlign w:val="top"/>
          </w:tcPr>
          <w:p>
            <w:pPr>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3.3</w:t>
            </w:r>
          </w:p>
        </w:tc>
        <w:tc>
          <w:tcPr>
            <w:tcW w:w="3014" w:type="dxa"/>
            <w:vAlign w:val="top"/>
          </w:tcPr>
          <w:p>
            <w:pPr>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空隙率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3.4</w:t>
            </w:r>
          </w:p>
        </w:tc>
        <w:tc>
          <w:tcPr>
            <w:tcW w:w="3014" w:type="dxa"/>
            <w:vAlign w:val="top"/>
          </w:tcPr>
          <w:p>
            <w:pPr>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含泥量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3.5</w:t>
            </w:r>
          </w:p>
        </w:tc>
        <w:tc>
          <w:tcPr>
            <w:tcW w:w="3014" w:type="dxa"/>
            <w:vAlign w:val="top"/>
          </w:tcPr>
          <w:p>
            <w:pPr>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泥块含量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3.6</w:t>
            </w:r>
          </w:p>
        </w:tc>
        <w:tc>
          <w:tcPr>
            <w:tcW w:w="3014" w:type="dxa"/>
            <w:vAlign w:val="top"/>
          </w:tcPr>
          <w:p>
            <w:pPr>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含水率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3.7</w:t>
            </w:r>
          </w:p>
        </w:tc>
        <w:tc>
          <w:tcPr>
            <w:tcW w:w="3014" w:type="dxa"/>
            <w:vAlign w:val="top"/>
          </w:tcPr>
          <w:p>
            <w:pPr>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吸水率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3.8</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针、片状颗粒含量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4</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轻集料</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4.1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颗粒级配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4.2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堆积密度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5</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井盖水篦</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5.1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5.2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结构尺寸（尺寸偏差）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5.3</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承载能力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5.4</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残余变形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5.5</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热老化处理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5.6</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耐酸性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5.7</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耐碱性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5.8</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耐热性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6</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混泥土</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6.1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抗压强度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6.2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抗折强度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6.3</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抗渗性能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6.4</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配合比设计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6.5</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坍落度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6.6</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稠度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6.7</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凝结时间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6.8</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表观密度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6.9</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泌水与压力泌水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7</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砂浆</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7.1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配合比设计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7.2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稠度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7.3</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保水性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7.4</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表观密度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7.5</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分层度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7.6</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凝结时间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7.7</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立方体抗压强度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8</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金属材料</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8.1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尺寸及重量偏差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8.2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抗压强度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8.3</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屈服强度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8.4</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断后伸长率、最大总伸长率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8.5</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弯曲性能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8.6</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反向弯曲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8.7</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反复弯曲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9</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孔道压浆剂、料（灌浆料）</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9.1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凝结时间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9.2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流动度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9.3</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自由泌水率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9.4</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毛细泌水率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9.5</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压力泌水率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9.6</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抗压、抗折强度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9.7</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膨胀率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9.8</w:t>
            </w:r>
          </w:p>
        </w:tc>
        <w:tc>
          <w:tcPr>
            <w:tcW w:w="3014" w:type="dxa"/>
            <w:vAlign w:val="top"/>
          </w:tcPr>
          <w:p>
            <w:pPr>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充盈度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管材及管件</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外观尺寸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弯曲度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10.3</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维卡软化点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10.4</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纵向回缩率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10.5</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拉伸屈服应力/拉伸强度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10.6</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断裂伸长率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10.7</w:t>
            </w:r>
          </w:p>
        </w:tc>
        <w:tc>
          <w:tcPr>
            <w:tcW w:w="3014" w:type="dxa"/>
            <w:vAlign w:val="top"/>
          </w:tcPr>
          <w:p>
            <w:pPr>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落锤冲击试验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10.8</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环刚度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10.9</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环柔度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10.10</w:t>
            </w:r>
          </w:p>
        </w:tc>
        <w:tc>
          <w:tcPr>
            <w:tcW w:w="3014" w:type="dxa"/>
            <w:vAlign w:val="top"/>
          </w:tcPr>
          <w:p>
            <w:pPr>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简支梁冲击试验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10.11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（静）液压试验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10.12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爆破强度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10.13</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烘箱试验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10.14</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热烘箱实验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10.15</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闭水试验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11</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沥青</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11.1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针入度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11.2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针入度指数、针入度化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11.3</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11.4</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软化点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11.5</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12</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沥青混合料</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12.1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沥青混合料配合比设计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12.2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稀浆封层配合比设计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12.3</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12.4</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空隙率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12.5</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矿料级配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12.6</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马歇尔稳定度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2280" w:type="dxa"/>
            <w:vMerge w:val="continue"/>
            <w:vAlign w:val="center"/>
          </w:tcPr>
          <w:p>
            <w:pPr>
              <w:jc w:val="cente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12.7</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沥青路面芯样马歇尔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1"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13</w:t>
            </w:r>
          </w:p>
        </w:tc>
        <w:tc>
          <w:tcPr>
            <w:tcW w:w="2280" w:type="dxa"/>
            <w:vMerge w:val="restart"/>
            <w:vAlign w:val="center"/>
          </w:tcPr>
          <w:p>
            <w:pPr>
              <w:jc w:val="cente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土工</w:t>
            </w: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13.1</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击实试验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1361" w:type="dxa"/>
            <w:vMerge w:val="continue"/>
          </w:tcPr>
          <w:p>
            <w:pPr>
              <w:rPr>
                <w:rFonts w:hint="eastAsia" w:ascii="宋体" w:hAnsi="宋体" w:eastAsia="宋体" w:cs="宋体"/>
                <w:spacing w:val="-1"/>
                <w:kern w:val="0"/>
                <w:sz w:val="24"/>
                <w:szCs w:val="22"/>
                <w:lang w:val="en-US" w:eastAsia="zh-CN" w:bidi="zh-CN"/>
              </w:rPr>
            </w:pPr>
          </w:p>
        </w:tc>
        <w:tc>
          <w:tcPr>
            <w:tcW w:w="2280" w:type="dxa"/>
            <w:vMerge w:val="continue"/>
          </w:tcPr>
          <w:p>
            <w:pPr>
              <w:rPr>
                <w:rFonts w:hint="eastAsia" w:ascii="宋体" w:hAnsi="宋体" w:eastAsia="宋体" w:cs="宋体"/>
                <w:spacing w:val="-1"/>
                <w:kern w:val="0"/>
                <w:sz w:val="24"/>
                <w:szCs w:val="22"/>
                <w:lang w:val="en-US" w:eastAsia="zh-CN" w:bidi="zh-CN"/>
              </w:rPr>
            </w:pPr>
          </w:p>
        </w:tc>
        <w:tc>
          <w:tcPr>
            <w:tcW w:w="1860"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13.2</w:t>
            </w:r>
          </w:p>
        </w:tc>
        <w:tc>
          <w:tcPr>
            <w:tcW w:w="3014" w:type="dxa"/>
            <w:vAlign w:val="top"/>
          </w:tcPr>
          <w:p>
            <w:pPr>
              <w:rPr>
                <w:rFonts w:hint="default"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密实度</w:t>
            </w:r>
          </w:p>
        </w:tc>
      </w:tr>
    </w:tbl>
    <w:p>
      <w:pPr>
        <w:spacing w:line="360" w:lineRule="auto"/>
        <w:rPr>
          <w:rFonts w:hint="eastAsia" w:ascii="宋体" w:hAnsi="宋体" w:eastAsia="宋体" w:cs="宋体"/>
          <w:b/>
          <w:bCs/>
          <w:kern w:val="0"/>
          <w:sz w:val="28"/>
          <w:szCs w:val="28"/>
          <w:lang w:val="en-US" w:eastAsia="zh-CN" w:bidi="zh-CN"/>
        </w:rPr>
      </w:pPr>
      <w:r>
        <w:rPr>
          <w:rFonts w:hint="eastAsia" w:ascii="宋体" w:hAnsi="宋体" w:eastAsia="宋体" w:cs="宋体"/>
          <w:b/>
          <w:bCs/>
          <w:kern w:val="0"/>
          <w:sz w:val="28"/>
          <w:szCs w:val="28"/>
          <w:lang w:val="en-US" w:eastAsia="zh-CN" w:bidi="zh-CN"/>
        </w:rPr>
        <w:t>三、其他要求：</w:t>
      </w:r>
    </w:p>
    <w:p>
      <w:pPr>
        <w:spacing w:line="360" w:lineRule="auto"/>
        <w:rPr>
          <w:rFonts w:hint="eastAsia" w:ascii="宋体" w:hAnsi="宋体" w:eastAsia="宋体" w:cs="宋体"/>
          <w:spacing w:val="-1"/>
          <w:kern w:val="0"/>
          <w:sz w:val="24"/>
          <w:szCs w:val="22"/>
          <w:lang w:val="en-US" w:eastAsia="zh-CN" w:bidi="zh-CN"/>
        </w:rPr>
      </w:pPr>
      <w:r>
        <w:rPr>
          <w:rFonts w:hint="eastAsia" w:ascii="宋体" w:hAnsi="宋体" w:eastAsia="宋体" w:cs="宋体"/>
          <w:spacing w:val="-1"/>
          <w:kern w:val="0"/>
          <w:sz w:val="24"/>
          <w:szCs w:val="22"/>
          <w:lang w:val="en-US" w:eastAsia="zh-CN" w:bidi="zh-CN"/>
        </w:rPr>
        <w:t>1、投标报价</w:t>
      </w:r>
    </w:p>
    <w:p>
      <w:pPr>
        <w:snapToGrid w:val="0"/>
        <w:spacing w:line="288" w:lineRule="auto"/>
        <w:rPr>
          <w:rFonts w:ascii="宋体" w:hAnsi="宋体" w:cs="宋体"/>
          <w:kern w:val="0"/>
          <w:sz w:val="24"/>
          <w:szCs w:val="24"/>
        </w:rPr>
      </w:pPr>
      <w:r>
        <w:rPr>
          <w:rFonts w:hint="eastAsia" w:ascii="宋体" w:hAnsi="宋体" w:cs="宋体"/>
          <w:b/>
          <w:color w:val="FF0000"/>
          <w:kern w:val="0"/>
          <w:sz w:val="24"/>
          <w:szCs w:val="24"/>
          <w:lang w:eastAsia="zh-CN"/>
        </w:rPr>
        <w:t>（</w:t>
      </w:r>
      <w:r>
        <w:rPr>
          <w:rFonts w:hint="eastAsia" w:ascii="宋体" w:hAnsi="宋体" w:cs="宋体"/>
          <w:b/>
          <w:color w:val="FF0000"/>
          <w:kern w:val="0"/>
          <w:sz w:val="24"/>
          <w:szCs w:val="24"/>
          <w:lang w:val="en-US" w:eastAsia="zh-CN"/>
        </w:rPr>
        <w:t>1</w:t>
      </w:r>
      <w:r>
        <w:rPr>
          <w:rFonts w:hint="eastAsia" w:ascii="宋体" w:hAnsi="宋体" w:cs="宋体"/>
          <w:b/>
          <w:color w:val="FF0000"/>
          <w:kern w:val="0"/>
          <w:sz w:val="24"/>
          <w:szCs w:val="24"/>
          <w:lang w:eastAsia="zh-CN"/>
        </w:rPr>
        <w:t>）</w:t>
      </w:r>
      <w:r>
        <w:rPr>
          <w:rFonts w:hint="eastAsia" w:ascii="宋体" w:hAnsi="宋体" w:cs="宋体"/>
          <w:b/>
          <w:color w:val="FF0000"/>
          <w:kern w:val="0"/>
          <w:sz w:val="24"/>
          <w:szCs w:val="24"/>
        </w:rPr>
        <w:t>本项目采购预算控制总金额为</w:t>
      </w:r>
      <w:r>
        <w:rPr>
          <w:rFonts w:hint="eastAsia" w:ascii="宋体" w:hAnsi="宋体" w:cs="宋体"/>
          <w:b/>
          <w:color w:val="FF0000"/>
          <w:kern w:val="0"/>
          <w:sz w:val="24"/>
          <w:szCs w:val="24"/>
          <w:lang w:val="en-US" w:eastAsia="zh-CN"/>
        </w:rPr>
        <w:t>613.13</w:t>
      </w:r>
      <w:r>
        <w:rPr>
          <w:rFonts w:hint="eastAsia" w:ascii="宋体" w:hAnsi="宋体" w:cs="宋体"/>
          <w:b/>
          <w:color w:val="FF0000"/>
          <w:kern w:val="0"/>
          <w:sz w:val="24"/>
          <w:szCs w:val="24"/>
        </w:rPr>
        <w:t>万元，超出预算控制金额将导致其报价无效。</w:t>
      </w:r>
    </w:p>
    <w:p>
      <w:pPr>
        <w:snapToGrid w:val="0"/>
        <w:spacing w:line="288" w:lineRule="auto"/>
        <w:rPr>
          <w:rFonts w:hint="eastAsia" w:ascii="宋体" w:hAnsi="宋体" w:cs="宋体"/>
          <w:kern w:val="0"/>
          <w:sz w:val="24"/>
          <w:szCs w:val="24"/>
        </w:rPr>
      </w:pPr>
      <w:r>
        <w:rPr>
          <w:rFonts w:hint="eastAsia" w:ascii="宋体" w:hAnsi="宋体" w:cs="宋体"/>
          <w:b/>
          <w:bCs/>
          <w:color w:val="FF0000"/>
          <w:kern w:val="0"/>
          <w:sz w:val="24"/>
          <w:szCs w:val="24"/>
          <w:highlight w:val="none"/>
          <w:lang w:val="en-US" w:eastAsia="zh-CN"/>
        </w:rPr>
        <w:t>（2）投标报价为总价包干，应包含满足项目验收所有检测内容以及工作量，具体工作量以采购人最终核实的为准。</w:t>
      </w:r>
      <w:r>
        <w:rPr>
          <w:rFonts w:hint="eastAsia" w:ascii="宋体" w:hAnsi="宋体" w:cs="宋体"/>
          <w:kern w:val="0"/>
          <w:sz w:val="24"/>
          <w:szCs w:val="24"/>
        </w:rPr>
        <w:t>（供应商可在分项报价表中详细列出报价，如果所列分项报价不含以上内容，则视为已含在投标总价中）。</w:t>
      </w:r>
    </w:p>
    <w:p>
      <w:pPr>
        <w:snapToGrid w:val="0"/>
        <w:spacing w:line="288" w:lineRule="auto"/>
        <w:rPr>
          <w:rFonts w:hint="eastAsia" w:ascii="宋体" w:hAnsi="宋体" w:eastAsia="宋体" w:cs="宋体"/>
          <w:spacing w:val="-1"/>
          <w:kern w:val="0"/>
          <w:sz w:val="24"/>
          <w:szCs w:val="22"/>
          <w:lang w:val="en-US" w:eastAsia="zh-CN" w:bidi="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w:t>
      </w:r>
      <w:r>
        <w:rPr>
          <w:rFonts w:hint="eastAsia" w:ascii="宋体" w:hAnsi="宋体" w:cs="宋体"/>
          <w:kern w:val="0"/>
          <w:sz w:val="24"/>
          <w:szCs w:val="24"/>
        </w:rPr>
        <w:t>对于本文件未列明，而供应商认为必需的费用也须列入投标总报价。在合同实施时，采购人将不予支付中标人没有列入的项目费用，并认为此项目的费用已包括在投标总报价中</w:t>
      </w:r>
      <w:r>
        <w:rPr>
          <w:rFonts w:hint="eastAsia" w:ascii="宋体" w:hAnsi="宋体" w:cs="宋体"/>
          <w:kern w:val="0"/>
          <w:sz w:val="24"/>
          <w:szCs w:val="24"/>
          <w:lang w:eastAsia="zh-CN"/>
        </w:rPr>
        <w:t>，</w:t>
      </w:r>
      <w:r>
        <w:rPr>
          <w:rFonts w:hint="eastAsia" w:ascii="宋体" w:hAnsi="宋体" w:eastAsia="宋体" w:cs="宋体"/>
          <w:spacing w:val="-1"/>
          <w:kern w:val="0"/>
          <w:sz w:val="24"/>
          <w:szCs w:val="22"/>
          <w:lang w:val="en-US" w:eastAsia="zh-CN" w:bidi="zh-CN"/>
        </w:rPr>
        <w:t>供应商应根据项目特点、企业自身实力报出有竞争性的报价。</w:t>
      </w:r>
      <w:r>
        <w:rPr>
          <w:rFonts w:hint="eastAsia" w:ascii="宋体" w:hAnsi="宋体" w:eastAsia="宋体" w:cs="宋体"/>
          <w:color w:val="FF0000"/>
          <w:spacing w:val="-1"/>
          <w:kern w:val="0"/>
          <w:sz w:val="24"/>
          <w:szCs w:val="22"/>
          <w:lang w:val="en-US" w:eastAsia="zh-CN" w:bidi="zh-CN"/>
        </w:rPr>
        <w:t>工作量以采购人最终核实的为准。</w:t>
      </w:r>
    </w:p>
    <w:p>
      <w:pPr>
        <w:rPr>
          <w:rFonts w:hint="default"/>
          <w:lang w:val="en-US" w:eastAsia="zh-CN"/>
        </w:rPr>
        <w:sectPr>
          <w:footerReference r:id="rId8" w:type="default"/>
          <w:pgSz w:w="11906" w:h="16839"/>
          <w:pgMar w:top="1440" w:right="1701" w:bottom="1440" w:left="1701" w:header="850" w:footer="1199" w:gutter="0"/>
          <w:pgNumType w:fmt="decimal"/>
          <w:cols w:space="720" w:num="1"/>
          <w:rtlGutter w:val="0"/>
        </w:sectPr>
      </w:pPr>
      <w:r>
        <w:rPr>
          <w:rFonts w:hint="eastAsia" w:ascii="宋体" w:hAnsi="宋体" w:eastAsia="宋体" w:cs="宋体"/>
          <w:spacing w:val="-1"/>
          <w:kern w:val="0"/>
          <w:sz w:val="24"/>
          <w:szCs w:val="22"/>
          <w:lang w:val="en-US" w:eastAsia="zh-CN" w:bidi="zh-CN"/>
        </w:rPr>
        <w:t>3、</w:t>
      </w:r>
      <w:r>
        <w:rPr>
          <w:rFonts w:hint="eastAsia" w:ascii="宋体" w:hAnsi="宋体" w:eastAsia="宋体" w:cs="宋体"/>
          <w:spacing w:val="-1"/>
          <w:kern w:val="0"/>
          <w:sz w:val="24"/>
          <w:szCs w:val="22"/>
          <w:lang w:val="zh-CN" w:eastAsia="zh-CN" w:bidi="zh-CN"/>
        </w:rPr>
        <w:t>付款方式：按项目进度付款，</w:t>
      </w:r>
      <w:r>
        <w:rPr>
          <w:rFonts w:hint="eastAsia" w:ascii="宋体" w:hAnsi="宋体" w:eastAsia="宋体" w:cs="宋体"/>
          <w:spacing w:val="-1"/>
          <w:kern w:val="0"/>
          <w:sz w:val="24"/>
          <w:szCs w:val="22"/>
          <w:lang w:val="en-US" w:eastAsia="zh-CN" w:bidi="zh-CN"/>
        </w:rPr>
        <w:t>具体以与项目实施主体签订的检测服务合同为准</w:t>
      </w:r>
    </w:p>
    <w:p>
      <w:pPr>
        <w:pStyle w:val="3"/>
        <w:spacing w:line="360" w:lineRule="auto"/>
        <w:jc w:val="center"/>
        <w:rPr>
          <w:rFonts w:ascii="黑体" w:hAnsi="黑体" w:eastAsia="黑体"/>
        </w:rPr>
      </w:pPr>
      <w:bookmarkStart w:id="55" w:name="_Toc10024"/>
      <w:bookmarkStart w:id="56" w:name="_Toc10533"/>
      <w:r>
        <w:rPr>
          <w:rFonts w:hint="eastAsia" w:ascii="黑体" w:hAnsi="黑体" w:eastAsia="黑体"/>
        </w:rPr>
        <w:t>第四章 资格审查方法及标准</w:t>
      </w:r>
      <w:bookmarkEnd w:id="55"/>
    </w:p>
    <w:p>
      <w:pPr>
        <w:spacing w:line="360" w:lineRule="auto"/>
        <w:ind w:firstLine="420"/>
        <w:rPr>
          <w:rFonts w:ascii="宋体" w:hAnsi="宋体" w:cs="Times New Roman"/>
          <w:bCs/>
          <w:sz w:val="24"/>
          <w:szCs w:val="20"/>
        </w:rPr>
      </w:pPr>
      <w:r>
        <w:rPr>
          <w:rFonts w:hint="eastAsia" w:ascii="宋体" w:hAnsi="宋体" w:cs="Times New Roman"/>
          <w:bCs/>
          <w:sz w:val="24"/>
          <w:szCs w:val="20"/>
        </w:rPr>
        <w:t>根据《政府采购法》、《政府采购法实施条例》、《政府采购货物和服务招标投标管理办法》等相关法律法规确定以下资格审查方法及标准。</w:t>
      </w:r>
    </w:p>
    <w:p>
      <w:pPr>
        <w:pStyle w:val="4"/>
        <w:numPr>
          <w:ilvl w:val="0"/>
          <w:numId w:val="36"/>
        </w:numPr>
        <w:spacing w:before="0" w:after="0" w:line="360" w:lineRule="auto"/>
        <w:ind w:left="616" w:hanging="616"/>
        <w:jc w:val="left"/>
        <w:rPr>
          <w:rFonts w:ascii="宋体" w:hAnsi="宋体" w:cs="Times New Roman"/>
          <w:bCs w:val="0"/>
          <w:sz w:val="30"/>
          <w:szCs w:val="30"/>
        </w:rPr>
      </w:pPr>
      <w:bookmarkStart w:id="57" w:name="_Toc494561958"/>
      <w:bookmarkStart w:id="58" w:name="_Toc18092"/>
      <w:bookmarkStart w:id="59" w:name="_Toc15388"/>
      <w:bookmarkStart w:id="60" w:name="_Toc511894514"/>
      <w:r>
        <w:rPr>
          <w:rFonts w:hint="eastAsia" w:ascii="宋体" w:hAnsi="宋体" w:cs="Times New Roman"/>
          <w:bCs w:val="0"/>
          <w:sz w:val="30"/>
          <w:szCs w:val="30"/>
        </w:rPr>
        <w:t>资格审查方法</w:t>
      </w:r>
      <w:bookmarkEnd w:id="57"/>
      <w:bookmarkEnd w:id="58"/>
      <w:bookmarkEnd w:id="59"/>
      <w:bookmarkEnd w:id="60"/>
    </w:p>
    <w:p>
      <w:pPr>
        <w:numPr>
          <w:ilvl w:val="0"/>
          <w:numId w:val="37"/>
        </w:numPr>
        <w:tabs>
          <w:tab w:val="left" w:pos="616"/>
        </w:tabs>
        <w:spacing w:line="360" w:lineRule="auto"/>
        <w:ind w:left="14" w:firstLine="238"/>
        <w:rPr>
          <w:rFonts w:ascii="宋体" w:hAnsi="宋体" w:eastAsia="宋体" w:cs="Times New Roman"/>
          <w:b/>
          <w:color w:val="0D0D0D"/>
          <w:sz w:val="24"/>
          <w:szCs w:val="24"/>
          <w:lang w:val="zh-CN"/>
        </w:rPr>
      </w:pPr>
      <w:r>
        <w:rPr>
          <w:rFonts w:hint="eastAsia" w:ascii="宋体" w:hAnsi="宋体" w:eastAsia="宋体" w:cs="Times New Roman"/>
          <w:b/>
          <w:color w:val="0D0D0D"/>
          <w:sz w:val="24"/>
          <w:szCs w:val="24"/>
          <w:lang w:val="zh-CN"/>
        </w:rPr>
        <w:t>资格证明文件审查</w:t>
      </w:r>
    </w:p>
    <w:p>
      <w:pPr>
        <w:tabs>
          <w:tab w:val="left" w:pos="616"/>
        </w:tabs>
        <w:spacing w:line="360" w:lineRule="auto"/>
        <w:ind w:firstLine="420"/>
        <w:rPr>
          <w:rFonts w:ascii="Helvetica" w:hAnsi="Helvetica" w:eastAsia="宋体" w:cs="Helvetica"/>
          <w:b/>
          <w:color w:val="0D0D0D"/>
          <w:kern w:val="0"/>
          <w:sz w:val="24"/>
          <w:szCs w:val="24"/>
          <w:lang w:val="zh-CN"/>
        </w:rPr>
      </w:pPr>
      <w:r>
        <w:rPr>
          <w:rFonts w:hint="eastAsia" w:ascii="Helvetica" w:hAnsi="Helvetica" w:eastAsia="宋体" w:cs="Helvetica"/>
          <w:color w:val="0D0D0D"/>
          <w:kern w:val="0"/>
          <w:sz w:val="24"/>
          <w:szCs w:val="24"/>
          <w:lang w:val="zh-CN"/>
        </w:rPr>
        <w:t>所递交的资格证明文件出现不符合下列情形之一或不足以证明其符合下列情形之一的，应视为资格审查不合格，并按照</w:t>
      </w:r>
      <w:r>
        <w:rPr>
          <w:rFonts w:hint="eastAsia" w:ascii="Helvetica" w:hAnsi="Helvetica" w:eastAsia="宋体" w:cs="Helvetica"/>
          <w:b/>
          <w:color w:val="0D0D0D"/>
          <w:kern w:val="0"/>
          <w:sz w:val="24"/>
          <w:szCs w:val="24"/>
          <w:lang w:val="zh-CN"/>
        </w:rPr>
        <w:t>无效投标处理：</w:t>
      </w:r>
    </w:p>
    <w:p>
      <w:pPr>
        <w:pStyle w:val="37"/>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应具备《政府采购法》第二十二条第一款规定的条件，</w:t>
      </w:r>
      <w:r>
        <w:rPr>
          <w:rFonts w:hint="eastAsia" w:hAnsi="宋体"/>
          <w:sz w:val="24"/>
          <w:szCs w:val="24"/>
        </w:rPr>
        <w:t>提供下列材料</w:t>
      </w:r>
      <w:r>
        <w:rPr>
          <w:rFonts w:hint="eastAsia" w:ascii="宋体" w:hAnsi="宋体" w:eastAsia="宋体" w:cs="Times New Roman"/>
          <w:sz w:val="24"/>
          <w:szCs w:val="24"/>
          <w:lang w:val="zh-CN"/>
        </w:rPr>
        <w:t>：</w:t>
      </w:r>
    </w:p>
    <w:p>
      <w:pPr>
        <w:pStyle w:val="37"/>
        <w:numPr>
          <w:ilvl w:val="0"/>
          <w:numId w:val="39"/>
        </w:numPr>
        <w:tabs>
          <w:tab w:val="left" w:pos="1036"/>
        </w:tabs>
        <w:spacing w:line="360" w:lineRule="auto"/>
        <w:ind w:left="1036" w:hanging="616" w:firstLineChars="0"/>
        <w:rPr>
          <w:rFonts w:ascii="宋体" w:hAnsi="宋体" w:eastAsia="宋体" w:cs="Times New Roman"/>
          <w:sz w:val="24"/>
          <w:szCs w:val="24"/>
          <w:lang w:val="zh-CN"/>
        </w:rPr>
      </w:pPr>
      <w:r>
        <w:rPr>
          <w:rFonts w:hint="eastAsia" w:ascii="宋体" w:hAnsi="宋体" w:eastAsia="宋体" w:cs="Times New Roman"/>
          <w:sz w:val="24"/>
          <w:szCs w:val="24"/>
          <w:lang w:val="zh-CN"/>
        </w:rPr>
        <w:t>法人或者其他组织的营业执照等证明文件，自然人的身份证明；</w:t>
      </w:r>
    </w:p>
    <w:p>
      <w:pPr>
        <w:pStyle w:val="37"/>
        <w:numPr>
          <w:ilvl w:val="0"/>
          <w:numId w:val="39"/>
        </w:numPr>
        <w:tabs>
          <w:tab w:val="left" w:pos="1036"/>
        </w:tabs>
        <w:spacing w:line="360" w:lineRule="auto"/>
        <w:ind w:left="1036" w:hanging="616" w:firstLineChars="0"/>
        <w:rPr>
          <w:rFonts w:ascii="宋体" w:hAnsi="宋体" w:eastAsia="宋体" w:cs="Times New Roman"/>
          <w:sz w:val="24"/>
          <w:szCs w:val="24"/>
          <w:lang w:val="zh-CN"/>
        </w:rPr>
      </w:pPr>
      <w:r>
        <w:rPr>
          <w:rFonts w:hint="eastAsia" w:ascii="宋体" w:hAnsi="宋体" w:eastAsia="宋体" w:cs="Times New Roman"/>
          <w:sz w:val="24"/>
          <w:szCs w:val="24"/>
          <w:lang w:val="zh-CN"/>
        </w:rPr>
        <w:t>财务状况报告，依法缴纳税收和社会保障资金的相关材料；</w:t>
      </w:r>
    </w:p>
    <w:p>
      <w:pPr>
        <w:pStyle w:val="37"/>
        <w:numPr>
          <w:ilvl w:val="0"/>
          <w:numId w:val="39"/>
        </w:numPr>
        <w:tabs>
          <w:tab w:val="left" w:pos="1036"/>
        </w:tabs>
        <w:spacing w:line="360" w:lineRule="auto"/>
        <w:ind w:left="1036" w:hanging="616" w:firstLineChars="0"/>
        <w:rPr>
          <w:rFonts w:ascii="宋体" w:hAnsi="宋体" w:eastAsia="宋体" w:cs="Times New Roman"/>
          <w:sz w:val="24"/>
          <w:szCs w:val="24"/>
          <w:lang w:val="zh-CN"/>
        </w:rPr>
      </w:pPr>
      <w:r>
        <w:rPr>
          <w:rFonts w:hint="eastAsia" w:ascii="宋体" w:hAnsi="宋体" w:eastAsia="宋体" w:cs="Times New Roman"/>
          <w:sz w:val="24"/>
          <w:szCs w:val="24"/>
          <w:lang w:val="zh-CN"/>
        </w:rPr>
        <w:t>具备履行合同所必需的设备和专业技术能力的证明材料；</w:t>
      </w:r>
    </w:p>
    <w:p>
      <w:pPr>
        <w:pStyle w:val="37"/>
        <w:numPr>
          <w:ilvl w:val="0"/>
          <w:numId w:val="39"/>
        </w:numPr>
        <w:tabs>
          <w:tab w:val="left" w:pos="1036"/>
        </w:tabs>
        <w:spacing w:line="360" w:lineRule="auto"/>
        <w:ind w:left="1036" w:hanging="616" w:firstLineChars="0"/>
        <w:rPr>
          <w:rFonts w:ascii="宋体" w:hAnsi="宋体" w:eastAsia="宋体" w:cs="Times New Roman"/>
          <w:sz w:val="24"/>
          <w:szCs w:val="24"/>
          <w:lang w:val="zh-CN"/>
        </w:rPr>
      </w:pPr>
      <w:r>
        <w:rPr>
          <w:rFonts w:hint="eastAsia" w:ascii="宋体" w:hAnsi="宋体" w:eastAsia="宋体" w:cs="Times New Roman"/>
          <w:sz w:val="24"/>
          <w:szCs w:val="24"/>
          <w:lang w:val="zh-CN"/>
        </w:rPr>
        <w:t>参加政府采购活动前3年内在经营活动中没有重大违法记录的书面声明；</w:t>
      </w:r>
    </w:p>
    <w:p>
      <w:pPr>
        <w:pStyle w:val="37"/>
        <w:numPr>
          <w:ilvl w:val="0"/>
          <w:numId w:val="39"/>
        </w:numPr>
        <w:tabs>
          <w:tab w:val="left" w:pos="1036"/>
        </w:tabs>
        <w:spacing w:line="360" w:lineRule="auto"/>
        <w:ind w:left="1036" w:hanging="616" w:firstLineChars="0"/>
        <w:rPr>
          <w:rFonts w:ascii="宋体" w:hAnsi="宋体" w:eastAsia="宋体" w:cs="Times New Roman"/>
          <w:sz w:val="24"/>
          <w:szCs w:val="24"/>
          <w:lang w:val="zh-CN"/>
        </w:rPr>
      </w:pPr>
      <w:r>
        <w:rPr>
          <w:rFonts w:hint="eastAsia" w:ascii="宋体" w:hAnsi="宋体" w:eastAsia="宋体" w:cs="Times New Roman"/>
          <w:sz w:val="24"/>
          <w:szCs w:val="24"/>
          <w:lang w:val="zh-CN"/>
        </w:rPr>
        <w:t>具备法律、行政法规规定的其他条件的证明材料。</w:t>
      </w:r>
    </w:p>
    <w:p>
      <w:pPr>
        <w:pStyle w:val="37"/>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未被“信用中国”网站(www.creditchina.gov.cn)列入失信被执行人、重大税收违法案件当事人名单、政府采购严重违法失信行为记录名单的书面申明及该网站查询结果页面截图；</w:t>
      </w:r>
    </w:p>
    <w:p>
      <w:pPr>
        <w:pStyle w:val="37"/>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招标文件第一章“投标人资格要求”中有特殊要求的，投标人应提供其符合特殊要求的证明材料或者情况说明；</w:t>
      </w:r>
    </w:p>
    <w:p>
      <w:pPr>
        <w:pStyle w:val="37"/>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不符合联合体投标相关规定和要求的；</w:t>
      </w:r>
    </w:p>
    <w:p>
      <w:pPr>
        <w:pStyle w:val="37"/>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投标人认为需提供的其它相关资格证明材料；</w:t>
      </w:r>
    </w:p>
    <w:p>
      <w:pPr>
        <w:pStyle w:val="37"/>
        <w:numPr>
          <w:ilvl w:val="0"/>
          <w:numId w:val="38"/>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资格证明文件正本应为清晰彩色影印件且加盖单位公章。</w:t>
      </w:r>
    </w:p>
    <w:p>
      <w:pPr>
        <w:numPr>
          <w:ilvl w:val="0"/>
          <w:numId w:val="37"/>
        </w:numPr>
        <w:tabs>
          <w:tab w:val="left" w:pos="616"/>
        </w:tabs>
        <w:spacing w:line="360" w:lineRule="auto"/>
        <w:ind w:left="14" w:firstLine="238"/>
        <w:rPr>
          <w:rFonts w:ascii="宋体" w:hAnsi="宋体" w:eastAsia="宋体" w:cs="Times New Roman"/>
          <w:b/>
          <w:sz w:val="24"/>
          <w:szCs w:val="24"/>
          <w:lang w:val="zh-CN"/>
        </w:rPr>
      </w:pPr>
      <w:r>
        <w:rPr>
          <w:rFonts w:hint="eastAsia" w:ascii="宋体" w:hAnsi="宋体" w:eastAsia="宋体" w:cs="Times New Roman"/>
          <w:b/>
          <w:sz w:val="24"/>
          <w:szCs w:val="24"/>
          <w:lang w:val="zh-CN"/>
        </w:rPr>
        <w:t>确定资格审查合格投标人</w:t>
      </w:r>
    </w:p>
    <w:p>
      <w:pPr>
        <w:pStyle w:val="37"/>
        <w:numPr>
          <w:ilvl w:val="0"/>
          <w:numId w:val="40"/>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资格审查小组按照本章“资格审查方法及标准”，对各投标人资格证明文件进行审查。资格审查小组依据对各投标人资格证明文件的审查结果，确定资格审查合格的投标人，并</w:t>
      </w:r>
      <w:r>
        <w:rPr>
          <w:rFonts w:hint="eastAsia" w:ascii="宋体" w:hAnsi="宋体" w:eastAsia="宋体" w:cs="Times New Roman"/>
          <w:b/>
          <w:sz w:val="24"/>
          <w:szCs w:val="24"/>
          <w:lang w:val="zh-CN"/>
        </w:rPr>
        <w:t>形成书面的资格审查报告。</w:t>
      </w:r>
    </w:p>
    <w:p>
      <w:pPr>
        <w:pStyle w:val="37"/>
        <w:numPr>
          <w:ilvl w:val="0"/>
          <w:numId w:val="40"/>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资格审查合格投标人不足3家的，不进行评标。</w:t>
      </w:r>
    </w:p>
    <w:p>
      <w:pPr>
        <w:pStyle w:val="37"/>
        <w:numPr>
          <w:ilvl w:val="0"/>
          <w:numId w:val="40"/>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资格审查未通过的投标人可在结果公告质疑有效期内按公告中的联系方式获知</w:t>
      </w:r>
      <w:r>
        <w:rPr>
          <w:rFonts w:ascii="宋体" w:hAnsi="宋体" w:eastAsia="宋体" w:cs="Times New Roman"/>
          <w:sz w:val="24"/>
          <w:szCs w:val="24"/>
          <w:lang w:val="zh-CN"/>
        </w:rPr>
        <w:t>本</w:t>
      </w:r>
      <w:r>
        <w:rPr>
          <w:rFonts w:hint="eastAsia" w:ascii="宋体" w:hAnsi="宋体" w:eastAsia="宋体" w:cs="Times New Roman"/>
          <w:sz w:val="24"/>
          <w:szCs w:val="24"/>
          <w:lang w:val="zh-CN"/>
        </w:rPr>
        <w:t>单位</w:t>
      </w:r>
      <w:r>
        <w:rPr>
          <w:rFonts w:ascii="宋体" w:hAnsi="宋体" w:eastAsia="宋体" w:cs="Times New Roman"/>
          <w:sz w:val="24"/>
          <w:szCs w:val="24"/>
          <w:lang w:val="zh-CN"/>
        </w:rPr>
        <w:t>的</w:t>
      </w:r>
      <w:r>
        <w:rPr>
          <w:rFonts w:hint="eastAsia" w:ascii="宋体" w:hAnsi="宋体" w:eastAsia="宋体" w:cs="Times New Roman"/>
          <w:sz w:val="24"/>
          <w:szCs w:val="24"/>
          <w:lang w:val="zh-CN"/>
        </w:rPr>
        <w:t>资格审查情况。</w:t>
      </w:r>
    </w:p>
    <w:p>
      <w:pPr>
        <w:pStyle w:val="37"/>
        <w:numPr>
          <w:ilvl w:val="0"/>
          <w:numId w:val="40"/>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采购人已进行资格预审的，不再进行资格审查。未通过资格预审的投标人，采购人、采购代理机构</w:t>
      </w:r>
      <w:r>
        <w:rPr>
          <w:rFonts w:hint="eastAsia" w:ascii="宋体" w:hAnsi="宋体" w:eastAsia="宋体" w:cs="Times New Roman"/>
          <w:b/>
          <w:sz w:val="24"/>
          <w:szCs w:val="24"/>
          <w:lang w:val="zh-CN"/>
        </w:rPr>
        <w:t>拒绝</w:t>
      </w:r>
      <w:r>
        <w:rPr>
          <w:rFonts w:hint="eastAsia" w:ascii="宋体" w:hAnsi="宋体" w:eastAsia="宋体" w:cs="Times New Roman"/>
          <w:sz w:val="24"/>
          <w:szCs w:val="24"/>
          <w:lang w:val="zh-CN"/>
        </w:rPr>
        <w:t>其投标。</w:t>
      </w:r>
    </w:p>
    <w:p>
      <w:r>
        <w:br w:type="page"/>
      </w:r>
    </w:p>
    <w:p>
      <w:pPr>
        <w:pStyle w:val="3"/>
        <w:spacing w:line="360" w:lineRule="auto"/>
        <w:jc w:val="center"/>
        <w:rPr>
          <w:rFonts w:ascii="黑体" w:hAnsi="黑体" w:eastAsia="黑体"/>
        </w:rPr>
      </w:pPr>
      <w:bookmarkStart w:id="61" w:name="_Toc16298"/>
      <w:r>
        <w:rPr>
          <w:rFonts w:hint="eastAsia" w:ascii="黑体" w:hAnsi="黑体" w:eastAsia="黑体"/>
        </w:rPr>
        <w:t>第五章 评标方法、程序及标准</w:t>
      </w:r>
      <w:bookmarkEnd w:id="61"/>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根据《政府采购法》、《政府采购法实施条例》、《政府采购货物和服务招标投标管理办法》等相关法律法规确定以下评标办法、程序及标准。</w:t>
      </w:r>
    </w:p>
    <w:p>
      <w:pPr>
        <w:pStyle w:val="4"/>
        <w:numPr>
          <w:ilvl w:val="0"/>
          <w:numId w:val="41"/>
        </w:numPr>
        <w:spacing w:before="0" w:after="0" w:line="360" w:lineRule="auto"/>
        <w:ind w:left="616" w:hanging="616"/>
        <w:jc w:val="left"/>
        <w:rPr>
          <w:rFonts w:cs="Times New Roman" w:asciiTheme="majorEastAsia" w:hAnsiTheme="majorEastAsia"/>
          <w:bCs w:val="0"/>
          <w:sz w:val="30"/>
          <w:szCs w:val="30"/>
          <w:lang w:val="zh-CN"/>
        </w:rPr>
      </w:pPr>
      <w:bookmarkStart w:id="62" w:name="_Toc272247708"/>
      <w:bookmarkStart w:id="63" w:name="_Toc278891605"/>
      <w:bookmarkStart w:id="64" w:name="_Toc28977"/>
      <w:bookmarkStart w:id="65" w:name="_Toc494561961"/>
      <w:r>
        <w:rPr>
          <w:rFonts w:hint="eastAsia" w:cs="Times New Roman" w:asciiTheme="majorEastAsia" w:hAnsiTheme="majorEastAsia"/>
          <w:bCs w:val="0"/>
          <w:sz w:val="30"/>
          <w:szCs w:val="30"/>
          <w:lang w:val="zh-CN"/>
        </w:rPr>
        <w:t>评标</w:t>
      </w:r>
      <w:bookmarkEnd w:id="62"/>
      <w:bookmarkEnd w:id="63"/>
      <w:r>
        <w:rPr>
          <w:rFonts w:hint="eastAsia" w:cs="Times New Roman" w:asciiTheme="majorEastAsia" w:hAnsiTheme="majorEastAsia"/>
          <w:bCs w:val="0"/>
          <w:sz w:val="30"/>
          <w:szCs w:val="30"/>
          <w:lang w:val="zh-CN"/>
        </w:rPr>
        <w:t>方法</w:t>
      </w:r>
      <w:bookmarkEnd w:id="64"/>
      <w:bookmarkEnd w:id="65"/>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color w:val="0000FF"/>
          <w:sz w:val="24"/>
          <w:szCs w:val="20"/>
          <w:lang w:val="zh-CN"/>
        </w:rPr>
        <w:t>本项目评标采用综合评分法，</w:t>
      </w:r>
      <w:r>
        <w:rPr>
          <w:rFonts w:ascii="宋体" w:hAnsi="宋体" w:eastAsia="宋体" w:cs="Times New Roman"/>
          <w:bCs/>
          <w:color w:val="0000FF"/>
          <w:sz w:val="24"/>
          <w:szCs w:val="20"/>
          <w:lang w:val="zh-CN"/>
        </w:rPr>
        <w:t>是指投标文件满足招标文件全部实质性要求，且按照评审因素的量化指标评审得分最高的投标人为中标候选人的评标方法。</w:t>
      </w:r>
    </w:p>
    <w:p>
      <w:pPr>
        <w:pStyle w:val="4"/>
        <w:numPr>
          <w:ilvl w:val="0"/>
          <w:numId w:val="41"/>
        </w:numPr>
        <w:spacing w:before="0" w:after="0" w:line="360" w:lineRule="auto"/>
        <w:ind w:left="616" w:hanging="616"/>
        <w:jc w:val="left"/>
        <w:rPr>
          <w:rFonts w:cs="Times New Roman" w:asciiTheme="majorEastAsia" w:hAnsiTheme="majorEastAsia"/>
          <w:bCs w:val="0"/>
          <w:sz w:val="30"/>
          <w:szCs w:val="30"/>
          <w:lang w:val="zh-CN"/>
        </w:rPr>
      </w:pPr>
      <w:bookmarkStart w:id="66" w:name="_Toc278891606"/>
      <w:bookmarkStart w:id="67" w:name="_Toc272247709"/>
      <w:bookmarkStart w:id="68" w:name="_Toc23991"/>
      <w:bookmarkStart w:id="69" w:name="_Toc494561962"/>
      <w:r>
        <w:rPr>
          <w:rFonts w:hint="eastAsia" w:cs="Times New Roman" w:asciiTheme="majorEastAsia" w:hAnsiTheme="majorEastAsia"/>
          <w:bCs w:val="0"/>
          <w:sz w:val="30"/>
          <w:szCs w:val="30"/>
          <w:lang w:val="zh-CN"/>
        </w:rPr>
        <w:t>评标程序</w:t>
      </w:r>
      <w:bookmarkEnd w:id="66"/>
      <w:bookmarkEnd w:id="67"/>
      <w:r>
        <w:rPr>
          <w:rFonts w:hint="eastAsia" w:cs="Times New Roman" w:asciiTheme="majorEastAsia" w:hAnsiTheme="majorEastAsia"/>
          <w:bCs w:val="0"/>
          <w:sz w:val="30"/>
          <w:szCs w:val="30"/>
          <w:lang w:val="zh-CN"/>
        </w:rPr>
        <w:t>及标准</w:t>
      </w:r>
      <w:bookmarkEnd w:id="68"/>
      <w:bookmarkEnd w:id="69"/>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评标委员会按以下工作程序进行评标：</w:t>
      </w:r>
      <w:r>
        <w:rPr>
          <w:rFonts w:hint="eastAsia" w:ascii="宋体" w:hAnsi="宋体" w:eastAsia="宋体" w:cs="Times New Roman"/>
          <w:sz w:val="24"/>
          <w:szCs w:val="20"/>
          <w:lang w:val="zh-CN"/>
        </w:rPr>
        <w:t>符合性审查、澄清有关问题、综合比较和评价、确定中标候选人名单。</w:t>
      </w:r>
    </w:p>
    <w:p>
      <w:pPr>
        <w:numPr>
          <w:ilvl w:val="0"/>
          <w:numId w:val="42"/>
        </w:numPr>
        <w:spacing w:line="360" w:lineRule="auto"/>
        <w:ind w:left="1311" w:leftChars="154" w:hanging="988" w:hangingChars="353"/>
        <w:rPr>
          <w:rFonts w:ascii="宋体" w:hAnsi="宋体" w:eastAsia="宋体" w:cs="Times New Roman"/>
          <w:strike/>
          <w:sz w:val="28"/>
          <w:szCs w:val="28"/>
          <w:lang w:val="zh-CN"/>
        </w:rPr>
      </w:pPr>
      <w:r>
        <w:rPr>
          <w:rFonts w:hint="eastAsia" w:ascii="宋体" w:hAnsi="宋体" w:eastAsia="宋体" w:cs="Times New Roman"/>
          <w:b/>
          <w:sz w:val="28"/>
          <w:szCs w:val="28"/>
          <w:lang w:val="zh-CN"/>
        </w:rPr>
        <w:t>符合性审查</w:t>
      </w:r>
    </w:p>
    <w:p>
      <w:pPr>
        <w:spacing w:line="360" w:lineRule="auto"/>
        <w:ind w:firstLine="480" w:firstLineChars="200"/>
        <w:rPr>
          <w:rFonts w:ascii="宋体" w:hAnsi="宋体" w:eastAsia="宋体" w:cs="Times New Roman"/>
          <w:bCs/>
          <w:sz w:val="24"/>
          <w:szCs w:val="20"/>
          <w:lang w:val="zh-CN"/>
        </w:rPr>
      </w:pPr>
      <w:r>
        <w:rPr>
          <w:rFonts w:ascii="宋体" w:hAnsi="宋体" w:eastAsia="宋体" w:cs="Times New Roman"/>
          <w:bCs/>
          <w:sz w:val="24"/>
          <w:szCs w:val="20"/>
          <w:lang w:val="zh-CN"/>
        </w:rPr>
        <w:t>评标委员会应当对符合资格的投标人的投标文件进行符合性审查，以确定其是否满足招标文件的实质性要求。</w:t>
      </w:r>
      <w:r>
        <w:rPr>
          <w:rFonts w:hint="eastAsia" w:ascii="宋体" w:hAnsi="宋体" w:eastAsia="宋体" w:cs="Times New Roman"/>
          <w:bCs/>
          <w:sz w:val="24"/>
          <w:szCs w:val="20"/>
          <w:lang w:val="zh-CN"/>
        </w:rPr>
        <w:t>符合性审查出现下列情形之一的投标按照无效投标处理：</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投标总报价超过项目（分包）预算金额或最高限价的；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《投标书》、《法定代表人授权书》、《开标一览表》、《投标报价明细表》未提供或不符合招标文件要求的；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工期（服务期限）、质保期不符合招标文件要求的；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投标保证金的交纳不符合招标文件要求的；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出现两个或两个以上不同报价的；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出现两个或两个以上投标方案的（招标文件中要求提供备选方案的除外）；</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投标报价存在缺项、漏项的；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投标有效期不足的；</w:t>
      </w:r>
    </w:p>
    <w:p>
      <w:pPr>
        <w:numPr>
          <w:ilvl w:val="0"/>
          <w:numId w:val="43"/>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无法定代表人签字（签章）或签字（签章）人无法定代表人有效授权的（本项目可以由分公司或分支机构总负责人签字（签章）或其授权人签字（签章））；</w:t>
      </w:r>
    </w:p>
    <w:p>
      <w:pPr>
        <w:numPr>
          <w:ilvl w:val="0"/>
          <w:numId w:val="43"/>
        </w:numPr>
        <w:tabs>
          <w:tab w:val="left" w:pos="75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正本未按要求提供加盖公章及签字（签章）原件的；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符合招标文件第二章“投标人须知”中第</w:t>
      </w:r>
      <w:r>
        <w:rPr>
          <w:rFonts w:hint="eastAsia" w:ascii="Times New Roman" w:hAnsi="宋体" w:eastAsia="宋体" w:cs="Times New Roman"/>
          <w:sz w:val="24"/>
          <w:szCs w:val="24"/>
        </w:rPr>
        <w:t>38</w:t>
      </w:r>
      <w:r>
        <w:rPr>
          <w:rFonts w:hint="eastAsia" w:ascii="Times New Roman" w:hAnsi="宋体" w:eastAsia="宋体" w:cs="Times New Roman"/>
          <w:sz w:val="24"/>
          <w:szCs w:val="24"/>
          <w:lang w:val="zh-CN"/>
        </w:rPr>
        <w:t>条中规定情形，以分公司形式参与投标的，法定代表人授权书未由分公司或分支机构总负责人签字（签章）并加盖公章的；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未按要求提供招标文件第二章“九 其他注意事项”中规定的书面声明的；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招标文件中有节能产品强制要求的，投标人未按要求提供最新一期《节能产品政府采购清单》（正式稿）中的产品型号且未附该产品清单所在完整页面；若节能产品中有台式计算机的，未按要求提供最新一期《节能产品政府采购清单台式计算机性能参数》中产品性能参数的所在完整页面且所投型号和所列性能参数不一致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所投货物是通过中国海关报关验放进入中国境内且产自关境外的（招标文件中注明已办理进口产品核准的除外）；</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未提供所投货物（工程或服务）的具体参数值或功能表述，或原文复制招标文件的技术规格相关部分内容作为其投标文件的一部分的；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不满足招标文件第三章“项目技术、服务和商务要求”中“★”号条款要求的；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ascii="Times New Roman" w:hAnsi="宋体" w:eastAsia="宋体" w:cs="Times New Roman"/>
          <w:sz w:val="24"/>
          <w:szCs w:val="24"/>
          <w:lang w:val="zh-CN"/>
        </w:rPr>
        <w:t>含有采购人不能接受的附加条件的</w:t>
      </w:r>
      <w:r>
        <w:rPr>
          <w:rFonts w:hint="eastAsia" w:ascii="Times New Roman" w:hAnsi="宋体" w:eastAsia="宋体" w:cs="Times New Roman"/>
          <w:sz w:val="24"/>
          <w:szCs w:val="24"/>
          <w:lang w:val="zh-CN"/>
        </w:rPr>
        <w:t>；</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未按要求提供《符合性审查对照表》、《商务要求响应、偏离说明表》、《商务要求“★”号条款响应、偏离说明表》、《商务评议对照表》和《技术、服务要求响应、偏离说明表》、《技术、服务要求“★”号条款响应、偏离说明表》、《技术、服务评议对照表》的；</w:t>
      </w:r>
    </w:p>
    <w:p>
      <w:pPr>
        <w:numPr>
          <w:ilvl w:val="0"/>
          <w:numId w:val="43"/>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ascii="Times New Roman" w:hAnsi="宋体" w:eastAsia="宋体" w:cs="Times New Roman"/>
          <w:sz w:val="24"/>
          <w:szCs w:val="24"/>
          <w:lang w:val="zh-CN"/>
        </w:rPr>
        <w:t>法律、法规</w:t>
      </w:r>
      <w:r>
        <w:rPr>
          <w:rFonts w:hint="eastAsia" w:ascii="Times New Roman" w:hAnsi="宋体" w:eastAsia="宋体" w:cs="Times New Roman"/>
          <w:sz w:val="24"/>
          <w:szCs w:val="24"/>
          <w:lang w:val="zh-CN"/>
        </w:rPr>
        <w:t>和招标文件</w:t>
      </w:r>
      <w:r>
        <w:rPr>
          <w:rFonts w:ascii="Times New Roman" w:hAnsi="宋体" w:eastAsia="宋体" w:cs="Times New Roman"/>
          <w:sz w:val="24"/>
          <w:szCs w:val="24"/>
          <w:lang w:val="zh-CN"/>
        </w:rPr>
        <w:t>规定的其他</w:t>
      </w:r>
      <w:r>
        <w:rPr>
          <w:rFonts w:hint="eastAsia" w:ascii="Times New Roman" w:hAnsi="宋体" w:eastAsia="宋体" w:cs="Times New Roman"/>
          <w:sz w:val="24"/>
          <w:szCs w:val="24"/>
          <w:lang w:val="zh-CN"/>
        </w:rPr>
        <w:t>无效投标</w:t>
      </w:r>
      <w:r>
        <w:rPr>
          <w:rFonts w:ascii="Times New Roman" w:hAnsi="宋体" w:eastAsia="宋体" w:cs="Times New Roman"/>
          <w:sz w:val="24"/>
          <w:szCs w:val="24"/>
          <w:lang w:val="zh-CN"/>
        </w:rPr>
        <w:t>情形。</w:t>
      </w:r>
    </w:p>
    <w:p>
      <w:pPr>
        <w:numPr>
          <w:ilvl w:val="0"/>
          <w:numId w:val="42"/>
        </w:numPr>
        <w:ind w:left="1311" w:leftChars="154" w:hanging="988" w:hangingChars="353"/>
        <w:rPr>
          <w:rFonts w:ascii="宋体" w:hAnsi="宋体" w:eastAsia="宋体" w:cs="Times New Roman"/>
          <w:b/>
          <w:sz w:val="28"/>
          <w:szCs w:val="28"/>
          <w:lang w:val="zh-CN"/>
        </w:rPr>
      </w:pPr>
      <w:r>
        <w:rPr>
          <w:rFonts w:hint="eastAsia" w:ascii="宋体" w:hAnsi="宋体" w:eastAsia="宋体" w:cs="Times New Roman"/>
          <w:b/>
          <w:sz w:val="28"/>
          <w:szCs w:val="28"/>
          <w:lang w:val="zh-CN"/>
        </w:rPr>
        <w:t>澄清有关问题</w:t>
      </w:r>
    </w:p>
    <w:p>
      <w:pPr>
        <w:numPr>
          <w:ilvl w:val="0"/>
          <w:numId w:val="44"/>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评标期间，</w:t>
      </w:r>
      <w:r>
        <w:rPr>
          <w:rFonts w:ascii="Helvetica" w:hAnsi="Helvetica" w:eastAsia="宋体" w:cs="Helvetica"/>
          <w:kern w:val="0"/>
          <w:sz w:val="24"/>
          <w:szCs w:val="24"/>
          <w:lang w:val="zh-CN"/>
        </w:rPr>
        <w:t>对于投标文件中含义不明确、同类问题表述不一致或者有明显文字和计算错误的内容，评标委员会应当以书面形式要求投标人作出必要的澄清、说明或者补正。</w:t>
      </w:r>
    </w:p>
    <w:p>
      <w:pPr>
        <w:numPr>
          <w:ilvl w:val="0"/>
          <w:numId w:val="44"/>
        </w:numPr>
        <w:tabs>
          <w:tab w:val="left" w:pos="616"/>
        </w:tabs>
        <w:spacing w:line="360" w:lineRule="auto"/>
        <w:ind w:left="10" w:leftChars="5" w:firstLine="237" w:firstLineChars="99"/>
        <w:rPr>
          <w:rFonts w:ascii="宋体" w:hAnsi="宋体" w:eastAsia="宋体" w:cs="Times New Roman"/>
          <w:bCs/>
          <w:strike/>
          <w:sz w:val="24"/>
          <w:szCs w:val="20"/>
          <w:lang w:val="zh-CN"/>
        </w:rPr>
      </w:pPr>
      <w:r>
        <w:rPr>
          <w:rFonts w:hint="eastAsia" w:ascii="宋体" w:hAnsi="宋体" w:eastAsia="宋体" w:cs="Times New Roman"/>
          <w:bCs/>
          <w:sz w:val="24"/>
          <w:szCs w:val="20"/>
          <w:lang w:val="zh-CN"/>
        </w:rPr>
        <w:t>投标人应按照评标委员会要求的澄清内容在规定时间内做出澄清。</w:t>
      </w:r>
      <w:r>
        <w:rPr>
          <w:rFonts w:ascii="宋体" w:hAnsi="宋体" w:eastAsia="宋体" w:cs="Times New Roman"/>
          <w:sz w:val="24"/>
          <w:szCs w:val="20"/>
          <w:lang w:val="zh-CN"/>
        </w:rPr>
        <w:t>投标文件报价出现前后不一致的</w:t>
      </w:r>
      <w:r>
        <w:rPr>
          <w:rFonts w:hint="eastAsia" w:ascii="宋体" w:hAnsi="宋体" w:eastAsia="宋体" w:cs="Times New Roman"/>
          <w:sz w:val="24"/>
          <w:szCs w:val="20"/>
          <w:lang w:val="zh-CN"/>
        </w:rPr>
        <w:t>，按照本节第3</w:t>
      </w:r>
      <w:r>
        <w:rPr>
          <w:rFonts w:hint="eastAsia" w:ascii="宋体" w:hAnsi="宋体" w:eastAsia="宋体" w:cs="Times New Roman"/>
          <w:bCs/>
          <w:sz w:val="24"/>
          <w:szCs w:val="20"/>
          <w:lang w:val="zh-CN"/>
        </w:rPr>
        <w:t>条规定进行修正，</w:t>
      </w:r>
      <w:r>
        <w:rPr>
          <w:rFonts w:ascii="Helvetica" w:hAnsi="Helvetica" w:eastAsia="宋体" w:cs="Helvetica"/>
          <w:kern w:val="0"/>
          <w:sz w:val="24"/>
          <w:szCs w:val="24"/>
          <w:lang w:val="zh-CN"/>
        </w:rPr>
        <w:t>投标人的澄清、说明或者补正不得超出投标文件的范围或者改变投标文件的实质性内容。</w:t>
      </w:r>
    </w:p>
    <w:p>
      <w:pPr>
        <w:numPr>
          <w:ilvl w:val="0"/>
          <w:numId w:val="44"/>
        </w:numPr>
        <w:tabs>
          <w:tab w:val="left" w:pos="616"/>
        </w:tabs>
        <w:spacing w:line="360" w:lineRule="auto"/>
        <w:ind w:left="10" w:leftChars="5" w:firstLine="237" w:firstLineChars="99"/>
        <w:rPr>
          <w:rFonts w:ascii="宋体" w:hAnsi="宋体" w:eastAsia="宋体" w:cs="Times New Roman"/>
          <w:bCs/>
          <w:sz w:val="24"/>
          <w:szCs w:val="20"/>
          <w:lang w:val="zh-CN"/>
        </w:rPr>
      </w:pPr>
      <w:r>
        <w:rPr>
          <w:rFonts w:ascii="宋体" w:hAnsi="宋体" w:eastAsia="宋体" w:cs="Times New Roman"/>
          <w:bCs/>
          <w:sz w:val="24"/>
          <w:szCs w:val="20"/>
          <w:lang w:val="zh-CN"/>
        </w:rPr>
        <w:t>投标文件报价出现前后不一致的，按照下列规定修正：</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投标文件中开标一览表内容与投标文件中相应内容不一致的，以开标一览表为准</w:t>
      </w:r>
      <w:r>
        <w:rPr>
          <w:rFonts w:hint="eastAsia" w:ascii="宋体" w:hAnsi="宋体" w:eastAsia="宋体" w:cs="Times New Roman"/>
          <w:color w:val="0D0D0D"/>
          <w:sz w:val="24"/>
          <w:szCs w:val="24"/>
          <w:lang w:val="zh-CN"/>
        </w:rPr>
        <w:t>。</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大写金额和小写金额不一致的，以大写金额为准</w:t>
      </w:r>
      <w:r>
        <w:rPr>
          <w:rFonts w:hint="eastAsia" w:ascii="宋体" w:hAnsi="宋体" w:eastAsia="宋体" w:cs="Times New Roman"/>
          <w:color w:val="0D0D0D"/>
          <w:sz w:val="24"/>
          <w:szCs w:val="24"/>
          <w:lang w:val="zh-CN"/>
        </w:rPr>
        <w:t>。</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单价金额小数点或者百分比有明显错位的，以开标一览表的总价为准，并修改单价</w:t>
      </w:r>
      <w:r>
        <w:rPr>
          <w:rFonts w:hint="eastAsia" w:ascii="宋体" w:hAnsi="宋体" w:eastAsia="宋体" w:cs="Times New Roman"/>
          <w:color w:val="0D0D0D"/>
          <w:sz w:val="24"/>
          <w:szCs w:val="24"/>
          <w:lang w:val="zh-CN"/>
        </w:rPr>
        <w:t>。</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总价金额与按单价汇总金额不一致的，以单价金额计算结果为准</w:t>
      </w:r>
      <w:r>
        <w:rPr>
          <w:rFonts w:hint="eastAsia" w:ascii="宋体" w:hAnsi="宋体" w:eastAsia="宋体" w:cs="Times New Roman"/>
          <w:color w:val="0D0D0D"/>
          <w:sz w:val="24"/>
          <w:szCs w:val="24"/>
          <w:lang w:val="zh-CN"/>
        </w:rPr>
        <w:t>。</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同时出现两种以上不一致的，按照前款规定的顺序修正</w:t>
      </w:r>
      <w:r>
        <w:rPr>
          <w:rFonts w:hint="eastAsia" w:ascii="宋体" w:hAnsi="宋体" w:eastAsia="宋体" w:cs="Times New Roman"/>
          <w:color w:val="0D0D0D"/>
          <w:sz w:val="24"/>
          <w:szCs w:val="24"/>
          <w:lang w:val="zh-CN"/>
        </w:rPr>
        <w:t>。</w:t>
      </w:r>
    </w:p>
    <w:p>
      <w:pPr>
        <w:numPr>
          <w:ilvl w:val="0"/>
          <w:numId w:val="45"/>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修正后的报价按照</w:t>
      </w:r>
      <w:r>
        <w:rPr>
          <w:rFonts w:hint="eastAsia" w:ascii="宋体" w:hAnsi="宋体" w:eastAsia="宋体" w:cs="Times New Roman"/>
          <w:color w:val="0D0D0D"/>
          <w:sz w:val="24"/>
          <w:szCs w:val="24"/>
          <w:lang w:val="zh-CN"/>
        </w:rPr>
        <w:t>本节第4条规定</w:t>
      </w:r>
      <w:r>
        <w:rPr>
          <w:rFonts w:ascii="宋体" w:hAnsi="宋体" w:eastAsia="宋体" w:cs="Times New Roman"/>
          <w:color w:val="0D0D0D"/>
          <w:sz w:val="24"/>
          <w:szCs w:val="24"/>
          <w:lang w:val="zh-CN"/>
        </w:rPr>
        <w:t>经投标人确认后产生约束力，投标人不确认的，</w:t>
      </w:r>
      <w:r>
        <w:rPr>
          <w:rFonts w:hint="eastAsia" w:ascii="宋体" w:hAnsi="宋体" w:eastAsia="宋体" w:cs="Times New Roman"/>
          <w:color w:val="0D0D0D"/>
          <w:sz w:val="24"/>
          <w:szCs w:val="24"/>
          <w:lang w:val="zh-CN"/>
        </w:rPr>
        <w:t>按照</w:t>
      </w:r>
      <w:r>
        <w:rPr>
          <w:rFonts w:ascii="宋体" w:hAnsi="宋体" w:eastAsia="宋体" w:cs="Times New Roman"/>
          <w:b/>
          <w:color w:val="0D0D0D"/>
          <w:sz w:val="24"/>
          <w:szCs w:val="24"/>
          <w:lang w:val="zh-CN"/>
        </w:rPr>
        <w:t>无效</w:t>
      </w:r>
      <w:r>
        <w:rPr>
          <w:rFonts w:hint="eastAsia" w:ascii="宋体" w:hAnsi="宋体" w:eastAsia="宋体" w:cs="Times New Roman"/>
          <w:b/>
          <w:color w:val="0D0D0D"/>
          <w:sz w:val="24"/>
          <w:szCs w:val="24"/>
          <w:lang w:val="zh-CN"/>
        </w:rPr>
        <w:t>投标处理</w:t>
      </w:r>
      <w:r>
        <w:rPr>
          <w:rFonts w:ascii="宋体" w:hAnsi="宋体" w:eastAsia="宋体" w:cs="Times New Roman"/>
          <w:color w:val="0D0D0D"/>
          <w:sz w:val="24"/>
          <w:szCs w:val="24"/>
          <w:lang w:val="zh-CN"/>
        </w:rPr>
        <w:t>。</w:t>
      </w:r>
    </w:p>
    <w:p>
      <w:pPr>
        <w:numPr>
          <w:ilvl w:val="0"/>
          <w:numId w:val="44"/>
        </w:numPr>
        <w:tabs>
          <w:tab w:val="left" w:pos="616"/>
        </w:tabs>
        <w:spacing w:line="360" w:lineRule="auto"/>
        <w:ind w:left="10" w:leftChars="5" w:firstLine="237" w:firstLineChars="99"/>
        <w:rPr>
          <w:rFonts w:ascii="宋体" w:hAnsi="宋体" w:eastAsia="宋体" w:cs="Times New Roman"/>
          <w:sz w:val="24"/>
          <w:szCs w:val="20"/>
          <w:lang w:val="zh-CN"/>
        </w:rPr>
      </w:pPr>
      <w:r>
        <w:rPr>
          <w:rFonts w:hint="eastAsia" w:ascii="宋体" w:hAnsi="宋体" w:eastAsia="宋体" w:cs="Times New Roman"/>
          <w:sz w:val="24"/>
          <w:szCs w:val="20"/>
          <w:lang w:val="zh-CN"/>
        </w:rPr>
        <w:t>投标人的</w:t>
      </w:r>
      <w:r>
        <w:rPr>
          <w:rFonts w:ascii="Helvetica" w:hAnsi="Helvetica" w:eastAsia="宋体" w:cs="Helvetica"/>
          <w:kern w:val="0"/>
          <w:sz w:val="24"/>
          <w:szCs w:val="24"/>
          <w:lang w:val="zh-CN"/>
        </w:rPr>
        <w:t>澄清、说明或者补正</w:t>
      </w:r>
      <w:r>
        <w:rPr>
          <w:rFonts w:hint="eastAsia" w:ascii="宋体" w:hAnsi="宋体" w:eastAsia="宋体" w:cs="Times New Roman"/>
          <w:sz w:val="24"/>
          <w:szCs w:val="20"/>
          <w:lang w:val="zh-CN"/>
        </w:rPr>
        <w:t>是其投标文件的有效组成部分。</w:t>
      </w:r>
      <w:r>
        <w:rPr>
          <w:rFonts w:ascii="Helvetica" w:hAnsi="Helvetica" w:eastAsia="宋体" w:cs="Helvetica"/>
          <w:kern w:val="0"/>
          <w:sz w:val="24"/>
          <w:szCs w:val="24"/>
          <w:lang w:val="zh-CN"/>
        </w:rPr>
        <w:t>投标人的澄清、说明或者补正应当采用书面形式，并加盖公章，或者由法定代表人或其授权的代表签字。</w:t>
      </w:r>
    </w:p>
    <w:p>
      <w:pPr>
        <w:numPr>
          <w:ilvl w:val="0"/>
          <w:numId w:val="42"/>
        </w:numPr>
        <w:ind w:left="1311" w:leftChars="154" w:hanging="988" w:hangingChars="353"/>
        <w:rPr>
          <w:rFonts w:ascii="宋体" w:hAnsi="宋体" w:eastAsia="宋体" w:cs="Times New Roman"/>
          <w:b/>
          <w:sz w:val="28"/>
          <w:szCs w:val="28"/>
          <w:lang w:val="zh-CN"/>
        </w:rPr>
      </w:pPr>
      <w:r>
        <w:rPr>
          <w:rFonts w:hint="eastAsia" w:ascii="宋体" w:hAnsi="宋体" w:eastAsia="宋体" w:cs="Times New Roman"/>
          <w:b/>
          <w:sz w:val="28"/>
          <w:szCs w:val="28"/>
          <w:lang w:val="zh-CN"/>
        </w:rPr>
        <w:t>综合比较与评价</w:t>
      </w:r>
    </w:p>
    <w:p>
      <w:pPr>
        <w:spacing w:line="360" w:lineRule="auto"/>
        <w:ind w:firstLine="480" w:firstLineChars="200"/>
        <w:rPr>
          <w:rFonts w:ascii="宋体" w:hAnsi="宋体" w:eastAsia="宋体" w:cs="Times New Roman"/>
          <w:bCs/>
          <w:sz w:val="24"/>
          <w:szCs w:val="20"/>
          <w:lang w:val="zh-CN"/>
        </w:rPr>
      </w:pPr>
      <w:r>
        <w:rPr>
          <w:rFonts w:ascii="宋体" w:hAnsi="宋体" w:eastAsia="宋体" w:cs="Times New Roman"/>
          <w:bCs/>
          <w:sz w:val="24"/>
          <w:szCs w:val="20"/>
          <w:lang w:val="zh-CN"/>
        </w:rPr>
        <w:t>评标委员会应当按照</w:t>
      </w:r>
      <w:r>
        <w:rPr>
          <w:rFonts w:hint="eastAsia" w:ascii="宋体" w:hAnsi="宋体" w:eastAsia="宋体" w:cs="Times New Roman"/>
          <w:bCs/>
          <w:sz w:val="24"/>
          <w:szCs w:val="20"/>
          <w:lang w:val="zh-CN"/>
        </w:rPr>
        <w:t>本章</w:t>
      </w:r>
      <w:r>
        <w:rPr>
          <w:rFonts w:ascii="宋体" w:hAnsi="宋体" w:eastAsia="宋体" w:cs="Times New Roman"/>
          <w:bCs/>
          <w:sz w:val="24"/>
          <w:szCs w:val="20"/>
          <w:lang w:val="zh-CN"/>
        </w:rPr>
        <w:t>中规定的</w:t>
      </w:r>
      <w:r>
        <w:rPr>
          <w:rFonts w:hint="eastAsia" w:ascii="宋体" w:hAnsi="宋体" w:eastAsia="宋体" w:cs="Times New Roman"/>
          <w:bCs/>
          <w:sz w:val="24"/>
          <w:szCs w:val="20"/>
          <w:lang w:val="zh-CN"/>
        </w:rPr>
        <w:t>评标方法和标准</w:t>
      </w:r>
      <w:r>
        <w:rPr>
          <w:rFonts w:ascii="宋体" w:hAnsi="宋体" w:eastAsia="宋体" w:cs="Times New Roman"/>
          <w:bCs/>
          <w:sz w:val="24"/>
          <w:szCs w:val="20"/>
          <w:lang w:val="zh-CN"/>
        </w:rPr>
        <w:t>，对符合性审查合格的投标文件进行商务和技术</w:t>
      </w:r>
      <w:r>
        <w:rPr>
          <w:rFonts w:hint="eastAsia" w:ascii="宋体" w:hAnsi="宋体" w:eastAsia="宋体" w:cs="Times New Roman"/>
          <w:bCs/>
          <w:sz w:val="24"/>
          <w:szCs w:val="20"/>
          <w:lang w:val="zh-CN"/>
        </w:rPr>
        <w:t>、服务</w:t>
      </w:r>
      <w:r>
        <w:rPr>
          <w:rFonts w:ascii="宋体" w:hAnsi="宋体" w:eastAsia="宋体" w:cs="Times New Roman"/>
          <w:bCs/>
          <w:sz w:val="24"/>
          <w:szCs w:val="20"/>
          <w:lang w:val="zh-CN"/>
        </w:rPr>
        <w:t>评估，综合比较与评价。</w:t>
      </w:r>
    </w:p>
    <w:p>
      <w:pPr>
        <w:numPr>
          <w:ilvl w:val="0"/>
          <w:numId w:val="46"/>
        </w:numPr>
        <w:tabs>
          <w:tab w:val="left" w:pos="616"/>
        </w:tabs>
        <w:spacing w:line="360" w:lineRule="auto"/>
        <w:ind w:left="10" w:leftChars="5" w:firstLine="237"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商务评议</w:t>
      </w:r>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评标委员会对符合性审查合格的投标文件进行评议，并依据本章“评审因素及评分标准”中的商务评议进行综合比较和评分。</w:t>
      </w:r>
    </w:p>
    <w:p>
      <w:pPr>
        <w:numPr>
          <w:ilvl w:val="0"/>
          <w:numId w:val="46"/>
        </w:numPr>
        <w:tabs>
          <w:tab w:val="left" w:pos="616"/>
        </w:tabs>
        <w:spacing w:line="360" w:lineRule="auto"/>
        <w:ind w:left="10" w:leftChars="5" w:firstLine="237"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技术、服务评议</w:t>
      </w:r>
    </w:p>
    <w:p>
      <w:pPr>
        <w:spacing w:line="360" w:lineRule="auto"/>
        <w:ind w:firstLine="480" w:firstLineChars="200"/>
        <w:rPr>
          <w:rFonts w:ascii="宋体" w:hAnsi="宋体" w:eastAsia="宋体" w:cs="Times New Roman"/>
          <w:kern w:val="0"/>
          <w:sz w:val="24"/>
          <w:szCs w:val="20"/>
          <w:lang w:val="zh-CN"/>
        </w:rPr>
      </w:pPr>
      <w:r>
        <w:rPr>
          <w:rFonts w:hint="eastAsia" w:ascii="宋体" w:hAnsi="宋体" w:eastAsia="宋体" w:cs="Times New Roman"/>
          <w:bCs/>
          <w:sz w:val="24"/>
          <w:szCs w:val="20"/>
          <w:lang w:val="zh-CN"/>
        </w:rPr>
        <w:t>评标委员会对符合性审查合格的投标文件进行评议，并依据本章“评审因素及评分标准”中的技术、服务评议进行综合比较和评分。</w:t>
      </w:r>
    </w:p>
    <w:p>
      <w:pPr>
        <w:numPr>
          <w:ilvl w:val="0"/>
          <w:numId w:val="46"/>
        </w:numPr>
        <w:tabs>
          <w:tab w:val="left" w:pos="616"/>
        </w:tabs>
        <w:spacing w:line="360" w:lineRule="auto"/>
        <w:ind w:left="10" w:leftChars="5" w:firstLine="237"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价格评议</w:t>
      </w:r>
    </w:p>
    <w:p>
      <w:pPr>
        <w:spacing w:line="360" w:lineRule="auto"/>
        <w:ind w:firstLine="480" w:firstLineChars="200"/>
        <w:rPr>
          <w:rFonts w:ascii="宋体" w:hAnsi="宋体" w:eastAsia="宋体" w:cs="Times New Roman"/>
          <w:b/>
          <w:color w:val="FF0000"/>
          <w:sz w:val="24"/>
          <w:szCs w:val="24"/>
        </w:rPr>
      </w:pPr>
      <w:r>
        <w:rPr>
          <w:rFonts w:hint="eastAsia" w:ascii="宋体" w:hAnsi="宋体" w:eastAsia="宋体" w:cs="Times New Roman"/>
          <w:b/>
          <w:color w:val="FF0000"/>
          <w:sz w:val="24"/>
          <w:szCs w:val="24"/>
        </w:rPr>
        <w:t>评标委员会对符合性审查合格的投标文件进行价格评议（</w:t>
      </w:r>
      <w:r>
        <w:rPr>
          <w:rFonts w:hint="eastAsia" w:ascii="宋体" w:hAnsi="宋体" w:eastAsia="宋体" w:cs="Times New Roman"/>
          <w:b/>
          <w:color w:val="FF0000"/>
          <w:sz w:val="24"/>
          <w:szCs w:val="21"/>
          <w:lang w:val="zh-CN"/>
        </w:rPr>
        <w:t>执行国家统一定价标准和采用固定价格采购的项目，其价格不列为评审因素</w:t>
      </w:r>
      <w:r>
        <w:rPr>
          <w:rFonts w:hint="eastAsia" w:ascii="宋体" w:hAnsi="宋体" w:eastAsia="宋体" w:cs="Times New Roman"/>
          <w:b/>
          <w:color w:val="FF0000"/>
          <w:sz w:val="24"/>
          <w:szCs w:val="24"/>
        </w:rPr>
        <w:t>），详见本章“评审因素及评分标准”中的具体计算公式。</w:t>
      </w:r>
    </w:p>
    <w:p>
      <w:pPr>
        <w:numPr>
          <w:ilvl w:val="0"/>
          <w:numId w:val="47"/>
        </w:numPr>
        <w:adjustRightInd w:val="0"/>
        <w:spacing w:line="360" w:lineRule="auto"/>
        <w:ind w:left="742" w:hanging="493"/>
        <w:rPr>
          <w:rFonts w:ascii="宋体" w:hAnsi="宋体" w:eastAsia="宋体" w:cs="Times New Roman"/>
          <w:bCs/>
          <w:sz w:val="24"/>
          <w:szCs w:val="21"/>
          <w:lang w:val="zh-CN"/>
        </w:rPr>
      </w:pPr>
      <w:r>
        <w:rPr>
          <w:rFonts w:hint="eastAsia" w:ascii="宋体" w:hAnsi="宋体" w:eastAsia="宋体" w:cs="Times New Roman"/>
          <w:bCs/>
          <w:color w:val="0D0D0D"/>
          <w:sz w:val="24"/>
          <w:szCs w:val="20"/>
          <w:lang w:val="zh-CN"/>
        </w:rPr>
        <w:t>报价合理性说明：评标</w:t>
      </w:r>
      <w:r>
        <w:rPr>
          <w:rFonts w:ascii="宋体" w:hAnsi="宋体" w:eastAsia="宋体" w:cs="Helvetica"/>
          <w:kern w:val="0"/>
          <w:sz w:val="24"/>
          <w:szCs w:val="24"/>
          <w:lang w:val="zh-CN"/>
        </w:rPr>
        <w:t>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w:t>
      </w:r>
      <w:r>
        <w:rPr>
          <w:rFonts w:hint="eastAsia" w:ascii="宋体" w:hAnsi="宋体" w:eastAsia="宋体" w:cs="Helvetica"/>
          <w:kern w:val="0"/>
          <w:sz w:val="24"/>
          <w:szCs w:val="24"/>
          <w:lang w:val="zh-CN"/>
        </w:rPr>
        <w:t>应当将其作为</w:t>
      </w:r>
      <w:r>
        <w:rPr>
          <w:rFonts w:ascii="宋体" w:hAnsi="宋体" w:eastAsia="宋体" w:cs="Helvetica"/>
          <w:b/>
          <w:kern w:val="0"/>
          <w:sz w:val="24"/>
          <w:szCs w:val="24"/>
          <w:lang w:val="zh-CN"/>
        </w:rPr>
        <w:t>无效投标处理</w:t>
      </w:r>
      <w:r>
        <w:rPr>
          <w:rFonts w:ascii="宋体" w:hAnsi="宋体" w:eastAsia="宋体" w:cs="Helvetica"/>
          <w:kern w:val="0"/>
          <w:sz w:val="24"/>
          <w:szCs w:val="24"/>
          <w:lang w:val="zh-CN"/>
        </w:rPr>
        <w:t>。</w:t>
      </w:r>
    </w:p>
    <w:p>
      <w:pPr>
        <w:numPr>
          <w:ilvl w:val="0"/>
          <w:numId w:val="47"/>
        </w:numPr>
        <w:adjustRightInd w:val="0"/>
        <w:spacing w:line="360" w:lineRule="auto"/>
        <w:ind w:left="742" w:hanging="493"/>
        <w:rPr>
          <w:rFonts w:ascii="宋体" w:hAnsi="宋体" w:eastAsia="宋体" w:cs="Times New Roman"/>
          <w:b/>
          <w:color w:val="FF0000"/>
          <w:sz w:val="24"/>
          <w:szCs w:val="24"/>
          <w:lang w:val="zh-CN"/>
        </w:rPr>
      </w:pPr>
      <w:r>
        <w:rPr>
          <w:rFonts w:hint="eastAsia" w:ascii="宋体" w:hAnsi="宋体" w:eastAsia="宋体" w:cs="Times New Roman"/>
          <w:b/>
          <w:color w:val="FF0000"/>
          <w:sz w:val="24"/>
          <w:szCs w:val="24"/>
          <w:lang w:val="zh-CN"/>
        </w:rPr>
        <w:t>小型和微型企业、监狱企业、残疾人福利性单位价格扣除：</w:t>
      </w:r>
    </w:p>
    <w:p>
      <w:pPr>
        <w:numPr>
          <w:ilvl w:val="0"/>
          <w:numId w:val="48"/>
        </w:numPr>
        <w:spacing w:line="360" w:lineRule="auto"/>
        <w:ind w:left="1134" w:hanging="756"/>
        <w:rPr>
          <w:rFonts w:ascii="宋体" w:hAnsi="宋体" w:eastAsia="宋体" w:cs="Times New Roman"/>
          <w:bCs/>
          <w:color w:val="FF0000"/>
          <w:sz w:val="24"/>
          <w:szCs w:val="20"/>
          <w:lang w:val="zh-CN"/>
        </w:rPr>
      </w:pPr>
      <w:r>
        <w:rPr>
          <w:rFonts w:hint="eastAsia" w:ascii="宋体" w:hAnsi="宋体" w:eastAsia="宋体" w:cs="Times New Roman"/>
          <w:bCs/>
          <w:color w:val="FF0000"/>
          <w:sz w:val="24"/>
          <w:szCs w:val="20"/>
          <w:lang w:val="zh-CN"/>
        </w:rPr>
        <w:t>非专门面向中小企业的货物类采购项目，按招标文件中采购清单确定的货物，对小型和微型企业制造的货物价格给予</w:t>
      </w:r>
      <w:r>
        <w:rPr>
          <w:rFonts w:hint="eastAsia" w:ascii="宋体" w:hAnsi="宋体" w:eastAsia="宋体" w:cs="Times New Roman"/>
          <w:b/>
          <w:bCs/>
          <w:color w:val="FF0000"/>
          <w:sz w:val="24"/>
          <w:szCs w:val="20"/>
          <w:lang w:val="zh-CN"/>
        </w:rPr>
        <w:t>6%</w:t>
      </w:r>
      <w:r>
        <w:rPr>
          <w:rFonts w:hint="eastAsia" w:ascii="宋体" w:hAnsi="宋体" w:eastAsia="宋体" w:cs="Times New Roman"/>
          <w:bCs/>
          <w:color w:val="FF0000"/>
          <w:sz w:val="24"/>
          <w:szCs w:val="20"/>
          <w:lang w:val="zh-CN"/>
        </w:rPr>
        <w:t>的扣除，用扣除后的价格参与评审。</w:t>
      </w:r>
    </w:p>
    <w:p>
      <w:pPr>
        <w:numPr>
          <w:ilvl w:val="0"/>
          <w:numId w:val="48"/>
        </w:numPr>
        <w:spacing w:line="360" w:lineRule="auto"/>
        <w:ind w:left="1134" w:hanging="756"/>
        <w:rPr>
          <w:rFonts w:ascii="宋体" w:hAnsi="宋体" w:eastAsia="宋体" w:cs="Times New Roman"/>
          <w:bCs/>
          <w:color w:val="FF0000"/>
          <w:sz w:val="24"/>
          <w:szCs w:val="20"/>
          <w:lang w:val="zh-CN"/>
        </w:rPr>
      </w:pPr>
      <w:r>
        <w:rPr>
          <w:rFonts w:hint="eastAsia" w:ascii="宋体" w:hAnsi="宋体" w:eastAsia="宋体" w:cs="Times New Roman"/>
          <w:bCs/>
          <w:color w:val="FF0000"/>
          <w:sz w:val="24"/>
          <w:szCs w:val="20"/>
          <w:lang w:val="zh-CN"/>
        </w:rPr>
        <w:t>非专门面向中小企业的工程、服务类采购项目，投标人是小型和微型企业的价格给予</w:t>
      </w:r>
      <w:r>
        <w:rPr>
          <w:rFonts w:hint="eastAsia" w:ascii="宋体" w:hAnsi="宋体" w:eastAsia="宋体" w:cs="Times New Roman"/>
          <w:b/>
          <w:bCs/>
          <w:color w:val="FF0000"/>
          <w:sz w:val="24"/>
          <w:szCs w:val="20"/>
          <w:lang w:val="zh-CN"/>
        </w:rPr>
        <w:t>6%</w:t>
      </w:r>
      <w:r>
        <w:rPr>
          <w:rFonts w:hint="eastAsia" w:ascii="宋体" w:hAnsi="宋体" w:eastAsia="宋体" w:cs="Times New Roman"/>
          <w:bCs/>
          <w:color w:val="FF0000"/>
          <w:sz w:val="24"/>
          <w:szCs w:val="20"/>
          <w:lang w:val="zh-CN"/>
        </w:rPr>
        <w:t>的扣除，用扣除后的价格参与评审。</w:t>
      </w:r>
    </w:p>
    <w:p>
      <w:pPr>
        <w:numPr>
          <w:ilvl w:val="0"/>
          <w:numId w:val="48"/>
        </w:numPr>
        <w:spacing w:line="360" w:lineRule="auto"/>
        <w:ind w:left="1134" w:hanging="756"/>
        <w:rPr>
          <w:rFonts w:ascii="宋体" w:hAnsi="宋体" w:eastAsia="宋体" w:cs="Times New Roman"/>
          <w:bCs/>
          <w:color w:val="FF0000"/>
          <w:sz w:val="24"/>
          <w:szCs w:val="20"/>
          <w:lang w:val="zh-CN"/>
        </w:rPr>
      </w:pPr>
      <w:r>
        <w:rPr>
          <w:rFonts w:ascii="宋体" w:hAnsi="宋体" w:eastAsia="宋体" w:cs="Times New Roman"/>
          <w:bCs/>
          <w:color w:val="FF0000"/>
          <w:sz w:val="24"/>
          <w:szCs w:val="20"/>
          <w:lang w:val="zh-CN"/>
        </w:rPr>
        <w:t>鼓励大中型企业和其他自然人</w:t>
      </w:r>
      <w:r>
        <w:rPr>
          <w:rFonts w:ascii="宋体" w:hAnsi="宋体" w:eastAsia="宋体" w:cs="Times New Roman"/>
          <w:bCs/>
          <w:color w:val="FF0000"/>
          <w:sz w:val="24"/>
          <w:szCs w:val="20"/>
        </w:rPr>
        <w:t>、法人或者其他组织与小型、微型企业组成联合体共同参加非专门面向中小企业的政府采购活动。联合协议中约定，小型、微型企业的协议合同金额占到联合体协议合同总金额</w:t>
      </w:r>
      <w:r>
        <w:rPr>
          <w:rFonts w:ascii="宋体" w:hAnsi="宋体" w:eastAsia="宋体" w:cs="Times New Roman"/>
          <w:b/>
          <w:bCs/>
          <w:color w:val="FF0000"/>
          <w:sz w:val="24"/>
          <w:szCs w:val="20"/>
        </w:rPr>
        <w:t>30%</w:t>
      </w:r>
      <w:r>
        <w:rPr>
          <w:rFonts w:ascii="宋体" w:hAnsi="宋体" w:eastAsia="宋体" w:cs="Times New Roman"/>
          <w:bCs/>
          <w:color w:val="FF0000"/>
          <w:sz w:val="24"/>
          <w:szCs w:val="20"/>
        </w:rPr>
        <w:t>以上的，可给予联合体</w:t>
      </w:r>
      <w:r>
        <w:rPr>
          <w:rFonts w:ascii="宋体" w:hAnsi="宋体" w:eastAsia="宋体" w:cs="Times New Roman"/>
          <w:b/>
          <w:bCs/>
          <w:color w:val="FF0000"/>
          <w:sz w:val="24"/>
          <w:szCs w:val="20"/>
          <w:lang w:val="zh-CN"/>
        </w:rPr>
        <w:t>3%</w:t>
      </w:r>
      <w:r>
        <w:rPr>
          <w:rFonts w:ascii="宋体" w:hAnsi="宋体" w:eastAsia="宋体" w:cs="Times New Roman"/>
          <w:bCs/>
          <w:color w:val="FF0000"/>
          <w:sz w:val="24"/>
          <w:szCs w:val="20"/>
        </w:rPr>
        <w:t>的价格扣除</w:t>
      </w:r>
      <w:r>
        <w:rPr>
          <w:rFonts w:hint="eastAsia" w:ascii="宋体" w:hAnsi="宋体" w:eastAsia="宋体" w:cs="Times New Roman"/>
          <w:bCs/>
          <w:color w:val="FF0000"/>
          <w:sz w:val="24"/>
          <w:szCs w:val="20"/>
        </w:rPr>
        <w:t>，</w:t>
      </w:r>
      <w:r>
        <w:rPr>
          <w:rFonts w:hint="eastAsia" w:ascii="宋体" w:hAnsi="宋体" w:eastAsia="宋体" w:cs="Times New Roman"/>
          <w:bCs/>
          <w:color w:val="FF0000"/>
          <w:sz w:val="24"/>
          <w:szCs w:val="20"/>
          <w:lang w:val="zh-CN"/>
        </w:rPr>
        <w:t>不重复享受政策。</w:t>
      </w:r>
    </w:p>
    <w:p>
      <w:pPr>
        <w:numPr>
          <w:ilvl w:val="0"/>
          <w:numId w:val="48"/>
        </w:numPr>
        <w:spacing w:line="360" w:lineRule="auto"/>
        <w:ind w:left="1134" w:hanging="756"/>
        <w:rPr>
          <w:rFonts w:ascii="宋体" w:hAnsi="宋体" w:eastAsia="宋体" w:cs="Times New Roman"/>
          <w:bCs/>
          <w:color w:val="FF0000"/>
          <w:sz w:val="24"/>
          <w:szCs w:val="20"/>
          <w:lang w:val="zh-CN"/>
        </w:rPr>
      </w:pPr>
      <w:r>
        <w:rPr>
          <w:rFonts w:ascii="宋体" w:hAnsi="宋体" w:eastAsia="宋体" w:cs="Times New Roman"/>
          <w:bCs/>
          <w:color w:val="FF0000"/>
          <w:sz w:val="24"/>
          <w:szCs w:val="20"/>
          <w:lang w:val="zh-CN"/>
        </w:rPr>
        <w:t>监狱企业</w:t>
      </w:r>
      <w:r>
        <w:rPr>
          <w:rFonts w:hint="eastAsia" w:ascii="宋体" w:hAnsi="宋体" w:eastAsia="宋体" w:cs="Times New Roman"/>
          <w:bCs/>
          <w:color w:val="FF0000"/>
          <w:sz w:val="24"/>
          <w:szCs w:val="20"/>
          <w:lang w:val="zh-CN"/>
        </w:rPr>
        <w:t>、残疾人福利性单位</w:t>
      </w:r>
      <w:r>
        <w:rPr>
          <w:rFonts w:ascii="宋体" w:hAnsi="宋体" w:eastAsia="宋体" w:cs="Times New Roman"/>
          <w:bCs/>
          <w:color w:val="FF0000"/>
          <w:sz w:val="24"/>
          <w:szCs w:val="20"/>
          <w:lang w:val="zh-CN"/>
        </w:rPr>
        <w:t>视同小型、微型企业，享受预留份额、评审中价格扣除等政府采购促进中小企业发展的政府采购政策</w:t>
      </w:r>
      <w:r>
        <w:rPr>
          <w:rFonts w:hint="eastAsia" w:ascii="宋体" w:hAnsi="宋体" w:eastAsia="宋体" w:cs="Times New Roman"/>
          <w:bCs/>
          <w:color w:val="FF0000"/>
          <w:sz w:val="24"/>
          <w:szCs w:val="20"/>
          <w:lang w:val="zh-CN"/>
        </w:rPr>
        <w:t>，残疾人福利性单位属于小型、微型企业的，不重复享受政策。</w:t>
      </w:r>
    </w:p>
    <w:p>
      <w:pPr>
        <w:numPr>
          <w:ilvl w:val="0"/>
          <w:numId w:val="48"/>
        </w:numPr>
        <w:spacing w:line="360" w:lineRule="auto"/>
        <w:ind w:left="1134" w:hanging="756"/>
        <w:rPr>
          <w:rFonts w:ascii="宋体" w:hAnsi="宋体" w:eastAsia="宋体" w:cs="Times New Roman"/>
          <w:bCs/>
          <w:color w:val="FF0000"/>
          <w:sz w:val="24"/>
          <w:szCs w:val="20"/>
          <w:lang w:val="zh-CN"/>
        </w:rPr>
      </w:pPr>
      <w:r>
        <w:rPr>
          <w:rFonts w:hint="eastAsia" w:ascii="宋体" w:hAnsi="宋体" w:eastAsia="宋体" w:cs="Times New Roman"/>
          <w:bCs/>
          <w:color w:val="FF0000"/>
          <w:sz w:val="24"/>
          <w:szCs w:val="20"/>
          <w:lang w:val="zh-CN"/>
        </w:rPr>
        <w:t>小型和微型企业应出具《声明函》（附件二、三）；监狱企业应提供由省级监狱局、戒毒局（含新疆生产建设兵团）出具的监狱企业的证明文件；残疾人福利性单位提供《声明函》（附件四）。</w:t>
      </w:r>
    </w:p>
    <w:p>
      <w:pPr>
        <w:numPr>
          <w:ilvl w:val="0"/>
          <w:numId w:val="46"/>
        </w:numPr>
        <w:tabs>
          <w:tab w:val="left" w:pos="616"/>
        </w:tabs>
        <w:spacing w:line="360" w:lineRule="auto"/>
        <w:ind w:left="10" w:leftChars="5" w:firstLine="237"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相同品牌处理原则</w:t>
      </w:r>
    </w:p>
    <w:p>
      <w:pPr>
        <w:numPr>
          <w:ilvl w:val="0"/>
          <w:numId w:val="49"/>
        </w:numPr>
        <w:adjustRightInd w:val="0"/>
        <w:spacing w:line="360" w:lineRule="auto"/>
        <w:ind w:left="756" w:hanging="507"/>
        <w:rPr>
          <w:rFonts w:ascii="Helvetica" w:hAnsi="Helvetica" w:eastAsia="宋体" w:cs="Helvetica"/>
          <w:color w:val="0D0D0D"/>
          <w:kern w:val="0"/>
          <w:sz w:val="24"/>
          <w:szCs w:val="24"/>
          <w:lang w:val="zh-CN"/>
        </w:rPr>
      </w:pPr>
      <w:r>
        <w:rPr>
          <w:rFonts w:ascii="Helvetica" w:hAnsi="Helvetica" w:eastAsia="宋体" w:cs="Helvetica"/>
          <w:color w:val="0D0D0D"/>
          <w:kern w:val="0"/>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w:t>
      </w:r>
      <w:r>
        <w:rPr>
          <w:rFonts w:hint="eastAsia" w:ascii="Helvetica" w:hAnsi="Helvetica" w:eastAsia="宋体" w:cs="Helvetica"/>
          <w:color w:val="0D0D0D"/>
          <w:kern w:val="0"/>
          <w:sz w:val="24"/>
          <w:szCs w:val="24"/>
          <w:lang w:val="zh-CN"/>
        </w:rPr>
        <w:t>确定</w:t>
      </w:r>
      <w:r>
        <w:rPr>
          <w:rFonts w:ascii="Helvetica" w:hAnsi="Helvetica" w:eastAsia="宋体" w:cs="Helvetica"/>
          <w:color w:val="0D0D0D"/>
          <w:kern w:val="0"/>
          <w:sz w:val="24"/>
          <w:szCs w:val="24"/>
          <w:lang w:val="zh-CN"/>
        </w:rPr>
        <w:t>或者采购人委托评标委员会</w:t>
      </w:r>
      <w:r>
        <w:rPr>
          <w:rFonts w:hint="eastAsia" w:ascii="Helvetica" w:hAnsi="Helvetica" w:eastAsia="宋体" w:cs="Helvetica"/>
          <w:color w:val="0D0D0D"/>
          <w:kern w:val="0"/>
          <w:sz w:val="24"/>
          <w:szCs w:val="24"/>
          <w:lang w:val="zh-CN"/>
        </w:rPr>
        <w:t>以投票方式</w:t>
      </w:r>
      <w:r>
        <w:rPr>
          <w:rFonts w:ascii="Helvetica" w:hAnsi="Helvetica" w:eastAsia="宋体" w:cs="Helvetica"/>
          <w:color w:val="0D0D0D"/>
          <w:kern w:val="0"/>
          <w:sz w:val="24"/>
          <w:szCs w:val="24"/>
          <w:lang w:val="zh-CN"/>
        </w:rPr>
        <w:t>确定一个投标人获得中标人推荐资格，其他同品牌投标人不作为中标候选人。</w:t>
      </w:r>
    </w:p>
    <w:p>
      <w:pPr>
        <w:numPr>
          <w:ilvl w:val="0"/>
          <w:numId w:val="49"/>
        </w:numPr>
        <w:adjustRightInd w:val="0"/>
        <w:spacing w:line="360" w:lineRule="auto"/>
        <w:ind w:left="756" w:hanging="507"/>
        <w:rPr>
          <w:rFonts w:ascii="Helvetica" w:hAnsi="Helvetica" w:eastAsia="宋体" w:cs="Helvetica"/>
          <w:color w:val="0D0D0D"/>
          <w:kern w:val="0"/>
          <w:sz w:val="24"/>
          <w:szCs w:val="24"/>
          <w:lang w:val="zh-CN"/>
        </w:rPr>
      </w:pPr>
      <w:r>
        <w:rPr>
          <w:rFonts w:ascii="Helvetica" w:hAnsi="Helvetica" w:eastAsia="宋体" w:cs="Helvetica"/>
          <w:color w:val="0D0D0D"/>
          <w:kern w:val="0"/>
          <w:sz w:val="24"/>
          <w:szCs w:val="24"/>
          <w:lang w:val="zh-CN"/>
        </w:rPr>
        <w:t>非单一产品采购项目，采购人</w:t>
      </w:r>
      <w:r>
        <w:rPr>
          <w:rFonts w:ascii="Helvetica" w:hAnsi="Helvetica" w:eastAsia="宋体" w:cs="Helvetica"/>
          <w:kern w:val="0"/>
          <w:sz w:val="24"/>
          <w:szCs w:val="24"/>
          <w:lang w:val="zh-CN"/>
        </w:rPr>
        <w:t>应当根据采购项目技术构成、产品价格比重等合理确定</w:t>
      </w:r>
      <w:r>
        <w:rPr>
          <w:rFonts w:hint="eastAsia" w:ascii="Helvetica" w:hAnsi="Helvetica" w:eastAsia="宋体" w:cs="Helvetica"/>
          <w:b/>
          <w:kern w:val="0"/>
          <w:sz w:val="24"/>
          <w:szCs w:val="24"/>
          <w:lang w:val="zh-CN"/>
        </w:rPr>
        <w:t>一个</w:t>
      </w:r>
      <w:r>
        <w:rPr>
          <w:rFonts w:ascii="Helvetica" w:hAnsi="Helvetica" w:eastAsia="宋体" w:cs="Helvetica"/>
          <w:b/>
          <w:kern w:val="0"/>
          <w:sz w:val="24"/>
          <w:szCs w:val="24"/>
          <w:lang w:val="zh-CN"/>
        </w:rPr>
        <w:t>核心产品</w:t>
      </w:r>
      <w:r>
        <w:rPr>
          <w:rFonts w:hint="eastAsia" w:ascii="Helvetica" w:hAnsi="Helvetica" w:eastAsia="宋体" w:cs="Helvetica"/>
          <w:kern w:val="0"/>
          <w:sz w:val="24"/>
          <w:szCs w:val="24"/>
          <w:lang w:val="zh-CN"/>
        </w:rPr>
        <w:t>（</w:t>
      </w:r>
      <w:r>
        <w:rPr>
          <w:rFonts w:hint="eastAsia" w:ascii="Helvetica" w:hAnsi="Helvetica" w:eastAsia="宋体" w:cs="Helvetica"/>
          <w:color w:val="0D0D0D"/>
          <w:kern w:val="0"/>
          <w:sz w:val="24"/>
          <w:szCs w:val="24"/>
          <w:lang w:val="zh-CN"/>
        </w:rPr>
        <w:t>采购清单中作“相同〈或同一〉品牌”实质性要求的产品，视为一个核心产品</w:t>
      </w:r>
      <w:r>
        <w:rPr>
          <w:rFonts w:hint="eastAsia" w:ascii="Helvetica" w:hAnsi="Helvetica" w:eastAsia="宋体" w:cs="Helvetica"/>
          <w:kern w:val="0"/>
          <w:sz w:val="24"/>
          <w:szCs w:val="24"/>
          <w:lang w:val="zh-CN"/>
        </w:rPr>
        <w:t>）</w:t>
      </w:r>
      <w:r>
        <w:rPr>
          <w:rFonts w:hint="eastAsia" w:ascii="Helvetica" w:hAnsi="Helvetica" w:eastAsia="宋体" w:cs="Helvetica"/>
          <w:color w:val="0D0D0D"/>
          <w:kern w:val="0"/>
          <w:sz w:val="24"/>
          <w:szCs w:val="24"/>
          <w:lang w:val="zh-CN"/>
        </w:rPr>
        <w:t>，</w:t>
      </w:r>
      <w:r>
        <w:rPr>
          <w:rFonts w:ascii="Helvetica" w:hAnsi="Helvetica" w:eastAsia="宋体" w:cs="Helvetica"/>
          <w:kern w:val="0"/>
          <w:sz w:val="24"/>
          <w:szCs w:val="24"/>
          <w:lang w:val="zh-CN"/>
        </w:rPr>
        <w:t>并</w:t>
      </w:r>
      <w:r>
        <w:rPr>
          <w:rFonts w:hint="eastAsia" w:ascii="Helvetica" w:hAnsi="Helvetica" w:eastAsia="宋体" w:cs="Helvetica"/>
          <w:kern w:val="0"/>
          <w:sz w:val="24"/>
          <w:szCs w:val="24"/>
          <w:lang w:val="zh-CN"/>
        </w:rPr>
        <w:t>以</w:t>
      </w:r>
      <w:r>
        <w:rPr>
          <w:rFonts w:hint="eastAsia" w:ascii="Helvetica" w:hAnsi="Helvetica" w:eastAsia="宋体" w:cs="Helvetica"/>
          <w:b/>
          <w:kern w:val="0"/>
          <w:sz w:val="24"/>
          <w:szCs w:val="24"/>
          <w:lang w:val="zh-CN"/>
        </w:rPr>
        <w:t>“</w:t>
      </w:r>
      <w:r>
        <w:rPr>
          <w:rFonts w:hint="eastAsia" w:ascii="MS Gothic" w:hAnsi="MS Gothic" w:eastAsia="宋体" w:cs="MS Gothic"/>
          <w:b/>
          <w:kern w:val="0"/>
          <w:sz w:val="24"/>
          <w:szCs w:val="24"/>
          <w:lang w:val="zh-CN"/>
        </w:rPr>
        <w:t>核心产品</w:t>
      </w:r>
      <w:r>
        <w:rPr>
          <w:rFonts w:hint="eastAsia" w:ascii="Helvetica" w:hAnsi="Helvetica" w:eastAsia="宋体" w:cs="Helvetica"/>
          <w:b/>
          <w:kern w:val="0"/>
          <w:sz w:val="24"/>
          <w:szCs w:val="24"/>
          <w:lang w:val="zh-CN"/>
        </w:rPr>
        <w:t>”</w:t>
      </w:r>
      <w:r>
        <w:rPr>
          <w:rFonts w:ascii="Helvetica" w:hAnsi="Helvetica" w:eastAsia="宋体" w:cs="Helvetica"/>
          <w:kern w:val="0"/>
          <w:sz w:val="24"/>
          <w:szCs w:val="24"/>
          <w:lang w:val="zh-CN"/>
        </w:rPr>
        <w:t>在</w:t>
      </w:r>
      <w:r>
        <w:rPr>
          <w:rFonts w:ascii="Helvetica" w:hAnsi="Helvetica" w:eastAsia="宋体" w:cs="Helvetica"/>
          <w:color w:val="0D0D0D"/>
          <w:kern w:val="0"/>
          <w:sz w:val="24"/>
          <w:szCs w:val="24"/>
          <w:lang w:val="zh-CN"/>
        </w:rPr>
        <w:t>招标文件中</w:t>
      </w:r>
      <w:r>
        <w:rPr>
          <w:rFonts w:hint="eastAsia" w:ascii="Helvetica" w:hAnsi="Helvetica" w:eastAsia="宋体" w:cs="Helvetica"/>
          <w:color w:val="0D0D0D"/>
          <w:kern w:val="0"/>
          <w:sz w:val="24"/>
          <w:szCs w:val="24"/>
          <w:lang w:val="zh-CN"/>
        </w:rPr>
        <w:t>标注</w:t>
      </w:r>
      <w:r>
        <w:rPr>
          <w:rFonts w:ascii="Helvetica" w:hAnsi="Helvetica" w:eastAsia="宋体" w:cs="Helvetica"/>
          <w:color w:val="0D0D0D"/>
          <w:kern w:val="0"/>
          <w:sz w:val="24"/>
          <w:szCs w:val="24"/>
          <w:lang w:val="zh-CN"/>
        </w:rPr>
        <w:t>。</w:t>
      </w:r>
    </w:p>
    <w:p>
      <w:pPr>
        <w:numPr>
          <w:ilvl w:val="0"/>
          <w:numId w:val="46"/>
        </w:numPr>
        <w:tabs>
          <w:tab w:val="left" w:pos="616"/>
        </w:tabs>
        <w:spacing w:line="360" w:lineRule="auto"/>
        <w:ind w:left="10" w:leftChars="5" w:firstLine="237"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计分办法</w:t>
      </w:r>
    </w:p>
    <w:p>
      <w:pPr>
        <w:numPr>
          <w:ilvl w:val="0"/>
          <w:numId w:val="50"/>
        </w:numPr>
        <w:adjustRightInd w:val="0"/>
        <w:spacing w:line="360" w:lineRule="auto"/>
        <w:ind w:left="756" w:hanging="507"/>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采购机构对各评委的总分进行复核。各项统计结果均精确到小数点后两位。</w:t>
      </w:r>
    </w:p>
    <w:p>
      <w:pPr>
        <w:numPr>
          <w:ilvl w:val="0"/>
          <w:numId w:val="50"/>
        </w:numPr>
        <w:adjustRightInd w:val="0"/>
        <w:spacing w:line="360" w:lineRule="auto"/>
        <w:ind w:left="756" w:hanging="507"/>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各投标人的最终得分为评委所评定分数的算术平均值。</w:t>
      </w:r>
    </w:p>
    <w:p>
      <w:pPr>
        <w:numPr>
          <w:ilvl w:val="0"/>
          <w:numId w:val="42"/>
        </w:numPr>
        <w:ind w:left="1311" w:leftChars="154" w:hanging="988" w:hangingChars="353"/>
        <w:rPr>
          <w:rFonts w:ascii="宋体" w:hAnsi="宋体" w:eastAsia="宋体" w:cs="Times New Roman"/>
          <w:b/>
          <w:sz w:val="28"/>
          <w:szCs w:val="28"/>
          <w:lang w:val="zh-CN"/>
        </w:rPr>
      </w:pPr>
      <w:r>
        <w:rPr>
          <w:rFonts w:hint="eastAsia" w:ascii="宋体" w:hAnsi="宋体" w:eastAsia="宋体" w:cs="Times New Roman"/>
          <w:b/>
          <w:sz w:val="28"/>
          <w:szCs w:val="28"/>
          <w:lang w:val="zh-CN"/>
        </w:rPr>
        <w:t>推荐中标候选人名单或确定中标人</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评标委员会按照招标文件确定的评标方法、程序及标准，对投标文件进行评审。</w:t>
      </w:r>
      <w:r>
        <w:rPr>
          <w:rFonts w:ascii="Helvetica" w:hAnsi="Helvetica" w:eastAsia="宋体" w:cs="Helvetica"/>
          <w:kern w:val="0"/>
          <w:sz w:val="24"/>
          <w:szCs w:val="24"/>
          <w:lang w:val="zh-CN"/>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评标委员会依据评标结果，按各投标人的评审后得分由高到低的顺序向采购人推荐得分前三名的进入中标候选人名单，并形成书面的评标报告。</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中标候选人并列的，</w:t>
      </w:r>
      <w:r>
        <w:rPr>
          <w:rFonts w:ascii="Helvetica" w:hAnsi="Helvetica" w:eastAsia="宋体" w:cs="Helvetica"/>
          <w:kern w:val="0"/>
          <w:sz w:val="24"/>
          <w:szCs w:val="24"/>
          <w:lang w:val="zh-CN"/>
        </w:rPr>
        <w:t>由采购人</w:t>
      </w:r>
      <w:r>
        <w:rPr>
          <w:rFonts w:hint="eastAsia" w:ascii="Helvetica" w:hAnsi="Helvetica" w:eastAsia="宋体" w:cs="Helvetica"/>
          <w:kern w:val="0"/>
          <w:sz w:val="24"/>
          <w:szCs w:val="24"/>
          <w:lang w:val="zh-CN"/>
        </w:rPr>
        <w:t>确定</w:t>
      </w:r>
      <w:r>
        <w:rPr>
          <w:rFonts w:ascii="Helvetica" w:hAnsi="Helvetica" w:eastAsia="宋体" w:cs="Helvetica"/>
          <w:kern w:val="0"/>
          <w:sz w:val="24"/>
          <w:szCs w:val="24"/>
          <w:lang w:val="zh-CN"/>
        </w:rPr>
        <w:t>或者采购人委托评标委员会</w:t>
      </w:r>
      <w:r>
        <w:rPr>
          <w:rFonts w:hint="eastAsia" w:ascii="Helvetica" w:hAnsi="Helvetica" w:eastAsia="宋体" w:cs="Helvetica"/>
          <w:kern w:val="0"/>
          <w:sz w:val="24"/>
          <w:szCs w:val="24"/>
          <w:lang w:val="zh-CN"/>
        </w:rPr>
        <w:t>以投票方式</w:t>
      </w:r>
      <w:r>
        <w:rPr>
          <w:rFonts w:ascii="Helvetica" w:hAnsi="Helvetica" w:eastAsia="宋体" w:cs="Helvetica"/>
          <w:kern w:val="0"/>
          <w:sz w:val="24"/>
          <w:szCs w:val="24"/>
          <w:lang w:val="zh-CN"/>
        </w:rPr>
        <w:t>确定中标人。</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评标委员会应当在评标报告上签字，对自己的评审意见承担法律责任。对评标报告有异议的，应当在评标报告上签署不同意见，并说明理由，否则视为同意评标报告。</w:t>
      </w:r>
    </w:p>
    <w:p>
      <w:pPr>
        <w:numPr>
          <w:ilvl w:val="0"/>
          <w:numId w:val="51"/>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中标人的数量有其他规定的，应在此处明确方法、中标比例等。</w:t>
      </w:r>
    </w:p>
    <w:p>
      <w:pPr>
        <w:pStyle w:val="23"/>
        <w:ind w:left="420" w:firstLine="480"/>
        <w:rPr>
          <w:rFonts w:ascii="Helvetica" w:hAnsi="Helvetica" w:eastAsia="宋体" w:cs="Helvetica"/>
          <w:kern w:val="0"/>
          <w:sz w:val="24"/>
          <w:szCs w:val="24"/>
          <w:lang w:val="zh-CN"/>
        </w:rPr>
      </w:pPr>
      <w:bookmarkStart w:id="70" w:name="_Hlk89336112"/>
    </w:p>
    <w:p>
      <w:pPr>
        <w:rPr>
          <w:rFonts w:cs="Times New Roman" w:asciiTheme="majorEastAsia" w:hAnsiTheme="majorEastAsia" w:eastAsiaTheme="majorEastAsia"/>
          <w:b/>
          <w:sz w:val="30"/>
          <w:szCs w:val="30"/>
          <w:lang w:val="zh-CN"/>
        </w:rPr>
      </w:pPr>
      <w:r>
        <w:rPr>
          <w:rFonts w:hint="eastAsia" w:ascii="Helvetica" w:hAnsi="Helvetica" w:eastAsia="宋体" w:cs="Helvetica"/>
          <w:kern w:val="0"/>
          <w:sz w:val="24"/>
          <w:szCs w:val="24"/>
          <w:lang w:val="zh-CN"/>
        </w:rPr>
        <w:br w:type="page"/>
      </w:r>
      <w:bookmarkEnd w:id="70"/>
    </w:p>
    <w:p>
      <w:r>
        <w:rPr>
          <w:rFonts w:hint="eastAsia" w:cs="Times New Roman" w:asciiTheme="majorEastAsia" w:hAnsiTheme="majorEastAsia" w:eastAsiaTheme="majorEastAsia"/>
          <w:b/>
          <w:sz w:val="30"/>
          <w:szCs w:val="30"/>
          <w:lang w:val="zh-CN"/>
        </w:rPr>
        <w:t>一、评审因素及评审标准</w:t>
      </w:r>
    </w:p>
    <w:tbl>
      <w:tblPr>
        <w:tblStyle w:val="24"/>
        <w:tblW w:w="8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474"/>
        <w:gridCol w:w="865"/>
        <w:gridCol w:w="44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758" w:type="dxa"/>
            <w:gridSpan w:val="3"/>
            <w:vAlign w:val="center"/>
          </w:tcPr>
          <w:p>
            <w:pPr>
              <w:jc w:val="center"/>
              <w:rPr>
                <w:rFonts w:ascii="宋体" w:hAnsi="宋体" w:eastAsia="宋体" w:cs="宋体"/>
                <w:b/>
                <w:bCs/>
                <w:szCs w:val="21"/>
              </w:rPr>
            </w:pPr>
            <w:r>
              <w:rPr>
                <w:rFonts w:hint="eastAsia" w:ascii="宋体" w:hAnsi="宋体" w:eastAsia="宋体" w:cs="宋体"/>
                <w:b/>
                <w:bCs/>
                <w:szCs w:val="21"/>
              </w:rPr>
              <w:t>评分项目</w:t>
            </w:r>
          </w:p>
        </w:tc>
        <w:tc>
          <w:tcPr>
            <w:tcW w:w="442" w:type="dxa"/>
            <w:vAlign w:val="center"/>
          </w:tcPr>
          <w:p>
            <w:pPr>
              <w:jc w:val="center"/>
              <w:rPr>
                <w:rFonts w:ascii="宋体" w:hAnsi="宋体" w:eastAsia="宋体" w:cs="宋体"/>
                <w:b/>
                <w:bCs/>
                <w:szCs w:val="21"/>
              </w:rPr>
            </w:pPr>
            <w:r>
              <w:rPr>
                <w:rFonts w:hint="eastAsia" w:ascii="宋体" w:hAnsi="宋体" w:eastAsia="宋体" w:cs="宋体"/>
                <w:b/>
                <w:bCs/>
                <w:szCs w:val="21"/>
              </w:rPr>
              <w:t>分值</w:t>
            </w:r>
          </w:p>
        </w:tc>
        <w:tc>
          <w:tcPr>
            <w:tcW w:w="5483" w:type="dxa"/>
            <w:vAlign w:val="center"/>
          </w:tcPr>
          <w:p>
            <w:pPr>
              <w:jc w:val="center"/>
              <w:rPr>
                <w:rFonts w:ascii="宋体" w:hAnsi="宋体" w:eastAsia="宋体" w:cs="宋体"/>
                <w:b/>
                <w:bCs/>
                <w:szCs w:val="21"/>
              </w:rPr>
            </w:pPr>
            <w:r>
              <w:rPr>
                <w:rFonts w:hint="eastAsia" w:ascii="宋体" w:hAnsi="宋体" w:eastAsia="宋体" w:cs="宋体"/>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jc w:val="center"/>
        </w:trPr>
        <w:tc>
          <w:tcPr>
            <w:tcW w:w="1419" w:type="dxa"/>
            <w:vAlign w:val="center"/>
          </w:tcPr>
          <w:p>
            <w:pPr>
              <w:jc w:val="center"/>
              <w:rPr>
                <w:rFonts w:ascii="宋体" w:hAnsi="宋体" w:eastAsia="宋体" w:cs="宋体"/>
                <w:szCs w:val="21"/>
              </w:rPr>
            </w:pPr>
            <w:r>
              <w:rPr>
                <w:rFonts w:hint="eastAsia" w:ascii="宋体" w:hAnsi="宋体" w:eastAsia="宋体" w:cs="宋体"/>
                <w:szCs w:val="21"/>
              </w:rPr>
              <w:t>价格部分</w:t>
            </w:r>
          </w:p>
          <w:p>
            <w:r>
              <w:rPr>
                <w:rFonts w:hint="eastAsia"/>
              </w:rPr>
              <w:t>（10分）</w:t>
            </w:r>
          </w:p>
        </w:tc>
        <w:tc>
          <w:tcPr>
            <w:tcW w:w="1339" w:type="dxa"/>
            <w:gridSpan w:val="2"/>
            <w:vAlign w:val="center"/>
          </w:tcPr>
          <w:p>
            <w:pPr>
              <w:jc w:val="center"/>
              <w:rPr>
                <w:rFonts w:ascii="宋体" w:hAnsi="宋体" w:eastAsia="宋体" w:cs="宋体"/>
                <w:szCs w:val="21"/>
              </w:rPr>
            </w:pPr>
            <w:r>
              <w:rPr>
                <w:rFonts w:hint="eastAsia" w:ascii="宋体" w:hAnsi="宋体" w:eastAsia="宋体" w:cs="宋体"/>
                <w:szCs w:val="21"/>
              </w:rPr>
              <w:t>报价</w:t>
            </w:r>
          </w:p>
          <w:p>
            <w:pPr>
              <w:jc w:val="center"/>
              <w:rPr>
                <w:rFonts w:ascii="宋体" w:hAnsi="宋体" w:eastAsia="宋体" w:cs="宋体"/>
                <w:szCs w:val="21"/>
              </w:rPr>
            </w:pPr>
            <w:r>
              <w:rPr>
                <w:rFonts w:hint="eastAsia" w:ascii="宋体" w:hAnsi="宋体" w:eastAsia="宋体" w:cs="宋体"/>
                <w:szCs w:val="21"/>
              </w:rPr>
              <w:t>得分（10分）</w:t>
            </w:r>
          </w:p>
        </w:tc>
        <w:tc>
          <w:tcPr>
            <w:tcW w:w="442"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5483" w:type="dxa"/>
            <w:vAlign w:val="center"/>
          </w:tcPr>
          <w:p>
            <w:pPr>
              <w:numPr>
                <w:ilvl w:val="0"/>
                <w:numId w:val="0"/>
              </w:numPr>
              <w:jc w:val="left"/>
              <w:rPr>
                <w:rFonts w:hint="eastAsia"/>
                <w:highlight w:val="none"/>
                <w:lang w:eastAsia="zh-CN"/>
              </w:rPr>
            </w:pPr>
            <w:r>
              <w:rPr>
                <w:rFonts w:hint="eastAsia"/>
                <w:highlight w:val="none"/>
                <w:lang w:eastAsia="zh-CN"/>
              </w:rPr>
              <w:t>评标委员会只对符合性审查合格的投标文件进行价格评议，报价分采用低价优先法计算，即满足招标文件要求且投标价格（落实政府采购政策进行价格调整的，以调整后的价格计算）最低的投标报价为评标基准价，其价格分为满分。其他投标人的价格分按照下列公式计算：</w:t>
            </w:r>
          </w:p>
          <w:p>
            <w:pPr>
              <w:numPr>
                <w:ilvl w:val="0"/>
                <w:numId w:val="0"/>
              </w:numPr>
              <w:jc w:val="left"/>
              <w:rPr>
                <w:rFonts w:hint="eastAsia"/>
                <w:highlight w:val="none"/>
                <w:lang w:eastAsia="zh-CN"/>
              </w:rPr>
            </w:pPr>
            <w:r>
              <w:rPr>
                <w:rFonts w:hint="eastAsia"/>
                <w:highlight w:val="none"/>
                <w:lang w:eastAsia="zh-CN"/>
              </w:rPr>
              <w:t>报价得分=(评标基准价/投标报价)×价格分。</w:t>
            </w:r>
          </w:p>
          <w:p>
            <w:pPr>
              <w:numPr>
                <w:ilvl w:val="0"/>
                <w:numId w:val="0"/>
              </w:numPr>
              <w:jc w:val="left"/>
            </w:pPr>
            <w:r>
              <w:rPr>
                <w:rFonts w:hint="eastAsia"/>
                <w:highlight w:val="none"/>
                <w:lang w:eastAsia="zh-CN"/>
              </w:rPr>
              <w:t>计算时保留两位小数。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19" w:type="dxa"/>
            <w:vMerge w:val="restart"/>
            <w:vAlign w:val="center"/>
          </w:tcPr>
          <w:p>
            <w:bookmarkStart w:id="71" w:name="_Toc494721093"/>
            <w:bookmarkStart w:id="72" w:name="_Toc494665546"/>
            <w:bookmarkStart w:id="73" w:name="_Toc494665943"/>
            <w:bookmarkStart w:id="74" w:name="_Toc494745310"/>
            <w:bookmarkStart w:id="75" w:name="_Toc494664993"/>
            <w:bookmarkStart w:id="76" w:name="_Toc494702263"/>
            <w:r>
              <w:rPr>
                <w:rFonts w:hint="eastAsia"/>
              </w:rPr>
              <w:t>商务评审（35分）</w:t>
            </w:r>
          </w:p>
        </w:tc>
        <w:tc>
          <w:tcPr>
            <w:tcW w:w="1339" w:type="dxa"/>
            <w:gridSpan w:val="2"/>
            <w:vAlign w:val="center"/>
          </w:tcPr>
          <w:p>
            <w:pPr>
              <w:jc w:val="left"/>
              <w:rPr>
                <w:rFonts w:ascii="宋体" w:hAnsi="宋体" w:eastAsia="宋体" w:cs="宋体"/>
                <w:szCs w:val="21"/>
              </w:rPr>
            </w:pPr>
            <w:r>
              <w:rPr>
                <w:rFonts w:hint="eastAsia"/>
                <w:highlight w:val="none"/>
                <w:lang w:eastAsia="zh-CN"/>
              </w:rPr>
              <w:t>投标人业绩和</w:t>
            </w:r>
            <w:r>
              <w:rPr>
                <w:rFonts w:hint="eastAsia"/>
                <w:highlight w:val="none"/>
                <w:lang w:val="en-US" w:eastAsia="zh-CN"/>
              </w:rPr>
              <w:t>荣誉</w:t>
            </w:r>
          </w:p>
        </w:tc>
        <w:tc>
          <w:tcPr>
            <w:tcW w:w="442" w:type="dxa"/>
            <w:vAlign w:val="center"/>
          </w:tcPr>
          <w:p>
            <w:pPr>
              <w:spacing w:line="288" w:lineRule="auto"/>
              <w:jc w:val="center"/>
              <w:rPr>
                <w:rFonts w:hint="default" w:ascii="宋体" w:hAnsi="宋体" w:eastAsia="宋体" w:cs="宋体"/>
                <w:szCs w:val="21"/>
                <w:lang w:val="en-US"/>
              </w:rPr>
            </w:pPr>
            <w:r>
              <w:rPr>
                <w:rFonts w:hint="eastAsia"/>
                <w:highlight w:val="none"/>
                <w:lang w:val="en-US" w:eastAsia="zh-CN"/>
              </w:rPr>
              <w:t>13</w:t>
            </w:r>
          </w:p>
        </w:tc>
        <w:tc>
          <w:tcPr>
            <w:tcW w:w="5483" w:type="dxa"/>
            <w:vAlign w:val="center"/>
          </w:tcPr>
          <w:p>
            <w:pPr>
              <w:numPr>
                <w:ilvl w:val="0"/>
                <w:numId w:val="52"/>
              </w:numPr>
              <w:spacing w:line="288" w:lineRule="auto"/>
              <w:rPr>
                <w:highlight w:val="none"/>
                <w:lang w:eastAsia="zh-CN"/>
              </w:rPr>
            </w:pPr>
            <w:r>
              <w:rPr>
                <w:rFonts w:hint="eastAsia"/>
                <w:highlight w:val="none"/>
                <w:lang w:val="en-US" w:eastAsia="zh-CN"/>
              </w:rPr>
              <w:t>投标供应商</w:t>
            </w:r>
            <w:r>
              <w:rPr>
                <w:rFonts w:hint="eastAsia"/>
                <w:highlight w:val="none"/>
                <w:lang w:eastAsia="zh-CN"/>
              </w:rPr>
              <w:t>近三年（自投标截止时间起往前推 36 个月，以合同签订日期为准）每提供一项</w:t>
            </w:r>
            <w:r>
              <w:rPr>
                <w:rFonts w:hint="eastAsia"/>
                <w:highlight w:val="none"/>
                <w:lang w:val="en-US" w:eastAsia="zh-CN"/>
              </w:rPr>
              <w:t>类似</w:t>
            </w:r>
            <w:r>
              <w:rPr>
                <w:rFonts w:hint="eastAsia"/>
                <w:highlight w:val="none"/>
                <w:lang w:eastAsia="zh-CN"/>
              </w:rPr>
              <w:t xml:space="preserve">业绩，得 </w:t>
            </w:r>
            <w:r>
              <w:rPr>
                <w:rFonts w:hint="eastAsia"/>
                <w:highlight w:val="none"/>
                <w:lang w:val="en-US" w:eastAsia="zh-CN"/>
              </w:rPr>
              <w:t>3</w:t>
            </w:r>
            <w:r>
              <w:rPr>
                <w:rFonts w:hint="eastAsia"/>
                <w:highlight w:val="none"/>
                <w:lang w:eastAsia="zh-CN"/>
              </w:rPr>
              <w:t xml:space="preserve">分，此项最高得 </w:t>
            </w:r>
            <w:r>
              <w:rPr>
                <w:rFonts w:hint="eastAsia"/>
                <w:highlight w:val="none"/>
                <w:lang w:val="en-US" w:eastAsia="zh-CN"/>
              </w:rPr>
              <w:t>9</w:t>
            </w:r>
            <w:r>
              <w:rPr>
                <w:rFonts w:hint="eastAsia"/>
                <w:highlight w:val="none"/>
                <w:lang w:eastAsia="zh-CN"/>
              </w:rPr>
              <w:t>分；</w:t>
            </w:r>
          </w:p>
          <w:p>
            <w:pPr>
              <w:spacing w:line="288" w:lineRule="auto"/>
              <w:rPr>
                <w:rFonts w:hint="eastAsia"/>
                <w:highlight w:val="none"/>
                <w:lang w:eastAsia="zh-CN"/>
              </w:rPr>
            </w:pPr>
            <w:r>
              <w:rPr>
                <w:rFonts w:hint="eastAsia"/>
                <w:highlight w:val="none"/>
                <w:lang w:eastAsia="zh-CN"/>
              </w:rPr>
              <w:t>（需提供中标公示网页截图或中标通知书或合同协议书复印件）</w:t>
            </w:r>
          </w:p>
          <w:p>
            <w:pPr>
              <w:pStyle w:val="23"/>
              <w:ind w:left="0" w:leftChars="0" w:firstLine="0" w:firstLineChars="0"/>
              <w:rPr>
                <w:rFonts w:ascii="宋体" w:hAnsi="宋体" w:eastAsia="宋体" w:cs="宋体"/>
                <w:szCs w:val="21"/>
              </w:rPr>
            </w:pPr>
            <w:r>
              <w:rPr>
                <w:rFonts w:hint="eastAsia" w:cstheme="minorBidi"/>
                <w:kern w:val="2"/>
                <w:sz w:val="21"/>
                <w:szCs w:val="22"/>
                <w:highlight w:val="none"/>
                <w:lang w:val="en-US" w:eastAsia="zh-CN" w:bidi="ar-SA"/>
              </w:rPr>
              <w:t>2</w:t>
            </w:r>
            <w:r>
              <w:rPr>
                <w:rFonts w:hint="eastAsia" w:asciiTheme="minorHAnsi" w:hAnsiTheme="minorHAnsi" w:eastAsiaTheme="minorEastAsia" w:cstheme="minorBidi"/>
                <w:kern w:val="2"/>
                <w:sz w:val="21"/>
                <w:szCs w:val="22"/>
                <w:highlight w:val="none"/>
                <w:lang w:val="en-US" w:eastAsia="zh-CN" w:bidi="ar-SA"/>
              </w:rPr>
              <w:t>、企业获得市级及以上行业主管部门或行业协会颁发的检测相关奖项，得</w:t>
            </w:r>
            <w:r>
              <w:rPr>
                <w:rFonts w:hint="eastAsia" w:cstheme="minorBidi"/>
                <w:kern w:val="2"/>
                <w:sz w:val="21"/>
                <w:szCs w:val="22"/>
                <w:highlight w:val="none"/>
                <w:lang w:val="en-US" w:eastAsia="zh-CN" w:bidi="ar-SA"/>
              </w:rPr>
              <w:t>4</w:t>
            </w:r>
            <w:r>
              <w:rPr>
                <w:rFonts w:hint="eastAsia" w:asciiTheme="minorHAnsi" w:hAnsiTheme="minorHAnsi" w:eastAsiaTheme="minorEastAsia" w:cstheme="minorBidi"/>
                <w:kern w:val="2"/>
                <w:sz w:val="21"/>
                <w:szCs w:val="22"/>
                <w:highlight w:val="none"/>
                <w:lang w:val="en-US" w:eastAsia="zh-CN" w:bidi="ar-SA"/>
              </w:rPr>
              <w:t>分，此项最高得</w:t>
            </w:r>
            <w:r>
              <w:rPr>
                <w:rFonts w:hint="eastAsia" w:cstheme="minorBidi"/>
                <w:kern w:val="2"/>
                <w:sz w:val="21"/>
                <w:szCs w:val="22"/>
                <w:highlight w:val="none"/>
                <w:lang w:val="en-US" w:eastAsia="zh-CN" w:bidi="ar-SA"/>
              </w:rPr>
              <w:t>4</w:t>
            </w:r>
            <w:r>
              <w:rPr>
                <w:rFonts w:hint="eastAsia" w:asciiTheme="minorHAnsi" w:hAnsiTheme="minorHAnsi" w:eastAsiaTheme="minorEastAsia" w:cstheme="minorBidi"/>
                <w:kern w:val="2"/>
                <w:sz w:val="21"/>
                <w:szCs w:val="22"/>
                <w:highlight w:val="none"/>
                <w:lang w:val="en-US" w:eastAsia="zh-CN" w:bidi="ar-SA"/>
              </w:rPr>
              <w:t>分。（需提供奖项复印件，获奖日期为投标截止日往前推算两年内）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19" w:type="dxa"/>
            <w:vMerge w:val="continue"/>
            <w:vAlign w:val="center"/>
          </w:tcPr>
          <w:p>
            <w:pPr>
              <w:rPr>
                <w:rFonts w:hint="eastAsia"/>
              </w:rPr>
            </w:pPr>
          </w:p>
        </w:tc>
        <w:tc>
          <w:tcPr>
            <w:tcW w:w="1339" w:type="dxa"/>
            <w:gridSpan w:val="2"/>
            <w:vAlign w:val="center"/>
          </w:tcPr>
          <w:p>
            <w:pPr>
              <w:spacing w:line="288" w:lineRule="auto"/>
              <w:jc w:val="center"/>
              <w:rPr>
                <w:rFonts w:hint="eastAsia"/>
                <w:lang w:eastAsia="zh-CN"/>
              </w:rPr>
            </w:pPr>
            <w:r>
              <w:rPr>
                <w:rFonts w:hint="eastAsia"/>
                <w:lang w:eastAsia="zh-CN"/>
              </w:rPr>
              <w:t>仪器设备配备</w:t>
            </w:r>
          </w:p>
        </w:tc>
        <w:tc>
          <w:tcPr>
            <w:tcW w:w="442" w:type="dxa"/>
            <w:vAlign w:val="center"/>
          </w:tcPr>
          <w:p>
            <w:pPr>
              <w:spacing w:line="288" w:lineRule="auto"/>
              <w:jc w:val="center"/>
              <w:rPr>
                <w:rFonts w:hint="default"/>
                <w:highlight w:val="none"/>
                <w:lang w:val="en-US" w:eastAsia="zh-CN"/>
              </w:rPr>
            </w:pPr>
            <w:r>
              <w:rPr>
                <w:rFonts w:hint="eastAsia"/>
                <w:highlight w:val="none"/>
                <w:lang w:val="en-US" w:eastAsia="zh-CN"/>
              </w:rPr>
              <w:t>4</w:t>
            </w:r>
          </w:p>
        </w:tc>
        <w:tc>
          <w:tcPr>
            <w:tcW w:w="5483" w:type="dxa"/>
            <w:vAlign w:val="center"/>
          </w:tcPr>
          <w:p>
            <w:pPr>
              <w:pStyle w:val="23"/>
              <w:ind w:left="0" w:leftChars="0" w:firstLine="0" w:firstLineChars="0"/>
              <w:rPr>
                <w:rFonts w:hint="eastAsia" w:asciiTheme="minorHAnsi" w:hAnsiTheme="minorHAnsi" w:eastAsiaTheme="minorEastAsia" w:cstheme="minorBidi"/>
                <w:kern w:val="2"/>
                <w:sz w:val="21"/>
                <w:szCs w:val="22"/>
                <w:highlight w:val="none"/>
                <w:lang w:val="en-US" w:eastAsia="zh-CN" w:bidi="ar-SA"/>
              </w:rPr>
            </w:pPr>
            <w:r>
              <w:rPr>
                <w:rFonts w:hint="eastAsia" w:asciiTheme="minorHAnsi" w:hAnsiTheme="minorHAnsi" w:eastAsiaTheme="minorEastAsia" w:cstheme="minorBidi"/>
                <w:kern w:val="2"/>
                <w:sz w:val="21"/>
                <w:szCs w:val="22"/>
                <w:highlight w:val="none"/>
                <w:lang w:val="en-US" w:eastAsia="zh-CN" w:bidi="ar-SA"/>
              </w:rPr>
              <w:t>提供设备齐全，满足建设工程质量检测要求得 4 分，基本</w:t>
            </w:r>
          </w:p>
          <w:p>
            <w:pPr>
              <w:pStyle w:val="23"/>
              <w:ind w:left="0" w:leftChars="0" w:firstLine="0" w:firstLineChars="0"/>
              <w:rPr>
                <w:rFonts w:hint="eastAsia" w:cstheme="minorBidi"/>
                <w:kern w:val="2"/>
                <w:sz w:val="21"/>
                <w:szCs w:val="22"/>
                <w:highlight w:val="none"/>
                <w:lang w:val="en-US" w:eastAsia="zh-CN" w:bidi="ar-SA"/>
              </w:rPr>
            </w:pPr>
            <w:r>
              <w:rPr>
                <w:rFonts w:hint="eastAsia" w:asciiTheme="minorHAnsi" w:hAnsiTheme="minorHAnsi" w:eastAsiaTheme="minorEastAsia" w:cstheme="minorBidi"/>
                <w:kern w:val="2"/>
                <w:sz w:val="21"/>
                <w:szCs w:val="22"/>
                <w:highlight w:val="none"/>
                <w:lang w:val="en-US" w:eastAsia="zh-CN" w:bidi="ar-SA"/>
              </w:rPr>
              <w:t>满足检测要求得 2 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19" w:type="dxa"/>
            <w:vMerge w:val="continue"/>
            <w:vAlign w:val="center"/>
          </w:tcPr>
          <w:p/>
        </w:tc>
        <w:tc>
          <w:tcPr>
            <w:tcW w:w="474" w:type="dxa"/>
            <w:vMerge w:val="restart"/>
            <w:vAlign w:val="center"/>
          </w:tcPr>
          <w:p>
            <w:pPr>
              <w:jc w:val="center"/>
              <w:rPr>
                <w:rFonts w:ascii="宋体" w:hAnsi="宋体" w:eastAsia="宋体" w:cs="宋体"/>
                <w:szCs w:val="21"/>
              </w:rPr>
            </w:pPr>
            <w:r>
              <w:rPr>
                <w:rFonts w:hint="eastAsia" w:ascii="宋体" w:hAnsi="宋体" w:eastAsia="宋体" w:cs="宋体"/>
                <w:szCs w:val="21"/>
              </w:rPr>
              <w:t>主要人员（</w:t>
            </w:r>
            <w:r>
              <w:rPr>
                <w:rFonts w:hint="eastAsia" w:ascii="宋体" w:hAnsi="宋体" w:eastAsia="宋体" w:cs="宋体"/>
                <w:szCs w:val="21"/>
                <w:lang w:val="en-US" w:eastAsia="zh-CN"/>
              </w:rPr>
              <w:t>18</w:t>
            </w:r>
            <w:r>
              <w:rPr>
                <w:rFonts w:hint="eastAsia" w:ascii="宋体" w:hAnsi="宋体" w:eastAsia="宋体" w:cs="宋体"/>
                <w:szCs w:val="21"/>
              </w:rPr>
              <w:t>分）</w:t>
            </w:r>
          </w:p>
        </w:tc>
        <w:tc>
          <w:tcPr>
            <w:tcW w:w="865" w:type="dxa"/>
            <w:vAlign w:val="center"/>
          </w:tcPr>
          <w:p>
            <w:pPr>
              <w:spacing w:line="288" w:lineRule="auto"/>
              <w:jc w:val="center"/>
              <w:rPr>
                <w:rFonts w:ascii="宋体" w:hAnsi="宋体"/>
                <w:szCs w:val="21"/>
              </w:rPr>
            </w:pPr>
            <w:r>
              <w:rPr>
                <w:rFonts w:hint="eastAsia"/>
                <w:lang w:eastAsia="zh-CN"/>
              </w:rPr>
              <w:t>项目负责人资格</w:t>
            </w:r>
          </w:p>
        </w:tc>
        <w:tc>
          <w:tcPr>
            <w:tcW w:w="442" w:type="dxa"/>
            <w:vAlign w:val="center"/>
          </w:tcPr>
          <w:p>
            <w:pPr>
              <w:spacing w:line="288" w:lineRule="auto"/>
              <w:jc w:val="center"/>
              <w:rPr>
                <w:rFonts w:ascii="宋体" w:hAnsi="宋体" w:eastAsia="宋体" w:cs="宋体"/>
                <w:szCs w:val="21"/>
              </w:rPr>
            </w:pPr>
            <w:r>
              <w:rPr>
                <w:rFonts w:hint="eastAsia"/>
                <w:lang w:eastAsia="zh-CN"/>
              </w:rPr>
              <w:t>2</w:t>
            </w:r>
          </w:p>
        </w:tc>
        <w:tc>
          <w:tcPr>
            <w:tcW w:w="5483" w:type="dxa"/>
            <w:vAlign w:val="center"/>
          </w:tcPr>
          <w:p>
            <w:pPr>
              <w:spacing w:line="288" w:lineRule="auto"/>
              <w:rPr>
                <w:rFonts w:ascii="宋体" w:hAnsi="宋体" w:eastAsia="宋体" w:cs="宋体"/>
                <w:szCs w:val="21"/>
              </w:rPr>
            </w:pPr>
            <w:r>
              <w:rPr>
                <w:rFonts w:hint="eastAsia"/>
                <w:lang w:eastAsia="zh-CN"/>
              </w:rPr>
              <w:t>项目负责人</w:t>
            </w:r>
            <w:r>
              <w:rPr>
                <w:rFonts w:hint="eastAsia"/>
                <w:lang w:val="en-US" w:eastAsia="zh-CN"/>
              </w:rPr>
              <w:t>具备</w:t>
            </w:r>
            <w:r>
              <w:rPr>
                <w:rFonts w:hint="eastAsia"/>
                <w:lang w:eastAsia="zh-CN"/>
              </w:rPr>
              <w:t>高级职称得2分。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419" w:type="dxa"/>
            <w:vMerge w:val="continue"/>
            <w:vAlign w:val="center"/>
          </w:tcPr>
          <w:p/>
        </w:tc>
        <w:tc>
          <w:tcPr>
            <w:tcW w:w="474" w:type="dxa"/>
            <w:vMerge w:val="continue"/>
            <w:vAlign w:val="center"/>
          </w:tcPr>
          <w:p>
            <w:pPr>
              <w:jc w:val="center"/>
              <w:rPr>
                <w:rFonts w:ascii="宋体" w:hAnsi="宋体" w:eastAsia="宋体" w:cs="宋体"/>
                <w:szCs w:val="21"/>
              </w:rPr>
            </w:pPr>
          </w:p>
        </w:tc>
        <w:tc>
          <w:tcPr>
            <w:tcW w:w="865" w:type="dxa"/>
            <w:vAlign w:val="center"/>
          </w:tcPr>
          <w:p>
            <w:pPr>
              <w:spacing w:line="288" w:lineRule="auto"/>
              <w:jc w:val="center"/>
              <w:rPr>
                <w:lang w:eastAsia="zh-CN"/>
              </w:rPr>
            </w:pPr>
            <w:r>
              <w:rPr>
                <w:rFonts w:hint="eastAsia"/>
                <w:lang w:eastAsia="zh-CN"/>
              </w:rPr>
              <w:t>项目负责人业绩</w:t>
            </w:r>
          </w:p>
          <w:p>
            <w:pPr>
              <w:jc w:val="center"/>
              <w:rPr>
                <w:rFonts w:ascii="宋体" w:hAnsi="宋体" w:eastAsia="宋体" w:cs="宋体"/>
                <w:szCs w:val="21"/>
              </w:rPr>
            </w:pPr>
          </w:p>
        </w:tc>
        <w:tc>
          <w:tcPr>
            <w:tcW w:w="442" w:type="dxa"/>
            <w:vAlign w:val="center"/>
          </w:tcPr>
          <w:p>
            <w:pPr>
              <w:pStyle w:val="63"/>
              <w:ind w:firstLine="630" w:firstLineChars="300"/>
              <w:rPr>
                <w:rFonts w:ascii="宋体" w:hAnsi="宋体" w:eastAsia="宋体" w:cs="宋体"/>
                <w:szCs w:val="21"/>
              </w:rPr>
            </w:pPr>
            <w:r>
              <w:rPr>
                <w:rFonts w:hint="eastAsia"/>
                <w:lang w:val="en-US" w:eastAsia="zh-CN"/>
              </w:rPr>
              <w:t>(6</w:t>
            </w:r>
          </w:p>
        </w:tc>
        <w:tc>
          <w:tcPr>
            <w:tcW w:w="5483" w:type="dxa"/>
            <w:vAlign w:val="center"/>
          </w:tcPr>
          <w:p>
            <w:pPr>
              <w:numPr>
                <w:ilvl w:val="0"/>
                <w:numId w:val="0"/>
              </w:numPr>
              <w:spacing w:line="288" w:lineRule="auto"/>
              <w:rPr>
                <w:rFonts w:ascii="宋体" w:hAnsi="宋体"/>
                <w:szCs w:val="21"/>
              </w:rPr>
            </w:pPr>
            <w:r>
              <w:rPr>
                <w:rFonts w:hint="eastAsia"/>
                <w:lang w:eastAsia="zh-CN"/>
              </w:rPr>
              <w:t>项目负责人每负责一项</w:t>
            </w:r>
            <w:r>
              <w:rPr>
                <w:rFonts w:hint="eastAsia"/>
                <w:lang w:val="en-US" w:eastAsia="zh-CN"/>
              </w:rPr>
              <w:t>类似</w:t>
            </w:r>
            <w:r>
              <w:rPr>
                <w:rFonts w:hint="eastAsia"/>
                <w:lang w:eastAsia="zh-CN"/>
              </w:rPr>
              <w:t>业绩得</w:t>
            </w:r>
            <w:r>
              <w:rPr>
                <w:rFonts w:hint="eastAsia"/>
                <w:lang w:val="en-US" w:eastAsia="zh-CN"/>
              </w:rPr>
              <w:t>3</w:t>
            </w:r>
            <w:r>
              <w:rPr>
                <w:rFonts w:hint="eastAsia"/>
                <w:lang w:eastAsia="zh-CN"/>
              </w:rPr>
              <w:t>分，此项最高得</w:t>
            </w:r>
            <w:r>
              <w:rPr>
                <w:rFonts w:hint="eastAsia"/>
                <w:lang w:val="en-US" w:eastAsia="zh-CN"/>
              </w:rPr>
              <w:t>6</w:t>
            </w:r>
            <w:r>
              <w:rPr>
                <w:rFonts w:hint="eastAsia"/>
                <w:lang w:eastAsia="zh-CN"/>
              </w:rPr>
              <w:t>分；（需提供中标公示网页截图或中标通知书</w:t>
            </w:r>
            <w:r>
              <w:rPr>
                <w:rFonts w:hint="eastAsia"/>
                <w:lang w:val="en-US" w:eastAsia="zh-CN"/>
              </w:rPr>
              <w:t>或</w:t>
            </w:r>
            <w:r>
              <w:rPr>
                <w:rFonts w:hint="eastAsia"/>
                <w:lang w:eastAsia="zh-CN"/>
              </w:rPr>
              <w:t>合同协议书复印件）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1419" w:type="dxa"/>
            <w:vMerge w:val="continue"/>
          </w:tcPr>
          <w:p/>
        </w:tc>
        <w:tc>
          <w:tcPr>
            <w:tcW w:w="474" w:type="dxa"/>
            <w:vMerge w:val="continue"/>
          </w:tcPr>
          <w:p>
            <w:pPr>
              <w:jc w:val="center"/>
              <w:rPr>
                <w:rFonts w:ascii="宋体" w:hAnsi="宋体" w:eastAsia="宋体" w:cs="宋体"/>
                <w:szCs w:val="21"/>
              </w:rPr>
            </w:pPr>
          </w:p>
        </w:tc>
        <w:tc>
          <w:tcPr>
            <w:tcW w:w="865" w:type="dxa"/>
            <w:vAlign w:val="center"/>
          </w:tcPr>
          <w:p>
            <w:pPr>
              <w:spacing w:line="288" w:lineRule="auto"/>
              <w:jc w:val="center"/>
              <w:rPr>
                <w:highlight w:val="none"/>
                <w:lang w:eastAsia="zh-CN"/>
              </w:rPr>
            </w:pPr>
            <w:r>
              <w:rPr>
                <w:rFonts w:hint="eastAsia"/>
                <w:highlight w:val="none"/>
                <w:lang w:eastAsia="zh-CN"/>
              </w:rPr>
              <w:t>项目班子配备</w:t>
            </w:r>
          </w:p>
          <w:p>
            <w:pPr>
              <w:jc w:val="center"/>
              <w:rPr>
                <w:rFonts w:ascii="宋体" w:hAnsi="宋体" w:eastAsia="宋体" w:cs="宋体"/>
                <w:szCs w:val="21"/>
              </w:rPr>
            </w:pPr>
          </w:p>
        </w:tc>
        <w:tc>
          <w:tcPr>
            <w:tcW w:w="442" w:type="dxa"/>
            <w:vAlign w:val="center"/>
          </w:tcPr>
          <w:p>
            <w:pPr>
              <w:spacing w:line="288" w:lineRule="auto"/>
              <w:jc w:val="center"/>
              <w:rPr>
                <w:rFonts w:ascii="宋体" w:hAnsi="宋体" w:eastAsia="宋体" w:cs="宋体"/>
                <w:szCs w:val="21"/>
              </w:rPr>
            </w:pPr>
            <w:r>
              <w:rPr>
                <w:rFonts w:hint="eastAsia"/>
                <w:highlight w:val="none"/>
                <w:lang w:eastAsia="zh-CN"/>
              </w:rPr>
              <w:t>10</w:t>
            </w:r>
          </w:p>
        </w:tc>
        <w:tc>
          <w:tcPr>
            <w:tcW w:w="5483" w:type="dxa"/>
            <w:vAlign w:val="center"/>
          </w:tcPr>
          <w:p>
            <w:pPr>
              <w:numPr>
                <w:ilvl w:val="0"/>
                <w:numId w:val="53"/>
              </w:numPr>
              <w:spacing w:line="288" w:lineRule="auto"/>
              <w:rPr>
                <w:rFonts w:hint="eastAsia"/>
                <w:highlight w:val="none"/>
                <w:lang w:val="en-US" w:eastAsia="zh-CN"/>
              </w:rPr>
            </w:pPr>
            <w:r>
              <w:rPr>
                <w:rFonts w:hint="eastAsia"/>
                <w:highlight w:val="none"/>
                <w:lang w:eastAsia="zh-CN"/>
              </w:rPr>
              <w:t>项目班子机构健全、职责明确、人员齐备、专业配套、技术实力雄厚、工作经验丰富，</w:t>
            </w:r>
            <w:r>
              <w:rPr>
                <w:rFonts w:hint="eastAsia"/>
                <w:szCs w:val="21"/>
                <w:highlight w:val="none"/>
                <w:lang w:eastAsia="zh-CN"/>
              </w:rPr>
              <w:t>满足工程需要</w:t>
            </w:r>
            <w:r>
              <w:rPr>
                <w:rFonts w:hint="eastAsia"/>
                <w:highlight w:val="none"/>
                <w:lang w:eastAsia="zh-CN"/>
              </w:rPr>
              <w:t>的得5-6分，</w:t>
            </w:r>
            <w:r>
              <w:rPr>
                <w:rFonts w:hint="eastAsia"/>
                <w:szCs w:val="21"/>
                <w:highlight w:val="none"/>
                <w:lang w:eastAsia="zh-CN"/>
              </w:rPr>
              <w:t>基本满足工程需要的得3-4分，满足部分工程需要</w:t>
            </w:r>
            <w:r>
              <w:rPr>
                <w:rFonts w:hint="eastAsia"/>
                <w:highlight w:val="none"/>
                <w:lang w:eastAsia="zh-CN"/>
              </w:rPr>
              <w:t>的1-2分，不符合的0分</w:t>
            </w:r>
            <w:r>
              <w:rPr>
                <w:rFonts w:hint="eastAsia"/>
                <w:highlight w:val="none"/>
                <w:lang w:val="en-US" w:eastAsia="zh-CN"/>
              </w:rPr>
              <w:t>。</w:t>
            </w:r>
          </w:p>
          <w:p>
            <w:pPr>
              <w:numPr>
                <w:ilvl w:val="0"/>
                <w:numId w:val="53"/>
              </w:numPr>
              <w:spacing w:line="288" w:lineRule="auto"/>
              <w:rPr>
                <w:rFonts w:ascii="宋体" w:hAnsi="宋体"/>
                <w:szCs w:val="21"/>
              </w:rPr>
            </w:pPr>
            <w:r>
              <w:rPr>
                <w:rFonts w:hint="eastAsia"/>
                <w:highlight w:val="none"/>
                <w:lang w:val="en-US" w:eastAsia="zh-CN"/>
              </w:rPr>
              <w:t>人员获得市级及以上行业主管部门或行业协会颁发的检测相关奖项，每人次得2分，此项最高得4分。（需提供奖项复印件，获奖日期为投标截止日往前推算两年内）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19" w:type="dxa"/>
            <w:vMerge w:val="restart"/>
          </w:tcPr>
          <w:p>
            <w:pPr>
              <w:autoSpaceDE w:val="0"/>
              <w:autoSpaceDN w:val="0"/>
              <w:adjustRightInd w:val="0"/>
              <w:spacing w:line="294" w:lineRule="auto"/>
              <w:ind w:right="60"/>
              <w:jc w:val="both"/>
              <w:rPr>
                <w:kern w:val="0"/>
                <w:szCs w:val="21"/>
              </w:rPr>
            </w:pPr>
          </w:p>
          <w:p>
            <w:pPr>
              <w:autoSpaceDE w:val="0"/>
              <w:autoSpaceDN w:val="0"/>
              <w:adjustRightInd w:val="0"/>
              <w:spacing w:line="294" w:lineRule="auto"/>
              <w:ind w:right="60"/>
              <w:jc w:val="both"/>
              <w:rPr>
                <w:kern w:val="0"/>
                <w:szCs w:val="21"/>
              </w:rPr>
            </w:pPr>
          </w:p>
          <w:p>
            <w:pPr>
              <w:autoSpaceDE w:val="0"/>
              <w:autoSpaceDN w:val="0"/>
              <w:adjustRightInd w:val="0"/>
              <w:spacing w:line="294" w:lineRule="auto"/>
              <w:ind w:right="60"/>
              <w:jc w:val="both"/>
              <w:rPr>
                <w:kern w:val="0"/>
                <w:szCs w:val="21"/>
              </w:rPr>
            </w:pPr>
          </w:p>
          <w:p>
            <w:pPr>
              <w:autoSpaceDE w:val="0"/>
              <w:autoSpaceDN w:val="0"/>
              <w:adjustRightInd w:val="0"/>
              <w:spacing w:line="294" w:lineRule="auto"/>
              <w:ind w:right="60"/>
              <w:jc w:val="both"/>
              <w:rPr>
                <w:kern w:val="0"/>
                <w:szCs w:val="21"/>
              </w:rPr>
            </w:pPr>
          </w:p>
          <w:p>
            <w:pPr>
              <w:autoSpaceDE w:val="0"/>
              <w:autoSpaceDN w:val="0"/>
              <w:adjustRightInd w:val="0"/>
              <w:spacing w:line="294" w:lineRule="auto"/>
              <w:ind w:right="60"/>
              <w:jc w:val="both"/>
              <w:rPr>
                <w:kern w:val="0"/>
                <w:szCs w:val="21"/>
              </w:rPr>
            </w:pPr>
            <w:r>
              <w:rPr>
                <w:kern w:val="0"/>
                <w:szCs w:val="21"/>
              </w:rPr>
              <w:t>技术</w:t>
            </w:r>
          </w:p>
          <w:p>
            <w:pPr>
              <w:autoSpaceDE w:val="0"/>
              <w:autoSpaceDN w:val="0"/>
              <w:adjustRightInd w:val="0"/>
              <w:spacing w:line="294" w:lineRule="auto"/>
              <w:ind w:right="60"/>
              <w:jc w:val="both"/>
              <w:rPr>
                <w:rFonts w:hint="eastAsia" w:eastAsiaTheme="minorEastAsia"/>
                <w:kern w:val="0"/>
                <w:szCs w:val="21"/>
                <w:lang w:val="en-US" w:eastAsia="zh-CN"/>
              </w:rPr>
            </w:pPr>
            <w:r>
              <w:rPr>
                <w:rFonts w:hint="eastAsia"/>
                <w:kern w:val="0"/>
                <w:szCs w:val="21"/>
                <w:lang w:val="en-US" w:eastAsia="zh-CN"/>
              </w:rPr>
              <w:t>评审</w:t>
            </w:r>
          </w:p>
          <w:p>
            <w:r>
              <w:rPr>
                <w:rFonts w:hint="eastAsia"/>
                <w:kern w:val="0"/>
                <w:szCs w:val="21"/>
                <w:lang w:eastAsia="zh-CN"/>
              </w:rPr>
              <w:t>（</w:t>
            </w:r>
            <w:r>
              <w:rPr>
                <w:rFonts w:hint="eastAsia"/>
                <w:kern w:val="0"/>
                <w:szCs w:val="21"/>
                <w:lang w:val="en-US" w:eastAsia="zh-CN"/>
              </w:rPr>
              <w:t>55</w:t>
            </w:r>
            <w:r>
              <w:rPr>
                <w:rFonts w:hint="eastAsia"/>
                <w:kern w:val="0"/>
                <w:szCs w:val="21"/>
              </w:rPr>
              <w:t>分）</w:t>
            </w:r>
          </w:p>
        </w:tc>
        <w:tc>
          <w:tcPr>
            <w:tcW w:w="1339" w:type="dxa"/>
            <w:gridSpan w:val="2"/>
            <w:vAlign w:val="center"/>
          </w:tcPr>
          <w:p>
            <w:pPr>
              <w:spacing w:line="288" w:lineRule="auto"/>
              <w:rPr>
                <w:rFonts w:hint="eastAsia"/>
                <w:lang w:eastAsia="zh-CN"/>
              </w:rPr>
            </w:pPr>
            <w:r>
              <w:rPr>
                <w:rFonts w:hint="eastAsia"/>
                <w:lang w:eastAsia="zh-CN"/>
              </w:rPr>
              <w:t>项目总体方案</w:t>
            </w:r>
          </w:p>
          <w:p>
            <w:pPr>
              <w:spacing w:line="288" w:lineRule="auto"/>
              <w:rPr>
                <w:rFonts w:hint="eastAsia"/>
                <w:lang w:eastAsia="zh-CN"/>
              </w:rPr>
            </w:pPr>
          </w:p>
        </w:tc>
        <w:tc>
          <w:tcPr>
            <w:tcW w:w="442" w:type="dxa"/>
            <w:vAlign w:val="center"/>
          </w:tcPr>
          <w:p>
            <w:pPr>
              <w:spacing w:line="288" w:lineRule="auto"/>
              <w:rPr>
                <w:rFonts w:hint="default"/>
                <w:lang w:val="en-US" w:eastAsia="zh-CN"/>
              </w:rPr>
            </w:pPr>
            <w:r>
              <w:rPr>
                <w:rFonts w:hint="eastAsia"/>
                <w:lang w:val="en-US" w:eastAsia="zh-CN"/>
              </w:rPr>
              <w:t>15</w:t>
            </w:r>
          </w:p>
        </w:tc>
        <w:tc>
          <w:tcPr>
            <w:tcW w:w="5483" w:type="dxa"/>
            <w:vAlign w:val="center"/>
          </w:tcPr>
          <w:p>
            <w:pPr>
              <w:spacing w:line="288" w:lineRule="auto"/>
              <w:rPr>
                <w:rFonts w:hint="eastAsia"/>
                <w:lang w:eastAsia="zh-CN"/>
              </w:rPr>
            </w:pPr>
            <w:r>
              <w:rPr>
                <w:rFonts w:hint="eastAsia"/>
                <w:lang w:eastAsia="zh-CN"/>
              </w:rPr>
              <w:t>供应商对本项目进行准确分析，对重难点的分析合理并出具符合国家、省、市现行的规范、规程、标准的检测方案。</w:t>
            </w:r>
          </w:p>
          <w:p>
            <w:pPr>
              <w:spacing w:line="288" w:lineRule="auto"/>
              <w:rPr>
                <w:rFonts w:hint="eastAsia"/>
                <w:lang w:eastAsia="zh-CN"/>
              </w:rPr>
            </w:pPr>
            <w:r>
              <w:rPr>
                <w:rFonts w:hint="eastAsia"/>
                <w:lang w:eastAsia="zh-CN"/>
              </w:rPr>
              <w:t>方案科学、经济、合理得 10-15分；</w:t>
            </w:r>
          </w:p>
          <w:p>
            <w:pPr>
              <w:spacing w:line="288" w:lineRule="auto"/>
              <w:rPr>
                <w:rFonts w:hint="eastAsia"/>
                <w:lang w:eastAsia="zh-CN"/>
              </w:rPr>
            </w:pPr>
            <w:r>
              <w:rPr>
                <w:rFonts w:hint="eastAsia"/>
                <w:lang w:eastAsia="zh-CN"/>
              </w:rPr>
              <w:t>方案能满足项目实际需求得6-8 分；</w:t>
            </w:r>
          </w:p>
          <w:p>
            <w:pPr>
              <w:spacing w:line="288" w:lineRule="auto"/>
              <w:rPr>
                <w:rFonts w:hint="eastAsia"/>
                <w:lang w:eastAsia="zh-CN"/>
              </w:rPr>
            </w:pPr>
            <w:r>
              <w:rPr>
                <w:rFonts w:hint="eastAsia"/>
                <w:lang w:eastAsia="zh-CN"/>
              </w:rPr>
              <w:t xml:space="preserve">分案部分合理得1- 5 分； </w:t>
            </w:r>
          </w:p>
          <w:p>
            <w:pPr>
              <w:spacing w:line="288" w:lineRule="auto"/>
              <w:rPr>
                <w:rFonts w:hint="eastAsia"/>
                <w:lang w:val="en-US" w:eastAsia="zh-CN"/>
              </w:rPr>
            </w:pPr>
            <w:r>
              <w:rPr>
                <w:rFonts w:hint="eastAsia"/>
                <w:lang w:eastAsia="zh-CN"/>
              </w:rPr>
              <w:t>其他或未提供不得分。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19" w:type="dxa"/>
            <w:vMerge w:val="continue"/>
          </w:tcPr>
          <w:p/>
        </w:tc>
        <w:tc>
          <w:tcPr>
            <w:tcW w:w="1339" w:type="dxa"/>
            <w:gridSpan w:val="2"/>
            <w:vAlign w:val="center"/>
          </w:tcPr>
          <w:p>
            <w:pPr>
              <w:spacing w:line="288" w:lineRule="auto"/>
              <w:rPr>
                <w:rFonts w:hint="eastAsia"/>
                <w:lang w:eastAsia="zh-CN"/>
              </w:rPr>
            </w:pPr>
            <w:r>
              <w:rPr>
                <w:rFonts w:hint="eastAsia"/>
                <w:lang w:eastAsia="zh-CN"/>
              </w:rPr>
              <w:t>检测部署</w:t>
            </w:r>
          </w:p>
          <w:p>
            <w:pPr>
              <w:spacing w:line="288" w:lineRule="auto"/>
              <w:rPr>
                <w:rFonts w:hint="eastAsia"/>
                <w:lang w:eastAsia="zh-CN"/>
              </w:rPr>
            </w:pPr>
          </w:p>
        </w:tc>
        <w:tc>
          <w:tcPr>
            <w:tcW w:w="442" w:type="dxa"/>
            <w:vAlign w:val="center"/>
          </w:tcPr>
          <w:p>
            <w:pPr>
              <w:spacing w:line="288" w:lineRule="auto"/>
              <w:rPr>
                <w:rFonts w:hint="default"/>
                <w:lang w:val="en-US" w:eastAsia="zh-CN"/>
              </w:rPr>
            </w:pPr>
            <w:r>
              <w:rPr>
                <w:rFonts w:hint="eastAsia"/>
                <w:lang w:val="en-US" w:eastAsia="zh-CN"/>
              </w:rPr>
              <w:t>8</w:t>
            </w:r>
          </w:p>
        </w:tc>
        <w:tc>
          <w:tcPr>
            <w:tcW w:w="5483" w:type="dxa"/>
            <w:vAlign w:val="center"/>
          </w:tcPr>
          <w:p>
            <w:pPr>
              <w:spacing w:line="288" w:lineRule="auto"/>
              <w:rPr>
                <w:rFonts w:hint="eastAsia"/>
                <w:lang w:eastAsia="zh-CN"/>
              </w:rPr>
            </w:pPr>
            <w:r>
              <w:rPr>
                <w:rFonts w:hint="eastAsia"/>
                <w:lang w:eastAsia="zh-CN"/>
              </w:rPr>
              <w:t>主要检测方法和工作程序安排，方法合理、程序安排的进度及分工明确，</w:t>
            </w:r>
          </w:p>
          <w:p>
            <w:pPr>
              <w:spacing w:line="288" w:lineRule="auto"/>
              <w:rPr>
                <w:rFonts w:hint="eastAsia"/>
                <w:lang w:eastAsia="zh-CN"/>
              </w:rPr>
            </w:pPr>
            <w:r>
              <w:rPr>
                <w:rFonts w:hint="eastAsia"/>
                <w:lang w:eastAsia="zh-CN"/>
              </w:rPr>
              <w:t>项目针对性强得</w:t>
            </w:r>
            <w:r>
              <w:rPr>
                <w:rFonts w:hint="eastAsia"/>
                <w:lang w:val="en-US" w:eastAsia="zh-CN"/>
              </w:rPr>
              <w:t>7-8</w:t>
            </w:r>
            <w:r>
              <w:rPr>
                <w:rFonts w:hint="eastAsia"/>
                <w:lang w:eastAsia="zh-CN"/>
              </w:rPr>
              <w:t>分；</w:t>
            </w:r>
          </w:p>
          <w:p>
            <w:pPr>
              <w:spacing w:line="288" w:lineRule="auto"/>
              <w:rPr>
                <w:rFonts w:hint="eastAsia"/>
                <w:lang w:eastAsia="zh-CN"/>
              </w:rPr>
            </w:pPr>
            <w:r>
              <w:rPr>
                <w:rFonts w:hint="eastAsia"/>
                <w:lang w:eastAsia="zh-CN"/>
              </w:rPr>
              <w:t>方法、程序安排能满足项目需求得 4-</w:t>
            </w:r>
            <w:r>
              <w:rPr>
                <w:rFonts w:hint="eastAsia"/>
                <w:lang w:val="en-US" w:eastAsia="zh-CN"/>
              </w:rPr>
              <w:t>6</w:t>
            </w:r>
            <w:r>
              <w:rPr>
                <w:rFonts w:hint="eastAsia"/>
                <w:lang w:eastAsia="zh-CN"/>
              </w:rPr>
              <w:t xml:space="preserve"> 分；</w:t>
            </w:r>
          </w:p>
          <w:p>
            <w:pPr>
              <w:spacing w:line="288" w:lineRule="auto"/>
              <w:rPr>
                <w:rFonts w:hint="eastAsia"/>
                <w:lang w:eastAsia="zh-CN"/>
              </w:rPr>
            </w:pPr>
            <w:r>
              <w:rPr>
                <w:rFonts w:hint="eastAsia"/>
                <w:lang w:eastAsia="zh-CN"/>
              </w:rPr>
              <w:t>方法、程序安排部分合理得 1-3 分；</w:t>
            </w:r>
          </w:p>
          <w:p>
            <w:pPr>
              <w:spacing w:line="288" w:lineRule="auto"/>
              <w:rPr>
                <w:rFonts w:hint="eastAsia"/>
                <w:lang w:val="en-US" w:eastAsia="zh-CN"/>
              </w:rPr>
            </w:pPr>
            <w:r>
              <w:rPr>
                <w:rFonts w:hint="eastAsia"/>
                <w:lang w:eastAsia="zh-CN"/>
              </w:rPr>
              <w:t>其他或未提供的不得分。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19" w:type="dxa"/>
            <w:vMerge w:val="continue"/>
          </w:tcPr>
          <w:p/>
        </w:tc>
        <w:tc>
          <w:tcPr>
            <w:tcW w:w="1339" w:type="dxa"/>
            <w:gridSpan w:val="2"/>
            <w:vAlign w:val="center"/>
          </w:tcPr>
          <w:p>
            <w:pPr>
              <w:spacing w:line="288" w:lineRule="auto"/>
              <w:rPr>
                <w:rFonts w:hint="eastAsia"/>
                <w:lang w:eastAsia="zh-CN"/>
              </w:rPr>
            </w:pPr>
            <w:r>
              <w:rPr>
                <w:rFonts w:hint="eastAsia"/>
                <w:lang w:eastAsia="zh-CN"/>
              </w:rPr>
              <w:t>服务质量保证措施</w:t>
            </w:r>
          </w:p>
          <w:p>
            <w:pPr>
              <w:spacing w:line="288" w:lineRule="auto"/>
              <w:rPr>
                <w:rFonts w:hint="eastAsia"/>
                <w:lang w:eastAsia="zh-CN"/>
              </w:rPr>
            </w:pPr>
          </w:p>
        </w:tc>
        <w:tc>
          <w:tcPr>
            <w:tcW w:w="442" w:type="dxa"/>
            <w:vAlign w:val="center"/>
          </w:tcPr>
          <w:p>
            <w:pPr>
              <w:spacing w:line="288" w:lineRule="auto"/>
              <w:rPr>
                <w:rFonts w:hint="default"/>
                <w:lang w:val="en-US" w:eastAsia="zh-CN"/>
              </w:rPr>
            </w:pPr>
            <w:r>
              <w:rPr>
                <w:rFonts w:hint="eastAsia"/>
                <w:lang w:val="en-US" w:eastAsia="zh-CN"/>
              </w:rPr>
              <w:t>6</w:t>
            </w:r>
          </w:p>
        </w:tc>
        <w:tc>
          <w:tcPr>
            <w:tcW w:w="5483" w:type="dxa"/>
            <w:vAlign w:val="center"/>
          </w:tcPr>
          <w:p>
            <w:pPr>
              <w:spacing w:line="288" w:lineRule="auto"/>
              <w:rPr>
                <w:rFonts w:hint="eastAsia"/>
                <w:lang w:eastAsia="zh-CN"/>
              </w:rPr>
            </w:pPr>
            <w:r>
              <w:rPr>
                <w:rFonts w:hint="eastAsia"/>
                <w:lang w:eastAsia="zh-CN"/>
              </w:rPr>
              <w:t>依据供应商提供针对本项目的服务质量目标及质量保证措施进行评审，质量目标优良、措施科学合理、针对性强得</w:t>
            </w:r>
            <w:r>
              <w:rPr>
                <w:rFonts w:hint="eastAsia"/>
                <w:lang w:val="en-US" w:eastAsia="zh-CN"/>
              </w:rPr>
              <w:t>6</w:t>
            </w:r>
            <w:r>
              <w:rPr>
                <w:rFonts w:hint="eastAsia"/>
                <w:lang w:eastAsia="zh-CN"/>
              </w:rPr>
              <w:t>分；</w:t>
            </w:r>
          </w:p>
          <w:p>
            <w:pPr>
              <w:spacing w:line="288" w:lineRule="auto"/>
              <w:rPr>
                <w:rFonts w:hint="eastAsia"/>
                <w:lang w:eastAsia="zh-CN"/>
              </w:rPr>
            </w:pPr>
            <w:r>
              <w:rPr>
                <w:rFonts w:hint="eastAsia"/>
                <w:lang w:eastAsia="zh-CN"/>
              </w:rPr>
              <w:t>质量目标和质量保证措施相对合理、满足项目需求得 4-5 分；</w:t>
            </w:r>
          </w:p>
          <w:p>
            <w:pPr>
              <w:spacing w:line="288" w:lineRule="auto"/>
              <w:rPr>
                <w:rFonts w:hint="eastAsia"/>
                <w:lang w:eastAsia="zh-CN"/>
              </w:rPr>
            </w:pPr>
            <w:r>
              <w:rPr>
                <w:rFonts w:hint="eastAsia"/>
                <w:lang w:eastAsia="zh-CN"/>
              </w:rPr>
              <w:t>质量目标和质量保证措施部分 满足项目需求得 1-3分；</w:t>
            </w:r>
          </w:p>
          <w:p>
            <w:pPr>
              <w:spacing w:line="288" w:lineRule="auto"/>
              <w:rPr>
                <w:rFonts w:hint="eastAsia"/>
                <w:lang w:val="en-US" w:eastAsia="zh-CN"/>
              </w:rPr>
            </w:pPr>
            <w:r>
              <w:rPr>
                <w:rFonts w:hint="eastAsia"/>
                <w:lang w:eastAsia="zh-CN"/>
              </w:rPr>
              <w:t>其他或未提供的不得分。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19" w:type="dxa"/>
            <w:vMerge w:val="continue"/>
          </w:tcPr>
          <w:p/>
        </w:tc>
        <w:tc>
          <w:tcPr>
            <w:tcW w:w="1339" w:type="dxa"/>
            <w:gridSpan w:val="2"/>
            <w:vAlign w:val="top"/>
          </w:tcPr>
          <w:p>
            <w:pPr>
              <w:spacing w:line="288" w:lineRule="auto"/>
              <w:rPr>
                <w:rFonts w:hint="eastAsia"/>
                <w:lang w:eastAsia="zh-CN"/>
              </w:rPr>
            </w:pPr>
            <w:r>
              <w:rPr>
                <w:rFonts w:hint="eastAsia"/>
                <w:lang w:eastAsia="zh-CN"/>
              </w:rPr>
              <w:t>安全控制措施</w:t>
            </w:r>
          </w:p>
          <w:p>
            <w:pPr>
              <w:spacing w:line="288" w:lineRule="auto"/>
              <w:rPr>
                <w:rFonts w:hint="eastAsia"/>
                <w:lang w:eastAsia="zh-CN"/>
              </w:rPr>
            </w:pPr>
          </w:p>
        </w:tc>
        <w:tc>
          <w:tcPr>
            <w:tcW w:w="442" w:type="dxa"/>
            <w:vAlign w:val="center"/>
          </w:tcPr>
          <w:p>
            <w:pPr>
              <w:spacing w:line="288" w:lineRule="auto"/>
              <w:rPr>
                <w:rFonts w:hint="default"/>
                <w:lang w:val="en-US" w:eastAsia="zh-CN"/>
              </w:rPr>
            </w:pPr>
            <w:r>
              <w:rPr>
                <w:rFonts w:hint="eastAsia"/>
                <w:lang w:val="en-US" w:eastAsia="zh-CN"/>
              </w:rPr>
              <w:t>6</w:t>
            </w:r>
          </w:p>
        </w:tc>
        <w:tc>
          <w:tcPr>
            <w:tcW w:w="5483" w:type="dxa"/>
            <w:vAlign w:val="top"/>
          </w:tcPr>
          <w:p>
            <w:pPr>
              <w:spacing w:line="288" w:lineRule="auto"/>
              <w:rPr>
                <w:rFonts w:hint="eastAsia"/>
                <w:lang w:eastAsia="zh-CN"/>
              </w:rPr>
            </w:pPr>
            <w:r>
              <w:rPr>
                <w:rFonts w:hint="eastAsia"/>
                <w:lang w:eastAsia="zh-CN"/>
              </w:rPr>
              <w:t>具备有效的安全保证措施。措施合理、针对性强得</w:t>
            </w:r>
            <w:r>
              <w:rPr>
                <w:rFonts w:hint="eastAsia"/>
                <w:lang w:val="en-US" w:eastAsia="zh-CN"/>
              </w:rPr>
              <w:t>6</w:t>
            </w:r>
            <w:r>
              <w:rPr>
                <w:rFonts w:hint="eastAsia"/>
                <w:lang w:eastAsia="zh-CN"/>
              </w:rPr>
              <w:t xml:space="preserve">分；合理、基本 可行得 </w:t>
            </w:r>
            <w:r>
              <w:rPr>
                <w:rFonts w:hint="eastAsia"/>
                <w:lang w:val="en-US" w:eastAsia="zh-CN"/>
              </w:rPr>
              <w:t>4-5</w:t>
            </w:r>
            <w:r>
              <w:rPr>
                <w:rFonts w:hint="eastAsia"/>
                <w:lang w:eastAsia="zh-CN"/>
              </w:rPr>
              <w:t xml:space="preserve"> 分；内容欠完备、基本可行得 1</w:t>
            </w:r>
            <w:r>
              <w:rPr>
                <w:rFonts w:hint="eastAsia"/>
                <w:lang w:val="en-US" w:eastAsia="zh-CN"/>
              </w:rPr>
              <w:t>-3</w:t>
            </w:r>
            <w:r>
              <w:rPr>
                <w:rFonts w:hint="eastAsia"/>
                <w:lang w:eastAsia="zh-CN"/>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19" w:type="dxa"/>
            <w:vMerge w:val="continue"/>
          </w:tcPr>
          <w:p/>
        </w:tc>
        <w:tc>
          <w:tcPr>
            <w:tcW w:w="1339" w:type="dxa"/>
            <w:gridSpan w:val="2"/>
            <w:vAlign w:val="top"/>
          </w:tcPr>
          <w:p>
            <w:pPr>
              <w:spacing w:line="288" w:lineRule="auto"/>
              <w:rPr>
                <w:rFonts w:hint="eastAsia"/>
                <w:lang w:eastAsia="zh-CN"/>
              </w:rPr>
            </w:pPr>
            <w:r>
              <w:rPr>
                <w:rFonts w:hint="eastAsia"/>
                <w:lang w:eastAsia="zh-CN"/>
              </w:rPr>
              <w:t>进度控制措施</w:t>
            </w:r>
          </w:p>
          <w:p>
            <w:pPr>
              <w:spacing w:line="288" w:lineRule="auto"/>
              <w:rPr>
                <w:rFonts w:hint="eastAsia"/>
                <w:lang w:eastAsia="zh-CN"/>
              </w:rPr>
            </w:pPr>
          </w:p>
        </w:tc>
        <w:tc>
          <w:tcPr>
            <w:tcW w:w="442" w:type="dxa"/>
            <w:vAlign w:val="center"/>
          </w:tcPr>
          <w:p>
            <w:pPr>
              <w:spacing w:line="288" w:lineRule="auto"/>
              <w:rPr>
                <w:rFonts w:hint="default"/>
                <w:lang w:val="en-US" w:eastAsia="zh-CN"/>
              </w:rPr>
            </w:pPr>
            <w:r>
              <w:rPr>
                <w:rFonts w:hint="eastAsia"/>
                <w:lang w:val="en-US" w:eastAsia="zh-CN"/>
              </w:rPr>
              <w:t>5</w:t>
            </w:r>
          </w:p>
        </w:tc>
        <w:tc>
          <w:tcPr>
            <w:tcW w:w="5483" w:type="dxa"/>
            <w:vAlign w:val="top"/>
          </w:tcPr>
          <w:p>
            <w:pPr>
              <w:spacing w:line="288" w:lineRule="auto"/>
              <w:rPr>
                <w:rFonts w:hint="eastAsia"/>
                <w:lang w:eastAsia="zh-CN"/>
              </w:rPr>
            </w:pPr>
            <w:r>
              <w:rPr>
                <w:rFonts w:hint="eastAsia"/>
                <w:lang w:eastAsia="zh-CN"/>
              </w:rPr>
              <w:t>具备合理的进度控制措施。措施合理、针对性强得</w:t>
            </w:r>
            <w:r>
              <w:rPr>
                <w:rFonts w:hint="eastAsia"/>
                <w:lang w:val="en-US" w:eastAsia="zh-CN"/>
              </w:rPr>
              <w:t>5</w:t>
            </w:r>
            <w:r>
              <w:rPr>
                <w:rFonts w:hint="eastAsia"/>
                <w:lang w:eastAsia="zh-CN"/>
              </w:rPr>
              <w:t>分；合理、基本 可行得 3</w:t>
            </w:r>
            <w:r>
              <w:rPr>
                <w:rFonts w:hint="eastAsia"/>
                <w:lang w:val="en-US" w:eastAsia="zh-CN"/>
              </w:rPr>
              <w:t>-4</w:t>
            </w:r>
            <w:r>
              <w:rPr>
                <w:rFonts w:hint="eastAsia"/>
                <w:lang w:eastAsia="zh-CN"/>
              </w:rPr>
              <w:t xml:space="preserve"> 分；内容欠完备、基本可行得 1</w:t>
            </w:r>
            <w:r>
              <w:rPr>
                <w:rFonts w:hint="eastAsia"/>
                <w:lang w:val="en-US" w:eastAsia="zh-CN"/>
              </w:rPr>
              <w:t>-2</w:t>
            </w:r>
            <w:r>
              <w:rPr>
                <w:rFonts w:hint="eastAsia"/>
                <w:lang w:eastAsia="zh-CN"/>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19" w:type="dxa"/>
            <w:vMerge w:val="continue"/>
          </w:tcPr>
          <w:p/>
        </w:tc>
        <w:tc>
          <w:tcPr>
            <w:tcW w:w="1339" w:type="dxa"/>
            <w:gridSpan w:val="2"/>
            <w:vAlign w:val="top"/>
          </w:tcPr>
          <w:p>
            <w:pPr>
              <w:spacing w:line="288" w:lineRule="auto"/>
              <w:rPr>
                <w:rFonts w:hint="eastAsia"/>
                <w:lang w:eastAsia="zh-CN"/>
              </w:rPr>
            </w:pPr>
            <w:r>
              <w:rPr>
                <w:rFonts w:hint="eastAsia"/>
                <w:lang w:eastAsia="zh-CN"/>
              </w:rPr>
              <w:t>质量控制措施</w:t>
            </w:r>
          </w:p>
          <w:p>
            <w:pPr>
              <w:spacing w:line="288" w:lineRule="auto"/>
              <w:rPr>
                <w:rFonts w:hint="eastAsia"/>
                <w:lang w:eastAsia="zh-CN"/>
              </w:rPr>
            </w:pPr>
          </w:p>
        </w:tc>
        <w:tc>
          <w:tcPr>
            <w:tcW w:w="442" w:type="dxa"/>
            <w:vAlign w:val="center"/>
          </w:tcPr>
          <w:p>
            <w:pPr>
              <w:spacing w:line="288" w:lineRule="auto"/>
              <w:rPr>
                <w:rFonts w:hint="default"/>
                <w:lang w:val="en-US" w:eastAsia="zh-CN"/>
              </w:rPr>
            </w:pPr>
            <w:r>
              <w:rPr>
                <w:rFonts w:hint="eastAsia"/>
                <w:lang w:val="en-US" w:eastAsia="zh-CN"/>
              </w:rPr>
              <w:t>5</w:t>
            </w:r>
          </w:p>
        </w:tc>
        <w:tc>
          <w:tcPr>
            <w:tcW w:w="5483" w:type="dxa"/>
            <w:vAlign w:val="top"/>
          </w:tcPr>
          <w:p>
            <w:pPr>
              <w:spacing w:line="288" w:lineRule="auto"/>
              <w:rPr>
                <w:rFonts w:hint="eastAsia"/>
                <w:lang w:eastAsia="zh-CN"/>
              </w:rPr>
            </w:pPr>
            <w:r>
              <w:rPr>
                <w:rFonts w:hint="eastAsia"/>
                <w:lang w:eastAsia="zh-CN"/>
              </w:rPr>
              <w:t xml:space="preserve">有健全的质量保证措施。措施合理、针对性强得 </w:t>
            </w:r>
            <w:r>
              <w:rPr>
                <w:rFonts w:hint="eastAsia"/>
                <w:lang w:val="en-US" w:eastAsia="zh-CN"/>
              </w:rPr>
              <w:t>5</w:t>
            </w:r>
            <w:r>
              <w:rPr>
                <w:rFonts w:hint="eastAsia"/>
                <w:lang w:eastAsia="zh-CN"/>
              </w:rPr>
              <w:t>分； 合理、基本可 行得 3</w:t>
            </w:r>
            <w:r>
              <w:rPr>
                <w:rFonts w:hint="eastAsia"/>
                <w:lang w:val="en-US" w:eastAsia="zh-CN"/>
              </w:rPr>
              <w:t>-4</w:t>
            </w:r>
            <w:r>
              <w:rPr>
                <w:rFonts w:hint="eastAsia"/>
                <w:lang w:eastAsia="zh-CN"/>
              </w:rPr>
              <w:t xml:space="preserve"> 分； 内容欠完备、基本可行得 1</w:t>
            </w:r>
            <w:r>
              <w:rPr>
                <w:rFonts w:hint="eastAsia"/>
                <w:lang w:val="en-US" w:eastAsia="zh-CN"/>
              </w:rPr>
              <w:t>-2</w:t>
            </w:r>
            <w:r>
              <w:rPr>
                <w:rFonts w:hint="eastAsia"/>
                <w:lang w:eastAsia="zh-CN"/>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1419" w:type="dxa"/>
            <w:vMerge w:val="continue"/>
          </w:tcPr>
          <w:p/>
        </w:tc>
        <w:tc>
          <w:tcPr>
            <w:tcW w:w="1339" w:type="dxa"/>
            <w:gridSpan w:val="2"/>
            <w:vAlign w:val="center"/>
          </w:tcPr>
          <w:p>
            <w:pPr>
              <w:spacing w:line="288" w:lineRule="auto"/>
              <w:rPr>
                <w:rFonts w:hint="eastAsia"/>
                <w:lang w:eastAsia="zh-CN"/>
              </w:rPr>
            </w:pPr>
            <w:r>
              <w:rPr>
                <w:rFonts w:hint="eastAsia"/>
                <w:lang w:eastAsia="zh-CN"/>
              </w:rPr>
              <w:t>文明保证</w:t>
            </w:r>
          </w:p>
          <w:p>
            <w:pPr>
              <w:spacing w:line="288" w:lineRule="auto"/>
              <w:rPr>
                <w:rFonts w:hint="eastAsia"/>
                <w:lang w:eastAsia="zh-CN"/>
              </w:rPr>
            </w:pPr>
          </w:p>
        </w:tc>
        <w:tc>
          <w:tcPr>
            <w:tcW w:w="442" w:type="dxa"/>
            <w:vAlign w:val="center"/>
          </w:tcPr>
          <w:p>
            <w:pPr>
              <w:spacing w:line="288" w:lineRule="auto"/>
              <w:rPr>
                <w:rFonts w:hint="default"/>
                <w:lang w:val="en-US" w:eastAsia="zh-CN"/>
              </w:rPr>
            </w:pPr>
            <w:r>
              <w:rPr>
                <w:rFonts w:hint="eastAsia"/>
                <w:lang w:val="en-US" w:eastAsia="zh-CN"/>
              </w:rPr>
              <w:t>5</w:t>
            </w:r>
          </w:p>
        </w:tc>
        <w:tc>
          <w:tcPr>
            <w:tcW w:w="5483" w:type="dxa"/>
            <w:vAlign w:val="center"/>
          </w:tcPr>
          <w:p>
            <w:pPr>
              <w:spacing w:line="288" w:lineRule="auto"/>
              <w:rPr>
                <w:rFonts w:hint="eastAsia"/>
                <w:lang w:eastAsia="zh-CN"/>
              </w:rPr>
            </w:pPr>
            <w:r>
              <w:rPr>
                <w:rFonts w:hint="eastAsia"/>
                <w:lang w:eastAsia="zh-CN"/>
              </w:rPr>
              <w:t xml:space="preserve">供应商编制的文明服务管理体系及措施全面、合 理得 3 分；文明服务管理体系、措施不全面、部分合 理得 1-2 分；其他或未提供不得分。 </w:t>
            </w:r>
          </w:p>
          <w:p>
            <w:pPr>
              <w:spacing w:line="288" w:lineRule="auto"/>
              <w:rPr>
                <w:rFonts w:hint="eastAsia"/>
                <w:lang w:val="en-US" w:eastAsia="zh-CN"/>
              </w:rPr>
            </w:pPr>
            <w:r>
              <w:rPr>
                <w:rFonts w:hint="eastAsia"/>
                <w:lang w:eastAsia="zh-CN"/>
              </w:rPr>
              <w:t>废弃物处理措施得当，满足招标文件及国家相关法律法规要求的得2 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419" w:type="dxa"/>
            <w:vMerge w:val="continue"/>
          </w:tcPr>
          <w:p/>
        </w:tc>
        <w:tc>
          <w:tcPr>
            <w:tcW w:w="1339" w:type="dxa"/>
            <w:gridSpan w:val="2"/>
            <w:vAlign w:val="center"/>
          </w:tcPr>
          <w:p>
            <w:pPr>
              <w:spacing w:line="288" w:lineRule="auto"/>
              <w:rPr>
                <w:rFonts w:hint="eastAsia"/>
                <w:lang w:eastAsia="zh-CN"/>
              </w:rPr>
            </w:pPr>
            <w:r>
              <w:rPr>
                <w:rFonts w:hint="eastAsia"/>
                <w:lang w:eastAsia="zh-CN"/>
              </w:rPr>
              <w:t>劳动力及管理人员配备</w:t>
            </w:r>
          </w:p>
        </w:tc>
        <w:tc>
          <w:tcPr>
            <w:tcW w:w="442" w:type="dxa"/>
            <w:vAlign w:val="center"/>
          </w:tcPr>
          <w:p>
            <w:pPr>
              <w:spacing w:line="288" w:lineRule="auto"/>
              <w:rPr>
                <w:rFonts w:hint="default"/>
                <w:lang w:val="en-US" w:eastAsia="zh-CN"/>
              </w:rPr>
            </w:pPr>
            <w:r>
              <w:rPr>
                <w:rFonts w:hint="eastAsia"/>
                <w:lang w:val="en-US" w:eastAsia="zh-CN"/>
              </w:rPr>
              <w:t>5</w:t>
            </w:r>
          </w:p>
        </w:tc>
        <w:tc>
          <w:tcPr>
            <w:tcW w:w="5483" w:type="dxa"/>
            <w:vAlign w:val="center"/>
          </w:tcPr>
          <w:p>
            <w:pPr>
              <w:spacing w:line="288" w:lineRule="auto"/>
              <w:rPr>
                <w:rFonts w:hint="eastAsia"/>
                <w:lang w:val="en-US" w:eastAsia="zh-CN"/>
              </w:rPr>
            </w:pPr>
            <w:r>
              <w:rPr>
                <w:rFonts w:hint="eastAsia"/>
                <w:lang w:eastAsia="zh-CN"/>
              </w:rPr>
              <w:t>项目班子人员配备合理，责任分工明确，专业齐全。检测项目操作人员配置合理，配置人员数量满足工程实际检测进度需要。得4-</w:t>
            </w:r>
            <w:r>
              <w:rPr>
                <w:rFonts w:hint="eastAsia"/>
                <w:lang w:val="en-US" w:eastAsia="zh-CN"/>
              </w:rPr>
              <w:t>5</w:t>
            </w:r>
            <w:r>
              <w:rPr>
                <w:rFonts w:hint="eastAsia"/>
                <w:lang w:eastAsia="zh-CN"/>
              </w:rPr>
              <w:t>；人员配备基本合理得1-3，否则不得分。</w:t>
            </w:r>
          </w:p>
        </w:tc>
      </w:tr>
    </w:tbl>
    <w:p>
      <w:pPr>
        <w:ind w:firstLine="440" w:firstLineChars="200"/>
        <w:rPr>
          <w:rFonts w:ascii="宋体" w:hAnsi="宋体" w:eastAsia="宋体" w:cs="宋体"/>
          <w:b/>
          <w:bCs/>
          <w:sz w:val="20"/>
          <w:szCs w:val="21"/>
          <w:lang w:val="zh-CN"/>
        </w:rPr>
      </w:pPr>
      <w:r>
        <w:rPr>
          <w:rFonts w:hint="eastAsia" w:ascii="宋体" w:hAnsi="宋体" w:eastAsia="宋体" w:cs="宋体"/>
          <w:b/>
          <w:bCs/>
          <w:sz w:val="22"/>
          <w:lang w:val="zh-CN"/>
        </w:rPr>
        <w:t>备注：</w:t>
      </w:r>
    </w:p>
    <w:p>
      <w:pPr>
        <w:ind w:firstLine="440" w:firstLineChars="200"/>
        <w:rPr>
          <w:rFonts w:hint="eastAsia" w:ascii="宋体" w:hAnsi="宋体" w:eastAsia="宋体" w:cs="宋体"/>
          <w:b/>
          <w:bCs/>
          <w:sz w:val="22"/>
          <w:lang w:val="zh-CN"/>
        </w:rPr>
      </w:pPr>
      <w:r>
        <w:rPr>
          <w:rFonts w:hint="eastAsia" w:ascii="宋体" w:hAnsi="宋体" w:eastAsia="宋体" w:cs="宋体"/>
          <w:b/>
          <w:bCs/>
          <w:sz w:val="22"/>
          <w:lang w:val="zh-CN"/>
        </w:rPr>
        <w:t>1.每个有效供应商的最终得分为评标委员会成员有效评分的算术平均值，分值计算时保留小数点后两位；</w:t>
      </w:r>
    </w:p>
    <w:p>
      <w:pPr>
        <w:ind w:firstLine="440" w:firstLineChars="200"/>
        <w:rPr>
          <w:rFonts w:hint="eastAsia" w:ascii="宋体" w:hAnsi="宋体" w:eastAsia="宋体" w:cs="宋体"/>
          <w:b/>
          <w:bCs/>
          <w:sz w:val="22"/>
          <w:lang w:val="zh-CN"/>
        </w:rPr>
      </w:pPr>
      <w:r>
        <w:rPr>
          <w:rFonts w:hint="eastAsia" w:ascii="宋体" w:hAnsi="宋体" w:eastAsia="宋体" w:cs="宋体"/>
          <w:b/>
          <w:bCs/>
          <w:sz w:val="22"/>
          <w:lang w:val="zh-CN"/>
        </w:rPr>
        <w:t>2. 各投标人所得分值为全部评标委员会成员各自独立评分后的算术平均值（保留两位小数） ；</w:t>
      </w:r>
    </w:p>
    <w:p>
      <w:pPr>
        <w:ind w:firstLine="440" w:firstLineChars="200"/>
        <w:rPr>
          <w:rFonts w:hint="eastAsia" w:ascii="宋体" w:hAnsi="宋体" w:eastAsia="宋体" w:cs="宋体"/>
          <w:b/>
          <w:bCs/>
          <w:sz w:val="22"/>
          <w:lang w:val="zh-CN"/>
        </w:rPr>
      </w:pPr>
      <w:r>
        <w:rPr>
          <w:rFonts w:hint="eastAsia" w:ascii="宋体" w:hAnsi="宋体" w:eastAsia="宋体" w:cs="宋体"/>
          <w:b/>
          <w:bCs/>
          <w:sz w:val="22"/>
          <w:lang w:val="zh-CN"/>
        </w:rPr>
        <w:t>3.以上评审标准中要求提供的证件、合同、发票等证明材料复印件应加盖供应商公章的形式编列入投标文件相应内容中（</w:t>
      </w:r>
      <w:r>
        <w:rPr>
          <w:rFonts w:hint="eastAsia" w:ascii="宋体" w:hAnsi="宋体" w:eastAsia="宋体" w:cs="宋体"/>
          <w:b/>
          <w:bCs/>
          <w:color w:val="FF0000"/>
          <w:sz w:val="22"/>
          <w:lang w:val="en-US" w:eastAsia="zh-CN"/>
        </w:rPr>
        <w:t>正本需提供清晰可辨认的彩色电子扫描件或彩色复印件，如因证明材料模糊无法辨认，缺页、漏页导致无法进行评审认定的责任由供应商自行负责。如发现弄虚作假将按照有关规定严肃处理</w:t>
      </w:r>
      <w:r>
        <w:rPr>
          <w:rFonts w:hint="eastAsia" w:ascii="宋体" w:hAnsi="宋体" w:eastAsia="宋体" w:cs="宋体"/>
          <w:b/>
          <w:bCs/>
          <w:color w:val="FF0000"/>
          <w:sz w:val="22"/>
          <w:lang w:val="zh-CN" w:eastAsia="zh-CN"/>
        </w:rPr>
        <w:t>）</w:t>
      </w:r>
      <w:r>
        <w:rPr>
          <w:rFonts w:hint="eastAsia" w:ascii="宋体" w:hAnsi="宋体" w:eastAsia="宋体" w:cs="宋体"/>
          <w:b/>
          <w:bCs/>
          <w:sz w:val="22"/>
          <w:lang w:val="zh-CN" w:eastAsia="zh-CN"/>
        </w:rPr>
        <w:t>；</w:t>
      </w:r>
    </w:p>
    <w:p>
      <w:pPr>
        <w:ind w:firstLine="440" w:firstLineChars="200"/>
        <w:rPr>
          <w:rFonts w:hint="eastAsia" w:ascii="宋体" w:hAnsi="宋体" w:eastAsia="宋体" w:cs="宋体"/>
          <w:b/>
          <w:bCs/>
          <w:sz w:val="22"/>
          <w:lang w:val="zh-CN"/>
        </w:rPr>
      </w:pPr>
      <w:r>
        <w:rPr>
          <w:rFonts w:hint="eastAsia" w:ascii="宋体" w:hAnsi="宋体" w:eastAsia="宋体" w:cs="宋体"/>
          <w:b/>
          <w:bCs/>
          <w:sz w:val="22"/>
          <w:lang w:val="zh-CN"/>
        </w:rPr>
        <w:t>4.供应商应对其提供的证明材料的真实性负责，如在评标过程中或确定中标排序后查 实存在伪造、变造证明材料的情况，将取消投标及中标资格，并视情况向政府采购主管部 门报告相关违法违规情况，由主管部门给予相关行政处罚。</w:t>
      </w:r>
    </w:p>
    <w:p>
      <w:pPr>
        <w:ind w:firstLine="440" w:firstLineChars="200"/>
        <w:rPr>
          <w:rFonts w:hint="eastAsia" w:ascii="宋体" w:hAnsi="宋体" w:eastAsia="宋体" w:cs="宋体"/>
          <w:b/>
          <w:bCs/>
          <w:sz w:val="22"/>
          <w:lang w:val="zh-CN"/>
        </w:rPr>
      </w:pPr>
      <w:r>
        <w:rPr>
          <w:rFonts w:hint="eastAsia" w:ascii="宋体" w:hAnsi="宋体" w:eastAsia="宋体" w:cs="宋体"/>
          <w:b/>
          <w:bCs/>
          <w:sz w:val="22"/>
          <w:lang w:val="zh-CN"/>
        </w:rPr>
        <w:t xml:space="preserve">5.本次招标采用综合评分法。评标委员会对初审合格的投标文件，按照详细评审规定 的评分细则进行打分，并按得分由高到低顺序向采购人推荐三名成交候选供应商。评审得 分相同的，按照其报价由低到高的顺序推荐。各投标人最终得分为各评标委员会成员独立 </w:t>
      </w:r>
      <w:bookmarkStart w:id="77" w:name="_bookmark6"/>
      <w:bookmarkEnd w:id="77"/>
      <w:r>
        <w:rPr>
          <w:rFonts w:hint="eastAsia" w:ascii="宋体" w:hAnsi="宋体" w:eastAsia="宋体" w:cs="宋体"/>
          <w:b/>
          <w:bCs/>
          <w:sz w:val="22"/>
          <w:lang w:val="zh-CN"/>
        </w:rPr>
        <w:t>评分后的算术平均值。</w:t>
      </w:r>
    </w:p>
    <w:p>
      <w:pPr>
        <w:rPr>
          <w:rFonts w:ascii="黑体" w:hAnsi="黑体" w:eastAsia="黑体"/>
        </w:rPr>
      </w:pPr>
    </w:p>
    <w:p>
      <w:pPr>
        <w:pStyle w:val="3"/>
        <w:spacing w:before="0" w:after="0"/>
        <w:jc w:val="center"/>
        <w:rPr>
          <w:rFonts w:hint="eastAsia" w:ascii="黑体" w:hAnsi="黑体" w:eastAsia="黑体"/>
        </w:rPr>
      </w:pPr>
    </w:p>
    <w:p>
      <w:pPr>
        <w:pStyle w:val="2"/>
        <w:rPr>
          <w:rFonts w:hint="eastAsia"/>
        </w:rPr>
      </w:pPr>
    </w:p>
    <w:p>
      <w:pPr>
        <w:rPr>
          <w:rFonts w:hint="eastAsia"/>
        </w:rPr>
      </w:pPr>
    </w:p>
    <w:p>
      <w:pPr>
        <w:rPr>
          <w:rFonts w:hint="eastAsia"/>
        </w:rPr>
      </w:pPr>
    </w:p>
    <w:p>
      <w:pPr>
        <w:rPr>
          <w:rFonts w:hint="eastAsia" w:ascii="黑体" w:hAnsi="黑体" w:eastAsia="黑体"/>
        </w:rPr>
      </w:pPr>
      <w:bookmarkStart w:id="78" w:name="_Toc13253"/>
      <w:r>
        <w:rPr>
          <w:rFonts w:hint="eastAsia" w:ascii="黑体" w:hAnsi="黑体" w:eastAsia="黑体"/>
        </w:rPr>
        <w:br w:type="page"/>
      </w:r>
    </w:p>
    <w:p>
      <w:pPr>
        <w:pStyle w:val="3"/>
        <w:spacing w:before="0" w:after="0"/>
        <w:jc w:val="center"/>
        <w:rPr>
          <w:rFonts w:ascii="黑体" w:hAnsi="黑体" w:eastAsia="黑体"/>
        </w:rPr>
      </w:pPr>
      <w:r>
        <w:rPr>
          <w:rFonts w:hint="eastAsia" w:ascii="黑体" w:hAnsi="黑体" w:eastAsia="黑体"/>
        </w:rPr>
        <w:t xml:space="preserve">第六章 </w:t>
      </w:r>
      <w:r>
        <w:rPr>
          <w:rFonts w:ascii="黑体" w:hAnsi="黑体" w:eastAsia="黑体"/>
        </w:rPr>
        <w:t xml:space="preserve"> </w:t>
      </w:r>
      <w:r>
        <w:rPr>
          <w:rFonts w:hint="eastAsia" w:ascii="黑体" w:hAnsi="黑体" w:eastAsia="黑体"/>
        </w:rPr>
        <w:t>合同书格式（参考）</w:t>
      </w:r>
      <w:bookmarkEnd w:id="71"/>
      <w:bookmarkEnd w:id="72"/>
      <w:bookmarkEnd w:id="73"/>
      <w:bookmarkEnd w:id="74"/>
      <w:bookmarkEnd w:id="75"/>
      <w:bookmarkEnd w:id="76"/>
      <w:bookmarkEnd w:id="78"/>
    </w:p>
    <w:p>
      <w:pPr>
        <w:spacing w:line="360" w:lineRule="auto"/>
        <w:ind w:firstLine="480" w:firstLineChars="200"/>
        <w:rPr>
          <w:sz w:val="24"/>
          <w:szCs w:val="24"/>
        </w:rPr>
      </w:pPr>
      <w:r>
        <w:rPr>
          <w:rFonts w:hint="eastAsia"/>
          <w:sz w:val="24"/>
          <w:szCs w:val="24"/>
        </w:rPr>
        <w:t>（根据《政府采购法》和《合同法》相关规定，采购人和中标人之间的权利和义务，应当按照平等、自愿的原则以合同方式约定。此合同书仅作为签订正式合同时的参考，正式合同书应包括本参考格式之内容。）</w:t>
      </w:r>
    </w:p>
    <w:p>
      <w:pPr>
        <w:autoSpaceDE w:val="0"/>
        <w:autoSpaceDN w:val="0"/>
        <w:jc w:val="center"/>
        <w:rPr>
          <w:rFonts w:ascii="宋体" w:hAnsi="宋体" w:eastAsia="宋体" w:cs="Times New Roman"/>
          <w:b/>
          <w:kern w:val="0"/>
          <w:sz w:val="36"/>
          <w:szCs w:val="36"/>
        </w:rPr>
      </w:pPr>
      <w:r>
        <w:rPr>
          <w:rFonts w:hint="eastAsia" w:ascii="宋体" w:hAnsi="宋体" w:eastAsia="宋体" w:cs="Times New Roman"/>
          <w:b/>
          <w:kern w:val="0"/>
          <w:sz w:val="36"/>
          <w:szCs w:val="36"/>
        </w:rPr>
        <w:t>合   同   书</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项目名称：</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合同编号：</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签订日期：</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签订合同地点：</w:t>
      </w:r>
    </w:p>
    <w:p>
      <w:pPr>
        <w:spacing w:beforeLines="25" w:line="360" w:lineRule="auto"/>
        <w:ind w:firstLine="480" w:firstLineChars="200"/>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本合同由</w:t>
      </w:r>
      <w:r>
        <w:rPr>
          <w:rFonts w:hint="eastAsia" w:ascii="Helvetica" w:hAnsi="Helvetica" w:eastAsia="宋体" w:cs="Helvetica"/>
          <w:kern w:val="0"/>
          <w:sz w:val="24"/>
          <w:szCs w:val="24"/>
          <w:u w:val="single"/>
          <w:lang w:val="zh-CN"/>
        </w:rPr>
        <w:t>（采购人）</w:t>
      </w:r>
      <w:r>
        <w:rPr>
          <w:rFonts w:hint="eastAsia" w:ascii="Helvetica" w:hAnsi="Helvetica" w:eastAsia="宋体" w:cs="Helvetica"/>
          <w:kern w:val="0"/>
          <w:sz w:val="24"/>
          <w:szCs w:val="24"/>
          <w:lang w:val="zh-CN"/>
        </w:rPr>
        <w:t>（以下简称“甲方”）与</w:t>
      </w:r>
      <w:r>
        <w:rPr>
          <w:rFonts w:hint="eastAsia" w:ascii="Helvetica" w:hAnsi="Helvetica" w:eastAsia="宋体" w:cs="Helvetica"/>
          <w:kern w:val="0"/>
          <w:sz w:val="24"/>
          <w:szCs w:val="24"/>
          <w:u w:val="single"/>
          <w:lang w:val="zh-CN"/>
        </w:rPr>
        <w:t>（中标人）</w:t>
      </w:r>
      <w:r>
        <w:rPr>
          <w:rFonts w:hint="eastAsia" w:ascii="Helvetica" w:hAnsi="Helvetica" w:eastAsia="宋体" w:cs="Helvetica"/>
          <w:kern w:val="0"/>
          <w:sz w:val="24"/>
          <w:szCs w:val="24"/>
          <w:lang w:val="zh-CN"/>
        </w:rPr>
        <w:t>（以下简称“乙方”）签订。乙方以总金额万元人民币（用大写数字书写）向甲方提供如下货物（工程或服务）：</w:t>
      </w:r>
    </w:p>
    <w:p>
      <w:pPr>
        <w:spacing w:beforeLines="25" w:line="360" w:lineRule="auto"/>
        <w:ind w:firstLine="489" w:firstLineChars="204"/>
        <w:contextualSpacing/>
        <w:rPr>
          <w:rFonts w:ascii="宋体" w:hAnsi="宋体" w:eastAsia="宋体" w:cs="Times New Roman"/>
          <w:b/>
          <w:kern w:val="0"/>
          <w:sz w:val="24"/>
          <w:szCs w:val="20"/>
        </w:rPr>
      </w:pPr>
      <w:r>
        <w:rPr>
          <w:rFonts w:hint="eastAsia" w:ascii="Helvetica" w:hAnsi="Helvetica" w:eastAsia="宋体" w:cs="Helvetica"/>
          <w:b/>
          <w:kern w:val="0"/>
          <w:sz w:val="24"/>
          <w:szCs w:val="24"/>
          <w:lang w:val="zh-CN"/>
        </w:rPr>
        <w:t>经双方协商，同意按下列条文执行：</w:t>
      </w:r>
    </w:p>
    <w:p>
      <w:pPr>
        <w:numPr>
          <w:ilvl w:val="3"/>
          <w:numId w:val="54"/>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本合同甲、乙双方应遵守国家颁布的《中华人民共和国合同法》、《中华人民共和国政府采购法》，并各自履行应负的全部责任和义务。</w:t>
      </w:r>
    </w:p>
    <w:p>
      <w:pPr>
        <w:numPr>
          <w:ilvl w:val="3"/>
          <w:numId w:val="54"/>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甲方保证按合同条款规定的时间和方式付给乙方到期应付的合同款，并承担应负的责任和义务。</w:t>
      </w:r>
    </w:p>
    <w:p>
      <w:pPr>
        <w:numPr>
          <w:ilvl w:val="3"/>
          <w:numId w:val="54"/>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乙方保证按合同条款规定的内容和工期（服务期限）向甲方提供合格的货物（工程或服务），并承担应负的责任和义务。</w:t>
      </w:r>
    </w:p>
    <w:p>
      <w:pPr>
        <w:numPr>
          <w:ilvl w:val="3"/>
          <w:numId w:val="54"/>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合同文件。下列文件为本合同不可分割的部分：</w:t>
      </w:r>
    </w:p>
    <w:p>
      <w:pPr>
        <w:numPr>
          <w:ilvl w:val="0"/>
          <w:numId w:val="55"/>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招标文件（项目编号：</w:t>
      </w:r>
      <w:r>
        <w:rPr>
          <w:rFonts w:hint="eastAsia" w:ascii="宋体" w:hAnsi="宋体" w:eastAsia="宋体" w:cs="Times New Roman"/>
          <w:kern w:val="0"/>
          <w:sz w:val="24"/>
          <w:szCs w:val="20"/>
          <w:u w:val="single"/>
          <w:lang w:val="zh-CN"/>
        </w:rPr>
        <w:t>　　            　</w:t>
      </w:r>
      <w:r>
        <w:rPr>
          <w:rFonts w:hint="eastAsia" w:ascii="宋体" w:hAnsi="宋体" w:eastAsia="宋体" w:cs="Times New Roman"/>
          <w:kern w:val="0"/>
          <w:sz w:val="24"/>
          <w:szCs w:val="20"/>
          <w:lang w:val="zh-CN"/>
        </w:rPr>
        <w:t>）；</w:t>
      </w:r>
    </w:p>
    <w:p>
      <w:pPr>
        <w:numPr>
          <w:ilvl w:val="0"/>
          <w:numId w:val="55"/>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中标的投标文件；</w:t>
      </w:r>
    </w:p>
    <w:p>
      <w:pPr>
        <w:numPr>
          <w:ilvl w:val="0"/>
          <w:numId w:val="55"/>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合同书；</w:t>
      </w:r>
    </w:p>
    <w:p>
      <w:pPr>
        <w:numPr>
          <w:ilvl w:val="0"/>
          <w:numId w:val="55"/>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合同条款；</w:t>
      </w:r>
    </w:p>
    <w:p>
      <w:pPr>
        <w:numPr>
          <w:ilvl w:val="0"/>
          <w:numId w:val="55"/>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采购机构发出的中标通知书；</w:t>
      </w:r>
    </w:p>
    <w:p>
      <w:pPr>
        <w:numPr>
          <w:ilvl w:val="0"/>
          <w:numId w:val="55"/>
        </w:numPr>
        <w:adjustRightInd w:val="0"/>
        <w:spacing w:beforeLines="25" w:line="360" w:lineRule="auto"/>
        <w:ind w:left="1090" w:leftChars="227" w:hanging="614" w:hangingChars="256"/>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附件；</w:t>
      </w:r>
    </w:p>
    <w:p>
      <w:pPr>
        <w:numPr>
          <w:ilvl w:val="0"/>
          <w:numId w:val="56"/>
        </w:numPr>
        <w:spacing w:beforeLines="25" w:line="360" w:lineRule="auto"/>
        <w:ind w:left="1358" w:hanging="724"/>
        <w:rPr>
          <w:rFonts w:ascii="宋体" w:hAnsi="宋体" w:eastAsia="宋体" w:cs="Times New Roman"/>
          <w:sz w:val="24"/>
          <w:szCs w:val="20"/>
          <w:lang w:val="zh-CN"/>
        </w:rPr>
      </w:pPr>
      <w:r>
        <w:rPr>
          <w:rFonts w:hint="eastAsia" w:ascii="宋体" w:hAnsi="宋体" w:eastAsia="宋体" w:cs="Times New Roman"/>
          <w:kern w:val="0"/>
          <w:sz w:val="24"/>
          <w:szCs w:val="20"/>
          <w:lang w:val="zh-CN"/>
        </w:rPr>
        <w:t>甲方</w:t>
      </w:r>
      <w:r>
        <w:rPr>
          <w:rFonts w:hint="eastAsia" w:ascii="宋体" w:hAnsi="宋体" w:eastAsia="宋体" w:cs="Times New Roman"/>
          <w:sz w:val="24"/>
          <w:szCs w:val="20"/>
          <w:lang w:val="zh-CN"/>
        </w:rPr>
        <w:t>在招标期间发布的所有补充通知；</w:t>
      </w:r>
    </w:p>
    <w:p>
      <w:pPr>
        <w:numPr>
          <w:ilvl w:val="0"/>
          <w:numId w:val="56"/>
        </w:numPr>
        <w:spacing w:beforeLines="25" w:line="360" w:lineRule="auto"/>
        <w:ind w:left="1358" w:hanging="724"/>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乙方在投标期内补充的所有书面文件；</w:t>
      </w:r>
    </w:p>
    <w:p>
      <w:pPr>
        <w:numPr>
          <w:ilvl w:val="0"/>
          <w:numId w:val="56"/>
        </w:numPr>
        <w:spacing w:beforeLines="25" w:line="360" w:lineRule="auto"/>
        <w:ind w:left="1358" w:hanging="724"/>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乙方在投标时随同投标文件一起递送的资料及附图；</w:t>
      </w:r>
    </w:p>
    <w:p>
      <w:pPr>
        <w:numPr>
          <w:ilvl w:val="0"/>
          <w:numId w:val="56"/>
        </w:numPr>
        <w:spacing w:beforeLines="25" w:line="360" w:lineRule="auto"/>
        <w:ind w:left="1358" w:hanging="724"/>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在商洽本合同时，双方澄清、确认并共同签字的补充文件、技术协议。</w:t>
      </w:r>
    </w:p>
    <w:p>
      <w:pPr>
        <w:numPr>
          <w:ilvl w:val="3"/>
          <w:numId w:val="54"/>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合同范围和条件。本合同的范围和条件应与上述规定的合同文件内容相一致。</w:t>
      </w:r>
    </w:p>
    <w:p>
      <w:pPr>
        <w:numPr>
          <w:ilvl w:val="3"/>
          <w:numId w:val="54"/>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货物（工程或服务）及数量。本合同所提供的货物（工程或服务）及数量详见招标文件的要求及乙方投标文件中的承诺。</w:t>
      </w:r>
    </w:p>
    <w:p>
      <w:pPr>
        <w:numPr>
          <w:ilvl w:val="3"/>
          <w:numId w:val="54"/>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付款条件。本合同的付款条件按招标文件规定执行。</w:t>
      </w:r>
    </w:p>
    <w:p>
      <w:pPr>
        <w:numPr>
          <w:ilvl w:val="3"/>
          <w:numId w:val="54"/>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合同金额。合同总金额见合同书，分项价格在乙方的投标报价表中有明确规定。</w:t>
      </w:r>
    </w:p>
    <w:p>
      <w:pPr>
        <w:numPr>
          <w:ilvl w:val="3"/>
          <w:numId w:val="54"/>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工期和交货（服务）地点。本合同中货物（工程或服务）的工期、交货（服务）地点在招标文件中有明确规定。</w:t>
      </w:r>
    </w:p>
    <w:p>
      <w:pPr>
        <w:numPr>
          <w:ilvl w:val="3"/>
          <w:numId w:val="54"/>
        </w:numPr>
        <w:tabs>
          <w:tab w:val="left" w:pos="980"/>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合同生效。本合同经甲、乙双方授权代表签字和加盖公章（或合同专用章）后生效。如招标申请公证的，合同需经公证机构公证后生效。</w:t>
      </w:r>
    </w:p>
    <w:p>
      <w:pPr>
        <w:numPr>
          <w:ilvl w:val="3"/>
          <w:numId w:val="54"/>
        </w:numPr>
        <w:tabs>
          <w:tab w:val="left" w:pos="980"/>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合同的份数。本合同正本一式</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份，甲方执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份，乙方执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份；副本一式</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份，甲方执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份，乙方执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w:t>
      </w:r>
    </w:p>
    <w:p>
      <w:pPr>
        <w:numPr>
          <w:ilvl w:val="3"/>
          <w:numId w:val="54"/>
        </w:numPr>
        <w:tabs>
          <w:tab w:val="left" w:pos="980"/>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合同的失效。本合同在合同价款全部结清后失效。</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甲　　方：</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乙　　方：</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单位名称（盖章）：</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单位名称（盖章）：</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单位地址：</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单位地址：</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法人代表授权人(签字)：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法人代表授权人(签字)：</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联 系 人：</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联 系 人：</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电　　话：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电　　话：</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传　　真：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传　　真：</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邮政编码：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邮政编码：</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开户银行：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开户银行：</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帐　　号：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帐　　号：</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税　　号：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税　　号：</w:t>
      </w:r>
    </w:p>
    <w:p>
      <w:pPr>
        <w:pStyle w:val="3"/>
        <w:jc w:val="center"/>
        <w:rPr>
          <w:rFonts w:ascii="黑体" w:hAnsi="黑体" w:eastAsia="黑体"/>
        </w:rPr>
      </w:pPr>
      <w:bookmarkStart w:id="79" w:name="_Toc494721094"/>
      <w:bookmarkStart w:id="80" w:name="_Toc494664994"/>
      <w:bookmarkStart w:id="81" w:name="_Toc494745311"/>
      <w:bookmarkStart w:id="82" w:name="_Toc494702264"/>
      <w:bookmarkStart w:id="83" w:name="_Toc16876"/>
      <w:bookmarkStart w:id="84" w:name="_Toc494665547"/>
      <w:bookmarkStart w:id="85" w:name="_Toc494665944"/>
      <w:r>
        <w:rPr>
          <w:rFonts w:hint="eastAsia" w:ascii="黑体" w:hAnsi="黑体" w:eastAsia="黑体"/>
        </w:rPr>
        <w:t xml:space="preserve">第七章 </w:t>
      </w:r>
      <w:r>
        <w:rPr>
          <w:rFonts w:ascii="黑体" w:hAnsi="黑体" w:eastAsia="黑体"/>
        </w:rPr>
        <w:t xml:space="preserve"> </w:t>
      </w:r>
      <w:r>
        <w:rPr>
          <w:rFonts w:hint="eastAsia" w:ascii="黑体" w:hAnsi="黑体" w:eastAsia="黑体"/>
        </w:rPr>
        <w:t>投标文件格式（参考）</w:t>
      </w:r>
      <w:bookmarkEnd w:id="79"/>
      <w:bookmarkEnd w:id="80"/>
      <w:bookmarkEnd w:id="81"/>
      <w:bookmarkEnd w:id="82"/>
      <w:bookmarkEnd w:id="83"/>
      <w:bookmarkEnd w:id="84"/>
      <w:bookmarkEnd w:id="85"/>
    </w:p>
    <w:p>
      <w:pPr>
        <w:spacing w:afterLines="250"/>
        <w:jc w:val="center"/>
        <w:rPr>
          <w:rFonts w:ascii="黑体" w:hAnsi="黑体" w:eastAsia="黑体"/>
          <w:b/>
          <w:sz w:val="56"/>
          <w:szCs w:val="56"/>
        </w:rPr>
      </w:pPr>
      <w:r>
        <w:rPr>
          <w:rFonts w:hint="eastAsia" w:ascii="黑体" w:hAnsi="黑体" w:eastAsia="黑体"/>
          <w:b/>
          <w:sz w:val="56"/>
          <w:szCs w:val="56"/>
        </w:rPr>
        <w:t>阳新县县级政府采购</w:t>
      </w:r>
    </w:p>
    <w:p>
      <w:pPr>
        <w:spacing w:afterLines="200"/>
        <w:jc w:val="center"/>
        <w:rPr>
          <w:rFonts w:ascii="黑体" w:hAnsi="黑体" w:eastAsia="黑体"/>
          <w:b/>
          <w:sz w:val="144"/>
          <w:szCs w:val="144"/>
        </w:rPr>
      </w:pPr>
      <w:r>
        <w:rPr>
          <w:rFonts w:hint="eastAsia" w:ascii="黑体" w:hAnsi="黑体" w:eastAsia="黑体"/>
          <w:b/>
          <w:sz w:val="144"/>
          <w:szCs w:val="144"/>
        </w:rPr>
        <w:t>投 标 文 件</w:t>
      </w:r>
    </w:p>
    <w:p>
      <w:pPr>
        <w:pStyle w:val="4"/>
        <w:spacing w:before="340" w:after="480" w:line="360" w:lineRule="auto"/>
        <w:jc w:val="center"/>
        <w:rPr>
          <w:rFonts w:cs="Times New Roman" w:asciiTheme="majorEastAsia" w:hAnsiTheme="majorEastAsia"/>
          <w:bCs w:val="0"/>
          <w:sz w:val="44"/>
          <w:szCs w:val="44"/>
          <w:lang w:val="zh-CN"/>
        </w:rPr>
      </w:pPr>
    </w:p>
    <w:p>
      <w:pPr>
        <w:spacing w:line="360" w:lineRule="auto"/>
        <w:ind w:left="2051" w:leftChars="619" w:right="1299" w:rightChars="619" w:hanging="752" w:hangingChars="209"/>
        <w:rPr>
          <w:rFonts w:cs="Times New Roman" w:asciiTheme="minorEastAsia" w:hAnsiTheme="minorEastAsia"/>
          <w:bCs/>
          <w:sz w:val="36"/>
          <w:szCs w:val="24"/>
        </w:rPr>
      </w:pPr>
      <w:r>
        <w:rPr>
          <w:rFonts w:hint="eastAsia" w:cs="Times New Roman" w:asciiTheme="minorEastAsia" w:hAnsiTheme="minorEastAsia"/>
          <w:b/>
          <w:bCs/>
          <w:sz w:val="36"/>
          <w:szCs w:val="24"/>
        </w:rPr>
        <w:t>项目编号：</w:t>
      </w:r>
    </w:p>
    <w:p>
      <w:pPr>
        <w:spacing w:line="360" w:lineRule="auto"/>
        <w:ind w:left="2051" w:leftChars="619" w:right="1299" w:rightChars="619" w:hanging="752" w:hangingChars="209"/>
        <w:rPr>
          <w:rFonts w:cs="Times New Roman" w:asciiTheme="minorEastAsia" w:hAnsiTheme="minorEastAsia"/>
          <w:b/>
          <w:bCs/>
          <w:sz w:val="36"/>
          <w:szCs w:val="24"/>
        </w:rPr>
      </w:pPr>
      <w:r>
        <w:rPr>
          <w:rFonts w:hint="eastAsia" w:cs="Times New Roman" w:asciiTheme="minorEastAsia" w:hAnsiTheme="minorEastAsia"/>
          <w:b/>
          <w:bCs/>
          <w:sz w:val="36"/>
          <w:szCs w:val="24"/>
        </w:rPr>
        <w:t>项目名称：</w:t>
      </w:r>
    </w:p>
    <w:p>
      <w:pPr>
        <w:spacing w:line="360" w:lineRule="auto"/>
        <w:ind w:left="2051" w:leftChars="619" w:right="1299" w:rightChars="619" w:hanging="752" w:hangingChars="209"/>
        <w:rPr>
          <w:rFonts w:cs="Times New Roman" w:asciiTheme="minorEastAsia" w:hAnsiTheme="minorEastAsia"/>
          <w:bCs/>
          <w:sz w:val="36"/>
          <w:szCs w:val="24"/>
          <w:lang w:val="zh-CN"/>
        </w:rPr>
      </w:pPr>
      <w:r>
        <w:rPr>
          <w:rFonts w:hint="eastAsia" w:cs="Times New Roman" w:asciiTheme="minorEastAsia" w:hAnsiTheme="minorEastAsia"/>
          <w:b/>
          <w:bCs/>
          <w:sz w:val="36"/>
          <w:szCs w:val="24"/>
        </w:rPr>
        <w:t>采购人：</w:t>
      </w:r>
    </w:p>
    <w:p>
      <w:pPr>
        <w:spacing w:line="360" w:lineRule="auto"/>
        <w:ind w:left="2051" w:leftChars="619" w:right="1299" w:rightChars="619" w:hanging="752" w:hangingChars="209"/>
      </w:pPr>
      <w:r>
        <w:rPr>
          <w:rFonts w:hint="eastAsia" w:cs="Times New Roman" w:asciiTheme="minorEastAsia" w:hAnsiTheme="minorEastAsia"/>
          <w:b/>
          <w:bCs/>
          <w:sz w:val="36"/>
          <w:szCs w:val="24"/>
        </w:rPr>
        <w:t>采购内容：</w:t>
      </w:r>
    </w:p>
    <w:p>
      <w:pPr>
        <w:spacing w:line="360" w:lineRule="auto"/>
        <w:ind w:right="1287" w:rightChars="613"/>
        <w:jc w:val="center"/>
        <w:rPr>
          <w:rFonts w:cs="Times New Roman" w:asciiTheme="minorEastAsia" w:hAnsiTheme="minorEastAsia"/>
          <w:b/>
          <w:bCs/>
          <w:sz w:val="52"/>
          <w:szCs w:val="52"/>
        </w:rPr>
      </w:pPr>
      <w:r>
        <w:rPr>
          <w:rFonts w:hint="eastAsia" w:cs="Times New Roman" w:asciiTheme="minorEastAsia" w:hAnsiTheme="minorEastAsia"/>
          <w:b/>
          <w:bCs/>
          <w:sz w:val="52"/>
          <w:szCs w:val="52"/>
        </w:rPr>
        <w:t xml:space="preserve">   投标人（盖章）</w:t>
      </w:r>
    </w:p>
    <w:p>
      <w:pPr>
        <w:spacing w:line="360" w:lineRule="auto"/>
        <w:ind w:left="1971" w:leftChars="939" w:right="1287" w:rightChars="613" w:firstLine="1104" w:firstLineChars="345"/>
        <w:rPr>
          <w:rFonts w:cs="Times New Roman" w:asciiTheme="minorEastAsia" w:hAnsiTheme="minorEastAsia"/>
          <w:b/>
          <w:bCs/>
          <w:sz w:val="32"/>
          <w:szCs w:val="32"/>
        </w:rPr>
      </w:pPr>
      <w:r>
        <w:rPr>
          <w:rFonts w:hint="eastAsia" w:cs="Times New Roman" w:asciiTheme="minorEastAsia" w:hAnsiTheme="minorEastAsia"/>
          <w:b/>
          <w:bCs/>
          <w:sz w:val="32"/>
          <w:szCs w:val="32"/>
        </w:rPr>
        <w:t>投标人授权代表（签字）：</w:t>
      </w:r>
    </w:p>
    <w:p>
      <w:pPr>
        <w:spacing w:beforeLines="100" w:afterLines="100" w:line="360" w:lineRule="auto"/>
        <w:ind w:left="2256" w:leftChars="466" w:right="466" w:hanging="1278" w:hangingChars="355"/>
        <w:jc w:val="center"/>
        <w:rPr>
          <w:rFonts w:ascii="宋体" w:hAnsi="宋体"/>
          <w:b/>
          <w:sz w:val="36"/>
          <w:szCs w:val="36"/>
        </w:rPr>
      </w:pPr>
      <w:r>
        <w:rPr>
          <w:rFonts w:hint="eastAsia" w:ascii="宋体" w:hAnsi="宋体" w:eastAsia="宋体" w:cs="Times New Roman"/>
          <w:b/>
          <w:bCs/>
          <w:sz w:val="36"/>
          <w:szCs w:val="36"/>
        </w:rPr>
        <w:t>二0二</w:t>
      </w:r>
      <w:r>
        <w:rPr>
          <w:rFonts w:hint="eastAsia" w:ascii="宋体" w:hAnsi="宋体" w:eastAsia="宋体"/>
          <w:b/>
          <w:sz w:val="36"/>
          <w:szCs w:val="36"/>
        </w:rPr>
        <w:t>二</w:t>
      </w:r>
      <w:r>
        <w:rPr>
          <w:rFonts w:hint="eastAsia" w:ascii="宋体" w:hAnsi="宋体"/>
          <w:b/>
          <w:sz w:val="36"/>
          <w:szCs w:val="36"/>
        </w:rPr>
        <w:t>年 月</w:t>
      </w:r>
    </w:p>
    <w:p>
      <w:pPr>
        <w:rPr>
          <w:rFonts w:cs="Times New Roman" w:asciiTheme="minorEastAsia" w:hAnsiTheme="minorEastAsia"/>
          <w:b/>
          <w:bCs/>
          <w:sz w:val="36"/>
          <w:szCs w:val="24"/>
          <w:highlight w:val="yellow"/>
        </w:rPr>
      </w:pPr>
      <w:r>
        <w:rPr>
          <w:rFonts w:hint="eastAsia" w:cs="Times New Roman" w:asciiTheme="minorEastAsia" w:hAnsiTheme="minorEastAsia"/>
          <w:b/>
          <w:bCs/>
          <w:sz w:val="36"/>
          <w:szCs w:val="24"/>
          <w:highlight w:val="yellow"/>
        </w:rPr>
        <w:br w:type="page"/>
      </w:r>
    </w:p>
    <w:p>
      <w:pPr>
        <w:spacing w:line="360" w:lineRule="auto"/>
        <w:jc w:val="center"/>
        <w:rPr>
          <w:rFonts w:cs="Times New Roman" w:asciiTheme="minorEastAsia" w:hAnsiTheme="minorEastAsia"/>
          <w:b/>
          <w:bCs/>
          <w:sz w:val="36"/>
          <w:szCs w:val="24"/>
        </w:rPr>
      </w:pPr>
      <w:r>
        <w:rPr>
          <w:rFonts w:hint="eastAsia" w:cs="Times New Roman" w:asciiTheme="minorEastAsia" w:hAnsiTheme="minorEastAsia"/>
          <w:b/>
          <w:bCs/>
          <w:sz w:val="36"/>
          <w:szCs w:val="24"/>
        </w:rPr>
        <w:t>投标文件目录</w:t>
      </w:r>
    </w:p>
    <w:p>
      <w:pPr>
        <w:pStyle w:val="33"/>
      </w:pPr>
    </w:p>
    <w:p>
      <w:pPr>
        <w:pStyle w:val="33"/>
      </w:pPr>
    </w:p>
    <w:p>
      <w:pPr>
        <w:pStyle w:val="33"/>
      </w:pPr>
    </w:p>
    <w:p>
      <w:pPr>
        <w:pStyle w:val="33"/>
      </w:pPr>
    </w:p>
    <w:p>
      <w:pPr>
        <w:pStyle w:val="33"/>
      </w:pPr>
    </w:p>
    <w:p>
      <w:pPr>
        <w:pStyle w:val="33"/>
      </w:pPr>
    </w:p>
    <w:p>
      <w:pPr>
        <w:pStyle w:val="33"/>
      </w:pPr>
      <w:r>
        <w:br w:type="page"/>
      </w:r>
    </w:p>
    <w:p>
      <w:pPr>
        <w:spacing w:beforeLines="100" w:line="360" w:lineRule="auto"/>
        <w:jc w:val="left"/>
        <w:rPr>
          <w:rFonts w:ascii="宋体" w:hAnsi="宋体" w:eastAsia="宋体" w:cs="Times New Roman"/>
          <w:b/>
          <w:bCs/>
          <w:sz w:val="30"/>
          <w:szCs w:val="30"/>
          <w:lang w:val="zh-CN"/>
        </w:rPr>
      </w:pPr>
      <w:r>
        <w:rPr>
          <w:rFonts w:hint="eastAsia" w:ascii="宋体" w:hAnsi="宋体" w:eastAsia="宋体" w:cs="Times New Roman"/>
          <w:b/>
          <w:bCs/>
          <w:sz w:val="30"/>
          <w:szCs w:val="30"/>
          <w:lang w:val="zh-CN"/>
        </w:rPr>
        <w:t>格式（参考）说明：</w:t>
      </w:r>
    </w:p>
    <w:p>
      <w:pPr>
        <w:spacing w:before="120" w:after="120" w:line="578" w:lineRule="auto"/>
        <w:jc w:val="center"/>
        <w:rPr>
          <w:rFonts w:ascii="黑体" w:hAnsi="黑体" w:eastAsia="黑体" w:cs="Times New Roman"/>
          <w:b/>
          <w:sz w:val="36"/>
          <w:szCs w:val="36"/>
        </w:rPr>
      </w:pPr>
      <w:bookmarkStart w:id="86" w:name="_Toc494702266"/>
      <w:bookmarkStart w:id="87" w:name="_Toc494745313"/>
      <w:bookmarkStart w:id="88" w:name="_Toc494665946"/>
      <w:bookmarkStart w:id="89" w:name="_Toc494721096"/>
      <w:bookmarkStart w:id="90" w:name="_Toc494664996"/>
      <w:bookmarkStart w:id="91" w:name="_Toc494665549"/>
      <w:r>
        <w:rPr>
          <w:rFonts w:hint="eastAsia" w:ascii="黑体" w:hAnsi="黑体" w:eastAsia="黑体" w:cs="Times New Roman"/>
          <w:b/>
          <w:sz w:val="36"/>
          <w:szCs w:val="36"/>
        </w:rPr>
        <w:t>第一部分 资格证明文件组成</w:t>
      </w:r>
      <w:bookmarkEnd w:id="86"/>
      <w:bookmarkEnd w:id="87"/>
      <w:bookmarkEnd w:id="88"/>
      <w:bookmarkEnd w:id="89"/>
      <w:bookmarkEnd w:id="90"/>
      <w:bookmarkEnd w:id="91"/>
    </w:p>
    <w:p>
      <w:pPr>
        <w:autoSpaceDE w:val="0"/>
        <w:autoSpaceDN w:val="0"/>
        <w:adjustRightInd w:val="0"/>
        <w:spacing w:beforeLines="50" w:afterLines="50" w:line="360" w:lineRule="auto"/>
        <w:ind w:firstLine="480" w:firstLineChars="200"/>
        <w:rPr>
          <w:rFonts w:ascii="宋体" w:hAnsi="宋体" w:eastAsia="宋体" w:cs="Times New Roman"/>
          <w:color w:val="0D0D0D"/>
          <w:kern w:val="0"/>
          <w:sz w:val="24"/>
          <w:szCs w:val="32"/>
        </w:rPr>
      </w:pPr>
      <w:bookmarkStart w:id="92" w:name="_Toc24442"/>
      <w:r>
        <w:rPr>
          <w:rFonts w:hint="eastAsia" w:ascii="宋体" w:hAnsi="宋体" w:eastAsia="宋体" w:cs="Times New Roman"/>
          <w:color w:val="0D0D0D"/>
          <w:kern w:val="0"/>
          <w:sz w:val="24"/>
          <w:szCs w:val="32"/>
        </w:rPr>
        <w:t>由各投标人根据参考格式要求自行编写。目录清晰、内容详尽、易于理解和审查。具体内容应包括但不限于以下内容：</w:t>
      </w:r>
    </w:p>
    <w:p>
      <w:pPr>
        <w:numPr>
          <w:ilvl w:val="0"/>
          <w:numId w:val="57"/>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资格证明文件目录</w:t>
      </w:r>
      <w:r>
        <w:rPr>
          <w:rFonts w:hint="eastAsia" w:ascii="宋体" w:hAnsi="宋体" w:eastAsia="宋体" w:cs="Times New Roman"/>
          <w:b/>
          <w:kern w:val="0"/>
          <w:sz w:val="24"/>
          <w:szCs w:val="32"/>
        </w:rPr>
        <w:t>（目录应涵盖下述所有资料，页码清晰以便查阅）</w:t>
      </w:r>
      <w:r>
        <w:rPr>
          <w:rFonts w:hint="eastAsia" w:ascii="宋体" w:hAnsi="宋体" w:eastAsia="宋体" w:cs="Times New Roman"/>
          <w:kern w:val="0"/>
          <w:sz w:val="24"/>
          <w:szCs w:val="32"/>
        </w:rPr>
        <w:t>；</w:t>
      </w:r>
    </w:p>
    <w:p>
      <w:pPr>
        <w:numPr>
          <w:ilvl w:val="0"/>
          <w:numId w:val="57"/>
        </w:numPr>
        <w:autoSpaceDE w:val="0"/>
        <w:autoSpaceDN w:val="0"/>
        <w:adjustRightInd w:val="0"/>
        <w:spacing w:line="360" w:lineRule="auto"/>
        <w:ind w:left="490" w:hanging="370"/>
        <w:rPr>
          <w:rFonts w:ascii="宋体" w:hAnsi="宋体" w:eastAsia="宋体" w:cs="Times New Roman"/>
          <w:b/>
          <w:color w:val="0C0C0C" w:themeColor="text1" w:themeTint="F2"/>
          <w:kern w:val="0"/>
          <w:sz w:val="24"/>
          <w:szCs w:val="32"/>
        </w:rPr>
      </w:pPr>
      <w:r>
        <w:rPr>
          <w:rFonts w:hint="eastAsia" w:ascii="宋体" w:hAnsi="宋体"/>
          <w:color w:val="0C0C0C" w:themeColor="text1" w:themeTint="F2"/>
          <w:kern w:val="0"/>
          <w:sz w:val="24"/>
          <w:szCs w:val="32"/>
        </w:rPr>
        <w:t>应具备《政府采购法》第二十二条第一款规定的条件，提供下列材料：</w:t>
      </w:r>
    </w:p>
    <w:p>
      <w:pPr>
        <w:pStyle w:val="37"/>
        <w:numPr>
          <w:ilvl w:val="0"/>
          <w:numId w:val="58"/>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法人或者其他组织的营业执照等证明文件，自然人的身份证明；</w:t>
      </w:r>
    </w:p>
    <w:p>
      <w:pPr>
        <w:pStyle w:val="37"/>
        <w:numPr>
          <w:ilvl w:val="0"/>
          <w:numId w:val="0"/>
        </w:numPr>
        <w:autoSpaceDE w:val="0"/>
        <w:autoSpaceDN w:val="0"/>
        <w:adjustRightInd w:val="0"/>
        <w:spacing w:line="360" w:lineRule="auto"/>
        <w:ind w:left="112" w:leftChars="0"/>
        <w:rPr>
          <w:rFonts w:hint="eastAsia" w:ascii="宋体" w:hAnsi="宋体" w:eastAsia="宋体" w:cs="Times New Roman"/>
          <w:kern w:val="0"/>
          <w:sz w:val="24"/>
          <w:szCs w:val="32"/>
          <w:lang w:val="en-US" w:eastAsia="zh-CN"/>
        </w:rPr>
      </w:pPr>
      <w:r>
        <w:rPr>
          <w:rFonts w:hint="eastAsia" w:ascii="宋体" w:hAnsi="宋体" w:eastAsia="宋体" w:cs="Times New Roman"/>
          <w:kern w:val="0"/>
          <w:sz w:val="24"/>
          <w:szCs w:val="32"/>
          <w:lang w:val="en-US" w:eastAsia="zh-CN"/>
        </w:rPr>
        <w:t>（提供在中华人民共和国境内注册的法人或其他组织的营业执照（或事业单位法人证书，或社会团体法人登记证书），自然人的身份证明；）</w:t>
      </w:r>
    </w:p>
    <w:p>
      <w:pPr>
        <w:pStyle w:val="37"/>
        <w:numPr>
          <w:ilvl w:val="0"/>
          <w:numId w:val="58"/>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财务状况报告，依法缴纳税收和社会保障资金的相关材料；</w:t>
      </w:r>
    </w:p>
    <w:p>
      <w:pPr>
        <w:pStyle w:val="37"/>
        <w:numPr>
          <w:ilvl w:val="0"/>
          <w:numId w:val="0"/>
        </w:numPr>
        <w:autoSpaceDE w:val="0"/>
        <w:autoSpaceDN w:val="0"/>
        <w:adjustRightInd w:val="0"/>
        <w:spacing w:line="360" w:lineRule="auto"/>
        <w:ind w:left="112" w:leftChars="0"/>
        <w:rPr>
          <w:rFonts w:hint="eastAsia" w:ascii="宋体" w:hAnsi="宋体" w:eastAsia="宋体" w:cs="Times New Roman"/>
          <w:kern w:val="0"/>
          <w:sz w:val="24"/>
          <w:szCs w:val="32"/>
          <w:lang w:val="en-US" w:eastAsia="zh-CN"/>
        </w:rPr>
      </w:pPr>
      <w:r>
        <w:rPr>
          <w:rFonts w:hint="eastAsia" w:ascii="宋体" w:hAnsi="宋体" w:eastAsia="宋体" w:cs="Times New Roman"/>
          <w:kern w:val="0"/>
          <w:sz w:val="24"/>
          <w:szCs w:val="32"/>
          <w:lang w:val="en-US" w:eastAsia="zh-CN"/>
        </w:rPr>
        <w:t>（提供近三年度经审计财务审计报告，提供近半年任意3个月缴纳税收和社会保险的凭据证明材料复印件；如依法免税或不需要缴纳社会保障资金的，应提供相应证明文件；）</w:t>
      </w:r>
    </w:p>
    <w:p>
      <w:pPr>
        <w:pStyle w:val="37"/>
        <w:numPr>
          <w:ilvl w:val="0"/>
          <w:numId w:val="58"/>
        </w:numPr>
        <w:autoSpaceDE w:val="0"/>
        <w:autoSpaceDN w:val="0"/>
        <w:adjustRightInd w:val="0"/>
        <w:spacing w:line="360" w:lineRule="auto"/>
        <w:ind w:hanging="260" w:firstLineChars="0"/>
        <w:rPr>
          <w:rFonts w:hint="eastAsia" w:ascii="宋体" w:hAnsi="宋体" w:eastAsia="宋体" w:cs="Times New Roman"/>
          <w:kern w:val="0"/>
          <w:sz w:val="24"/>
          <w:szCs w:val="32"/>
          <w:lang w:eastAsia="zh-CN"/>
        </w:rPr>
      </w:pPr>
      <w:r>
        <w:rPr>
          <w:rFonts w:hint="eastAsia" w:ascii="宋体" w:hAnsi="宋体" w:eastAsia="宋体" w:cs="Times New Roman"/>
          <w:kern w:val="0"/>
          <w:sz w:val="24"/>
          <w:szCs w:val="32"/>
        </w:rPr>
        <w:t>具备履行合同所必需的设备和专业技术能力的证明材料；</w:t>
      </w:r>
      <w:r>
        <w:rPr>
          <w:rFonts w:hint="eastAsia" w:ascii="宋体" w:hAnsi="宋体" w:eastAsia="宋体" w:cs="Times New Roman"/>
          <w:kern w:val="0"/>
          <w:sz w:val="24"/>
          <w:szCs w:val="32"/>
          <w:lang w:eastAsia="zh-CN"/>
        </w:rPr>
        <w:t>（</w:t>
      </w:r>
      <w:r>
        <w:rPr>
          <w:rFonts w:hint="eastAsia" w:ascii="宋体" w:hAnsi="宋体" w:eastAsia="宋体" w:cs="Times New Roman"/>
          <w:kern w:val="0"/>
          <w:sz w:val="24"/>
          <w:szCs w:val="32"/>
          <w:lang w:val="en-US" w:eastAsia="zh-CN"/>
        </w:rPr>
        <w:t>提供承诺函</w:t>
      </w:r>
      <w:r>
        <w:rPr>
          <w:rFonts w:hint="eastAsia" w:ascii="宋体" w:hAnsi="宋体" w:eastAsia="宋体" w:cs="Times New Roman"/>
          <w:kern w:val="0"/>
          <w:sz w:val="24"/>
          <w:szCs w:val="32"/>
          <w:lang w:eastAsia="zh-CN"/>
        </w:rPr>
        <w:t>）</w:t>
      </w:r>
    </w:p>
    <w:p>
      <w:pPr>
        <w:pStyle w:val="37"/>
        <w:numPr>
          <w:ilvl w:val="0"/>
          <w:numId w:val="58"/>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参加政府采购活动前3年内在经营活动中没有重大违法记录的书面声明；</w:t>
      </w:r>
    </w:p>
    <w:p>
      <w:pPr>
        <w:pStyle w:val="37"/>
        <w:numPr>
          <w:ilvl w:val="0"/>
          <w:numId w:val="0"/>
        </w:numPr>
        <w:autoSpaceDE w:val="0"/>
        <w:autoSpaceDN w:val="0"/>
        <w:adjustRightInd w:val="0"/>
        <w:spacing w:line="360" w:lineRule="auto"/>
        <w:ind w:left="112" w:leftChars="0"/>
        <w:rPr>
          <w:rFonts w:hint="eastAsia" w:ascii="宋体" w:hAnsi="宋体" w:eastAsia="宋体" w:cs="Times New Roman"/>
          <w:kern w:val="0"/>
          <w:sz w:val="24"/>
          <w:szCs w:val="32"/>
          <w:lang w:val="en-US" w:eastAsia="zh-CN"/>
        </w:rPr>
      </w:pPr>
      <w:r>
        <w:rPr>
          <w:rFonts w:hint="eastAsia" w:ascii="宋体" w:hAnsi="宋体" w:eastAsia="宋体" w:cs="Times New Roman"/>
          <w:kern w:val="0"/>
          <w:sz w:val="24"/>
          <w:szCs w:val="32"/>
          <w:lang w:val="en-US" w:eastAsia="zh-CN"/>
        </w:rPr>
        <w:t>（提供无重大违法记录声明函）</w:t>
      </w:r>
    </w:p>
    <w:p>
      <w:pPr>
        <w:pStyle w:val="37"/>
        <w:numPr>
          <w:ilvl w:val="0"/>
          <w:numId w:val="58"/>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具备法律、行政法规规定的其他条件的证明材料；</w:t>
      </w:r>
    </w:p>
    <w:p>
      <w:pPr>
        <w:numPr>
          <w:ilvl w:val="0"/>
          <w:numId w:val="57"/>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未被“信用中国”网站(www.creditchina.gov.cn)列入失信被执行人、重大税收违法案件当事人名单、政府采购严重违法失信行为记录名单的书面申明及该网站查询结果页面截图；</w:t>
      </w:r>
      <w:r>
        <w:rPr>
          <w:rFonts w:hint="eastAsia" w:ascii="宋体" w:hAnsi="宋体" w:eastAsia="宋体" w:cs="宋体"/>
        </w:rPr>
        <w:t>（截图时间为：开标时间截止前20天内）</w:t>
      </w:r>
    </w:p>
    <w:p>
      <w:pPr>
        <w:numPr>
          <w:ilvl w:val="0"/>
          <w:numId w:val="57"/>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投标人应提供无行贿犯罪记录查询证明（提供在中国裁判文书网的查询结果截图）；</w:t>
      </w:r>
    </w:p>
    <w:p>
      <w:pPr>
        <w:numPr>
          <w:ilvl w:val="0"/>
          <w:numId w:val="57"/>
        </w:numPr>
        <w:autoSpaceDE w:val="0"/>
        <w:autoSpaceDN w:val="0"/>
        <w:adjustRightInd w:val="0"/>
        <w:spacing w:line="360" w:lineRule="auto"/>
        <w:ind w:left="490" w:hanging="370"/>
      </w:pPr>
      <w:r>
        <w:rPr>
          <w:rFonts w:hint="eastAsia" w:ascii="宋体" w:hAnsi="宋体" w:eastAsia="宋体" w:cs="Courier New"/>
          <w:color w:val="0D0D0D"/>
          <w:sz w:val="24"/>
          <w:szCs w:val="24"/>
        </w:rPr>
        <w:t>招标文件第一章“投标人资格要求”中有特殊要求的，投标人应提供其符合特殊要求的证明材料或者情况说明；</w:t>
      </w:r>
    </w:p>
    <w:p>
      <w:pPr>
        <w:numPr>
          <w:ilvl w:val="0"/>
          <w:numId w:val="57"/>
        </w:numPr>
        <w:autoSpaceDE w:val="0"/>
        <w:autoSpaceDN w:val="0"/>
        <w:adjustRightInd w:val="0"/>
        <w:spacing w:line="360" w:lineRule="auto"/>
        <w:ind w:left="490" w:hanging="370"/>
        <w:rPr>
          <w:rFonts w:ascii="宋体" w:hAnsi="宋体" w:eastAsia="宋体" w:cs="Courier New"/>
          <w:sz w:val="24"/>
          <w:szCs w:val="24"/>
        </w:rPr>
      </w:pPr>
      <w:r>
        <w:rPr>
          <w:rFonts w:hint="eastAsia" w:ascii="宋体" w:hAnsi="宋体" w:eastAsia="宋体" w:cs="Courier New"/>
          <w:sz w:val="24"/>
          <w:szCs w:val="24"/>
        </w:rPr>
        <w:t>不符合联合体投标相关规定和要</w:t>
      </w:r>
      <w:r>
        <w:rPr>
          <w:rFonts w:hint="eastAsia" w:ascii="宋体" w:hAnsi="宋体" w:eastAsia="宋体" w:cs="Courier New"/>
          <w:color w:val="0D0D0D"/>
          <w:sz w:val="24"/>
          <w:szCs w:val="24"/>
        </w:rPr>
        <w:t>求的（适用于接受联合体投标的项目）；</w:t>
      </w:r>
    </w:p>
    <w:p>
      <w:pPr>
        <w:numPr>
          <w:ilvl w:val="0"/>
          <w:numId w:val="57"/>
        </w:numPr>
        <w:autoSpaceDE w:val="0"/>
        <w:autoSpaceDN w:val="0"/>
        <w:adjustRightInd w:val="0"/>
        <w:spacing w:line="360" w:lineRule="auto"/>
        <w:ind w:left="490" w:hanging="370"/>
        <w:rPr>
          <w:rFonts w:ascii="Calibri" w:hAnsi="宋体" w:eastAsia="宋体" w:cs="Times New Roman"/>
          <w:color w:val="0D0D0D"/>
          <w:sz w:val="24"/>
          <w:szCs w:val="24"/>
        </w:rPr>
      </w:pPr>
      <w:r>
        <w:rPr>
          <w:rFonts w:hint="eastAsia" w:ascii="宋体" w:hAnsi="宋体" w:eastAsia="宋体" w:cs="Courier New"/>
          <w:color w:val="0D0D0D"/>
          <w:sz w:val="24"/>
          <w:szCs w:val="24"/>
        </w:rPr>
        <w:t>投标人认为需提供的其它相关资格证明材料。</w:t>
      </w:r>
    </w:p>
    <w:p>
      <w:pPr>
        <w:rPr>
          <w:rFonts w:hint="eastAsia" w:ascii="宋体" w:hAnsi="宋体" w:eastAsia="宋体" w:cs="Times New Roman"/>
          <w:b/>
          <w:sz w:val="24"/>
          <w:szCs w:val="24"/>
        </w:rPr>
      </w:pPr>
      <w:r>
        <w:rPr>
          <w:rFonts w:hint="eastAsia" w:ascii="宋体" w:hAnsi="宋体" w:eastAsia="宋体" w:cs="Times New Roman"/>
          <w:sz w:val="24"/>
          <w:szCs w:val="24"/>
        </w:rPr>
        <w:t>说明：资格证明文件正本应为清晰彩色影印件且加盖单位公章，否则</w:t>
      </w:r>
      <w:r>
        <w:rPr>
          <w:rFonts w:hint="eastAsia" w:ascii="Helvetica" w:hAnsi="Helvetica" w:eastAsia="宋体" w:cs="Helvetica"/>
          <w:kern w:val="0"/>
          <w:sz w:val="24"/>
          <w:szCs w:val="24"/>
        </w:rPr>
        <w:t>按照</w:t>
      </w:r>
      <w:r>
        <w:rPr>
          <w:rFonts w:hint="eastAsia" w:ascii="Helvetica" w:hAnsi="Helvetica" w:eastAsia="宋体" w:cs="Helvetica"/>
          <w:b/>
          <w:kern w:val="0"/>
          <w:sz w:val="24"/>
          <w:szCs w:val="24"/>
        </w:rPr>
        <w:t>无效投标处理</w:t>
      </w:r>
      <w:r>
        <w:rPr>
          <w:rFonts w:hint="eastAsia" w:ascii="宋体" w:hAnsi="宋体" w:eastAsia="宋体" w:cs="Times New Roman"/>
          <w:b/>
          <w:sz w:val="24"/>
          <w:szCs w:val="24"/>
        </w:rPr>
        <w:t>。</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rPr>
      </w:pPr>
    </w:p>
    <w:p>
      <w:r>
        <w:br w:type="page"/>
      </w:r>
    </w:p>
    <w:p>
      <w:pPr>
        <w:autoSpaceDE w:val="0"/>
        <w:autoSpaceDN w:val="0"/>
        <w:adjustRightInd w:val="0"/>
        <w:spacing w:line="360" w:lineRule="auto"/>
        <w:ind w:left="1105" w:hanging="1105" w:hangingChars="307"/>
        <w:rPr>
          <w:rFonts w:ascii="黑体" w:hAnsi="黑体" w:eastAsia="黑体" w:cs="Times New Roman"/>
          <w:bCs/>
          <w:sz w:val="36"/>
          <w:szCs w:val="36"/>
        </w:rPr>
      </w:pPr>
      <w:r>
        <w:rPr>
          <w:rFonts w:hint="eastAsia" w:ascii="黑体" w:hAnsi="黑体" w:eastAsia="黑体" w:cs="Times New Roman"/>
          <w:bCs/>
          <w:sz w:val="36"/>
          <w:szCs w:val="36"/>
        </w:rPr>
        <w:t>附：</w:t>
      </w:r>
    </w:p>
    <w:p>
      <w:pPr>
        <w:rPr>
          <w:rFonts w:ascii="黑体" w:hAnsi="黑体" w:eastAsia="黑体" w:cs="Times New Roman"/>
          <w:bCs/>
          <w:sz w:val="36"/>
          <w:szCs w:val="36"/>
        </w:rPr>
      </w:pPr>
      <w:r>
        <w:rPr>
          <w:rFonts w:hint="eastAsia" w:ascii="黑体" w:hAnsi="黑体" w:eastAsia="黑体" w:cs="Times New Roman"/>
          <w:bCs/>
          <w:sz w:val="36"/>
          <w:szCs w:val="36"/>
        </w:rPr>
        <w:t>无重大违法记录声明函格式</w:t>
      </w:r>
      <w:bookmarkEnd w:id="92"/>
    </w:p>
    <w:p>
      <w:pPr>
        <w:jc w:val="center"/>
        <w:rPr>
          <w:rFonts w:ascii="宋体" w:hAnsi="宋体"/>
          <w:b/>
          <w:sz w:val="30"/>
          <w:szCs w:val="30"/>
        </w:rPr>
      </w:pPr>
      <w:r>
        <w:rPr>
          <w:rFonts w:hint="eastAsia" w:ascii="宋体" w:hAnsi="宋体"/>
          <w:b/>
          <w:sz w:val="28"/>
          <w:szCs w:val="30"/>
        </w:rPr>
        <w:t>参加政府采购活动前三年内在经营活动中没有重大违法记录的书面声明函</w:t>
      </w:r>
    </w:p>
    <w:p>
      <w:pPr>
        <w:spacing w:line="360" w:lineRule="auto"/>
        <w:rPr>
          <w:rFonts w:ascii="宋体" w:hAnsi="宋体" w:cs="Times New Roman"/>
          <w:b/>
          <w:sz w:val="28"/>
          <w:szCs w:val="28"/>
        </w:rPr>
      </w:pPr>
    </w:p>
    <w:p>
      <w:pPr>
        <w:spacing w:line="360" w:lineRule="auto"/>
        <w:rPr>
          <w:rFonts w:ascii="宋体" w:hAnsi="宋体" w:cs="Times New Roman"/>
          <w:b/>
          <w:sz w:val="28"/>
          <w:szCs w:val="28"/>
        </w:rPr>
      </w:pPr>
      <w:r>
        <w:rPr>
          <w:rFonts w:hint="eastAsia" w:ascii="宋体" w:hAnsi="宋体" w:cs="Times New Roman"/>
          <w:b/>
          <w:sz w:val="28"/>
          <w:szCs w:val="28"/>
        </w:rPr>
        <w:t>XXXXXX：</w:t>
      </w:r>
    </w:p>
    <w:p>
      <w:pPr>
        <w:spacing w:line="360" w:lineRule="auto"/>
        <w:ind w:firstLine="480" w:firstLineChars="200"/>
        <w:rPr>
          <w:rFonts w:ascii="宋体" w:hAnsi="宋体"/>
          <w:bCs/>
          <w:sz w:val="24"/>
          <w:szCs w:val="24"/>
        </w:rPr>
      </w:pPr>
      <w:r>
        <w:rPr>
          <w:rFonts w:hint="eastAsia" w:ascii="宋体" w:hAnsi="宋体"/>
          <w:bCs/>
          <w:sz w:val="24"/>
          <w:szCs w:val="24"/>
          <w:u w:val="single"/>
        </w:rPr>
        <w:t xml:space="preserve">   (投标人全称)  </w:t>
      </w:r>
      <w:r>
        <w:rPr>
          <w:rFonts w:hint="eastAsia" w:ascii="宋体" w:hAnsi="宋体"/>
          <w:bCs/>
          <w:sz w:val="24"/>
          <w:szCs w:val="24"/>
        </w:rPr>
        <w:t>参加贵中心组织的</w:t>
      </w:r>
      <w:r>
        <w:rPr>
          <w:rFonts w:hint="eastAsia" w:ascii="宋体" w:hAnsi="宋体"/>
          <w:bCs/>
          <w:sz w:val="24"/>
          <w:szCs w:val="24"/>
          <w:u w:val="single"/>
        </w:rPr>
        <w:t xml:space="preserve"> </w:t>
      </w:r>
      <w:r>
        <w:rPr>
          <w:rFonts w:hint="eastAsia" w:ascii="宋体" w:hAnsi="宋体" w:cs="Times New Roman"/>
          <w:sz w:val="24"/>
          <w:szCs w:val="24"/>
          <w:u w:val="single"/>
        </w:rPr>
        <w:t>（项目名称）</w:t>
      </w:r>
      <w:r>
        <w:rPr>
          <w:rFonts w:hint="eastAsia" w:ascii="宋体" w:hAnsi="宋体"/>
          <w:bCs/>
          <w:sz w:val="24"/>
          <w:szCs w:val="24"/>
          <w:u w:val="single"/>
        </w:rPr>
        <w:t xml:space="preserve"> </w:t>
      </w:r>
      <w:r>
        <w:rPr>
          <w:rFonts w:hint="eastAsia" w:ascii="宋体" w:hAnsi="宋体"/>
          <w:bCs/>
          <w:sz w:val="24"/>
          <w:szCs w:val="24"/>
        </w:rPr>
        <w:t>项目(项目编号：</w:t>
      </w:r>
      <w:r>
        <w:rPr>
          <w:rFonts w:hint="eastAsia" w:ascii="宋体" w:hAnsi="宋体"/>
          <w:bCs/>
          <w:sz w:val="24"/>
          <w:szCs w:val="24"/>
          <w:u w:val="single"/>
        </w:rPr>
        <w:t xml:space="preserve">          </w:t>
      </w:r>
      <w:r>
        <w:rPr>
          <w:rFonts w:hint="eastAsia" w:ascii="宋体" w:hAnsi="宋体"/>
          <w:bCs/>
          <w:sz w:val="24"/>
          <w:szCs w:val="24"/>
        </w:rPr>
        <w:t>)的政府采购活动，根据招标文件的规定提交相关资格证明文件。本单位郑重声明如下：</w:t>
      </w:r>
    </w:p>
    <w:p>
      <w:pPr>
        <w:pStyle w:val="50"/>
        <w:numPr>
          <w:ilvl w:val="1"/>
          <w:numId w:val="59"/>
        </w:numPr>
        <w:tabs>
          <w:tab w:val="left" w:pos="854"/>
        </w:tabs>
        <w:spacing w:line="360" w:lineRule="auto"/>
        <w:ind w:left="11" w:firstLine="480"/>
        <w:rPr>
          <w:rFonts w:ascii="宋体" w:hAnsi="宋体"/>
          <w:bCs/>
          <w:sz w:val="24"/>
          <w:szCs w:val="24"/>
        </w:rPr>
      </w:pPr>
      <w:r>
        <w:rPr>
          <w:rFonts w:hint="eastAsia" w:ascii="宋体" w:hAnsi="宋体"/>
          <w:bCs/>
          <w:sz w:val="24"/>
          <w:szCs w:val="24"/>
        </w:rPr>
        <w:t>参加本项目政府采购活动前三年内，本单位未因违法经营受到刑事处罚或者责令停产停业、吊销许可证或者执照、较大数额罚款（根据各地方、各部门明确的听证范围确定较大数额罚款的额度）等行政处罚；</w:t>
      </w:r>
    </w:p>
    <w:p>
      <w:pPr>
        <w:pStyle w:val="50"/>
        <w:numPr>
          <w:ilvl w:val="1"/>
          <w:numId w:val="59"/>
        </w:numPr>
        <w:tabs>
          <w:tab w:val="left" w:pos="854"/>
        </w:tabs>
        <w:spacing w:line="360" w:lineRule="auto"/>
        <w:ind w:left="11" w:firstLine="480"/>
        <w:rPr>
          <w:rFonts w:ascii="宋体" w:hAnsi="宋体"/>
          <w:bCs/>
          <w:sz w:val="24"/>
          <w:szCs w:val="24"/>
        </w:rPr>
      </w:pPr>
      <w:r>
        <w:rPr>
          <w:rFonts w:hint="eastAsia" w:ascii="宋体" w:hAnsi="宋体"/>
          <w:bCs/>
          <w:sz w:val="24"/>
          <w:szCs w:val="24"/>
        </w:rPr>
        <w:t>参加本项目政府采购活动前三年内，本单位未受到过全国</w:t>
      </w:r>
      <w:r>
        <w:rPr>
          <w:rFonts w:ascii="宋体" w:hAnsi="宋体"/>
          <w:bCs/>
          <w:sz w:val="24"/>
          <w:szCs w:val="24"/>
        </w:rPr>
        <w:t>各级人民政府财政部门依法</w:t>
      </w:r>
      <w:r>
        <w:rPr>
          <w:rFonts w:hint="eastAsia" w:ascii="宋体" w:hAnsi="宋体"/>
          <w:bCs/>
          <w:sz w:val="24"/>
          <w:szCs w:val="24"/>
        </w:rPr>
        <w:t>作</w:t>
      </w:r>
      <w:r>
        <w:rPr>
          <w:rFonts w:ascii="宋体" w:hAnsi="宋体"/>
          <w:bCs/>
          <w:sz w:val="24"/>
          <w:szCs w:val="24"/>
        </w:rPr>
        <w:t>出的禁止参加政府采购活动等行政处罚决定</w:t>
      </w:r>
      <w:r>
        <w:rPr>
          <w:rFonts w:hint="eastAsia" w:ascii="宋体" w:hAnsi="宋体"/>
          <w:bCs/>
          <w:sz w:val="24"/>
          <w:szCs w:val="24"/>
        </w:rPr>
        <w:t>；</w:t>
      </w:r>
    </w:p>
    <w:p>
      <w:pPr>
        <w:pStyle w:val="50"/>
        <w:numPr>
          <w:ilvl w:val="1"/>
          <w:numId w:val="59"/>
        </w:numPr>
        <w:tabs>
          <w:tab w:val="left" w:pos="854"/>
        </w:tabs>
        <w:spacing w:line="360" w:lineRule="auto"/>
        <w:ind w:left="11" w:firstLine="480"/>
        <w:rPr>
          <w:rFonts w:ascii="宋体" w:hAnsi="宋体"/>
          <w:bCs/>
          <w:sz w:val="24"/>
          <w:szCs w:val="24"/>
        </w:rPr>
      </w:pPr>
      <w:r>
        <w:rPr>
          <w:rFonts w:hint="eastAsia" w:ascii="宋体" w:hAnsi="宋体"/>
          <w:bCs/>
          <w:sz w:val="24"/>
          <w:szCs w:val="24"/>
        </w:rPr>
        <w:t>如上述声明内容不实，本单位自愿接受政府采购监管部门按照《政府采购法》关于提供虚假材料的规定给予处罚。</w:t>
      </w:r>
    </w:p>
    <w:p>
      <w:pPr>
        <w:tabs>
          <w:tab w:val="left" w:pos="854"/>
        </w:tabs>
        <w:spacing w:line="360" w:lineRule="auto"/>
        <w:rPr>
          <w:rFonts w:ascii="宋体" w:hAnsi="宋体"/>
          <w:bCs/>
          <w:sz w:val="24"/>
          <w:szCs w:val="24"/>
        </w:rPr>
      </w:pPr>
    </w:p>
    <w:p>
      <w:pPr>
        <w:tabs>
          <w:tab w:val="left" w:pos="854"/>
        </w:tabs>
        <w:spacing w:line="360" w:lineRule="auto"/>
        <w:rPr>
          <w:rFonts w:ascii="宋体" w:hAnsi="宋体"/>
          <w:bCs/>
          <w:sz w:val="24"/>
          <w:szCs w:val="24"/>
        </w:rPr>
      </w:pPr>
    </w:p>
    <w:p>
      <w:pPr>
        <w:spacing w:before="100" w:beforeAutospacing="1" w:after="100" w:afterAutospacing="1" w:line="360" w:lineRule="auto"/>
        <w:ind w:firstLine="3316" w:firstLineChars="1382"/>
        <w:rPr>
          <w:rFonts w:ascii="宋体" w:hAnsi="宋体" w:cs="Times New Roman"/>
          <w:bCs/>
          <w:sz w:val="24"/>
          <w:szCs w:val="21"/>
          <w:u w:val="single"/>
        </w:rPr>
      </w:pPr>
      <w:r>
        <w:rPr>
          <w:rFonts w:hint="eastAsia" w:ascii="宋体" w:hAnsi="宋体" w:cs="Times New Roman"/>
          <w:bCs/>
          <w:sz w:val="24"/>
          <w:szCs w:val="21"/>
        </w:rPr>
        <w:t>投标人 (公章)：</w:t>
      </w:r>
      <w:r>
        <w:rPr>
          <w:rFonts w:hint="eastAsia" w:ascii="宋体" w:hAnsi="宋体" w:cs="Times New Roman"/>
          <w:bCs/>
          <w:sz w:val="24"/>
          <w:szCs w:val="21"/>
          <w:u w:val="single"/>
        </w:rPr>
        <w:t xml:space="preserve">                      </w:t>
      </w:r>
    </w:p>
    <w:p>
      <w:pPr>
        <w:spacing w:before="100" w:beforeAutospacing="1" w:after="100" w:afterAutospacing="1" w:line="360" w:lineRule="auto"/>
        <w:ind w:firstLine="3316" w:firstLineChars="1382"/>
        <w:rPr>
          <w:rFonts w:ascii="宋体" w:hAnsi="宋体" w:cs="Times New Roman"/>
          <w:bCs/>
          <w:sz w:val="24"/>
          <w:szCs w:val="21"/>
          <w:u w:val="single"/>
        </w:rPr>
      </w:pPr>
      <w:r>
        <w:rPr>
          <w:rFonts w:hint="eastAsia" w:ascii="宋体" w:hAnsi="宋体" w:cs="Times New Roman"/>
          <w:bCs/>
          <w:sz w:val="24"/>
          <w:szCs w:val="21"/>
        </w:rPr>
        <w:t>投标人授权代表（签字）：</w:t>
      </w:r>
      <w:r>
        <w:rPr>
          <w:rFonts w:hint="eastAsia" w:ascii="宋体" w:hAnsi="宋体" w:cs="Times New Roman"/>
          <w:bCs/>
          <w:sz w:val="24"/>
          <w:szCs w:val="21"/>
          <w:u w:val="single"/>
        </w:rPr>
        <w:t xml:space="preserve">                  </w:t>
      </w:r>
    </w:p>
    <w:p>
      <w:pPr>
        <w:spacing w:before="100" w:beforeAutospacing="1" w:after="100" w:afterAutospacing="1" w:line="360" w:lineRule="auto"/>
        <w:ind w:firstLine="3316" w:firstLineChars="1382"/>
      </w:pPr>
      <w:r>
        <w:rPr>
          <w:rFonts w:hint="eastAsia" w:hAnsi="宋体" w:cs="Times New Roman"/>
          <w:sz w:val="24"/>
          <w:szCs w:val="24"/>
        </w:rPr>
        <w:t>日   期：</w:t>
      </w:r>
      <w:r>
        <w:rPr>
          <w:rFonts w:hint="eastAsia" w:ascii="宋体" w:hAnsi="宋体" w:cs="Times New Roman"/>
          <w:bCs/>
          <w:sz w:val="24"/>
          <w:szCs w:val="21"/>
          <w:u w:val="single"/>
        </w:rPr>
        <w:t xml:space="preserve">                                </w:t>
      </w:r>
    </w:p>
    <w:p>
      <w:pPr>
        <w:autoSpaceDE w:val="0"/>
        <w:autoSpaceDN w:val="0"/>
        <w:adjustRightInd w:val="0"/>
        <w:spacing w:line="360" w:lineRule="auto"/>
        <w:ind w:left="734" w:leftChars="346" w:hanging="8" w:hangingChars="3"/>
        <w:rPr>
          <w:rFonts w:ascii="宋体" w:hAnsi="宋体" w:cs="Times New Roman"/>
          <w:b/>
          <w:sz w:val="24"/>
          <w:szCs w:val="24"/>
        </w:rPr>
      </w:pPr>
      <w:r>
        <w:rPr>
          <w:rFonts w:eastAsia="黑体"/>
          <w:b/>
          <w:iCs/>
          <w:kern w:val="0"/>
          <w:sz w:val="28"/>
        </w:rPr>
        <w:br w:type="page"/>
      </w:r>
    </w:p>
    <w:p>
      <w:pPr>
        <w:spacing w:before="120" w:after="120" w:line="578" w:lineRule="auto"/>
        <w:jc w:val="center"/>
        <w:rPr>
          <w:rFonts w:ascii="黑体" w:hAnsi="黑体" w:eastAsia="黑体" w:cs="Times New Roman"/>
          <w:b/>
          <w:sz w:val="36"/>
          <w:szCs w:val="36"/>
        </w:rPr>
      </w:pPr>
      <w:bookmarkStart w:id="93" w:name="_Toc494665948"/>
      <w:bookmarkStart w:id="94" w:name="_Toc494665551"/>
      <w:bookmarkStart w:id="95" w:name="_Toc494664998"/>
      <w:bookmarkStart w:id="96" w:name="_Toc494721098"/>
      <w:bookmarkStart w:id="97" w:name="_Toc494745315"/>
      <w:bookmarkStart w:id="98" w:name="_Toc494702268"/>
      <w:r>
        <w:rPr>
          <w:rFonts w:hint="eastAsia" w:ascii="黑体" w:hAnsi="黑体" w:eastAsia="黑体" w:cs="Times New Roman"/>
          <w:b/>
          <w:sz w:val="36"/>
          <w:szCs w:val="36"/>
        </w:rPr>
        <w:t>第二部分 商务文件组成</w:t>
      </w:r>
      <w:bookmarkEnd w:id="93"/>
      <w:bookmarkEnd w:id="94"/>
      <w:bookmarkEnd w:id="95"/>
      <w:bookmarkEnd w:id="96"/>
      <w:bookmarkEnd w:id="97"/>
      <w:bookmarkEnd w:id="98"/>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由各投标人根据参考格式要求自行编写。具体内容应包括但不限于以下内容：</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投标书（附件一）；</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中小企业声明函（附件二）；</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残疾人福利性单位声明函（附件三，不符合的无需提供）</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开标一览表（附件四）；</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投标报价明细表（附件五）；</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法定代表人授权书（附件六）；</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关于不存在招标文件第二章“十  其他注意事项”中规定禁止情形的书面声明；</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投标人的资格声明（附件七）；</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项目负责人、技术负责人简历表（附件八）；</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项目班子成员情况表（附件九）；</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投标人类似项目业绩表（附件十）；</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招标文件要求提供或投标人认为需提供的其它资料；</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符合性审查对照表（附件十一）；</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商务要求响应、偏离说明表（附件十二）；</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商务要求“★”号条款响应、偏离说明表（附件十三）</w:t>
      </w: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商务评议对照表（附件十四）。</w:t>
      </w:r>
    </w:p>
    <w:p>
      <w:pPr>
        <w:autoSpaceDE w:val="0"/>
        <w:autoSpaceDN w:val="0"/>
        <w:adjustRightInd w:val="0"/>
        <w:spacing w:line="360" w:lineRule="auto"/>
        <w:ind w:left="120"/>
        <w:rPr>
          <w:rFonts w:ascii="宋体" w:hAnsi="宋体" w:eastAsia="宋体" w:cs="Courier New"/>
          <w:color w:val="0D0D0D"/>
          <w:sz w:val="24"/>
          <w:szCs w:val="24"/>
        </w:rPr>
      </w:pPr>
    </w:p>
    <w:p>
      <w:pPr>
        <w:numPr>
          <w:ilvl w:val="0"/>
          <w:numId w:val="60"/>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br w:type="page"/>
      </w:r>
    </w:p>
    <w:p>
      <w:pPr>
        <w:spacing w:before="120" w:after="120" w:line="578" w:lineRule="auto"/>
        <w:jc w:val="center"/>
        <w:rPr>
          <w:rFonts w:ascii="黑体" w:hAnsi="黑体" w:eastAsia="黑体" w:cs="Times New Roman"/>
          <w:b/>
          <w:color w:val="000000" w:themeColor="text1"/>
          <w:sz w:val="44"/>
          <w:szCs w:val="44"/>
        </w:rPr>
      </w:pPr>
      <w:bookmarkStart w:id="99" w:name="_Toc494702270"/>
      <w:bookmarkStart w:id="100" w:name="_Toc494665000"/>
      <w:bookmarkStart w:id="101" w:name="_Toc494665553"/>
      <w:bookmarkStart w:id="102" w:name="_Toc494721100"/>
      <w:bookmarkStart w:id="103" w:name="_Toc494745317"/>
      <w:bookmarkStart w:id="104" w:name="_Toc494665950"/>
      <w:r>
        <w:rPr>
          <w:rFonts w:hint="eastAsia" w:ascii="黑体" w:hAnsi="黑体" w:eastAsia="黑体" w:cs="Times New Roman"/>
          <w:b/>
          <w:bCs/>
          <w:color w:val="000000" w:themeColor="text1"/>
          <w:sz w:val="36"/>
          <w:szCs w:val="36"/>
          <w:lang w:val="zh-CN"/>
        </w:rPr>
        <w:t xml:space="preserve">第三部分 </w:t>
      </w:r>
      <w:r>
        <w:rPr>
          <w:rFonts w:ascii="黑体" w:hAnsi="黑体" w:eastAsia="黑体" w:cs="Times New Roman"/>
          <w:b/>
          <w:bCs/>
          <w:color w:val="000000" w:themeColor="text1"/>
          <w:sz w:val="36"/>
          <w:szCs w:val="36"/>
          <w:lang w:val="zh-CN"/>
        </w:rPr>
        <w:t xml:space="preserve"> </w:t>
      </w:r>
      <w:r>
        <w:rPr>
          <w:rFonts w:hint="eastAsia" w:ascii="黑体" w:hAnsi="黑体" w:eastAsia="黑体" w:cs="Times New Roman"/>
          <w:b/>
          <w:bCs/>
          <w:color w:val="000000" w:themeColor="text1"/>
          <w:sz w:val="36"/>
          <w:szCs w:val="36"/>
          <w:lang w:val="zh-CN"/>
        </w:rPr>
        <w:t>技术</w:t>
      </w:r>
      <w:r>
        <w:rPr>
          <w:rFonts w:hint="eastAsia" w:ascii="黑体" w:hAnsi="黑体" w:eastAsia="黑体" w:cs="Times New Roman"/>
          <w:b/>
          <w:color w:val="000000" w:themeColor="text1"/>
          <w:sz w:val="36"/>
          <w:szCs w:val="36"/>
        </w:rPr>
        <w:t>、服务文件组成</w:t>
      </w:r>
      <w:bookmarkEnd w:id="99"/>
      <w:bookmarkEnd w:id="100"/>
      <w:bookmarkEnd w:id="101"/>
      <w:bookmarkEnd w:id="102"/>
      <w:bookmarkEnd w:id="103"/>
      <w:bookmarkEnd w:id="104"/>
    </w:p>
    <w:p>
      <w:pPr>
        <w:numPr>
          <w:ilvl w:val="0"/>
          <w:numId w:val="61"/>
        </w:numPr>
        <w:autoSpaceDE w:val="0"/>
        <w:autoSpaceDN w:val="0"/>
        <w:adjustRightInd w:val="0"/>
        <w:spacing w:line="360" w:lineRule="auto"/>
        <w:ind w:left="488" w:hanging="369"/>
        <w:rPr>
          <w:rFonts w:ascii="宋体" w:hAnsi="宋体" w:eastAsia="宋体" w:cs="Times New Roman"/>
          <w:kern w:val="0"/>
          <w:sz w:val="24"/>
          <w:szCs w:val="32"/>
        </w:rPr>
      </w:pPr>
      <w:r>
        <w:rPr>
          <w:rFonts w:hint="eastAsia" w:ascii="宋体" w:hAnsi="宋体" w:eastAsia="宋体" w:cs="Times New Roman"/>
          <w:kern w:val="0"/>
          <w:sz w:val="24"/>
          <w:szCs w:val="32"/>
        </w:rPr>
        <w:t>由各投标人根据参考格式要求自行编写。具体内容应包括但不限于以下内容：</w:t>
      </w:r>
    </w:p>
    <w:p>
      <w:pPr>
        <w:numPr>
          <w:ilvl w:val="0"/>
          <w:numId w:val="61"/>
        </w:numPr>
        <w:autoSpaceDE w:val="0"/>
        <w:autoSpaceDN w:val="0"/>
        <w:adjustRightInd w:val="0"/>
        <w:spacing w:line="360" w:lineRule="auto"/>
        <w:ind w:left="488" w:hanging="369"/>
        <w:rPr>
          <w:rFonts w:ascii="宋体" w:hAnsi="宋体" w:eastAsia="宋体" w:cs="Times New Roman"/>
          <w:kern w:val="0"/>
          <w:sz w:val="24"/>
          <w:szCs w:val="32"/>
        </w:rPr>
      </w:pPr>
      <w:r>
        <w:rPr>
          <w:rFonts w:hint="eastAsia" w:ascii="宋体" w:hAnsi="宋体" w:eastAsia="宋体" w:cs="Times New Roman"/>
          <w:kern w:val="0"/>
          <w:sz w:val="24"/>
          <w:szCs w:val="32"/>
        </w:rPr>
        <w:t>投标货物（工程或服务）介绍，项目建设（服务）方案；</w:t>
      </w:r>
    </w:p>
    <w:p>
      <w:pPr>
        <w:numPr>
          <w:ilvl w:val="0"/>
          <w:numId w:val="61"/>
        </w:numPr>
        <w:autoSpaceDE w:val="0"/>
        <w:autoSpaceDN w:val="0"/>
        <w:adjustRightInd w:val="0"/>
        <w:spacing w:line="360" w:lineRule="auto"/>
        <w:ind w:left="488" w:hanging="369"/>
        <w:rPr>
          <w:rFonts w:ascii="宋体" w:hAnsi="宋体" w:eastAsia="宋体" w:cs="Times New Roman"/>
          <w:kern w:val="0"/>
          <w:sz w:val="24"/>
          <w:szCs w:val="32"/>
        </w:rPr>
      </w:pPr>
      <w:r>
        <w:rPr>
          <w:rFonts w:hint="eastAsia" w:ascii="宋体" w:hAnsi="宋体" w:eastAsia="宋体" w:cs="Times New Roman"/>
          <w:kern w:val="0"/>
          <w:sz w:val="24"/>
          <w:szCs w:val="32"/>
        </w:rPr>
        <w:t>技术、服务要求响应、偏离说明表（附件十五）；</w:t>
      </w:r>
    </w:p>
    <w:p>
      <w:pPr>
        <w:numPr>
          <w:ilvl w:val="0"/>
          <w:numId w:val="61"/>
        </w:numPr>
        <w:autoSpaceDE w:val="0"/>
        <w:autoSpaceDN w:val="0"/>
        <w:adjustRightInd w:val="0"/>
        <w:spacing w:line="360" w:lineRule="auto"/>
        <w:ind w:left="488" w:hanging="369"/>
        <w:rPr>
          <w:rFonts w:ascii="宋体" w:hAnsi="宋体" w:eastAsia="宋体" w:cs="Times New Roman"/>
          <w:kern w:val="0"/>
          <w:sz w:val="24"/>
          <w:szCs w:val="32"/>
        </w:rPr>
      </w:pPr>
      <w:r>
        <w:rPr>
          <w:rFonts w:hint="eastAsia" w:ascii="宋体" w:hAnsi="宋体" w:eastAsia="宋体" w:cs="Times New Roman"/>
          <w:kern w:val="0"/>
          <w:sz w:val="24"/>
          <w:szCs w:val="32"/>
        </w:rPr>
        <w:t>技术、服务要求“★”号条款响应、偏离说明表（附件十六）；</w:t>
      </w:r>
    </w:p>
    <w:p>
      <w:pPr>
        <w:numPr>
          <w:ilvl w:val="0"/>
          <w:numId w:val="61"/>
        </w:numPr>
        <w:autoSpaceDE w:val="0"/>
        <w:autoSpaceDN w:val="0"/>
        <w:adjustRightInd w:val="0"/>
        <w:spacing w:line="360" w:lineRule="auto"/>
        <w:ind w:left="488" w:hanging="369"/>
        <w:rPr>
          <w:rFonts w:ascii="宋体" w:hAnsi="宋体" w:eastAsia="宋体" w:cs="Times New Roman"/>
          <w:kern w:val="0"/>
          <w:sz w:val="24"/>
          <w:szCs w:val="32"/>
        </w:rPr>
      </w:pPr>
      <w:r>
        <w:rPr>
          <w:rFonts w:hint="eastAsia" w:ascii="宋体" w:hAnsi="宋体" w:eastAsia="宋体" w:cs="Times New Roman"/>
          <w:kern w:val="0"/>
          <w:sz w:val="24"/>
          <w:szCs w:val="32"/>
        </w:rPr>
        <w:t>技术、服务评议对照表（附件十七）；</w:t>
      </w:r>
    </w:p>
    <w:p>
      <w:pPr>
        <w:numPr>
          <w:ilvl w:val="0"/>
          <w:numId w:val="61"/>
        </w:numPr>
        <w:autoSpaceDE w:val="0"/>
        <w:autoSpaceDN w:val="0"/>
        <w:adjustRightInd w:val="0"/>
        <w:spacing w:line="360" w:lineRule="auto"/>
        <w:ind w:left="488" w:hanging="369"/>
        <w:rPr>
          <w:rFonts w:ascii="宋体" w:hAnsi="宋体" w:eastAsia="宋体" w:cs="Times New Roman"/>
          <w:kern w:val="0"/>
          <w:sz w:val="24"/>
          <w:szCs w:val="32"/>
        </w:rPr>
      </w:pPr>
      <w:r>
        <w:rPr>
          <w:rFonts w:hint="eastAsia" w:ascii="宋体" w:hAnsi="宋体" w:eastAsia="宋体" w:cs="Times New Roman"/>
          <w:kern w:val="0"/>
          <w:sz w:val="24"/>
          <w:szCs w:val="32"/>
        </w:rPr>
        <w:t>招标文件要求提供或投标人认为需提供的其它资料。</w:t>
      </w:r>
    </w:p>
    <w:p>
      <w:pPr>
        <w:autoSpaceDE w:val="0"/>
        <w:autoSpaceDN w:val="0"/>
        <w:adjustRightInd w:val="0"/>
        <w:spacing w:line="360" w:lineRule="auto"/>
        <w:rPr>
          <w:rFonts w:ascii="宋体" w:hAnsi="宋体" w:eastAsia="宋体" w:cs="Times New Roman"/>
          <w:kern w:val="0"/>
          <w:sz w:val="24"/>
          <w:szCs w:val="32"/>
        </w:rPr>
      </w:pPr>
    </w:p>
    <w:p>
      <w:pPr>
        <w:autoSpaceDE w:val="0"/>
        <w:autoSpaceDN w:val="0"/>
        <w:adjustRightInd w:val="0"/>
        <w:spacing w:line="360" w:lineRule="auto"/>
        <w:ind w:left="715" w:leftChars="-6" w:hanging="727" w:hangingChars="303"/>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说明：投标文件技术、服务文件的编制原则，一是按招标文件要求，提供相应说明、资料、表格以证明所投货物（工程或服务）是否响应招标文件要求；二是对应评分标准，充分体现所投货物（工程或服务）对于评分标准的响应程度和优势。</w:t>
      </w:r>
    </w:p>
    <w:p>
      <w:r>
        <w:br w:type="page"/>
      </w:r>
    </w:p>
    <w:p>
      <w:pPr>
        <w:pStyle w:val="4"/>
        <w:numPr>
          <w:ilvl w:val="0"/>
          <w:numId w:val="62"/>
        </w:numPr>
        <w:spacing w:before="100" w:beforeAutospacing="1" w:afterLines="50" w:line="360" w:lineRule="auto"/>
        <w:ind w:left="3388" w:leftChars="0" w:hanging="868" w:firstLineChars="0"/>
        <w:jc w:val="left"/>
        <w:rPr>
          <w:rFonts w:ascii="宋体" w:hAnsi="宋体" w:eastAsia="宋体"/>
        </w:rPr>
      </w:pPr>
      <w:bookmarkStart w:id="105" w:name="_Toc31984"/>
      <w:bookmarkStart w:id="106" w:name="_Toc238276242"/>
      <w:bookmarkStart w:id="107" w:name="_Toc236473298"/>
      <w:bookmarkStart w:id="108" w:name="_Toc494665554"/>
      <w:bookmarkStart w:id="109" w:name="_Toc494702271"/>
      <w:bookmarkStart w:id="110" w:name="_Toc494721101"/>
      <w:bookmarkStart w:id="111" w:name="_Toc494745318"/>
      <w:bookmarkStart w:id="112" w:name="_Toc494665001"/>
      <w:bookmarkStart w:id="113" w:name="_Toc494665951"/>
      <w:r>
        <w:rPr>
          <w:rFonts w:hint="eastAsia" w:ascii="宋体" w:hAnsi="宋体" w:eastAsia="宋体"/>
        </w:rPr>
        <w:t>投标书</w:t>
      </w:r>
      <w:bookmarkEnd w:id="105"/>
      <w:bookmarkEnd w:id="106"/>
      <w:bookmarkEnd w:id="107"/>
      <w:bookmarkEnd w:id="108"/>
      <w:bookmarkEnd w:id="109"/>
      <w:bookmarkEnd w:id="110"/>
      <w:bookmarkEnd w:id="111"/>
      <w:bookmarkEnd w:id="112"/>
      <w:bookmarkEnd w:id="113"/>
    </w:p>
    <w:p>
      <w:pPr>
        <w:spacing w:line="360" w:lineRule="auto"/>
        <w:rPr>
          <w:b/>
          <w:sz w:val="28"/>
          <w:szCs w:val="28"/>
        </w:rPr>
      </w:pPr>
      <w:r>
        <w:rPr>
          <w:rFonts w:hint="eastAsia"/>
          <w:b/>
          <w:sz w:val="28"/>
          <w:szCs w:val="28"/>
        </w:rPr>
        <w:t>采购人</w:t>
      </w:r>
      <w:r>
        <w:rPr>
          <w:rFonts w:hint="eastAsia"/>
          <w:b/>
          <w:color w:val="FF0000"/>
          <w:sz w:val="28"/>
          <w:szCs w:val="28"/>
        </w:rPr>
        <w:t>（或采购代理公司）</w:t>
      </w:r>
      <w:r>
        <w:rPr>
          <w:rFonts w:hint="eastAsia"/>
          <w:b/>
          <w:sz w:val="28"/>
          <w:szCs w:val="28"/>
        </w:rPr>
        <w:t>：</w:t>
      </w:r>
    </w:p>
    <w:p>
      <w:pPr>
        <w:spacing w:line="360" w:lineRule="auto"/>
        <w:ind w:firstLine="480" w:firstLineChars="200"/>
        <w:rPr>
          <w:rFonts w:asciiTheme="minorEastAsia" w:hAnsiTheme="minorEastAsia"/>
          <w:color w:val="0C0C0C" w:themeColor="text1" w:themeTint="F2"/>
          <w:sz w:val="24"/>
          <w:szCs w:val="24"/>
        </w:rPr>
      </w:pPr>
      <w:r>
        <w:rPr>
          <w:rFonts w:hint="eastAsia" w:asciiTheme="minorEastAsia" w:hAnsiTheme="minorEastAsia"/>
          <w:color w:val="0C0C0C" w:themeColor="text1" w:themeTint="F2"/>
          <w:sz w:val="24"/>
          <w:szCs w:val="24"/>
        </w:rPr>
        <w:t>依据贵方___项目（项目编号：_____）招标的投标邀请，我方代表</w:t>
      </w:r>
      <w:r>
        <w:rPr>
          <w:rFonts w:hint="eastAsia" w:asciiTheme="minorEastAsia" w:hAnsiTheme="minorEastAsia"/>
          <w:color w:val="0C0C0C" w:themeColor="text1" w:themeTint="F2"/>
          <w:sz w:val="24"/>
          <w:szCs w:val="24"/>
          <w:u w:val="single"/>
        </w:rPr>
        <w:t>（姓名、职务）</w:t>
      </w:r>
      <w:r>
        <w:rPr>
          <w:rFonts w:hint="eastAsia" w:asciiTheme="minorEastAsia" w:hAnsiTheme="minorEastAsia"/>
          <w:color w:val="0C0C0C" w:themeColor="text1" w:themeTint="F2"/>
          <w:sz w:val="24"/>
          <w:szCs w:val="24"/>
        </w:rPr>
        <w:t>经正式授权并代表投标人</w:t>
      </w:r>
      <w:r>
        <w:rPr>
          <w:rFonts w:hint="eastAsia" w:asciiTheme="minorEastAsia" w:hAnsiTheme="minorEastAsia"/>
          <w:color w:val="0C0C0C" w:themeColor="text1" w:themeTint="F2"/>
          <w:sz w:val="24"/>
          <w:szCs w:val="24"/>
          <w:u w:val="single"/>
        </w:rPr>
        <w:t>（投标人全称 ）</w:t>
      </w:r>
      <w:r>
        <w:rPr>
          <w:rFonts w:hint="eastAsia" w:asciiTheme="minorEastAsia" w:hAnsiTheme="minorEastAsia"/>
          <w:color w:val="0C0C0C" w:themeColor="text1" w:themeTint="F2"/>
          <w:sz w:val="24"/>
          <w:szCs w:val="24"/>
        </w:rPr>
        <w:t>提交</w:t>
      </w:r>
      <w:r>
        <w:rPr>
          <w:rFonts w:hint="eastAsia" w:ascii="宋体" w:hAnsi="宋体"/>
          <w:color w:val="0C0C0C" w:themeColor="text1" w:themeTint="F2"/>
          <w:kern w:val="0"/>
          <w:sz w:val="24"/>
        </w:rPr>
        <w:t>“开标一览表”信封和下述文件正本份，副本份。</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 xml:space="preserve">1.资格证明文件； </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2.商务文件；</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3.技术、服务文件。</w:t>
      </w:r>
    </w:p>
    <w:p>
      <w:pPr>
        <w:spacing w:line="360" w:lineRule="auto"/>
        <w:rPr>
          <w:rFonts w:ascii="宋体" w:hAnsi="宋体" w:eastAsia="宋体" w:cs="Times New Roman"/>
          <w:b/>
          <w:color w:val="0C0C0C" w:themeColor="text1" w:themeTint="F2"/>
          <w:kern w:val="0"/>
          <w:sz w:val="24"/>
          <w:szCs w:val="24"/>
        </w:rPr>
      </w:pPr>
      <w:r>
        <w:rPr>
          <w:rFonts w:hint="eastAsia" w:ascii="宋体" w:hAnsi="宋体" w:eastAsia="宋体" w:cs="Times New Roman"/>
          <w:b/>
          <w:color w:val="0C0C0C" w:themeColor="text1" w:themeTint="F2"/>
          <w:kern w:val="0"/>
          <w:sz w:val="24"/>
          <w:szCs w:val="24"/>
        </w:rPr>
        <w:t>在此，我方宣布同意如下：</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1．</w:t>
      </w:r>
      <w:r>
        <w:rPr>
          <w:rFonts w:hint="eastAsia" w:ascii="宋体" w:hAnsi="宋体" w:eastAsia="宋体" w:cs="宋体"/>
          <w:sz w:val="24"/>
          <w:szCs w:val="24"/>
        </w:rPr>
        <w:t>《开标一览表》中规定的应提交和交付的</w:t>
      </w:r>
      <w:r>
        <w:rPr>
          <w:rFonts w:hint="eastAsia" w:ascii="宋体" w:hAnsi="宋体" w:eastAsia="宋体" w:cs="宋体"/>
          <w:sz w:val="24"/>
          <w:szCs w:val="24"/>
          <w:u w:val="single"/>
        </w:rPr>
        <w:t xml:space="preserve">  （包号）  </w:t>
      </w:r>
      <w:r>
        <w:rPr>
          <w:rFonts w:hint="eastAsia" w:ascii="宋体" w:hAnsi="宋体" w:eastAsia="宋体" w:cs="宋体"/>
          <w:sz w:val="24"/>
          <w:szCs w:val="24"/>
        </w:rPr>
        <w:t>货物（工程或服务）投标总价为</w:t>
      </w:r>
      <w:r>
        <w:rPr>
          <w:rFonts w:hint="eastAsia" w:ascii="宋体" w:hAnsi="宋体" w:eastAsia="宋体" w:cs="宋体"/>
          <w:sz w:val="24"/>
          <w:szCs w:val="24"/>
          <w:u w:val="single"/>
        </w:rPr>
        <w:t>（注明币种，并用大写和小写表述投标总价）</w:t>
      </w:r>
      <w:r>
        <w:rPr>
          <w:rFonts w:hint="eastAsia" w:ascii="宋体" w:hAnsi="宋体" w:eastAsia="宋体" w:cs="宋体"/>
          <w:color w:val="0000FF"/>
          <w:spacing w:val="-1"/>
          <w:kern w:val="0"/>
          <w:sz w:val="24"/>
          <w:lang w:val="hr-HR" w:bidi="zh-CN"/>
        </w:rPr>
        <w:t>。</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2．按招标文件的约定履行合同责任和义务；</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3．已详细审查全部招标文件，包括</w:t>
      </w:r>
      <w:r>
        <w:rPr>
          <w:rFonts w:hint="eastAsia" w:asciiTheme="minorEastAsia" w:hAnsiTheme="minorEastAsia"/>
          <w:sz w:val="24"/>
          <w:szCs w:val="24"/>
          <w:u w:val="single"/>
        </w:rPr>
        <w:t>（修正或补充文件）（如果有的话）</w:t>
      </w:r>
      <w:r>
        <w:rPr>
          <w:rFonts w:hint="eastAsia" w:asciiTheme="minorEastAsia" w:hAnsiTheme="minorEastAsia"/>
          <w:sz w:val="24"/>
          <w:szCs w:val="24"/>
        </w:rPr>
        <w:t>，对此无异议；</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4．投标有效期为</w:t>
      </w:r>
      <w:r>
        <w:rPr>
          <w:rFonts w:hint="eastAsia" w:asciiTheme="minorEastAsia" w:hAnsiTheme="minorEastAsia"/>
          <w:color w:val="0C0C0C" w:themeColor="text1" w:themeTint="F2"/>
          <w:sz w:val="24"/>
          <w:szCs w:val="24"/>
        </w:rPr>
        <w:t>自</w:t>
      </w:r>
      <w:r>
        <w:rPr>
          <w:rFonts w:hint="eastAsia" w:ascii="宋体" w:hAnsi="宋体"/>
          <w:color w:val="0C0C0C" w:themeColor="text1" w:themeTint="F2"/>
          <w:kern w:val="0"/>
          <w:sz w:val="24"/>
        </w:rPr>
        <w:t>递交投标文件截止之日</w:t>
      </w:r>
      <w:r>
        <w:rPr>
          <w:rFonts w:hint="eastAsia" w:asciiTheme="minorEastAsia" w:hAnsiTheme="minorEastAsia"/>
          <w:color w:val="0C0C0C" w:themeColor="text1" w:themeTint="F2"/>
          <w:sz w:val="24"/>
          <w:szCs w:val="24"/>
        </w:rPr>
        <w:t>起</w:t>
      </w:r>
      <w:r>
        <w:rPr>
          <w:rFonts w:hint="eastAsia" w:asciiTheme="minorEastAsia" w:hAnsiTheme="minorEastAsia"/>
          <w:sz w:val="24"/>
          <w:szCs w:val="24"/>
        </w:rPr>
        <w:t>，共个日历日；</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5．接受招标文件关于不予退还投标保证金的约定；</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6．提供按照贵方可能要求的与投标有关的一切数据或资料；</w:t>
      </w:r>
    </w:p>
    <w:p>
      <w:pPr>
        <w:spacing w:line="360" w:lineRule="auto"/>
        <w:ind w:left="12" w:leftChars="6" w:firstLine="472" w:firstLineChars="197"/>
        <w:rPr>
          <w:rFonts w:ascii="宋体" w:hAnsi="宋体" w:eastAsia="宋体" w:cs="Times New Roman"/>
          <w:kern w:val="0"/>
          <w:sz w:val="24"/>
          <w:szCs w:val="24"/>
        </w:rPr>
      </w:pPr>
      <w:r>
        <w:rPr>
          <w:rFonts w:hint="eastAsia" w:asciiTheme="minorEastAsia" w:hAnsiTheme="minorEastAsia"/>
          <w:sz w:val="24"/>
          <w:szCs w:val="24"/>
        </w:rPr>
        <w:t>7．与投标有关的一切正式往来信函请寄：。</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投标人：</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地  址：</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电话/传真：</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电子邮件：</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投标人(公章)：</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投标人授权代表（签字）：</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日    期：</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开户银行：</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帐号/行号：</w:t>
      </w:r>
    </w:p>
    <w:p>
      <w:r>
        <w:br w:type="page"/>
      </w:r>
    </w:p>
    <w:p>
      <w:pPr>
        <w:pStyle w:val="4"/>
        <w:numPr>
          <w:ilvl w:val="0"/>
          <w:numId w:val="62"/>
        </w:numPr>
        <w:spacing w:before="100" w:beforeAutospacing="1" w:afterLines="50" w:line="360" w:lineRule="auto"/>
        <w:ind w:left="3388" w:hanging="1288"/>
        <w:rPr>
          <w:rFonts w:ascii="宋体" w:hAnsi="宋体" w:eastAsia="宋体"/>
        </w:rPr>
      </w:pPr>
      <w:bookmarkStart w:id="114" w:name="_Toc494665556"/>
      <w:bookmarkStart w:id="115" w:name="_Toc494745320"/>
      <w:bookmarkStart w:id="116" w:name="_Toc494665953"/>
      <w:bookmarkStart w:id="117" w:name="_Toc494702273"/>
      <w:bookmarkStart w:id="118" w:name="_Toc456264006"/>
      <w:bookmarkStart w:id="119" w:name="_Toc494721103"/>
      <w:bookmarkStart w:id="120" w:name="_Toc6188"/>
      <w:bookmarkStart w:id="121" w:name="_Toc494665003"/>
      <w:r>
        <w:rPr>
          <w:rFonts w:hint="eastAsia" w:ascii="宋体" w:hAnsi="宋体" w:eastAsia="宋体"/>
        </w:rPr>
        <w:t>中小企业声明函</w:t>
      </w:r>
      <w:bookmarkEnd w:id="114"/>
      <w:bookmarkEnd w:id="115"/>
      <w:bookmarkEnd w:id="116"/>
      <w:bookmarkEnd w:id="117"/>
      <w:bookmarkEnd w:id="118"/>
      <w:bookmarkEnd w:id="119"/>
      <w:bookmarkEnd w:id="120"/>
      <w:bookmarkEnd w:id="121"/>
    </w:p>
    <w:p>
      <w:pPr>
        <w:jc w:val="center"/>
        <w:rPr>
          <w:rFonts w:ascii="宋体" w:hAnsi="宋体"/>
          <w:sz w:val="28"/>
          <w:szCs w:val="28"/>
        </w:rPr>
      </w:pPr>
      <w:r>
        <w:rPr>
          <w:rFonts w:hint="eastAsia" w:ascii="宋体" w:hAnsi="宋体"/>
          <w:b/>
          <w:sz w:val="30"/>
          <w:szCs w:val="30"/>
        </w:rPr>
        <w:t>中小企业声明函</w:t>
      </w:r>
      <w:r>
        <w:rPr>
          <w:rFonts w:hint="eastAsia" w:ascii="宋体" w:hAnsi="宋体"/>
          <w:sz w:val="28"/>
          <w:szCs w:val="28"/>
        </w:rPr>
        <w:t>（工程、服务）</w:t>
      </w:r>
    </w:p>
    <w:p>
      <w:pPr>
        <w:widowControl/>
        <w:spacing w:line="540" w:lineRule="exact"/>
        <w:ind w:firstLine="480" w:firstLineChars="200"/>
        <w:jc w:val="left"/>
        <w:rPr>
          <w:rFonts w:ascii="宋体" w:hAnsi="宋体" w:eastAsia="宋体" w:cs="宋体"/>
          <w:sz w:val="24"/>
          <w:szCs w:val="24"/>
        </w:rPr>
      </w:pPr>
      <w:r>
        <w:rPr>
          <w:rFonts w:hint="eastAsia" w:ascii="宋体" w:hAnsi="宋体" w:eastAsia="宋体" w:cs="宋体"/>
          <w:color w:val="000000"/>
          <w:kern w:val="0"/>
          <w:sz w:val="24"/>
          <w:szCs w:val="24"/>
        </w:rPr>
        <w:t>本公司（联合体）郑重声明，根据《政府采购促进中小企业发展管理办法》（财库﹝2020﹞46号）的规定，本公司（联合体）参加</w:t>
      </w:r>
      <w:r>
        <w:rPr>
          <w:rFonts w:hint="eastAsia" w:ascii="宋体" w:hAnsi="宋体" w:eastAsia="宋体" w:cs="宋体"/>
          <w:color w:val="000000"/>
          <w:kern w:val="0"/>
          <w:sz w:val="24"/>
          <w:szCs w:val="24"/>
          <w:u w:val="single"/>
        </w:rPr>
        <w:t>（单位名称）</w:t>
      </w:r>
      <w:r>
        <w:rPr>
          <w:rFonts w:hint="eastAsia" w:ascii="宋体" w:hAnsi="宋体" w:eastAsia="宋体" w:cs="宋体"/>
          <w:color w:val="000000"/>
          <w:kern w:val="0"/>
          <w:sz w:val="24"/>
          <w:szCs w:val="24"/>
        </w:rPr>
        <w:t>的（</w:t>
      </w:r>
      <w:r>
        <w:rPr>
          <w:rFonts w:hint="eastAsia" w:ascii="宋体" w:hAnsi="宋体" w:eastAsia="宋体" w:cs="宋体"/>
          <w:color w:val="000000"/>
          <w:kern w:val="0"/>
          <w:sz w:val="24"/>
          <w:szCs w:val="24"/>
          <w:u w:val="single"/>
        </w:rPr>
        <w:t>项目名称）</w:t>
      </w:r>
      <w:r>
        <w:rPr>
          <w:rFonts w:hint="eastAsia" w:ascii="宋体" w:hAnsi="宋体" w:eastAsia="宋体" w:cs="宋体"/>
          <w:color w:val="000000"/>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540" w:lineRule="exact"/>
        <w:ind w:firstLine="480" w:firstLineChars="200"/>
        <w:jc w:val="left"/>
        <w:rPr>
          <w:rFonts w:ascii="宋体" w:hAnsi="宋体" w:eastAsia="宋体" w:cs="宋体"/>
          <w:sz w:val="24"/>
          <w:szCs w:val="24"/>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u w:val="single"/>
        </w:rPr>
        <w:t>（标的名称）</w:t>
      </w:r>
      <w:r>
        <w:rPr>
          <w:rFonts w:hint="eastAsia" w:ascii="宋体" w:hAnsi="宋体" w:eastAsia="宋体" w:cs="宋体"/>
          <w:color w:val="000000"/>
          <w:kern w:val="0"/>
          <w:sz w:val="24"/>
          <w:szCs w:val="24"/>
        </w:rPr>
        <w:t>，属于</w:t>
      </w:r>
      <w:r>
        <w:rPr>
          <w:rFonts w:hint="eastAsia" w:ascii="宋体" w:hAnsi="宋体" w:eastAsia="宋体" w:cs="宋体"/>
          <w:color w:val="000000"/>
          <w:kern w:val="0"/>
          <w:sz w:val="24"/>
          <w:szCs w:val="24"/>
          <w:u w:val="single"/>
        </w:rPr>
        <w:t>（采购文件中明确的所属行业）</w:t>
      </w:r>
      <w:r>
        <w:rPr>
          <w:rFonts w:hint="eastAsia" w:ascii="宋体" w:hAnsi="宋体" w:eastAsia="宋体" w:cs="宋体"/>
          <w:color w:val="000000"/>
          <w:kern w:val="0"/>
          <w:sz w:val="24"/>
          <w:szCs w:val="24"/>
        </w:rPr>
        <w:t>；承建（承接）企业为</w:t>
      </w:r>
      <w:r>
        <w:rPr>
          <w:rFonts w:hint="eastAsia" w:ascii="宋体" w:hAnsi="宋体" w:eastAsia="宋体" w:cs="宋体"/>
          <w:color w:val="000000"/>
          <w:kern w:val="0"/>
          <w:sz w:val="24"/>
          <w:szCs w:val="24"/>
          <w:u w:val="single"/>
        </w:rPr>
        <w:t>（企业名称）</w:t>
      </w:r>
      <w:r>
        <w:rPr>
          <w:rFonts w:hint="eastAsia" w:ascii="宋体" w:hAnsi="宋体" w:eastAsia="宋体" w:cs="宋体"/>
          <w:color w:val="000000"/>
          <w:kern w:val="0"/>
          <w:sz w:val="24"/>
          <w:szCs w:val="24"/>
        </w:rPr>
        <w:t>，从业人员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人，营业收入</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为万元，资产总额为</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万元1，属于</w:t>
      </w:r>
      <w:r>
        <w:rPr>
          <w:rFonts w:hint="eastAsia" w:ascii="宋体" w:hAnsi="宋体" w:eastAsia="宋体" w:cs="宋体"/>
          <w:color w:val="000000"/>
          <w:kern w:val="0"/>
          <w:sz w:val="24"/>
          <w:szCs w:val="24"/>
          <w:u w:val="single"/>
        </w:rPr>
        <w:t>（中型企业、小型企业、微型企业）</w:t>
      </w:r>
      <w:r>
        <w:rPr>
          <w:rFonts w:hint="eastAsia" w:ascii="宋体" w:hAnsi="宋体" w:eastAsia="宋体" w:cs="宋体"/>
          <w:color w:val="000000"/>
          <w:kern w:val="0"/>
          <w:sz w:val="24"/>
          <w:szCs w:val="24"/>
        </w:rPr>
        <w:t xml:space="preserve">； </w:t>
      </w:r>
    </w:p>
    <w:p>
      <w:pPr>
        <w:widowControl/>
        <w:spacing w:line="540" w:lineRule="exact"/>
        <w:ind w:firstLine="480" w:firstLineChars="200"/>
        <w:jc w:val="left"/>
        <w:rPr>
          <w:rFonts w:ascii="宋体" w:hAnsi="宋体" w:eastAsia="宋体" w:cs="宋体"/>
          <w:sz w:val="24"/>
          <w:szCs w:val="24"/>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u w:val="single"/>
        </w:rPr>
        <w:t>（标的名称）</w:t>
      </w:r>
      <w:r>
        <w:rPr>
          <w:rFonts w:hint="eastAsia" w:ascii="宋体" w:hAnsi="宋体" w:eastAsia="宋体" w:cs="宋体"/>
          <w:color w:val="000000"/>
          <w:kern w:val="0"/>
          <w:sz w:val="24"/>
          <w:szCs w:val="24"/>
        </w:rPr>
        <w:t>，属于</w:t>
      </w:r>
      <w:r>
        <w:rPr>
          <w:rFonts w:hint="eastAsia" w:ascii="宋体" w:hAnsi="宋体" w:eastAsia="宋体" w:cs="宋体"/>
          <w:color w:val="000000"/>
          <w:kern w:val="0"/>
          <w:sz w:val="24"/>
          <w:szCs w:val="24"/>
          <w:u w:val="single"/>
        </w:rPr>
        <w:t>（采购文件中明确的所属行业）</w:t>
      </w:r>
      <w:r>
        <w:rPr>
          <w:rFonts w:hint="eastAsia" w:ascii="宋体" w:hAnsi="宋体" w:eastAsia="宋体" w:cs="宋体"/>
          <w:color w:val="000000"/>
          <w:kern w:val="0"/>
          <w:sz w:val="24"/>
          <w:szCs w:val="24"/>
        </w:rPr>
        <w:t>；承建（承接）企业为</w:t>
      </w:r>
      <w:r>
        <w:rPr>
          <w:rFonts w:hint="eastAsia" w:ascii="宋体" w:hAnsi="宋体" w:eastAsia="宋体" w:cs="宋体"/>
          <w:color w:val="000000"/>
          <w:kern w:val="0"/>
          <w:sz w:val="24"/>
          <w:szCs w:val="24"/>
          <w:u w:val="single"/>
        </w:rPr>
        <w:t>（企业名称）</w:t>
      </w:r>
      <w:r>
        <w:rPr>
          <w:rFonts w:hint="eastAsia" w:ascii="宋体" w:hAnsi="宋体" w:eastAsia="宋体" w:cs="宋体"/>
          <w:color w:val="000000"/>
          <w:kern w:val="0"/>
          <w:sz w:val="24"/>
          <w:szCs w:val="24"/>
        </w:rPr>
        <w:t>，从业人员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人，营业收入为</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万元，资产总额为</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万元，属于</w:t>
      </w:r>
      <w:r>
        <w:rPr>
          <w:rFonts w:hint="eastAsia" w:ascii="宋体" w:hAnsi="宋体" w:eastAsia="宋体" w:cs="宋体"/>
          <w:color w:val="000000"/>
          <w:kern w:val="0"/>
          <w:sz w:val="24"/>
          <w:szCs w:val="24"/>
          <w:u w:val="single"/>
        </w:rPr>
        <w:t>（中型企业、小型企业、微型企业）</w:t>
      </w:r>
      <w:r>
        <w:rPr>
          <w:rFonts w:hint="eastAsia" w:ascii="宋体" w:hAnsi="宋体" w:eastAsia="宋体" w:cs="宋体"/>
          <w:color w:val="000000"/>
          <w:kern w:val="0"/>
          <w:sz w:val="24"/>
          <w:szCs w:val="24"/>
        </w:rPr>
        <w:t xml:space="preserve">； </w:t>
      </w:r>
    </w:p>
    <w:p>
      <w:pPr>
        <w:widowControl/>
        <w:spacing w:line="540" w:lineRule="exact"/>
        <w:ind w:firstLine="480" w:firstLineChars="200"/>
        <w:jc w:val="left"/>
        <w:rPr>
          <w:rFonts w:ascii="宋体" w:hAnsi="宋体" w:eastAsia="宋体" w:cs="宋体"/>
          <w:sz w:val="24"/>
          <w:szCs w:val="24"/>
        </w:rPr>
      </w:pPr>
      <w:r>
        <w:rPr>
          <w:rFonts w:hint="eastAsia" w:ascii="宋体" w:hAnsi="宋体" w:eastAsia="宋体" w:cs="宋体"/>
          <w:color w:val="000000"/>
          <w:kern w:val="0"/>
          <w:sz w:val="24"/>
          <w:szCs w:val="24"/>
        </w:rPr>
        <w:t>……</w:t>
      </w:r>
    </w:p>
    <w:p>
      <w:pPr>
        <w:widowControl/>
        <w:spacing w:line="540" w:lineRule="exact"/>
        <w:ind w:firstLine="480" w:firstLineChars="200"/>
        <w:jc w:val="left"/>
        <w:rPr>
          <w:rFonts w:ascii="宋体" w:hAnsi="宋体" w:eastAsia="宋体" w:cs="宋体"/>
          <w:sz w:val="24"/>
          <w:szCs w:val="24"/>
        </w:rPr>
      </w:pPr>
      <w:r>
        <w:rPr>
          <w:rFonts w:hint="eastAsia" w:ascii="宋体" w:hAnsi="宋体" w:eastAsia="宋体" w:cs="宋体"/>
          <w:color w:val="000000"/>
          <w:kern w:val="0"/>
          <w:sz w:val="24"/>
          <w:szCs w:val="24"/>
        </w:rPr>
        <w:t>以上企业，不属于大企业的分支机构，不存在控股股东为大企业的情形，也不存在与大企业的负责人为同一人的情形。</w:t>
      </w:r>
    </w:p>
    <w:p>
      <w:pPr>
        <w:widowControl/>
        <w:spacing w:line="540" w:lineRule="exact"/>
        <w:ind w:firstLine="480" w:firstLineChars="200"/>
        <w:jc w:val="left"/>
        <w:rPr>
          <w:rFonts w:ascii="宋体" w:hAnsi="宋体" w:eastAsia="宋体" w:cs="宋体"/>
          <w:sz w:val="24"/>
          <w:szCs w:val="24"/>
        </w:rPr>
      </w:pPr>
      <w:r>
        <w:rPr>
          <w:rFonts w:hint="eastAsia" w:ascii="宋体" w:hAnsi="宋体" w:eastAsia="宋体" w:cs="宋体"/>
          <w:color w:val="000000"/>
          <w:kern w:val="0"/>
          <w:sz w:val="24"/>
          <w:szCs w:val="24"/>
        </w:rPr>
        <w:t xml:space="preserve">本企业对上述声明内容的真实性负责。如有虚假，将依法承担相应责任。 </w:t>
      </w:r>
    </w:p>
    <w:p>
      <w:pPr>
        <w:spacing w:line="540" w:lineRule="exact"/>
        <w:rPr>
          <w:sz w:val="24"/>
          <w:szCs w:val="24"/>
        </w:rPr>
      </w:pPr>
    </w:p>
    <w:p>
      <w:pPr>
        <w:widowControl/>
        <w:spacing w:line="540" w:lineRule="exact"/>
        <w:ind w:firstLine="480" w:firstLineChars="200"/>
        <w:jc w:val="left"/>
        <w:rPr>
          <w:rFonts w:ascii="宋体" w:hAnsi="宋体" w:eastAsia="宋体" w:cs="宋体"/>
          <w:sz w:val="24"/>
          <w:szCs w:val="24"/>
        </w:rPr>
      </w:pPr>
      <w:r>
        <w:rPr>
          <w:rFonts w:hint="eastAsia" w:ascii="宋体" w:hAnsi="宋体" w:eastAsia="宋体" w:cs="宋体"/>
          <w:color w:val="000000"/>
          <w:kern w:val="0"/>
          <w:sz w:val="24"/>
          <w:szCs w:val="24"/>
        </w:rPr>
        <w:t xml:space="preserve">企业名称（盖章）： </w:t>
      </w:r>
    </w:p>
    <w:p>
      <w:pPr>
        <w:widowControl/>
        <w:spacing w:line="54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日 期：</w:t>
      </w:r>
    </w:p>
    <w:p>
      <w:pPr>
        <w:spacing w:line="540" w:lineRule="exact"/>
        <w:rPr>
          <w:sz w:val="24"/>
          <w:szCs w:val="24"/>
        </w:rPr>
      </w:pPr>
    </w:p>
    <w:p>
      <w:pPr>
        <w:rPr>
          <w:rFonts w:ascii="宋体" w:hAnsi="宋体" w:eastAsia="宋体" w:cs="宋体"/>
          <w:sz w:val="24"/>
          <w:szCs w:val="24"/>
        </w:rPr>
      </w:pPr>
      <w:r>
        <w:rPr>
          <w:rFonts w:ascii="宋体" w:hAnsi="宋体" w:eastAsia="宋体" w:cs="宋体"/>
          <w:sz w:val="24"/>
          <w:szCs w:val="24"/>
        </w:rPr>
        <w:pict>
          <v:line id="_x0000_s2053" o:spid="_x0000_s2053" o:spt="20" style="position:absolute;left:0pt;flip:y;margin-left:0.7pt;margin-top:10.25pt;height:0.35pt;width:364.1pt;z-index:251663360;mso-width-relative:page;mso-height-relative:page;" coordsize="21600,21600" o:gfxdata="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lbLL9QAAAAHAQAADwAAAAAAAAABACAAAAAiAAAAZHJzL2Rvd25yZXYu&#10;eG1sUEsBAhQAFAAAAAgAh07iQD2YFSz/AQAA1wMAAA4AAAAAAAAAAQAgAAAAIwEAAGRycy9lMm9E&#10;b2MueG1sUEsFBgAAAAAGAAYAWQEAAJQFAAAAAA==&#10;">
            <v:path arrowok="t"/>
            <v:fill focussize="0,0"/>
            <v:stroke weight="0.5pt" joinstyle="miter"/>
            <v:imagedata o:title=""/>
            <o:lock v:ext="edit"/>
          </v:line>
        </w:pict>
      </w:r>
    </w:p>
    <w:p>
      <w:pPr>
        <w:widowControl/>
        <w:jc w:val="left"/>
        <w:rPr>
          <w:rFonts w:ascii="宋体" w:hAnsi="宋体" w:eastAsia="宋体" w:cs="宋体"/>
        </w:rPr>
        <w:sectPr>
          <w:footerReference r:id="rId9" w:type="default"/>
          <w:pgSz w:w="11906" w:h="16838"/>
          <w:pgMar w:top="1440" w:right="1701" w:bottom="1440" w:left="1701" w:header="851" w:footer="624" w:gutter="0"/>
          <w:pgNumType w:fmt="decimal"/>
          <w:cols w:space="425" w:num="1"/>
          <w:rtlGutter w:val="0"/>
          <w:docGrid w:type="linesAndChars" w:linePitch="312" w:charSpace="0"/>
        </w:sectPr>
      </w:pPr>
      <w:r>
        <w:rPr>
          <w:rFonts w:hint="eastAsia" w:ascii="宋体" w:hAnsi="宋体" w:eastAsia="宋体" w:cs="宋体"/>
          <w:color w:val="000000"/>
          <w:kern w:val="0"/>
          <w:sz w:val="18"/>
          <w:szCs w:val="18"/>
        </w:rPr>
        <w:t>注：从业人员、营业收入、资产总额填报上一年度数据，无上一年度数据的新成立企业可不填报。</w:t>
      </w:r>
      <w:r>
        <w:rPr>
          <w:rFonts w:hint="eastAsia" w:ascii="宋体" w:hAnsi="宋体" w:eastAsia="宋体" w:cs="宋体"/>
        </w:rPr>
        <w:br w:type="page"/>
      </w:r>
    </w:p>
    <w:p>
      <w:pPr>
        <w:tabs>
          <w:tab w:val="left" w:pos="2730"/>
        </w:tabs>
      </w:pPr>
    </w:p>
    <w:p>
      <w:pPr>
        <w:tabs>
          <w:tab w:val="left" w:pos="2730"/>
        </w:tabs>
      </w:pPr>
      <w:r>
        <w:tab/>
      </w:r>
    </w:p>
    <w:p>
      <w:pPr>
        <w:spacing w:line="240" w:lineRule="atLeast"/>
        <w:ind w:right="-65" w:rightChars="-31"/>
        <w:jc w:val="center"/>
        <w:rPr>
          <w:rFonts w:ascii="宋体" w:hAnsi="宋体" w:eastAsia="宋体" w:cs="Times New Roman"/>
          <w:b/>
          <w:sz w:val="30"/>
          <w:szCs w:val="30"/>
          <w:lang w:val="zh-CN"/>
        </w:rPr>
      </w:pPr>
      <w:bookmarkStart w:id="122" w:name="_Toc476153619"/>
      <w:r>
        <w:rPr>
          <w:rFonts w:hint="eastAsia" w:ascii="宋体" w:hAnsi="宋体" w:eastAsia="宋体" w:cs="Times New Roman"/>
          <w:b/>
          <w:sz w:val="30"/>
          <w:szCs w:val="30"/>
          <w:lang w:val="zh-CN"/>
        </w:rPr>
        <w:t>中小企业划型标准</w:t>
      </w:r>
      <w:bookmarkEnd w:id="122"/>
    </w:p>
    <w:tbl>
      <w:tblPr>
        <w:tblStyle w:val="24"/>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8" w:leftChars="-23" w:right="-65" w:rightChars="-31"/>
              <w:jc w:val="left"/>
              <w:rPr>
                <w:rFonts w:ascii="宋体" w:hAnsi="宋体" w:eastAsia="宋体" w:cs="宋体"/>
                <w:b/>
                <w:kern w:val="0"/>
                <w:szCs w:val="21"/>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7" w:leftChars="-23" w:right="-65" w:rightChars="-31" w:hanging="165" w:hangingChars="79"/>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bl>
    <w:p>
      <w:pPr>
        <w:rPr>
          <w:rFonts w:ascii="宋体" w:hAnsi="宋体" w:eastAsia="宋体"/>
        </w:rPr>
        <w:sectPr>
          <w:headerReference r:id="rId10" w:type="default"/>
          <w:footerReference r:id="rId11" w:type="default"/>
          <w:pgSz w:w="16838" w:h="11906" w:orient="landscape"/>
          <w:pgMar w:top="1440" w:right="1701" w:bottom="1440" w:left="1701" w:header="851" w:footer="851" w:gutter="0"/>
          <w:pgNumType w:fmt="decimal"/>
          <w:cols w:space="425" w:num="1"/>
          <w:rtlGutter w:val="0"/>
          <w:docGrid w:type="linesAndChars" w:linePitch="312" w:charSpace="0"/>
        </w:sectPr>
      </w:pPr>
      <w:bookmarkStart w:id="123" w:name="_Toc494745321"/>
      <w:bookmarkStart w:id="124" w:name="_Toc494665557"/>
      <w:bookmarkStart w:id="125" w:name="_Toc494702274"/>
      <w:bookmarkStart w:id="126" w:name="_Toc494665004"/>
      <w:bookmarkStart w:id="127" w:name="_Toc494721104"/>
      <w:bookmarkStart w:id="128" w:name="_Toc494665954"/>
    </w:p>
    <w:p>
      <w:pPr>
        <w:pStyle w:val="4"/>
        <w:numPr>
          <w:ilvl w:val="0"/>
          <w:numId w:val="62"/>
        </w:numPr>
        <w:spacing w:before="100" w:beforeAutospacing="1" w:afterLines="50" w:line="360" w:lineRule="auto"/>
        <w:ind w:left="1900" w:leftChars="0" w:hanging="1288" w:firstLineChars="0"/>
        <w:jc w:val="both"/>
        <w:rPr>
          <w:rFonts w:ascii="宋体" w:hAnsi="宋体" w:eastAsia="宋体"/>
          <w:lang w:val="zh-CN"/>
        </w:rPr>
      </w:pPr>
      <w:bookmarkStart w:id="129" w:name="_Toc11148"/>
      <w:r>
        <w:rPr>
          <w:rFonts w:hint="eastAsia" w:ascii="宋体" w:hAnsi="宋体" w:eastAsia="宋体"/>
        </w:rPr>
        <w:t>残疾人福利性单位声明函</w:t>
      </w:r>
      <w:bookmarkEnd w:id="123"/>
      <w:bookmarkEnd w:id="124"/>
      <w:bookmarkEnd w:id="125"/>
      <w:bookmarkEnd w:id="126"/>
      <w:bookmarkEnd w:id="127"/>
      <w:bookmarkEnd w:id="128"/>
      <w:r>
        <w:rPr>
          <w:rFonts w:hint="eastAsia" w:ascii="宋体" w:hAnsi="宋体" w:eastAsia="宋体"/>
        </w:rPr>
        <w:t>（不符合不提供）</w:t>
      </w:r>
      <w:bookmarkEnd w:id="129"/>
    </w:p>
    <w:p>
      <w:pPr>
        <w:adjustRightInd w:val="0"/>
        <w:snapToGrid w:val="0"/>
        <w:spacing w:beforeLines="100"/>
        <w:jc w:val="center"/>
        <w:rPr>
          <w:rFonts w:ascii="宋体" w:hAnsi="宋体" w:eastAsia="宋体" w:cs="Times New Roman"/>
          <w:b/>
          <w:sz w:val="30"/>
          <w:szCs w:val="30"/>
          <w:lang w:val="zh-CN"/>
        </w:rPr>
      </w:pPr>
      <w:r>
        <w:rPr>
          <w:rFonts w:hint="eastAsia" w:ascii="宋体" w:hAnsi="宋体" w:eastAsia="宋体" w:cs="Times New Roman"/>
          <w:b/>
          <w:sz w:val="30"/>
          <w:szCs w:val="30"/>
          <w:lang w:val="zh-CN"/>
        </w:rPr>
        <w:t>残疾人福利性单位声明函</w:t>
      </w:r>
    </w:p>
    <w:p>
      <w:pPr>
        <w:adjustRightInd w:val="0"/>
        <w:snapToGrid w:val="0"/>
        <w:spacing w:beforeLines="50" w:afterLines="50"/>
        <w:jc w:val="center"/>
        <w:rPr>
          <w:rFonts w:ascii="宋体" w:hAnsi="Courier New" w:eastAsia="宋体" w:cs="Times New Roman"/>
          <w:sz w:val="24"/>
          <w:szCs w:val="21"/>
          <w:lang w:val="zh-CN"/>
        </w:rPr>
      </w:pPr>
      <w:r>
        <w:rPr>
          <w:rFonts w:hint="eastAsia" w:ascii="宋体" w:hAnsi="Courier New" w:eastAsia="宋体" w:cs="Times New Roman"/>
          <w:sz w:val="24"/>
          <w:szCs w:val="21"/>
          <w:lang w:val="zh-CN"/>
        </w:rPr>
        <w:t>（适用于工程类、服务类项目）</w:t>
      </w:r>
    </w:p>
    <w:p>
      <w:pPr>
        <w:spacing w:line="360" w:lineRule="auto"/>
        <w:rPr>
          <w:b/>
          <w:sz w:val="28"/>
          <w:szCs w:val="28"/>
        </w:rPr>
      </w:pPr>
      <w:r>
        <w:rPr>
          <w:rFonts w:hint="eastAsia"/>
          <w:b/>
          <w:sz w:val="28"/>
          <w:szCs w:val="28"/>
        </w:rPr>
        <w:t>采购人</w:t>
      </w:r>
      <w:r>
        <w:rPr>
          <w:rFonts w:hint="eastAsia"/>
          <w:b/>
          <w:color w:val="FF0000"/>
          <w:sz w:val="28"/>
          <w:szCs w:val="28"/>
        </w:rPr>
        <w:t>（或采购代理公司）</w:t>
      </w:r>
      <w:r>
        <w:rPr>
          <w:rFonts w:hint="eastAsia"/>
          <w:b/>
          <w:sz w:val="28"/>
          <w:szCs w:val="28"/>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本单位郑重声明，根据《财政</w:t>
      </w:r>
      <w:r>
        <w:rPr>
          <w:rFonts w:hint="eastAsia" w:ascii="宋体" w:hAnsi="宋体" w:eastAsia="宋体" w:cs="Times New Roman"/>
          <w:color w:val="0C0C0C" w:themeColor="text1" w:themeTint="F2"/>
          <w:sz w:val="24"/>
          <w:szCs w:val="24"/>
        </w:rPr>
        <w:t>部 民政部 中国残疾人联合会关于促进残疾人就业政府采购政策的通知》（财库〔2017〕141号）的规定，本单位为符合条件的残疾人福利性单位</w:t>
      </w:r>
      <w:r>
        <w:rPr>
          <w:rFonts w:hint="eastAsia" w:hAnsi="宋体"/>
          <w:color w:val="0C0C0C" w:themeColor="text1" w:themeTint="F2"/>
          <w:sz w:val="24"/>
        </w:rPr>
        <w:t>（详见“残疾人福利性单位应当满足的条件”）</w:t>
      </w:r>
      <w:r>
        <w:rPr>
          <w:rFonts w:hint="eastAsia" w:ascii="宋体" w:hAnsi="宋体" w:eastAsia="宋体" w:cs="Times New Roman"/>
          <w:color w:val="0C0C0C" w:themeColor="text1" w:themeTint="F2"/>
          <w:sz w:val="24"/>
          <w:szCs w:val="24"/>
        </w:rPr>
        <w:t>，</w:t>
      </w:r>
      <w:r>
        <w:rPr>
          <w:rFonts w:hint="eastAsia" w:ascii="宋体" w:hAnsi="宋体" w:eastAsia="宋体" w:cs="Times New Roman"/>
          <w:sz w:val="24"/>
          <w:szCs w:val="24"/>
        </w:rPr>
        <w:t>且本单位参加</w:t>
      </w:r>
      <w:r>
        <w:rPr>
          <w:rFonts w:hint="eastAsia" w:ascii="宋体" w:hAnsi="宋体" w:eastAsia="宋体" w:cs="Times New Roman"/>
          <w:sz w:val="24"/>
          <w:szCs w:val="24"/>
          <w:u w:val="single"/>
        </w:rPr>
        <w:t xml:space="preserve">  （</w:t>
      </w:r>
      <w:r>
        <w:rPr>
          <w:rFonts w:hint="eastAsia" w:ascii="Times New Roman" w:hAnsi="宋体" w:eastAsia="宋体" w:cs="Times New Roman"/>
          <w:sz w:val="24"/>
          <w:szCs w:val="24"/>
          <w:u w:val="single"/>
        </w:rPr>
        <w:t>采购</w:t>
      </w:r>
      <w:r>
        <w:rPr>
          <w:rFonts w:hint="eastAsia" w:ascii="宋体" w:hAnsi="宋体" w:eastAsia="宋体" w:cs="Times New Roman"/>
          <w:sz w:val="24"/>
          <w:szCs w:val="24"/>
          <w:u w:val="single"/>
        </w:rPr>
        <w:t>人）</w:t>
      </w:r>
      <w:r>
        <w:rPr>
          <w:rFonts w:hint="eastAsia" w:ascii="Times New Roman" w:hAnsi="宋体" w:eastAsia="宋体" w:cs="Times New Roman"/>
          <w:sz w:val="24"/>
          <w:szCs w:val="24"/>
        </w:rPr>
        <w:t>的</w:t>
      </w:r>
      <w:r>
        <w:rPr>
          <w:rFonts w:hint="eastAsia" w:cs="Times New Roman" w:asciiTheme="minorEastAsia" w:hAnsiTheme="minorEastAsia"/>
          <w:sz w:val="24"/>
          <w:szCs w:val="24"/>
          <w:u w:val="single"/>
        </w:rPr>
        <w:t>__   _</w:t>
      </w:r>
      <w:r>
        <w:rPr>
          <w:rFonts w:hint="eastAsia" w:ascii="Times New Roman" w:hAnsi="宋体" w:eastAsia="宋体" w:cs="Times New Roman"/>
          <w:sz w:val="24"/>
          <w:szCs w:val="24"/>
        </w:rPr>
        <w:t>项目（项目编号：______）</w:t>
      </w:r>
      <w:r>
        <w:rPr>
          <w:rFonts w:hint="eastAsia" w:ascii="宋体" w:hAnsi="宋体" w:eastAsia="宋体" w:cs="Times New Roman"/>
          <w:sz w:val="24"/>
          <w:szCs w:val="24"/>
        </w:rPr>
        <w:t>采购活动由本单位承担工程（或提供服务）。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本单位对上述声明的真实性负责。如有虚假，将依法承担相应责任。</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ind w:left="1080" w:hanging="1080" w:hangingChars="450"/>
        <w:jc w:val="left"/>
        <w:rPr>
          <w:rFonts w:ascii="宋体" w:hAnsi="宋体" w:cs="Courier New"/>
          <w:color w:val="0C0C0C" w:themeColor="text1" w:themeTint="F2"/>
          <w:sz w:val="24"/>
          <w:szCs w:val="21"/>
        </w:rPr>
      </w:pPr>
      <w:r>
        <w:rPr>
          <w:rFonts w:hint="eastAsia" w:ascii="宋体" w:hAnsi="宋体" w:cs="Courier New"/>
          <w:color w:val="0C0C0C" w:themeColor="text1" w:themeTint="F2"/>
          <w:sz w:val="24"/>
          <w:szCs w:val="21"/>
        </w:rPr>
        <w:t>说明：1、组成联合体的大中型企业和其他自然人、法人或者其他组织，与残疾人福利性单位之间不得存在投资关系。</w:t>
      </w:r>
    </w:p>
    <w:p>
      <w:pPr>
        <w:spacing w:line="360" w:lineRule="auto"/>
        <w:ind w:left="1078" w:leftChars="342" w:hanging="360" w:hangingChars="150"/>
        <w:jc w:val="left"/>
        <w:rPr>
          <w:rFonts w:ascii="宋体" w:hAnsi="宋体" w:eastAsia="宋体" w:cs="Times New Roman"/>
          <w:color w:val="0C0C0C" w:themeColor="text1" w:themeTint="F2"/>
          <w:sz w:val="24"/>
          <w:szCs w:val="24"/>
        </w:rPr>
      </w:pPr>
      <w:r>
        <w:rPr>
          <w:rFonts w:hint="eastAsia" w:ascii="宋体" w:hAnsi="宋体" w:cs="Courier New"/>
          <w:color w:val="0C0C0C" w:themeColor="text1" w:themeTint="F2"/>
          <w:sz w:val="24"/>
          <w:szCs w:val="21"/>
        </w:rPr>
        <w:t>2、以联合体方式参与本项目投标的供应商，应由联合体双方签字盖章。</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制造商（公章）：</w:t>
      </w: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投标人授权代表（签字）：</w:t>
      </w:r>
    </w:p>
    <w:p>
      <w:pPr>
        <w:spacing w:before="100" w:beforeAutospacing="1" w:after="100" w:afterAutospacing="1" w:line="360" w:lineRule="auto"/>
        <w:ind w:firstLine="3316" w:firstLineChars="1382"/>
        <w:rPr>
          <w:rFonts w:ascii="Times New Roman" w:hAnsi="宋体" w:eastAsia="宋体" w:cs="Times New Roman"/>
          <w:bCs/>
          <w:sz w:val="24"/>
          <w:szCs w:val="24"/>
          <w:u w:val="single"/>
        </w:rPr>
      </w:pPr>
      <w:r>
        <w:rPr>
          <w:rFonts w:hint="eastAsia" w:ascii="Times New Roman" w:hAnsi="宋体" w:eastAsia="宋体" w:cs="Times New Roman"/>
          <w:b/>
          <w:sz w:val="24"/>
          <w:szCs w:val="24"/>
        </w:rPr>
        <w:t>日   期：</w:t>
      </w:r>
    </w:p>
    <w:p>
      <w:r>
        <w:br w:type="page"/>
      </w:r>
    </w:p>
    <w:p>
      <w:pPr>
        <w:spacing w:line="60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享受政府采购支持政策的残疾人福利性单位应当同时满足以下条件：</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（一）安置的残疾人占本单位在职职工人数的比例不低于25%（含25%），并且安置的残疾人人数不少于10人（含10人）；</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（二）依法与安置的每位残疾人签订了一年以上（含一年）的劳动合同或服务协议；</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（三）为安置的每位残疾人按月足额缴纳了基本养老保险、基本医疗保险、失业保险、工伤保险和生育保险等社会保险费；</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（四）通过银行等金融机构向安置的每位残疾人，按月支付了不低于单位所在区县适用的经省级人民政府批准的月最低工资标准的工资；</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（五）提供本单位制造的货物、承担的工程或者服务（以下简称产品），或者提供其他残疾人福利性单位制造的货物（不包括使用非残疾人福利性单位注册商标的货物）。</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
      <w:r>
        <w:br w:type="page"/>
      </w:r>
    </w:p>
    <w:p>
      <w:pPr>
        <w:pStyle w:val="4"/>
        <w:numPr>
          <w:ilvl w:val="0"/>
          <w:numId w:val="62"/>
        </w:numPr>
        <w:spacing w:before="100" w:beforeAutospacing="1" w:afterLines="50" w:line="360" w:lineRule="auto"/>
        <w:ind w:left="3388" w:hanging="1288"/>
        <w:rPr>
          <w:rFonts w:ascii="宋体" w:hAnsi="宋体" w:eastAsia="宋体"/>
        </w:rPr>
      </w:pPr>
      <w:bookmarkStart w:id="130" w:name="_Toc494665955"/>
      <w:bookmarkStart w:id="131" w:name="_Toc494577410"/>
      <w:bookmarkStart w:id="132" w:name="_Toc9316"/>
      <w:bookmarkStart w:id="133" w:name="_Toc494721105"/>
      <w:bookmarkStart w:id="134" w:name="_Toc494702275"/>
      <w:bookmarkStart w:id="135" w:name="_Toc494745322"/>
      <w:bookmarkStart w:id="136" w:name="_Toc494665005"/>
      <w:bookmarkStart w:id="137" w:name="_Toc494665558"/>
      <w:r>
        <w:rPr>
          <w:rFonts w:hint="eastAsia" w:ascii="宋体" w:hAnsi="宋体" w:eastAsia="宋体"/>
        </w:rPr>
        <w:t>开标一览表</w:t>
      </w:r>
      <w:bookmarkEnd w:id="130"/>
      <w:bookmarkEnd w:id="131"/>
      <w:bookmarkEnd w:id="132"/>
      <w:bookmarkEnd w:id="133"/>
      <w:bookmarkEnd w:id="134"/>
      <w:bookmarkEnd w:id="135"/>
      <w:bookmarkEnd w:id="136"/>
      <w:bookmarkEnd w:id="137"/>
    </w:p>
    <w:p>
      <w:pPr>
        <w:spacing w:line="360" w:lineRule="auto"/>
        <w:jc w:val="left"/>
        <w:rPr>
          <w:rFonts w:ascii="宋体" w:hAnsi="宋体" w:eastAsia="宋体" w:cs="Times New Roman"/>
          <w:b/>
          <w:sz w:val="24"/>
          <w:szCs w:val="21"/>
          <w:u w:val="single"/>
          <w:lang w:val="zh-CN"/>
        </w:rPr>
      </w:pPr>
      <w:r>
        <w:rPr>
          <w:rFonts w:hint="eastAsia" w:ascii="宋体" w:hAnsi="宋体" w:eastAsia="宋体" w:cs="Times New Roman"/>
          <w:b/>
          <w:sz w:val="24"/>
          <w:szCs w:val="21"/>
          <w:lang w:val="zh-CN"/>
        </w:rPr>
        <w:t>投 标 人：</w:t>
      </w:r>
    </w:p>
    <w:p>
      <w:pPr>
        <w:spacing w:line="360" w:lineRule="auto"/>
        <w:jc w:val="left"/>
        <w:rPr>
          <w:rFonts w:ascii="宋体" w:hAnsi="宋体" w:eastAsia="宋体" w:cs="Times New Roman"/>
          <w:b/>
          <w:sz w:val="24"/>
          <w:szCs w:val="21"/>
          <w:lang w:val="zh-CN"/>
        </w:rPr>
      </w:pPr>
      <w:r>
        <w:rPr>
          <w:rFonts w:hint="eastAsia" w:ascii="宋体" w:hAnsi="宋体" w:eastAsia="宋体" w:cs="Times New Roman"/>
          <w:b/>
          <w:sz w:val="24"/>
          <w:szCs w:val="21"/>
          <w:lang w:val="zh-CN"/>
        </w:rPr>
        <w:t>项目名称：</w:t>
      </w:r>
    </w:p>
    <w:p>
      <w:pPr>
        <w:spacing w:line="360" w:lineRule="auto"/>
        <w:jc w:val="left"/>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 xml:space="preserve">             </w:t>
      </w:r>
    </w:p>
    <w:tbl>
      <w:tblPr>
        <w:tblStyle w:val="24"/>
        <w:tblpPr w:leftFromText="180" w:rightFromText="180" w:vertAnchor="page" w:horzAnchor="page" w:tblpX="1087" w:tblpY="3496"/>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6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124" w:type="dxa"/>
            <w:vAlign w:val="center"/>
          </w:tcPr>
          <w:p>
            <w:pPr>
              <w:jc w:val="center"/>
              <w:rPr>
                <w:rFonts w:ascii="宋体"/>
                <w:szCs w:val="21"/>
              </w:rPr>
            </w:pPr>
            <w:r>
              <w:rPr>
                <w:rFonts w:hint="eastAsia" w:ascii="宋体" w:hAnsi="宋体"/>
                <w:szCs w:val="21"/>
              </w:rPr>
              <w:t>投标人</w:t>
            </w:r>
          </w:p>
        </w:tc>
        <w:tc>
          <w:tcPr>
            <w:tcW w:w="6260"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124" w:type="dxa"/>
            <w:vAlign w:val="center"/>
          </w:tcPr>
          <w:p>
            <w:pPr>
              <w:jc w:val="center"/>
              <w:rPr>
                <w:rFonts w:ascii="宋体"/>
                <w:szCs w:val="21"/>
              </w:rPr>
            </w:pPr>
            <w:r>
              <w:rPr>
                <w:rFonts w:hint="eastAsia" w:ascii="宋体" w:hAnsi="宋体"/>
                <w:szCs w:val="21"/>
              </w:rPr>
              <w:t>项目负责人</w:t>
            </w:r>
          </w:p>
        </w:tc>
        <w:tc>
          <w:tcPr>
            <w:tcW w:w="6260"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124" w:type="dxa"/>
            <w:vAlign w:val="center"/>
          </w:tcPr>
          <w:p>
            <w:pPr>
              <w:jc w:val="center"/>
              <w:rPr>
                <w:rFonts w:ascii="宋体"/>
                <w:szCs w:val="21"/>
              </w:rPr>
            </w:pPr>
            <w:r>
              <w:rPr>
                <w:rFonts w:hint="eastAsia" w:ascii="宋体" w:hAnsi="宋体"/>
                <w:szCs w:val="21"/>
              </w:rPr>
              <w:t>投标总报价</w:t>
            </w:r>
          </w:p>
        </w:tc>
        <w:tc>
          <w:tcPr>
            <w:tcW w:w="6260" w:type="dxa"/>
            <w:vAlign w:val="center"/>
          </w:tcPr>
          <w:p>
            <w:pPr>
              <w:rPr>
                <w:rFonts w:ascii="宋体"/>
                <w:szCs w:val="21"/>
              </w:rPr>
            </w:pPr>
            <w:r>
              <w:rPr>
                <w:rFonts w:hint="eastAsia" w:ascii="宋体" w:hAnsi="宋体"/>
                <w:szCs w:val="21"/>
              </w:rPr>
              <w:t>小写：</w:t>
            </w:r>
            <w:r>
              <w:rPr>
                <w:rFonts w:ascii="宋体" w:hAnsi="宋体"/>
                <w:szCs w:val="21"/>
                <w:u w:val="single"/>
              </w:rPr>
              <w:t xml:space="preserve">           </w:t>
            </w:r>
            <w:r>
              <w:rPr>
                <w:rFonts w:hint="eastAsia" w:ascii="宋体" w:hAnsi="宋体"/>
                <w:szCs w:val="21"/>
              </w:rPr>
              <w:t>万元</w:t>
            </w:r>
          </w:p>
          <w:p>
            <w:pPr>
              <w:rPr>
                <w:rFonts w:ascii="宋体"/>
                <w:szCs w:val="21"/>
              </w:rPr>
            </w:pPr>
          </w:p>
          <w:p>
            <w:pPr>
              <w:rPr>
                <w:rFonts w:ascii="宋体"/>
                <w:szCs w:val="21"/>
                <w:u w:val="single"/>
              </w:rPr>
            </w:pPr>
            <w:r>
              <w:rPr>
                <w:rFonts w:hint="eastAsia" w:ascii="宋体" w:hAnsi="宋体"/>
                <w:szCs w:val="21"/>
              </w:rPr>
              <w:t>大写：</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3124" w:type="dxa"/>
            <w:vAlign w:val="center"/>
          </w:tcPr>
          <w:p>
            <w:pPr>
              <w:jc w:val="center"/>
              <w:rPr>
                <w:rFonts w:hint="eastAsia" w:ascii="宋体" w:eastAsiaTheme="minorEastAsia"/>
                <w:szCs w:val="21"/>
                <w:lang w:eastAsia="zh-CN"/>
              </w:rPr>
            </w:pPr>
            <w:r>
              <w:rPr>
                <w:rFonts w:hint="eastAsia" w:ascii="宋体" w:hAnsi="宋体"/>
                <w:szCs w:val="21"/>
              </w:rPr>
              <w:t>服务期</w:t>
            </w:r>
          </w:p>
        </w:tc>
        <w:tc>
          <w:tcPr>
            <w:tcW w:w="626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3124" w:type="dxa"/>
            <w:vAlign w:val="center"/>
          </w:tcPr>
          <w:p>
            <w:pPr>
              <w:jc w:val="center"/>
              <w:rPr>
                <w:rFonts w:hint="eastAsia" w:ascii="宋体" w:eastAsiaTheme="minorEastAsia"/>
                <w:szCs w:val="21"/>
                <w:lang w:val="en-US" w:eastAsia="zh-CN"/>
              </w:rPr>
            </w:pPr>
            <w:r>
              <w:rPr>
                <w:rFonts w:hint="eastAsia" w:ascii="宋体"/>
                <w:szCs w:val="21"/>
                <w:lang w:val="en-US" w:eastAsia="zh-CN"/>
              </w:rPr>
              <w:t>备注</w:t>
            </w:r>
          </w:p>
        </w:tc>
        <w:tc>
          <w:tcPr>
            <w:tcW w:w="6260" w:type="dxa"/>
            <w:vAlign w:val="center"/>
          </w:tcPr>
          <w:p>
            <w:pPr>
              <w:ind w:firstLine="840" w:firstLineChars="400"/>
              <w:rPr>
                <w:rFonts w:ascii="宋体"/>
                <w:szCs w:val="21"/>
              </w:rPr>
            </w:pPr>
          </w:p>
        </w:tc>
      </w:tr>
    </w:tbl>
    <w:p>
      <w:pPr>
        <w:spacing w:line="360" w:lineRule="auto"/>
        <w:jc w:val="left"/>
        <w:rPr>
          <w:rFonts w:ascii="宋体" w:hAnsi="宋体"/>
          <w:sz w:val="24"/>
        </w:rPr>
      </w:pPr>
    </w:p>
    <w:p>
      <w:pPr>
        <w:spacing w:line="360" w:lineRule="auto"/>
        <w:jc w:val="left"/>
        <w:rPr>
          <w:rFonts w:ascii="宋体" w:hAnsi="宋体" w:eastAsia="宋体" w:cs="Times New Roman"/>
          <w:sz w:val="24"/>
          <w:szCs w:val="24"/>
        </w:rPr>
      </w:pPr>
      <w:r>
        <w:rPr>
          <w:rFonts w:hint="eastAsia" w:ascii="宋体" w:hAnsi="宋体"/>
          <w:sz w:val="24"/>
        </w:rPr>
        <w:t>说明：1．</w:t>
      </w:r>
      <w:r>
        <w:rPr>
          <w:rFonts w:hint="eastAsia" w:ascii="宋体" w:hAnsi="宋体" w:eastAsia="宋体" w:cs="Times New Roman"/>
          <w:sz w:val="24"/>
          <w:szCs w:val="24"/>
        </w:rPr>
        <w:t>价格应按照招标文件第二章“投标人须知”中第12条要求进行报价。</w:t>
      </w:r>
    </w:p>
    <w:p>
      <w:pPr>
        <w:spacing w:line="360" w:lineRule="auto"/>
        <w:ind w:left="1061" w:leftChars="339" w:hanging="350" w:hangingChars="146"/>
        <w:jc w:val="left"/>
        <w:rPr>
          <w:rFonts w:ascii="宋体" w:hAnsi="宋体" w:eastAsia="宋体" w:cs="Times New Roman"/>
          <w:b/>
          <w:sz w:val="24"/>
          <w:szCs w:val="24"/>
        </w:rPr>
      </w:pPr>
      <w:r>
        <w:rPr>
          <w:rFonts w:hint="eastAsia" w:ascii="宋体" w:hAnsi="宋体" w:eastAsia="宋体" w:cs="Times New Roman"/>
          <w:sz w:val="24"/>
          <w:szCs w:val="24"/>
        </w:rPr>
        <w:t>2．为方便开标时唱标，投标人应另附《开标一览表》</w:t>
      </w:r>
      <w:r>
        <w:rPr>
          <w:rFonts w:hint="eastAsia" w:ascii="宋体" w:hAnsi="宋体" w:eastAsia="宋体" w:cs="Times New Roman"/>
          <w:spacing w:val="-6"/>
          <w:kern w:val="0"/>
          <w:sz w:val="24"/>
          <w:szCs w:val="24"/>
        </w:rPr>
        <w:t>装入一个信封，单独密封提交</w:t>
      </w:r>
      <w:r>
        <w:rPr>
          <w:rFonts w:hint="eastAsia" w:ascii="宋体" w:hAnsi="宋体" w:eastAsia="宋体" w:cs="Times New Roman"/>
          <w:sz w:val="24"/>
          <w:szCs w:val="24"/>
        </w:rPr>
        <w:t>，并在信封上标明“开标一览表”字样。未单独提交或单独提交的上述资料未按照招标文件规定的格式填写完整并签字、盖章</w:t>
      </w:r>
      <w:r>
        <w:rPr>
          <w:rFonts w:hint="eastAsia" w:ascii="宋体" w:hAnsi="宋体" w:eastAsia="宋体" w:cs="Times New Roman"/>
          <w:sz w:val="24"/>
          <w:szCs w:val="20"/>
          <w:lang w:val="zh-CN"/>
        </w:rPr>
        <w:t>的采购机构</w:t>
      </w:r>
      <w:r>
        <w:rPr>
          <w:rFonts w:hint="eastAsia" w:ascii="宋体" w:hAnsi="宋体" w:eastAsia="宋体" w:cs="Times New Roman"/>
          <w:b/>
          <w:sz w:val="24"/>
          <w:szCs w:val="20"/>
          <w:lang w:val="zh-CN"/>
        </w:rPr>
        <w:t>拒绝</w:t>
      </w:r>
      <w:r>
        <w:rPr>
          <w:rFonts w:hint="eastAsia" w:ascii="宋体" w:hAnsi="宋体" w:eastAsia="宋体" w:cs="Times New Roman"/>
          <w:sz w:val="24"/>
          <w:szCs w:val="20"/>
          <w:lang w:val="zh-CN"/>
        </w:rPr>
        <w:t>其投标。</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3. 本表应按要求由投标人法人授权代表签字，并加盖投标单位公章，否则将被视为非响应性投标，将按照</w:t>
      </w:r>
      <w:r>
        <w:rPr>
          <w:rFonts w:hint="eastAsia" w:ascii="宋体" w:hAnsi="宋体" w:eastAsia="宋体" w:cs="Times New Roman"/>
          <w:b/>
          <w:sz w:val="24"/>
          <w:szCs w:val="24"/>
        </w:rPr>
        <w:t>无效投标处理</w:t>
      </w:r>
      <w:r>
        <w:rPr>
          <w:rFonts w:hint="eastAsia" w:ascii="宋体" w:hAnsi="宋体" w:eastAsia="宋体" w:cs="Times New Roman"/>
          <w:sz w:val="24"/>
          <w:szCs w:val="24"/>
        </w:rPr>
        <w:t>。</w:t>
      </w: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投标人（公章）：</w:t>
      </w: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投标人授权代表（签字）：</w:t>
      </w: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投标时间：</w:t>
      </w:r>
    </w:p>
    <w:p>
      <w:pPr>
        <w:rPr>
          <w:lang w:val="zh-CN"/>
        </w:rPr>
      </w:pPr>
      <w:r>
        <w:rPr>
          <w:rFonts w:hint="eastAsia" w:ascii="宋体" w:hAnsi="宋体" w:eastAsia="宋体" w:cs="Times New Roman"/>
          <w:b/>
          <w:bCs/>
          <w:sz w:val="24"/>
          <w:szCs w:val="21"/>
          <w:lang w:val="zh-CN"/>
        </w:rPr>
        <w:br w:type="page"/>
      </w:r>
    </w:p>
    <w:p>
      <w:pPr>
        <w:pStyle w:val="4"/>
        <w:numPr>
          <w:ilvl w:val="0"/>
          <w:numId w:val="62"/>
        </w:numPr>
        <w:spacing w:before="100" w:beforeAutospacing="1" w:afterLines="50" w:line="360" w:lineRule="auto"/>
        <w:ind w:left="1288" w:hanging="1288"/>
        <w:jc w:val="center"/>
        <w:rPr>
          <w:rFonts w:ascii="宋体" w:hAnsi="宋体" w:eastAsia="宋体" w:cs="宋体"/>
        </w:rPr>
      </w:pPr>
      <w:bookmarkStart w:id="138" w:name="_Toc494702276"/>
      <w:bookmarkStart w:id="139" w:name="_Toc494665559"/>
      <w:bookmarkStart w:id="140" w:name="_Toc14948"/>
      <w:bookmarkStart w:id="141" w:name="_Toc494721106"/>
      <w:bookmarkStart w:id="142" w:name="_Toc494745323"/>
      <w:bookmarkStart w:id="143" w:name="_Toc494577411"/>
      <w:bookmarkStart w:id="144" w:name="_Toc22656"/>
      <w:bookmarkStart w:id="145" w:name="_Toc494665956"/>
      <w:bookmarkStart w:id="146" w:name="_Toc494665006"/>
      <w:r>
        <w:rPr>
          <w:rFonts w:hint="eastAsia" w:ascii="宋体" w:hAnsi="宋体" w:eastAsia="宋体" w:cs="宋体"/>
        </w:rPr>
        <w:t>投标报价明细表</w:t>
      </w:r>
      <w:bookmarkEnd w:id="138"/>
      <w:bookmarkEnd w:id="139"/>
      <w:bookmarkEnd w:id="140"/>
      <w:bookmarkEnd w:id="141"/>
      <w:bookmarkEnd w:id="142"/>
      <w:bookmarkEnd w:id="143"/>
      <w:bookmarkEnd w:id="144"/>
      <w:bookmarkEnd w:id="145"/>
      <w:bookmarkEnd w:id="146"/>
    </w:p>
    <w:p>
      <w:pPr>
        <w:spacing w:line="360" w:lineRule="auto"/>
        <w:jc w:val="left"/>
        <w:rPr>
          <w:rFonts w:ascii="宋体" w:hAnsi="宋体" w:eastAsia="宋体" w:cs="宋体"/>
          <w:b/>
          <w:sz w:val="24"/>
          <w:szCs w:val="21"/>
          <w:u w:val="single"/>
          <w:lang w:val="zh-CN"/>
        </w:rPr>
      </w:pPr>
      <w:r>
        <w:rPr>
          <w:rFonts w:hint="eastAsia" w:ascii="宋体" w:hAnsi="宋体" w:eastAsia="宋体" w:cs="宋体"/>
          <w:b/>
          <w:sz w:val="24"/>
          <w:szCs w:val="21"/>
          <w:lang w:val="zh-CN"/>
        </w:rPr>
        <w:t>投 标 人：</w:t>
      </w:r>
      <w:r>
        <w:rPr>
          <w:rFonts w:hint="eastAsia" w:ascii="宋体" w:hAnsi="宋体" w:eastAsia="宋体" w:cs="宋体"/>
          <w:b/>
          <w:sz w:val="24"/>
          <w:szCs w:val="21"/>
          <w:u w:val="single"/>
          <w:lang w:val="zh-CN"/>
        </w:rPr>
        <w:t xml:space="preserve">                     </w:t>
      </w:r>
    </w:p>
    <w:p>
      <w:pPr>
        <w:spacing w:line="360" w:lineRule="auto"/>
        <w:jc w:val="left"/>
        <w:rPr>
          <w:rFonts w:ascii="宋体" w:hAnsi="宋体" w:eastAsia="宋体" w:cs="宋体"/>
          <w:b/>
          <w:sz w:val="24"/>
          <w:szCs w:val="21"/>
          <w:lang w:val="zh-CN"/>
        </w:rPr>
      </w:pPr>
      <w:r>
        <w:rPr>
          <w:rFonts w:hint="eastAsia" w:ascii="宋体" w:hAnsi="宋体" w:eastAsia="宋体" w:cs="宋体"/>
          <w:b/>
          <w:sz w:val="24"/>
          <w:szCs w:val="21"/>
          <w:lang w:val="zh-CN"/>
        </w:rPr>
        <w:t>项目名称：</w:t>
      </w:r>
      <w:r>
        <w:rPr>
          <w:rFonts w:hint="eastAsia" w:ascii="宋体" w:hAnsi="宋体" w:eastAsia="宋体" w:cs="宋体"/>
          <w:b/>
          <w:sz w:val="24"/>
          <w:szCs w:val="21"/>
          <w:u w:val="single"/>
          <w:lang w:val="zh-CN"/>
        </w:rPr>
        <w:t xml:space="preserve">                     </w:t>
      </w:r>
    </w:p>
    <w:p>
      <w:pPr>
        <w:spacing w:line="360" w:lineRule="auto"/>
        <w:jc w:val="left"/>
        <w:rPr>
          <w:rFonts w:ascii="宋体" w:hAnsi="宋体" w:eastAsia="宋体" w:cs="宋体"/>
          <w:b/>
          <w:sz w:val="24"/>
          <w:szCs w:val="21"/>
          <w:u w:val="single"/>
          <w:lang w:val="zh-CN"/>
        </w:rPr>
      </w:pPr>
      <w:r>
        <w:rPr>
          <w:rFonts w:hint="eastAsia" w:ascii="宋体" w:hAnsi="宋体" w:eastAsia="宋体" w:cs="宋体"/>
          <w:b/>
          <w:sz w:val="24"/>
          <w:szCs w:val="21"/>
          <w:lang w:val="zh-CN"/>
        </w:rPr>
        <w:t>项目编号：</w:t>
      </w:r>
      <w:r>
        <w:rPr>
          <w:rFonts w:hint="eastAsia" w:ascii="宋体" w:hAnsi="宋体" w:eastAsia="宋体" w:cs="宋体"/>
          <w:b/>
          <w:sz w:val="24"/>
          <w:szCs w:val="21"/>
          <w:u w:val="single"/>
          <w:lang w:val="zh-CN"/>
        </w:rPr>
        <w:t xml:space="preserve">                     </w:t>
      </w:r>
      <w:r>
        <w:rPr>
          <w:rFonts w:hint="eastAsia" w:ascii="宋体" w:hAnsi="宋体" w:eastAsia="宋体" w:cs="宋体"/>
          <w:b/>
          <w:sz w:val="24"/>
          <w:szCs w:val="21"/>
          <w:lang w:val="zh-CN"/>
        </w:rPr>
        <w:t xml:space="preserve">     </w:t>
      </w:r>
      <w:r>
        <w:rPr>
          <w:rFonts w:hint="eastAsia" w:ascii="宋体" w:hAnsi="宋体" w:eastAsia="宋体" w:cs="宋体"/>
          <w:b/>
          <w:bCs/>
          <w:sz w:val="24"/>
          <w:szCs w:val="21"/>
          <w:lang w:val="zh-CN"/>
        </w:rPr>
        <w:t xml:space="preserve">                所投包号：</w:t>
      </w:r>
      <w:r>
        <w:rPr>
          <w:rFonts w:hint="eastAsia" w:ascii="宋体" w:hAnsi="宋体" w:eastAsia="宋体" w:cs="宋体"/>
          <w:b/>
          <w:bCs/>
          <w:sz w:val="24"/>
          <w:szCs w:val="21"/>
          <w:u w:val="single"/>
          <w:lang w:val="zh-CN"/>
        </w:rPr>
        <w:t xml:space="preserve">           </w:t>
      </w:r>
    </w:p>
    <w:tbl>
      <w:tblPr>
        <w:tblStyle w:val="24"/>
        <w:tblW w:w="79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5"/>
        <w:gridCol w:w="64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9" w:hRule="atLeast"/>
          <w:jc w:val="center"/>
        </w:trPr>
        <w:tc>
          <w:tcPr>
            <w:tcW w:w="1485" w:type="dxa"/>
            <w:tcBorders>
              <w:top w:val="single" w:color="auto" w:sz="4" w:space="0"/>
              <w:bottom w:val="single" w:color="auto" w:sz="4" w:space="0"/>
              <w:right w:val="single" w:color="auto" w:sz="4" w:space="0"/>
            </w:tcBorders>
            <w:vAlign w:val="center"/>
          </w:tcPr>
          <w:p>
            <w:pPr>
              <w:spacing w:line="380" w:lineRule="exact"/>
              <w:jc w:val="center"/>
              <w:rPr>
                <w:rFonts w:ascii="宋体"/>
                <w:iCs/>
                <w:szCs w:val="21"/>
              </w:rPr>
            </w:pPr>
            <w:r>
              <w:rPr>
                <w:rFonts w:ascii="宋体" w:hAnsi="宋体"/>
                <w:iCs/>
                <w:szCs w:val="21"/>
              </w:rPr>
              <w:t xml:space="preserve">                  </w:t>
            </w:r>
            <w:r>
              <w:rPr>
                <w:rFonts w:hint="eastAsia" w:ascii="宋体" w:hAnsi="宋体"/>
                <w:iCs/>
                <w:szCs w:val="21"/>
              </w:rPr>
              <w:t>序号</w:t>
            </w:r>
          </w:p>
        </w:tc>
        <w:tc>
          <w:tcPr>
            <w:tcW w:w="6494"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20" w:firstLineChars="200"/>
              <w:jc w:val="center"/>
              <w:rPr>
                <w:rFonts w:ascii="宋体"/>
                <w:iCs/>
                <w:szCs w:val="21"/>
              </w:rPr>
            </w:pPr>
            <w:r>
              <w:rPr>
                <w:rFonts w:hint="eastAsia" w:ascii="宋体" w:hAnsi="宋体"/>
                <w:iCs/>
                <w:szCs w:val="21"/>
              </w:rPr>
              <w:t>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1485" w:type="dxa"/>
            <w:tcBorders>
              <w:top w:val="single" w:color="auto" w:sz="4" w:space="0"/>
              <w:bottom w:val="single" w:color="auto" w:sz="4" w:space="0"/>
              <w:right w:val="single" w:color="auto" w:sz="4" w:space="0"/>
            </w:tcBorders>
            <w:vAlign w:val="center"/>
          </w:tcPr>
          <w:p>
            <w:pPr>
              <w:spacing w:line="380" w:lineRule="exact"/>
              <w:jc w:val="center"/>
              <w:rPr>
                <w:rFonts w:ascii="宋体"/>
                <w:iCs/>
                <w:szCs w:val="21"/>
              </w:rPr>
            </w:pPr>
            <w:r>
              <w:rPr>
                <w:rFonts w:ascii="宋体" w:hAnsi="宋体"/>
                <w:iCs/>
                <w:szCs w:val="21"/>
              </w:rPr>
              <w:t>1</w:t>
            </w:r>
          </w:p>
        </w:tc>
        <w:tc>
          <w:tcPr>
            <w:tcW w:w="649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i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exact"/>
          <w:jc w:val="center"/>
        </w:trPr>
        <w:tc>
          <w:tcPr>
            <w:tcW w:w="1485" w:type="dxa"/>
            <w:tcBorders>
              <w:top w:val="single" w:color="auto" w:sz="4" w:space="0"/>
              <w:bottom w:val="single" w:color="auto" w:sz="4" w:space="0"/>
              <w:right w:val="single" w:color="auto" w:sz="4" w:space="0"/>
            </w:tcBorders>
            <w:vAlign w:val="center"/>
          </w:tcPr>
          <w:p>
            <w:pPr>
              <w:spacing w:line="380" w:lineRule="exact"/>
              <w:jc w:val="center"/>
              <w:rPr>
                <w:rFonts w:ascii="宋体"/>
                <w:iCs/>
                <w:szCs w:val="21"/>
              </w:rPr>
            </w:pPr>
            <w:r>
              <w:rPr>
                <w:rFonts w:ascii="宋体" w:hAnsi="宋体"/>
                <w:iCs/>
                <w:szCs w:val="21"/>
              </w:rPr>
              <w:t>2</w:t>
            </w:r>
          </w:p>
        </w:tc>
        <w:tc>
          <w:tcPr>
            <w:tcW w:w="649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i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exact"/>
          <w:jc w:val="center"/>
        </w:trPr>
        <w:tc>
          <w:tcPr>
            <w:tcW w:w="1485" w:type="dxa"/>
            <w:tcBorders>
              <w:top w:val="single" w:color="auto" w:sz="4" w:space="0"/>
              <w:bottom w:val="single" w:color="auto" w:sz="4" w:space="0"/>
              <w:right w:val="single" w:color="auto" w:sz="4" w:space="0"/>
            </w:tcBorders>
            <w:vAlign w:val="center"/>
          </w:tcPr>
          <w:p>
            <w:pPr>
              <w:spacing w:line="380" w:lineRule="exact"/>
              <w:jc w:val="center"/>
              <w:rPr>
                <w:rFonts w:ascii="宋体"/>
                <w:iCs/>
                <w:szCs w:val="21"/>
              </w:rPr>
            </w:pPr>
            <w:r>
              <w:rPr>
                <w:rFonts w:ascii="宋体" w:hAnsi="宋体"/>
                <w:iCs/>
                <w:szCs w:val="21"/>
              </w:rPr>
              <w:t>3</w:t>
            </w:r>
          </w:p>
        </w:tc>
        <w:tc>
          <w:tcPr>
            <w:tcW w:w="649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i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6" w:hRule="exact"/>
          <w:jc w:val="center"/>
        </w:trPr>
        <w:tc>
          <w:tcPr>
            <w:tcW w:w="1485" w:type="dxa"/>
            <w:tcBorders>
              <w:top w:val="single" w:color="auto" w:sz="4" w:space="0"/>
              <w:bottom w:val="single" w:color="auto" w:sz="4" w:space="0"/>
              <w:right w:val="single" w:color="auto" w:sz="4" w:space="0"/>
            </w:tcBorders>
            <w:vAlign w:val="center"/>
          </w:tcPr>
          <w:p>
            <w:pPr>
              <w:spacing w:line="380" w:lineRule="exact"/>
              <w:jc w:val="center"/>
              <w:rPr>
                <w:rFonts w:ascii="宋体"/>
                <w:iCs/>
                <w:szCs w:val="21"/>
              </w:rPr>
            </w:pPr>
            <w:r>
              <w:rPr>
                <w:rFonts w:ascii="宋体" w:hAnsi="宋体"/>
                <w:iCs/>
                <w:szCs w:val="21"/>
              </w:rPr>
              <w:t>4</w:t>
            </w:r>
          </w:p>
        </w:tc>
        <w:tc>
          <w:tcPr>
            <w:tcW w:w="649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i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exact"/>
          <w:jc w:val="center"/>
        </w:trPr>
        <w:tc>
          <w:tcPr>
            <w:tcW w:w="7979" w:type="dxa"/>
            <w:gridSpan w:val="2"/>
            <w:tcBorders>
              <w:top w:val="single" w:color="auto" w:sz="4" w:space="0"/>
              <w:bottom w:val="single" w:color="auto" w:sz="4" w:space="0"/>
              <w:right w:val="single" w:color="auto" w:sz="4" w:space="0"/>
            </w:tcBorders>
            <w:vAlign w:val="center"/>
          </w:tcPr>
          <w:p>
            <w:pPr>
              <w:spacing w:line="380" w:lineRule="exact"/>
              <w:rPr>
                <w:rFonts w:ascii="宋体"/>
                <w:iCs/>
                <w:szCs w:val="21"/>
              </w:rPr>
            </w:pPr>
            <w:r>
              <w:rPr>
                <w:rFonts w:hint="eastAsia" w:ascii="宋体" w:hAnsi="宋体"/>
                <w:iCs/>
                <w:szCs w:val="21"/>
              </w:rPr>
              <w:t>总报价：大写：</w:t>
            </w:r>
            <w:r>
              <w:rPr>
                <w:rFonts w:ascii="宋体" w:hAnsi="宋体"/>
                <w:iCs/>
                <w:szCs w:val="21"/>
              </w:rPr>
              <w:t xml:space="preserve">                               </w:t>
            </w:r>
          </w:p>
          <w:p>
            <w:pPr>
              <w:spacing w:line="380" w:lineRule="exact"/>
              <w:rPr>
                <w:rFonts w:ascii="宋体"/>
                <w:iCs/>
                <w:szCs w:val="21"/>
              </w:rPr>
            </w:pPr>
            <w:r>
              <w:rPr>
                <w:rFonts w:ascii="宋体" w:hAnsi="宋体"/>
                <w:iCs/>
                <w:szCs w:val="21"/>
              </w:rPr>
              <w:t xml:space="preserve">        </w:t>
            </w:r>
            <w:r>
              <w:rPr>
                <w:rFonts w:hint="eastAsia" w:ascii="宋体" w:hAnsi="宋体"/>
                <w:iCs/>
                <w:szCs w:val="21"/>
              </w:rPr>
              <w:t>小写：</w:t>
            </w:r>
          </w:p>
        </w:tc>
      </w:tr>
    </w:tbl>
    <w:p>
      <w:pPr>
        <w:spacing w:line="360" w:lineRule="auto"/>
        <w:ind w:left="1049" w:hanging="1048" w:hangingChars="437"/>
        <w:jc w:val="left"/>
        <w:rPr>
          <w:rFonts w:ascii="宋体" w:hAnsi="宋体" w:eastAsia="宋体" w:cs="宋体"/>
          <w:sz w:val="24"/>
        </w:rPr>
      </w:pPr>
    </w:p>
    <w:p>
      <w:pPr>
        <w:spacing w:line="360" w:lineRule="auto"/>
        <w:ind w:left="1049" w:hanging="1048" w:hangingChars="437"/>
        <w:jc w:val="left"/>
        <w:rPr>
          <w:rFonts w:hint="eastAsia" w:ascii="宋体" w:hAnsi="宋体" w:eastAsia="宋体" w:cs="宋体"/>
          <w:sz w:val="24"/>
        </w:rPr>
      </w:pPr>
      <w:r>
        <w:rPr>
          <w:rFonts w:hint="eastAsia" w:ascii="宋体" w:hAnsi="宋体" w:eastAsia="宋体" w:cs="宋体"/>
          <w:sz w:val="24"/>
        </w:rPr>
        <w:t>说明：1．所有价格均用人民币表示，单位为元。</w:t>
      </w:r>
    </w:p>
    <w:p>
      <w:pPr>
        <w:numPr>
          <w:ilvl w:val="0"/>
          <w:numId w:val="54"/>
        </w:numPr>
        <w:spacing w:line="360" w:lineRule="auto"/>
        <w:ind w:left="1117" w:leftChars="0" w:hanging="420" w:firstLineChars="0"/>
        <w:jc w:val="left"/>
        <w:rPr>
          <w:rFonts w:hint="eastAsia" w:ascii="宋体" w:hAnsi="宋体" w:eastAsia="宋体" w:cs="宋体"/>
          <w:sz w:val="24"/>
        </w:rPr>
      </w:pPr>
      <w:r>
        <w:rPr>
          <w:rFonts w:hint="eastAsia" w:ascii="宋体" w:hAnsi="宋体" w:eastAsia="宋体" w:cs="宋体"/>
          <w:sz w:val="24"/>
        </w:rPr>
        <w:t>报价明细表合计应与《开标一览表》中的投标总报价一致。</w:t>
      </w:r>
    </w:p>
    <w:p>
      <w:pPr>
        <w:numPr>
          <w:ilvl w:val="0"/>
          <w:numId w:val="54"/>
        </w:numPr>
        <w:spacing w:line="360" w:lineRule="auto"/>
        <w:ind w:left="1117" w:leftChars="0" w:hanging="420" w:firstLineChars="0"/>
        <w:jc w:val="left"/>
        <w:rPr>
          <w:rFonts w:hint="eastAsia" w:ascii="宋体" w:hAnsi="宋体" w:eastAsia="宋体" w:cs="宋体"/>
          <w:sz w:val="24"/>
        </w:rPr>
      </w:pPr>
      <w:r>
        <w:rPr>
          <w:rFonts w:hint="eastAsia" w:ascii="宋体" w:hAnsi="宋体" w:eastAsia="宋体" w:cs="宋体"/>
          <w:color w:val="FF0000"/>
          <w:sz w:val="24"/>
          <w:highlight w:val="none"/>
          <w:lang w:val="en-US" w:eastAsia="zh-CN"/>
        </w:rPr>
        <w:t>投标报价为总价包干，应包含满足项目验收所有检测内容以及工作量，具体工作量以采购人最终核实的为准。</w:t>
      </w:r>
    </w:p>
    <w:p>
      <w:pPr>
        <w:spacing w:line="360" w:lineRule="auto"/>
        <w:ind w:left="950" w:hanging="950" w:hangingChars="396"/>
        <w:jc w:val="left"/>
        <w:rPr>
          <w:rFonts w:ascii="宋体" w:hAnsi="宋体" w:eastAsia="宋体" w:cs="宋体"/>
          <w:sz w:val="24"/>
          <w:szCs w:val="24"/>
        </w:rPr>
      </w:pPr>
    </w:p>
    <w:p>
      <w:pPr>
        <w:spacing w:line="360" w:lineRule="auto"/>
        <w:ind w:left="950" w:hanging="950" w:hangingChars="396"/>
        <w:jc w:val="left"/>
        <w:rPr>
          <w:rFonts w:ascii="宋体" w:hAnsi="宋体" w:eastAsia="宋体" w:cs="宋体"/>
          <w:sz w:val="24"/>
          <w:szCs w:val="24"/>
        </w:rPr>
      </w:pPr>
    </w:p>
    <w:p>
      <w:pPr>
        <w:spacing w:line="360" w:lineRule="auto"/>
        <w:ind w:left="950" w:hanging="950" w:hangingChars="396"/>
        <w:jc w:val="left"/>
        <w:rPr>
          <w:rFonts w:ascii="宋体" w:hAnsi="宋体" w:eastAsia="宋体" w:cs="宋体"/>
          <w:sz w:val="24"/>
          <w:szCs w:val="24"/>
        </w:rPr>
      </w:pPr>
    </w:p>
    <w:p>
      <w:pPr>
        <w:spacing w:before="100" w:beforeAutospacing="1" w:after="100" w:afterAutospacing="1" w:line="360" w:lineRule="auto"/>
        <w:ind w:firstLine="3316" w:firstLineChars="1382"/>
        <w:rPr>
          <w:rFonts w:ascii="宋体" w:hAnsi="宋体" w:eastAsia="宋体" w:cs="宋体"/>
          <w:b/>
          <w:bCs/>
          <w:sz w:val="24"/>
          <w:u w:val="single"/>
        </w:rPr>
      </w:pPr>
      <w:r>
        <w:rPr>
          <w:rFonts w:hint="eastAsia" w:ascii="宋体" w:hAnsi="宋体" w:eastAsia="宋体" w:cs="宋体"/>
          <w:b/>
          <w:bCs/>
          <w:sz w:val="24"/>
        </w:rPr>
        <w:t>投标人（公章）：</w:t>
      </w:r>
      <w:r>
        <w:rPr>
          <w:rFonts w:hint="eastAsia" w:ascii="宋体" w:hAnsi="宋体" w:eastAsia="宋体" w:cs="宋体"/>
          <w:b/>
          <w:bCs/>
          <w:sz w:val="24"/>
          <w:u w:val="single"/>
        </w:rPr>
        <w:t xml:space="preserve">                          </w:t>
      </w:r>
    </w:p>
    <w:p>
      <w:pPr>
        <w:spacing w:before="100" w:beforeAutospacing="1" w:after="100" w:afterAutospacing="1" w:line="360" w:lineRule="auto"/>
        <w:ind w:firstLine="3316" w:firstLineChars="1382"/>
        <w:rPr>
          <w:rFonts w:ascii="宋体" w:hAnsi="宋体" w:eastAsia="宋体" w:cs="宋体"/>
          <w:b/>
          <w:bCs/>
          <w:sz w:val="24"/>
          <w:u w:val="single"/>
        </w:rPr>
      </w:pPr>
      <w:r>
        <w:rPr>
          <w:rFonts w:hint="eastAsia" w:ascii="宋体" w:hAnsi="宋体" w:eastAsia="宋体" w:cs="宋体"/>
          <w:b/>
          <w:bCs/>
          <w:sz w:val="24"/>
          <w:szCs w:val="21"/>
          <w:lang w:val="zh-CN"/>
        </w:rPr>
        <w:t>投标人</w:t>
      </w:r>
      <w:r>
        <w:rPr>
          <w:rFonts w:hint="eastAsia" w:ascii="宋体" w:hAnsi="宋体" w:eastAsia="宋体" w:cs="宋体"/>
          <w:b/>
          <w:bCs/>
          <w:sz w:val="24"/>
        </w:rPr>
        <w:t>授权代表（签字）：</w:t>
      </w:r>
      <w:r>
        <w:rPr>
          <w:rFonts w:hint="eastAsia" w:ascii="宋体" w:hAnsi="宋体" w:eastAsia="宋体" w:cs="宋体"/>
          <w:b/>
          <w:bCs/>
          <w:sz w:val="24"/>
          <w:u w:val="single"/>
        </w:rPr>
        <w:t xml:space="preserve">                  </w:t>
      </w:r>
    </w:p>
    <w:p>
      <w:pPr>
        <w:spacing w:before="100" w:beforeAutospacing="1" w:after="100" w:afterAutospacing="1" w:line="360" w:lineRule="auto"/>
        <w:ind w:firstLine="3316" w:firstLineChars="1382"/>
        <w:rPr>
          <w:rFonts w:ascii="宋体" w:hAnsi="宋体" w:eastAsia="宋体" w:cs="宋体"/>
          <w:b/>
          <w:bCs/>
          <w:sz w:val="24"/>
          <w:u w:val="single"/>
        </w:rPr>
      </w:pPr>
      <w:r>
        <w:rPr>
          <w:rFonts w:hint="eastAsia" w:ascii="宋体" w:hAnsi="宋体" w:eastAsia="宋体" w:cs="宋体"/>
          <w:b/>
          <w:bCs/>
          <w:sz w:val="24"/>
          <w:szCs w:val="21"/>
          <w:lang w:val="zh-CN"/>
        </w:rPr>
        <w:t>投标</w:t>
      </w:r>
      <w:r>
        <w:rPr>
          <w:rFonts w:hint="eastAsia" w:ascii="宋体" w:hAnsi="宋体" w:eastAsia="宋体" w:cs="宋体"/>
          <w:b/>
          <w:bCs/>
          <w:sz w:val="24"/>
        </w:rPr>
        <w:t>时间：</w:t>
      </w:r>
      <w:r>
        <w:rPr>
          <w:rFonts w:hint="eastAsia" w:ascii="宋体" w:hAnsi="宋体" w:eastAsia="宋体" w:cs="宋体"/>
          <w:b/>
          <w:bCs/>
          <w:sz w:val="24"/>
          <w:u w:val="single"/>
        </w:rPr>
        <w:t xml:space="preserve">                               </w:t>
      </w:r>
    </w:p>
    <w:p>
      <w:pPr>
        <w:pStyle w:val="31"/>
        <w:ind w:firstLine="0" w:firstLineChars="0"/>
      </w:pPr>
    </w:p>
    <w:p/>
    <w:p>
      <w:pPr>
        <w:pStyle w:val="4"/>
        <w:numPr>
          <w:ilvl w:val="0"/>
          <w:numId w:val="62"/>
        </w:numPr>
        <w:spacing w:before="100" w:beforeAutospacing="1" w:afterLines="50" w:line="360" w:lineRule="auto"/>
        <w:ind w:left="3388" w:hanging="1288"/>
        <w:rPr>
          <w:rFonts w:ascii="宋体" w:hAnsi="宋体" w:eastAsia="宋体"/>
        </w:rPr>
      </w:pPr>
      <w:bookmarkStart w:id="147" w:name="_Toc27256"/>
      <w:bookmarkStart w:id="148" w:name="_Toc494665010"/>
      <w:bookmarkStart w:id="149" w:name="_Toc494665960"/>
      <w:bookmarkStart w:id="150" w:name="_Toc494745327"/>
      <w:bookmarkStart w:id="151" w:name="_Toc238276247"/>
      <w:bookmarkStart w:id="152" w:name="_Toc494665563"/>
      <w:bookmarkStart w:id="153" w:name="_Toc494721110"/>
      <w:bookmarkStart w:id="154" w:name="_Toc236473303"/>
      <w:bookmarkStart w:id="155" w:name="_Toc494702280"/>
      <w:r>
        <w:rPr>
          <w:rFonts w:hint="eastAsia" w:ascii="宋体" w:hAnsi="宋体" w:eastAsia="宋体"/>
        </w:rPr>
        <w:t>法定代表人授权书</w:t>
      </w:r>
      <w:bookmarkEnd w:id="147"/>
      <w:bookmarkEnd w:id="148"/>
      <w:bookmarkEnd w:id="149"/>
      <w:bookmarkEnd w:id="150"/>
      <w:bookmarkEnd w:id="151"/>
      <w:bookmarkEnd w:id="152"/>
      <w:bookmarkEnd w:id="153"/>
      <w:bookmarkEnd w:id="154"/>
      <w:bookmarkEnd w:id="155"/>
    </w:p>
    <w:p>
      <w:pPr>
        <w:spacing w:line="480" w:lineRule="auto"/>
        <w:rPr>
          <w:rFonts w:ascii="宋体" w:hAnsi="宋体" w:eastAsia="宋体" w:cs="Times New Roman"/>
          <w:b/>
          <w:sz w:val="24"/>
          <w:szCs w:val="24"/>
        </w:rPr>
      </w:pPr>
      <w:r>
        <w:rPr>
          <w:rFonts w:hint="eastAsia"/>
          <w:b/>
          <w:sz w:val="28"/>
          <w:szCs w:val="28"/>
        </w:rPr>
        <w:t>采购人</w:t>
      </w:r>
      <w:r>
        <w:rPr>
          <w:rFonts w:hint="eastAsia"/>
          <w:b/>
          <w:color w:val="FF0000"/>
          <w:sz w:val="28"/>
          <w:szCs w:val="28"/>
        </w:rPr>
        <w:t>（或代理公司）</w:t>
      </w:r>
      <w:r>
        <w:rPr>
          <w:rFonts w:hint="eastAsia" w:ascii="宋体" w:hAnsi="宋体" w:cs="Courier New"/>
          <w:b/>
          <w:sz w:val="28"/>
          <w:szCs w:val="28"/>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兹授权</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同志为我单位参加贵方组织的</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Times New Roman" w:hAnsi="宋体" w:eastAsia="宋体" w:cs="Times New Roman"/>
          <w:color w:val="0D0D0D"/>
          <w:sz w:val="24"/>
          <w:szCs w:val="24"/>
        </w:rPr>
        <w:t>项目（项目编号：_____</w:t>
      </w:r>
      <w:r>
        <w:rPr>
          <w:rFonts w:hint="eastAsia" w:ascii="Times New Roman" w:hAnsi="宋体" w:eastAsia="宋体" w:cs="Times New Roman"/>
          <w:sz w:val="24"/>
          <w:szCs w:val="24"/>
        </w:rPr>
        <w:t>_）</w:t>
      </w:r>
      <w:r>
        <w:rPr>
          <w:rFonts w:hint="eastAsia" w:ascii="宋体" w:hAnsi="宋体" w:eastAsia="宋体" w:cs="Times New Roman"/>
          <w:sz w:val="24"/>
          <w:szCs w:val="24"/>
        </w:rPr>
        <w:t>采购活动的投标人授权代表，全权代表我公司处理在</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项目采购活动中的一切事宜。代理期限从</w:t>
      </w:r>
      <w:r>
        <w:rPr>
          <w:rFonts w:hint="eastAsia" w:ascii="Times New Roman" w:hAnsi="宋体" w:eastAsia="宋体" w:cs="Times New Roman"/>
          <w:color w:val="0D0D0D"/>
          <w:sz w:val="24"/>
          <w:szCs w:val="24"/>
        </w:rPr>
        <w:t>_</w:t>
      </w:r>
      <w:r>
        <w:rPr>
          <w:rFonts w:hint="eastAsia" w:ascii="Times New Roman" w:hAnsi="宋体" w:eastAsia="宋体" w:cs="Times New Roman"/>
          <w:sz w:val="24"/>
          <w:szCs w:val="24"/>
        </w:rPr>
        <w:t>_</w:t>
      </w:r>
      <w:r>
        <w:rPr>
          <w:rFonts w:hint="eastAsia" w:ascii="宋体" w:hAnsi="宋体" w:eastAsia="宋体" w:cs="Times New Roman"/>
          <w:sz w:val="24"/>
          <w:szCs w:val="24"/>
        </w:rPr>
        <w:t>年</w:t>
      </w:r>
      <w:r>
        <w:rPr>
          <w:rFonts w:hint="eastAsia" w:ascii="Times New Roman" w:hAnsi="宋体" w:eastAsia="宋体" w:cs="Times New Roman"/>
          <w:color w:val="0D0D0D"/>
          <w:sz w:val="24"/>
          <w:szCs w:val="24"/>
        </w:rPr>
        <w:t>_</w:t>
      </w:r>
      <w:r>
        <w:rPr>
          <w:rFonts w:hint="eastAsia" w:ascii="Times New Roman" w:hAnsi="宋体" w:eastAsia="宋体" w:cs="Times New Roman"/>
          <w:sz w:val="24"/>
          <w:szCs w:val="24"/>
        </w:rPr>
        <w:t>_</w:t>
      </w:r>
      <w:r>
        <w:rPr>
          <w:rFonts w:hint="eastAsia" w:ascii="宋体" w:hAnsi="宋体" w:eastAsia="宋体" w:cs="Times New Roman"/>
          <w:sz w:val="24"/>
          <w:szCs w:val="24"/>
        </w:rPr>
        <w:t>月</w:t>
      </w:r>
      <w:r>
        <w:rPr>
          <w:rFonts w:hint="eastAsia" w:ascii="Times New Roman" w:hAnsi="宋体" w:eastAsia="宋体" w:cs="Times New Roman"/>
          <w:color w:val="0D0D0D"/>
          <w:sz w:val="24"/>
          <w:szCs w:val="24"/>
        </w:rPr>
        <w:t>__</w:t>
      </w:r>
      <w:r>
        <w:rPr>
          <w:rFonts w:hint="eastAsia" w:ascii="宋体" w:hAnsi="宋体" w:eastAsia="宋体" w:cs="Times New Roman"/>
          <w:sz w:val="24"/>
          <w:szCs w:val="24"/>
        </w:rPr>
        <w:t>日起至</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年</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月</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 xml:space="preserve">日止。 </w:t>
      </w:r>
    </w:p>
    <w:p>
      <w:pPr>
        <w:spacing w:line="360" w:lineRule="auto"/>
        <w:ind w:firstLine="540" w:firstLineChars="225"/>
        <w:rPr>
          <w:rFonts w:ascii="宋体" w:hAnsi="宋体" w:eastAsia="宋体" w:cs="Times New Roman"/>
          <w:sz w:val="24"/>
          <w:szCs w:val="24"/>
        </w:rPr>
      </w:pPr>
      <w:r>
        <w:rPr>
          <w:rFonts w:hint="eastAsia" w:ascii="宋体" w:hAnsi="宋体" w:eastAsia="宋体" w:cs="Times New Roman"/>
          <w:sz w:val="24"/>
          <w:szCs w:val="24"/>
        </w:rPr>
        <w:t>被授权代表无转委托权。</w:t>
      </w:r>
    </w:p>
    <w:p>
      <w:pPr>
        <w:spacing w:line="360" w:lineRule="auto"/>
        <w:ind w:firstLine="540" w:firstLineChars="225"/>
        <w:rPr>
          <w:rFonts w:ascii="宋体" w:hAnsi="宋体" w:eastAsia="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授权单位（公章）：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法定代表人（签字或盖章）</w:t>
      </w:r>
      <w:r>
        <w:rPr>
          <w:rFonts w:hint="eastAsia" w:hAnsi="宋体"/>
          <w:b/>
          <w:bCs/>
          <w:sz w:val="24"/>
        </w:rPr>
        <w:t>：</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sz w:val="24"/>
          <w:szCs w:val="21"/>
          <w:lang w:val="zh-CN"/>
        </w:rPr>
        <w:t>签发日期：</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b/>
          <w:sz w:val="24"/>
          <w:szCs w:val="21"/>
          <w:lang w:val="zh-CN"/>
        </w:rPr>
        <w:t>年</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b/>
          <w:sz w:val="24"/>
          <w:szCs w:val="21"/>
          <w:lang w:val="zh-CN"/>
        </w:rPr>
        <w:t>月</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b/>
          <w:sz w:val="24"/>
          <w:szCs w:val="21"/>
          <w:lang w:val="zh-CN"/>
        </w:rPr>
        <w:t>日</w:t>
      </w:r>
    </w:p>
    <w:p>
      <w:pPr>
        <w:spacing w:line="360" w:lineRule="auto"/>
        <w:rPr>
          <w:rFonts w:ascii="宋体" w:hAnsi="宋体" w:eastAsia="宋体" w:cs="Times New Roman"/>
          <w:sz w:val="24"/>
          <w:szCs w:val="24"/>
        </w:rPr>
      </w:pPr>
      <w:r>
        <w:rPr>
          <w:rFonts w:hint="eastAsia" w:ascii="宋体" w:hAnsi="宋体" w:eastAsia="宋体" w:cs="Times New Roman"/>
          <w:sz w:val="24"/>
          <w:szCs w:val="24"/>
        </w:rPr>
        <w:t>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投标人授权代表单位名称：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职务： 性别：</w:t>
      </w:r>
    </w:p>
    <w:p>
      <w:pPr>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身份证号码：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电话：</w:t>
      </w:r>
    </w:p>
    <w:tbl>
      <w:tblPr>
        <w:tblStyle w:val="24"/>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8712" w:type="dxa"/>
          </w:tcPr>
          <w:p>
            <w:pPr>
              <w:spacing w:line="300" w:lineRule="auto"/>
              <w:rPr>
                <w:rFonts w:ascii="宋体" w:hAnsi="宋体" w:eastAsia="宋体" w:cs="Times New Roman"/>
                <w:sz w:val="24"/>
                <w:szCs w:val="24"/>
              </w:rPr>
            </w:pPr>
            <w:r>
              <w:rPr>
                <w:rFonts w:hint="eastAsia" w:ascii="宋体" w:hAnsi="宋体" w:eastAsia="宋体" w:cs="Times New Roman"/>
                <w:sz w:val="24"/>
                <w:szCs w:val="24"/>
              </w:rPr>
              <w:t>粘贴被授权人身份证（清晰影印件）</w:t>
            </w:r>
          </w:p>
        </w:tc>
      </w:tr>
    </w:tbl>
    <w:p>
      <w:r>
        <w:br w:type="page"/>
      </w:r>
    </w:p>
    <w:p>
      <w:pPr>
        <w:pStyle w:val="4"/>
        <w:numPr>
          <w:ilvl w:val="0"/>
          <w:numId w:val="62"/>
        </w:numPr>
        <w:spacing w:before="100" w:beforeAutospacing="1" w:afterLines="50" w:line="360" w:lineRule="auto"/>
        <w:ind w:left="3710" w:hanging="1610"/>
        <w:rPr>
          <w:rFonts w:ascii="宋体" w:hAnsi="宋体" w:eastAsia="宋体"/>
        </w:rPr>
      </w:pPr>
      <w:bookmarkStart w:id="156" w:name="_Toc494721111"/>
      <w:bookmarkStart w:id="157" w:name="_Toc494665961"/>
      <w:bookmarkStart w:id="158" w:name="_Toc494702281"/>
      <w:bookmarkStart w:id="159" w:name="_Toc494745328"/>
      <w:bookmarkStart w:id="160" w:name="_Toc238276248"/>
      <w:bookmarkStart w:id="161" w:name="_Toc494665564"/>
      <w:bookmarkStart w:id="162" w:name="_Toc236473304"/>
      <w:bookmarkStart w:id="163" w:name="_Toc494665011"/>
      <w:bookmarkStart w:id="164" w:name="_Toc26863"/>
      <w:r>
        <w:rPr>
          <w:rFonts w:hint="eastAsia" w:ascii="宋体" w:hAnsi="宋体" w:eastAsia="宋体"/>
        </w:rPr>
        <w:t>投标人的资格声明</w:t>
      </w:r>
      <w:bookmarkEnd w:id="156"/>
      <w:bookmarkEnd w:id="157"/>
      <w:bookmarkEnd w:id="158"/>
      <w:bookmarkEnd w:id="159"/>
      <w:bookmarkEnd w:id="160"/>
      <w:bookmarkEnd w:id="161"/>
      <w:bookmarkEnd w:id="162"/>
      <w:bookmarkEnd w:id="163"/>
      <w:bookmarkEnd w:id="164"/>
    </w:p>
    <w:tbl>
      <w:tblPr>
        <w:tblStyle w:val="24"/>
        <w:tblW w:w="875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4"/>
        <w:gridCol w:w="954"/>
        <w:gridCol w:w="542"/>
        <w:gridCol w:w="359"/>
        <w:gridCol w:w="1083"/>
        <w:gridCol w:w="537"/>
        <w:gridCol w:w="723"/>
        <w:gridCol w:w="1081"/>
        <w:gridCol w:w="182"/>
        <w:gridCol w:w="817"/>
        <w:gridCol w:w="15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bookmarkStart w:id="165" w:name="_Toc494721112"/>
            <w:bookmarkStart w:id="166" w:name="_Toc494745329"/>
            <w:bookmarkStart w:id="167" w:name="_Toc494665962"/>
            <w:bookmarkStart w:id="168" w:name="_Toc494665012"/>
            <w:bookmarkStart w:id="169" w:name="_Toc494702282"/>
            <w:bookmarkStart w:id="170" w:name="_Toc494665565"/>
            <w:r>
              <w:rPr>
                <w:rFonts w:hint="eastAsia" w:cs="宋体"/>
                <w:szCs w:val="21"/>
              </w:rPr>
              <w:t>投标人名称</w:t>
            </w:r>
          </w:p>
        </w:tc>
        <w:tc>
          <w:tcPr>
            <w:tcW w:w="6851" w:type="dxa"/>
            <w:gridSpan w:val="9"/>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注册地址</w:t>
            </w:r>
          </w:p>
        </w:tc>
        <w:tc>
          <w:tcPr>
            <w:tcW w:w="3244" w:type="dxa"/>
            <w:gridSpan w:val="5"/>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邮政编码</w:t>
            </w:r>
          </w:p>
        </w:tc>
        <w:tc>
          <w:tcPr>
            <w:tcW w:w="2526"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3" w:hRule="atLeast"/>
        </w:trPr>
        <w:tc>
          <w:tcPr>
            <w:tcW w:w="1908" w:type="dxa"/>
            <w:gridSpan w:val="2"/>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联系方式</w:t>
            </w:r>
          </w:p>
        </w:tc>
        <w:tc>
          <w:tcPr>
            <w:tcW w:w="901"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联系人</w:t>
            </w:r>
          </w:p>
        </w:tc>
        <w:tc>
          <w:tcPr>
            <w:tcW w:w="2343"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电 话</w:t>
            </w:r>
          </w:p>
        </w:tc>
        <w:tc>
          <w:tcPr>
            <w:tcW w:w="2526"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3" w:hRule="atLeast"/>
        </w:trPr>
        <w:tc>
          <w:tcPr>
            <w:tcW w:w="1908"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901"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传  真</w:t>
            </w:r>
          </w:p>
        </w:tc>
        <w:tc>
          <w:tcPr>
            <w:tcW w:w="2343"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网 址</w:t>
            </w:r>
          </w:p>
        </w:tc>
        <w:tc>
          <w:tcPr>
            <w:tcW w:w="2526"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组织结构</w:t>
            </w:r>
          </w:p>
        </w:tc>
        <w:tc>
          <w:tcPr>
            <w:tcW w:w="3244" w:type="dxa"/>
            <w:gridSpan w:val="5"/>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成立时间</w:t>
            </w:r>
          </w:p>
        </w:tc>
        <w:tc>
          <w:tcPr>
            <w:tcW w:w="2526"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法定代表人</w:t>
            </w:r>
          </w:p>
        </w:tc>
        <w:tc>
          <w:tcPr>
            <w:tcW w:w="901"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姓名</w:t>
            </w:r>
          </w:p>
        </w:tc>
        <w:tc>
          <w:tcPr>
            <w:tcW w:w="1083" w:type="dxa"/>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技术职称</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817" w:type="dxa"/>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电话</w:t>
            </w:r>
          </w:p>
        </w:tc>
        <w:tc>
          <w:tcPr>
            <w:tcW w:w="1527" w:type="dxa"/>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技术负责人</w:t>
            </w:r>
          </w:p>
        </w:tc>
        <w:tc>
          <w:tcPr>
            <w:tcW w:w="901"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姓名</w:t>
            </w:r>
          </w:p>
        </w:tc>
        <w:tc>
          <w:tcPr>
            <w:tcW w:w="1083" w:type="dxa"/>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技术职称</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817" w:type="dxa"/>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电话</w:t>
            </w:r>
          </w:p>
        </w:tc>
        <w:tc>
          <w:tcPr>
            <w:tcW w:w="1527" w:type="dxa"/>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3"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企业资质等级</w:t>
            </w:r>
          </w:p>
        </w:tc>
        <w:tc>
          <w:tcPr>
            <w:tcW w:w="2521"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1986" w:type="dxa"/>
            <w:gridSpan w:val="3"/>
            <w:tcBorders>
              <w:top w:val="single" w:color="auto" w:sz="4" w:space="0"/>
              <w:left w:val="single" w:color="auto" w:sz="4" w:space="0"/>
              <w:bottom w:val="single" w:color="auto" w:sz="4" w:space="0"/>
              <w:right w:val="single" w:color="auto" w:sz="4" w:space="0"/>
            </w:tcBorders>
            <w:vAlign w:val="center"/>
          </w:tcPr>
          <w:p>
            <w:pPr>
              <w:topLinePunct/>
              <w:rPr>
                <w:rFonts w:cs="宋体"/>
                <w:szCs w:val="21"/>
              </w:rPr>
            </w:pPr>
            <w:r>
              <w:rPr>
                <w:rFonts w:hint="eastAsia" w:cs="宋体"/>
                <w:szCs w:val="21"/>
              </w:rPr>
              <w:t>资质等级证书编号</w:t>
            </w:r>
          </w:p>
        </w:tc>
        <w:tc>
          <w:tcPr>
            <w:tcW w:w="2344"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3"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营业执照号</w:t>
            </w:r>
          </w:p>
        </w:tc>
        <w:tc>
          <w:tcPr>
            <w:tcW w:w="2521"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1986"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注册资金</w:t>
            </w:r>
          </w:p>
        </w:tc>
        <w:tc>
          <w:tcPr>
            <w:tcW w:w="2344"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3"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基本账户开户银行</w:t>
            </w:r>
          </w:p>
        </w:tc>
        <w:tc>
          <w:tcPr>
            <w:tcW w:w="2521"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c>
          <w:tcPr>
            <w:tcW w:w="1986"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基本账户账号</w:t>
            </w:r>
          </w:p>
        </w:tc>
        <w:tc>
          <w:tcPr>
            <w:tcW w:w="2344"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954" w:type="dxa"/>
            <w:vMerge w:val="restart"/>
            <w:tcBorders>
              <w:top w:val="single" w:color="auto" w:sz="4" w:space="0"/>
              <w:left w:val="single" w:color="auto" w:sz="4" w:space="0"/>
              <w:right w:val="single" w:color="auto" w:sz="4" w:space="0"/>
            </w:tcBorders>
            <w:vAlign w:val="center"/>
          </w:tcPr>
          <w:p>
            <w:pPr>
              <w:topLinePunct/>
              <w:jc w:val="center"/>
              <w:rPr>
                <w:rFonts w:cs="宋体"/>
                <w:szCs w:val="21"/>
              </w:rPr>
            </w:pPr>
            <w:r>
              <w:rPr>
                <w:rFonts w:hint="eastAsia" w:cs="宋体"/>
                <w:szCs w:val="21"/>
              </w:rPr>
              <w:t>员工</w:t>
            </w:r>
          </w:p>
          <w:p>
            <w:pPr>
              <w:topLinePunct/>
              <w:jc w:val="center"/>
              <w:rPr>
                <w:rFonts w:cs="宋体"/>
                <w:szCs w:val="21"/>
              </w:rPr>
            </w:pPr>
            <w:r>
              <w:rPr>
                <w:rFonts w:hint="eastAsia" w:cs="宋体"/>
                <w:szCs w:val="21"/>
              </w:rPr>
              <w:t>总人数</w:t>
            </w:r>
          </w:p>
          <w:p>
            <w:pPr>
              <w:topLinePunct/>
              <w:jc w:val="center"/>
              <w:rPr>
                <w:rFonts w:cs="宋体"/>
                <w:szCs w:val="21"/>
              </w:rPr>
            </w:pPr>
            <w:r>
              <w:rPr>
                <w:rFonts w:hint="eastAsia" w:cs="宋体"/>
                <w:szCs w:val="21"/>
              </w:rPr>
              <w:t>（人）</w:t>
            </w:r>
          </w:p>
        </w:tc>
        <w:tc>
          <w:tcPr>
            <w:tcW w:w="954" w:type="dxa"/>
            <w:vMerge w:val="restart"/>
            <w:tcBorders>
              <w:top w:val="single" w:color="auto" w:sz="4" w:space="0"/>
              <w:left w:val="single" w:color="auto" w:sz="4" w:space="0"/>
              <w:right w:val="single" w:color="auto" w:sz="4" w:space="0"/>
            </w:tcBorders>
            <w:vAlign w:val="center"/>
          </w:tcPr>
          <w:p>
            <w:pPr>
              <w:topLinePunct/>
              <w:jc w:val="center"/>
              <w:rPr>
                <w:rFonts w:cs="宋体"/>
                <w:szCs w:val="21"/>
              </w:rPr>
            </w:pPr>
          </w:p>
        </w:tc>
        <w:tc>
          <w:tcPr>
            <w:tcW w:w="542" w:type="dxa"/>
            <w:vMerge w:val="restart"/>
            <w:tcBorders>
              <w:top w:val="single" w:color="auto" w:sz="4" w:space="0"/>
              <w:left w:val="single" w:color="auto" w:sz="4" w:space="0"/>
              <w:right w:val="single" w:color="auto" w:sz="4" w:space="0"/>
            </w:tcBorders>
            <w:vAlign w:val="center"/>
          </w:tcPr>
          <w:p>
            <w:pPr>
              <w:topLinePunct/>
              <w:rPr>
                <w:rFonts w:cs="宋体"/>
                <w:szCs w:val="21"/>
              </w:rPr>
            </w:pPr>
            <w:r>
              <w:rPr>
                <w:rFonts w:hint="eastAsia" w:cs="宋体"/>
                <w:szCs w:val="21"/>
              </w:rPr>
              <w:t>其中</w:t>
            </w:r>
          </w:p>
        </w:tc>
        <w:tc>
          <w:tcPr>
            <w:tcW w:w="6309" w:type="dxa"/>
            <w:gridSpan w:val="8"/>
            <w:tcBorders>
              <w:top w:val="single" w:color="auto" w:sz="4" w:space="0"/>
              <w:left w:val="single" w:color="auto" w:sz="4" w:space="0"/>
              <w:right w:val="single" w:color="auto" w:sz="4" w:space="0"/>
            </w:tcBorders>
            <w:vAlign w:val="center"/>
          </w:tcPr>
          <w:p>
            <w:pPr>
              <w:topLinePunct/>
              <w:rPr>
                <w:rFonts w:cs="宋体"/>
                <w:szCs w:val="21"/>
              </w:rPr>
            </w:pPr>
            <w:r>
              <w:rPr>
                <w:rFonts w:hint="eastAsia" w:cs="宋体"/>
                <w:szCs w:val="21"/>
              </w:rPr>
              <w:t>高级职称人员      （人）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954" w:type="dxa"/>
            <w:vMerge w:val="continue"/>
            <w:tcBorders>
              <w:left w:val="single" w:color="auto" w:sz="4" w:space="0"/>
              <w:right w:val="single" w:color="auto" w:sz="4" w:space="0"/>
            </w:tcBorders>
            <w:vAlign w:val="center"/>
          </w:tcPr>
          <w:p>
            <w:pPr>
              <w:topLinePunct/>
              <w:jc w:val="center"/>
              <w:rPr>
                <w:rFonts w:cs="宋体"/>
                <w:szCs w:val="21"/>
              </w:rPr>
            </w:pPr>
          </w:p>
        </w:tc>
        <w:tc>
          <w:tcPr>
            <w:tcW w:w="954" w:type="dxa"/>
            <w:vMerge w:val="continue"/>
            <w:tcBorders>
              <w:left w:val="single" w:color="auto" w:sz="4" w:space="0"/>
              <w:right w:val="single" w:color="auto" w:sz="4" w:space="0"/>
            </w:tcBorders>
            <w:vAlign w:val="center"/>
          </w:tcPr>
          <w:p>
            <w:pPr>
              <w:topLinePunct/>
              <w:jc w:val="center"/>
              <w:rPr>
                <w:rFonts w:cs="宋体"/>
                <w:szCs w:val="21"/>
              </w:rPr>
            </w:pPr>
          </w:p>
        </w:tc>
        <w:tc>
          <w:tcPr>
            <w:tcW w:w="542" w:type="dxa"/>
            <w:vMerge w:val="continue"/>
            <w:tcBorders>
              <w:left w:val="single" w:color="auto" w:sz="4" w:space="0"/>
              <w:right w:val="single" w:color="auto" w:sz="4" w:space="0"/>
            </w:tcBorders>
            <w:vAlign w:val="center"/>
          </w:tcPr>
          <w:p>
            <w:pPr>
              <w:topLinePunct/>
              <w:rPr>
                <w:rFonts w:cs="宋体"/>
                <w:szCs w:val="21"/>
              </w:rPr>
            </w:pPr>
          </w:p>
        </w:tc>
        <w:tc>
          <w:tcPr>
            <w:tcW w:w="6309" w:type="dxa"/>
            <w:gridSpan w:val="8"/>
            <w:tcBorders>
              <w:top w:val="single" w:color="auto" w:sz="4" w:space="0"/>
              <w:left w:val="single" w:color="auto" w:sz="4" w:space="0"/>
              <w:right w:val="single" w:color="auto" w:sz="4" w:space="0"/>
            </w:tcBorders>
            <w:vAlign w:val="center"/>
          </w:tcPr>
          <w:p>
            <w:pPr>
              <w:topLinePunct/>
              <w:rPr>
                <w:rFonts w:cs="宋体"/>
                <w:szCs w:val="21"/>
              </w:rPr>
            </w:pPr>
            <w:r>
              <w:rPr>
                <w:rFonts w:hint="eastAsia" w:cs="宋体"/>
                <w:szCs w:val="21"/>
              </w:rPr>
              <w:t>中级职称人员      （人）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954" w:type="dxa"/>
            <w:vMerge w:val="continue"/>
            <w:tcBorders>
              <w:left w:val="single" w:color="auto" w:sz="4" w:space="0"/>
              <w:right w:val="single" w:color="auto" w:sz="4" w:space="0"/>
            </w:tcBorders>
            <w:vAlign w:val="center"/>
          </w:tcPr>
          <w:p>
            <w:pPr>
              <w:topLinePunct/>
              <w:jc w:val="center"/>
              <w:rPr>
                <w:rFonts w:cs="宋体"/>
                <w:szCs w:val="21"/>
              </w:rPr>
            </w:pPr>
          </w:p>
        </w:tc>
        <w:tc>
          <w:tcPr>
            <w:tcW w:w="954" w:type="dxa"/>
            <w:vMerge w:val="continue"/>
            <w:tcBorders>
              <w:left w:val="single" w:color="auto" w:sz="4" w:space="0"/>
              <w:right w:val="single" w:color="auto" w:sz="4" w:space="0"/>
            </w:tcBorders>
            <w:vAlign w:val="center"/>
          </w:tcPr>
          <w:p>
            <w:pPr>
              <w:topLinePunct/>
              <w:jc w:val="center"/>
              <w:rPr>
                <w:rFonts w:cs="宋体"/>
                <w:szCs w:val="21"/>
              </w:rPr>
            </w:pPr>
          </w:p>
        </w:tc>
        <w:tc>
          <w:tcPr>
            <w:tcW w:w="542" w:type="dxa"/>
            <w:vMerge w:val="continue"/>
            <w:tcBorders>
              <w:left w:val="single" w:color="auto" w:sz="4" w:space="0"/>
              <w:right w:val="single" w:color="auto" w:sz="4" w:space="0"/>
            </w:tcBorders>
            <w:vAlign w:val="center"/>
          </w:tcPr>
          <w:p>
            <w:pPr>
              <w:topLinePunct/>
              <w:rPr>
                <w:rFonts w:cs="宋体"/>
                <w:szCs w:val="21"/>
              </w:rPr>
            </w:pPr>
          </w:p>
        </w:tc>
        <w:tc>
          <w:tcPr>
            <w:tcW w:w="6309" w:type="dxa"/>
            <w:gridSpan w:val="8"/>
            <w:tcBorders>
              <w:top w:val="single" w:color="auto" w:sz="4" w:space="0"/>
              <w:left w:val="single" w:color="auto" w:sz="4" w:space="0"/>
              <w:right w:val="single" w:color="auto" w:sz="4" w:space="0"/>
            </w:tcBorders>
            <w:vAlign w:val="center"/>
          </w:tcPr>
          <w:p>
            <w:pPr>
              <w:topLinePunct/>
              <w:rPr>
                <w:rFonts w:cs="宋体"/>
                <w:szCs w:val="21"/>
              </w:rPr>
            </w:pPr>
            <w:r>
              <w:rPr>
                <w:rFonts w:hint="eastAsia" w:cs="宋体"/>
                <w:szCs w:val="21"/>
              </w:rPr>
              <w:t>初级职称人员      （人）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908" w:type="dxa"/>
            <w:gridSpan w:val="2"/>
            <w:tcBorders>
              <w:top w:val="single" w:color="auto" w:sz="4" w:space="0"/>
              <w:left w:val="single" w:color="auto" w:sz="4" w:space="0"/>
              <w:right w:val="single" w:color="auto" w:sz="4" w:space="0"/>
            </w:tcBorders>
            <w:vAlign w:val="center"/>
          </w:tcPr>
          <w:p>
            <w:pPr>
              <w:topLinePunct/>
              <w:rPr>
                <w:rFonts w:cs="宋体"/>
                <w:szCs w:val="21"/>
              </w:rPr>
            </w:pPr>
            <w:r>
              <w:rPr>
                <w:rFonts w:hint="eastAsia" w:cs="宋体"/>
                <w:szCs w:val="21"/>
              </w:rPr>
              <w:t>经营范围</w:t>
            </w:r>
          </w:p>
        </w:tc>
        <w:tc>
          <w:tcPr>
            <w:tcW w:w="6851" w:type="dxa"/>
            <w:gridSpan w:val="9"/>
            <w:tcBorders>
              <w:top w:val="single" w:color="auto" w:sz="4" w:space="0"/>
              <w:left w:val="single" w:color="auto" w:sz="4" w:space="0"/>
              <w:right w:val="single" w:color="auto" w:sz="4" w:space="0"/>
            </w:tcBorders>
            <w:vAlign w:val="center"/>
          </w:tcPr>
          <w:p>
            <w:pPr>
              <w:topLinePunct/>
              <w:rPr>
                <w:rFonts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cs="宋体"/>
                <w:szCs w:val="21"/>
              </w:rPr>
              <w:t>关联企业</w:t>
            </w:r>
          </w:p>
        </w:tc>
        <w:tc>
          <w:tcPr>
            <w:tcW w:w="6851" w:type="dxa"/>
            <w:gridSpan w:val="9"/>
            <w:tcBorders>
              <w:top w:val="single" w:color="auto" w:sz="4" w:space="0"/>
              <w:left w:val="single" w:color="auto" w:sz="4" w:space="0"/>
              <w:bottom w:val="single" w:color="auto" w:sz="4" w:space="0"/>
              <w:right w:val="single" w:color="auto" w:sz="4" w:space="0"/>
            </w:tcBorders>
            <w:vAlign w:val="center"/>
          </w:tcPr>
          <w:p>
            <w:pPr>
              <w:rPr>
                <w:rFonts w:cs="宋体"/>
                <w:szCs w:val="21"/>
              </w:rPr>
            </w:pPr>
            <w:r>
              <w:rPr>
                <w:rFonts w:hint="eastAsia" w:cs="宋体"/>
                <w:szCs w:val="21"/>
              </w:rPr>
              <w:t>与本单位负责人为同一人的单位：</w:t>
            </w:r>
          </w:p>
          <w:p>
            <w:pPr>
              <w:rPr>
                <w:rFonts w:cs="宋体"/>
                <w:szCs w:val="21"/>
              </w:rPr>
            </w:pPr>
            <w:r>
              <w:rPr>
                <w:rFonts w:hint="eastAsia" w:cs="宋体"/>
                <w:szCs w:val="21"/>
              </w:rPr>
              <w:t>与本单位存在控股关系的单位：</w:t>
            </w:r>
          </w:p>
          <w:p>
            <w:pPr>
              <w:rPr>
                <w:rFonts w:cs="宋体"/>
                <w:szCs w:val="21"/>
              </w:rPr>
            </w:pPr>
            <w:r>
              <w:rPr>
                <w:rFonts w:hint="eastAsia" w:cs="宋体"/>
                <w:szCs w:val="21"/>
              </w:rPr>
              <w:t>与本单位存在管理关系的单位：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908"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r>
              <w:rPr>
                <w:rFonts w:hint="eastAsia" w:cs="宋体"/>
                <w:szCs w:val="21"/>
              </w:rPr>
              <w:t>备注</w:t>
            </w:r>
          </w:p>
        </w:tc>
        <w:tc>
          <w:tcPr>
            <w:tcW w:w="6851" w:type="dxa"/>
            <w:gridSpan w:val="9"/>
            <w:tcBorders>
              <w:top w:val="single" w:color="auto" w:sz="4" w:space="0"/>
              <w:left w:val="single" w:color="auto" w:sz="4" w:space="0"/>
              <w:bottom w:val="single" w:color="auto" w:sz="4" w:space="0"/>
              <w:right w:val="single" w:color="auto" w:sz="4" w:space="0"/>
            </w:tcBorders>
            <w:vAlign w:val="center"/>
          </w:tcPr>
          <w:p>
            <w:pPr>
              <w:topLinePunct/>
              <w:jc w:val="center"/>
              <w:rPr>
                <w:rFonts w:cs="宋体"/>
                <w:szCs w:val="21"/>
              </w:rPr>
            </w:pPr>
          </w:p>
        </w:tc>
      </w:tr>
    </w:tbl>
    <w:p>
      <w:pPr>
        <w:spacing w:line="360" w:lineRule="auto"/>
        <w:ind w:left="1078" w:hanging="1077" w:hangingChars="449"/>
        <w:jc w:val="left"/>
        <w:rPr>
          <w:rFonts w:ascii="宋体" w:hAnsi="宋体" w:eastAsia="宋体" w:cs="Times New Roman"/>
          <w:sz w:val="24"/>
          <w:szCs w:val="24"/>
        </w:rPr>
      </w:pPr>
    </w:p>
    <w:p>
      <w:pPr>
        <w:pStyle w:val="31"/>
        <w:ind w:firstLine="480"/>
        <w:rPr>
          <w:rFonts w:hAnsi="宋体"/>
          <w:szCs w:val="24"/>
        </w:rPr>
      </w:pPr>
    </w:p>
    <w:p>
      <w:pPr>
        <w:pStyle w:val="4"/>
        <w:numPr>
          <w:ilvl w:val="0"/>
          <w:numId w:val="62"/>
        </w:numPr>
        <w:spacing w:before="100" w:beforeAutospacing="1" w:afterLines="50" w:line="360" w:lineRule="auto"/>
        <w:ind w:left="2740" w:hanging="1610"/>
        <w:rPr>
          <w:rFonts w:ascii="宋体" w:hAnsi="宋体" w:eastAsia="宋体"/>
        </w:rPr>
      </w:pPr>
      <w:bookmarkStart w:id="171" w:name="_Toc21156"/>
      <w:r>
        <w:rPr>
          <w:rFonts w:hint="eastAsia" w:ascii="宋体" w:hAnsi="宋体" w:eastAsia="宋体"/>
        </w:rPr>
        <w:t>项目负责人、技术负责人简历表</w:t>
      </w:r>
      <w:bookmarkEnd w:id="165"/>
      <w:bookmarkEnd w:id="166"/>
      <w:bookmarkEnd w:id="167"/>
      <w:bookmarkEnd w:id="168"/>
      <w:bookmarkEnd w:id="169"/>
      <w:bookmarkEnd w:id="170"/>
      <w:bookmarkEnd w:id="171"/>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4"/>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06"/>
        <w:gridCol w:w="1224"/>
        <w:gridCol w:w="612"/>
        <w:gridCol w:w="918"/>
        <w:gridCol w:w="918"/>
        <w:gridCol w:w="612"/>
        <w:gridCol w:w="1224"/>
        <w:gridCol w:w="306"/>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姓    名</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128" w:rightChars="-61"/>
              <w:jc w:val="center"/>
              <w:rPr>
                <w:rFonts w:ascii="宋体" w:hAnsi="宋体" w:eastAsia="宋体" w:cs="Times New Roman"/>
                <w:kern w:val="0"/>
                <w:sz w:val="24"/>
                <w:szCs w:val="28"/>
              </w:rPr>
            </w:pPr>
            <w:r>
              <w:rPr>
                <w:rFonts w:hint="eastAsia" w:ascii="宋体" w:hAnsi="宋体" w:eastAsia="宋体" w:cs="Times New Roman"/>
                <w:kern w:val="0"/>
                <w:sz w:val="24"/>
                <w:szCs w:val="28"/>
              </w:rPr>
              <w:t>性    别</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r>
              <w:rPr>
                <w:rFonts w:hint="eastAsia" w:ascii="宋体" w:hAnsi="宋体" w:eastAsia="宋体" w:cs="Times New Roman"/>
                <w:kern w:val="0"/>
                <w:sz w:val="24"/>
                <w:szCs w:val="28"/>
              </w:rPr>
              <w:t>年    龄</w:t>
            </w:r>
          </w:p>
        </w:tc>
        <w:tc>
          <w:tcPr>
            <w:tcW w:w="1348" w:type="dxa"/>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职    务</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84" w:rightChars="-40"/>
              <w:jc w:val="center"/>
              <w:rPr>
                <w:rFonts w:ascii="宋体" w:hAnsi="宋体" w:eastAsia="宋体" w:cs="Times New Roman"/>
                <w:kern w:val="0"/>
                <w:sz w:val="24"/>
                <w:szCs w:val="28"/>
              </w:rPr>
            </w:pPr>
            <w:r>
              <w:rPr>
                <w:rFonts w:hint="eastAsia" w:ascii="宋体" w:hAnsi="宋体" w:eastAsia="宋体" w:cs="Times New Roman"/>
                <w:kern w:val="0"/>
                <w:sz w:val="24"/>
                <w:szCs w:val="28"/>
              </w:rPr>
              <w:t>职    称</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r>
              <w:rPr>
                <w:rFonts w:hint="eastAsia" w:ascii="宋体" w:hAnsi="宋体" w:eastAsia="宋体" w:cs="Times New Roman"/>
                <w:kern w:val="0"/>
                <w:sz w:val="24"/>
                <w:szCs w:val="28"/>
              </w:rPr>
              <w:t>学    历</w:t>
            </w:r>
          </w:p>
        </w:tc>
        <w:tc>
          <w:tcPr>
            <w:tcW w:w="1348" w:type="dxa"/>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参加工作</w:t>
            </w:r>
          </w:p>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时间</w:t>
            </w: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从事本行业工作年限</w:t>
            </w: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个人专业资质及证书</w:t>
            </w:r>
          </w:p>
        </w:tc>
        <w:tc>
          <w:tcPr>
            <w:tcW w:w="1348" w:type="dxa"/>
            <w:vAlign w:val="center"/>
          </w:tcPr>
          <w:p>
            <w:pPr>
              <w:autoSpaceDE w:val="0"/>
              <w:autoSpaceDN w:val="0"/>
              <w:adjustRightInd w:val="0"/>
              <w:spacing w:line="360" w:lineRule="auto"/>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9170" w:type="dxa"/>
            <w:gridSpan w:val="10"/>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r>
              <w:rPr>
                <w:rFonts w:hint="eastAsia" w:ascii="宋体" w:hAnsi="宋体" w:eastAsia="宋体" w:cs="Times New Roman"/>
                <w:kern w:val="0"/>
                <w:sz w:val="24"/>
                <w:szCs w:val="28"/>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9170" w:type="dxa"/>
            <w:gridSpan w:val="10"/>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9170" w:type="dxa"/>
            <w:gridSpan w:val="10"/>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r>
              <w:rPr>
                <w:rFonts w:hint="eastAsia" w:ascii="宋体" w:hAnsi="宋体" w:eastAsia="宋体" w:cs="Times New Roman"/>
                <w:kern w:val="0"/>
                <w:sz w:val="24"/>
                <w:szCs w:val="28"/>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项目单位</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项目名称</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项目内容</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项目金额</w:t>
            </w:r>
          </w:p>
        </w:tc>
        <w:tc>
          <w:tcPr>
            <w:tcW w:w="1654"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654"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654"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654"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654"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654"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bl>
    <w:p>
      <w:pPr>
        <w:spacing w:line="360" w:lineRule="auto"/>
        <w:ind w:left="720" w:hanging="720" w:hangingChars="300"/>
        <w:jc w:val="left"/>
        <w:rPr>
          <w:rFonts w:ascii="宋体" w:hAnsi="宋体" w:eastAsia="宋体" w:cs="Times New Roman"/>
          <w:sz w:val="24"/>
          <w:szCs w:val="24"/>
          <w:lang w:val="zh-CN"/>
        </w:rPr>
      </w:pPr>
      <w:r>
        <w:rPr>
          <w:rFonts w:hint="eastAsia" w:ascii="宋体" w:hAnsi="宋体" w:eastAsia="宋体" w:cs="Times New Roman"/>
          <w:sz w:val="24"/>
          <w:szCs w:val="24"/>
          <w:lang w:val="zh-CN"/>
        </w:rPr>
        <w:t>说明：投标文件正本应附完整的相关证明材料清晰影印件，未按照要求详细完整填写此表，导致的后果由投标人自行承担。</w:t>
      </w:r>
    </w:p>
    <w:p>
      <w:pPr>
        <w:spacing w:line="360" w:lineRule="auto"/>
        <w:jc w:val="left"/>
        <w:rPr>
          <w:rFonts w:ascii="宋体" w:hAnsi="宋体" w:eastAsia="宋体" w:cs="Times New Roman"/>
          <w:sz w:val="24"/>
          <w:szCs w:val="24"/>
          <w:lang w:val="zh-CN"/>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pPr>
        <w:pStyle w:val="4"/>
        <w:numPr>
          <w:ilvl w:val="0"/>
          <w:numId w:val="62"/>
        </w:numPr>
        <w:spacing w:before="100" w:beforeAutospacing="1" w:afterLines="50" w:line="360" w:lineRule="auto"/>
        <w:ind w:left="3710" w:hanging="1610"/>
        <w:rPr>
          <w:rFonts w:ascii="宋体" w:hAnsi="宋体" w:eastAsia="宋体"/>
        </w:rPr>
      </w:pPr>
      <w:bookmarkStart w:id="172" w:name="_Toc236473307"/>
      <w:bookmarkStart w:id="173" w:name="_Toc494665013"/>
      <w:bookmarkStart w:id="174" w:name="_Toc238276251"/>
      <w:bookmarkStart w:id="175" w:name="_Toc494721113"/>
      <w:bookmarkStart w:id="176" w:name="_Toc494665963"/>
      <w:bookmarkStart w:id="177" w:name="_Toc494702283"/>
      <w:bookmarkStart w:id="178" w:name="_Toc494745330"/>
      <w:bookmarkStart w:id="179" w:name="_Toc29355"/>
      <w:bookmarkStart w:id="180" w:name="_Toc494665566"/>
      <w:r>
        <w:rPr>
          <w:rFonts w:hint="eastAsia" w:ascii="宋体" w:hAnsi="宋体" w:eastAsia="宋体"/>
        </w:rPr>
        <w:t>项目班子成员情况表</w:t>
      </w:r>
      <w:bookmarkEnd w:id="172"/>
      <w:bookmarkEnd w:id="173"/>
      <w:bookmarkEnd w:id="174"/>
      <w:bookmarkEnd w:id="175"/>
      <w:bookmarkEnd w:id="176"/>
      <w:bookmarkEnd w:id="177"/>
      <w:bookmarkEnd w:id="178"/>
      <w:bookmarkEnd w:id="179"/>
      <w:bookmarkEnd w:id="180"/>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1134"/>
        <w:gridCol w:w="1134"/>
        <w:gridCol w:w="1418"/>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992"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 名</w:t>
            </w:r>
          </w:p>
        </w:tc>
        <w:tc>
          <w:tcPr>
            <w:tcW w:w="113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专 业</w:t>
            </w:r>
          </w:p>
        </w:tc>
        <w:tc>
          <w:tcPr>
            <w:tcW w:w="113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龄</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kern w:val="0"/>
                <w:sz w:val="24"/>
                <w:szCs w:val="28"/>
              </w:rPr>
              <w:t>从事本行业工作年限</w:t>
            </w:r>
          </w:p>
        </w:tc>
        <w:tc>
          <w:tcPr>
            <w:tcW w:w="1843" w:type="dxa"/>
            <w:tcBorders>
              <w:top w:val="single" w:color="auto" w:sz="4" w:space="0"/>
              <w:left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在本项目中承担的工作</w:t>
            </w:r>
          </w:p>
        </w:tc>
        <w:tc>
          <w:tcPr>
            <w:tcW w:w="1417" w:type="dxa"/>
            <w:tcBorders>
              <w:top w:val="single" w:color="auto" w:sz="4" w:space="0"/>
              <w:left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kern w:val="0"/>
                <w:sz w:val="24"/>
                <w:szCs w:val="28"/>
              </w:rPr>
              <w:t>个人专业资质及证书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rPr>
                <w:rFonts w:ascii="宋体" w:hAnsi="宋体" w:eastAsia="宋体" w:cs="Times New Roman"/>
                <w:sz w:val="24"/>
                <w:szCs w:val="24"/>
              </w:rPr>
            </w:pPr>
          </w:p>
        </w:tc>
        <w:tc>
          <w:tcPr>
            <w:tcW w:w="1417" w:type="dxa"/>
            <w:tcBorders>
              <w:left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417"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417"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417"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417"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417"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417"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 w:val="24"/>
                <w:szCs w:val="24"/>
              </w:rPr>
            </w:pPr>
            <w:r>
              <w:rPr>
                <w:rFonts w:ascii="宋体" w:hAnsi="宋体" w:eastAsia="宋体" w:cs="Times New Roman"/>
                <w:b/>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7"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bl>
    <w:p>
      <w:pPr>
        <w:spacing w:line="360" w:lineRule="auto"/>
        <w:ind w:left="720" w:hanging="720" w:hangingChars="300"/>
        <w:jc w:val="left"/>
        <w:rPr>
          <w:rFonts w:ascii="宋体" w:hAnsi="宋体" w:eastAsia="宋体" w:cs="Times New Roman"/>
          <w:sz w:val="24"/>
          <w:szCs w:val="24"/>
          <w:lang w:val="zh-CN"/>
        </w:rPr>
      </w:pPr>
      <w:r>
        <w:rPr>
          <w:rFonts w:hint="eastAsia" w:ascii="宋体" w:hAnsi="宋体" w:eastAsia="宋体" w:cs="Times New Roman"/>
          <w:sz w:val="24"/>
          <w:szCs w:val="24"/>
          <w:lang w:val="zh-CN"/>
        </w:rPr>
        <w:t>说明：投标文件正本应附完整的相关证明材料清晰影印件，</w:t>
      </w:r>
      <w:r>
        <w:rPr>
          <w:rFonts w:hint="eastAsia" w:ascii="宋体" w:hAnsi="宋体" w:eastAsia="宋体" w:cs="Corbel"/>
          <w:sz w:val="24"/>
          <w:szCs w:val="21"/>
          <w:lang w:val="zh-CN"/>
        </w:rPr>
        <w:t>未按照要求详细完整填写此表，</w:t>
      </w:r>
      <w:r>
        <w:rPr>
          <w:rFonts w:hint="eastAsia" w:ascii="宋体" w:hAnsi="宋体" w:eastAsia="宋体" w:cs="Times New Roman"/>
          <w:sz w:val="24"/>
          <w:szCs w:val="21"/>
          <w:lang w:val="zh-CN"/>
        </w:rPr>
        <w:t>导致的后果由投标人自行承担。</w:t>
      </w: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2"/>
        </w:numPr>
        <w:spacing w:before="100" w:beforeAutospacing="1" w:afterLines="50" w:line="360" w:lineRule="auto"/>
        <w:ind w:left="3710" w:hanging="1610"/>
        <w:rPr>
          <w:rFonts w:ascii="宋体" w:hAnsi="宋体" w:eastAsia="宋体"/>
        </w:rPr>
      </w:pPr>
      <w:bookmarkStart w:id="181" w:name="_Toc494665567"/>
      <w:bookmarkStart w:id="182" w:name="_Toc494702284"/>
      <w:bookmarkStart w:id="183" w:name="_Toc5586"/>
      <w:bookmarkStart w:id="184" w:name="_Toc236473312"/>
      <w:bookmarkStart w:id="185" w:name="_Toc494665964"/>
      <w:bookmarkStart w:id="186" w:name="_Toc494721114"/>
      <w:bookmarkStart w:id="187" w:name="_Toc494745331"/>
      <w:bookmarkStart w:id="188" w:name="_Toc238276256"/>
      <w:bookmarkStart w:id="189" w:name="_Toc494665014"/>
      <w:r>
        <w:rPr>
          <w:rFonts w:hint="eastAsia" w:ascii="宋体" w:hAnsi="宋体" w:eastAsia="宋体"/>
        </w:rPr>
        <w:t>投标人类似项目业绩表</w:t>
      </w:r>
      <w:bookmarkEnd w:id="181"/>
      <w:bookmarkEnd w:id="182"/>
      <w:bookmarkEnd w:id="183"/>
      <w:bookmarkEnd w:id="184"/>
      <w:bookmarkEnd w:id="185"/>
      <w:bookmarkEnd w:id="186"/>
      <w:bookmarkEnd w:id="187"/>
      <w:bookmarkEnd w:id="188"/>
      <w:bookmarkEnd w:id="189"/>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4"/>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85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项目单位名称</w:t>
            </w:r>
          </w:p>
        </w:tc>
        <w:tc>
          <w:tcPr>
            <w:tcW w:w="7121"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85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项目名称</w:t>
            </w:r>
          </w:p>
        </w:tc>
        <w:tc>
          <w:tcPr>
            <w:tcW w:w="7121"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85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项目单位联系人姓名及联系方式</w:t>
            </w:r>
          </w:p>
        </w:tc>
        <w:tc>
          <w:tcPr>
            <w:tcW w:w="7121"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85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项目金额</w:t>
            </w:r>
          </w:p>
        </w:tc>
        <w:tc>
          <w:tcPr>
            <w:tcW w:w="7121"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85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项目负责人姓名</w:t>
            </w:r>
          </w:p>
        </w:tc>
        <w:tc>
          <w:tcPr>
            <w:tcW w:w="7121"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5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项目时间</w:t>
            </w:r>
          </w:p>
        </w:tc>
        <w:tc>
          <w:tcPr>
            <w:tcW w:w="7121"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85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项目内容</w:t>
            </w:r>
          </w:p>
        </w:tc>
        <w:tc>
          <w:tcPr>
            <w:tcW w:w="7121" w:type="dxa"/>
            <w:shd w:val="clear" w:color="auto" w:fill="auto"/>
          </w:tcPr>
          <w:p>
            <w:pPr>
              <w:rPr>
                <w:rFonts w:ascii="宋体" w:hAnsi="宋体" w:eastAsia="宋体" w:cs="Courier New"/>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Times New Roman"/>
          <w:sz w:val="24"/>
          <w:szCs w:val="24"/>
        </w:rPr>
        <w:t>说明：1．每个合同应单独附表，并附上相关证明材料，</w:t>
      </w:r>
      <w:r>
        <w:rPr>
          <w:rFonts w:hint="eastAsia" w:ascii="宋体" w:hAnsi="宋体" w:eastAsia="宋体" w:cs="Corbel"/>
          <w:sz w:val="24"/>
          <w:szCs w:val="24"/>
        </w:rPr>
        <w:t>未按照要求详细完整填写此表，</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2．项目内容请详细说明所承担的具体工作内容等。</w:t>
      </w:r>
    </w:p>
    <w:p>
      <w:pPr>
        <w:spacing w:line="360" w:lineRule="auto"/>
        <w:ind w:firstLine="720" w:firstLineChars="300"/>
        <w:rPr>
          <w:rFonts w:ascii="宋体" w:hAnsi="宋体" w:eastAsia="宋体" w:cs="Times New Roman"/>
          <w:sz w:val="24"/>
          <w:szCs w:val="24"/>
        </w:rPr>
      </w:pPr>
    </w:p>
    <w:p>
      <w:pPr>
        <w:spacing w:line="360" w:lineRule="auto"/>
        <w:ind w:firstLine="720" w:firstLineChars="300"/>
        <w:rPr>
          <w:rFonts w:ascii="宋体" w:hAnsi="宋体" w:eastAsia="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2"/>
        </w:numPr>
        <w:spacing w:before="100" w:beforeAutospacing="1" w:afterLines="50" w:line="360" w:lineRule="auto"/>
        <w:ind w:left="3710" w:hanging="1610"/>
        <w:rPr>
          <w:rFonts w:ascii="宋体" w:hAnsi="宋体" w:eastAsia="宋体"/>
        </w:rPr>
      </w:pPr>
      <w:bookmarkStart w:id="190" w:name="_Toc494665568"/>
      <w:bookmarkStart w:id="191" w:name="_Toc4763"/>
      <w:bookmarkStart w:id="192" w:name="_Toc494665965"/>
      <w:bookmarkStart w:id="193" w:name="_Toc494665015"/>
      <w:bookmarkStart w:id="194" w:name="_Toc494745332"/>
      <w:bookmarkStart w:id="195" w:name="_Toc494702285"/>
      <w:bookmarkStart w:id="196" w:name="_Toc494721115"/>
      <w:r>
        <w:rPr>
          <w:rFonts w:hint="eastAsia" w:ascii="宋体" w:hAnsi="宋体" w:eastAsia="宋体"/>
        </w:rPr>
        <w:t>符合性审查对照表</w:t>
      </w:r>
      <w:bookmarkEnd w:id="190"/>
      <w:bookmarkEnd w:id="191"/>
      <w:bookmarkEnd w:id="192"/>
      <w:bookmarkEnd w:id="193"/>
      <w:bookmarkEnd w:id="194"/>
      <w:bookmarkEnd w:id="195"/>
      <w:bookmarkEnd w:id="196"/>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366"/>
        <w:gridCol w:w="2835"/>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3"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序号</w:t>
            </w:r>
          </w:p>
        </w:tc>
        <w:tc>
          <w:tcPr>
            <w:tcW w:w="2366"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招标文件</w:t>
            </w:r>
            <w:r>
              <w:rPr>
                <w:rFonts w:hint="eastAsia" w:ascii="宋体" w:hAnsi="宋体" w:eastAsia="宋体" w:cs="Corbel"/>
                <w:sz w:val="24"/>
                <w:szCs w:val="24"/>
              </w:rPr>
              <w:t>符合性审查条款</w:t>
            </w:r>
          </w:p>
        </w:tc>
        <w:tc>
          <w:tcPr>
            <w:tcW w:w="2835"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投标响应内容对应简述</w:t>
            </w:r>
          </w:p>
        </w:tc>
        <w:tc>
          <w:tcPr>
            <w:tcW w:w="1276"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偏离说明</w:t>
            </w:r>
          </w:p>
        </w:tc>
        <w:tc>
          <w:tcPr>
            <w:tcW w:w="1417" w:type="dxa"/>
            <w:shd w:val="clear" w:color="auto" w:fill="F1F1F1" w:themeFill="background1" w:themeFillShade="F2"/>
          </w:tcPr>
          <w:p>
            <w:pPr>
              <w:jc w:val="center"/>
              <w:rPr>
                <w:rFonts w:ascii="宋体" w:hAnsi="宋体" w:eastAsia="宋体" w:cs="FangSong_GB2312"/>
                <w:sz w:val="24"/>
                <w:szCs w:val="24"/>
              </w:rPr>
            </w:pPr>
            <w:r>
              <w:rPr>
                <w:rFonts w:hint="eastAsia" w:ascii="宋体" w:hAnsi="宋体" w:eastAsia="宋体" w:cs="FangSong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1</w:t>
            </w:r>
          </w:p>
        </w:tc>
        <w:tc>
          <w:tcPr>
            <w:tcW w:w="2366" w:type="dxa"/>
            <w:vAlign w:val="center"/>
          </w:tcPr>
          <w:p>
            <w:pPr>
              <w:jc w:val="center"/>
              <w:rPr>
                <w:rFonts w:ascii="宋体" w:hAnsi="宋体" w:eastAsia="宋体" w:cs="FangSong_GB2312"/>
                <w:sz w:val="24"/>
                <w:szCs w:val="24"/>
              </w:rPr>
            </w:pPr>
          </w:p>
        </w:tc>
        <w:tc>
          <w:tcPr>
            <w:tcW w:w="2835"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2</w:t>
            </w:r>
          </w:p>
        </w:tc>
        <w:tc>
          <w:tcPr>
            <w:tcW w:w="2366" w:type="dxa"/>
            <w:vAlign w:val="center"/>
          </w:tcPr>
          <w:p>
            <w:pPr>
              <w:jc w:val="center"/>
              <w:rPr>
                <w:rFonts w:ascii="宋体" w:hAnsi="宋体" w:eastAsia="宋体" w:cs="FangSong_GB2312"/>
                <w:sz w:val="24"/>
                <w:szCs w:val="24"/>
              </w:rPr>
            </w:pPr>
          </w:p>
        </w:tc>
        <w:tc>
          <w:tcPr>
            <w:tcW w:w="2835"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3</w:t>
            </w:r>
          </w:p>
        </w:tc>
        <w:tc>
          <w:tcPr>
            <w:tcW w:w="2366" w:type="dxa"/>
            <w:vAlign w:val="center"/>
          </w:tcPr>
          <w:p>
            <w:pPr>
              <w:jc w:val="center"/>
              <w:rPr>
                <w:rFonts w:ascii="宋体" w:hAnsi="宋体" w:eastAsia="宋体" w:cs="FangSong_GB2312"/>
                <w:sz w:val="24"/>
                <w:szCs w:val="24"/>
              </w:rPr>
            </w:pPr>
          </w:p>
        </w:tc>
        <w:tc>
          <w:tcPr>
            <w:tcW w:w="2835"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4</w:t>
            </w:r>
          </w:p>
        </w:tc>
        <w:tc>
          <w:tcPr>
            <w:tcW w:w="2366" w:type="dxa"/>
            <w:vAlign w:val="center"/>
          </w:tcPr>
          <w:p>
            <w:pPr>
              <w:jc w:val="center"/>
              <w:rPr>
                <w:rFonts w:ascii="宋体" w:hAnsi="宋体" w:eastAsia="宋体" w:cs="FangSong_GB2312"/>
                <w:sz w:val="24"/>
                <w:szCs w:val="24"/>
              </w:rPr>
            </w:pPr>
          </w:p>
        </w:tc>
        <w:tc>
          <w:tcPr>
            <w:tcW w:w="2835"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5</w:t>
            </w:r>
          </w:p>
        </w:tc>
        <w:tc>
          <w:tcPr>
            <w:tcW w:w="2366" w:type="dxa"/>
            <w:vAlign w:val="center"/>
          </w:tcPr>
          <w:p>
            <w:pPr>
              <w:jc w:val="center"/>
              <w:rPr>
                <w:rFonts w:ascii="宋体" w:hAnsi="宋体" w:eastAsia="宋体" w:cs="FangSong_GB2312"/>
                <w:sz w:val="24"/>
                <w:szCs w:val="24"/>
              </w:rPr>
            </w:pPr>
          </w:p>
        </w:tc>
        <w:tc>
          <w:tcPr>
            <w:tcW w:w="2835"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6</w:t>
            </w:r>
          </w:p>
        </w:tc>
        <w:tc>
          <w:tcPr>
            <w:tcW w:w="2366" w:type="dxa"/>
            <w:vAlign w:val="center"/>
          </w:tcPr>
          <w:p>
            <w:pPr>
              <w:jc w:val="center"/>
              <w:rPr>
                <w:rFonts w:ascii="宋体" w:hAnsi="宋体" w:eastAsia="宋体" w:cs="FangSong_GB2312"/>
                <w:sz w:val="24"/>
                <w:szCs w:val="24"/>
              </w:rPr>
            </w:pPr>
          </w:p>
        </w:tc>
        <w:tc>
          <w:tcPr>
            <w:tcW w:w="2835"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w:t>
            </w:r>
          </w:p>
        </w:tc>
        <w:tc>
          <w:tcPr>
            <w:tcW w:w="2366" w:type="dxa"/>
            <w:vAlign w:val="center"/>
          </w:tcPr>
          <w:p>
            <w:pPr>
              <w:jc w:val="center"/>
              <w:rPr>
                <w:rFonts w:ascii="宋体" w:hAnsi="宋体" w:eastAsia="宋体" w:cs="FangSong_GB2312"/>
                <w:sz w:val="24"/>
                <w:szCs w:val="24"/>
              </w:rPr>
            </w:pPr>
          </w:p>
        </w:tc>
        <w:tc>
          <w:tcPr>
            <w:tcW w:w="2835"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bl>
    <w:p>
      <w:pPr>
        <w:spacing w:line="360" w:lineRule="auto"/>
        <w:ind w:left="1092" w:hanging="1092" w:hangingChars="455"/>
        <w:jc w:val="left"/>
        <w:rPr>
          <w:rFonts w:ascii="宋体" w:hAnsi="宋体" w:eastAsia="宋体" w:cs="Times New Roman"/>
          <w:b/>
          <w:sz w:val="24"/>
          <w:szCs w:val="24"/>
        </w:rPr>
      </w:pPr>
      <w:r>
        <w:rPr>
          <w:rFonts w:hint="eastAsia" w:ascii="宋体" w:hAnsi="宋体" w:eastAsia="宋体" w:cs="Times New Roman"/>
          <w:sz w:val="24"/>
          <w:szCs w:val="24"/>
        </w:rPr>
        <w:t>说明</w:t>
      </w:r>
      <w:r>
        <w:rPr>
          <w:rFonts w:hint="eastAsia" w:ascii="宋体" w:hAnsi="宋体" w:eastAsia="宋体" w:cs="Corbel"/>
          <w:sz w:val="24"/>
          <w:szCs w:val="24"/>
        </w:rPr>
        <w:t>：1</w:t>
      </w:r>
      <w:r>
        <w:rPr>
          <w:rFonts w:hint="eastAsia" w:ascii="宋体" w:hAnsi="宋体" w:eastAsia="宋体" w:cs="Times New Roman"/>
          <w:sz w:val="24"/>
          <w:szCs w:val="24"/>
        </w:rPr>
        <w:t>．</w:t>
      </w:r>
      <w:r>
        <w:rPr>
          <w:rFonts w:hint="eastAsia" w:ascii="宋体" w:hAnsi="宋体" w:eastAsia="宋体" w:cs="Corbel"/>
          <w:sz w:val="24"/>
          <w:szCs w:val="24"/>
        </w:rPr>
        <w:t>投标人应按招标文件第五章“评标方法、程序及标准”中“符合性审查”的条款逐项说明是否满足要求，如有偏离,投标人应详细说明。未按照要求详细完整填写此表或仅注明“符合”、“满足”的，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Times New Roman"/>
          <w:b/>
          <w:sz w:val="24"/>
          <w:szCs w:val="24"/>
        </w:rPr>
      </w:pPr>
      <w:r>
        <w:rPr>
          <w:rFonts w:hint="eastAsia" w:ascii="宋体" w:hAnsi="宋体" w:eastAsia="宋体" w:cs="Corbel"/>
          <w:sz w:val="24"/>
          <w:szCs w:val="24"/>
        </w:rPr>
        <w:t>2．</w:t>
      </w:r>
      <w:r>
        <w:rPr>
          <w:rFonts w:hint="eastAsia" w:ascii="宋体" w:hAnsi="宋体" w:eastAsia="宋体" w:cs="Times New Roman"/>
          <w:sz w:val="24"/>
          <w:szCs w:val="24"/>
        </w:rPr>
        <w:t>投标人</w:t>
      </w:r>
      <w:r>
        <w:rPr>
          <w:rFonts w:hint="eastAsia" w:ascii="宋体" w:hAnsi="宋体" w:eastAsia="宋体" w:cs="Corbel"/>
          <w:sz w:val="24"/>
          <w:szCs w:val="24"/>
        </w:rPr>
        <w:t>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2"/>
        </w:numPr>
        <w:spacing w:before="100" w:beforeAutospacing="1" w:afterLines="50" w:line="360" w:lineRule="auto"/>
        <w:ind w:left="3710" w:hanging="1610"/>
        <w:rPr>
          <w:rFonts w:ascii="宋体" w:hAnsi="宋体" w:eastAsia="宋体"/>
        </w:rPr>
      </w:pPr>
      <w:bookmarkStart w:id="197" w:name="_Toc494665016"/>
      <w:bookmarkStart w:id="198" w:name="_Toc494665966"/>
      <w:bookmarkStart w:id="199" w:name="_Toc22964"/>
      <w:bookmarkStart w:id="200" w:name="_Toc494721116"/>
      <w:bookmarkStart w:id="201" w:name="_Toc494702286"/>
      <w:bookmarkStart w:id="202" w:name="_Toc494665569"/>
      <w:bookmarkStart w:id="203" w:name="_Toc494745333"/>
      <w:r>
        <w:rPr>
          <w:rFonts w:hint="eastAsia" w:ascii="宋体" w:hAnsi="宋体" w:eastAsia="宋体"/>
        </w:rPr>
        <w:t>商务要求响应、偏离说明表</w:t>
      </w:r>
      <w:bookmarkEnd w:id="197"/>
      <w:bookmarkEnd w:id="198"/>
      <w:bookmarkEnd w:id="199"/>
      <w:bookmarkEnd w:id="200"/>
      <w:bookmarkEnd w:id="201"/>
      <w:bookmarkEnd w:id="202"/>
      <w:bookmarkEnd w:id="203"/>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093"/>
        <w:gridCol w:w="2268"/>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2"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序号</w:t>
            </w:r>
          </w:p>
        </w:tc>
        <w:tc>
          <w:tcPr>
            <w:tcW w:w="2093"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招标文件商务要求条款</w:t>
            </w:r>
          </w:p>
        </w:tc>
        <w:tc>
          <w:tcPr>
            <w:tcW w:w="2268"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投标响应内容对应简述</w:t>
            </w:r>
          </w:p>
        </w:tc>
        <w:tc>
          <w:tcPr>
            <w:tcW w:w="1701"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偏离说明</w:t>
            </w:r>
          </w:p>
        </w:tc>
        <w:tc>
          <w:tcPr>
            <w:tcW w:w="1843" w:type="dxa"/>
            <w:shd w:val="clear" w:color="auto" w:fill="F1F1F1" w:themeFill="background1" w:themeFillShade="F2"/>
          </w:tcPr>
          <w:p>
            <w:pPr>
              <w:jc w:val="center"/>
              <w:rPr>
                <w:rFonts w:ascii="宋体" w:hAnsi="宋体" w:eastAsia="宋体" w:cs="FangSong_GB2312"/>
                <w:sz w:val="24"/>
                <w:szCs w:val="24"/>
              </w:rPr>
            </w:pPr>
            <w:r>
              <w:rPr>
                <w:rFonts w:hint="eastAsia" w:ascii="宋体" w:hAnsi="宋体" w:eastAsia="宋体" w:cs="FangSong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1</w:t>
            </w:r>
          </w:p>
        </w:tc>
        <w:tc>
          <w:tcPr>
            <w:tcW w:w="2093"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2</w:t>
            </w:r>
          </w:p>
        </w:tc>
        <w:tc>
          <w:tcPr>
            <w:tcW w:w="2093"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3</w:t>
            </w:r>
          </w:p>
        </w:tc>
        <w:tc>
          <w:tcPr>
            <w:tcW w:w="2093"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4</w:t>
            </w:r>
          </w:p>
        </w:tc>
        <w:tc>
          <w:tcPr>
            <w:tcW w:w="2093"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5</w:t>
            </w:r>
          </w:p>
        </w:tc>
        <w:tc>
          <w:tcPr>
            <w:tcW w:w="2093"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6</w:t>
            </w:r>
          </w:p>
        </w:tc>
        <w:tc>
          <w:tcPr>
            <w:tcW w:w="2093"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w:t>
            </w:r>
          </w:p>
        </w:tc>
        <w:tc>
          <w:tcPr>
            <w:tcW w:w="2093"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Times New Roman"/>
          <w:sz w:val="24"/>
          <w:szCs w:val="24"/>
        </w:rPr>
        <w:t>说明</w:t>
      </w:r>
      <w:r>
        <w:rPr>
          <w:rFonts w:hint="eastAsia" w:ascii="宋体" w:hAnsi="宋体" w:eastAsia="宋体" w:cs="Corbel"/>
          <w:sz w:val="24"/>
          <w:szCs w:val="24"/>
        </w:rPr>
        <w:t>：1．投标人应按招标文件第三章“项目技术、服务及商务要求”中“商务要求”条款逐项说明是否满足要求，如有偏离,投标人应详细说明。未按照要求填写此表或仅注明“符合”、“满足”的，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Corbel"/>
          <w:sz w:val="24"/>
          <w:szCs w:val="24"/>
        </w:rPr>
        <w:t>2．投标人</w:t>
      </w:r>
      <w:r>
        <w:rPr>
          <w:rFonts w:hint="eastAsia" w:ascii="宋体" w:hAnsi="宋体" w:eastAsia="宋体" w:cs="Times New Roman"/>
          <w:sz w:val="24"/>
          <w:szCs w:val="24"/>
        </w:rPr>
        <w:t>提供</w:t>
      </w:r>
      <w:r>
        <w:rPr>
          <w:rFonts w:hint="eastAsia" w:ascii="宋体" w:hAnsi="宋体" w:eastAsia="宋体" w:cs="Corbel"/>
          <w:sz w:val="24"/>
          <w:szCs w:val="24"/>
        </w:rPr>
        <w:t>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2"/>
        </w:numPr>
        <w:spacing w:before="100" w:beforeAutospacing="1" w:afterLines="50" w:line="360" w:lineRule="auto"/>
        <w:ind w:left="3710" w:hanging="1610"/>
        <w:rPr>
          <w:rFonts w:ascii="宋体" w:hAnsi="宋体" w:eastAsia="宋体"/>
        </w:rPr>
      </w:pPr>
      <w:bookmarkStart w:id="204" w:name="_Toc494721117"/>
      <w:bookmarkStart w:id="205" w:name="_Toc494745334"/>
      <w:bookmarkStart w:id="206" w:name="_Toc494702287"/>
      <w:bookmarkStart w:id="207" w:name="_Toc494665017"/>
      <w:bookmarkStart w:id="208" w:name="_Toc15225"/>
      <w:bookmarkStart w:id="209" w:name="_Toc494665570"/>
      <w:bookmarkStart w:id="210" w:name="_Toc494665967"/>
      <w:r>
        <w:rPr>
          <w:rFonts w:hint="eastAsia" w:ascii="宋体" w:hAnsi="宋体" w:eastAsia="宋体"/>
        </w:rPr>
        <w:t>商务要求“★”号条款响应、偏离说明表</w:t>
      </w:r>
      <w:bookmarkEnd w:id="204"/>
      <w:bookmarkEnd w:id="205"/>
      <w:bookmarkEnd w:id="206"/>
      <w:bookmarkEnd w:id="207"/>
      <w:bookmarkEnd w:id="208"/>
      <w:bookmarkEnd w:id="209"/>
      <w:bookmarkEnd w:id="210"/>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519"/>
        <w:gridCol w:w="2268"/>
        <w:gridCol w:w="14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742"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序号</w:t>
            </w:r>
          </w:p>
        </w:tc>
        <w:tc>
          <w:tcPr>
            <w:tcW w:w="2519"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招标文件</w:t>
            </w:r>
            <w:r>
              <w:rPr>
                <w:rFonts w:hint="eastAsia" w:ascii="宋体" w:hAnsi="宋体" w:eastAsia="宋体" w:cs="Corbel"/>
                <w:sz w:val="24"/>
                <w:szCs w:val="24"/>
              </w:rPr>
              <w:t>商务要求“★”号条款</w:t>
            </w:r>
          </w:p>
        </w:tc>
        <w:tc>
          <w:tcPr>
            <w:tcW w:w="2268"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投标响应内容对应简述</w:t>
            </w:r>
          </w:p>
        </w:tc>
        <w:tc>
          <w:tcPr>
            <w:tcW w:w="1417"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偏离说明</w:t>
            </w:r>
          </w:p>
        </w:tc>
        <w:tc>
          <w:tcPr>
            <w:tcW w:w="1701" w:type="dxa"/>
            <w:shd w:val="clear" w:color="auto" w:fill="F1F1F1" w:themeFill="background1" w:themeFillShade="F2"/>
          </w:tcPr>
          <w:p>
            <w:pPr>
              <w:jc w:val="center"/>
              <w:rPr>
                <w:rFonts w:ascii="宋体" w:hAnsi="宋体" w:eastAsia="宋体" w:cs="FangSong_GB2312"/>
                <w:sz w:val="24"/>
                <w:szCs w:val="24"/>
              </w:rPr>
            </w:pPr>
            <w:r>
              <w:rPr>
                <w:rFonts w:hint="eastAsia" w:ascii="宋体" w:hAnsi="宋体" w:eastAsia="宋体" w:cs="FangSong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1</w:t>
            </w:r>
          </w:p>
        </w:tc>
        <w:tc>
          <w:tcPr>
            <w:tcW w:w="2519"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2</w:t>
            </w:r>
          </w:p>
        </w:tc>
        <w:tc>
          <w:tcPr>
            <w:tcW w:w="2519"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3</w:t>
            </w:r>
          </w:p>
        </w:tc>
        <w:tc>
          <w:tcPr>
            <w:tcW w:w="2519"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4</w:t>
            </w:r>
          </w:p>
        </w:tc>
        <w:tc>
          <w:tcPr>
            <w:tcW w:w="2519"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5</w:t>
            </w:r>
          </w:p>
        </w:tc>
        <w:tc>
          <w:tcPr>
            <w:tcW w:w="2519"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6</w:t>
            </w:r>
          </w:p>
        </w:tc>
        <w:tc>
          <w:tcPr>
            <w:tcW w:w="2519"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w:t>
            </w:r>
          </w:p>
        </w:tc>
        <w:tc>
          <w:tcPr>
            <w:tcW w:w="2519"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bl>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投标人应按招标文件第三章“项目技术、服务及商务要求”中商务要求“★”号条款进行逐项说明是否满足要求，如有偏离,投标人应详细说明。未按照要求填写此表或仅注明“符合”、“满足”的，导致的后果由投标人自行承担。</w:t>
      </w:r>
    </w:p>
    <w:p>
      <w:pPr>
        <w:numPr>
          <w:ilvl w:val="0"/>
          <w:numId w:val="54"/>
        </w:numPr>
        <w:spacing w:line="360" w:lineRule="auto"/>
        <w:ind w:left="1117" w:leftChars="0" w:hanging="420" w:firstLineChars="0"/>
        <w:jc w:val="left"/>
        <w:rPr>
          <w:rFonts w:hint="eastAsia" w:ascii="宋体" w:hAnsi="宋体" w:eastAsia="宋体" w:cs="Times New Roman"/>
          <w:sz w:val="24"/>
          <w:szCs w:val="24"/>
        </w:rPr>
      </w:pPr>
      <w:r>
        <w:rPr>
          <w:rFonts w:hint="eastAsia" w:ascii="宋体" w:hAnsi="宋体" w:eastAsia="宋体" w:cs="Corbel"/>
          <w:sz w:val="24"/>
          <w:szCs w:val="24"/>
        </w:rPr>
        <w:t>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numPr>
          <w:ilvl w:val="0"/>
          <w:numId w:val="0"/>
        </w:numPr>
        <w:spacing w:line="360" w:lineRule="auto"/>
        <w:ind w:left="697" w:leftChars="0"/>
        <w:jc w:val="center"/>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2"/>
        </w:numPr>
        <w:spacing w:before="100" w:beforeAutospacing="1" w:afterLines="50" w:line="360" w:lineRule="auto"/>
        <w:ind w:left="3710" w:hanging="1610"/>
        <w:rPr>
          <w:rFonts w:ascii="宋体" w:hAnsi="宋体" w:eastAsia="宋体"/>
        </w:rPr>
      </w:pPr>
      <w:bookmarkStart w:id="211" w:name="_Toc494702288"/>
      <w:bookmarkStart w:id="212" w:name="_Toc494665571"/>
      <w:bookmarkStart w:id="213" w:name="_Toc494665018"/>
      <w:bookmarkStart w:id="214" w:name="_Toc494721118"/>
      <w:bookmarkStart w:id="215" w:name="_Toc494665968"/>
      <w:bookmarkStart w:id="216" w:name="_Toc494745335"/>
      <w:bookmarkStart w:id="217" w:name="_Toc25257"/>
      <w:r>
        <w:rPr>
          <w:rFonts w:hint="eastAsia" w:ascii="宋体" w:hAnsi="宋体" w:eastAsia="宋体"/>
        </w:rPr>
        <w:t>商务评议对照表</w:t>
      </w:r>
      <w:bookmarkEnd w:id="211"/>
      <w:bookmarkEnd w:id="212"/>
      <w:bookmarkEnd w:id="213"/>
      <w:bookmarkEnd w:id="214"/>
      <w:bookmarkEnd w:id="215"/>
      <w:bookmarkEnd w:id="216"/>
      <w:bookmarkEnd w:id="217"/>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316"/>
        <w:gridCol w:w="2268"/>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1" w:type="dxa"/>
            <w:shd w:val="clear" w:color="auto" w:fill="F1F1F1" w:themeFill="background1" w:themeFillShade="F2"/>
            <w:vAlign w:val="center"/>
          </w:tcPr>
          <w:p>
            <w:pPr>
              <w:ind w:left="-37" w:leftChars="-18" w:right="-48" w:rightChars="-23"/>
              <w:jc w:val="center"/>
              <w:rPr>
                <w:rFonts w:ascii="宋体" w:hAnsi="宋体" w:eastAsia="宋体" w:cs="FangSong_GB2312"/>
                <w:sz w:val="24"/>
                <w:szCs w:val="24"/>
              </w:rPr>
            </w:pPr>
            <w:r>
              <w:rPr>
                <w:rFonts w:hint="eastAsia" w:ascii="宋体" w:hAnsi="宋体" w:eastAsia="宋体" w:cs="FangSong_GB2312"/>
                <w:sz w:val="24"/>
                <w:szCs w:val="24"/>
              </w:rPr>
              <w:t>序号</w:t>
            </w:r>
          </w:p>
        </w:tc>
        <w:tc>
          <w:tcPr>
            <w:tcW w:w="2316"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招标文件商务评分标准</w:t>
            </w:r>
          </w:p>
        </w:tc>
        <w:tc>
          <w:tcPr>
            <w:tcW w:w="2268"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投标响应内容对应简述</w:t>
            </w:r>
          </w:p>
        </w:tc>
        <w:tc>
          <w:tcPr>
            <w:tcW w:w="1559"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偏离说明</w:t>
            </w:r>
          </w:p>
        </w:tc>
        <w:tc>
          <w:tcPr>
            <w:tcW w:w="1843" w:type="dxa"/>
            <w:shd w:val="clear" w:color="auto" w:fill="F1F1F1" w:themeFill="background1" w:themeFillShade="F2"/>
          </w:tcPr>
          <w:p>
            <w:pPr>
              <w:jc w:val="center"/>
              <w:rPr>
                <w:rFonts w:ascii="宋体" w:hAnsi="宋体" w:eastAsia="宋体" w:cs="FangSong_GB2312"/>
                <w:sz w:val="24"/>
                <w:szCs w:val="24"/>
              </w:rPr>
            </w:pPr>
            <w:r>
              <w:rPr>
                <w:rFonts w:hint="eastAsia" w:ascii="宋体" w:hAnsi="宋体" w:eastAsia="宋体" w:cs="FangSong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FangSong_GB2312"/>
                <w:sz w:val="24"/>
                <w:szCs w:val="24"/>
              </w:rPr>
            </w:pPr>
          </w:p>
        </w:tc>
        <w:tc>
          <w:tcPr>
            <w:tcW w:w="2316"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FangSong_GB2312"/>
                <w:sz w:val="24"/>
                <w:szCs w:val="24"/>
              </w:rPr>
            </w:pPr>
          </w:p>
        </w:tc>
        <w:tc>
          <w:tcPr>
            <w:tcW w:w="2316"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FangSong_GB2312"/>
                <w:sz w:val="24"/>
                <w:szCs w:val="24"/>
              </w:rPr>
            </w:pPr>
          </w:p>
        </w:tc>
        <w:tc>
          <w:tcPr>
            <w:tcW w:w="2316"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FangSong_GB2312"/>
                <w:sz w:val="24"/>
                <w:szCs w:val="24"/>
              </w:rPr>
            </w:pPr>
          </w:p>
        </w:tc>
        <w:tc>
          <w:tcPr>
            <w:tcW w:w="2316"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FangSong_GB2312"/>
                <w:sz w:val="24"/>
                <w:szCs w:val="24"/>
              </w:rPr>
            </w:pPr>
          </w:p>
        </w:tc>
        <w:tc>
          <w:tcPr>
            <w:tcW w:w="2316"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63"/>
              </w:numPr>
              <w:jc w:val="center"/>
              <w:rPr>
                <w:rFonts w:ascii="宋体" w:hAnsi="宋体" w:eastAsia="宋体" w:cs="FangSong_GB2312"/>
                <w:sz w:val="24"/>
                <w:szCs w:val="24"/>
              </w:rPr>
            </w:pPr>
          </w:p>
        </w:tc>
        <w:tc>
          <w:tcPr>
            <w:tcW w:w="2316"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w:t>
            </w:r>
          </w:p>
        </w:tc>
        <w:tc>
          <w:tcPr>
            <w:tcW w:w="2316" w:type="dxa"/>
            <w:vAlign w:val="center"/>
          </w:tcPr>
          <w:p>
            <w:pPr>
              <w:jc w:val="center"/>
              <w:rPr>
                <w:rFonts w:ascii="宋体" w:hAnsi="宋体" w:eastAsia="宋体" w:cs="FangSong_GB2312"/>
                <w:sz w:val="24"/>
                <w:szCs w:val="24"/>
              </w:rPr>
            </w:pPr>
          </w:p>
        </w:tc>
        <w:tc>
          <w:tcPr>
            <w:tcW w:w="2268"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c>
          <w:tcPr>
            <w:tcW w:w="1843" w:type="dxa"/>
            <w:vAlign w:val="center"/>
          </w:tcPr>
          <w:p>
            <w:pPr>
              <w:jc w:val="center"/>
              <w:rPr>
                <w:rFonts w:ascii="宋体" w:hAnsi="宋体" w:eastAsia="宋体" w:cs="FangSong_GB2312"/>
                <w:sz w:val="24"/>
                <w:szCs w:val="24"/>
              </w:rPr>
            </w:pPr>
          </w:p>
        </w:tc>
      </w:tr>
    </w:tbl>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说明：1．投标人应按招标文件第五章“评标方法、程序及标准”中“商务评议”的评分标准逐项说明是否满足要求，如有偏离,投标人应详细说明。未按照要求填写此表或仅注明“符合”、“满足”的，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2"/>
        </w:numPr>
        <w:spacing w:before="100" w:beforeAutospacing="1" w:afterLines="50" w:line="360" w:lineRule="auto"/>
        <w:ind w:left="3710" w:hanging="1610"/>
        <w:rPr>
          <w:rFonts w:ascii="宋体" w:hAnsi="宋体" w:eastAsia="宋体"/>
        </w:rPr>
      </w:pPr>
      <w:bookmarkStart w:id="218" w:name="_Toc494665969"/>
      <w:bookmarkStart w:id="219" w:name="_Toc494665019"/>
      <w:bookmarkStart w:id="220" w:name="_Toc29327"/>
      <w:bookmarkStart w:id="221" w:name="_Toc494665572"/>
      <w:bookmarkStart w:id="222" w:name="_Toc494745336"/>
      <w:bookmarkStart w:id="223" w:name="_Toc494721119"/>
      <w:bookmarkStart w:id="224" w:name="_Toc494702289"/>
      <w:r>
        <w:rPr>
          <w:rFonts w:hint="eastAsia" w:ascii="宋体" w:hAnsi="宋体" w:eastAsia="宋体"/>
        </w:rPr>
        <w:t>技术、服务要求响应、偏离说明表</w:t>
      </w:r>
      <w:bookmarkEnd w:id="218"/>
      <w:bookmarkEnd w:id="219"/>
      <w:bookmarkEnd w:id="220"/>
      <w:bookmarkEnd w:id="221"/>
      <w:bookmarkEnd w:id="222"/>
      <w:bookmarkEnd w:id="223"/>
      <w:bookmarkEnd w:id="224"/>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516"/>
        <w:gridCol w:w="2126"/>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5"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序号</w:t>
            </w:r>
          </w:p>
        </w:tc>
        <w:tc>
          <w:tcPr>
            <w:tcW w:w="2516"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招标文件技术、服务要求条款</w:t>
            </w:r>
          </w:p>
        </w:tc>
        <w:tc>
          <w:tcPr>
            <w:tcW w:w="2126"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投标响应内容对应简述</w:t>
            </w:r>
          </w:p>
        </w:tc>
        <w:tc>
          <w:tcPr>
            <w:tcW w:w="1701"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偏离说明</w:t>
            </w:r>
          </w:p>
        </w:tc>
        <w:tc>
          <w:tcPr>
            <w:tcW w:w="1417" w:type="dxa"/>
            <w:shd w:val="clear" w:color="auto" w:fill="F1F1F1" w:themeFill="background1" w:themeFillShade="F2"/>
          </w:tcPr>
          <w:p>
            <w:pPr>
              <w:jc w:val="center"/>
              <w:rPr>
                <w:rFonts w:ascii="宋体" w:hAnsi="宋体" w:eastAsia="宋体" w:cs="FangSong_GB2312"/>
                <w:sz w:val="24"/>
                <w:szCs w:val="24"/>
              </w:rPr>
            </w:pPr>
            <w:r>
              <w:rPr>
                <w:rFonts w:hint="eastAsia" w:ascii="宋体" w:hAnsi="宋体" w:eastAsia="宋体" w:cs="FangSong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1</w:t>
            </w:r>
          </w:p>
        </w:tc>
        <w:tc>
          <w:tcPr>
            <w:tcW w:w="2516" w:type="dxa"/>
            <w:vAlign w:val="center"/>
          </w:tcPr>
          <w:p>
            <w:pPr>
              <w:jc w:val="center"/>
              <w:rPr>
                <w:rFonts w:ascii="宋体" w:hAnsi="宋体" w:eastAsia="宋体" w:cs="FangSong_GB2312"/>
                <w:sz w:val="24"/>
                <w:szCs w:val="24"/>
              </w:rPr>
            </w:pPr>
          </w:p>
        </w:tc>
        <w:tc>
          <w:tcPr>
            <w:tcW w:w="2126"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2</w:t>
            </w:r>
          </w:p>
        </w:tc>
        <w:tc>
          <w:tcPr>
            <w:tcW w:w="2516" w:type="dxa"/>
            <w:vAlign w:val="center"/>
          </w:tcPr>
          <w:p>
            <w:pPr>
              <w:jc w:val="center"/>
              <w:rPr>
                <w:rFonts w:ascii="宋体" w:hAnsi="宋体" w:eastAsia="宋体" w:cs="FangSong_GB2312"/>
                <w:sz w:val="24"/>
                <w:szCs w:val="24"/>
              </w:rPr>
            </w:pPr>
          </w:p>
        </w:tc>
        <w:tc>
          <w:tcPr>
            <w:tcW w:w="2126"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3</w:t>
            </w:r>
          </w:p>
        </w:tc>
        <w:tc>
          <w:tcPr>
            <w:tcW w:w="2516" w:type="dxa"/>
            <w:vAlign w:val="center"/>
          </w:tcPr>
          <w:p>
            <w:pPr>
              <w:jc w:val="center"/>
              <w:rPr>
                <w:rFonts w:ascii="宋体" w:hAnsi="宋体" w:eastAsia="宋体" w:cs="FangSong_GB2312"/>
                <w:sz w:val="24"/>
                <w:szCs w:val="24"/>
              </w:rPr>
            </w:pPr>
          </w:p>
        </w:tc>
        <w:tc>
          <w:tcPr>
            <w:tcW w:w="2126"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4</w:t>
            </w:r>
          </w:p>
        </w:tc>
        <w:tc>
          <w:tcPr>
            <w:tcW w:w="2516" w:type="dxa"/>
            <w:vAlign w:val="center"/>
          </w:tcPr>
          <w:p>
            <w:pPr>
              <w:jc w:val="center"/>
              <w:rPr>
                <w:rFonts w:ascii="宋体" w:hAnsi="宋体" w:eastAsia="宋体" w:cs="FangSong_GB2312"/>
                <w:sz w:val="24"/>
                <w:szCs w:val="24"/>
              </w:rPr>
            </w:pPr>
          </w:p>
        </w:tc>
        <w:tc>
          <w:tcPr>
            <w:tcW w:w="2126"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5</w:t>
            </w:r>
          </w:p>
        </w:tc>
        <w:tc>
          <w:tcPr>
            <w:tcW w:w="2516" w:type="dxa"/>
            <w:vAlign w:val="center"/>
          </w:tcPr>
          <w:p>
            <w:pPr>
              <w:jc w:val="center"/>
              <w:rPr>
                <w:rFonts w:ascii="宋体" w:hAnsi="宋体" w:eastAsia="宋体" w:cs="FangSong_GB2312"/>
                <w:sz w:val="24"/>
                <w:szCs w:val="24"/>
              </w:rPr>
            </w:pPr>
          </w:p>
        </w:tc>
        <w:tc>
          <w:tcPr>
            <w:tcW w:w="2126"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6</w:t>
            </w:r>
          </w:p>
        </w:tc>
        <w:tc>
          <w:tcPr>
            <w:tcW w:w="2516" w:type="dxa"/>
            <w:vAlign w:val="center"/>
          </w:tcPr>
          <w:p>
            <w:pPr>
              <w:jc w:val="center"/>
              <w:rPr>
                <w:rFonts w:ascii="宋体" w:hAnsi="宋体" w:eastAsia="宋体" w:cs="FangSong_GB2312"/>
                <w:sz w:val="24"/>
                <w:szCs w:val="24"/>
              </w:rPr>
            </w:pPr>
          </w:p>
        </w:tc>
        <w:tc>
          <w:tcPr>
            <w:tcW w:w="2126"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w:t>
            </w:r>
          </w:p>
        </w:tc>
        <w:tc>
          <w:tcPr>
            <w:tcW w:w="2516" w:type="dxa"/>
            <w:vAlign w:val="center"/>
          </w:tcPr>
          <w:p>
            <w:pPr>
              <w:jc w:val="center"/>
              <w:rPr>
                <w:rFonts w:ascii="宋体" w:hAnsi="宋体" w:eastAsia="宋体" w:cs="FangSong_GB2312"/>
                <w:sz w:val="24"/>
                <w:szCs w:val="24"/>
              </w:rPr>
            </w:pPr>
          </w:p>
        </w:tc>
        <w:tc>
          <w:tcPr>
            <w:tcW w:w="2126"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Corbel"/>
          <w:sz w:val="24"/>
          <w:szCs w:val="24"/>
        </w:rPr>
        <w:t>说明：1．投标人应按招标文件第三章“项目技术、服务及商务要求”中“技术、服务要求”条款逐项说明是否满足要求，如有偏离,投标人应详细说明。未按照要求填写此表或仅注明“符合”、“满足”的，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numPr>
          <w:ilvl w:val="0"/>
          <w:numId w:val="54"/>
        </w:numPr>
        <w:spacing w:line="360" w:lineRule="auto"/>
        <w:ind w:left="1117" w:leftChars="0" w:hanging="420" w:firstLineChars="0"/>
        <w:jc w:val="left"/>
        <w:rPr>
          <w:rFonts w:hint="eastAsia" w:ascii="宋体" w:hAnsi="宋体" w:eastAsia="宋体" w:cs="Times New Roman"/>
          <w:sz w:val="24"/>
          <w:szCs w:val="24"/>
        </w:rPr>
      </w:pPr>
      <w:r>
        <w:rPr>
          <w:rFonts w:hint="eastAsia" w:ascii="宋体" w:hAnsi="宋体" w:eastAsia="宋体" w:cs="Corbel"/>
          <w:sz w:val="24"/>
          <w:szCs w:val="24"/>
        </w:rPr>
        <w:t>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numPr>
          <w:ilvl w:val="0"/>
          <w:numId w:val="0"/>
        </w:numPr>
        <w:spacing w:line="360" w:lineRule="auto"/>
        <w:ind w:left="697" w:leftChars="0"/>
        <w:jc w:val="center"/>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2"/>
        </w:numPr>
        <w:spacing w:before="100" w:beforeAutospacing="1" w:afterLines="50" w:line="360" w:lineRule="auto"/>
        <w:ind w:left="3710" w:hanging="1610"/>
        <w:rPr>
          <w:rFonts w:ascii="宋体" w:hAnsi="宋体" w:eastAsia="宋体"/>
        </w:rPr>
      </w:pPr>
      <w:bookmarkStart w:id="225" w:name="_Toc494665573"/>
      <w:bookmarkStart w:id="226" w:name="_Toc494745337"/>
      <w:bookmarkStart w:id="227" w:name="_Toc494702290"/>
      <w:bookmarkStart w:id="228" w:name="_Toc494721120"/>
      <w:bookmarkStart w:id="229" w:name="_Toc494665020"/>
      <w:bookmarkStart w:id="230" w:name="_Toc12714"/>
      <w:bookmarkStart w:id="231" w:name="_Toc494665970"/>
      <w:bookmarkStart w:id="232" w:name="_Toc329859066"/>
      <w:r>
        <w:rPr>
          <w:rFonts w:hint="eastAsia" w:ascii="宋体" w:hAnsi="宋体" w:eastAsia="宋体"/>
        </w:rPr>
        <w:t>技术、服务要求“★”号条款响应、偏离说明表</w:t>
      </w:r>
      <w:bookmarkEnd w:id="225"/>
      <w:bookmarkEnd w:id="226"/>
      <w:bookmarkEnd w:id="227"/>
      <w:bookmarkEnd w:id="228"/>
      <w:bookmarkEnd w:id="229"/>
      <w:bookmarkEnd w:id="230"/>
      <w:bookmarkEnd w:id="231"/>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303"/>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2"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序号</w:t>
            </w:r>
          </w:p>
        </w:tc>
        <w:tc>
          <w:tcPr>
            <w:tcW w:w="2767"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招标文件</w:t>
            </w:r>
            <w:r>
              <w:rPr>
                <w:rFonts w:hint="eastAsia" w:ascii="宋体" w:hAnsi="宋体" w:eastAsia="宋体" w:cs="Corbel"/>
                <w:sz w:val="24"/>
                <w:szCs w:val="24"/>
              </w:rPr>
              <w:t>技术、服务要求“★”号条款</w:t>
            </w:r>
          </w:p>
        </w:tc>
        <w:tc>
          <w:tcPr>
            <w:tcW w:w="2303"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投标响应内容对应简述</w:t>
            </w:r>
          </w:p>
        </w:tc>
        <w:tc>
          <w:tcPr>
            <w:tcW w:w="1276"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偏离说明</w:t>
            </w:r>
          </w:p>
        </w:tc>
        <w:tc>
          <w:tcPr>
            <w:tcW w:w="1559" w:type="dxa"/>
            <w:shd w:val="clear" w:color="auto" w:fill="F1F1F1" w:themeFill="background1" w:themeFillShade="F2"/>
          </w:tcPr>
          <w:p>
            <w:pPr>
              <w:jc w:val="center"/>
              <w:rPr>
                <w:rFonts w:ascii="宋体" w:hAnsi="宋体" w:eastAsia="宋体" w:cs="FangSong_GB2312"/>
                <w:sz w:val="24"/>
                <w:szCs w:val="24"/>
              </w:rPr>
            </w:pPr>
            <w:r>
              <w:rPr>
                <w:rFonts w:hint="eastAsia" w:ascii="宋体" w:hAnsi="宋体" w:eastAsia="宋体" w:cs="FangSong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1</w:t>
            </w:r>
          </w:p>
        </w:tc>
        <w:tc>
          <w:tcPr>
            <w:tcW w:w="2767" w:type="dxa"/>
            <w:vAlign w:val="center"/>
          </w:tcPr>
          <w:p>
            <w:pPr>
              <w:jc w:val="center"/>
              <w:rPr>
                <w:rFonts w:ascii="宋体" w:hAnsi="宋体" w:eastAsia="宋体" w:cs="FangSong_GB2312"/>
                <w:sz w:val="24"/>
                <w:szCs w:val="24"/>
              </w:rPr>
            </w:pPr>
          </w:p>
        </w:tc>
        <w:tc>
          <w:tcPr>
            <w:tcW w:w="2303"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2</w:t>
            </w:r>
          </w:p>
        </w:tc>
        <w:tc>
          <w:tcPr>
            <w:tcW w:w="2767" w:type="dxa"/>
            <w:vAlign w:val="center"/>
          </w:tcPr>
          <w:p>
            <w:pPr>
              <w:jc w:val="center"/>
              <w:rPr>
                <w:rFonts w:ascii="宋体" w:hAnsi="宋体" w:eastAsia="宋体" w:cs="FangSong_GB2312"/>
                <w:sz w:val="24"/>
                <w:szCs w:val="24"/>
              </w:rPr>
            </w:pPr>
          </w:p>
        </w:tc>
        <w:tc>
          <w:tcPr>
            <w:tcW w:w="2303"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3</w:t>
            </w:r>
          </w:p>
        </w:tc>
        <w:tc>
          <w:tcPr>
            <w:tcW w:w="2767" w:type="dxa"/>
            <w:vAlign w:val="center"/>
          </w:tcPr>
          <w:p>
            <w:pPr>
              <w:jc w:val="center"/>
              <w:rPr>
                <w:rFonts w:ascii="宋体" w:hAnsi="宋体" w:eastAsia="宋体" w:cs="FangSong_GB2312"/>
                <w:sz w:val="24"/>
                <w:szCs w:val="24"/>
              </w:rPr>
            </w:pPr>
          </w:p>
        </w:tc>
        <w:tc>
          <w:tcPr>
            <w:tcW w:w="2303"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4</w:t>
            </w:r>
          </w:p>
        </w:tc>
        <w:tc>
          <w:tcPr>
            <w:tcW w:w="2767" w:type="dxa"/>
            <w:vAlign w:val="center"/>
          </w:tcPr>
          <w:p>
            <w:pPr>
              <w:jc w:val="center"/>
              <w:rPr>
                <w:rFonts w:ascii="宋体" w:hAnsi="宋体" w:eastAsia="宋体" w:cs="FangSong_GB2312"/>
                <w:sz w:val="24"/>
                <w:szCs w:val="24"/>
              </w:rPr>
            </w:pPr>
          </w:p>
        </w:tc>
        <w:tc>
          <w:tcPr>
            <w:tcW w:w="2303"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5</w:t>
            </w:r>
          </w:p>
        </w:tc>
        <w:tc>
          <w:tcPr>
            <w:tcW w:w="2767" w:type="dxa"/>
            <w:vAlign w:val="center"/>
          </w:tcPr>
          <w:p>
            <w:pPr>
              <w:jc w:val="center"/>
              <w:rPr>
                <w:rFonts w:ascii="宋体" w:hAnsi="宋体" w:eastAsia="宋体" w:cs="FangSong_GB2312"/>
                <w:sz w:val="24"/>
                <w:szCs w:val="24"/>
              </w:rPr>
            </w:pPr>
          </w:p>
        </w:tc>
        <w:tc>
          <w:tcPr>
            <w:tcW w:w="2303"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w:t>
            </w:r>
          </w:p>
        </w:tc>
        <w:tc>
          <w:tcPr>
            <w:tcW w:w="2767" w:type="dxa"/>
            <w:vAlign w:val="center"/>
          </w:tcPr>
          <w:p>
            <w:pPr>
              <w:jc w:val="center"/>
              <w:rPr>
                <w:rFonts w:ascii="宋体" w:hAnsi="宋体" w:eastAsia="宋体" w:cs="FangSong_GB2312"/>
                <w:sz w:val="24"/>
                <w:szCs w:val="24"/>
              </w:rPr>
            </w:pPr>
          </w:p>
        </w:tc>
        <w:tc>
          <w:tcPr>
            <w:tcW w:w="2303" w:type="dxa"/>
            <w:vAlign w:val="center"/>
          </w:tcPr>
          <w:p>
            <w:pPr>
              <w:jc w:val="center"/>
              <w:rPr>
                <w:rFonts w:ascii="宋体" w:hAnsi="宋体" w:eastAsia="宋体" w:cs="FangSong_GB2312"/>
                <w:sz w:val="24"/>
                <w:szCs w:val="24"/>
              </w:rPr>
            </w:pPr>
          </w:p>
        </w:tc>
        <w:tc>
          <w:tcPr>
            <w:tcW w:w="1276" w:type="dxa"/>
            <w:vAlign w:val="center"/>
          </w:tcPr>
          <w:p>
            <w:pPr>
              <w:jc w:val="center"/>
              <w:rPr>
                <w:rFonts w:ascii="宋体" w:hAnsi="宋体" w:eastAsia="宋体" w:cs="FangSong_GB2312"/>
                <w:sz w:val="24"/>
                <w:szCs w:val="24"/>
              </w:rPr>
            </w:pPr>
          </w:p>
        </w:tc>
        <w:tc>
          <w:tcPr>
            <w:tcW w:w="1559" w:type="dxa"/>
            <w:vAlign w:val="center"/>
          </w:tcPr>
          <w:p>
            <w:pPr>
              <w:jc w:val="center"/>
              <w:rPr>
                <w:rFonts w:ascii="宋体" w:hAnsi="宋体" w:eastAsia="宋体" w:cs="FangSong_GB2312"/>
                <w:sz w:val="24"/>
                <w:szCs w:val="24"/>
              </w:rPr>
            </w:pPr>
          </w:p>
        </w:tc>
      </w:tr>
    </w:tbl>
    <w:p>
      <w:pPr>
        <w:spacing w:line="360" w:lineRule="auto"/>
        <w:ind w:left="936" w:hanging="936" w:hangingChars="390"/>
        <w:jc w:val="left"/>
        <w:rPr>
          <w:rFonts w:ascii="宋体" w:hAnsi="宋体" w:eastAsia="宋体" w:cs="Corbel"/>
          <w:sz w:val="24"/>
          <w:szCs w:val="24"/>
        </w:rPr>
      </w:pPr>
      <w:r>
        <w:rPr>
          <w:rFonts w:hint="eastAsia" w:ascii="宋体" w:hAnsi="宋体" w:eastAsia="宋体" w:cs="Corbel"/>
          <w:sz w:val="24"/>
          <w:szCs w:val="24"/>
        </w:rPr>
        <w:t>说明：1．投标人应按招标文件第三章“项目技术、服务及商务要求”中技术、服务要求</w:t>
      </w:r>
      <w:r>
        <w:rPr>
          <w:rFonts w:hint="eastAsia" w:ascii="Times New Roman" w:hAnsi="宋体" w:eastAsia="宋体" w:cs="Times New Roman"/>
          <w:sz w:val="24"/>
          <w:szCs w:val="24"/>
        </w:rPr>
        <w:t>“★”号</w:t>
      </w:r>
      <w:r>
        <w:rPr>
          <w:rFonts w:hint="eastAsia" w:ascii="宋体" w:hAnsi="宋体" w:eastAsia="宋体" w:cs="Corbel"/>
          <w:sz w:val="24"/>
          <w:szCs w:val="24"/>
        </w:rPr>
        <w:t>条款进行逐项说明是否满足要求，如有偏离,投标人应详细说明。未按照要求填写此表或仅注明“符合”、“满足”的，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06" w:leftChars="306" w:hanging="364" w:hangingChars="152"/>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bookmarkEnd w:id="232"/>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2"/>
        </w:numPr>
        <w:spacing w:before="100" w:beforeAutospacing="1" w:afterLines="50" w:line="360" w:lineRule="auto"/>
        <w:ind w:left="3710" w:hanging="1610"/>
        <w:rPr>
          <w:rFonts w:ascii="宋体" w:hAnsi="宋体" w:eastAsia="宋体"/>
        </w:rPr>
      </w:pPr>
      <w:bookmarkStart w:id="233" w:name="_Toc494745338"/>
      <w:bookmarkStart w:id="234" w:name="_Toc494665971"/>
      <w:bookmarkStart w:id="235" w:name="_Toc27232"/>
      <w:bookmarkStart w:id="236" w:name="_Toc494665021"/>
      <w:bookmarkStart w:id="237" w:name="_Toc494665574"/>
      <w:bookmarkStart w:id="238" w:name="_Toc494721121"/>
      <w:bookmarkStart w:id="239" w:name="_Toc494702291"/>
      <w:r>
        <w:rPr>
          <w:rFonts w:hint="eastAsia" w:ascii="宋体" w:hAnsi="宋体" w:eastAsia="宋体"/>
        </w:rPr>
        <w:t>技术、服务评议对照表</w:t>
      </w:r>
      <w:bookmarkEnd w:id="233"/>
      <w:bookmarkEnd w:id="234"/>
      <w:bookmarkEnd w:id="235"/>
      <w:bookmarkEnd w:id="236"/>
      <w:bookmarkEnd w:id="237"/>
      <w:bookmarkEnd w:id="238"/>
      <w:bookmarkEnd w:id="239"/>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389"/>
        <w:gridCol w:w="2481"/>
        <w:gridCol w:w="14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9" w:type="dxa"/>
            <w:shd w:val="clear" w:color="auto" w:fill="F1F1F1" w:themeFill="background1" w:themeFillShade="F2"/>
            <w:vAlign w:val="center"/>
          </w:tcPr>
          <w:p>
            <w:pPr>
              <w:ind w:left="-37" w:leftChars="-18" w:right="-48" w:rightChars="-23"/>
              <w:jc w:val="center"/>
              <w:rPr>
                <w:rFonts w:ascii="宋体" w:hAnsi="宋体" w:eastAsia="宋体" w:cs="FangSong_GB2312"/>
                <w:sz w:val="24"/>
                <w:szCs w:val="24"/>
              </w:rPr>
            </w:pPr>
            <w:r>
              <w:rPr>
                <w:rFonts w:hint="eastAsia" w:ascii="宋体" w:hAnsi="宋体" w:eastAsia="宋体" w:cs="FangSong_GB2312"/>
                <w:sz w:val="24"/>
                <w:szCs w:val="24"/>
              </w:rPr>
              <w:t>序号</w:t>
            </w:r>
          </w:p>
        </w:tc>
        <w:tc>
          <w:tcPr>
            <w:tcW w:w="2389"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招标文件技术、服务评分标准</w:t>
            </w:r>
          </w:p>
        </w:tc>
        <w:tc>
          <w:tcPr>
            <w:tcW w:w="2481"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投标响应内容对应简述</w:t>
            </w:r>
          </w:p>
        </w:tc>
        <w:tc>
          <w:tcPr>
            <w:tcW w:w="1417" w:type="dxa"/>
            <w:shd w:val="clear" w:color="auto" w:fill="F1F1F1" w:themeFill="background1" w:themeFillShade="F2"/>
            <w:vAlign w:val="center"/>
          </w:tcPr>
          <w:p>
            <w:pPr>
              <w:jc w:val="center"/>
              <w:rPr>
                <w:rFonts w:ascii="宋体" w:hAnsi="宋体" w:eastAsia="宋体" w:cs="FangSong_GB2312"/>
                <w:sz w:val="24"/>
                <w:szCs w:val="24"/>
              </w:rPr>
            </w:pPr>
            <w:r>
              <w:rPr>
                <w:rFonts w:hint="eastAsia" w:ascii="宋体" w:hAnsi="宋体" w:eastAsia="宋体" w:cs="FangSong_GB2312"/>
                <w:sz w:val="24"/>
                <w:szCs w:val="24"/>
              </w:rPr>
              <w:t>偏离说明</w:t>
            </w:r>
          </w:p>
        </w:tc>
        <w:tc>
          <w:tcPr>
            <w:tcW w:w="1701" w:type="dxa"/>
            <w:shd w:val="clear" w:color="auto" w:fill="F1F1F1" w:themeFill="background1" w:themeFillShade="F2"/>
          </w:tcPr>
          <w:p>
            <w:pPr>
              <w:jc w:val="center"/>
              <w:rPr>
                <w:rFonts w:ascii="宋体" w:hAnsi="宋体" w:eastAsia="宋体" w:cs="FangSong_GB2312"/>
                <w:sz w:val="24"/>
                <w:szCs w:val="24"/>
              </w:rPr>
            </w:pPr>
            <w:r>
              <w:rPr>
                <w:rFonts w:hint="eastAsia" w:ascii="宋体" w:hAnsi="宋体" w:eastAsia="宋体" w:cs="FangSong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FangSong_GB2312"/>
                <w:sz w:val="24"/>
                <w:szCs w:val="24"/>
              </w:rPr>
            </w:pPr>
          </w:p>
        </w:tc>
        <w:tc>
          <w:tcPr>
            <w:tcW w:w="2389" w:type="dxa"/>
            <w:vAlign w:val="center"/>
          </w:tcPr>
          <w:p>
            <w:pPr>
              <w:jc w:val="center"/>
              <w:rPr>
                <w:rFonts w:ascii="宋体" w:hAnsi="宋体" w:eastAsia="宋体" w:cs="FangSong_GB2312"/>
                <w:sz w:val="24"/>
                <w:szCs w:val="24"/>
              </w:rPr>
            </w:pPr>
          </w:p>
        </w:tc>
        <w:tc>
          <w:tcPr>
            <w:tcW w:w="248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FangSong_GB2312"/>
                <w:sz w:val="24"/>
                <w:szCs w:val="24"/>
              </w:rPr>
            </w:pPr>
          </w:p>
        </w:tc>
        <w:tc>
          <w:tcPr>
            <w:tcW w:w="2389" w:type="dxa"/>
            <w:vAlign w:val="center"/>
          </w:tcPr>
          <w:p>
            <w:pPr>
              <w:jc w:val="center"/>
              <w:rPr>
                <w:rFonts w:ascii="宋体" w:hAnsi="宋体" w:eastAsia="宋体" w:cs="FangSong_GB2312"/>
                <w:sz w:val="24"/>
                <w:szCs w:val="24"/>
              </w:rPr>
            </w:pPr>
          </w:p>
        </w:tc>
        <w:tc>
          <w:tcPr>
            <w:tcW w:w="248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FangSong_GB2312"/>
                <w:sz w:val="24"/>
                <w:szCs w:val="24"/>
              </w:rPr>
            </w:pPr>
          </w:p>
        </w:tc>
        <w:tc>
          <w:tcPr>
            <w:tcW w:w="2389" w:type="dxa"/>
            <w:vAlign w:val="center"/>
          </w:tcPr>
          <w:p>
            <w:pPr>
              <w:jc w:val="center"/>
              <w:rPr>
                <w:rFonts w:ascii="宋体" w:hAnsi="宋体" w:eastAsia="宋体" w:cs="FangSong_GB2312"/>
                <w:sz w:val="24"/>
                <w:szCs w:val="24"/>
              </w:rPr>
            </w:pPr>
          </w:p>
        </w:tc>
        <w:tc>
          <w:tcPr>
            <w:tcW w:w="248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FangSong_GB2312"/>
                <w:sz w:val="24"/>
                <w:szCs w:val="24"/>
              </w:rPr>
            </w:pPr>
          </w:p>
        </w:tc>
        <w:tc>
          <w:tcPr>
            <w:tcW w:w="2389" w:type="dxa"/>
            <w:vAlign w:val="center"/>
          </w:tcPr>
          <w:p>
            <w:pPr>
              <w:jc w:val="center"/>
              <w:rPr>
                <w:rFonts w:ascii="宋体" w:hAnsi="宋体" w:eastAsia="宋体" w:cs="FangSong_GB2312"/>
                <w:sz w:val="24"/>
                <w:szCs w:val="24"/>
              </w:rPr>
            </w:pPr>
          </w:p>
        </w:tc>
        <w:tc>
          <w:tcPr>
            <w:tcW w:w="248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FangSong_GB2312"/>
                <w:sz w:val="24"/>
                <w:szCs w:val="24"/>
              </w:rPr>
            </w:pPr>
          </w:p>
        </w:tc>
        <w:tc>
          <w:tcPr>
            <w:tcW w:w="2389" w:type="dxa"/>
            <w:vAlign w:val="center"/>
          </w:tcPr>
          <w:p>
            <w:pPr>
              <w:jc w:val="center"/>
              <w:rPr>
                <w:rFonts w:ascii="宋体" w:hAnsi="宋体" w:eastAsia="宋体" w:cs="FangSong_GB2312"/>
                <w:sz w:val="24"/>
                <w:szCs w:val="24"/>
              </w:rPr>
            </w:pPr>
          </w:p>
        </w:tc>
        <w:tc>
          <w:tcPr>
            <w:tcW w:w="248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64"/>
              </w:numPr>
              <w:jc w:val="center"/>
              <w:rPr>
                <w:rFonts w:ascii="宋体" w:hAnsi="宋体" w:eastAsia="宋体" w:cs="FangSong_GB2312"/>
                <w:sz w:val="24"/>
                <w:szCs w:val="24"/>
              </w:rPr>
            </w:pPr>
          </w:p>
        </w:tc>
        <w:tc>
          <w:tcPr>
            <w:tcW w:w="2389" w:type="dxa"/>
            <w:vAlign w:val="center"/>
          </w:tcPr>
          <w:p>
            <w:pPr>
              <w:jc w:val="center"/>
              <w:rPr>
                <w:rFonts w:ascii="宋体" w:hAnsi="宋体" w:eastAsia="宋体" w:cs="FangSong_GB2312"/>
                <w:sz w:val="24"/>
                <w:szCs w:val="24"/>
              </w:rPr>
            </w:pPr>
          </w:p>
        </w:tc>
        <w:tc>
          <w:tcPr>
            <w:tcW w:w="248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eastAsia="宋体" w:cs="FangSong_GB2312"/>
                <w:sz w:val="24"/>
                <w:szCs w:val="24"/>
              </w:rPr>
            </w:pPr>
            <w:r>
              <w:rPr>
                <w:rFonts w:hint="eastAsia" w:ascii="宋体" w:hAnsi="宋体" w:eastAsia="宋体" w:cs="FangSong_GB2312"/>
                <w:sz w:val="24"/>
                <w:szCs w:val="24"/>
              </w:rPr>
              <w:t>…</w:t>
            </w:r>
          </w:p>
        </w:tc>
        <w:tc>
          <w:tcPr>
            <w:tcW w:w="2389" w:type="dxa"/>
            <w:vAlign w:val="center"/>
          </w:tcPr>
          <w:p>
            <w:pPr>
              <w:jc w:val="center"/>
              <w:rPr>
                <w:rFonts w:ascii="宋体" w:hAnsi="宋体" w:eastAsia="宋体" w:cs="FangSong_GB2312"/>
                <w:sz w:val="24"/>
                <w:szCs w:val="24"/>
              </w:rPr>
            </w:pPr>
          </w:p>
        </w:tc>
        <w:tc>
          <w:tcPr>
            <w:tcW w:w="2481" w:type="dxa"/>
            <w:vAlign w:val="center"/>
          </w:tcPr>
          <w:p>
            <w:pPr>
              <w:jc w:val="center"/>
              <w:rPr>
                <w:rFonts w:ascii="宋体" w:hAnsi="宋体" w:eastAsia="宋体" w:cs="FangSong_GB2312"/>
                <w:sz w:val="24"/>
                <w:szCs w:val="24"/>
              </w:rPr>
            </w:pPr>
          </w:p>
        </w:tc>
        <w:tc>
          <w:tcPr>
            <w:tcW w:w="1417" w:type="dxa"/>
            <w:vAlign w:val="center"/>
          </w:tcPr>
          <w:p>
            <w:pPr>
              <w:jc w:val="center"/>
              <w:rPr>
                <w:rFonts w:ascii="宋体" w:hAnsi="宋体" w:eastAsia="宋体" w:cs="FangSong_GB2312"/>
                <w:sz w:val="24"/>
                <w:szCs w:val="24"/>
              </w:rPr>
            </w:pPr>
          </w:p>
        </w:tc>
        <w:tc>
          <w:tcPr>
            <w:tcW w:w="1701" w:type="dxa"/>
            <w:vAlign w:val="center"/>
          </w:tcPr>
          <w:p>
            <w:pPr>
              <w:jc w:val="center"/>
              <w:rPr>
                <w:rFonts w:ascii="宋体" w:hAnsi="宋体" w:eastAsia="宋体" w:cs="FangSong_GB2312"/>
                <w:sz w:val="24"/>
                <w:szCs w:val="24"/>
              </w:rPr>
            </w:pPr>
          </w:p>
        </w:tc>
      </w:tr>
    </w:tbl>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说明：1．投标人应按招标文件第五章“评标方法、程序及标准”中“技术、服务评议”的评分标准逐项说明是否满足要求，如有偏离,投标人应详细说明。未按照要求填写此表或仅注明“符合”、“满足”的，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06" w:leftChars="306" w:hanging="364" w:hangingChars="152"/>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bookmarkEnd w:id="56"/>
    </w:p>
    <w:sectPr>
      <w:headerReference r:id="rId12" w:type="default"/>
      <w:footerReference r:id="rId13" w:type="default"/>
      <w:pgSz w:w="11906" w:h="16838"/>
      <w:pgMar w:top="1440" w:right="1701" w:bottom="1440" w:left="1701" w:header="851" w:footer="851" w:gutter="0"/>
      <w:pgNumType w:fmt="decimal"/>
      <w:cols w:space="425"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Corbel">
    <w:panose1 w:val="020B0503020204020204"/>
    <w:charset w:val="00"/>
    <w:family w:val="swiss"/>
    <w:pitch w:val="default"/>
    <w:sig w:usb0="A00002EF" w:usb1="4000A44B" w:usb2="00000000"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821"/>
      </w:tabs>
      <w:rPr>
        <w:rFonts w:ascii="宋体" w:hAnsi="宋体" w:eastAsia="宋体" w:cs="宋体"/>
        <w:kern w:val="0"/>
        <w:sz w:val="18"/>
        <w:szCs w:val="18"/>
        <w:u w:val="single"/>
      </w:rPr>
    </w:pPr>
  </w:p>
  <w:p>
    <w:pPr>
      <w:pStyle w:val="9"/>
      <w:tabs>
        <w:tab w:val="center" w:pos="4153"/>
        <w:tab w:val="right" w:pos="8426"/>
      </w:tabs>
      <w:jc w:val="left"/>
      <w:rPr>
        <w:rFonts w:ascii="宋体" w:hAnsi="宋体" w:eastAsia="宋体" w:cs="宋体"/>
        <w:kern w:val="0"/>
        <w:sz w:val="18"/>
        <w:szCs w:val="18"/>
        <w:u w:val="single"/>
      </w:rPr>
    </w:pPr>
    <w:r>
      <w:rPr>
        <w:rFonts w:hint="eastAsia" w:ascii="宋体" w:hAnsi="宋体" w:eastAsia="宋体" w:cs="宋体"/>
        <w:kern w:val="0"/>
        <w:sz w:val="18"/>
        <w:szCs w:val="18"/>
        <w:u w:val="single"/>
      </w:rPr>
      <w:tab/>
    </w:r>
    <w:r>
      <w:rPr>
        <w:rFonts w:hint="eastAsia" w:ascii="宋体" w:hAnsi="宋体" w:eastAsia="宋体" w:cs="宋体"/>
        <w:kern w:val="0"/>
        <w:sz w:val="18"/>
        <w:szCs w:val="18"/>
        <w:u w:val="single"/>
      </w:rPr>
      <w:tab/>
    </w:r>
    <w:r>
      <w:rPr>
        <w:rFonts w:hint="eastAsia" w:ascii="宋体" w:hAnsi="宋体" w:eastAsia="宋体" w:cs="宋体"/>
        <w:kern w:val="0"/>
        <w:sz w:val="18"/>
        <w:szCs w:val="18"/>
        <w:u w:val="single"/>
      </w:rPr>
      <w:t>湖北大绪工程项目管理有限公司制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eastAsia"/>
        <w:sz w:val="20"/>
        <w:szCs w:val="20"/>
        <w:u w:val="none"/>
        <w:lang w:val="en-US" w:eastAsia="zh-CN"/>
      </w:rPr>
    </w:pPr>
    <w:r>
      <w:rPr>
        <w:rFonts w:hint="eastAsia" w:ascii="宋体" w:hAnsi="宋体" w:eastAsia="宋体" w:cs="宋体"/>
        <w:kern w:val="0"/>
        <w:sz w:val="18"/>
        <w:szCs w:val="18"/>
        <w:u w:val="none"/>
      </w:rPr>
      <w:tab/>
    </w:r>
    <w:r>
      <w:rPr>
        <w:rFonts w:hint="eastAsia" w:ascii="宋体" w:hAnsi="宋体" w:eastAsia="宋体" w:cs="宋体"/>
        <w:kern w:val="0"/>
        <w:sz w:val="18"/>
        <w:szCs w:val="18"/>
        <w:u w:val="none"/>
      </w:rPr>
      <w:tab/>
    </w:r>
    <w:r>
      <w:rPr>
        <w:rFonts w:hint="eastAsia" w:ascii="宋体" w:hAnsi="宋体" w:eastAsia="宋体" w:cs="宋体"/>
        <w:kern w:val="0"/>
        <w:sz w:val="20"/>
        <w:szCs w:val="20"/>
        <w:u w:val="none"/>
      </w:rPr>
      <w:t>湖北大绪工程项目管理有限公司制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firstLine="4397"/>
      <w:rPr>
        <w:rFonts w:ascii="宋体" w:hAnsi="宋体" w:eastAsia="宋体" w:cs="宋体"/>
        <w:sz w:val="17"/>
        <w:szCs w:val="17"/>
        <w:u w:val="single"/>
      </w:rPr>
    </w:pPr>
  </w:p>
  <w:p>
    <w:pPr>
      <w:spacing w:line="196" w:lineRule="auto"/>
      <w:ind w:firstLine="4397"/>
      <w:jc w:val="right"/>
      <w:rPr>
        <w:rFonts w:ascii="宋体" w:hAnsi="宋体" w:eastAsia="宋体" w:cs="宋体"/>
        <w:sz w:val="17"/>
        <w:szCs w:val="17"/>
        <w:u w:val="none"/>
      </w:rPr>
    </w:pPr>
    <w:r>
      <w:rPr>
        <w:rFonts w:hint="eastAsia" w:ascii="宋体" w:hAnsi="宋体" w:eastAsia="宋体" w:cs="宋体"/>
        <w:kern w:val="0"/>
        <w:sz w:val="18"/>
        <w:szCs w:val="18"/>
        <w:u w:val="none"/>
        <w:lang w:val="en-US" w:eastAsia="zh-CN"/>
      </w:rPr>
      <w:t xml:space="preserve"> </w:t>
    </w:r>
    <w:r>
      <w:rPr>
        <w:rFonts w:hint="eastAsia" w:ascii="宋体" w:hAnsi="宋体" w:eastAsia="宋体" w:cs="宋体"/>
        <w:kern w:val="0"/>
        <w:sz w:val="18"/>
        <w:szCs w:val="18"/>
        <w:u w:val="none"/>
      </w:rPr>
      <w:t>湖北大绪工程项目管理有限公司制</w:t>
    </w:r>
  </w:p>
  <w:p>
    <w:pPr>
      <w:spacing w:line="196" w:lineRule="auto"/>
      <w:ind w:firstLine="4397"/>
      <w:rPr>
        <w:rFonts w:ascii="宋体" w:hAnsi="宋体" w:eastAsia="宋体" w:cs="宋体"/>
        <w:sz w:val="17"/>
        <w:szCs w:val="17"/>
      </w:rPr>
    </w:pPr>
    <w:r>
      <w:rPr>
        <w:sz w:val="17"/>
      </w:rPr>
      <w:pict>
        <v:shape id="_x0000_s3083" o:spid="_x0000_s308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3</w:t>
                </w:r>
                <w:r>
                  <w:fldChar w:fldCharType="end"/>
                </w:r>
                <w: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firstLine="4397"/>
      <w:rPr>
        <w:rFonts w:ascii="宋体" w:hAnsi="宋体" w:eastAsia="宋体" w:cs="宋体"/>
        <w:sz w:val="17"/>
        <w:szCs w:val="17"/>
      </w:rPr>
    </w:pPr>
    <w:r>
      <w:rPr>
        <w:sz w:val="17"/>
      </w:rPr>
      <w:pict>
        <v:shape id="_x0000_s3091" o:spid="_x0000_s309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2</w:t>
                </w:r>
                <w:r>
                  <w:fldChar w:fldCharType="end"/>
                </w:r>
                <w: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firstLine="4257"/>
      <w:rPr>
        <w:rFonts w:ascii="宋体" w:hAnsi="宋体" w:eastAsia="宋体" w:cs="宋体"/>
        <w:sz w:val="17"/>
        <w:szCs w:val="17"/>
      </w:rPr>
    </w:pPr>
    <w:r>
      <w:rPr>
        <w:sz w:val="17"/>
      </w:rPr>
      <w:pict>
        <v:shape id="_x0000_s3085" o:spid="_x0000_s308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18</w:t>
                </w:r>
                <w:r>
                  <w:fldChar w:fldCharType="end"/>
                </w:r>
                <w: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000000" w:themeColor="text1" w:sz="4" w:space="1"/>
      </w:pBdr>
      <w:tabs>
        <w:tab w:val="clear" w:pos="4153"/>
        <w:tab w:val="clear" w:pos="8306"/>
      </w:tabs>
      <w:ind w:right="-9"/>
      <w:jc w:val="right"/>
    </w:pPr>
    <w:r>
      <w:rPr>
        <w:sz w:val="18"/>
      </w:rPr>
      <w:pict>
        <v:shape id="_x0000_s3086" o:spid="_x0000_s308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21</w:t>
                </w:r>
                <w:r>
                  <w:fldChar w:fldCharType="end"/>
                </w:r>
                <w:r>
                  <w:t xml:space="preserve"> —</w:t>
                </w:r>
              </w:p>
            </w:txbxContent>
          </v:textbox>
        </v:shape>
      </w:pict>
    </w:r>
    <w:r>
      <w:rPr>
        <w:rFonts w:hint="eastAsia" w:asciiTheme="minorEastAsia" w:hAnsiTheme="minorEastAsia"/>
      </w:rPr>
      <w:t xml:space="preserve">  </w:t>
    </w:r>
    <w:r>
      <w:rPr>
        <w:rFonts w:hint="eastAsia" w:ascii="宋体" w:hAnsi="宋体" w:eastAsia="宋体" w:cs="宋体"/>
        <w:kern w:val="0"/>
        <w:u w:val="single"/>
      </w:rPr>
      <w:t>湖北大绪工程项目管理有限公司制</w:t>
    </w:r>
  </w:p>
  <w:p>
    <w:pPr>
      <w:pStyle w:val="9"/>
      <w:spacing w:line="14" w:lineRule="auto"/>
      <w:rPr>
        <w:sz w:val="20"/>
      </w:rPr>
    </w:pPr>
  </w:p>
  <w:p>
    <w:pPr>
      <w:pStyle w:val="9"/>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000000" w:themeColor="text1" w:sz="4" w:space="1"/>
      </w:pBdr>
      <w:tabs>
        <w:tab w:val="clear" w:pos="4153"/>
        <w:tab w:val="clear" w:pos="8306"/>
      </w:tabs>
      <w:ind w:right="-9"/>
      <w:jc w:val="right"/>
    </w:pPr>
    <w:r>
      <w:rPr>
        <w:sz w:val="18"/>
      </w:rPr>
      <w:pict>
        <v:shape id="_x0000_s3087" o:spid="_x0000_s308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42</w:t>
                </w:r>
                <w:r>
                  <w:fldChar w:fldCharType="end"/>
                </w:r>
                <w:r>
                  <w:t xml:space="preserve"> —</w:t>
                </w:r>
              </w:p>
            </w:txbxContent>
          </v:textbox>
        </v:shape>
      </w:pict>
    </w:r>
    <w:r>
      <w:rPr>
        <w:rFonts w:hint="eastAsia" w:asciiTheme="minorEastAsia" w:hAnsiTheme="minorEastAsia"/>
      </w:rPr>
      <w:t xml:space="preserve">                                       </w:t>
    </w:r>
    <w:r>
      <w:rPr>
        <w:rFonts w:hint="eastAsia" w:ascii="宋体" w:hAnsi="宋体" w:eastAsia="宋体" w:cs="宋体"/>
        <w:kern w:val="0"/>
        <w:u w:val="single"/>
      </w:rPr>
      <w:t>湖北大绪工程项目管理有限公司制</w:t>
    </w:r>
  </w:p>
  <w:p>
    <w:pPr>
      <w:pStyle w:val="16"/>
      <w:pBdr>
        <w:top w:val="single" w:color="000000" w:themeColor="text1" w:sz="4" w:space="1"/>
      </w:pBdr>
      <w:tabs>
        <w:tab w:val="clear" w:pos="4153"/>
        <w:tab w:val="clear" w:pos="8306"/>
      </w:tabs>
      <w:ind w:right="-9"/>
      <w:rPr>
        <w:rFonts w:asciiTheme="minorEastAsia" w:hAnsiTheme="minorEastAsia"/>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w:pict>
        <v:shape id="_x0000_s3090" o:spid="_x0000_s309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60</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right="63" w:rightChars="30"/>
      <w:jc w:val="left"/>
      <w:rPr>
        <w:u w:val="single"/>
      </w:rPr>
    </w:pPr>
    <w:r>
      <w:rPr>
        <w:rFonts w:hint="eastAsia"/>
        <w:b/>
        <w:u w:val="single"/>
        <w:lang w:val="zh-CN"/>
      </w:rPr>
      <w:t>阳新县长江大保护水环境综合治理PPP项目（一期工程）建设项目检测服务</w:t>
    </w:r>
    <w:r>
      <w:rPr>
        <w:rFonts w:hint="eastAsia"/>
        <w:b/>
        <w:u w:val="single"/>
      </w:rPr>
      <w:t xml:space="preserve">     </w:t>
    </w:r>
    <w:r>
      <w:rPr>
        <w:rFonts w:hint="eastAsia"/>
        <w:b/>
        <w:u w:val="single"/>
        <w:lang w:val="en-US" w:eastAsia="zh-CN"/>
      </w:rPr>
      <w:t xml:space="preserve">           </w:t>
    </w:r>
    <w:r>
      <w:rPr>
        <w:rFonts w:hint="eastAsia"/>
        <w:b/>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right="63" w:rightChars="30"/>
      <w:jc w:val="left"/>
      <w:rPr>
        <w:rFonts w:hint="eastAsia" w:eastAsiaTheme="minorEastAsia"/>
        <w:b/>
        <w:lang w:eastAsia="zh-CN"/>
      </w:rPr>
    </w:pPr>
    <w:r>
      <w:rPr>
        <w:rFonts w:hint="eastAsia"/>
        <w:b/>
        <w:lang w:eastAsia="zh-CN"/>
      </w:rPr>
      <w:t>阳新县长江大保护水环境综合治理PPP项目（一期工程）建设项目检测服务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011F1"/>
    <w:multiLevelType w:val="singleLevel"/>
    <w:tmpl w:val="95F011F1"/>
    <w:lvl w:ilvl="0" w:tentative="0">
      <w:start w:val="1"/>
      <w:numFmt w:val="decimal"/>
      <w:suff w:val="nothing"/>
      <w:lvlText w:val="（%1）"/>
      <w:lvlJc w:val="left"/>
      <w:pPr>
        <w:ind w:left="249"/>
      </w:pPr>
    </w:lvl>
  </w:abstractNum>
  <w:abstractNum w:abstractNumId="1">
    <w:nsid w:val="A4465123"/>
    <w:multiLevelType w:val="singleLevel"/>
    <w:tmpl w:val="A4465123"/>
    <w:lvl w:ilvl="0" w:tentative="0">
      <w:start w:val="1"/>
      <w:numFmt w:val="decimal"/>
      <w:suff w:val="nothing"/>
      <w:lvlText w:val="%1、"/>
      <w:lvlJc w:val="left"/>
    </w:lvl>
  </w:abstractNum>
  <w:abstractNum w:abstractNumId="2">
    <w:nsid w:val="00000027"/>
    <w:multiLevelType w:val="multilevel"/>
    <w:tmpl w:val="00000027"/>
    <w:lvl w:ilvl="0" w:tentative="0">
      <w:start w:val="1"/>
      <w:numFmt w:val="decimal"/>
      <w:lvlText w:val="%1、"/>
      <w:lvlJc w:val="left"/>
      <w:pPr>
        <w:ind w:left="900" w:hanging="420"/>
      </w:pPr>
      <w:rPr>
        <w:rFonts w:hint="eastAsia"/>
        <w:sz w:val="32"/>
        <w:szCs w:val="32"/>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7A"/>
    <w:multiLevelType w:val="multilevel"/>
    <w:tmpl w:val="0000007A"/>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317788"/>
    <w:multiLevelType w:val="multilevel"/>
    <w:tmpl w:val="00317788"/>
    <w:lvl w:ilvl="0" w:tentative="0">
      <w:start w:val="1"/>
      <w:numFmt w:val="decimal"/>
      <w:lvlText w:val="3.%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5">
    <w:nsid w:val="0068509E"/>
    <w:multiLevelType w:val="multilevel"/>
    <w:tmpl w:val="0068509E"/>
    <w:lvl w:ilvl="0" w:tentative="0">
      <w:start w:val="1"/>
      <w:numFmt w:val="decimal"/>
      <w:lvlText w:val="3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3226416"/>
    <w:multiLevelType w:val="multilevel"/>
    <w:tmpl w:val="03226416"/>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8112400"/>
    <w:multiLevelType w:val="multilevel"/>
    <w:tmpl w:val="08112400"/>
    <w:lvl w:ilvl="0" w:tentative="0">
      <w:start w:val="1"/>
      <w:numFmt w:val="decimal"/>
      <w:lvlText w:val="8.%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8">
    <w:nsid w:val="092D2B91"/>
    <w:multiLevelType w:val="multilevel"/>
    <w:tmpl w:val="092D2B91"/>
    <w:lvl w:ilvl="0" w:tentative="0">
      <w:start w:val="1"/>
      <w:numFmt w:val="decimal"/>
      <w:lvlText w:val="3.%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EB600DC"/>
    <w:multiLevelType w:val="multilevel"/>
    <w:tmpl w:val="0EB600DC"/>
    <w:lvl w:ilvl="0" w:tentative="0">
      <w:start w:val="1"/>
      <w:numFmt w:val="decimal"/>
      <w:lvlText w:val="27.%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F196355"/>
    <w:multiLevelType w:val="multilevel"/>
    <w:tmpl w:val="0F196355"/>
    <w:lvl w:ilvl="0" w:tentative="0">
      <w:start w:val="1"/>
      <w:numFmt w:val="decimal"/>
      <w:lvlText w:val="15.%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00F5420"/>
    <w:multiLevelType w:val="multilevel"/>
    <w:tmpl w:val="100F5420"/>
    <w:lvl w:ilvl="0" w:tentative="0">
      <w:start w:val="1"/>
      <w:numFmt w:val="decimal"/>
      <w:lvlText w:val="12.3.%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12">
    <w:nsid w:val="12F3169F"/>
    <w:multiLevelType w:val="multilevel"/>
    <w:tmpl w:val="12F3169F"/>
    <w:lvl w:ilvl="0" w:tentative="0">
      <w:start w:val="1"/>
      <w:numFmt w:val="decimal"/>
      <w:lvlText w:val="1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43A1834"/>
    <w:multiLevelType w:val="multilevel"/>
    <w:tmpl w:val="143A1834"/>
    <w:lvl w:ilvl="0" w:tentative="0">
      <w:start w:val="1"/>
      <w:numFmt w:val="chineseCountingThousand"/>
      <w:lvlText w:val="附件%1、"/>
      <w:lvlJc w:val="left"/>
      <w:pPr>
        <w:ind w:left="2520" w:hanging="420"/>
      </w:pPr>
      <w:rPr>
        <w:rFonts w:hint="eastAsia" w:ascii="宋体" w:hAnsi="宋体" w:eastAsia="宋体"/>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5DE1A41"/>
    <w:multiLevelType w:val="multilevel"/>
    <w:tmpl w:val="15DE1A41"/>
    <w:lvl w:ilvl="0" w:tentative="0">
      <w:start w:val="1"/>
      <w:numFmt w:val="decimal"/>
      <w:lvlText w:val="4.6.%1 "/>
      <w:lvlJc w:val="left"/>
      <w:pPr>
        <w:ind w:left="1271" w:hanging="420"/>
      </w:pPr>
      <w:rPr>
        <w:rFonts w:hint="default" w:ascii="楷体" w:hAnsi="楷体" w:eastAsia="楷体"/>
        <w:b w:val="0"/>
        <w:strike w:val="0"/>
        <w:color w:val="auto"/>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5">
    <w:nsid w:val="15F76080"/>
    <w:multiLevelType w:val="multilevel"/>
    <w:tmpl w:val="15F76080"/>
    <w:lvl w:ilvl="0" w:tentative="0">
      <w:start w:val="1"/>
      <w:numFmt w:val="decimal"/>
      <w:lvlText w:val="4.%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16">
    <w:nsid w:val="1636573F"/>
    <w:multiLevelType w:val="multilevel"/>
    <w:tmpl w:val="1636573F"/>
    <w:lvl w:ilvl="0" w:tentative="0">
      <w:start w:val="1"/>
      <w:numFmt w:val="decimal"/>
      <w:lvlText w:val="1.%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6962145"/>
    <w:multiLevelType w:val="multilevel"/>
    <w:tmpl w:val="16962145"/>
    <w:lvl w:ilvl="0" w:tentative="0">
      <w:start w:val="1"/>
      <w:numFmt w:val="decimal"/>
      <w:lvlText w:val="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5015415"/>
    <w:multiLevelType w:val="multilevel"/>
    <w:tmpl w:val="25015415"/>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19">
    <w:nsid w:val="251B2B6C"/>
    <w:multiLevelType w:val="multilevel"/>
    <w:tmpl w:val="251B2B6C"/>
    <w:lvl w:ilvl="0" w:tentative="0">
      <w:start w:val="1"/>
      <w:numFmt w:val="chineseCountingThousand"/>
      <w:lvlText w:val="（%1） "/>
      <w:lvlJc w:val="left"/>
      <w:pPr>
        <w:ind w:left="902" w:hanging="420"/>
      </w:pPr>
      <w:rPr>
        <w:rFonts w:hint="eastAsia"/>
        <w:b/>
        <w:strike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0">
    <w:nsid w:val="279A794F"/>
    <w:multiLevelType w:val="multilevel"/>
    <w:tmpl w:val="279A794F"/>
    <w:lvl w:ilvl="0" w:tentative="0">
      <w:start w:val="1"/>
      <w:numFmt w:val="decimal"/>
      <w:lvlText w:val="3.%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21">
    <w:nsid w:val="27FE7BA7"/>
    <w:multiLevelType w:val="multilevel"/>
    <w:tmpl w:val="27FE7BA7"/>
    <w:lvl w:ilvl="0" w:tentative="0">
      <w:start w:val="1"/>
      <w:numFmt w:val="decimal"/>
      <w:lvlText w:val="27.1.%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22">
    <w:nsid w:val="28AA4AF5"/>
    <w:multiLevelType w:val="multilevel"/>
    <w:tmpl w:val="28AA4AF5"/>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23">
    <w:nsid w:val="29735AF9"/>
    <w:multiLevelType w:val="multilevel"/>
    <w:tmpl w:val="29735AF9"/>
    <w:lvl w:ilvl="0" w:tentative="0">
      <w:start w:val="1"/>
      <w:numFmt w:val="decimal"/>
      <w:lvlText w:val="11.%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ABF2833"/>
    <w:multiLevelType w:val="multilevel"/>
    <w:tmpl w:val="2ABF2833"/>
    <w:lvl w:ilvl="0" w:tentative="0">
      <w:start w:val="1"/>
      <w:numFmt w:val="decimal"/>
      <w:lvlText w:val="1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CC65A04"/>
    <w:multiLevelType w:val="multilevel"/>
    <w:tmpl w:val="2CC65A04"/>
    <w:lvl w:ilvl="0" w:tentative="0">
      <w:start w:val="1"/>
      <w:numFmt w:val="decimal"/>
      <w:lvlText w:val="32.%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D665F38"/>
    <w:multiLevelType w:val="multilevel"/>
    <w:tmpl w:val="2D665F38"/>
    <w:lvl w:ilvl="0" w:tentative="0">
      <w:start w:val="1"/>
      <w:numFmt w:val="decimal"/>
      <w:lvlText w:val="5.%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27">
    <w:nsid w:val="2D850054"/>
    <w:multiLevelType w:val="multilevel"/>
    <w:tmpl w:val="2D850054"/>
    <w:lvl w:ilvl="0" w:tentative="0">
      <w:start w:val="1"/>
      <w:numFmt w:val="decimal"/>
      <w:lvlText w:val="%1. "/>
      <w:lvlJc w:val="left"/>
      <w:pPr>
        <w:ind w:left="840" w:hanging="420"/>
      </w:pPr>
      <w:rPr>
        <w:rFonts w:hint="default" w:ascii="宋体" w:hAnsi="宋体" w:eastAsia="宋体"/>
        <w:b/>
        <w:strike w:val="0"/>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2E825AFA"/>
    <w:multiLevelType w:val="multilevel"/>
    <w:tmpl w:val="2E825AFA"/>
    <w:lvl w:ilvl="0" w:tentative="0">
      <w:start w:val="1"/>
      <w:numFmt w:val="decimal"/>
      <w:lvlText w:val="2.%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11832AE"/>
    <w:multiLevelType w:val="multilevel"/>
    <w:tmpl w:val="311832AE"/>
    <w:lvl w:ilvl="0" w:tentative="0">
      <w:start w:val="1"/>
      <w:numFmt w:val="decimal"/>
      <w:lvlText w:val="1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15F4B3A"/>
    <w:multiLevelType w:val="multilevel"/>
    <w:tmpl w:val="315F4B3A"/>
    <w:lvl w:ilvl="0" w:tentative="0">
      <w:start w:val="1"/>
      <w:numFmt w:val="decimal"/>
      <w:lvlText w:val="7.%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1">
    <w:nsid w:val="33020AE6"/>
    <w:multiLevelType w:val="multilevel"/>
    <w:tmpl w:val="33020AE6"/>
    <w:lvl w:ilvl="0" w:tentative="0">
      <w:start w:val="1"/>
      <w:numFmt w:val="decimal"/>
      <w:lvlText w:val="%1"/>
      <w:lvlJc w:val="left"/>
      <w:pPr>
        <w:ind w:left="630" w:hanging="420"/>
      </w:pPr>
      <w:rPr>
        <w:rFonts w:hint="default" w:ascii="宋体" w:hAnsi="宋体" w:eastAsia="宋体"/>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5442C9F"/>
    <w:multiLevelType w:val="multilevel"/>
    <w:tmpl w:val="35442C9F"/>
    <w:lvl w:ilvl="0" w:tentative="0">
      <w:start w:val="1"/>
      <w:numFmt w:val="decimal"/>
      <w:lvlText w:val="（%1）"/>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37C132BF"/>
    <w:multiLevelType w:val="multilevel"/>
    <w:tmpl w:val="37C132BF"/>
    <w:lvl w:ilvl="0" w:tentative="0">
      <w:start w:val="1"/>
      <w:numFmt w:val="decimal"/>
      <w:lvlText w:val="4.%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8F606C2"/>
    <w:multiLevelType w:val="multilevel"/>
    <w:tmpl w:val="38F606C2"/>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D5438DF"/>
    <w:multiLevelType w:val="singleLevel"/>
    <w:tmpl w:val="3D5438DF"/>
    <w:lvl w:ilvl="0" w:tentative="0">
      <w:start w:val="1"/>
      <w:numFmt w:val="decimal"/>
      <w:suff w:val="nothing"/>
      <w:lvlText w:val="%1、"/>
      <w:lvlJc w:val="left"/>
    </w:lvl>
  </w:abstractNum>
  <w:abstractNum w:abstractNumId="36">
    <w:nsid w:val="3DE06FC6"/>
    <w:multiLevelType w:val="multilevel"/>
    <w:tmpl w:val="3DE06FC6"/>
    <w:lvl w:ilvl="0" w:tentative="0">
      <w:start w:val="1"/>
      <w:numFmt w:val="decimal"/>
      <w:lvlText w:val="20.%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3FF72387"/>
    <w:multiLevelType w:val="multilevel"/>
    <w:tmpl w:val="3FF72387"/>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38">
    <w:nsid w:val="40E6015E"/>
    <w:multiLevelType w:val="multilevel"/>
    <w:tmpl w:val="40E6015E"/>
    <w:lvl w:ilvl="0" w:tentative="0">
      <w:start w:val="1"/>
      <w:numFmt w:val="decimal"/>
      <w:lvlText w:val="29.2.%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39">
    <w:nsid w:val="41730A17"/>
    <w:multiLevelType w:val="multilevel"/>
    <w:tmpl w:val="41730A17"/>
    <w:lvl w:ilvl="0" w:tentative="0">
      <w:start w:val="1"/>
      <w:numFmt w:val="decimal"/>
      <w:lvlText w:val="21.%1"/>
      <w:lvlJc w:val="left"/>
      <w:pPr>
        <w:ind w:left="562" w:hanging="420"/>
      </w:pPr>
      <w:rPr>
        <w:rFonts w:hint="default" w:ascii="仿宋" w:hAnsi="仿宋" w:eastAsia="仿宋"/>
        <w:b w:val="0"/>
        <w:strike w:val="0"/>
        <w:color w:val="auto"/>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0">
    <w:nsid w:val="440821F5"/>
    <w:multiLevelType w:val="multilevel"/>
    <w:tmpl w:val="440821F5"/>
    <w:lvl w:ilvl="0" w:tentative="0">
      <w:start w:val="1"/>
      <w:numFmt w:val="decimal"/>
      <w:lvlText w:val="%1."/>
      <w:lvlJc w:val="left"/>
      <w:pPr>
        <w:ind w:left="420" w:hanging="420"/>
      </w:pPr>
      <w:rPr>
        <w:rFonts w:hint="default" w:ascii="宋体" w:hAnsi="宋体" w:eastAsia="宋体"/>
        <w:b/>
        <w:strike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445F2796"/>
    <w:multiLevelType w:val="multilevel"/>
    <w:tmpl w:val="445F2796"/>
    <w:lvl w:ilvl="0" w:tentative="0">
      <w:start w:val="1"/>
      <w:numFmt w:val="decimal"/>
      <w:lvlText w:val="2.%1 "/>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2">
    <w:nsid w:val="4D575265"/>
    <w:multiLevelType w:val="multilevel"/>
    <w:tmpl w:val="4D575265"/>
    <w:lvl w:ilvl="0" w:tentative="0">
      <w:start w:val="1"/>
      <w:numFmt w:val="decimal"/>
      <w:lvlText w:val="4.%1  "/>
      <w:lvlJc w:val="left"/>
      <w:pPr>
        <w:ind w:left="846"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43">
    <w:nsid w:val="4EAF5455"/>
    <w:multiLevelType w:val="multilevel"/>
    <w:tmpl w:val="4EAF5455"/>
    <w:lvl w:ilvl="0" w:tentative="0">
      <w:start w:val="1"/>
      <w:numFmt w:val="chineseCountingThousand"/>
      <w:lvlText w:val="第%1章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05F200A"/>
    <w:multiLevelType w:val="multilevel"/>
    <w:tmpl w:val="505F200A"/>
    <w:lvl w:ilvl="0" w:tentative="0">
      <w:start w:val="1"/>
      <w:numFmt w:val="decimal"/>
      <w:lvlText w:val="1.%1 "/>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54AC2495"/>
    <w:multiLevelType w:val="multilevel"/>
    <w:tmpl w:val="54AC2495"/>
    <w:lvl w:ilvl="0" w:tentative="0">
      <w:start w:val="1"/>
      <w:numFmt w:val="decimal"/>
      <w:lvlText w:val="26.%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70117E4"/>
    <w:multiLevelType w:val="multilevel"/>
    <w:tmpl w:val="570117E4"/>
    <w:lvl w:ilvl="0" w:tentative="0">
      <w:start w:val="1"/>
      <w:numFmt w:val="decimal"/>
      <w:lvlText w:val="23.%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9A852BA"/>
    <w:multiLevelType w:val="multilevel"/>
    <w:tmpl w:val="59A852BA"/>
    <w:lvl w:ilvl="0" w:tentative="0">
      <w:start w:val="1"/>
      <w:numFmt w:val="decimal"/>
      <w:lvlText w:val="6.%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8">
    <w:nsid w:val="5A02CE94"/>
    <w:multiLevelType w:val="multilevel"/>
    <w:tmpl w:val="5A02CE94"/>
    <w:lvl w:ilvl="0" w:tentative="0">
      <w:start w:val="1"/>
      <w:numFmt w:val="decimal"/>
      <w:lvlText w:val="3.2.%1"/>
      <w:lvlJc w:val="left"/>
      <w:pPr>
        <w:ind w:left="987" w:hanging="420"/>
      </w:pPr>
      <w:rPr>
        <w:rFonts w:ascii="楷体" w:hAnsi="楷体" w:eastAsia="楷体"/>
        <w:strike w:val="0"/>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9">
    <w:nsid w:val="5A0B11B2"/>
    <w:multiLevelType w:val="multilevel"/>
    <w:tmpl w:val="5A0B11B2"/>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50">
    <w:nsid w:val="61F95093"/>
    <w:multiLevelType w:val="multilevel"/>
    <w:tmpl w:val="61F95093"/>
    <w:lvl w:ilvl="0" w:tentative="0">
      <w:start w:val="1"/>
      <w:numFmt w:val="decimal"/>
      <w:lvlText w:val="31.%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643B08CA"/>
    <w:multiLevelType w:val="multilevel"/>
    <w:tmpl w:val="643B08CA"/>
    <w:lvl w:ilvl="0" w:tentative="0">
      <w:start w:val="1"/>
      <w:numFmt w:val="decimal"/>
      <w:lvlText w:val="3.1.%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52">
    <w:nsid w:val="64E31E93"/>
    <w:multiLevelType w:val="multilevel"/>
    <w:tmpl w:val="64E31E93"/>
    <w:lvl w:ilvl="0" w:tentative="0">
      <w:start w:val="1"/>
      <w:numFmt w:val="decimal"/>
      <w:lvlText w:val="2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9647823"/>
    <w:multiLevelType w:val="multilevel"/>
    <w:tmpl w:val="69647823"/>
    <w:lvl w:ilvl="0" w:tentative="0">
      <w:start w:val="1"/>
      <w:numFmt w:val="decimal"/>
      <w:lvlText w:val="3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0DD1B88"/>
    <w:multiLevelType w:val="multilevel"/>
    <w:tmpl w:val="70DD1B88"/>
    <w:lvl w:ilvl="0" w:tentative="0">
      <w:start w:val="1"/>
      <w:numFmt w:val="decimal"/>
      <w:lvlText w:val="%1. "/>
      <w:lvlJc w:val="left"/>
      <w:pPr>
        <w:ind w:left="1117" w:hanging="420"/>
      </w:pPr>
      <w:rPr>
        <w:rFonts w:hint="default" w:ascii="仿宋" w:hAnsi="仿宋" w:eastAsia="仿宋"/>
        <w:b w:val="0"/>
        <w:strike w:val="0"/>
        <w:color w:val="auto"/>
      </w:rPr>
    </w:lvl>
    <w:lvl w:ilvl="1" w:tentative="0">
      <w:start w:val="1"/>
      <w:numFmt w:val="lowerLetter"/>
      <w:lvlText w:val="%2)"/>
      <w:lvlJc w:val="left"/>
      <w:pPr>
        <w:ind w:left="1537" w:hanging="420"/>
      </w:pPr>
    </w:lvl>
    <w:lvl w:ilvl="2" w:tentative="0">
      <w:start w:val="1"/>
      <w:numFmt w:val="lowerRoman"/>
      <w:lvlText w:val="%3."/>
      <w:lvlJc w:val="right"/>
      <w:pPr>
        <w:ind w:left="1957" w:hanging="420"/>
      </w:pPr>
    </w:lvl>
    <w:lvl w:ilvl="3" w:tentative="0">
      <w:start w:val="1"/>
      <w:numFmt w:val="decimal"/>
      <w:lvlText w:val="%4. "/>
      <w:lvlJc w:val="left"/>
      <w:pPr>
        <w:ind w:left="704" w:hanging="420"/>
      </w:pPr>
      <w:rPr>
        <w:rFonts w:hint="eastAsia"/>
        <w:b/>
      </w:rPr>
    </w:lvl>
    <w:lvl w:ilvl="4" w:tentative="0">
      <w:start w:val="1"/>
      <w:numFmt w:val="lowerLetter"/>
      <w:lvlText w:val="%5)"/>
      <w:lvlJc w:val="left"/>
      <w:pPr>
        <w:ind w:left="2797" w:hanging="420"/>
      </w:pPr>
    </w:lvl>
    <w:lvl w:ilvl="5" w:tentative="0">
      <w:start w:val="1"/>
      <w:numFmt w:val="lowerRoman"/>
      <w:lvlText w:val="%6."/>
      <w:lvlJc w:val="right"/>
      <w:pPr>
        <w:ind w:left="3217" w:hanging="420"/>
      </w:pPr>
    </w:lvl>
    <w:lvl w:ilvl="6" w:tentative="0">
      <w:start w:val="1"/>
      <w:numFmt w:val="decimal"/>
      <w:lvlText w:val="%7."/>
      <w:lvlJc w:val="left"/>
      <w:pPr>
        <w:ind w:left="3637" w:hanging="420"/>
      </w:pPr>
    </w:lvl>
    <w:lvl w:ilvl="7" w:tentative="0">
      <w:start w:val="1"/>
      <w:numFmt w:val="lowerLetter"/>
      <w:lvlText w:val="%8)"/>
      <w:lvlJc w:val="left"/>
      <w:pPr>
        <w:ind w:left="4057" w:hanging="420"/>
      </w:pPr>
    </w:lvl>
    <w:lvl w:ilvl="8" w:tentative="0">
      <w:start w:val="1"/>
      <w:numFmt w:val="lowerRoman"/>
      <w:lvlText w:val="%9."/>
      <w:lvlJc w:val="right"/>
      <w:pPr>
        <w:ind w:left="4477" w:hanging="420"/>
      </w:pPr>
    </w:lvl>
  </w:abstractNum>
  <w:abstractNum w:abstractNumId="55">
    <w:nsid w:val="71581402"/>
    <w:multiLevelType w:val="multilevel"/>
    <w:tmpl w:val="71581402"/>
    <w:lvl w:ilvl="0" w:tentative="0">
      <w:start w:val="1"/>
      <w:numFmt w:val="decimal"/>
      <w:lvlText w:val="2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1731B18"/>
    <w:multiLevelType w:val="multilevel"/>
    <w:tmpl w:val="71731B18"/>
    <w:lvl w:ilvl="0" w:tentative="0">
      <w:start w:val="1"/>
      <w:numFmt w:val="decimal"/>
      <w:lvlText w:val="2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30B37A3"/>
    <w:multiLevelType w:val="multilevel"/>
    <w:tmpl w:val="730B37A3"/>
    <w:lvl w:ilvl="0" w:tentative="0">
      <w:start w:val="1"/>
      <w:numFmt w:val="decimal"/>
      <w:lvlText w:val="2.%1"/>
      <w:lvlJc w:val="left"/>
      <w:pPr>
        <w:ind w:left="372" w:hanging="420"/>
      </w:pPr>
      <w:rPr>
        <w:rFonts w:hint="default" w:ascii="仿宋" w:hAnsi="仿宋" w:eastAsia="仿宋"/>
        <w:b w:val="0"/>
        <w:color w:val="auto"/>
      </w:rPr>
    </w:lvl>
    <w:lvl w:ilvl="1" w:tentative="0">
      <w:start w:val="1"/>
      <w:numFmt w:val="lowerLetter"/>
      <w:lvlText w:val="%2)"/>
      <w:lvlJc w:val="left"/>
      <w:pPr>
        <w:ind w:left="792" w:hanging="420"/>
      </w:pPr>
    </w:lvl>
    <w:lvl w:ilvl="2" w:tentative="0">
      <w:start w:val="1"/>
      <w:numFmt w:val="lowerRoman"/>
      <w:lvlText w:val="%3."/>
      <w:lvlJc w:val="right"/>
      <w:pPr>
        <w:ind w:left="1212" w:hanging="420"/>
      </w:pPr>
    </w:lvl>
    <w:lvl w:ilvl="3" w:tentative="0">
      <w:start w:val="1"/>
      <w:numFmt w:val="decimal"/>
      <w:lvlText w:val="%4."/>
      <w:lvlJc w:val="left"/>
      <w:pPr>
        <w:ind w:left="1632" w:hanging="420"/>
      </w:pPr>
    </w:lvl>
    <w:lvl w:ilvl="4" w:tentative="0">
      <w:start w:val="1"/>
      <w:numFmt w:val="lowerLetter"/>
      <w:lvlText w:val="%5)"/>
      <w:lvlJc w:val="left"/>
      <w:pPr>
        <w:ind w:left="2052" w:hanging="420"/>
      </w:pPr>
    </w:lvl>
    <w:lvl w:ilvl="5" w:tentative="0">
      <w:start w:val="1"/>
      <w:numFmt w:val="lowerRoman"/>
      <w:lvlText w:val="%6."/>
      <w:lvlJc w:val="right"/>
      <w:pPr>
        <w:ind w:left="2472" w:hanging="420"/>
      </w:pPr>
    </w:lvl>
    <w:lvl w:ilvl="6" w:tentative="0">
      <w:start w:val="1"/>
      <w:numFmt w:val="decimal"/>
      <w:lvlText w:val="%7."/>
      <w:lvlJc w:val="left"/>
      <w:pPr>
        <w:ind w:left="2892" w:hanging="420"/>
      </w:pPr>
    </w:lvl>
    <w:lvl w:ilvl="7" w:tentative="0">
      <w:start w:val="1"/>
      <w:numFmt w:val="lowerLetter"/>
      <w:lvlText w:val="%8)"/>
      <w:lvlJc w:val="left"/>
      <w:pPr>
        <w:ind w:left="3312" w:hanging="420"/>
      </w:pPr>
    </w:lvl>
    <w:lvl w:ilvl="8" w:tentative="0">
      <w:start w:val="1"/>
      <w:numFmt w:val="lowerRoman"/>
      <w:lvlText w:val="%9."/>
      <w:lvlJc w:val="right"/>
      <w:pPr>
        <w:ind w:left="3732" w:hanging="420"/>
      </w:pPr>
    </w:lvl>
  </w:abstractNum>
  <w:abstractNum w:abstractNumId="58">
    <w:nsid w:val="768933D5"/>
    <w:multiLevelType w:val="multilevel"/>
    <w:tmpl w:val="768933D5"/>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59">
    <w:nsid w:val="774C7C21"/>
    <w:multiLevelType w:val="multilevel"/>
    <w:tmpl w:val="774C7C21"/>
    <w:lvl w:ilvl="0" w:tentative="0">
      <w:start w:val="1"/>
      <w:numFmt w:val="decimal"/>
      <w:lvlText w:val="16.%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86B7301"/>
    <w:multiLevelType w:val="multilevel"/>
    <w:tmpl w:val="786B7301"/>
    <w:lvl w:ilvl="0" w:tentative="0">
      <w:start w:val="1"/>
      <w:numFmt w:val="decimal"/>
      <w:lvlText w:val="2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97F553B"/>
    <w:multiLevelType w:val="multilevel"/>
    <w:tmpl w:val="797F553B"/>
    <w:lvl w:ilvl="0" w:tentative="0">
      <w:start w:val="1"/>
      <w:numFmt w:val="decimal"/>
      <w:lvlText w:val="%1. "/>
      <w:lvlJc w:val="left"/>
      <w:pPr>
        <w:ind w:left="988"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62">
    <w:nsid w:val="7A0C6CFB"/>
    <w:multiLevelType w:val="multilevel"/>
    <w:tmpl w:val="7A0C6CFB"/>
    <w:lvl w:ilvl="0" w:tentative="0">
      <w:start w:val="1"/>
      <w:numFmt w:val="decimal"/>
      <w:lvlText w:val="22.%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7ECB03B9"/>
    <w:multiLevelType w:val="multilevel"/>
    <w:tmpl w:val="7ECB03B9"/>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num w:numId="1">
    <w:abstractNumId w:val="43"/>
  </w:num>
  <w:num w:numId="2">
    <w:abstractNumId w:val="31"/>
  </w:num>
  <w:num w:numId="3">
    <w:abstractNumId w:val="40"/>
  </w:num>
  <w:num w:numId="4">
    <w:abstractNumId w:val="17"/>
  </w:num>
  <w:num w:numId="5">
    <w:abstractNumId w:val="8"/>
  </w:num>
  <w:num w:numId="6">
    <w:abstractNumId w:val="51"/>
  </w:num>
  <w:num w:numId="7">
    <w:abstractNumId w:val="33"/>
  </w:num>
  <w:num w:numId="8">
    <w:abstractNumId w:val="47"/>
  </w:num>
  <w:num w:numId="9">
    <w:abstractNumId w:val="30"/>
  </w:num>
  <w:num w:numId="10">
    <w:abstractNumId w:val="7"/>
  </w:num>
  <w:num w:numId="11">
    <w:abstractNumId w:val="6"/>
  </w:num>
  <w:num w:numId="12">
    <w:abstractNumId w:val="23"/>
  </w:num>
  <w:num w:numId="13">
    <w:abstractNumId w:val="24"/>
  </w:num>
  <w:num w:numId="14">
    <w:abstractNumId w:val="11"/>
  </w:num>
  <w:num w:numId="15">
    <w:abstractNumId w:val="10"/>
  </w:num>
  <w:num w:numId="16">
    <w:abstractNumId w:val="59"/>
  </w:num>
  <w:num w:numId="17">
    <w:abstractNumId w:val="12"/>
  </w:num>
  <w:num w:numId="18">
    <w:abstractNumId w:val="29"/>
  </w:num>
  <w:num w:numId="19">
    <w:abstractNumId w:val="36"/>
  </w:num>
  <w:num w:numId="20">
    <w:abstractNumId w:val="39"/>
  </w:num>
  <w:num w:numId="21">
    <w:abstractNumId w:val="62"/>
  </w:num>
  <w:num w:numId="22">
    <w:abstractNumId w:val="46"/>
  </w:num>
  <w:num w:numId="23">
    <w:abstractNumId w:val="55"/>
  </w:num>
  <w:num w:numId="24">
    <w:abstractNumId w:val="60"/>
  </w:num>
  <w:num w:numId="25">
    <w:abstractNumId w:val="45"/>
  </w:num>
  <w:num w:numId="26">
    <w:abstractNumId w:val="9"/>
  </w:num>
  <w:num w:numId="27">
    <w:abstractNumId w:val="21"/>
  </w:num>
  <w:num w:numId="28">
    <w:abstractNumId w:val="56"/>
  </w:num>
  <w:num w:numId="29">
    <w:abstractNumId w:val="52"/>
  </w:num>
  <w:num w:numId="30">
    <w:abstractNumId w:val="38"/>
  </w:num>
  <w:num w:numId="31">
    <w:abstractNumId w:val="50"/>
  </w:num>
  <w:num w:numId="32">
    <w:abstractNumId w:val="25"/>
  </w:num>
  <w:num w:numId="33">
    <w:abstractNumId w:val="53"/>
  </w:num>
  <w:num w:numId="34">
    <w:abstractNumId w:val="5"/>
  </w:num>
  <w:num w:numId="35">
    <w:abstractNumId w:val="0"/>
  </w:num>
  <w:num w:numId="36">
    <w:abstractNumId w:val="3"/>
  </w:num>
  <w:num w:numId="37">
    <w:abstractNumId w:val="27"/>
  </w:num>
  <w:num w:numId="38">
    <w:abstractNumId w:val="44"/>
  </w:num>
  <w:num w:numId="39">
    <w:abstractNumId w:val="32"/>
  </w:num>
  <w:num w:numId="40">
    <w:abstractNumId w:val="41"/>
  </w:num>
  <w:num w:numId="41">
    <w:abstractNumId w:val="34"/>
  </w:num>
  <w:num w:numId="42">
    <w:abstractNumId w:val="19"/>
  </w:num>
  <w:num w:numId="43">
    <w:abstractNumId w:val="49"/>
  </w:num>
  <w:num w:numId="44">
    <w:abstractNumId w:val="63"/>
  </w:num>
  <w:num w:numId="45">
    <w:abstractNumId w:val="20"/>
  </w:num>
  <w:num w:numId="46">
    <w:abstractNumId w:val="18"/>
  </w:num>
  <w:num w:numId="47">
    <w:abstractNumId w:val="4"/>
  </w:num>
  <w:num w:numId="48">
    <w:abstractNumId w:val="48"/>
    <w:lvlOverride w:ilvl="0">
      <w:startOverride w:val="1"/>
    </w:lvlOverride>
  </w:num>
  <w:num w:numId="49">
    <w:abstractNumId w:val="15"/>
  </w:num>
  <w:num w:numId="50">
    <w:abstractNumId w:val="26"/>
  </w:num>
  <w:num w:numId="51">
    <w:abstractNumId w:val="61"/>
  </w:num>
  <w:num w:numId="52">
    <w:abstractNumId w:val="35"/>
  </w:num>
  <w:num w:numId="53">
    <w:abstractNumId w:val="1"/>
  </w:num>
  <w:num w:numId="54">
    <w:abstractNumId w:val="54"/>
  </w:num>
  <w:num w:numId="55">
    <w:abstractNumId w:val="42"/>
  </w:num>
  <w:num w:numId="56">
    <w:abstractNumId w:val="14"/>
  </w:num>
  <w:num w:numId="57">
    <w:abstractNumId w:val="22"/>
  </w:num>
  <w:num w:numId="58">
    <w:abstractNumId w:val="57"/>
  </w:num>
  <w:num w:numId="59">
    <w:abstractNumId w:val="2"/>
  </w:num>
  <w:num w:numId="60">
    <w:abstractNumId w:val="37"/>
  </w:num>
  <w:num w:numId="61">
    <w:abstractNumId w:val="58"/>
  </w:num>
  <w:num w:numId="62">
    <w:abstractNumId w:val="13"/>
  </w:num>
  <w:num w:numId="63">
    <w:abstractNumId w:val="16"/>
  </w:num>
  <w:num w:numId="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FiYzBhZmUxMjE4N2Y2ZTU2ZDNmZmU3YTA0Mjk1NTEifQ=="/>
  </w:docVars>
  <w:rsids>
    <w:rsidRoot w:val="007D7A97"/>
    <w:rsid w:val="0016212E"/>
    <w:rsid w:val="006839D2"/>
    <w:rsid w:val="007D7A97"/>
    <w:rsid w:val="0085195F"/>
    <w:rsid w:val="01735916"/>
    <w:rsid w:val="02780977"/>
    <w:rsid w:val="06A86179"/>
    <w:rsid w:val="09105369"/>
    <w:rsid w:val="09F36E94"/>
    <w:rsid w:val="0C775C06"/>
    <w:rsid w:val="0E09418F"/>
    <w:rsid w:val="0E6D0F94"/>
    <w:rsid w:val="1139667B"/>
    <w:rsid w:val="140517CA"/>
    <w:rsid w:val="154F0FDA"/>
    <w:rsid w:val="16D33FA6"/>
    <w:rsid w:val="18C90957"/>
    <w:rsid w:val="18F238C7"/>
    <w:rsid w:val="19E251C9"/>
    <w:rsid w:val="1A36570E"/>
    <w:rsid w:val="1FE30DCE"/>
    <w:rsid w:val="211617B0"/>
    <w:rsid w:val="2126541C"/>
    <w:rsid w:val="21990178"/>
    <w:rsid w:val="225C60FA"/>
    <w:rsid w:val="24ED01E8"/>
    <w:rsid w:val="28166FD2"/>
    <w:rsid w:val="2AA7033B"/>
    <w:rsid w:val="2C911EE0"/>
    <w:rsid w:val="2DBF5E0B"/>
    <w:rsid w:val="2FF82C35"/>
    <w:rsid w:val="338343F7"/>
    <w:rsid w:val="348B7A3F"/>
    <w:rsid w:val="358F6B3E"/>
    <w:rsid w:val="35A73908"/>
    <w:rsid w:val="36A01645"/>
    <w:rsid w:val="396C0A6C"/>
    <w:rsid w:val="39A32040"/>
    <w:rsid w:val="39C50133"/>
    <w:rsid w:val="40E66965"/>
    <w:rsid w:val="45063549"/>
    <w:rsid w:val="457B237F"/>
    <w:rsid w:val="4616725F"/>
    <w:rsid w:val="4750167C"/>
    <w:rsid w:val="4779309D"/>
    <w:rsid w:val="48DC375E"/>
    <w:rsid w:val="4AC4664F"/>
    <w:rsid w:val="4B91703F"/>
    <w:rsid w:val="4C59760C"/>
    <w:rsid w:val="4C811AF8"/>
    <w:rsid w:val="4F0B4233"/>
    <w:rsid w:val="52217AE5"/>
    <w:rsid w:val="52467F43"/>
    <w:rsid w:val="54855564"/>
    <w:rsid w:val="5611306F"/>
    <w:rsid w:val="563A5CCE"/>
    <w:rsid w:val="57F62749"/>
    <w:rsid w:val="5A19720D"/>
    <w:rsid w:val="5BC23327"/>
    <w:rsid w:val="5C090A3C"/>
    <w:rsid w:val="5C6C0C5C"/>
    <w:rsid w:val="5CE9360B"/>
    <w:rsid w:val="5D5D4B16"/>
    <w:rsid w:val="5E4F502B"/>
    <w:rsid w:val="5E5059BD"/>
    <w:rsid w:val="5FE216FF"/>
    <w:rsid w:val="62A879C1"/>
    <w:rsid w:val="63FF0B0C"/>
    <w:rsid w:val="69977FAA"/>
    <w:rsid w:val="6CF17040"/>
    <w:rsid w:val="6D035FE6"/>
    <w:rsid w:val="704F16F9"/>
    <w:rsid w:val="711B33C4"/>
    <w:rsid w:val="718820A4"/>
    <w:rsid w:val="71962394"/>
    <w:rsid w:val="71A87B97"/>
    <w:rsid w:val="729E0FBA"/>
    <w:rsid w:val="755E3853"/>
    <w:rsid w:val="7578254D"/>
    <w:rsid w:val="764842DB"/>
    <w:rsid w:val="771947C5"/>
    <w:rsid w:val="7DC46C1D"/>
    <w:rsid w:val="7DC732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5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46"/>
    <w:qFormat/>
    <w:uiPriority w:val="0"/>
    <w:pPr>
      <w:ind w:firstLine="420"/>
    </w:pPr>
  </w:style>
  <w:style w:type="paragraph" w:styleId="8">
    <w:name w:val="annotation text"/>
    <w:basedOn w:val="1"/>
    <w:link w:val="40"/>
    <w:unhideWhenUsed/>
    <w:qFormat/>
    <w:uiPriority w:val="99"/>
    <w:pPr>
      <w:jc w:val="left"/>
    </w:pPr>
  </w:style>
  <w:style w:type="paragraph" w:styleId="9">
    <w:name w:val="Body Text"/>
    <w:basedOn w:val="1"/>
    <w:next w:val="1"/>
    <w:link w:val="51"/>
    <w:semiHidden/>
    <w:unhideWhenUsed/>
    <w:qFormat/>
    <w:uiPriority w:val="99"/>
    <w:pPr>
      <w:spacing w:after="120"/>
    </w:pPr>
  </w:style>
  <w:style w:type="paragraph" w:styleId="10">
    <w:name w:val="Body Text Indent"/>
    <w:basedOn w:val="1"/>
    <w:link w:val="52"/>
    <w:unhideWhenUsed/>
    <w:qFormat/>
    <w:uiPriority w:val="99"/>
    <w:pPr>
      <w:widowControl/>
      <w:spacing w:after="120"/>
      <w:ind w:left="420"/>
    </w:pPr>
    <w:rPr>
      <w:rFonts w:ascii="Times New Roman" w:hAnsi="Times New Roman" w:cs="Times New Roman"/>
      <w:szCs w:val="21"/>
    </w:r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Plain Text"/>
    <w:basedOn w:val="1"/>
    <w:link w:val="43"/>
    <w:qFormat/>
    <w:uiPriority w:val="0"/>
    <w:rPr>
      <w:rFonts w:ascii="宋体" w:hAnsi="Courier New" w:cs="Courier New"/>
      <w:szCs w:val="21"/>
    </w:rPr>
  </w:style>
  <w:style w:type="paragraph" w:styleId="13">
    <w:name w:val="Date"/>
    <w:basedOn w:val="1"/>
    <w:next w:val="1"/>
    <w:link w:val="56"/>
    <w:semiHidden/>
    <w:unhideWhenUsed/>
    <w:qFormat/>
    <w:uiPriority w:val="99"/>
    <w:pPr>
      <w:ind w:left="100" w:leftChars="2500"/>
    </w:pPr>
  </w:style>
  <w:style w:type="paragraph" w:styleId="14">
    <w:name w:val="endnote text"/>
    <w:basedOn w:val="1"/>
    <w:link w:val="42"/>
    <w:unhideWhenUsed/>
    <w:qFormat/>
    <w:uiPriority w:val="99"/>
    <w:pPr>
      <w:snapToGrid w:val="0"/>
      <w:jc w:val="left"/>
    </w:pPr>
  </w:style>
  <w:style w:type="paragraph" w:styleId="15">
    <w:name w:val="Balloon Text"/>
    <w:basedOn w:val="1"/>
    <w:link w:val="36"/>
    <w:unhideWhenUsed/>
    <w:qFormat/>
    <w:uiPriority w:val="99"/>
    <w:rPr>
      <w:sz w:val="18"/>
      <w:szCs w:val="18"/>
    </w:rPr>
  </w:style>
  <w:style w:type="paragraph" w:styleId="16">
    <w:name w:val="footer"/>
    <w:basedOn w:val="1"/>
    <w:link w:val="35"/>
    <w:unhideWhenUsed/>
    <w:qFormat/>
    <w:uiPriority w:val="0"/>
    <w:pPr>
      <w:tabs>
        <w:tab w:val="center" w:pos="4153"/>
        <w:tab w:val="right" w:pos="8306"/>
      </w:tabs>
      <w:snapToGrid w:val="0"/>
      <w:jc w:val="left"/>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line="440" w:lineRule="exact"/>
      <w:jc w:val="left"/>
    </w:pPr>
    <w:rPr>
      <w:rFonts w:eastAsia="黑体"/>
      <w:b/>
      <w:kern w:val="0"/>
      <w:sz w:val="28"/>
    </w:rPr>
  </w:style>
  <w:style w:type="paragraph" w:styleId="19">
    <w:name w:val="toc 2"/>
    <w:basedOn w:val="20"/>
    <w:next w:val="4"/>
    <w:unhideWhenUsed/>
    <w:qFormat/>
    <w:uiPriority w:val="39"/>
    <w:pPr>
      <w:widowControl/>
      <w:tabs>
        <w:tab w:val="left" w:pos="756"/>
        <w:tab w:val="left" w:pos="966"/>
        <w:tab w:val="left" w:pos="1204"/>
        <w:tab w:val="left" w:pos="1442"/>
        <w:tab w:val="right" w:leader="dot" w:pos="9514"/>
      </w:tabs>
      <w:spacing w:line="276" w:lineRule="auto"/>
      <w:ind w:left="220"/>
      <w:jc w:val="left"/>
    </w:pPr>
    <w:rPr>
      <w:rFonts w:ascii="宋体" w:hAnsi="宋体"/>
      <w:i w:val="0"/>
      <w:kern w:val="0"/>
      <w:sz w:val="24"/>
    </w:rPr>
  </w:style>
  <w:style w:type="paragraph" w:customStyle="1" w:styleId="20">
    <w:name w:val="引用1"/>
    <w:basedOn w:val="1"/>
    <w:next w:val="1"/>
    <w:link w:val="45"/>
    <w:qFormat/>
    <w:uiPriority w:val="29"/>
    <w:rPr>
      <w:i/>
      <w:iCs/>
      <w:color w:val="000000" w:themeColor="text1"/>
    </w:rPr>
  </w:style>
  <w:style w:type="paragraph" w:styleId="21">
    <w:name w:val="Normal (Web)"/>
    <w:basedOn w:val="1"/>
    <w:qFormat/>
    <w:uiPriority w:val="0"/>
    <w:pPr>
      <w:spacing w:beforeAutospacing="1" w:afterAutospacing="1"/>
      <w:jc w:val="left"/>
    </w:pPr>
    <w:rPr>
      <w:rFonts w:cs="Times New Roman"/>
      <w:kern w:val="0"/>
      <w:sz w:val="24"/>
    </w:rPr>
  </w:style>
  <w:style w:type="paragraph" w:styleId="22">
    <w:name w:val="annotation subject"/>
    <w:basedOn w:val="8"/>
    <w:next w:val="8"/>
    <w:link w:val="47"/>
    <w:unhideWhenUsed/>
    <w:qFormat/>
    <w:uiPriority w:val="99"/>
    <w:rPr>
      <w:b/>
      <w:bCs/>
    </w:rPr>
  </w:style>
  <w:style w:type="paragraph" w:styleId="23">
    <w:name w:val="Body Text First Indent 2"/>
    <w:basedOn w:val="10"/>
    <w:link w:val="53"/>
    <w:unhideWhenUsed/>
    <w:qFormat/>
    <w:uiPriority w:val="99"/>
    <w:pPr>
      <w:widowControl w:val="0"/>
      <w:ind w:left="200" w:leftChars="200" w:firstLine="420" w:firstLineChars="200"/>
    </w:pPr>
    <w:rPr>
      <w:rFonts w:asciiTheme="minorHAnsi" w:hAnsiTheme="minorHAnsi" w:cstheme="minorBidi"/>
      <w:szCs w:val="22"/>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rPr>
  </w:style>
  <w:style w:type="character" w:styleId="28">
    <w:name w:val="endnote reference"/>
    <w:basedOn w:val="26"/>
    <w:unhideWhenUsed/>
    <w:qFormat/>
    <w:uiPriority w:val="99"/>
    <w:rPr>
      <w:vertAlign w:val="superscript"/>
    </w:rPr>
  </w:style>
  <w:style w:type="character" w:styleId="29">
    <w:name w:val="Hyperlink"/>
    <w:basedOn w:val="26"/>
    <w:unhideWhenUsed/>
    <w:qFormat/>
    <w:uiPriority w:val="99"/>
    <w:rPr>
      <w:color w:val="0000FF" w:themeColor="hyperlink"/>
      <w:u w:val="single"/>
    </w:rPr>
  </w:style>
  <w:style w:type="character" w:styleId="30">
    <w:name w:val="annotation reference"/>
    <w:qFormat/>
    <w:uiPriority w:val="99"/>
    <w:rPr>
      <w:sz w:val="21"/>
    </w:rPr>
  </w:style>
  <w:style w:type="paragraph" w:customStyle="1" w:styleId="31">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32">
    <w:name w:val="正文（缩进）"/>
    <w:basedOn w:val="1"/>
    <w:qFormat/>
    <w:uiPriority w:val="0"/>
    <w:pPr>
      <w:spacing w:before="156" w:after="156"/>
    </w:pPr>
  </w:style>
  <w:style w:type="paragraph" w:customStyle="1" w:styleId="3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character" w:customStyle="1" w:styleId="34">
    <w:name w:val="页眉 Char"/>
    <w:basedOn w:val="26"/>
    <w:link w:val="17"/>
    <w:qFormat/>
    <w:uiPriority w:val="99"/>
    <w:rPr>
      <w:sz w:val="18"/>
      <w:szCs w:val="18"/>
    </w:rPr>
  </w:style>
  <w:style w:type="character" w:customStyle="1" w:styleId="35">
    <w:name w:val="页脚 Char"/>
    <w:basedOn w:val="26"/>
    <w:link w:val="16"/>
    <w:qFormat/>
    <w:uiPriority w:val="99"/>
    <w:rPr>
      <w:sz w:val="18"/>
      <w:szCs w:val="18"/>
    </w:rPr>
  </w:style>
  <w:style w:type="character" w:customStyle="1" w:styleId="36">
    <w:name w:val="批注框文本 Char"/>
    <w:basedOn w:val="26"/>
    <w:link w:val="15"/>
    <w:semiHidden/>
    <w:qFormat/>
    <w:uiPriority w:val="99"/>
    <w:rPr>
      <w:sz w:val="18"/>
      <w:szCs w:val="18"/>
    </w:rPr>
  </w:style>
  <w:style w:type="paragraph" w:customStyle="1" w:styleId="37">
    <w:name w:val="列出段落1"/>
    <w:basedOn w:val="1"/>
    <w:qFormat/>
    <w:uiPriority w:val="34"/>
    <w:pPr>
      <w:ind w:firstLine="420" w:firstLineChars="200"/>
    </w:pPr>
  </w:style>
  <w:style w:type="character" w:customStyle="1" w:styleId="38">
    <w:name w:val="标题 1 Char"/>
    <w:basedOn w:val="26"/>
    <w:link w:val="3"/>
    <w:qFormat/>
    <w:uiPriority w:val="9"/>
    <w:rPr>
      <w:b/>
      <w:bCs/>
      <w:kern w:val="44"/>
      <w:sz w:val="44"/>
      <w:szCs w:val="44"/>
    </w:rPr>
  </w:style>
  <w:style w:type="paragraph" w:customStyle="1" w:styleId="3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0">
    <w:name w:val="批注文字 Char"/>
    <w:basedOn w:val="26"/>
    <w:link w:val="8"/>
    <w:qFormat/>
    <w:uiPriority w:val="99"/>
  </w:style>
  <w:style w:type="character" w:customStyle="1" w:styleId="41">
    <w:name w:val="标题 2 Char"/>
    <w:basedOn w:val="26"/>
    <w:link w:val="4"/>
    <w:qFormat/>
    <w:uiPriority w:val="9"/>
    <w:rPr>
      <w:rFonts w:asciiTheme="majorHAnsi" w:hAnsiTheme="majorHAnsi" w:eastAsiaTheme="majorEastAsia" w:cstheme="majorBidi"/>
      <w:b/>
      <w:bCs/>
      <w:sz w:val="32"/>
      <w:szCs w:val="32"/>
    </w:rPr>
  </w:style>
  <w:style w:type="character" w:customStyle="1" w:styleId="42">
    <w:name w:val="尾注文本 Char"/>
    <w:basedOn w:val="26"/>
    <w:link w:val="14"/>
    <w:semiHidden/>
    <w:qFormat/>
    <w:uiPriority w:val="99"/>
  </w:style>
  <w:style w:type="character" w:customStyle="1" w:styleId="43">
    <w:name w:val="纯文本 Char"/>
    <w:link w:val="12"/>
    <w:qFormat/>
    <w:uiPriority w:val="0"/>
    <w:rPr>
      <w:rFonts w:ascii="宋体" w:hAnsi="Courier New" w:cs="Courier New"/>
      <w:szCs w:val="21"/>
    </w:rPr>
  </w:style>
  <w:style w:type="character" w:customStyle="1" w:styleId="44">
    <w:name w:val="纯文本 Char1"/>
    <w:basedOn w:val="26"/>
    <w:semiHidden/>
    <w:qFormat/>
    <w:uiPriority w:val="99"/>
    <w:rPr>
      <w:rFonts w:ascii="宋体" w:hAnsi="Courier New" w:eastAsia="宋体" w:cs="Courier New"/>
      <w:szCs w:val="21"/>
    </w:rPr>
  </w:style>
  <w:style w:type="character" w:customStyle="1" w:styleId="45">
    <w:name w:val="引用 Char"/>
    <w:basedOn w:val="26"/>
    <w:link w:val="20"/>
    <w:qFormat/>
    <w:uiPriority w:val="29"/>
    <w:rPr>
      <w:i/>
      <w:iCs/>
      <w:color w:val="000000" w:themeColor="text1"/>
    </w:rPr>
  </w:style>
  <w:style w:type="character" w:customStyle="1" w:styleId="46">
    <w:name w:val="正文缩进 Char"/>
    <w:link w:val="7"/>
    <w:qFormat/>
    <w:uiPriority w:val="0"/>
  </w:style>
  <w:style w:type="character" w:customStyle="1" w:styleId="47">
    <w:name w:val="批注主题 Char"/>
    <w:basedOn w:val="40"/>
    <w:link w:val="22"/>
    <w:semiHidden/>
    <w:qFormat/>
    <w:uiPriority w:val="99"/>
    <w:rPr>
      <w:b/>
      <w:bCs/>
    </w:rPr>
  </w:style>
  <w:style w:type="paragraph" w:customStyle="1" w:styleId="48">
    <w:name w:val="列出段落2"/>
    <w:basedOn w:val="1"/>
    <w:unhideWhenUsed/>
    <w:qFormat/>
    <w:uiPriority w:val="99"/>
    <w:pPr>
      <w:ind w:firstLine="420" w:firstLineChars="200"/>
    </w:pPr>
  </w:style>
  <w:style w:type="paragraph" w:customStyle="1" w:styleId="49">
    <w:name w:val="_Style 1"/>
    <w:qFormat/>
    <w:uiPriority w:val="1"/>
    <w:pPr>
      <w:adjustRightInd w:val="0"/>
      <w:snapToGrid w:val="0"/>
    </w:pPr>
    <w:rPr>
      <w:rFonts w:ascii="Tahoma" w:hAnsi="Tahoma" w:eastAsia="宋体" w:cs="Times New Roman"/>
      <w:sz w:val="22"/>
      <w:szCs w:val="22"/>
      <w:lang w:val="en-US" w:eastAsia="zh-CN" w:bidi="ar-SA"/>
    </w:rPr>
  </w:style>
  <w:style w:type="paragraph" w:styleId="50">
    <w:name w:val="List Paragraph"/>
    <w:basedOn w:val="1"/>
    <w:unhideWhenUsed/>
    <w:qFormat/>
    <w:uiPriority w:val="99"/>
    <w:pPr>
      <w:ind w:firstLine="420" w:firstLineChars="200"/>
    </w:pPr>
  </w:style>
  <w:style w:type="character" w:customStyle="1" w:styleId="51">
    <w:name w:val="正文文本 Char"/>
    <w:basedOn w:val="26"/>
    <w:link w:val="9"/>
    <w:semiHidden/>
    <w:qFormat/>
    <w:uiPriority w:val="99"/>
    <w:rPr>
      <w:rFonts w:asciiTheme="minorHAnsi" w:hAnsiTheme="minorHAnsi" w:eastAsiaTheme="minorEastAsia" w:cstheme="minorBidi"/>
      <w:kern w:val="2"/>
      <w:sz w:val="21"/>
      <w:szCs w:val="22"/>
    </w:rPr>
  </w:style>
  <w:style w:type="character" w:customStyle="1" w:styleId="52">
    <w:name w:val="正文文本缩进 Char"/>
    <w:basedOn w:val="26"/>
    <w:link w:val="10"/>
    <w:qFormat/>
    <w:uiPriority w:val="99"/>
    <w:rPr>
      <w:rFonts w:eastAsiaTheme="minorEastAsia"/>
      <w:kern w:val="2"/>
      <w:sz w:val="21"/>
      <w:szCs w:val="21"/>
    </w:rPr>
  </w:style>
  <w:style w:type="character" w:customStyle="1" w:styleId="53">
    <w:name w:val="正文首行缩进 2 Char"/>
    <w:basedOn w:val="52"/>
    <w:link w:val="23"/>
    <w:qFormat/>
    <w:uiPriority w:val="0"/>
    <w:rPr>
      <w:rFonts w:eastAsiaTheme="minorEastAsia"/>
      <w:kern w:val="2"/>
      <w:sz w:val="21"/>
      <w:szCs w:val="21"/>
    </w:rPr>
  </w:style>
  <w:style w:type="paragraph" w:customStyle="1" w:styleId="54">
    <w:name w:val="Table Paragraph"/>
    <w:basedOn w:val="1"/>
    <w:qFormat/>
    <w:uiPriority w:val="1"/>
    <w:pPr>
      <w:autoSpaceDE w:val="0"/>
      <w:autoSpaceDN w:val="0"/>
      <w:jc w:val="left"/>
    </w:pPr>
    <w:rPr>
      <w:rFonts w:ascii="宋体" w:hAnsi="宋体" w:eastAsia="宋体" w:cs="宋体"/>
      <w:kern w:val="0"/>
      <w:sz w:val="22"/>
    </w:rPr>
  </w:style>
  <w:style w:type="paragraph" w:customStyle="1" w:styleId="55">
    <w:name w:val="正文文本 (2)1"/>
    <w:basedOn w:val="1"/>
    <w:qFormat/>
    <w:uiPriority w:val="0"/>
    <w:pPr>
      <w:shd w:val="clear" w:color="auto" w:fill="FFFFFF"/>
      <w:autoSpaceDE w:val="0"/>
      <w:autoSpaceDN w:val="0"/>
      <w:spacing w:line="408" w:lineRule="exact"/>
      <w:ind w:hanging="480"/>
      <w:jc w:val="distribute"/>
    </w:pPr>
    <w:rPr>
      <w:rFonts w:ascii="MingLiU" w:hAnsi="MingLiU" w:eastAsia="MingLiU"/>
      <w:kern w:val="0"/>
      <w:sz w:val="22"/>
    </w:rPr>
  </w:style>
  <w:style w:type="character" w:customStyle="1" w:styleId="56">
    <w:name w:val="日期 Char"/>
    <w:basedOn w:val="26"/>
    <w:link w:val="13"/>
    <w:semiHidden/>
    <w:qFormat/>
    <w:uiPriority w:val="99"/>
    <w:rPr>
      <w:rFonts w:asciiTheme="minorHAnsi" w:hAnsiTheme="minorHAnsi" w:eastAsiaTheme="minorEastAsia" w:cstheme="minorBidi"/>
      <w:kern w:val="2"/>
      <w:sz w:val="21"/>
      <w:szCs w:val="22"/>
    </w:rPr>
  </w:style>
  <w:style w:type="character" w:customStyle="1" w:styleId="57">
    <w:name w:val="标题 4 Char"/>
    <w:basedOn w:val="26"/>
    <w:link w:val="5"/>
    <w:semiHidden/>
    <w:qFormat/>
    <w:uiPriority w:val="9"/>
    <w:rPr>
      <w:rFonts w:asciiTheme="majorHAnsi" w:hAnsiTheme="majorHAnsi" w:eastAsiaTheme="majorEastAsia" w:cstheme="majorBidi"/>
      <w:b/>
      <w:bCs/>
      <w:kern w:val="2"/>
      <w:sz w:val="28"/>
      <w:szCs w:val="28"/>
    </w:rPr>
  </w:style>
  <w:style w:type="paragraph" w:customStyle="1" w:styleId="58">
    <w:name w:val="表格文字"/>
    <w:basedOn w:val="1"/>
    <w:qFormat/>
    <w:uiPriority w:val="0"/>
    <w:pPr>
      <w:spacing w:before="25" w:after="25"/>
      <w:jc w:val="left"/>
    </w:pPr>
    <w:rPr>
      <w:bCs/>
      <w:spacing w:val="10"/>
      <w:kern w:val="0"/>
      <w:sz w:val="24"/>
    </w:rPr>
  </w:style>
  <w:style w:type="paragraph" w:styleId="59">
    <w:name w:val="No Spacing"/>
    <w:qFormat/>
    <w:uiPriority w:val="1"/>
    <w:pPr>
      <w:widowControl w:val="0"/>
      <w:jc w:val="both"/>
    </w:pPr>
    <w:rPr>
      <w:rFonts w:ascii="Times New Roman" w:hAnsi="Times New Roman" w:eastAsia="宋体" w:cs="Times New Roman"/>
      <w:kern w:val="2"/>
      <w:sz w:val="21"/>
      <w:lang w:val="en-US" w:eastAsia="zh-CN" w:bidi="ar-SA"/>
    </w:rPr>
  </w:style>
  <w:style w:type="table" w:customStyle="1" w:styleId="60">
    <w:name w:val="Table Normal"/>
    <w:semiHidden/>
    <w:unhideWhenUsed/>
    <w:qFormat/>
    <w:uiPriority w:val="2"/>
    <w:tblPr>
      <w:tblCellMar>
        <w:top w:w="0" w:type="dxa"/>
        <w:left w:w="0" w:type="dxa"/>
        <w:bottom w:w="0" w:type="dxa"/>
        <w:right w:w="0" w:type="dxa"/>
      </w:tblCellMar>
    </w:tblPr>
  </w:style>
  <w:style w:type="paragraph" w:customStyle="1" w:styleId="61">
    <w:name w:val="正文_2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3">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83" textRotate="1"/>
    <customShpInfo spid="_x0000_s3091" textRotate="1"/>
    <customShpInfo spid="_x0000_s3085" textRotate="1"/>
    <customShpInfo spid="_x0000_s3086" textRotate="1"/>
    <customShpInfo spid="_x0000_s3087" textRotate="1"/>
    <customShpInfo spid="_x0000_s3090" textRotate="1"/>
    <customShpInfo spid="_x0000_s2054"/>
    <customShpInfo spid="_x0000_s2055"/>
    <customShpInfo spid="_x0000_s2056"/>
    <customShpInfo spid="_x0000_s2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B06252-4601-4A5E-AE79-CDBBFC0DFCB3}">
  <ds:schemaRefs/>
</ds:datastoreItem>
</file>

<file path=docProps/app.xml><?xml version="1.0" encoding="utf-8"?>
<Properties xmlns="http://schemas.openxmlformats.org/officeDocument/2006/extended-properties" xmlns:vt="http://schemas.openxmlformats.org/officeDocument/2006/docPropsVTypes">
  <Template>Normal</Template>
  <Pages>67</Pages>
  <Words>28855</Words>
  <Characters>30706</Characters>
  <Lines>257</Lines>
  <Paragraphs>72</Paragraphs>
  <TotalTime>1</TotalTime>
  <ScaleCrop>false</ScaleCrop>
  <LinksUpToDate>false</LinksUpToDate>
  <CharactersWithSpaces>32191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2017-10-17T08:19:00Z</dcterms:created>
  <dc:creator>Administrator</dc:creator>
  <cp:lastModifiedBy>哎呀</cp:lastModifiedBy>
  <cp:lastPrinted>2022-05-17T01:00:00Z</cp:lastPrinted>
  <dcterms:modified xsi:type="dcterms:W3CDTF">2022-05-27T05:15:09Z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B054AB33984047D48DF294C9F733AEEF</vt:lpwstr>
  </property>
</Properties>
</file>