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4" w:rsidRPr="00353232" w:rsidRDefault="00C66BE0" w:rsidP="009B221D">
      <w:pPr>
        <w:spacing w:line="360" w:lineRule="auto"/>
        <w:jc w:val="center"/>
        <w:rPr>
          <w:b/>
          <w:sz w:val="28"/>
          <w:szCs w:val="28"/>
        </w:rPr>
      </w:pPr>
      <w:bookmarkStart w:id="0" w:name="_Toc465264027"/>
      <w:bookmarkStart w:id="1" w:name="_Toc420506979"/>
      <w:bookmarkStart w:id="2" w:name="_Toc425933103"/>
      <w:r w:rsidRPr="00353232">
        <w:rPr>
          <w:rFonts w:hint="eastAsia"/>
          <w:b/>
          <w:sz w:val="28"/>
          <w:szCs w:val="28"/>
        </w:rPr>
        <w:t>阳新县县级政府采购询价采购需求公示及征集供应商名单公告</w:t>
      </w:r>
      <w:bookmarkEnd w:id="0"/>
      <w:bookmarkEnd w:id="1"/>
    </w:p>
    <w:p w:rsidR="00AE0C94" w:rsidRDefault="00C66BE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E960A5">
        <w:rPr>
          <w:rFonts w:hint="eastAsia"/>
          <w:sz w:val="28"/>
          <w:szCs w:val="28"/>
        </w:rPr>
        <w:t>阳新县洋港镇卫生院彩色多普勒超声诊断仪采购项目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>
        <w:rPr>
          <w:rFonts w:ascii="宋体" w:hAnsi="宋体" w:hint="eastAsia"/>
          <w:sz w:val="24"/>
          <w:szCs w:val="24"/>
        </w:rPr>
        <w:t>阳财采计备[2018]</w:t>
      </w:r>
      <w:r>
        <w:rPr>
          <w:rFonts w:hint="eastAsia"/>
          <w:sz w:val="24"/>
          <w:szCs w:val="24"/>
          <w:u w:val="single"/>
        </w:rPr>
        <w:t>A</w:t>
      </w:r>
      <w:r w:rsidR="00E960A5">
        <w:rPr>
          <w:rFonts w:hint="eastAsia"/>
          <w:sz w:val="24"/>
          <w:szCs w:val="24"/>
          <w:u w:val="single"/>
        </w:rPr>
        <w:t>167</w:t>
      </w:r>
      <w:r>
        <w:rPr>
          <w:rFonts w:hint="eastAsia"/>
          <w:sz w:val="24"/>
          <w:szCs w:val="24"/>
        </w:rPr>
        <w:t>号函要求，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</w:rPr>
        <w:t>就</w:t>
      </w:r>
      <w:r w:rsidR="00E960A5">
        <w:rPr>
          <w:rFonts w:hint="eastAsia"/>
          <w:sz w:val="24"/>
          <w:szCs w:val="24"/>
          <w:u w:val="single"/>
        </w:rPr>
        <w:t>阳新县洋港镇卫生院彩色多普勒超声诊断仪采购项目</w:t>
      </w:r>
      <w:r>
        <w:rPr>
          <w:rFonts w:hint="eastAsia"/>
          <w:sz w:val="24"/>
          <w:szCs w:val="24"/>
        </w:rPr>
        <w:t>所需货物及相关服务进行询价采购，现对采购人提供的采购需求进行公示，公开征询意见，并接受有意向的潜在供应商报名。</w:t>
      </w:r>
    </w:p>
    <w:p w:rsidR="009B221D" w:rsidRDefault="00C66BE0" w:rsidP="009B22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一、项目编号：</w:t>
      </w:r>
      <w:r w:rsidR="009B221D">
        <w:rPr>
          <w:sz w:val="24"/>
          <w:u w:val="single"/>
        </w:rPr>
        <w:t>131-Zcg·201</w:t>
      </w:r>
      <w:r w:rsidR="009B221D">
        <w:rPr>
          <w:rFonts w:hint="eastAsia"/>
          <w:sz w:val="24"/>
          <w:u w:val="single"/>
        </w:rPr>
        <w:t>8</w:t>
      </w:r>
      <w:r w:rsidR="009B221D">
        <w:rPr>
          <w:sz w:val="24"/>
          <w:u w:val="single"/>
        </w:rPr>
        <w:t>-</w:t>
      </w:r>
      <w:r w:rsidR="00353232">
        <w:rPr>
          <w:rFonts w:hint="eastAsia"/>
          <w:sz w:val="24"/>
          <w:u w:val="single"/>
        </w:rPr>
        <w:t>174</w:t>
      </w:r>
      <w:r w:rsidR="009B221D">
        <w:rPr>
          <w:rFonts w:hint="eastAsia"/>
          <w:sz w:val="24"/>
          <w:u w:val="single"/>
        </w:rPr>
        <w:t xml:space="preserve">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二、项目名称：</w:t>
      </w:r>
      <w:r w:rsidR="00E960A5">
        <w:rPr>
          <w:rFonts w:hint="eastAsia"/>
          <w:sz w:val="24"/>
          <w:szCs w:val="24"/>
          <w:u w:val="single"/>
        </w:rPr>
        <w:t>阳新县洋港镇卫生院彩色多普勒超声诊断仪采购项目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三、采购内容：</w:t>
      </w:r>
    </w:p>
    <w:tbl>
      <w:tblPr>
        <w:tblStyle w:val="a8"/>
        <w:tblW w:w="8901" w:type="dxa"/>
        <w:tblLayout w:type="fixed"/>
        <w:tblLook w:val="04A0"/>
      </w:tblPr>
      <w:tblGrid>
        <w:gridCol w:w="675"/>
        <w:gridCol w:w="2552"/>
        <w:gridCol w:w="1417"/>
        <w:gridCol w:w="2552"/>
        <w:gridCol w:w="1705"/>
      </w:tblGrid>
      <w:tr w:rsidR="00AE0C94" w:rsidTr="000A4BFC">
        <w:tc>
          <w:tcPr>
            <w:tcW w:w="675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552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主要技术规格</w:t>
            </w:r>
          </w:p>
        </w:tc>
        <w:tc>
          <w:tcPr>
            <w:tcW w:w="1705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E0C94" w:rsidTr="000A4BFC">
        <w:tc>
          <w:tcPr>
            <w:tcW w:w="675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AE0C94" w:rsidRPr="00E960A5" w:rsidRDefault="00E960A5" w:rsidP="000A4BFC">
            <w:pPr>
              <w:adjustRightInd w:val="0"/>
              <w:snapToGrid w:val="0"/>
              <w:jc w:val="center"/>
              <w:rPr>
                <w:szCs w:val="21"/>
              </w:rPr>
            </w:pPr>
            <w:r w:rsidRPr="00E960A5">
              <w:rPr>
                <w:rFonts w:hint="eastAsia"/>
                <w:szCs w:val="21"/>
              </w:rPr>
              <w:t>彩色多普勒超声诊断仪</w:t>
            </w:r>
          </w:p>
        </w:tc>
        <w:tc>
          <w:tcPr>
            <w:tcW w:w="1417" w:type="dxa"/>
            <w:vAlign w:val="center"/>
          </w:tcPr>
          <w:p w:rsidR="00AE0C94" w:rsidRDefault="00C66BE0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552" w:type="dxa"/>
            <w:vAlign w:val="center"/>
          </w:tcPr>
          <w:p w:rsidR="00AE0C94" w:rsidRDefault="00C66BE0" w:rsidP="009B221D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="009B221D">
              <w:rPr>
                <w:rFonts w:hint="eastAsia"/>
                <w:szCs w:val="21"/>
              </w:rPr>
              <w:t>附件</w:t>
            </w:r>
          </w:p>
        </w:tc>
        <w:tc>
          <w:tcPr>
            <w:tcW w:w="1705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AE0C94" w:rsidTr="000A4BFC">
        <w:tc>
          <w:tcPr>
            <w:tcW w:w="675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AE0C94" w:rsidRDefault="00AE0C94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四、采购预算：</w:t>
      </w:r>
      <w:r>
        <w:rPr>
          <w:rFonts w:hint="eastAsia"/>
          <w:sz w:val="24"/>
          <w:szCs w:val="24"/>
          <w:u w:val="single"/>
        </w:rPr>
        <w:t xml:space="preserve">  </w:t>
      </w:r>
      <w:r w:rsidR="00212FC0"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万元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五、供应商资格条件</w:t>
      </w:r>
    </w:p>
    <w:p w:rsidR="00E76091" w:rsidRDefault="00E76091" w:rsidP="00E7609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（一）应具备《政府采购法》第二十二条第一款之规定的基本条件。</w:t>
      </w:r>
    </w:p>
    <w:p w:rsidR="00E76091" w:rsidRDefault="00E76091" w:rsidP="00E7609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年内在经营活动中没有重大违法记录的书面声明》，且必须未被列入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信用中国</w:t>
      </w:r>
      <w:r>
        <w:rPr>
          <w:rFonts w:hint="eastAsia"/>
          <w:sz w:val="24"/>
        </w:rPr>
        <w:t>"</w:t>
      </w:r>
      <w:r>
        <w:rPr>
          <w:rFonts w:hint="eastAsia"/>
          <w:sz w:val="24"/>
        </w:rPr>
        <w:t>网站</w:t>
      </w:r>
      <w:r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www.creditchina.gov.cn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失信被执行人（须提供网站截图）、重大税收违法案件当事人、政府采购严重违法失信行为记录名单。</w:t>
      </w:r>
    </w:p>
    <w:p w:rsidR="00E76091" w:rsidRDefault="00E76091" w:rsidP="00E76091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（</w:t>
      </w:r>
      <w:r w:rsidR="00E960A5">
        <w:rPr>
          <w:rFonts w:hint="eastAsia"/>
          <w:sz w:val="24"/>
        </w:rPr>
        <w:t>三</w:t>
      </w:r>
      <w:r>
        <w:rPr>
          <w:rFonts w:hint="eastAsia"/>
          <w:sz w:val="24"/>
        </w:rPr>
        <w:t>）特定条件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>
        <w:rPr>
          <w:rFonts w:ascii="宋体" w:hAnsi="宋体" w:hint="eastAsia"/>
          <w:sz w:val="24"/>
        </w:rPr>
        <w:t>(</w:t>
      </w:r>
      <w:r>
        <w:rPr>
          <w:rFonts w:hint="eastAsia"/>
          <w:sz w:val="24"/>
        </w:rPr>
        <w:t>设备进口代理商可不提供厂家医疗器械生产许可证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E76091" w:rsidRDefault="00E76091" w:rsidP="00E76091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bCs/>
          <w:sz w:val="24"/>
        </w:rPr>
        <w:t>（</w:t>
      </w:r>
      <w:r w:rsidR="00E960A5">
        <w:rPr>
          <w:rFonts w:hint="eastAsia"/>
          <w:bCs/>
          <w:sz w:val="24"/>
        </w:rPr>
        <w:t>四</w:t>
      </w:r>
      <w:r>
        <w:rPr>
          <w:rFonts w:hint="eastAsia"/>
          <w:bCs/>
          <w:sz w:val="24"/>
        </w:rPr>
        <w:t>）本项目不接受联合体。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六、是否专门面向中小企业：否。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七、需求公示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（一）公示期：本公示发布之日起至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E76091">
        <w:rPr>
          <w:rFonts w:hint="eastAsia"/>
          <w:sz w:val="24"/>
          <w:szCs w:val="24"/>
        </w:rPr>
        <w:t xml:space="preserve"> </w:t>
      </w:r>
      <w:r w:rsidR="000A4BFC"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月</w:t>
      </w:r>
      <w:r w:rsidR="00A81CD8">
        <w:rPr>
          <w:rFonts w:hint="eastAsia"/>
          <w:sz w:val="24"/>
          <w:szCs w:val="24"/>
        </w:rPr>
        <w:t>17</w:t>
      </w:r>
      <w:r w:rsidR="000A4B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17:30</w:t>
      </w:r>
      <w:r>
        <w:rPr>
          <w:rFonts w:hint="eastAsia"/>
          <w:sz w:val="24"/>
          <w:szCs w:val="24"/>
        </w:rPr>
        <w:t>时止。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（二）意见反馈方式：对采购需求提出相关意见（应说明理由）应客观公正、实事求是，供应商可以在公示期内向采购人或采购代理机构提交相关意见。</w:t>
      </w:r>
    </w:p>
    <w:p w:rsidR="00AE0C94" w:rsidRDefault="00E76091">
      <w:pPr>
        <w:adjustRightInd w:val="0"/>
        <w:snapToGrid w:val="0"/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（三）采购需求：见</w:t>
      </w:r>
      <w:r w:rsidR="00212FC0">
        <w:rPr>
          <w:rFonts w:hint="eastAsia"/>
          <w:color w:val="FF0000"/>
          <w:sz w:val="24"/>
          <w:szCs w:val="24"/>
        </w:rPr>
        <w:t>附件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八、征集潜在供应商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（一）征集的供应商为本项目备选供应商，最终由询价小组确定不少于三家供应商参加询价。如供应商受邀请后无故不参加询价，将被列入阳新县公共资源交易监督管理局不诚信供应商名单。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（二）有意参与本项目的潜在供应商可在公示期内通过邮件方式（在公示期内向指定邮箱</w:t>
      </w:r>
      <w:r>
        <w:rPr>
          <w:rFonts w:hint="eastAsia"/>
          <w:sz w:val="24"/>
          <w:szCs w:val="24"/>
          <w:u w:val="single"/>
        </w:rPr>
        <w:t xml:space="preserve"> 1138831720@qq.com </w:t>
      </w:r>
      <w:r>
        <w:rPr>
          <w:rFonts w:hint="eastAsia"/>
          <w:sz w:val="24"/>
          <w:szCs w:val="24"/>
        </w:rPr>
        <w:t>递交报名资料）进行报名。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（三）报名资料至少应当包含以下内容：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1.</w:t>
      </w:r>
      <w:r>
        <w:rPr>
          <w:rFonts w:hint="eastAsia"/>
          <w:color w:val="FF0000"/>
          <w:sz w:val="24"/>
          <w:szCs w:val="24"/>
        </w:rPr>
        <w:t>供应商报名表（格式见附件）。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《政府采购法》第二十二条第一款规定的条件，提供下列材料：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）法人或者其他组织的营业执照等证明文件，如供应商是自然人的提供身份证明材料；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）财务状况报告，依法缴纳税收和社会保障资金的相关材料；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）具备履行合同所必需的设备和专业技术能力的证明材料；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年内在经营活动中没有重大违法记录的书面声明；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）具备法律、行政法规规定的其他条件的证明材料。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未被列入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“信用中国”网站（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AE0C94" w:rsidRDefault="00E960A5" w:rsidP="00E960A5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E960A5">
        <w:rPr>
          <w:rFonts w:ascii="宋体" w:hAnsi="宋体" w:cs="宋体" w:hint="eastAsia"/>
          <w:kern w:val="0"/>
          <w:sz w:val="24"/>
          <w:szCs w:val="24"/>
        </w:rPr>
        <w:t>4</w:t>
      </w:r>
      <w:r w:rsidR="00C66BE0" w:rsidRPr="00E960A5">
        <w:rPr>
          <w:rFonts w:ascii="宋体" w:hAnsi="宋体" w:cs="宋体" w:hint="eastAsia"/>
          <w:kern w:val="0"/>
          <w:sz w:val="24"/>
          <w:szCs w:val="24"/>
        </w:rPr>
        <w:t>.</w:t>
      </w:r>
      <w:r w:rsidR="00C66BE0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="00C66BE0">
        <w:rPr>
          <w:rFonts w:hint="eastAsia"/>
          <w:sz w:val="24"/>
          <w:szCs w:val="24"/>
        </w:rPr>
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 w:rsidR="00C66BE0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66BE0">
        <w:rPr>
          <w:rFonts w:hint="eastAsia"/>
          <w:sz w:val="24"/>
          <w:szCs w:val="24"/>
        </w:rPr>
        <w:t>设备进口代理商可不提供厂家医疗器械生产许可证</w:t>
      </w:r>
      <w:r w:rsidR="00C66BE0">
        <w:rPr>
          <w:rFonts w:hint="eastAsia"/>
          <w:sz w:val="24"/>
          <w:szCs w:val="24"/>
        </w:rPr>
        <w:t>)</w:t>
      </w:r>
      <w:r w:rsidR="00C66BE0">
        <w:rPr>
          <w:rFonts w:hint="eastAsia"/>
          <w:sz w:val="24"/>
          <w:szCs w:val="24"/>
        </w:rPr>
        <w:t>。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九、联系方式：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采购代理机构：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湖北国华招标咨询有限公司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联系人：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柯丽华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</w:t>
      </w:r>
      <w:r w:rsidR="00E960A5">
        <w:rPr>
          <w:rFonts w:hint="eastAsia"/>
          <w:sz w:val="24"/>
          <w:szCs w:val="24"/>
          <w:u w:val="single"/>
        </w:rPr>
        <w:t>13886489085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1138831720@qq,com  </w:t>
      </w:r>
    </w:p>
    <w:p w:rsidR="00AE0C94" w:rsidRDefault="00C66BE0">
      <w:pPr>
        <w:widowControl/>
        <w:spacing w:line="520" w:lineRule="exact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联系地址：</w:t>
      </w:r>
      <w:r>
        <w:rPr>
          <w:sz w:val="24"/>
          <w:szCs w:val="24"/>
          <w:u w:val="single"/>
        </w:rPr>
        <w:t>阳新县</w:t>
      </w:r>
      <w:r>
        <w:rPr>
          <w:rFonts w:hint="eastAsia"/>
          <w:sz w:val="24"/>
          <w:szCs w:val="24"/>
          <w:u w:val="single"/>
        </w:rPr>
        <w:t>兴国镇张家垴西四巷</w:t>
      </w:r>
      <w:r>
        <w:rPr>
          <w:rFonts w:hint="eastAsia"/>
          <w:sz w:val="24"/>
          <w:szCs w:val="24"/>
          <w:u w:val="single"/>
        </w:rPr>
        <w:t>38</w:t>
      </w:r>
      <w:r>
        <w:rPr>
          <w:rFonts w:hint="eastAsia"/>
          <w:sz w:val="24"/>
          <w:szCs w:val="24"/>
          <w:u w:val="single"/>
        </w:rPr>
        <w:t>号</w:t>
      </w:r>
    </w:p>
    <w:p w:rsidR="00AE0C94" w:rsidRDefault="00AE0C9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AE0C94" w:rsidRDefault="00C66BE0">
      <w:pPr>
        <w:widowControl/>
        <w:spacing w:line="360" w:lineRule="auto"/>
        <w:ind w:leftChars="200" w:left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采购人：</w:t>
      </w:r>
      <w:r w:rsidR="00E960A5">
        <w:rPr>
          <w:rFonts w:hint="eastAsia"/>
          <w:sz w:val="24"/>
          <w:szCs w:val="24"/>
          <w:u w:val="single"/>
        </w:rPr>
        <w:t>阳新县洋港镇卫生院</w:t>
      </w:r>
      <w:r>
        <w:rPr>
          <w:rFonts w:ascii="宋体" w:hAnsi="宋体" w:cs="宋体"/>
          <w:kern w:val="0"/>
          <w:sz w:val="24"/>
          <w:szCs w:val="24"/>
        </w:rPr>
        <w:br/>
        <w:t>联 系 人：</w:t>
      </w:r>
      <w:r w:rsidR="00E960A5">
        <w:rPr>
          <w:rFonts w:hint="eastAsia"/>
          <w:sz w:val="24"/>
          <w:szCs w:val="24"/>
          <w:u w:val="single"/>
        </w:rPr>
        <w:t>吴运健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AE0C94" w:rsidRDefault="00C66BE0">
      <w:pPr>
        <w:widowControl/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>
        <w:rPr>
          <w:rFonts w:ascii="宋体" w:hAnsi="宋体" w:cs="宋体"/>
          <w:kern w:val="0"/>
          <w:sz w:val="24"/>
          <w:szCs w:val="24"/>
        </w:rPr>
        <w:t>电话：</w:t>
      </w:r>
      <w:r w:rsidR="00E960A5">
        <w:rPr>
          <w:rFonts w:hint="eastAsia"/>
          <w:sz w:val="24"/>
          <w:szCs w:val="24"/>
          <w:u w:val="single"/>
        </w:rPr>
        <w:t>18986575708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E0C94" w:rsidRDefault="00C66BE0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阳新县</w:t>
      </w:r>
      <w:r w:rsidR="00E960A5">
        <w:rPr>
          <w:rFonts w:hint="eastAsia"/>
          <w:sz w:val="24"/>
          <w:szCs w:val="24"/>
          <w:u w:val="single"/>
        </w:rPr>
        <w:t>洋港</w:t>
      </w:r>
      <w:r>
        <w:rPr>
          <w:rFonts w:hint="eastAsia"/>
          <w:sz w:val="24"/>
          <w:szCs w:val="24"/>
          <w:u w:val="single"/>
        </w:rPr>
        <w:t>镇</w:t>
      </w:r>
      <w:r w:rsidR="00E960A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AE0C94" w:rsidRDefault="00AE0C94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AE0C94" w:rsidRDefault="00C66BE0" w:rsidP="00E2595F"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 w:rsidR="00E960A5">
        <w:rPr>
          <w:rFonts w:hint="eastAsia"/>
          <w:sz w:val="24"/>
          <w:szCs w:val="24"/>
        </w:rPr>
        <w:t>阳新县洋港镇卫生院彩色多普勒超声诊断仪采购项目</w:t>
      </w:r>
      <w:r>
        <w:rPr>
          <w:rFonts w:hint="eastAsia"/>
          <w:sz w:val="24"/>
          <w:szCs w:val="24"/>
        </w:rPr>
        <w:t>采购需求</w:t>
      </w:r>
      <w:r w:rsidR="00E960A5"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供应商报名表</w:t>
      </w:r>
    </w:p>
    <w:p w:rsidR="00AE0C94" w:rsidRDefault="00AE0C94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:rsidR="00AE0C94" w:rsidRDefault="00AE0C94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bookmarkEnd w:id="2"/>
    <w:p w:rsidR="00AE0C94" w:rsidRDefault="00C66BE0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湖北国华招标咨询有限公司</w:t>
      </w:r>
      <w:r>
        <w:rPr>
          <w:rFonts w:hint="eastAsia"/>
          <w:sz w:val="24"/>
          <w:szCs w:val="24"/>
        </w:rPr>
        <w:t xml:space="preserve">   </w:t>
      </w:r>
    </w:p>
    <w:p w:rsidR="00AE0C94" w:rsidRDefault="00C66BE0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 w:rsidR="0024297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A81CD8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 w:rsidR="00AE0C94" w:rsidRDefault="00AE0C94">
      <w:pPr>
        <w:adjustRightInd w:val="0"/>
        <w:snapToGrid w:val="0"/>
        <w:spacing w:line="360" w:lineRule="auto"/>
        <w:ind w:firstLineChars="2700" w:firstLine="6480"/>
        <w:rPr>
          <w:sz w:val="24"/>
          <w:szCs w:val="24"/>
        </w:rPr>
      </w:pPr>
    </w:p>
    <w:p w:rsidR="00AE0C94" w:rsidRDefault="00C66BE0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AE0C94" w:rsidRDefault="00C66BE0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：采购需求</w:t>
      </w:r>
    </w:p>
    <w:p w:rsidR="00E960A5" w:rsidRPr="009F3990" w:rsidRDefault="00E960A5" w:rsidP="00E960A5">
      <w:pPr>
        <w:spacing w:line="500" w:lineRule="exact"/>
        <w:ind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b/>
          <w:sz w:val="24"/>
          <w:szCs w:val="24"/>
        </w:rPr>
        <w:t>彩色多普勒超声诊断仪技术规格及要求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一、设备主要用途：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1、主要用于：腹部、产科、妇科、心脏、小器官、泌尿、血管、儿科、经颅、急诊等全身应用。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要求为2014年及以后的最新版本及最新出产机型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(出厂日期应在到货时止3个月内的全新设备)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，具有用户现场升级能力，可满足将来临床应用扩展需求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二、主机及技术参数要求：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1、通用功能：系统采用windows平台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1.1、彩色显示器≥19寸，可上下、左右旋转，前后移动。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*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1.2、主机一体化触摸屏≥10寸，触摸屏支持多点触摸，在触摸屏上支持手势操作，临床图像放大、图像旋转、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3D/4D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旋转和擦除、测量、图像浏览及图像模式切换等功能，触摸屏角度可调。（提供证明材料）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1.3、主机标配探头接口：4个,全部激活并且相互通用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1.4、操作面板可升降、左右旋转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1.5、支持B/C双实时显示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1.6、多倍波束增强系统，利用传统波束形成所忽略的相邻波束的回声信号，形成一个更精细更强的成像波束，非焦点区域能获得和焦点区域相同的空间分辨率,并且没有帧频损失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1.7、二维灰阶模式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1.8、谐波成像模式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1.9、M型模式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1.10、彩色M型模式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1.11、具备解剖M型模式 ，取样线3条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1.12、彩色多普勒成像（包括彩色、能量、方向能量多普勒模式）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1.13、频谱多普勒成像（包括脉冲多普勒、高脉冲重复频率、连续波多普勒）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1.14、具备组织多普勒成像，支持速度、能量、频谱、M型4种模式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1.15、组织特异性成像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*1.16、宽带频移谐波成像，更纯净的谐波成像，获得更好的对比分辨力，高信噪比，获得更好的噪声抑制。（提供证明图片）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lastRenderedPageBreak/>
        <w:t>*1.17、斑点噪声抑制技术，更好的对比分辨力，更清晰和更锐利的边界分辨，可调级别7（提供证明图片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*1.18、高分辨率血流HR FLOW，高分辨率血流可以提供更好的空间分辨率，准确地显示血流形态并减少外溢，支持Color和Power模式（提供证明图片）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*1.19、穿刺针增强技术，高质量的超声引导穿刺，能更清晰地显示针尖和针体，可调节的波束偏转角度较大，能最大程度上与穿刺针垂直，增强穿刺针显示，最大30°的角度调节范围 (-20°~ -50°, 20°~ 50 °)（提供证明图片）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*1.20、回波增强技术，显著提高心脏图像的整体均匀性 更好的心肌组织细节显示及对比分辨率 显著减少心腔内噪声（提供证明图片）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1.21、具备自由臂三维成像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*1.22、具备宽景成像，所有探头可用，探头移动时具有扫描速度快慢提示，并且支持能量图（提供证明图片）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1.23、具备频率复合和空间复合两种成像模式，且空间符合成像要求曲别针试验可显示9条线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1.24、扩展成像要求支持凸阵、线阵、容积探头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1.25、一键可将图像显示区域放大到19寸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1.26、局部放大，能实现实时和冻结后放大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*1.27、支持移动终端系统：超声设备与智能设备无线连接，通过无线连接将超声机器的临床图像传输到手机（提供证明材料）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1.28、一键优化，要求一键快速优化二维图像、彩色图像、彩色取样框位置和角度、频谱图像、频谱取样门大小、取样门位置、偏转角度。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1.29、内置自助超声教学系统，可以在扫查的同时实时显示包括解剖图谱、标准的超声图像、扫查位置参考图、以及扫查技巧等内容，帮助医生更快掌握超声扫查的手法，实现标准化；支持多个检查模式，包括腹部、妇产、甲状腺、乳腺、睾丸等（提供证明材料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1.30、焦点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位置自动调节。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随深度变化焦点位置自动优化，简化操作流程。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1.31、全中文操作系统界面、操作菜单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1.32、原始数据处理，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可处理参数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35项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1.33、4D成像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2、探头规格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lastRenderedPageBreak/>
        <w:t>2.1、宽频变频技术，系统频率范围1.5-15.0MHz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2.2、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凸阵，带宽: 1.5-5.5MHz，角度≥85°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2.3、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 xml:space="preserve">线阵，带宽: 3-13 MHz ,大小40-50mm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2.4、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 xml:space="preserve">相控阵，带宽: 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1.5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-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.0 MHz，角度≥85°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3、系统技术参数及要求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3.1、二维灰阶成像单元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3.1.1、数字化声束形成器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3.1.2、数字化全程动态聚焦，数字化可变孔径及动态变迹，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A/D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≥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1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2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 xml:space="preserve"> bit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3.1.3、预设条件：针对不同的检查脏器，预置最佳图像检查条件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3.1.4、最大帧率: ≥999 帧/秒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3.1.5、TGC: 8段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3.1.6、LGC: 8段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3.1.7、动态范围: 160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3.2、彩色多普勒参数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3.2.1、包括速度、速度方差、能量、方向能量显示等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3.2.2、显示方式：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B/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C、B/C/M、B/POWER、B/C/PW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3.2.3、线阵探头取样框偏转: ±30度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3.2.4、最大帧率: ≥300 帧/秒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3.2.5、支持B/C 同宽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3.3、频谱多普勒参数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3.3.1、频谱多普勒模式：包括脉冲多普勒、高脉冲重复频率、连续多普勒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3.3.2、显示方式：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B,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PW，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B/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PW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,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B/C/PW, B/CW, B/C/CW等等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3.3.3、显示控制：反转、零移位、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B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刷新、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D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扩展、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B/D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扩展等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3.3.4、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最大速度: ≥7.60m/s（连续多普勒速度: ≥30m/s）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3.3.5、最小速度: ≤1 mm /s（非噪声信号）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3.3.6、取样容积: 0.5-20mm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3.3.7、偏转角度: ±30度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3.3.8、支持频谱自动测量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4、测量功能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4.1、具备常规测量：包括距离、周长、面积、预产期、分娩日期等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lastRenderedPageBreak/>
        <w:t>4.2、自定义测量快捷键：支持产科、妇科、心脏测量等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4.3、妇产科测量：4胞胎对比测量分，胎儿生长曲线显示、生理评分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*4.4、血管内中膜自动测量，可进行血管前、后壁的内中膜一段距离的自动描记、自动生成测量数据结果，并具备IMT发育趋势分析曲线，可添加在报告中（提供证明图片）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*4.5、具备自动产科测量，自动识别并自动计算</w:t>
      </w:r>
      <w:r w:rsidRPr="009F3990"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双顶径、头围、枕额径、股骨长、腹围等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胎儿评估指标（提供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证明材料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）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*4.6、具备自动NT测量（提供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>证明材料</w:t>
      </w: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）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 w:themeColor="background2" w:themeShade="1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4.7、</w:t>
      </w:r>
      <w:r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具备实时四维成像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 w:themeColor="background2" w:themeShade="1A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4.8、支持光源渲染成像（可调节阴影强度及移动光源，可移动光源大于或等于5个）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 w:themeColor="background2" w:themeShade="1A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4.9、多种渲染模式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 w:themeColor="background2" w:themeShade="1A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4.10、裁剪功能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/>
          <w:sz w:val="24"/>
          <w:szCs w:val="24"/>
        </w:rPr>
        <w:t>4.11、超声断层成像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/>
          <w:sz w:val="24"/>
          <w:szCs w:val="24"/>
        </w:rPr>
        <w:t>4.12、</w:t>
      </w:r>
      <w:r w:rsidRPr="009F3990">
        <w:rPr>
          <w:rFonts w:asciiTheme="majorEastAsia" w:eastAsiaTheme="majorEastAsia" w:hAnsiTheme="majorEastAsia" w:cs="Arial"/>
          <w:color w:val="1D1B11"/>
          <w:sz w:val="24"/>
          <w:szCs w:val="24"/>
        </w:rPr>
        <w:t>STIC</w:t>
      </w:r>
      <w:r w:rsidRPr="009F3990">
        <w:rPr>
          <w:rFonts w:asciiTheme="majorEastAsia" w:eastAsiaTheme="majorEastAsia" w:hAnsiTheme="majorEastAsia" w:cs="Arial" w:hint="eastAsia"/>
          <w:color w:val="1D1B11"/>
          <w:sz w:val="24"/>
          <w:szCs w:val="24"/>
        </w:rPr>
        <w:t>时空关联成像</w:t>
      </w:r>
      <w:r w:rsidRPr="009F3990">
        <w:rPr>
          <w:rFonts w:asciiTheme="majorEastAsia" w:eastAsiaTheme="majorEastAsia" w:hAnsiTheme="majorEastAsia" w:cs="Arial" w:hint="eastAsia"/>
          <w:color w:val="1D1B11" w:themeColor="background2" w:themeShade="1A"/>
          <w:sz w:val="24"/>
          <w:szCs w:val="24"/>
        </w:rPr>
        <w:t>（支持彩色血流STIC）</w:t>
      </w:r>
    </w:p>
    <w:p w:rsidR="00E960A5" w:rsidRPr="009F3990" w:rsidRDefault="00E960A5" w:rsidP="00E960A5">
      <w:pPr>
        <w:spacing w:line="360" w:lineRule="auto"/>
        <w:jc w:val="left"/>
        <w:rPr>
          <w:rFonts w:asciiTheme="majorEastAsia" w:eastAsiaTheme="majorEastAsia" w:hAnsiTheme="majorEastAsia" w:cs="Arial"/>
          <w:color w:val="1D1B11"/>
          <w:sz w:val="24"/>
          <w:szCs w:val="24"/>
        </w:rPr>
      </w:pPr>
      <w:r w:rsidRPr="009F3990">
        <w:rPr>
          <w:rFonts w:asciiTheme="majorEastAsia" w:eastAsiaTheme="majorEastAsia" w:hAnsiTheme="majorEastAsia" w:cs="Arial" w:hint="eastAsia"/>
          <w:color w:val="1D1B11"/>
          <w:sz w:val="24"/>
          <w:szCs w:val="24"/>
        </w:rPr>
        <w:t>4.13、</w:t>
      </w:r>
      <w:r w:rsidRPr="009F3990">
        <w:rPr>
          <w:rFonts w:asciiTheme="majorEastAsia" w:eastAsiaTheme="majorEastAsia" w:hAnsiTheme="majorEastAsia" w:cs="Arial"/>
          <w:color w:val="1D1B11"/>
          <w:sz w:val="24"/>
          <w:szCs w:val="24"/>
        </w:rPr>
        <w:t>Niche</w:t>
      </w:r>
      <w:r w:rsidRPr="009F3990">
        <w:rPr>
          <w:rFonts w:asciiTheme="majorEastAsia" w:eastAsiaTheme="majorEastAsia" w:hAnsiTheme="majorEastAsia" w:cs="Arial" w:hint="eastAsia"/>
          <w:color w:val="1D1B11"/>
          <w:sz w:val="24"/>
          <w:szCs w:val="24"/>
        </w:rPr>
        <w:t>（壁龛成像）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5、检查存储和管理（内置超声工作站）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5.1、500G硬盘</w:t>
      </w:r>
      <w:r w:rsidRPr="009F3990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5.2、内置超声工作站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5.3、多种导出图像格式：动态图像、静态图像以PC格式直接导出，无需特殊软件即能在普通PC 机上直接观看图像。导出、备份图像数据资料同时，可进行实时检查，不影响检查操作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5.4、可存储高达524000单帧图像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6、连通性要求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6.1、DICOM 3.0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6.2、视频/音频输入、输出</w:t>
      </w:r>
    </w:p>
    <w:p w:rsidR="00E960A5" w:rsidRPr="009F3990" w:rsidRDefault="00E960A5" w:rsidP="00E960A5">
      <w:pPr>
        <w:pStyle w:val="a9"/>
        <w:spacing w:line="360" w:lineRule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6.3、USB接口5个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>三、外设和附件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*1、操作板面具备耦合剂加热器，可选一键开/关（提供证明材料） </w:t>
      </w:r>
    </w:p>
    <w:p w:rsidR="00E960A5" w:rsidRPr="009F3990" w:rsidRDefault="00E960A5" w:rsidP="00E960A5">
      <w:pPr>
        <w:pStyle w:val="a9"/>
        <w:spacing w:line="460" w:lineRule="atLeast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color w:val="auto"/>
          <w:sz w:val="24"/>
          <w:szCs w:val="24"/>
        </w:rPr>
        <w:lastRenderedPageBreak/>
        <w:t>2、支持生理信号：ECG</w:t>
      </w:r>
    </w:p>
    <w:p w:rsidR="00E960A5" w:rsidRPr="0071497C" w:rsidRDefault="00E960A5" w:rsidP="00E960A5">
      <w:pPr>
        <w:adjustRightIn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1497C">
        <w:rPr>
          <w:rFonts w:asciiTheme="majorEastAsia" w:eastAsiaTheme="majorEastAsia" w:hAnsiTheme="majorEastAsia" w:hint="eastAsia"/>
          <w:sz w:val="24"/>
          <w:szCs w:val="24"/>
        </w:rPr>
        <w:t>四、配置要求：</w:t>
      </w:r>
    </w:p>
    <w:p w:rsidR="00E960A5" w:rsidRPr="009F3990" w:rsidRDefault="00E960A5" w:rsidP="00E960A5">
      <w:pPr>
        <w:adjustRightIn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1、全身应用彩色多普勒超声诊断仪主机1台</w:t>
      </w:r>
    </w:p>
    <w:p w:rsidR="00E960A5" w:rsidRPr="009F3990" w:rsidRDefault="00E960A5" w:rsidP="00E960A5">
      <w:pPr>
        <w:adjustRightIn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2、配置探头：3把（腹部</w:t>
      </w:r>
      <w:r>
        <w:rPr>
          <w:rFonts w:asciiTheme="majorEastAsia" w:eastAsiaTheme="majorEastAsia" w:hAnsiTheme="majorEastAsia" w:hint="eastAsia"/>
          <w:sz w:val="24"/>
          <w:szCs w:val="24"/>
        </w:rPr>
        <w:t>探头</w:t>
      </w:r>
      <w:r w:rsidRPr="009F3990">
        <w:rPr>
          <w:rFonts w:asciiTheme="majorEastAsia" w:eastAsiaTheme="majorEastAsia" w:hAnsiTheme="majorEastAsia" w:hint="eastAsia"/>
          <w:sz w:val="24"/>
          <w:szCs w:val="24"/>
        </w:rPr>
        <w:t>，浅表</w:t>
      </w:r>
      <w:r>
        <w:rPr>
          <w:rFonts w:asciiTheme="majorEastAsia" w:eastAsiaTheme="majorEastAsia" w:hAnsiTheme="majorEastAsia" w:hint="eastAsia"/>
          <w:sz w:val="24"/>
          <w:szCs w:val="24"/>
        </w:rPr>
        <w:t>探头</w:t>
      </w:r>
      <w:r w:rsidRPr="009F3990">
        <w:rPr>
          <w:rFonts w:asciiTheme="majorEastAsia" w:eastAsiaTheme="majorEastAsia" w:hAnsiTheme="majorEastAsia" w:hint="eastAsia"/>
          <w:sz w:val="24"/>
          <w:szCs w:val="24"/>
        </w:rPr>
        <w:t>，腹部容积探头）</w:t>
      </w:r>
    </w:p>
    <w:p w:rsidR="00E960A5" w:rsidRPr="009F3990" w:rsidRDefault="00E960A5" w:rsidP="00E960A5">
      <w:pPr>
        <w:adjustRightIn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*3、配备</w:t>
      </w:r>
      <w:r w:rsidRPr="009F3990">
        <w:rPr>
          <w:rFonts w:asciiTheme="majorEastAsia" w:eastAsiaTheme="majorEastAsia" w:hAnsiTheme="majorEastAsia"/>
          <w:sz w:val="24"/>
          <w:szCs w:val="24"/>
        </w:rPr>
        <w:t>同品牌</w:t>
      </w:r>
      <w:r w:rsidRPr="009F3990">
        <w:rPr>
          <w:rFonts w:asciiTheme="majorEastAsia" w:eastAsiaTheme="majorEastAsia" w:hAnsiTheme="majorEastAsia" w:hint="eastAsia"/>
          <w:sz w:val="24"/>
          <w:szCs w:val="24"/>
        </w:rPr>
        <w:t>彩超工作站软件，便于设备后期维护工作（提供证明材料）</w:t>
      </w:r>
    </w:p>
    <w:p w:rsidR="00E960A5" w:rsidRPr="0071497C" w:rsidRDefault="00E960A5" w:rsidP="00E960A5">
      <w:pPr>
        <w:adjustRightInd w:val="0"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71497C">
        <w:rPr>
          <w:rFonts w:asciiTheme="majorEastAsia" w:eastAsiaTheme="majorEastAsia" w:hAnsiTheme="majorEastAsia" w:hint="eastAsia"/>
          <w:sz w:val="24"/>
          <w:szCs w:val="24"/>
        </w:rPr>
        <w:t>五、备件、技术及维修服务，培训要求及其它</w:t>
      </w:r>
    </w:p>
    <w:p w:rsidR="00E960A5" w:rsidRPr="009F3990" w:rsidRDefault="00E960A5" w:rsidP="00E960A5">
      <w:pPr>
        <w:adjustRightInd w:val="0"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*1、服务机构，生产厂家在湖北省内须有通过本地工商注册的直属售后服务机构（提供营业执照复印件备查）</w:t>
      </w:r>
    </w:p>
    <w:p w:rsidR="00E960A5" w:rsidRPr="009F3990" w:rsidRDefault="00E960A5" w:rsidP="00E960A5">
      <w:pPr>
        <w:adjustRightInd w:val="0"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2、保修、安装、培训，维修，要求生产厂家提供设备的安装、培训，并出具生产厂家售后服务承诺</w:t>
      </w:r>
    </w:p>
    <w:p w:rsidR="00E960A5" w:rsidRPr="009F3990" w:rsidRDefault="00E960A5" w:rsidP="00E960A5">
      <w:pPr>
        <w:adjustRightInd w:val="0"/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9F3990">
        <w:rPr>
          <w:rFonts w:asciiTheme="majorEastAsia" w:eastAsiaTheme="majorEastAsia" w:hAnsiTheme="majorEastAsia" w:hint="eastAsia"/>
          <w:sz w:val="24"/>
          <w:szCs w:val="24"/>
        </w:rPr>
        <w:t>3、投标产品同一系列彩超在湖北省二级及以上医院用户数量≥30家，提供用户名单、联系电话等信息</w:t>
      </w:r>
    </w:p>
    <w:p w:rsidR="00E960A5" w:rsidRDefault="00E960A5" w:rsidP="00E960A5">
      <w:pPr>
        <w:adjustRightInd w:val="0"/>
        <w:snapToGrid w:val="0"/>
        <w:spacing w:line="360" w:lineRule="auto"/>
        <w:rPr>
          <w:rFonts w:ascii="Courier New" w:hAnsi="Courier New" w:cs="Courier New"/>
          <w:color w:val="FF0000"/>
          <w:kern w:val="0"/>
          <w:sz w:val="24"/>
          <w:szCs w:val="24"/>
        </w:rPr>
      </w:pPr>
    </w:p>
    <w:p w:rsidR="00E960A5" w:rsidRDefault="00E960A5" w:rsidP="00E960A5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备注：带星号技术条款一项不满足属不响应采购文件；非带星号技术条款一项不满足加价</w:t>
      </w: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2%</w:t>
      </w:r>
      <w:r>
        <w:rPr>
          <w:rFonts w:ascii="Courier New" w:hAnsi="Courier New" w:cs="Courier New" w:hint="eastAsia"/>
          <w:color w:val="FF0000"/>
          <w:kern w:val="0"/>
          <w:sz w:val="24"/>
          <w:szCs w:val="24"/>
        </w:rPr>
        <w:t>参与评审。</w:t>
      </w:r>
    </w:p>
    <w:p w:rsidR="00E960A5" w:rsidRDefault="00E960A5" w:rsidP="00E960A5">
      <w:pPr>
        <w:spacing w:line="500" w:lineRule="exact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二、商务要求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、交货期限：合同签订后</w:t>
      </w: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</w:rPr>
        <w:t>天内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、交货地点：阳新县洋港镇卫生院指定地点</w:t>
      </w:r>
    </w:p>
    <w:p w:rsidR="00E960A5" w:rsidRDefault="00E960A5" w:rsidP="00E960A5">
      <w:pPr>
        <w:spacing w:line="5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、质保期：一年</w:t>
      </w:r>
    </w:p>
    <w:p w:rsidR="00AE0C94" w:rsidRPr="00CD571D" w:rsidRDefault="00E960A5" w:rsidP="00E960A5">
      <w:pPr>
        <w:spacing w:line="500" w:lineRule="exact"/>
        <w:rPr>
          <w:color w:val="FF0000"/>
          <w:sz w:val="24"/>
          <w:szCs w:val="24"/>
        </w:rPr>
      </w:pPr>
      <w:r w:rsidRPr="00CD571D">
        <w:rPr>
          <w:rFonts w:hint="eastAsia"/>
          <w:color w:val="FF0000"/>
          <w:sz w:val="24"/>
          <w:szCs w:val="24"/>
        </w:rPr>
        <w:t>4</w:t>
      </w:r>
      <w:r w:rsidRPr="00CD571D">
        <w:rPr>
          <w:rFonts w:hint="eastAsia"/>
          <w:color w:val="FF0000"/>
          <w:sz w:val="24"/>
          <w:szCs w:val="24"/>
        </w:rPr>
        <w:t>、付款方式：设备验收安装合格后</w:t>
      </w:r>
      <w:r w:rsidR="00E2595F" w:rsidRPr="00CD571D">
        <w:rPr>
          <w:rFonts w:hint="eastAsia"/>
          <w:color w:val="FF0000"/>
          <w:sz w:val="24"/>
          <w:szCs w:val="24"/>
        </w:rPr>
        <w:t>分三年</w:t>
      </w:r>
      <w:r w:rsidR="00CD571D">
        <w:rPr>
          <w:rFonts w:hint="eastAsia"/>
          <w:color w:val="FF0000"/>
          <w:sz w:val="24"/>
          <w:szCs w:val="24"/>
        </w:rPr>
        <w:t>等额</w:t>
      </w:r>
      <w:r w:rsidRPr="00CD571D">
        <w:rPr>
          <w:rFonts w:hint="eastAsia"/>
          <w:color w:val="FF0000"/>
          <w:sz w:val="24"/>
          <w:szCs w:val="24"/>
        </w:rPr>
        <w:t>付清。</w:t>
      </w:r>
    </w:p>
    <w:p w:rsidR="00E960A5" w:rsidRDefault="00E960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60A5" w:rsidRDefault="00C66BE0" w:rsidP="00E960A5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：供应商报名表</w:t>
      </w:r>
    </w:p>
    <w:p w:rsidR="00AE0C94" w:rsidRDefault="00C66BE0" w:rsidP="00E960A5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AE0C94" w:rsidRDefault="00C66BE0">
      <w:pPr>
        <w:widowControl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项目名称：</w:t>
      </w:r>
      <w:r w:rsidR="00E960A5">
        <w:rPr>
          <w:rFonts w:hint="eastAsia"/>
          <w:sz w:val="24"/>
          <w:szCs w:val="24"/>
        </w:rPr>
        <w:t>阳新县洋港镇卫生院彩色多普勒超声诊断仪采购项目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项目编号：</w:t>
      </w:r>
      <w:r>
        <w:rPr>
          <w:rFonts w:ascii="宋体" w:hAnsi="宋体" w:cs="宋体"/>
          <w:kern w:val="0"/>
          <w:sz w:val="24"/>
          <w:szCs w:val="24"/>
        </w:rPr>
        <w:t>131-Zcg·201</w:t>
      </w:r>
      <w:r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/>
          <w:kern w:val="0"/>
          <w:sz w:val="24"/>
          <w:szCs w:val="24"/>
        </w:rPr>
        <w:t>-</w:t>
      </w:r>
      <w:r w:rsidR="007A6DA0">
        <w:rPr>
          <w:rFonts w:ascii="宋体" w:hAnsi="宋体" w:cs="宋体" w:hint="eastAsia"/>
          <w:kern w:val="0"/>
          <w:sz w:val="24"/>
          <w:szCs w:val="24"/>
        </w:rPr>
        <w:t>174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6741"/>
      </w:tblGrid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E0C94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C66BE0" w:rsidP="007D5AD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AE0C94" w:rsidRDefault="00C66BE0" w:rsidP="007D5AD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AE0C94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 w:rsidP="007D5A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AE0C94" w:rsidTr="00E960A5">
        <w:trPr>
          <w:trHeight w:val="183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AE0C94" w:rsidP="007D5A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E960A5" w:rsidP="007D5AD1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 w:rsidR="00C66BE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. </w:t>
            </w:r>
            <w:r w:rsidR="00C66BE0">
              <w:rPr>
                <w:rFonts w:hint="eastAsia"/>
                <w:sz w:val="24"/>
                <w:szCs w:val="24"/>
              </w:rPr>
              <w:t>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      </w:r>
            <w:r w:rsidR="00C66BE0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C66BE0">
              <w:rPr>
                <w:rFonts w:hint="eastAsia"/>
                <w:sz w:val="24"/>
                <w:szCs w:val="24"/>
              </w:rPr>
              <w:t>设备进口代理商可不提供厂家医疗器械生产许可证</w:t>
            </w:r>
            <w:r w:rsidR="00C66BE0">
              <w:rPr>
                <w:rFonts w:hint="eastAsia"/>
                <w:sz w:val="24"/>
                <w:szCs w:val="24"/>
              </w:rPr>
              <w:t>)</w:t>
            </w:r>
            <w:r w:rsidR="00C66BE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AE0C94">
        <w:trPr>
          <w:trHeight w:val="70"/>
        </w:trPr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C94" w:rsidRDefault="00C66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94" w:rsidRDefault="00C66BE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 w:rsidR="00AE0C94" w:rsidRDefault="00C66BE0">
      <w:pPr>
        <w:pStyle w:val="a6"/>
        <w:shd w:val="clear" w:color="auto" w:fill="FFFFFF"/>
        <w:spacing w:beforeAutospacing="0" w:afterAutospacing="0"/>
        <w:ind w:left="150"/>
        <w:rPr>
          <w:rStyle w:val="a7"/>
          <w:b w:val="0"/>
          <w:color w:val="000000" w:themeColor="text1"/>
          <w:sz w:val="18"/>
          <w:szCs w:val="18"/>
        </w:rPr>
      </w:pPr>
      <w:r>
        <w:rPr>
          <w:rStyle w:val="a7"/>
          <w:rFonts w:hint="eastAsia"/>
          <w:b w:val="0"/>
          <w:color w:val="000000" w:themeColor="text1"/>
          <w:sz w:val="18"/>
          <w:szCs w:val="18"/>
        </w:rPr>
        <w:t>注意事项：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Style w:val="a7"/>
          <w:b w:val="0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1.</w:t>
      </w:r>
      <w:r>
        <w:rPr>
          <w:rFonts w:hint="eastAsia"/>
          <w:color w:val="000000" w:themeColor="text1"/>
          <w:sz w:val="18"/>
          <w:szCs w:val="18"/>
        </w:rPr>
        <w:t>供应商必须严格按照公告的内容和要求，完整递交有关资料，</w:t>
      </w:r>
      <w:r>
        <w:rPr>
          <w:rStyle w:val="a7"/>
          <w:rFonts w:hint="eastAsia"/>
          <w:b w:val="0"/>
          <w:color w:val="000000" w:themeColor="text1"/>
          <w:sz w:val="18"/>
          <w:szCs w:val="18"/>
        </w:rPr>
        <w:t>逾期递交的将予以拒收。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 w:val="18"/>
          <w:szCs w:val="18"/>
        </w:rPr>
        <w:t>2.</w:t>
      </w:r>
      <w:r>
        <w:rPr>
          <w:rFonts w:ascii="宋体" w:hAnsi="宋体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AE0C94" w:rsidRDefault="00C66BE0">
      <w:pPr>
        <w:pStyle w:val="a6"/>
        <w:shd w:val="clear" w:color="auto" w:fill="FFFFFF"/>
        <w:spacing w:beforeAutospacing="0" w:afterAutospacing="0"/>
        <w:ind w:left="150"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3.</w:t>
      </w:r>
      <w:r>
        <w:rPr>
          <w:rFonts w:hint="eastAsia"/>
          <w:color w:val="000000" w:themeColor="text1"/>
          <w:sz w:val="18"/>
          <w:szCs w:val="18"/>
        </w:rPr>
        <w:t>须在邮件（附件文件名注明公司全称）注明公司全称、项目名称及项目编号（不注明我单位将拒收报名邮件）。</w:t>
      </w:r>
    </w:p>
    <w:p w:rsidR="00AE0C94" w:rsidRDefault="00AE0C94">
      <w:pPr>
        <w:rPr>
          <w:sz w:val="18"/>
          <w:szCs w:val="18"/>
        </w:rPr>
      </w:pPr>
    </w:p>
    <w:sectPr w:rsidR="00AE0C94" w:rsidSect="00AE0C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59" w:rsidRDefault="006F3B59" w:rsidP="00E76091">
      <w:r>
        <w:separator/>
      </w:r>
    </w:p>
  </w:endnote>
  <w:endnote w:type="continuationSeparator" w:id="0">
    <w:p w:rsidR="006F3B59" w:rsidRDefault="006F3B59" w:rsidP="00E7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59" w:rsidRDefault="006F3B59" w:rsidP="00E76091">
      <w:r>
        <w:separator/>
      </w:r>
    </w:p>
  </w:footnote>
  <w:footnote w:type="continuationSeparator" w:id="0">
    <w:p w:rsidR="006F3B59" w:rsidRDefault="006F3B59" w:rsidP="00E76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871"/>
    <w:multiLevelType w:val="multilevel"/>
    <w:tmpl w:val="0B612871"/>
    <w:lvl w:ilvl="0">
      <w:start w:val="1"/>
      <w:numFmt w:val="decimal"/>
      <w:lvlText w:val="1.8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A3137E"/>
    <w:multiLevelType w:val="multilevel"/>
    <w:tmpl w:val="16A3137E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51955"/>
    <w:multiLevelType w:val="multilevel"/>
    <w:tmpl w:val="18651955"/>
    <w:lvl w:ilvl="0">
      <w:start w:val="1"/>
      <w:numFmt w:val="decimal"/>
      <w:lvlText w:val="1.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C35837"/>
    <w:multiLevelType w:val="multilevel"/>
    <w:tmpl w:val="22C35837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C721D"/>
    <w:multiLevelType w:val="multilevel"/>
    <w:tmpl w:val="45CC721D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E218B9"/>
    <w:multiLevelType w:val="multilevel"/>
    <w:tmpl w:val="4DE218B9"/>
    <w:lvl w:ilvl="0">
      <w:start w:val="1"/>
      <w:numFmt w:val="decimal"/>
      <w:lvlText w:val="1.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8341A5"/>
    <w:multiLevelType w:val="multilevel"/>
    <w:tmpl w:val="608341A5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8A5EB0"/>
    <w:multiLevelType w:val="multilevel"/>
    <w:tmpl w:val="6F8A5EB0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111EF9"/>
    <w:multiLevelType w:val="multilevel"/>
    <w:tmpl w:val="7B111EF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552" w:hanging="420"/>
      </w:pPr>
    </w:lvl>
    <w:lvl w:ilvl="2">
      <w:start w:val="1"/>
      <w:numFmt w:val="lowerRoman"/>
      <w:lvlText w:val="%3."/>
      <w:lvlJc w:val="right"/>
      <w:pPr>
        <w:ind w:left="972" w:hanging="420"/>
      </w:pPr>
    </w:lvl>
    <w:lvl w:ilvl="3">
      <w:start w:val="1"/>
      <w:numFmt w:val="decimal"/>
      <w:lvlText w:val="%4."/>
      <w:lvlJc w:val="left"/>
      <w:pPr>
        <w:ind w:left="1392" w:hanging="420"/>
      </w:pPr>
    </w:lvl>
    <w:lvl w:ilvl="4">
      <w:start w:val="1"/>
      <w:numFmt w:val="lowerLetter"/>
      <w:lvlText w:val="%5)"/>
      <w:lvlJc w:val="left"/>
      <w:pPr>
        <w:ind w:left="1812" w:hanging="420"/>
      </w:pPr>
    </w:lvl>
    <w:lvl w:ilvl="5">
      <w:start w:val="1"/>
      <w:numFmt w:val="lowerRoman"/>
      <w:lvlText w:val="%6."/>
      <w:lvlJc w:val="right"/>
      <w:pPr>
        <w:ind w:left="2232" w:hanging="420"/>
      </w:pPr>
    </w:lvl>
    <w:lvl w:ilvl="6">
      <w:start w:val="1"/>
      <w:numFmt w:val="decimal"/>
      <w:lvlText w:val="%7."/>
      <w:lvlJc w:val="left"/>
      <w:pPr>
        <w:ind w:left="2652" w:hanging="420"/>
      </w:pPr>
    </w:lvl>
    <w:lvl w:ilvl="7">
      <w:start w:val="1"/>
      <w:numFmt w:val="lowerLetter"/>
      <w:lvlText w:val="%8)"/>
      <w:lvlJc w:val="left"/>
      <w:pPr>
        <w:ind w:left="3072" w:hanging="420"/>
      </w:pPr>
    </w:lvl>
    <w:lvl w:ilvl="8">
      <w:start w:val="1"/>
      <w:numFmt w:val="lowerRoman"/>
      <w:lvlText w:val="%9."/>
      <w:lvlJc w:val="right"/>
      <w:pPr>
        <w:ind w:left="3492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DE9"/>
    <w:rsid w:val="00016BFD"/>
    <w:rsid w:val="000309EC"/>
    <w:rsid w:val="00034003"/>
    <w:rsid w:val="00036573"/>
    <w:rsid w:val="000527BB"/>
    <w:rsid w:val="00070032"/>
    <w:rsid w:val="0008654C"/>
    <w:rsid w:val="0009726D"/>
    <w:rsid w:val="000A4BFC"/>
    <w:rsid w:val="000A6872"/>
    <w:rsid w:val="000A7932"/>
    <w:rsid w:val="000C00FE"/>
    <w:rsid w:val="000E42E2"/>
    <w:rsid w:val="000E5EB9"/>
    <w:rsid w:val="00104393"/>
    <w:rsid w:val="00122B5C"/>
    <w:rsid w:val="00127B67"/>
    <w:rsid w:val="00147211"/>
    <w:rsid w:val="00170B8F"/>
    <w:rsid w:val="00202200"/>
    <w:rsid w:val="002119A1"/>
    <w:rsid w:val="00212FC0"/>
    <w:rsid w:val="00216D6A"/>
    <w:rsid w:val="00241FC1"/>
    <w:rsid w:val="0024297A"/>
    <w:rsid w:val="00247E29"/>
    <w:rsid w:val="0026717E"/>
    <w:rsid w:val="00275DBB"/>
    <w:rsid w:val="00286F91"/>
    <w:rsid w:val="002912E3"/>
    <w:rsid w:val="002A3632"/>
    <w:rsid w:val="002C1B2B"/>
    <w:rsid w:val="002D6F78"/>
    <w:rsid w:val="00302794"/>
    <w:rsid w:val="00320C5A"/>
    <w:rsid w:val="003527E3"/>
    <w:rsid w:val="00353232"/>
    <w:rsid w:val="00354132"/>
    <w:rsid w:val="00355164"/>
    <w:rsid w:val="0038354E"/>
    <w:rsid w:val="003A3307"/>
    <w:rsid w:val="003D45F1"/>
    <w:rsid w:val="00416442"/>
    <w:rsid w:val="00423753"/>
    <w:rsid w:val="004357AA"/>
    <w:rsid w:val="00457399"/>
    <w:rsid w:val="0046058A"/>
    <w:rsid w:val="0046098B"/>
    <w:rsid w:val="00462B04"/>
    <w:rsid w:val="00463200"/>
    <w:rsid w:val="00465FFA"/>
    <w:rsid w:val="004B26CC"/>
    <w:rsid w:val="004B78C6"/>
    <w:rsid w:val="004D47AE"/>
    <w:rsid w:val="004E1732"/>
    <w:rsid w:val="00526415"/>
    <w:rsid w:val="00532D53"/>
    <w:rsid w:val="005432B8"/>
    <w:rsid w:val="00577CD8"/>
    <w:rsid w:val="00587588"/>
    <w:rsid w:val="0058786B"/>
    <w:rsid w:val="005E5956"/>
    <w:rsid w:val="005F25BA"/>
    <w:rsid w:val="005F4DA3"/>
    <w:rsid w:val="006101C6"/>
    <w:rsid w:val="006649D1"/>
    <w:rsid w:val="006C664E"/>
    <w:rsid w:val="006E70BF"/>
    <w:rsid w:val="006F3B59"/>
    <w:rsid w:val="00710283"/>
    <w:rsid w:val="00714951"/>
    <w:rsid w:val="00731C4C"/>
    <w:rsid w:val="00733886"/>
    <w:rsid w:val="00751667"/>
    <w:rsid w:val="00770BDF"/>
    <w:rsid w:val="00796001"/>
    <w:rsid w:val="007A6DA0"/>
    <w:rsid w:val="007B3300"/>
    <w:rsid w:val="007B4DCC"/>
    <w:rsid w:val="007B6DD0"/>
    <w:rsid w:val="007D5AD1"/>
    <w:rsid w:val="00841971"/>
    <w:rsid w:val="00843EA0"/>
    <w:rsid w:val="00862199"/>
    <w:rsid w:val="00864D2B"/>
    <w:rsid w:val="00877547"/>
    <w:rsid w:val="008A3546"/>
    <w:rsid w:val="008C655C"/>
    <w:rsid w:val="008D5B51"/>
    <w:rsid w:val="008E06A2"/>
    <w:rsid w:val="009111CF"/>
    <w:rsid w:val="00912E34"/>
    <w:rsid w:val="00917353"/>
    <w:rsid w:val="0093478F"/>
    <w:rsid w:val="009403F2"/>
    <w:rsid w:val="00965878"/>
    <w:rsid w:val="009674F2"/>
    <w:rsid w:val="00973F8D"/>
    <w:rsid w:val="00977D28"/>
    <w:rsid w:val="00984E78"/>
    <w:rsid w:val="009B221D"/>
    <w:rsid w:val="009C2562"/>
    <w:rsid w:val="009E79AA"/>
    <w:rsid w:val="009F1890"/>
    <w:rsid w:val="009F4B89"/>
    <w:rsid w:val="00A3646C"/>
    <w:rsid w:val="00A81CD8"/>
    <w:rsid w:val="00AB5203"/>
    <w:rsid w:val="00AC4743"/>
    <w:rsid w:val="00AC4FF6"/>
    <w:rsid w:val="00AC7064"/>
    <w:rsid w:val="00AE06A2"/>
    <w:rsid w:val="00AE0C94"/>
    <w:rsid w:val="00B062E5"/>
    <w:rsid w:val="00B3747F"/>
    <w:rsid w:val="00B37D97"/>
    <w:rsid w:val="00B422CC"/>
    <w:rsid w:val="00B60BEF"/>
    <w:rsid w:val="00BD15BE"/>
    <w:rsid w:val="00BD4CEF"/>
    <w:rsid w:val="00BF72B6"/>
    <w:rsid w:val="00C04547"/>
    <w:rsid w:val="00C554DF"/>
    <w:rsid w:val="00C66BE0"/>
    <w:rsid w:val="00C77263"/>
    <w:rsid w:val="00C8060B"/>
    <w:rsid w:val="00C94576"/>
    <w:rsid w:val="00CD571D"/>
    <w:rsid w:val="00D00E99"/>
    <w:rsid w:val="00D049F5"/>
    <w:rsid w:val="00D17FFE"/>
    <w:rsid w:val="00D239DE"/>
    <w:rsid w:val="00D34002"/>
    <w:rsid w:val="00D50A7B"/>
    <w:rsid w:val="00D63126"/>
    <w:rsid w:val="00D665CD"/>
    <w:rsid w:val="00D9157E"/>
    <w:rsid w:val="00DA12FB"/>
    <w:rsid w:val="00DA3AC3"/>
    <w:rsid w:val="00DB1799"/>
    <w:rsid w:val="00DC47E0"/>
    <w:rsid w:val="00DE087B"/>
    <w:rsid w:val="00DE418C"/>
    <w:rsid w:val="00E06921"/>
    <w:rsid w:val="00E14B01"/>
    <w:rsid w:val="00E2595F"/>
    <w:rsid w:val="00E652DF"/>
    <w:rsid w:val="00E721AB"/>
    <w:rsid w:val="00E73B29"/>
    <w:rsid w:val="00E76091"/>
    <w:rsid w:val="00E8016D"/>
    <w:rsid w:val="00E94B33"/>
    <w:rsid w:val="00E960A5"/>
    <w:rsid w:val="00EB5D3C"/>
    <w:rsid w:val="00EF14CE"/>
    <w:rsid w:val="00F01F7E"/>
    <w:rsid w:val="00F0315C"/>
    <w:rsid w:val="00F10D7E"/>
    <w:rsid w:val="00F157F1"/>
    <w:rsid w:val="00F213CB"/>
    <w:rsid w:val="00F27BC7"/>
    <w:rsid w:val="00F52DE9"/>
    <w:rsid w:val="00F53CD3"/>
    <w:rsid w:val="00F67B38"/>
    <w:rsid w:val="00F70FCD"/>
    <w:rsid w:val="00F7554F"/>
    <w:rsid w:val="00F83087"/>
    <w:rsid w:val="00FB325B"/>
    <w:rsid w:val="00FD4208"/>
    <w:rsid w:val="00FD4899"/>
    <w:rsid w:val="00FD6919"/>
    <w:rsid w:val="00FF19EE"/>
    <w:rsid w:val="00FF2859"/>
    <w:rsid w:val="0DF827F6"/>
    <w:rsid w:val="11B81E33"/>
    <w:rsid w:val="11C9746E"/>
    <w:rsid w:val="17205409"/>
    <w:rsid w:val="1D3A4920"/>
    <w:rsid w:val="202042A9"/>
    <w:rsid w:val="24B10AA3"/>
    <w:rsid w:val="26A60551"/>
    <w:rsid w:val="2AAD093A"/>
    <w:rsid w:val="2B401EEE"/>
    <w:rsid w:val="2BF56437"/>
    <w:rsid w:val="31DF6E27"/>
    <w:rsid w:val="34237DB5"/>
    <w:rsid w:val="39B37009"/>
    <w:rsid w:val="3AA710BB"/>
    <w:rsid w:val="3BB73E2C"/>
    <w:rsid w:val="3F265E11"/>
    <w:rsid w:val="3FD7217F"/>
    <w:rsid w:val="4008789B"/>
    <w:rsid w:val="42E07F7C"/>
    <w:rsid w:val="4FF724D2"/>
    <w:rsid w:val="570C6CFC"/>
    <w:rsid w:val="5B33309F"/>
    <w:rsid w:val="5D727628"/>
    <w:rsid w:val="5DB549BD"/>
    <w:rsid w:val="5E3F088C"/>
    <w:rsid w:val="5F031B2E"/>
    <w:rsid w:val="637F6EEB"/>
    <w:rsid w:val="6A692A41"/>
    <w:rsid w:val="6B147E90"/>
    <w:rsid w:val="6D7372C8"/>
    <w:rsid w:val="74E73659"/>
    <w:rsid w:val="77471B72"/>
    <w:rsid w:val="7B934C65"/>
    <w:rsid w:val="7F8E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E0C9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E0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E0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E0C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E0C94"/>
    <w:rPr>
      <w:b/>
      <w:bCs/>
    </w:rPr>
  </w:style>
  <w:style w:type="table" w:styleId="a8">
    <w:name w:val="Table Grid"/>
    <w:basedOn w:val="a1"/>
    <w:uiPriority w:val="59"/>
    <w:qFormat/>
    <w:rsid w:val="00AE0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AE0C94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AE0C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0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0C9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AE0C94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9">
    <w:name w:val="Plain Text"/>
    <w:aliases w:val="Texte"/>
    <w:basedOn w:val="a"/>
    <w:link w:val="Char2"/>
    <w:rsid w:val="00E960A5"/>
    <w:rPr>
      <w:rFonts w:ascii="宋体" w:hAnsi="宋体" w:cs="宋体"/>
      <w:color w:val="000000"/>
      <w:kern w:val="1"/>
      <w:szCs w:val="21"/>
    </w:rPr>
  </w:style>
  <w:style w:type="character" w:customStyle="1" w:styleId="Char2">
    <w:name w:val="纯文本 Char"/>
    <w:aliases w:val="Texte Char"/>
    <w:basedOn w:val="a0"/>
    <w:link w:val="a9"/>
    <w:rsid w:val="00E960A5"/>
    <w:rPr>
      <w:rFonts w:ascii="宋体" w:hAnsi="宋体" w:cs="宋体"/>
      <w:color w:val="000000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198AE-76E7-4DA2-B8FF-E910154C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863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69</cp:revision>
  <cp:lastPrinted>2018-06-03T02:07:00Z</cp:lastPrinted>
  <dcterms:created xsi:type="dcterms:W3CDTF">2017-04-17T01:17:00Z</dcterms:created>
  <dcterms:modified xsi:type="dcterms:W3CDTF">2018-09-12T02:49:00Z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