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72"/>
          <w:szCs w:val="72"/>
        </w:rPr>
      </w:pPr>
    </w:p>
    <w:p>
      <w:pPr>
        <w:spacing w:afterLines="300"/>
        <w:jc w:val="center"/>
        <w:rPr>
          <w:rFonts w:ascii="黑体" w:hAnsi="黑体" w:eastAsia="黑体"/>
          <w:b/>
          <w:sz w:val="96"/>
          <w:szCs w:val="96"/>
        </w:rPr>
      </w:pPr>
      <w:r>
        <w:rPr>
          <w:rFonts w:hint="eastAsia" w:ascii="黑体" w:hAnsi="黑体" w:eastAsia="黑体"/>
          <w:b/>
          <w:sz w:val="72"/>
          <w:szCs w:val="72"/>
        </w:rPr>
        <w:t>阳新县政府采购项目</w:t>
      </w:r>
    </w:p>
    <w:p>
      <w:pPr>
        <w:spacing w:afterLines="300"/>
        <w:jc w:val="center"/>
        <w:rPr>
          <w:rFonts w:ascii="黑体" w:hAnsi="黑体" w:eastAsia="黑体"/>
          <w:b/>
          <w:sz w:val="72"/>
          <w:szCs w:val="72"/>
        </w:rPr>
      </w:pPr>
      <w:r>
        <w:rPr>
          <w:rFonts w:hint="eastAsia" w:ascii="黑体" w:hAnsi="黑体" w:eastAsia="黑体"/>
          <w:b/>
          <w:sz w:val="72"/>
          <w:szCs w:val="72"/>
        </w:rPr>
        <w:t>招 标 文 件</w:t>
      </w:r>
    </w:p>
    <w:p>
      <w:pPr>
        <w:spacing w:line="360" w:lineRule="auto"/>
        <w:ind w:left="2051" w:leftChars="619" w:right="1306" w:rightChars="622" w:hanging="752" w:hangingChars="209"/>
        <w:rPr>
          <w:rFonts w:ascii="宋体" w:hAnsi="宋体" w:eastAsia="宋体" w:cs="Times New Roman"/>
          <w:sz w:val="36"/>
          <w:szCs w:val="36"/>
        </w:rPr>
      </w:pPr>
      <w:r>
        <w:rPr>
          <w:rFonts w:hint="eastAsia" w:ascii="黑体" w:hAnsi="黑体" w:eastAsia="黑体" w:cs="Times New Roman"/>
          <w:b/>
          <w:bCs/>
          <w:sz w:val="36"/>
          <w:szCs w:val="24"/>
        </w:rPr>
        <w:t>项目编号：</w:t>
      </w:r>
      <w:r>
        <w:rPr>
          <w:rFonts w:hint="eastAsia" w:ascii="宋体" w:hAnsi="宋体" w:eastAsia="宋体" w:cs="Times New Roman"/>
          <w:sz w:val="36"/>
          <w:szCs w:val="36"/>
        </w:rPr>
        <w:t>131－Zcg·2018－</w:t>
      </w:r>
      <w:r>
        <w:rPr>
          <w:rFonts w:hint="eastAsia" w:ascii="宋体" w:hAnsi="宋体" w:eastAsia="宋体" w:cs="Times New Roman"/>
          <w:sz w:val="36"/>
          <w:szCs w:val="36"/>
          <w:lang w:val="en-US" w:eastAsia="zh-CN"/>
        </w:rPr>
        <w:t>198</w:t>
      </w:r>
    </w:p>
    <w:p>
      <w:pPr>
        <w:spacing w:line="360" w:lineRule="auto"/>
        <w:ind w:left="3131" w:leftChars="619" w:right="703" w:rightChars="335" w:hanging="1832" w:hangingChars="509"/>
        <w:rPr>
          <w:rFonts w:ascii="宋体" w:hAnsi="宋体" w:cs="Times New Roman"/>
          <w:bCs/>
          <w:sz w:val="36"/>
          <w:szCs w:val="24"/>
        </w:rPr>
      </w:pPr>
      <w:r>
        <w:rPr>
          <w:rFonts w:hint="eastAsia" w:ascii="黑体" w:hAnsi="黑体" w:eastAsia="黑体" w:cs="Times New Roman"/>
          <w:b/>
          <w:bCs/>
          <w:sz w:val="36"/>
          <w:szCs w:val="24"/>
        </w:rPr>
        <w:t>项目名称：个人住房信息系统</w:t>
      </w:r>
      <w:r>
        <w:rPr>
          <w:rFonts w:hint="eastAsia" w:ascii="黑体" w:hAnsi="黑体" w:eastAsia="黑体" w:cs="Times New Roman"/>
          <w:b/>
          <w:bCs/>
          <w:sz w:val="36"/>
          <w:szCs w:val="24"/>
          <w:lang w:eastAsia="zh-CN"/>
        </w:rPr>
        <w:t>（二期）</w:t>
      </w:r>
      <w:r>
        <w:rPr>
          <w:rFonts w:hint="eastAsia" w:ascii="黑体" w:hAnsi="黑体" w:eastAsia="黑体" w:cs="Times New Roman"/>
          <w:b/>
          <w:bCs/>
          <w:sz w:val="36"/>
          <w:szCs w:val="24"/>
        </w:rPr>
        <w:t>建设项目</w:t>
      </w:r>
    </w:p>
    <w:p>
      <w:pPr>
        <w:spacing w:line="360" w:lineRule="auto"/>
        <w:ind w:left="2051" w:leftChars="619" w:right="1306" w:rightChars="622" w:hanging="752" w:hangingChars="209"/>
        <w:rPr>
          <w:rFonts w:ascii="宋体" w:hAnsi="宋体" w:eastAsia="宋体" w:cs="Times New Roman"/>
          <w:sz w:val="36"/>
          <w:szCs w:val="36"/>
        </w:rPr>
      </w:pPr>
      <w:r>
        <w:rPr>
          <w:rFonts w:hint="eastAsia" w:ascii="黑体" w:hAnsi="黑体" w:eastAsia="黑体" w:cs="Times New Roman"/>
          <w:b/>
          <w:bCs/>
          <w:sz w:val="36"/>
          <w:szCs w:val="24"/>
        </w:rPr>
        <w:t>招标内容：个人住房信息系统</w:t>
      </w:r>
    </w:p>
    <w:p>
      <w:pPr>
        <w:spacing w:afterLines="600" w:line="360" w:lineRule="auto"/>
        <w:ind w:left="2347" w:leftChars="271" w:right="569" w:rightChars="271" w:hanging="1778" w:hangingChars="494"/>
        <w:jc w:val="center"/>
        <w:rPr>
          <w:rFonts w:ascii="宋体" w:hAnsi="宋体" w:eastAsia="宋体" w:cs="Times New Roman"/>
          <w:sz w:val="36"/>
          <w:szCs w:val="36"/>
        </w:rPr>
      </w:pPr>
    </w:p>
    <w:p>
      <w:pPr>
        <w:spacing w:afterLines="600" w:line="360" w:lineRule="auto"/>
        <w:ind w:left="2347" w:leftChars="271" w:right="569" w:rightChars="271" w:hanging="1778" w:hangingChars="494"/>
        <w:jc w:val="center"/>
        <w:rPr>
          <w:rFonts w:ascii="宋体" w:hAnsi="宋体" w:eastAsia="宋体" w:cs="Times New Roman"/>
          <w:sz w:val="36"/>
          <w:szCs w:val="36"/>
        </w:rPr>
      </w:pPr>
    </w:p>
    <w:p>
      <w:pPr>
        <w:tabs>
          <w:tab w:val="left" w:pos="7939"/>
        </w:tabs>
        <w:spacing w:line="360" w:lineRule="auto"/>
        <w:jc w:val="center"/>
        <w:rPr>
          <w:rFonts w:ascii="黑体" w:hAnsi="黑体" w:eastAsia="黑体"/>
          <w:b/>
          <w:sz w:val="44"/>
        </w:rPr>
      </w:pPr>
      <w:r>
        <w:rPr>
          <w:rFonts w:hint="eastAsia" w:ascii="黑体" w:hAnsi="黑体" w:eastAsia="黑体"/>
          <w:b/>
          <w:sz w:val="44"/>
        </w:rPr>
        <w:t>阳新县政府采购中心</w:t>
      </w:r>
    </w:p>
    <w:p>
      <w:pPr>
        <w:jc w:val="center"/>
        <w:rPr>
          <w:rFonts w:ascii="黑体" w:hAnsi="黑体" w:eastAsia="黑体"/>
          <w:b/>
          <w:color w:val="FF0000"/>
          <w:sz w:val="44"/>
        </w:rPr>
      </w:pPr>
      <w:r>
        <w:rPr>
          <w:rFonts w:hint="eastAsia" w:ascii="黑体" w:hAnsi="黑体" w:eastAsia="黑体"/>
          <w:b/>
          <w:sz w:val="44"/>
        </w:rPr>
        <w:t>二0一八年九月</w:t>
      </w:r>
    </w:p>
    <w:p/>
    <w:p>
      <w:pPr>
        <w:widowControl/>
        <w:jc w:val="left"/>
        <w:sectPr>
          <w:headerReference r:id="rId3" w:type="default"/>
          <w:footerReference r:id="rId4" w:type="default"/>
          <w:pgSz w:w="11906" w:h="16838"/>
          <w:pgMar w:top="1134" w:right="1191" w:bottom="1134" w:left="1191" w:header="851" w:footer="851" w:gutter="0"/>
          <w:pgNumType w:start="1"/>
          <w:cols w:space="425" w:num="1"/>
          <w:docGrid w:type="linesAndChars" w:linePitch="312" w:charSpace="0"/>
        </w:sectPr>
      </w:pPr>
    </w:p>
    <w:p>
      <w:pPr>
        <w:spacing w:beforeLines="100"/>
        <w:jc w:val="center"/>
        <w:rPr>
          <w:rFonts w:ascii="黑体" w:hAnsi="黑体" w:eastAsia="黑体"/>
          <w:sz w:val="44"/>
          <w:szCs w:val="44"/>
        </w:rPr>
        <w:sectPr>
          <w:footerReference r:id="rId5" w:type="default"/>
          <w:pgSz w:w="11906" w:h="16838"/>
          <w:pgMar w:top="1134" w:right="1191" w:bottom="1134" w:left="1191" w:header="851" w:footer="851" w:gutter="0"/>
          <w:pgNumType w:start="1"/>
          <w:cols w:space="425" w:num="1"/>
          <w:docGrid w:type="linesAndChar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3"/>
            <w:tabs>
              <w:tab w:val="left" w:pos="1260"/>
              <w:tab w:val="right" w:leader="dot" w:pos="9514"/>
            </w:tabs>
            <w:rPr>
              <w:rFonts w:eastAsia="黑体" w:asciiTheme="minorHAnsi" w:hAnsiTheme="minorHAnsi" w:cstheme="minorBidi"/>
              <w:b/>
              <w:i w:val="0"/>
              <w:iCs/>
              <w:color w:val="000000" w:themeColor="text1"/>
              <w:kern w:val="0"/>
              <w:sz w:val="28"/>
              <w:szCs w:val="22"/>
              <w:lang w:val="en-US" w:eastAsia="zh-CN" w:bidi="ar-SA"/>
            </w:rPr>
          </w:pPr>
          <w:r>
            <w:fldChar w:fldCharType="begin"/>
          </w:r>
          <w:r>
            <w:instrText xml:space="preserve"> TOC \o "1-2" \h \z \u </w:instrText>
          </w:r>
          <w:r>
            <w:fldChar w:fldCharType="separate"/>
          </w:r>
        </w:p>
        <w:p>
          <w:pPr>
            <w:pStyle w:val="13"/>
            <w:tabs>
              <w:tab w:val="right" w:leader="dot" w:pos="9524"/>
            </w:tabs>
          </w:pPr>
          <w:r>
            <w:fldChar w:fldCharType="begin"/>
          </w:r>
          <w:r>
            <w:instrText xml:space="preserve"> HYPERLINK \l _Toc25052 </w:instrText>
          </w:r>
          <w:r>
            <w:fldChar w:fldCharType="separate"/>
          </w:r>
          <w:r>
            <w:rPr>
              <w:rFonts w:hint="eastAsia" w:ascii="黑体" w:hAnsi="黑体" w:eastAsia="黑体"/>
            </w:rPr>
            <w:t>第一章 投标邀请书</w:t>
          </w:r>
          <w:r>
            <w:tab/>
          </w:r>
          <w:r>
            <w:fldChar w:fldCharType="begin"/>
          </w:r>
          <w:r>
            <w:instrText xml:space="preserve"> PAGEREF _Toc25052 </w:instrText>
          </w:r>
          <w:r>
            <w:fldChar w:fldCharType="separate"/>
          </w:r>
          <w:r>
            <w:t>1</w:t>
          </w:r>
          <w:r>
            <w:fldChar w:fldCharType="end"/>
          </w:r>
          <w:r>
            <w:fldChar w:fldCharType="end"/>
          </w:r>
        </w:p>
        <w:p>
          <w:pPr>
            <w:pStyle w:val="13"/>
            <w:tabs>
              <w:tab w:val="right" w:leader="dot" w:pos="9524"/>
            </w:tabs>
          </w:pPr>
          <w:r>
            <w:fldChar w:fldCharType="begin"/>
          </w:r>
          <w:r>
            <w:instrText xml:space="preserve"> HYPERLINK \l _Toc18296 </w:instrText>
          </w:r>
          <w:r>
            <w:fldChar w:fldCharType="separate"/>
          </w:r>
          <w:r>
            <w:rPr>
              <w:rFonts w:hint="eastAsia" w:ascii="黑体" w:hAnsi="黑体" w:eastAsia="黑体"/>
            </w:rPr>
            <w:t>第二章 投标人须知</w:t>
          </w:r>
          <w:r>
            <w:tab/>
          </w:r>
          <w:r>
            <w:fldChar w:fldCharType="begin"/>
          </w:r>
          <w:r>
            <w:instrText xml:space="preserve"> PAGEREF _Toc18296 </w:instrText>
          </w:r>
          <w:r>
            <w:fldChar w:fldCharType="separate"/>
          </w:r>
          <w:r>
            <w:t>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_Toc13242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_Toc13242 </w:instrText>
          </w:r>
          <w:r>
            <w:fldChar w:fldCharType="separate"/>
          </w:r>
          <w:r>
            <w:t>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_Toc14562 </w:instrText>
          </w:r>
          <w:r>
            <w:fldChar w:fldCharType="separate"/>
          </w:r>
          <w:r>
            <w:rPr>
              <w:rFonts w:hint="default" w:ascii="黑体" w:hAnsi="黑体" w:eastAsia="黑体" w:cs="Times New Roman"/>
              <w:bCs/>
              <w:strike w:val="0"/>
              <w:szCs w:val="32"/>
              <w:lang w:val="zh-CN"/>
            </w:rPr>
            <w:t xml:space="preserve">一、 </w:t>
          </w:r>
          <w:r>
            <w:tab/>
          </w:r>
          <w:r>
            <w:fldChar w:fldCharType="begin"/>
          </w:r>
          <w:r>
            <w:instrText xml:space="preserve"> PAGEREF _Toc14562 </w:instrText>
          </w:r>
          <w:r>
            <w:fldChar w:fldCharType="separate"/>
          </w:r>
          <w:r>
            <w:t>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_Toc10261 </w:instrText>
          </w:r>
          <w: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_Toc10261 </w:instrText>
          </w:r>
          <w:r>
            <w:fldChar w:fldCharType="separate"/>
          </w:r>
          <w:r>
            <w:t>4</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_Toc2347 </w:instrText>
          </w:r>
          <w: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_Toc2347 </w:instrText>
          </w:r>
          <w:r>
            <w:fldChar w:fldCharType="separate"/>
          </w:r>
          <w:r>
            <w:t>4</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_Toc6603 </w:instrText>
          </w:r>
          <w: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_Toc6603 </w:instrText>
          </w:r>
          <w:r>
            <w:fldChar w:fldCharType="separate"/>
          </w:r>
          <w:r>
            <w:t>6</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_Toc19572 </w:instrText>
          </w:r>
          <w: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_Toc19572 </w:instrText>
          </w:r>
          <w:r>
            <w:fldChar w:fldCharType="separate"/>
          </w:r>
          <w:r>
            <w:t>10</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_Toc17997 </w:instrText>
          </w:r>
          <w: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_Toc17997 </w:instrText>
          </w:r>
          <w:r>
            <w:fldChar w:fldCharType="separate"/>
          </w:r>
          <w:r>
            <w:t>11</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_Toc9460 </w:instrText>
          </w:r>
          <w: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_Toc9460 </w:instrText>
          </w:r>
          <w:r>
            <w:fldChar w:fldCharType="separate"/>
          </w:r>
          <w:r>
            <w:t>12</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_Toc24409 </w:instrText>
          </w:r>
          <w: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_Toc24409 </w:instrText>
          </w:r>
          <w:r>
            <w:fldChar w:fldCharType="separate"/>
          </w:r>
          <w:r>
            <w:t>13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_Toc15435 </w:instrText>
          </w:r>
          <w: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_Toc15435 </w:instrText>
          </w:r>
          <w:r>
            <w:fldChar w:fldCharType="separate"/>
          </w:r>
          <w:r>
            <w:t>13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_Toc4993 </w:instrText>
          </w:r>
          <w: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_Toc4993 </w:instrText>
          </w:r>
          <w:r>
            <w:fldChar w:fldCharType="separate"/>
          </w:r>
          <w:r>
            <w:t>14</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_Toc19566 </w:instrText>
          </w:r>
          <w: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其他注意事项</w:t>
          </w:r>
          <w:r>
            <w:tab/>
          </w:r>
          <w:r>
            <w:fldChar w:fldCharType="begin"/>
          </w:r>
          <w:r>
            <w:instrText xml:space="preserve"> PAGEREF _Toc19566 </w:instrText>
          </w:r>
          <w:r>
            <w:fldChar w:fldCharType="separate"/>
          </w:r>
          <w:r>
            <w:t>15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_Toc3045 </w:instrText>
          </w:r>
          <w: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适用法律</w:t>
          </w:r>
          <w:r>
            <w:tab/>
          </w:r>
          <w:r>
            <w:fldChar w:fldCharType="begin"/>
          </w:r>
          <w:r>
            <w:instrText xml:space="preserve"> PAGEREF _Toc3045 </w:instrText>
          </w:r>
          <w:r>
            <w:fldChar w:fldCharType="separate"/>
          </w:r>
          <w:r>
            <w:t>15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_Toc23799 </w:instrText>
          </w:r>
          <w:r>
            <w:fldChar w:fldCharType="separate"/>
          </w:r>
          <w:r>
            <w:rPr>
              <w:rFonts w:hint="eastAsia" w:cs="Times New Roman" w:asciiTheme="majorEastAsia" w:hAnsiTheme="majorEastAsia"/>
              <w:bCs w:val="0"/>
              <w:szCs w:val="30"/>
              <w:lang w:val="zh-CN"/>
            </w:rPr>
            <w:t xml:space="preserve">十二、 </w:t>
          </w:r>
          <w:r>
            <w:rPr>
              <w:rFonts w:hint="eastAsia" w:cs="Times New Roman" w:asciiTheme="majorEastAsia" w:hAnsiTheme="majorEastAsia"/>
              <w:bCs w:val="0"/>
              <w:lang w:val="zh-CN"/>
            </w:rPr>
            <w:t>招标文件的解释权</w:t>
          </w:r>
          <w:r>
            <w:tab/>
          </w:r>
          <w:r>
            <w:fldChar w:fldCharType="begin"/>
          </w:r>
          <w:r>
            <w:instrText xml:space="preserve"> PAGEREF _Toc23799 </w:instrText>
          </w:r>
          <w:r>
            <w:fldChar w:fldCharType="separate"/>
          </w:r>
          <w:r>
            <w:t>15</w:t>
          </w:r>
          <w:r>
            <w:fldChar w:fldCharType="end"/>
          </w:r>
          <w:r>
            <w:fldChar w:fldCharType="end"/>
          </w:r>
        </w:p>
        <w:p>
          <w:pPr>
            <w:pStyle w:val="13"/>
            <w:tabs>
              <w:tab w:val="right" w:leader="dot" w:pos="9524"/>
            </w:tabs>
          </w:pPr>
          <w:r>
            <w:fldChar w:fldCharType="begin"/>
          </w:r>
          <w:r>
            <w:instrText xml:space="preserve"> HYPERLINK \l _Toc4301 </w:instrText>
          </w:r>
          <w:r>
            <w:fldChar w:fldCharType="separate"/>
          </w:r>
          <w:r>
            <w:rPr>
              <w:rFonts w:hint="eastAsia" w:ascii="黑体" w:hAnsi="黑体" w:eastAsia="黑体"/>
            </w:rPr>
            <w:t>第三章 项目技术、服务及商务要求</w:t>
          </w:r>
          <w:r>
            <w:tab/>
          </w:r>
          <w:r>
            <w:fldChar w:fldCharType="begin"/>
          </w:r>
          <w:r>
            <w:instrText xml:space="preserve"> PAGEREF _Toc4301 </w:instrText>
          </w:r>
          <w:r>
            <w:fldChar w:fldCharType="separate"/>
          </w:r>
          <w:r>
            <w:t>16</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_Toc16343 </w:instrText>
          </w:r>
          <w:r>
            <w:fldChar w:fldCharType="separate"/>
          </w:r>
          <w:r>
            <w:rPr>
              <w:rFonts w:hint="eastAsia" w:ascii="宋体" w:hAnsi="宋体"/>
              <w:bCs w:val="0"/>
              <w:szCs w:val="30"/>
              <w:lang w:val="zh-CN"/>
            </w:rPr>
            <w:t>一、 采购清单</w:t>
          </w:r>
          <w:r>
            <w:tab/>
          </w:r>
          <w:r>
            <w:fldChar w:fldCharType="begin"/>
          </w:r>
          <w:r>
            <w:instrText xml:space="preserve"> PAGEREF _Toc16343 </w:instrText>
          </w:r>
          <w:r>
            <w:fldChar w:fldCharType="separate"/>
          </w:r>
          <w:r>
            <w:t>16</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_Toc21511 </w:instrText>
          </w:r>
          <w:r>
            <w:fldChar w:fldCharType="separate"/>
          </w:r>
          <w:r>
            <w:rPr>
              <w:rFonts w:hint="eastAsia" w:ascii="宋体" w:hAnsi="宋体"/>
              <w:bCs w:val="0"/>
              <w:szCs w:val="30"/>
              <w:lang w:val="zh-CN"/>
            </w:rPr>
            <w:t>二、 项目概况</w:t>
          </w:r>
          <w:r>
            <w:tab/>
          </w:r>
          <w:r>
            <w:fldChar w:fldCharType="begin"/>
          </w:r>
          <w:r>
            <w:instrText xml:space="preserve"> PAGEREF _Toc21511 </w:instrText>
          </w:r>
          <w:r>
            <w:fldChar w:fldCharType="separate"/>
          </w:r>
          <w:r>
            <w:t>16</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_Toc28863 </w:instrText>
          </w:r>
          <w:r>
            <w:fldChar w:fldCharType="separate"/>
          </w:r>
          <w:r>
            <w:rPr>
              <w:rFonts w:hint="eastAsia" w:ascii="宋体" w:hAnsi="宋体"/>
              <w:szCs w:val="21"/>
            </w:rPr>
            <w:t>1、建设背景</w:t>
          </w:r>
          <w:r>
            <w:tab/>
          </w:r>
          <w:r>
            <w:fldChar w:fldCharType="begin"/>
          </w:r>
          <w:r>
            <w:instrText xml:space="preserve"> PAGEREF _Toc28863 </w:instrText>
          </w:r>
          <w:r>
            <w:fldChar w:fldCharType="separate"/>
          </w:r>
          <w:r>
            <w:t>16</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_Toc5935 </w:instrText>
          </w:r>
          <w:r>
            <w:fldChar w:fldCharType="separate"/>
          </w:r>
          <w:r>
            <w:rPr>
              <w:rFonts w:hint="eastAsia" w:ascii="宋体" w:hAnsi="宋体"/>
              <w:szCs w:val="21"/>
            </w:rPr>
            <w:t>2、建设目标</w:t>
          </w:r>
          <w:r>
            <w:tab/>
          </w:r>
          <w:r>
            <w:fldChar w:fldCharType="begin"/>
          </w:r>
          <w:r>
            <w:instrText xml:space="preserve"> PAGEREF _Toc5935 </w:instrText>
          </w:r>
          <w:r>
            <w:fldChar w:fldCharType="separate"/>
          </w:r>
          <w:r>
            <w:t>16</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_Toc21698 </w:instrText>
          </w:r>
          <w:r>
            <w:fldChar w:fldCharType="separate"/>
          </w:r>
          <w:r>
            <w:rPr>
              <w:rFonts w:hint="eastAsia" w:ascii="宋体" w:hAnsi="宋体"/>
              <w:szCs w:val="21"/>
            </w:rPr>
            <w:t>3、建设依据</w:t>
          </w:r>
          <w:r>
            <w:tab/>
          </w:r>
          <w:r>
            <w:fldChar w:fldCharType="begin"/>
          </w:r>
          <w:r>
            <w:instrText xml:space="preserve"> PAGEREF _Toc21698 </w:instrText>
          </w:r>
          <w:r>
            <w:fldChar w:fldCharType="separate"/>
          </w:r>
          <w:r>
            <w:t>17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_Toc21844 </w:instrText>
          </w:r>
          <w:r>
            <w:fldChar w:fldCharType="separate"/>
          </w:r>
          <w:r>
            <w:rPr>
              <w:rFonts w:hint="eastAsia" w:ascii="宋体" w:hAnsi="宋体"/>
              <w:szCs w:val="21"/>
            </w:rPr>
            <w:t>4、建设内容概述</w:t>
          </w:r>
          <w:r>
            <w:tab/>
          </w:r>
          <w:r>
            <w:fldChar w:fldCharType="begin"/>
          </w:r>
          <w:r>
            <w:instrText xml:space="preserve"> PAGEREF _Toc21844 </w:instrText>
          </w:r>
          <w:r>
            <w:fldChar w:fldCharType="separate"/>
          </w:r>
          <w:r>
            <w:t>17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_Toc1009 </w:instrText>
          </w:r>
          <w:r>
            <w:fldChar w:fldCharType="separate"/>
          </w:r>
          <w:r>
            <w:rPr>
              <w:rFonts w:hint="eastAsia" w:ascii="宋体" w:hAnsi="宋体"/>
              <w:bCs w:val="0"/>
              <w:szCs w:val="30"/>
              <w:lang w:val="zh-CN"/>
            </w:rPr>
            <w:t>三、 技术需求概述</w:t>
          </w:r>
          <w:r>
            <w:tab/>
          </w:r>
          <w:r>
            <w:fldChar w:fldCharType="begin"/>
          </w:r>
          <w:r>
            <w:instrText xml:space="preserve"> PAGEREF _Toc1009 </w:instrText>
          </w:r>
          <w:r>
            <w:fldChar w:fldCharType="separate"/>
          </w:r>
          <w:r>
            <w:t>18</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_Toc4750 </w:instrText>
          </w:r>
          <w:r>
            <w:fldChar w:fldCharType="separate"/>
          </w:r>
          <w:r>
            <w:rPr>
              <w:rFonts w:hint="eastAsia" w:ascii="宋体" w:hAnsi="宋体"/>
              <w:szCs w:val="21"/>
            </w:rPr>
            <w:t>1、数据中心建设要求</w:t>
          </w:r>
          <w:r>
            <w:tab/>
          </w:r>
          <w:r>
            <w:fldChar w:fldCharType="begin"/>
          </w:r>
          <w:r>
            <w:instrText xml:space="preserve"> PAGEREF _Toc4750 </w:instrText>
          </w:r>
          <w:r>
            <w:fldChar w:fldCharType="separate"/>
          </w:r>
          <w:r>
            <w:t>18</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_Toc21771 </w:instrText>
          </w:r>
          <w:r>
            <w:fldChar w:fldCharType="separate"/>
          </w:r>
          <w:r>
            <w:rPr>
              <w:rFonts w:hint="eastAsia" w:ascii="宋体" w:hAnsi="宋体"/>
              <w:szCs w:val="21"/>
            </w:rPr>
            <w:t>2、个人住房辅助决策应用系统建设要求</w:t>
          </w:r>
          <w:r>
            <w:tab/>
          </w:r>
          <w:r>
            <w:fldChar w:fldCharType="begin"/>
          </w:r>
          <w:r>
            <w:instrText xml:space="preserve"> PAGEREF _Toc21771 </w:instrText>
          </w:r>
          <w:r>
            <w:fldChar w:fldCharType="separate"/>
          </w:r>
          <w:r>
            <w:t>19</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_Toc18820 </w:instrText>
          </w:r>
          <w:r>
            <w:fldChar w:fldCharType="separate"/>
          </w:r>
          <w:r>
            <w:rPr>
              <w:rFonts w:hint="eastAsia" w:ascii="宋体" w:hAnsi="宋体"/>
              <w:szCs w:val="21"/>
            </w:rPr>
            <w:t>3、扩展房管业务系统</w:t>
          </w:r>
          <w:r>
            <w:tab/>
          </w:r>
          <w:r>
            <w:fldChar w:fldCharType="begin"/>
          </w:r>
          <w:r>
            <w:instrText xml:space="preserve"> PAGEREF _Toc18820 </w:instrText>
          </w:r>
          <w:r>
            <w:fldChar w:fldCharType="separate"/>
          </w:r>
          <w:r>
            <w:t>21</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_Toc25462 </w:instrText>
          </w:r>
          <w:r>
            <w:fldChar w:fldCharType="separate"/>
          </w:r>
          <w:r>
            <w:rPr>
              <w:rFonts w:hint="eastAsia" w:ascii="宋体" w:hAnsi="宋体"/>
              <w:szCs w:val="21"/>
            </w:rPr>
            <w:t>4、建设周期要求</w:t>
          </w:r>
          <w:r>
            <w:tab/>
          </w:r>
          <w:r>
            <w:fldChar w:fldCharType="begin"/>
          </w:r>
          <w:r>
            <w:instrText xml:space="preserve"> PAGEREF _Toc25462 </w:instrText>
          </w:r>
          <w:r>
            <w:fldChar w:fldCharType="separate"/>
          </w:r>
          <w:r>
            <w:t>21</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_Toc28155 </w:instrText>
          </w:r>
          <w:r>
            <w:fldChar w:fldCharType="separate"/>
          </w:r>
          <w:r>
            <w:rPr>
              <w:rFonts w:hint="eastAsia" w:ascii="宋体" w:hAnsi="宋体"/>
              <w:szCs w:val="21"/>
            </w:rPr>
            <w:t>5、售后服务要求</w:t>
          </w:r>
          <w:r>
            <w:tab/>
          </w:r>
          <w:r>
            <w:fldChar w:fldCharType="begin"/>
          </w:r>
          <w:r>
            <w:instrText xml:space="preserve"> PAGEREF _Toc28155 </w:instrText>
          </w:r>
          <w:r>
            <w:fldChar w:fldCharType="separate"/>
          </w:r>
          <w:r>
            <w:t>21</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_Toc18960 </w:instrText>
          </w:r>
          <w:r>
            <w:fldChar w:fldCharType="separate"/>
          </w:r>
          <w:r>
            <w:rPr>
              <w:rFonts w:hint="eastAsia" w:ascii="宋体" w:hAnsi="宋体"/>
              <w:szCs w:val="21"/>
            </w:rPr>
            <w:t>6、付款方式</w:t>
          </w:r>
          <w:r>
            <w:tab/>
          </w:r>
          <w:r>
            <w:fldChar w:fldCharType="begin"/>
          </w:r>
          <w:r>
            <w:instrText xml:space="preserve"> PAGEREF _Toc18960 </w:instrText>
          </w:r>
          <w:r>
            <w:fldChar w:fldCharType="separate"/>
          </w:r>
          <w:r>
            <w:t>21</w:t>
          </w:r>
          <w:r>
            <w:fldChar w:fldCharType="end"/>
          </w:r>
          <w:r>
            <w:fldChar w:fldCharType="end"/>
          </w:r>
        </w:p>
        <w:p>
          <w:pPr>
            <w:pStyle w:val="13"/>
            <w:tabs>
              <w:tab w:val="right" w:leader="dot" w:pos="9524"/>
            </w:tabs>
          </w:pPr>
          <w:r>
            <w:fldChar w:fldCharType="begin"/>
          </w:r>
          <w:r>
            <w:instrText xml:space="preserve"> HYPERLINK \l _Toc29909 </w:instrText>
          </w:r>
          <w:r>
            <w:fldChar w:fldCharType="separate"/>
          </w:r>
          <w:r>
            <w:rPr>
              <w:rFonts w:hint="eastAsia" w:ascii="黑体" w:hAnsi="黑体" w:eastAsia="黑体"/>
            </w:rPr>
            <w:t>第四章 资格审查方法及标准</w:t>
          </w:r>
          <w:r>
            <w:tab/>
          </w:r>
          <w:r>
            <w:fldChar w:fldCharType="begin"/>
          </w:r>
          <w:r>
            <w:instrText xml:space="preserve"> PAGEREF _Toc29909 </w:instrText>
          </w:r>
          <w:r>
            <w:fldChar w:fldCharType="separate"/>
          </w:r>
          <w:r>
            <w:t>22</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_Toc25001 </w:instrText>
          </w:r>
          <w: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_Toc25001 </w:instrText>
          </w:r>
          <w:r>
            <w:fldChar w:fldCharType="separate"/>
          </w:r>
          <w:r>
            <w:t>22</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_Toc5430 </w:instrText>
          </w:r>
          <w: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_Toc5430 </w:instrText>
          </w:r>
          <w:r>
            <w:fldChar w:fldCharType="separate"/>
          </w:r>
          <w:r>
            <w:t>22</w:t>
          </w:r>
          <w:r>
            <w:fldChar w:fldCharType="end"/>
          </w:r>
          <w:r>
            <w:fldChar w:fldCharType="end"/>
          </w:r>
        </w:p>
        <w:p>
          <w:pPr>
            <w:pStyle w:val="13"/>
            <w:tabs>
              <w:tab w:val="right" w:leader="dot" w:pos="9524"/>
            </w:tabs>
          </w:pPr>
          <w:r>
            <w:fldChar w:fldCharType="begin"/>
          </w:r>
          <w:r>
            <w:instrText xml:space="preserve"> HYPERLINK \l _Toc2078 </w:instrText>
          </w:r>
          <w:r>
            <w:fldChar w:fldCharType="separate"/>
          </w:r>
          <w:r>
            <w:rPr>
              <w:rFonts w:hint="eastAsia" w:ascii="黑体" w:hAnsi="黑体" w:eastAsia="黑体"/>
            </w:rPr>
            <w:t>第五章 评标方法、程序及标准</w:t>
          </w:r>
          <w:r>
            <w:tab/>
          </w:r>
          <w:r>
            <w:fldChar w:fldCharType="begin"/>
          </w:r>
          <w:r>
            <w:instrText xml:space="preserve"> PAGEREF _Toc2078 </w:instrText>
          </w:r>
          <w:r>
            <w:fldChar w:fldCharType="separate"/>
          </w:r>
          <w:r>
            <w:t>24</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_Toc21418 </w:instrText>
          </w:r>
          <w: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_Toc21418 </w:instrText>
          </w:r>
          <w:r>
            <w:fldChar w:fldCharType="separate"/>
          </w:r>
          <w:r>
            <w:t>24</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_Toc23914 </w:instrText>
          </w:r>
          <w: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_Toc23914 </w:instrText>
          </w:r>
          <w:r>
            <w:fldChar w:fldCharType="separate"/>
          </w:r>
          <w:r>
            <w:t>24</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_Toc12148 </w:instrText>
          </w:r>
          <w:r>
            <w:fldChar w:fldCharType="separate"/>
          </w:r>
          <w:r>
            <w:rPr>
              <w:rFonts w:hint="eastAsia" w:cs="Times New Roman" w:asciiTheme="majorEastAsia" w:hAnsiTheme="majorEastAsia"/>
              <w:bCs w:val="0"/>
              <w:szCs w:val="30"/>
              <w:lang w:val="zh-CN"/>
            </w:rPr>
            <w:t>三、 评审因素及评分标准</w:t>
          </w:r>
          <w:r>
            <w:tab/>
          </w:r>
          <w:r>
            <w:fldChar w:fldCharType="begin"/>
          </w:r>
          <w:r>
            <w:instrText xml:space="preserve"> PAGEREF _Toc12148 </w:instrText>
          </w:r>
          <w:r>
            <w:fldChar w:fldCharType="separate"/>
          </w:r>
          <w:r>
            <w:t>28</w:t>
          </w:r>
          <w:r>
            <w:fldChar w:fldCharType="end"/>
          </w:r>
          <w:r>
            <w:fldChar w:fldCharType="end"/>
          </w:r>
        </w:p>
        <w:p>
          <w:pPr>
            <w:pStyle w:val="13"/>
            <w:tabs>
              <w:tab w:val="right" w:leader="dot" w:pos="9524"/>
            </w:tabs>
          </w:pPr>
          <w:r>
            <w:fldChar w:fldCharType="begin"/>
          </w:r>
          <w:r>
            <w:instrText xml:space="preserve"> HYPERLINK \l _Toc3626 </w:instrText>
          </w:r>
          <w:r>
            <w:fldChar w:fldCharType="separate"/>
          </w:r>
          <w:r>
            <w:rPr>
              <w:rFonts w:hint="eastAsia" w:ascii="黑体" w:hAnsi="黑体" w:eastAsia="黑体"/>
            </w:rPr>
            <w:t>第六章 合同书格式（参考）</w:t>
          </w:r>
          <w:r>
            <w:tab/>
          </w:r>
          <w:r>
            <w:fldChar w:fldCharType="begin"/>
          </w:r>
          <w:r>
            <w:instrText xml:space="preserve"> PAGEREF _Toc3626 </w:instrText>
          </w:r>
          <w:r>
            <w:fldChar w:fldCharType="separate"/>
          </w:r>
          <w:r>
            <w:t>31</w:t>
          </w:r>
          <w:r>
            <w:fldChar w:fldCharType="end"/>
          </w:r>
          <w:r>
            <w:fldChar w:fldCharType="end"/>
          </w:r>
        </w:p>
        <w:p>
          <w:pPr>
            <w:pStyle w:val="13"/>
            <w:tabs>
              <w:tab w:val="right" w:leader="dot" w:pos="9524"/>
            </w:tabs>
          </w:pPr>
          <w:r>
            <w:fldChar w:fldCharType="begin"/>
          </w:r>
          <w:r>
            <w:instrText xml:space="preserve"> HYPERLINK \l _Toc19320 </w:instrText>
          </w:r>
          <w:r>
            <w:fldChar w:fldCharType="separate"/>
          </w:r>
          <w:r>
            <w:rPr>
              <w:rFonts w:hint="eastAsia" w:ascii="黑体" w:hAnsi="黑体" w:eastAsia="黑体"/>
            </w:rPr>
            <w:t>第七章 投标文件格式（参考）</w:t>
          </w:r>
          <w:r>
            <w:tab/>
          </w:r>
          <w:r>
            <w:fldChar w:fldCharType="begin"/>
          </w:r>
          <w:r>
            <w:instrText xml:space="preserve"> PAGEREF _Toc19320 </w:instrText>
          </w:r>
          <w:r>
            <w:fldChar w:fldCharType="separate"/>
          </w:r>
          <w:r>
            <w:t>33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_Toc16237 </w:instrText>
          </w:r>
          <w:r>
            <w:fldChar w:fldCharType="separate"/>
          </w:r>
          <w:r>
            <w:rPr>
              <w:rFonts w:hint="eastAsia" w:cs="Times New Roman" w:asciiTheme="majorEastAsia" w:hAnsiTheme="majorEastAsia"/>
              <w:bCs w:val="0"/>
              <w:szCs w:val="44"/>
              <w:lang w:val="zh-CN"/>
            </w:rPr>
            <w:t>第一部分 资格证明文件</w:t>
          </w:r>
          <w:r>
            <w:tab/>
          </w:r>
          <w:r>
            <w:fldChar w:fldCharType="begin"/>
          </w:r>
          <w:r>
            <w:instrText xml:space="preserve"> PAGEREF _Toc16237 </w:instrText>
          </w:r>
          <w:r>
            <w:fldChar w:fldCharType="separate"/>
          </w:r>
          <w:r>
            <w:t>33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_Toc30559 </w:instrText>
          </w:r>
          <w:r>
            <w:fldChar w:fldCharType="separate"/>
          </w:r>
          <w:r>
            <w:rPr>
              <w:rFonts w:hint="eastAsia" w:cs="Times New Roman" w:asciiTheme="majorEastAsia" w:hAnsiTheme="majorEastAsia"/>
              <w:bCs w:val="0"/>
              <w:szCs w:val="44"/>
              <w:lang w:val="zh-CN"/>
            </w:rPr>
            <w:t>第二部分 商务文件</w:t>
          </w:r>
          <w:r>
            <w:tab/>
          </w:r>
          <w:r>
            <w:fldChar w:fldCharType="begin"/>
          </w:r>
          <w:r>
            <w:instrText xml:space="preserve"> PAGEREF _Toc30559 </w:instrText>
          </w:r>
          <w:r>
            <w:fldChar w:fldCharType="separate"/>
          </w:r>
          <w:r>
            <w:t>35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_Toc3522 </w:instrText>
          </w:r>
          <w:r>
            <w:fldChar w:fldCharType="separate"/>
          </w:r>
          <w:r>
            <w:rPr>
              <w:rFonts w:hint="eastAsia" w:cs="Times New Roman" w:asciiTheme="majorEastAsia" w:hAnsiTheme="majorEastAsia"/>
              <w:bCs w:val="0"/>
              <w:szCs w:val="44"/>
              <w:lang w:val="zh-CN"/>
            </w:rPr>
            <w:t>第三部分 技术、服务文件</w:t>
          </w:r>
          <w:r>
            <w:tab/>
          </w:r>
          <w:r>
            <w:fldChar w:fldCharType="begin"/>
          </w:r>
          <w:r>
            <w:instrText xml:space="preserve"> PAGEREF _Toc3522 </w:instrText>
          </w:r>
          <w:r>
            <w:fldChar w:fldCharType="separate"/>
          </w:r>
          <w:r>
            <w:t>37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_Toc25314 </w:instrText>
          </w:r>
          <w:r>
            <w:fldChar w:fldCharType="separate"/>
          </w:r>
          <w:r>
            <w:rPr>
              <w:rFonts w:hint="eastAsia" w:ascii="宋体" w:hAnsi="宋体" w:eastAsia="宋体"/>
              <w:i w:val="0"/>
            </w:rPr>
            <w:t xml:space="preserve">附件一、 </w:t>
          </w:r>
          <w:r>
            <w:rPr>
              <w:rFonts w:hint="eastAsia" w:ascii="宋体" w:hAnsi="宋体" w:eastAsia="宋体"/>
            </w:rPr>
            <w:t>投标书</w:t>
          </w:r>
          <w:r>
            <w:tab/>
          </w:r>
          <w:r>
            <w:fldChar w:fldCharType="begin"/>
          </w:r>
          <w:r>
            <w:instrText xml:space="preserve"> PAGEREF _Toc25314 </w:instrText>
          </w:r>
          <w:r>
            <w:fldChar w:fldCharType="separate"/>
          </w:r>
          <w:r>
            <w:t>39</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_Toc25048 </w:instrText>
          </w:r>
          <w:r>
            <w:fldChar w:fldCharType="separate"/>
          </w:r>
          <w:r>
            <w:rPr>
              <w:rFonts w:hint="eastAsia" w:ascii="宋体" w:hAnsi="宋体" w:eastAsia="宋体"/>
              <w:i w:val="0"/>
            </w:rPr>
            <w:t xml:space="preserve">附件二、 </w:t>
          </w:r>
          <w:r>
            <w:rPr>
              <w:rFonts w:hint="eastAsia" w:ascii="宋体" w:hAnsi="宋体" w:eastAsia="宋体"/>
            </w:rPr>
            <w:t>开标一览表</w:t>
          </w:r>
          <w:r>
            <w:tab/>
          </w:r>
          <w:r>
            <w:fldChar w:fldCharType="begin"/>
          </w:r>
          <w:r>
            <w:instrText xml:space="preserve"> PAGEREF _Toc25048 </w:instrText>
          </w:r>
          <w:r>
            <w:fldChar w:fldCharType="separate"/>
          </w:r>
          <w:r>
            <w:t>40</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_Toc21599 </w:instrText>
          </w:r>
          <w:r>
            <w:fldChar w:fldCharType="separate"/>
          </w:r>
          <w:r>
            <w:rPr>
              <w:rFonts w:hint="eastAsia" w:ascii="宋体" w:hAnsi="宋体" w:eastAsia="宋体"/>
              <w:i w:val="0"/>
            </w:rPr>
            <w:t xml:space="preserve">附件三、 </w:t>
          </w:r>
          <w:r>
            <w:rPr>
              <w:rFonts w:hint="eastAsia" w:ascii="宋体" w:hAnsi="宋体" w:eastAsia="宋体"/>
            </w:rPr>
            <w:t>投标货物（工程或服务）清单</w:t>
          </w:r>
          <w:r>
            <w:tab/>
          </w:r>
          <w:r>
            <w:fldChar w:fldCharType="begin"/>
          </w:r>
          <w:r>
            <w:instrText xml:space="preserve"> PAGEREF _Toc21599 </w:instrText>
          </w:r>
          <w:r>
            <w:fldChar w:fldCharType="separate"/>
          </w:r>
          <w:r>
            <w:t>41</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_Toc12099 </w:instrText>
          </w:r>
          <w:r>
            <w:fldChar w:fldCharType="separate"/>
          </w:r>
          <w:r>
            <w:rPr>
              <w:rFonts w:hint="eastAsia" w:ascii="宋体" w:hAnsi="宋体" w:eastAsia="宋体"/>
              <w:i w:val="0"/>
            </w:rPr>
            <w:t xml:space="preserve">附件四、 </w:t>
          </w:r>
          <w:r>
            <w:rPr>
              <w:rFonts w:hint="eastAsia" w:ascii="宋体" w:hAnsi="宋体" w:eastAsia="宋体"/>
            </w:rPr>
            <w:t>交纳投标保证金的银行凭证</w:t>
          </w:r>
          <w:r>
            <w:tab/>
          </w:r>
          <w:r>
            <w:fldChar w:fldCharType="begin"/>
          </w:r>
          <w:r>
            <w:instrText xml:space="preserve"> PAGEREF _Toc12099 </w:instrText>
          </w:r>
          <w:r>
            <w:fldChar w:fldCharType="separate"/>
          </w:r>
          <w:r>
            <w:t>42</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_Toc17699 </w:instrText>
          </w:r>
          <w:r>
            <w:fldChar w:fldCharType="separate"/>
          </w:r>
          <w:r>
            <w:rPr>
              <w:rFonts w:hint="eastAsia" w:ascii="宋体" w:hAnsi="宋体" w:eastAsia="宋体"/>
              <w:i w:val="0"/>
            </w:rPr>
            <w:t xml:space="preserve">附件五、 </w:t>
          </w:r>
          <w:r>
            <w:rPr>
              <w:rFonts w:hint="eastAsia" w:ascii="宋体" w:hAnsi="宋体" w:eastAsia="宋体"/>
            </w:rPr>
            <w:t>法定代表人授权书</w:t>
          </w:r>
          <w:r>
            <w:tab/>
          </w:r>
          <w:r>
            <w:fldChar w:fldCharType="begin"/>
          </w:r>
          <w:r>
            <w:instrText xml:space="preserve"> PAGEREF _Toc17699 </w:instrText>
          </w:r>
          <w:r>
            <w:fldChar w:fldCharType="separate"/>
          </w:r>
          <w:r>
            <w:t>43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_Toc5646 </w:instrText>
          </w:r>
          <w:r>
            <w:fldChar w:fldCharType="separate"/>
          </w:r>
          <w:r>
            <w:rPr>
              <w:rFonts w:hint="eastAsia" w:ascii="宋体" w:hAnsi="宋体" w:eastAsia="宋体"/>
              <w:i w:val="0"/>
            </w:rPr>
            <w:t xml:space="preserve">附件六、 </w:t>
          </w:r>
          <w:r>
            <w:rPr>
              <w:rFonts w:hint="eastAsia" w:ascii="宋体" w:hAnsi="宋体" w:eastAsia="宋体"/>
            </w:rPr>
            <w:t>投标人的资格声明</w:t>
          </w:r>
          <w:r>
            <w:tab/>
          </w:r>
          <w:r>
            <w:fldChar w:fldCharType="begin"/>
          </w:r>
          <w:r>
            <w:instrText xml:space="preserve"> PAGEREF _Toc5646 </w:instrText>
          </w:r>
          <w:r>
            <w:fldChar w:fldCharType="separate"/>
          </w:r>
          <w:r>
            <w:t>44</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_Toc6424 </w:instrText>
          </w:r>
          <w:r>
            <w:fldChar w:fldCharType="separate"/>
          </w:r>
          <w:r>
            <w:rPr>
              <w:rFonts w:hint="eastAsia" w:ascii="宋体" w:hAnsi="宋体" w:eastAsia="宋体"/>
              <w:i w:val="0"/>
            </w:rPr>
            <w:t xml:space="preserve">附件七、 </w:t>
          </w:r>
          <w:r>
            <w:rPr>
              <w:rFonts w:hint="eastAsia" w:ascii="宋体" w:hAnsi="宋体" w:eastAsia="宋体"/>
            </w:rPr>
            <w:t>项目负责人、技术负责人简历表</w:t>
          </w:r>
          <w:r>
            <w:tab/>
          </w:r>
          <w:r>
            <w:fldChar w:fldCharType="begin"/>
          </w:r>
          <w:r>
            <w:instrText xml:space="preserve"> PAGEREF _Toc6424 </w:instrText>
          </w:r>
          <w:r>
            <w:fldChar w:fldCharType="separate"/>
          </w:r>
          <w:r>
            <w:t>45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_Toc26187 </w:instrText>
          </w:r>
          <w:r>
            <w:fldChar w:fldCharType="separate"/>
          </w:r>
          <w:r>
            <w:rPr>
              <w:rFonts w:hint="eastAsia" w:ascii="宋体" w:hAnsi="宋体" w:eastAsia="宋体"/>
              <w:i w:val="0"/>
            </w:rPr>
            <w:t xml:space="preserve">附件八、 </w:t>
          </w:r>
          <w:r>
            <w:rPr>
              <w:rFonts w:hint="eastAsia" w:ascii="宋体" w:hAnsi="宋体" w:eastAsia="宋体"/>
            </w:rPr>
            <w:t>项目班子成员情况表</w:t>
          </w:r>
          <w:r>
            <w:tab/>
          </w:r>
          <w:r>
            <w:fldChar w:fldCharType="begin"/>
          </w:r>
          <w:r>
            <w:instrText xml:space="preserve"> PAGEREF _Toc26187 </w:instrText>
          </w:r>
          <w:r>
            <w:fldChar w:fldCharType="separate"/>
          </w:r>
          <w:r>
            <w:t>46</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_Toc5293 </w:instrText>
          </w:r>
          <w:r>
            <w:fldChar w:fldCharType="separate"/>
          </w:r>
          <w:r>
            <w:rPr>
              <w:rFonts w:hint="eastAsia" w:ascii="宋体" w:hAnsi="宋体" w:eastAsia="宋体"/>
              <w:i w:val="0"/>
            </w:rPr>
            <w:t xml:space="preserve">附件九、 </w:t>
          </w:r>
          <w:r>
            <w:rPr>
              <w:rFonts w:hint="eastAsia" w:ascii="宋体" w:hAnsi="宋体" w:eastAsia="宋体"/>
            </w:rPr>
            <w:t>投标人类似项目业绩表</w:t>
          </w:r>
          <w:r>
            <w:tab/>
          </w:r>
          <w:r>
            <w:fldChar w:fldCharType="begin"/>
          </w:r>
          <w:r>
            <w:instrText xml:space="preserve"> PAGEREF _Toc5293 </w:instrText>
          </w:r>
          <w:r>
            <w:fldChar w:fldCharType="separate"/>
          </w:r>
          <w:r>
            <w:t>47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_Toc15557 </w:instrText>
          </w:r>
          <w:r>
            <w:fldChar w:fldCharType="separate"/>
          </w:r>
          <w:r>
            <w:rPr>
              <w:rFonts w:hint="eastAsia" w:ascii="宋体" w:hAnsi="宋体" w:eastAsia="宋体"/>
              <w:i w:val="0"/>
            </w:rPr>
            <w:t xml:space="preserve">附件十、 </w:t>
          </w:r>
          <w:r>
            <w:rPr>
              <w:rFonts w:hint="eastAsia" w:ascii="宋体" w:hAnsi="宋体" w:eastAsia="宋体"/>
            </w:rPr>
            <w:t>符合性审查对照表</w:t>
          </w:r>
          <w:r>
            <w:tab/>
          </w:r>
          <w:r>
            <w:fldChar w:fldCharType="begin"/>
          </w:r>
          <w:r>
            <w:instrText xml:space="preserve"> PAGEREF _Toc15557 </w:instrText>
          </w:r>
          <w:r>
            <w:fldChar w:fldCharType="separate"/>
          </w:r>
          <w:r>
            <w:t>48</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_Toc2868 </w:instrText>
          </w:r>
          <w:r>
            <w:fldChar w:fldCharType="separate"/>
          </w:r>
          <w:r>
            <w:rPr>
              <w:rFonts w:hint="eastAsia" w:ascii="宋体" w:hAnsi="宋体" w:eastAsia="宋体"/>
              <w:i w:val="0"/>
            </w:rPr>
            <w:t xml:space="preserve">附件十一、 </w:t>
          </w:r>
          <w:r>
            <w:rPr>
              <w:rFonts w:hint="eastAsia" w:ascii="宋体" w:hAnsi="宋体" w:eastAsia="宋体"/>
            </w:rPr>
            <w:t>商务要求响应、偏离说明表</w:t>
          </w:r>
          <w:r>
            <w:tab/>
          </w:r>
          <w:r>
            <w:fldChar w:fldCharType="begin"/>
          </w:r>
          <w:r>
            <w:instrText xml:space="preserve"> PAGEREF _Toc2868 </w:instrText>
          </w:r>
          <w:r>
            <w:fldChar w:fldCharType="separate"/>
          </w:r>
          <w:r>
            <w:t>49</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_Toc27249 </w:instrText>
          </w:r>
          <w:r>
            <w:fldChar w:fldCharType="separate"/>
          </w:r>
          <w:r>
            <w:rPr>
              <w:rFonts w:hint="eastAsia" w:ascii="宋体" w:hAnsi="宋体" w:eastAsia="宋体"/>
              <w:i w:val="0"/>
            </w:rPr>
            <w:t xml:space="preserve">附件十二、 </w:t>
          </w:r>
          <w:r>
            <w:rPr>
              <w:rFonts w:hint="eastAsia" w:ascii="宋体" w:hAnsi="宋体" w:eastAsia="宋体"/>
            </w:rPr>
            <w:t>商务要求“★”号条款响应、偏离说明表</w:t>
          </w:r>
          <w:r>
            <w:tab/>
          </w:r>
          <w:r>
            <w:fldChar w:fldCharType="begin"/>
          </w:r>
          <w:r>
            <w:instrText xml:space="preserve"> PAGEREF _Toc27249 </w:instrText>
          </w:r>
          <w:r>
            <w:fldChar w:fldCharType="separate"/>
          </w:r>
          <w:r>
            <w:t>50</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_Toc20751 </w:instrText>
          </w:r>
          <w:r>
            <w:fldChar w:fldCharType="separate"/>
          </w:r>
          <w:r>
            <w:rPr>
              <w:rFonts w:hint="eastAsia" w:ascii="宋体" w:hAnsi="宋体" w:eastAsia="宋体"/>
              <w:i w:val="0"/>
            </w:rPr>
            <w:t xml:space="preserve">附件十三、 </w:t>
          </w:r>
          <w:r>
            <w:rPr>
              <w:rFonts w:hint="eastAsia" w:ascii="宋体" w:hAnsi="宋体" w:eastAsia="宋体"/>
            </w:rPr>
            <w:t>商务评议对照表</w:t>
          </w:r>
          <w:r>
            <w:tab/>
          </w:r>
          <w:r>
            <w:fldChar w:fldCharType="begin"/>
          </w:r>
          <w:r>
            <w:instrText xml:space="preserve"> PAGEREF _Toc20751 </w:instrText>
          </w:r>
          <w:r>
            <w:fldChar w:fldCharType="separate"/>
          </w:r>
          <w:r>
            <w:t>51</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_Toc9311 </w:instrText>
          </w:r>
          <w:r>
            <w:fldChar w:fldCharType="separate"/>
          </w:r>
          <w:r>
            <w:rPr>
              <w:rFonts w:hint="eastAsia" w:ascii="宋体" w:hAnsi="宋体" w:eastAsia="宋体"/>
              <w:i w:val="0"/>
            </w:rPr>
            <w:t xml:space="preserve">附件十四、 </w:t>
          </w:r>
          <w:r>
            <w:rPr>
              <w:rFonts w:hint="eastAsia" w:ascii="宋体" w:hAnsi="宋体" w:eastAsia="宋体"/>
            </w:rPr>
            <w:t>技术、服务要求响应、偏离说明表</w:t>
          </w:r>
          <w:r>
            <w:tab/>
          </w:r>
          <w:r>
            <w:fldChar w:fldCharType="begin"/>
          </w:r>
          <w:r>
            <w:instrText xml:space="preserve"> PAGEREF _Toc9311 </w:instrText>
          </w:r>
          <w:r>
            <w:fldChar w:fldCharType="separate"/>
          </w:r>
          <w:r>
            <w:t>52</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_Toc6242 </w:instrText>
          </w:r>
          <w:r>
            <w:fldChar w:fldCharType="separate"/>
          </w:r>
          <w:r>
            <w:rPr>
              <w:rFonts w:hint="eastAsia" w:ascii="宋体" w:hAnsi="宋体" w:eastAsia="宋体"/>
              <w:i w:val="0"/>
            </w:rPr>
            <w:t xml:space="preserve">附件十五、 </w:t>
          </w:r>
          <w:r>
            <w:rPr>
              <w:rFonts w:hint="eastAsia" w:ascii="宋体" w:hAnsi="宋体" w:eastAsia="宋体"/>
            </w:rPr>
            <w:t>技术、服务要求“★”号条款响应、偏离说明表</w:t>
          </w:r>
          <w:r>
            <w:tab/>
          </w:r>
          <w:r>
            <w:fldChar w:fldCharType="begin"/>
          </w:r>
          <w:r>
            <w:instrText xml:space="preserve"> PAGEREF _Toc6242 </w:instrText>
          </w:r>
          <w:r>
            <w:fldChar w:fldCharType="separate"/>
          </w:r>
          <w:r>
            <w:t>53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_Toc10292 </w:instrText>
          </w:r>
          <w:r>
            <w:fldChar w:fldCharType="separate"/>
          </w:r>
          <w:r>
            <w:rPr>
              <w:rFonts w:hint="eastAsia" w:ascii="宋体" w:hAnsi="宋体" w:eastAsia="宋体"/>
              <w:i w:val="0"/>
            </w:rPr>
            <w:t xml:space="preserve">附件十六、 </w:t>
          </w:r>
          <w:r>
            <w:rPr>
              <w:rFonts w:hint="eastAsia" w:ascii="宋体" w:hAnsi="宋体" w:eastAsia="宋体"/>
            </w:rPr>
            <w:t>技术、服务评议对照表</w:t>
          </w:r>
          <w:r>
            <w:tab/>
          </w:r>
          <w:r>
            <w:fldChar w:fldCharType="begin"/>
          </w:r>
          <w:r>
            <w:instrText xml:space="preserve"> PAGEREF _Toc10292 </w:instrText>
          </w:r>
          <w:r>
            <w:fldChar w:fldCharType="separate"/>
          </w:r>
          <w:r>
            <w:t>54</w:t>
          </w:r>
          <w:r>
            <w:fldChar w:fldCharType="end"/>
          </w:r>
          <w:r>
            <w:fldChar w:fldCharType="end"/>
          </w:r>
        </w:p>
        <w:p>
          <w:pPr>
            <w:pStyle w:val="13"/>
            <w:tabs>
              <w:tab w:val="left" w:pos="1260"/>
              <w:tab w:val="right" w:leader="dot" w:pos="9514"/>
            </w:tabs>
          </w:pPr>
          <w:r>
            <w:fldChar w:fldCharType="end"/>
          </w:r>
          <w:r>
            <w:rPr>
              <w:b w:val="0"/>
              <w:bCs/>
              <w:lang w:val="zh-CN"/>
            </w:rPr>
            <w:tab/>
          </w:r>
        </w:p>
      </w:sdtContent>
    </w:sdt>
    <w:p>
      <w:pPr>
        <w:pStyle w:val="2"/>
        <w:numPr>
          <w:ilvl w:val="0"/>
          <w:numId w:val="1"/>
        </w:numPr>
        <w:spacing w:before="240" w:after="120"/>
        <w:ind w:left="883" w:hanging="880" w:hangingChars="200"/>
        <w:jc w:val="center"/>
        <w:rPr>
          <w:rFonts w:ascii="黑体" w:hAnsi="黑体" w:eastAsia="黑体"/>
        </w:rPr>
        <w:sectPr>
          <w:footerReference r:id="rId6" w:type="default"/>
          <w:pgSz w:w="11906" w:h="16838"/>
          <w:pgMar w:top="1134" w:right="1191" w:bottom="1134" w:left="1191" w:header="851" w:footer="851" w:gutter="0"/>
          <w:pgNumType w:start="1"/>
          <w:cols w:space="425" w:num="1"/>
          <w:docGrid w:type="linesAndChars" w:linePitch="312" w:charSpace="0"/>
        </w:sectPr>
      </w:pPr>
    </w:p>
    <w:p>
      <w:pPr>
        <w:pStyle w:val="2"/>
        <w:numPr>
          <w:ilvl w:val="0"/>
          <w:numId w:val="1"/>
        </w:numPr>
        <w:spacing w:before="240" w:after="120"/>
        <w:ind w:left="885" w:hanging="880" w:hangingChars="200"/>
        <w:jc w:val="center"/>
        <w:rPr>
          <w:rFonts w:ascii="黑体" w:hAnsi="黑体" w:eastAsia="黑体"/>
        </w:rPr>
      </w:pPr>
      <w:bookmarkStart w:id="0" w:name="_Toc25052"/>
      <w:r>
        <w:rPr>
          <w:rFonts w:hint="eastAsia" w:ascii="黑体" w:hAnsi="黑体" w:eastAsia="黑体"/>
        </w:rPr>
        <w:t>投标邀请书</w:t>
      </w:r>
      <w:bookmarkEnd w:id="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依据阳财采计备[2018]A</w:t>
      </w:r>
      <w:r>
        <w:rPr>
          <w:rFonts w:hint="eastAsia" w:ascii="宋体" w:hAnsi="宋体" w:eastAsia="宋体" w:cs="Times New Roman"/>
          <w:sz w:val="24"/>
          <w:szCs w:val="24"/>
          <w:lang w:val="en-US" w:eastAsia="zh-CN"/>
        </w:rPr>
        <w:t>155</w:t>
      </w:r>
      <w:r>
        <w:rPr>
          <w:rFonts w:hint="eastAsia" w:ascii="宋体" w:hAnsi="宋体" w:eastAsia="宋体" w:cs="Times New Roman"/>
          <w:sz w:val="24"/>
          <w:szCs w:val="24"/>
        </w:rPr>
        <w:t>号备案表的要求，阳新县政府采购中心就阳新县个人住房信息系统</w:t>
      </w:r>
      <w:r>
        <w:rPr>
          <w:rFonts w:hint="eastAsia" w:ascii="宋体" w:hAnsi="宋体" w:eastAsia="宋体" w:cs="Times New Roman"/>
          <w:sz w:val="24"/>
          <w:szCs w:val="24"/>
          <w:lang w:eastAsia="zh-CN"/>
        </w:rPr>
        <w:t>（二期）</w:t>
      </w:r>
      <w:r>
        <w:rPr>
          <w:rFonts w:hint="eastAsia" w:ascii="宋体" w:hAnsi="宋体" w:eastAsia="宋体" w:cs="Times New Roman"/>
          <w:sz w:val="24"/>
          <w:szCs w:val="24"/>
        </w:rPr>
        <w:t>建设项目进行公开招标采购，欢迎符合条件的供应商投标。</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项目编号：</w:t>
      </w:r>
      <w:r>
        <w:rPr>
          <w:rFonts w:hint="eastAsia" w:ascii="宋体" w:hAnsi="宋体" w:cs="仿宋_GB2312"/>
          <w:szCs w:val="28"/>
        </w:rPr>
        <w:t>131－Zcg.2018－</w:t>
      </w:r>
      <w:r>
        <w:rPr>
          <w:rFonts w:hint="eastAsia" w:ascii="宋体" w:hAnsi="宋体" w:cs="仿宋_GB2312"/>
          <w:szCs w:val="28"/>
          <w:lang w:val="en-US" w:eastAsia="zh-CN"/>
        </w:rPr>
        <w:t>198</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项目名称：</w:t>
      </w:r>
      <w:r>
        <w:rPr>
          <w:rFonts w:hint="eastAsia" w:ascii="宋体" w:hAnsi="宋体" w:eastAsia="宋体" w:cs="Times New Roman"/>
          <w:b/>
          <w:sz w:val="24"/>
          <w:szCs w:val="24"/>
          <w:lang w:eastAsia="zh-CN"/>
        </w:rPr>
        <w:t>阳新县</w:t>
      </w:r>
      <w:r>
        <w:rPr>
          <w:rFonts w:hint="eastAsia" w:ascii="宋体" w:hAnsi="宋体" w:eastAsia="宋体" w:cs="Times New Roman"/>
          <w:b/>
          <w:sz w:val="24"/>
          <w:szCs w:val="24"/>
        </w:rPr>
        <w:t>个人住房信息系统</w:t>
      </w:r>
      <w:r>
        <w:rPr>
          <w:rFonts w:hint="eastAsia" w:ascii="宋体" w:hAnsi="宋体" w:eastAsia="宋体" w:cs="Times New Roman"/>
          <w:b/>
          <w:sz w:val="24"/>
          <w:szCs w:val="24"/>
          <w:lang w:eastAsia="zh-CN"/>
        </w:rPr>
        <w:t>（二期）</w:t>
      </w:r>
      <w:r>
        <w:rPr>
          <w:rFonts w:hint="eastAsia" w:ascii="宋体" w:hAnsi="宋体" w:eastAsia="宋体" w:cs="Times New Roman"/>
          <w:b/>
          <w:sz w:val="24"/>
          <w:szCs w:val="24"/>
        </w:rPr>
        <w:t>建设项目</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招标内容：</w:t>
      </w:r>
      <w:r>
        <w:rPr>
          <w:rFonts w:hint="eastAsia" w:ascii="宋体" w:hAnsi="宋体" w:eastAsia="宋体" w:cs="Times New Roman"/>
          <w:sz w:val="24"/>
          <w:szCs w:val="24"/>
        </w:rPr>
        <w:t>个人住房信息系统采购或详见招标文件《采购清单》</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采购预算：</w:t>
      </w:r>
      <w:r>
        <w:rPr>
          <w:rFonts w:hint="eastAsia" w:ascii="宋体" w:hAnsi="宋体" w:eastAsia="宋体" w:cs="Times New Roman"/>
          <w:sz w:val="24"/>
          <w:szCs w:val="24"/>
        </w:rPr>
        <w:t>人民币</w:t>
      </w:r>
      <w:r>
        <w:rPr>
          <w:rFonts w:hint="eastAsia" w:ascii="宋体" w:hAnsi="宋体" w:eastAsia="宋体" w:cs="Times New Roman"/>
          <w:sz w:val="24"/>
          <w:szCs w:val="24"/>
          <w:lang w:val="en-US" w:eastAsia="zh-CN"/>
        </w:rPr>
        <w:t>81</w:t>
      </w:r>
      <w:r>
        <w:rPr>
          <w:rFonts w:hint="eastAsia" w:ascii="宋体" w:hAnsi="宋体" w:eastAsia="宋体" w:cs="Times New Roman"/>
          <w:sz w:val="24"/>
          <w:szCs w:val="24"/>
        </w:rPr>
        <w:t>万元整。</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资金来源：</w:t>
      </w:r>
      <w:r>
        <w:rPr>
          <w:rFonts w:hint="eastAsia" w:ascii="宋体" w:hAnsi="宋体" w:eastAsia="宋体" w:cs="Times New Roman"/>
          <w:sz w:val="24"/>
          <w:szCs w:val="24"/>
        </w:rPr>
        <w:t>财政性资金</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政府集中采购项目：是</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投标人资格要求：</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应具备《政府采购法》第二十二条第一款规定的条件；</w:t>
      </w:r>
    </w:p>
    <w:p>
      <w:pPr>
        <w:numPr>
          <w:ilvl w:val="0"/>
          <w:numId w:val="3"/>
        </w:numPr>
        <w:tabs>
          <w:tab w:val="left" w:pos="896"/>
        </w:tabs>
        <w:spacing w:line="360" w:lineRule="auto"/>
        <w:rPr>
          <w:rFonts w:ascii="宋体" w:hAnsi="宋体" w:eastAsia="宋体" w:cs="Times New Roman"/>
          <w:color w:val="0D0D0D"/>
          <w:sz w:val="24"/>
          <w:szCs w:val="24"/>
        </w:rPr>
      </w:pPr>
      <w:r>
        <w:rPr>
          <w:rFonts w:hint="eastAsia" w:ascii="宋体" w:hAnsi="宋体" w:eastAsia="宋体" w:cs="Times New Roman"/>
          <w:sz w:val="24"/>
          <w:szCs w:val="24"/>
        </w:rPr>
        <w:t>未被“信用中国”网站(www.creditchina.gov.cn)列入失信被执行人、重大税收</w:t>
      </w:r>
      <w:r>
        <w:rPr>
          <w:rFonts w:hint="eastAsia" w:ascii="宋体" w:hAnsi="宋体" w:eastAsia="宋体" w:cs="Times New Roman"/>
          <w:color w:val="0D0D0D"/>
          <w:sz w:val="24"/>
          <w:szCs w:val="24"/>
        </w:rPr>
        <w:t>违法案件当事人名单、政府采购严重违法失信行为记录名单；</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color w:val="0D0D0D"/>
          <w:sz w:val="24"/>
          <w:szCs w:val="24"/>
        </w:rPr>
        <w:t>不接</w:t>
      </w:r>
      <w:r>
        <w:rPr>
          <w:rFonts w:hint="eastAsia" w:ascii="宋体" w:hAnsi="宋体" w:eastAsia="宋体" w:cs="Times New Roman"/>
          <w:sz w:val="24"/>
          <w:szCs w:val="24"/>
        </w:rPr>
        <w:t>受联合体形式的投标。</w:t>
      </w:r>
    </w:p>
    <w:p>
      <w:pPr>
        <w:numPr>
          <w:ilvl w:val="0"/>
          <w:numId w:val="2"/>
        </w:numPr>
        <w:spacing w:line="360" w:lineRule="auto"/>
        <w:ind w:left="490" w:hanging="490"/>
        <w:rPr>
          <w:rFonts w:ascii="宋体" w:hAnsi="宋体" w:eastAsia="宋体" w:cs="宋体"/>
          <w:b/>
          <w:kern w:val="0"/>
          <w:sz w:val="24"/>
          <w:szCs w:val="24"/>
        </w:rPr>
      </w:pPr>
      <w:r>
        <w:rPr>
          <w:rFonts w:hint="eastAsia" w:ascii="宋体" w:hAnsi="宋体" w:eastAsia="宋体" w:cs="宋体"/>
          <w:b/>
          <w:kern w:val="0"/>
          <w:sz w:val="24"/>
          <w:szCs w:val="24"/>
          <w:lang w:val="zh-CN"/>
        </w:rPr>
        <w:t>招标文件获取</w:t>
      </w:r>
      <w:r>
        <w:rPr>
          <w:rFonts w:hint="eastAsia" w:ascii="宋体" w:hAnsi="宋体" w:eastAsia="宋体" w:cs="宋体"/>
          <w:b/>
          <w:kern w:val="0"/>
          <w:sz w:val="24"/>
          <w:szCs w:val="24"/>
        </w:rPr>
        <w:t>：</w:t>
      </w:r>
    </w:p>
    <w:p>
      <w:pPr>
        <w:widowControl/>
        <w:adjustRightInd w:val="0"/>
        <w:snapToGrid w:val="0"/>
        <w:spacing w:line="360" w:lineRule="auto"/>
        <w:ind w:firstLine="360" w:firstLineChars="150"/>
        <w:jc w:val="left"/>
        <w:rPr>
          <w:rFonts w:ascii="宋体" w:hAnsi="宋体" w:eastAsia="宋体" w:cs="Times New Roman"/>
          <w:sz w:val="24"/>
          <w:szCs w:val="24"/>
        </w:rPr>
      </w:pPr>
      <w:r>
        <w:rPr>
          <w:rFonts w:hint="eastAsia" w:ascii="宋体" w:hAnsi="宋体" w:eastAsia="宋体" w:cs="Times New Roman"/>
          <w:sz w:val="24"/>
          <w:szCs w:val="24"/>
        </w:rPr>
        <w:t>本项目实行网上下载标书，招标文件与本招标公告同时</w:t>
      </w:r>
      <w:r>
        <w:rPr>
          <w:rFonts w:hint="eastAsia"/>
          <w:color w:val="FF0000"/>
          <w:sz w:val="24"/>
          <w:szCs w:val="24"/>
        </w:rPr>
        <w:t>在“湖北省政府采购网”、“黄石市公共资源交易信息网”及“阳新县人民政府网”</w:t>
      </w:r>
      <w:r>
        <w:rPr>
          <w:rFonts w:hint="eastAsia" w:ascii="宋体" w:hAnsi="宋体" w:eastAsia="宋体" w:cs="Times New Roman"/>
          <w:sz w:val="24"/>
          <w:szCs w:val="24"/>
        </w:rPr>
        <w:t>发布（见招标文件下载），凡自愿参加本项目投标者，请于2018年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28</w:t>
      </w:r>
      <w:r>
        <w:rPr>
          <w:rFonts w:hint="eastAsia" w:ascii="宋体" w:hAnsi="宋体" w:eastAsia="宋体" w:cs="Times New Roman"/>
          <w:sz w:val="24"/>
          <w:szCs w:val="24"/>
        </w:rPr>
        <w:t>日至2018年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日17时前点击项目招标公告中的链接下载招标文件，并在投标截止时间前递交投标文件。</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投标信息：</w:t>
      </w:r>
    </w:p>
    <w:p>
      <w:pPr>
        <w:spacing w:line="360" w:lineRule="auto"/>
        <w:ind w:firstLine="470" w:firstLineChars="196"/>
        <w:rPr>
          <w:rFonts w:ascii="宋体" w:hAnsi="宋体" w:eastAsia="宋体" w:cs="宋体"/>
          <w:b/>
          <w:kern w:val="0"/>
          <w:sz w:val="24"/>
          <w:szCs w:val="24"/>
        </w:rPr>
      </w:pPr>
      <w:r>
        <w:rPr>
          <w:rFonts w:hint="eastAsia" w:ascii="宋体" w:hAnsi="宋体" w:eastAsia="宋体" w:cs="宋体"/>
          <w:kern w:val="0"/>
          <w:sz w:val="24"/>
          <w:szCs w:val="24"/>
        </w:rPr>
        <w:t>投标文件递交截止时间：2018年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日9时00分（提前半小时开始接收投标文件，拒收逾期送达或者未按招标文件要求密封的投标文件）</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投标文件递交地点：阳新县公共资源交易中心</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楼开标大厅（阳新县熊家垴安置小区东侧）</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开标信息：</w:t>
      </w:r>
    </w:p>
    <w:p>
      <w:pPr>
        <w:spacing w:line="360" w:lineRule="auto"/>
        <w:ind w:firstLine="470" w:firstLineChars="196"/>
        <w:rPr>
          <w:rFonts w:ascii="宋体" w:hAnsi="宋体" w:eastAsia="宋体" w:cs="宋体"/>
          <w:kern w:val="0"/>
          <w:sz w:val="24"/>
          <w:szCs w:val="24"/>
        </w:rPr>
      </w:pPr>
      <w:r>
        <w:rPr>
          <w:rFonts w:hint="eastAsia" w:ascii="宋体" w:hAnsi="宋体" w:eastAsia="宋体" w:cs="宋体"/>
          <w:kern w:val="0"/>
          <w:sz w:val="24"/>
          <w:szCs w:val="24"/>
        </w:rPr>
        <w:t>开标时间：2018年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日9时00分</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开标地点：阳新县公共资源交易中心</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楼开标大厅（阳新县熊家垴安置小区东侧）</w:t>
      </w:r>
    </w:p>
    <w:p>
      <w:pPr>
        <w:numPr>
          <w:ilvl w:val="0"/>
          <w:numId w:val="2"/>
        </w:numPr>
        <w:spacing w:line="360" w:lineRule="auto"/>
        <w:ind w:left="728" w:hanging="728"/>
        <w:rPr>
          <w:rFonts w:ascii="宋体" w:hAnsi="宋体" w:eastAsia="宋体" w:cs="Times New Roman"/>
          <w:sz w:val="24"/>
          <w:szCs w:val="24"/>
        </w:rPr>
      </w:pPr>
      <w:r>
        <w:rPr>
          <w:rFonts w:hint="eastAsia" w:ascii="宋体" w:hAnsi="宋体" w:eastAsia="宋体" w:cs="宋体"/>
          <w:b/>
          <w:kern w:val="0"/>
          <w:sz w:val="24"/>
          <w:szCs w:val="24"/>
          <w:lang w:val="zh-CN"/>
        </w:rPr>
        <w:t>公告期限：</w:t>
      </w:r>
      <w:r>
        <w:rPr>
          <w:rFonts w:hint="eastAsia" w:ascii="宋体" w:hAnsi="宋体" w:eastAsia="宋体" w:cs="Times New Roman"/>
          <w:sz w:val="24"/>
          <w:szCs w:val="24"/>
        </w:rPr>
        <w:t>自公告发布之日起5个工作日。</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质疑：</w:t>
      </w:r>
    </w:p>
    <w:p>
      <w:pPr>
        <w:pStyle w:val="16"/>
        <w:ind w:firstLine="480" w:firstLineChars="200"/>
      </w:pPr>
      <w:r>
        <w:rPr>
          <w:rFonts w:hint="eastAsia" w:cs="Times New Roman"/>
          <w:szCs w:val="20"/>
          <w:lang w:val="zh-CN"/>
        </w:rPr>
        <w:t>投标人认为招标文件、招标过程和中标结果使自己的权益受到损害的，可以在知道或者应知其权益受到损害之日起7个工作日内，</w:t>
      </w:r>
      <w:r>
        <w:rPr>
          <w:rFonts w:cs="Times New Roman"/>
          <w:szCs w:val="20"/>
          <w:lang w:val="zh-CN"/>
        </w:rPr>
        <w:t>向</w:t>
      </w:r>
      <w:r>
        <w:rPr>
          <w:rFonts w:hint="eastAsia" w:cs="Times New Roman"/>
          <w:szCs w:val="20"/>
          <w:lang w:val="zh-CN"/>
        </w:rPr>
        <w:t>阳新县政府采购中心</w:t>
      </w:r>
      <w:bookmarkStart w:id="300" w:name="_GoBack"/>
      <w:bookmarkEnd w:id="300"/>
      <w:r>
        <w:rPr>
          <w:rFonts w:cs="Times New Roman"/>
          <w:szCs w:val="20"/>
          <w:lang w:val="zh-CN"/>
        </w:rPr>
        <w:t>提出质疑</w:t>
      </w:r>
      <w:r>
        <w:rPr>
          <w:rFonts w:hint="eastAsia" w:cs="Times New Roman"/>
          <w:szCs w:val="20"/>
          <w:lang w:val="zh-CN"/>
        </w:rPr>
        <w:t>。</w:t>
      </w:r>
      <w:r>
        <w:t>质疑时请提交书面质疑函一份（法人代表签字、加盖单位公章。具体要求详见本招标文件“第二章 投标人须知”中的第</w:t>
      </w:r>
      <w:r>
        <w:rPr>
          <w:rFonts w:hint="eastAsia"/>
        </w:rPr>
        <w:t>八</w:t>
      </w:r>
      <w:r>
        <w:t>条之规定），并附相关证据材料</w:t>
      </w:r>
      <w:r>
        <w:rPr>
          <w:rFonts w:hint="eastAsia"/>
        </w:rPr>
        <w:t>。</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联系方式：</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集中采购机构：阳新县政府采购中心</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lang w:eastAsia="zh-CN"/>
        </w:rPr>
        <w:t>赵文婷</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联系电话：0714-7319791</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地址：阳新大道熊家垴安置小区东侧</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采购人：</w:t>
      </w:r>
      <w:r>
        <w:rPr>
          <w:rFonts w:hint="eastAsia" w:ascii="宋体" w:hAnsi="宋体" w:eastAsia="宋体" w:cs="宋体"/>
          <w:bCs/>
          <w:kern w:val="0"/>
          <w:sz w:val="24"/>
          <w:szCs w:val="24"/>
          <w:lang w:eastAsia="zh-CN"/>
        </w:rPr>
        <w:t>阳新县房地产管理局</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lang w:eastAsia="zh-CN"/>
        </w:rPr>
        <w:t>叶卫</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w:t>
      </w:r>
      <w:r>
        <w:rPr>
          <w:rFonts w:hint="eastAsia" w:ascii="宋体" w:hAnsi="宋体" w:eastAsia="宋体" w:cs="宋体"/>
          <w:bCs/>
          <w:kern w:val="0"/>
          <w:sz w:val="24"/>
          <w:szCs w:val="24"/>
          <w:lang w:val="en-US" w:eastAsia="zh-CN"/>
        </w:rPr>
        <w:t>0714-7323229</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w:t>
      </w:r>
      <w:r>
        <w:rPr>
          <w:rFonts w:hint="eastAsia" w:ascii="宋体" w:hAnsi="宋体" w:eastAsia="宋体" w:cs="宋体"/>
          <w:bCs/>
          <w:kern w:val="0"/>
          <w:sz w:val="24"/>
          <w:szCs w:val="24"/>
          <w:lang w:eastAsia="zh-CN"/>
        </w:rPr>
        <w:t>阳新县兴国镇东坡路</w:t>
      </w:r>
      <w:r>
        <w:rPr>
          <w:rFonts w:hint="eastAsia" w:ascii="宋体" w:hAnsi="宋体" w:eastAsia="宋体" w:cs="宋体"/>
          <w:bCs/>
          <w:kern w:val="0"/>
          <w:sz w:val="24"/>
          <w:szCs w:val="24"/>
          <w:lang w:val="en-US" w:eastAsia="zh-CN"/>
        </w:rPr>
        <w:t>48号</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right"/>
        <w:rPr>
          <w:rFonts w:ascii="宋体" w:hAnsi="宋体" w:eastAsia="宋体" w:cs="宋体"/>
          <w:bCs/>
          <w:kern w:val="0"/>
          <w:sz w:val="24"/>
          <w:szCs w:val="24"/>
        </w:rPr>
      </w:pPr>
      <w:r>
        <w:rPr>
          <w:rFonts w:hint="eastAsia" w:ascii="宋体" w:hAnsi="宋体" w:eastAsia="宋体" w:cs="宋体"/>
          <w:bCs/>
          <w:kern w:val="0"/>
          <w:sz w:val="24"/>
          <w:szCs w:val="24"/>
        </w:rPr>
        <w:t>阳新县政府采购中心</w:t>
      </w:r>
    </w:p>
    <w:p>
      <w:pPr>
        <w:widowControl/>
        <w:spacing w:line="360" w:lineRule="auto"/>
        <w:ind w:firstLine="480"/>
        <w:jc w:val="right"/>
        <w:rPr>
          <w:rFonts w:ascii="宋体" w:hAnsi="宋体" w:eastAsia="宋体" w:cs="宋体"/>
          <w:kern w:val="0"/>
          <w:sz w:val="24"/>
          <w:szCs w:val="24"/>
        </w:rPr>
      </w:pPr>
      <w:r>
        <w:rPr>
          <w:rFonts w:hint="eastAsia" w:ascii="宋体" w:hAnsi="宋体" w:eastAsia="宋体" w:cs="宋体"/>
          <w:kern w:val="0"/>
          <w:sz w:val="24"/>
          <w:szCs w:val="24"/>
        </w:rPr>
        <w:t>2018年9月</w:t>
      </w: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rPr>
        <w:t>日</w:t>
      </w:r>
    </w:p>
    <w:p>
      <w:pPr>
        <w:widowControl/>
        <w:spacing w:line="360" w:lineRule="auto"/>
        <w:ind w:firstLine="480"/>
        <w:jc w:val="left"/>
      </w:pPr>
      <w:r>
        <w:rPr>
          <w:rFonts w:hint="eastAsia" w:ascii="宋体" w:hAnsi="宋体" w:eastAsia="宋体" w:cs="Times New Roman"/>
          <w:b/>
          <w:sz w:val="28"/>
          <w:szCs w:val="28"/>
          <w:lang w:val="zh-CN"/>
        </w:rPr>
        <w:br w:type="page"/>
      </w:r>
    </w:p>
    <w:p>
      <w:pPr>
        <w:pStyle w:val="2"/>
        <w:numPr>
          <w:ilvl w:val="0"/>
          <w:numId w:val="1"/>
        </w:numPr>
        <w:spacing w:before="240" w:after="120"/>
        <w:ind w:left="885" w:hanging="880" w:hangingChars="200"/>
        <w:jc w:val="center"/>
        <w:rPr>
          <w:rFonts w:ascii="黑体" w:hAnsi="黑体" w:eastAsia="黑体"/>
        </w:rPr>
      </w:pPr>
      <w:bookmarkStart w:id="1" w:name="_Toc18296"/>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13242"/>
      <w:r>
        <w:rPr>
          <w:rFonts w:cs="Times New Roman" w:asciiTheme="majorEastAsia" w:hAnsiTheme="majorEastAsia" w:eastAsiaTheme="majorEastAsia"/>
          <w:b/>
          <w:bCs/>
          <w:sz w:val="32"/>
          <w:szCs w:val="32"/>
          <w:lang w:val="zh-CN"/>
        </w:rPr>
        <w:t>投标须知前附表</w:t>
      </w:r>
      <w:bookmarkEnd w:id="2"/>
      <w:bookmarkEnd w:id="3"/>
    </w:p>
    <w:tbl>
      <w:tblPr>
        <w:tblStyle w:val="22"/>
        <w:tblW w:w="935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s="Times New Roman"/>
                <w:color w:val="FF0000"/>
                <w:sz w:val="24"/>
                <w:szCs w:val="24"/>
              </w:rPr>
            </w:pPr>
            <w:r>
              <w:rPr>
                <w:rFonts w:hint="eastAsia" w:ascii="宋体" w:hAnsi="宋体" w:cs="仿宋_GB2312"/>
                <w:szCs w:val="28"/>
              </w:rPr>
              <w:t>131－Zcg.2018－</w:t>
            </w:r>
            <w:r>
              <w:rPr>
                <w:rFonts w:hint="eastAsia" w:ascii="宋体" w:hAnsi="宋体" w:cs="仿宋_GB2312"/>
                <w:szCs w:val="28"/>
                <w:lang w:val="en-US" w:eastAsia="zh-CN"/>
              </w:rPr>
              <w:t>198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lang w:eastAsia="zh-CN"/>
              </w:rPr>
              <w:t>阳新县</w:t>
            </w:r>
            <w:r>
              <w:rPr>
                <w:rFonts w:hint="eastAsia" w:ascii="宋体" w:hAnsi="宋体" w:eastAsia="宋体" w:cs="Times New Roman"/>
                <w:color w:val="0C0C0C" w:themeColor="text1" w:themeTint="F2"/>
                <w:sz w:val="24"/>
                <w:szCs w:val="24"/>
              </w:rPr>
              <w:t>个人住房信息系统</w:t>
            </w:r>
            <w:r>
              <w:rPr>
                <w:rFonts w:hint="eastAsia" w:ascii="宋体" w:hAnsi="宋体" w:eastAsia="宋体" w:cs="Times New Roman"/>
                <w:sz w:val="24"/>
                <w:szCs w:val="24"/>
                <w:lang w:eastAsia="zh-CN"/>
              </w:rPr>
              <w:t>（二期）</w:t>
            </w:r>
            <w:r>
              <w:rPr>
                <w:rFonts w:hint="eastAsia" w:ascii="宋体" w:hAnsi="宋体" w:eastAsia="宋体" w:cs="Times New Roman"/>
                <w:color w:val="0C0C0C" w:themeColor="text1" w:themeTint="F2"/>
                <w:sz w:val="24"/>
                <w:szCs w:val="24"/>
              </w:rPr>
              <w:t>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0D0D0D"/>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color w:val="FF0000"/>
                <w:kern w:val="0"/>
                <w:sz w:val="24"/>
                <w:szCs w:val="24"/>
              </w:rPr>
              <w:t>阳新县房</w:t>
            </w:r>
            <w:r>
              <w:rPr>
                <w:rFonts w:hint="eastAsia" w:ascii="宋体" w:hAnsi="宋体" w:eastAsia="宋体" w:cs="宋体"/>
                <w:bCs/>
                <w:color w:val="FF0000"/>
                <w:kern w:val="0"/>
                <w:sz w:val="24"/>
                <w:szCs w:val="24"/>
                <w:lang w:eastAsia="zh-CN"/>
              </w:rPr>
              <w:t>地产管理局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FF0000"/>
                <w:sz w:val="24"/>
                <w:szCs w:val="24"/>
              </w:rPr>
              <w:t>壹</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FF0000"/>
                <w:sz w:val="24"/>
                <w:szCs w:val="24"/>
              </w:rPr>
              <w:t>肆</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5"/>
        </w:numPr>
        <w:spacing w:before="100" w:beforeAutospacing="1" w:after="100" w:afterAutospacing="1" w:line="360" w:lineRule="auto"/>
        <w:ind w:left="483"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bookmarkStart w:id="5" w:name="_Toc31043"/>
      <w:bookmarkEnd w:id="5"/>
      <w:bookmarkStart w:id="6" w:name="_Toc14562"/>
      <w:bookmarkEnd w:id="6"/>
      <w:bookmarkStart w:id="7" w:name="_Toc18790"/>
      <w:bookmarkEnd w:id="7"/>
      <w:bookmarkStart w:id="8" w:name="_Toc4639"/>
      <w:bookmarkEnd w:id="8"/>
      <w:bookmarkStart w:id="9" w:name="_Toc25924"/>
      <w:bookmarkEnd w:id="9"/>
      <w:bookmarkStart w:id="10" w:name="_Toc3628"/>
      <w:bookmarkEnd w:id="10"/>
      <w:bookmarkStart w:id="11" w:name="_Toc16751"/>
      <w:bookmarkEnd w:id="11"/>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2" w:name="_Toc10261"/>
      <w:r>
        <w:rPr>
          <w:rFonts w:hint="eastAsia" w:cs="Times New Roman" w:asciiTheme="majorEastAsia" w:hAnsiTheme="majorEastAsia"/>
          <w:bCs w:val="0"/>
          <w:lang w:val="zh-CN"/>
        </w:rPr>
        <w:t>说  明</w:t>
      </w:r>
      <w:bookmarkEnd w:id="4"/>
      <w:bookmarkEnd w:id="12"/>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“集中采购机构”是指：</w:t>
      </w:r>
      <w:r>
        <w:rPr>
          <w:rFonts w:hint="eastAsia" w:cs="Times New Roman" w:asciiTheme="minorEastAsia" w:hAnsiTheme="minorEastAsia"/>
          <w:sz w:val="24"/>
          <w:szCs w:val="24"/>
          <w:lang w:val="zh-CN"/>
        </w:rPr>
        <w:t>阳新县政府采购中心。</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8"/>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投标人应承担所有与准备和参加投标有关的费用。不论投标的结果如何，集中采购机构和采购人均无义务和责任承担这些费用。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 xml:space="preserve">集中采购机构不向中标人收取中标服务费。 </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3" w:name="_Toc2347"/>
      <w:bookmarkStart w:id="14" w:name="_Toc272247695"/>
      <w:bookmarkStart w:id="15" w:name="_Toc494561939"/>
      <w:bookmarkStart w:id="16" w:name="_Toc278891592"/>
      <w:r>
        <w:rPr>
          <w:rFonts w:hint="eastAsia" w:cs="Times New Roman" w:asciiTheme="majorEastAsia" w:hAnsiTheme="majorEastAsia"/>
          <w:bCs w:val="0"/>
          <w:lang w:val="zh-CN"/>
        </w:rPr>
        <w:t>招标文件</w:t>
      </w:r>
      <w:bookmarkEnd w:id="13"/>
      <w:bookmarkEnd w:id="14"/>
      <w:bookmarkEnd w:id="15"/>
      <w:bookmarkEnd w:id="16"/>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潜在投标人对招标文件有疑问的，可以向集中采购机构提出询问，或在6.2规定的时间前以书面的形式向集中采购机构提交疑问函。</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3"/>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集中采购机构和采购人可以对已发出的招标文件进行必要的澄清或者修改，</w:t>
      </w:r>
      <w:r>
        <w:rPr>
          <w:rFonts w:hint="eastAsia" w:ascii="Helvetica" w:hAnsi="Helvetica" w:eastAsia="宋体" w:cs="Helvetica"/>
          <w:kern w:val="0"/>
          <w:sz w:val="24"/>
          <w:szCs w:val="24"/>
          <w:lang w:val="zh-CN"/>
        </w:rPr>
        <w:t>但不得改变采购标的和资格条件</w:t>
      </w:r>
      <w:r>
        <w:rPr>
          <w:rFonts w:hint="eastAsia" w:ascii="宋体" w:hAnsi="宋体" w:eastAsia="宋体" w:cs="Times New Roman"/>
          <w:sz w:val="24"/>
          <w:szCs w:val="20"/>
          <w:lang w:val="zh-CN"/>
        </w:rPr>
        <w:t>。</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日前，以书面形式通知所有获取招标文件的潜在投标人。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澄清或者修改的内容为招标文件的组成部分，并对潜在投标人具有约束力。潜在投标人在收到上述通知后，应立即以书面（或邮件）形式向集中采购机构确认收悉。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7" w:name="_Toc6603"/>
      <w:bookmarkStart w:id="18" w:name="_Toc494561940"/>
      <w:bookmarkStart w:id="19" w:name="_Toc272247696"/>
      <w:bookmarkStart w:id="20" w:name="_Toc278891593"/>
      <w:r>
        <w:rPr>
          <w:rFonts w:hint="eastAsia" w:cs="Times New Roman" w:asciiTheme="majorEastAsia" w:hAnsiTheme="majorEastAsia"/>
          <w:bCs w:val="0"/>
          <w:lang w:val="zh-CN"/>
        </w:rPr>
        <w:t>投标文件</w:t>
      </w:r>
      <w:bookmarkEnd w:id="17"/>
      <w:bookmarkEnd w:id="18"/>
      <w:bookmarkEnd w:id="19"/>
      <w:bookmarkEnd w:id="20"/>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5"/>
        </w:numPr>
        <w:spacing w:line="360" w:lineRule="auto"/>
        <w:ind w:left="616" w:hanging="616"/>
        <w:rPr>
          <w:rFonts w:cs="Times New Roman" w:asciiTheme="minorEastAsia" w:hAnsiTheme="minorEastAsia"/>
          <w:b/>
          <w:color w:val="FF0000"/>
          <w:sz w:val="24"/>
          <w:szCs w:val="24"/>
          <w:lang w:val="zh-CN"/>
        </w:rPr>
      </w:pPr>
      <w:r>
        <w:rPr>
          <w:rFonts w:hint="eastAsia" w:cs="Times New Roman" w:asciiTheme="minorEastAsia" w:hAnsiTheme="minorEastAsia"/>
          <w:b/>
          <w:color w:val="FF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FF0000"/>
          <w:sz w:val="24"/>
          <w:szCs w:val="20"/>
          <w:lang w:val="zh-CN"/>
        </w:rPr>
        <w:t>各部分文件及内容详见第七章“投标文件格式”要求。</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color w:val="FF0000"/>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r>
        <w:rPr>
          <w:rFonts w:hint="eastAsia" w:cs="Times New Roman" w:asciiTheme="minorEastAsia" w:hAnsiTheme="minorEastAsia"/>
          <w:b/>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的格式进行报价。投标总价应为优惠后的最终报价。投标总价中不得包含招标文件要求以外的内容，否则，在评标时不予核减。</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7"/>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bCs/>
          <w:sz w:val="24"/>
          <w:szCs w:val="24"/>
          <w:lang w:val="zh-CN"/>
        </w:rPr>
        <w:t>（</w:t>
      </w:r>
      <w:r>
        <w:rPr>
          <w:rFonts w:hint="eastAsia" w:cs="Times New Roman" w:asciiTheme="minorEastAsia" w:hAnsiTheme="minorEastAsia"/>
          <w:sz w:val="24"/>
          <w:szCs w:val="24"/>
          <w:lang w:val="zh-CN"/>
        </w:rPr>
        <w:t>本项目不收取投标保证金，详见本章“投标须知前附表”中的说明）。</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b/>
          <w:color w:val="FF0000"/>
          <w:sz w:val="24"/>
          <w:szCs w:val="20"/>
          <w:lang w:val="zh-CN"/>
        </w:rPr>
        <w:t>投标人应将投标文件第一部分资格证明文件、第二部分商务文件、第三部分技术、服务文件一起合并装订成一本投标文件进行封装。</w:t>
      </w:r>
    </w:p>
    <w:p>
      <w:pPr>
        <w:numPr>
          <w:ilvl w:val="0"/>
          <w:numId w:val="2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投标人应将投标文件</w:t>
      </w:r>
      <w:r>
        <w:rPr>
          <w:rFonts w:hint="eastAsia" w:ascii="宋体" w:hAnsi="宋体" w:eastAsia="宋体" w:cs="Times New Roman"/>
          <w:b/>
          <w:color w:val="FF0000"/>
          <w:sz w:val="24"/>
          <w:szCs w:val="20"/>
          <w:lang w:val="zh-CN"/>
        </w:rPr>
        <w:t>正本壹本和副本肆本</w:t>
      </w:r>
      <w:r>
        <w:rPr>
          <w:rFonts w:hint="eastAsia" w:ascii="宋体" w:hAnsi="宋体" w:eastAsia="宋体" w:cs="Times New Roman"/>
          <w:sz w:val="24"/>
          <w:szCs w:val="20"/>
          <w:lang w:val="zh-CN"/>
        </w:rPr>
        <w:t>分开密封装在单独的封包中，并在封包上标明“正本”、“副本”字样。</w:t>
      </w:r>
    </w:p>
    <w:p>
      <w:pPr>
        <w:numPr>
          <w:ilvl w:val="0"/>
          <w:numId w:val="2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如果未按要求加写密封、标记或存在错误，集中采购机构对其误投或提前启封概不负责。</w:t>
      </w:r>
    </w:p>
    <w:p>
      <w:pPr>
        <w:numPr>
          <w:ilvl w:val="0"/>
          <w:numId w:val="21"/>
        </w:numPr>
        <w:spacing w:line="360" w:lineRule="auto"/>
        <w:ind w:left="616" w:hanging="616"/>
        <w:rPr>
          <w:rFonts w:ascii="宋体" w:hAnsi="宋体" w:eastAsia="宋体" w:cs="Times New Roman"/>
          <w:b/>
          <w:color w:val="FF0000"/>
          <w:sz w:val="24"/>
          <w:szCs w:val="20"/>
          <w:lang w:val="zh-CN"/>
        </w:rPr>
      </w:pPr>
      <w:r>
        <w:rPr>
          <w:rFonts w:hint="eastAsia" w:ascii="宋体" w:hAnsi="宋体" w:eastAsia="宋体" w:cs="Times New Roman"/>
          <w:color w:val="FF0000"/>
          <w:sz w:val="24"/>
          <w:szCs w:val="20"/>
          <w:lang w:val="zh-CN"/>
        </w:rPr>
        <w:t>为方便开标时唱标，投标人应将《开标一览表》原件一份</w:t>
      </w:r>
      <w:r>
        <w:rPr>
          <w:rFonts w:hint="eastAsia" w:ascii="宋体" w:hAnsi="宋体" w:eastAsia="宋体" w:cs="Times New Roman"/>
          <w:color w:val="FF0000"/>
          <w:spacing w:val="-6"/>
          <w:kern w:val="0"/>
          <w:sz w:val="24"/>
          <w:szCs w:val="20"/>
          <w:lang w:val="zh-CN"/>
        </w:rPr>
        <w:t>装入一个信封，单独密封提交</w:t>
      </w:r>
      <w:r>
        <w:rPr>
          <w:rFonts w:hint="eastAsia" w:ascii="宋体" w:hAnsi="宋体" w:eastAsia="宋体" w:cs="Times New Roman"/>
          <w:color w:val="FF0000"/>
          <w:sz w:val="24"/>
          <w:szCs w:val="20"/>
          <w:lang w:val="zh-CN"/>
        </w:rPr>
        <w:t>，并在信封上标明“开标一览表”字样。未单独提交或单独提交的上述资料未按照招标文件规定的格式填写完整并签字、盖章的集中采购机构</w:t>
      </w:r>
      <w:r>
        <w:rPr>
          <w:rFonts w:hint="eastAsia" w:ascii="宋体" w:hAnsi="宋体" w:eastAsia="宋体" w:cs="Times New Roman"/>
          <w:b/>
          <w:color w:val="FF0000"/>
          <w:sz w:val="24"/>
          <w:szCs w:val="20"/>
          <w:lang w:val="zh-CN"/>
        </w:rPr>
        <w:t>拒绝</w:t>
      </w:r>
      <w:r>
        <w:rPr>
          <w:rFonts w:hint="eastAsia" w:ascii="宋体" w:hAnsi="宋体" w:eastAsia="宋体" w:cs="Times New Roman"/>
          <w:color w:val="FF0000"/>
          <w:sz w:val="24"/>
          <w:szCs w:val="20"/>
          <w:lang w:val="zh-CN"/>
        </w:rPr>
        <w:t>其投标。</w:t>
      </w:r>
    </w:p>
    <w:p>
      <w:pPr>
        <w:numPr>
          <w:ilvl w:val="0"/>
          <w:numId w:val="21"/>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color w:val="FF0000"/>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投标人应在不迟于投标邀请书中规定的投标截止日期和时间将投标文件密封递交至集中采购机构规定的投标地点。</w:t>
      </w:r>
    </w:p>
    <w:p>
      <w:pPr>
        <w:numPr>
          <w:ilvl w:val="0"/>
          <w:numId w:val="22"/>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集中采购机构拒收逾期送达或者未按招标文件要求密封的投标文件。</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w:t>
      </w:r>
      <w:r>
        <w:rPr>
          <w:rFonts w:ascii="Helvetica" w:hAnsi="Helvetica" w:eastAsia="宋体" w:cs="Helvetica"/>
          <w:kern w:val="0"/>
          <w:sz w:val="24"/>
          <w:szCs w:val="24"/>
          <w:lang w:val="zh-CN"/>
        </w:rPr>
        <w:t>采购机构收到投标文件后，应当如实记载投标文件的送达时间和密封情况，签收保存。</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3"/>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1" w:name="_Toc272247698"/>
      <w:bookmarkStart w:id="22" w:name="_Toc278891595"/>
      <w:bookmarkStart w:id="23" w:name="_Toc19572"/>
      <w:bookmarkStart w:id="24" w:name="_Toc494561942"/>
      <w:r>
        <w:rPr>
          <w:rFonts w:hint="eastAsia" w:cs="Times New Roman" w:asciiTheme="majorEastAsia" w:hAnsiTheme="majorEastAsia"/>
          <w:bCs w:val="0"/>
          <w:lang w:val="zh-CN"/>
        </w:rPr>
        <w:t>开标与评标</w:t>
      </w:r>
      <w:bookmarkEnd w:id="21"/>
      <w:bookmarkEnd w:id="22"/>
      <w:bookmarkEnd w:id="23"/>
      <w:bookmarkEnd w:id="24"/>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开标时，由投标人或其推选的代表检查投标文件的密封情况，经确认无误后由集中采购机构工作人员当众拆封，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sz w:val="24"/>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相关工作人员有需要回避的情形的，应当场提出询问或者回避申请。采购人、</w:t>
      </w:r>
      <w:r>
        <w:rPr>
          <w:rFonts w:hint="eastAsia" w:ascii="宋体" w:hAnsi="宋体" w:eastAsia="宋体" w:cs="Times New Roman"/>
          <w:sz w:val="24"/>
          <w:szCs w:val="20"/>
          <w:lang w:val="zh-CN"/>
        </w:rPr>
        <w:t>集中采购机构将</w:t>
      </w:r>
      <w:r>
        <w:rPr>
          <w:rFonts w:ascii="宋体" w:hAnsi="宋体" w:eastAsia="宋体" w:cs="Times New Roman"/>
          <w:sz w:val="24"/>
          <w:szCs w:val="20"/>
          <w:lang w:val="zh-CN"/>
        </w:rPr>
        <w:t>及时处理投标人代表提出的询问或者回避申请。</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5"/>
        </w:numPr>
        <w:spacing w:line="360" w:lineRule="auto"/>
        <w:ind w:left="616" w:hanging="616"/>
        <w:rPr>
          <w:rFonts w:ascii="Helvetica" w:hAnsi="Helvetica" w:eastAsia="宋体" w:cs="Helvetica"/>
          <w:color w:val="FF0000"/>
          <w:kern w:val="0"/>
          <w:sz w:val="24"/>
          <w:szCs w:val="24"/>
          <w:lang w:val="zh-CN"/>
        </w:rPr>
      </w:pPr>
      <w:r>
        <w:rPr>
          <w:rFonts w:hint="eastAsia" w:ascii="宋体" w:hAnsi="宋体" w:eastAsia="宋体" w:cs="Times New Roman"/>
          <w:bCs/>
          <w:color w:val="FF0000"/>
          <w:sz w:val="24"/>
          <w:szCs w:val="20"/>
          <w:lang w:val="zh-CN"/>
        </w:rPr>
        <w:t>公开招标采购项目开标结束后，采购人依据法律、法规及招标文件的规定，对投标人的资格进行审查，以确定投标人资格是否合格。</w:t>
      </w:r>
      <w:r>
        <w:rPr>
          <w:rFonts w:ascii="Helvetica" w:hAnsi="Helvetica" w:eastAsia="宋体" w:cs="Helvetica"/>
          <w:color w:val="FF0000"/>
          <w:kern w:val="0"/>
          <w:sz w:val="24"/>
          <w:szCs w:val="24"/>
          <w:lang w:val="zh-CN"/>
        </w:rPr>
        <w:t>合格投标人不足</w:t>
      </w:r>
      <w:r>
        <w:rPr>
          <w:rFonts w:ascii="宋体" w:hAnsi="宋体" w:eastAsia="宋体" w:cs="Helvetica"/>
          <w:color w:val="FF0000"/>
          <w:kern w:val="0"/>
          <w:sz w:val="24"/>
          <w:szCs w:val="24"/>
          <w:lang w:val="zh-CN"/>
        </w:rPr>
        <w:t>3</w:t>
      </w:r>
      <w:r>
        <w:rPr>
          <w:rFonts w:ascii="Helvetica" w:hAnsi="Helvetica" w:eastAsia="宋体" w:cs="Helvetica"/>
          <w:color w:val="FF0000"/>
          <w:kern w:val="0"/>
          <w:sz w:val="24"/>
          <w:szCs w:val="24"/>
          <w:lang w:val="zh-CN"/>
        </w:rPr>
        <w:t>家的，不</w:t>
      </w:r>
      <w:r>
        <w:rPr>
          <w:rFonts w:hint="eastAsia" w:ascii="Helvetica" w:hAnsi="Helvetica" w:eastAsia="宋体" w:cs="Helvetica"/>
          <w:color w:val="FF0000"/>
          <w:kern w:val="0"/>
          <w:sz w:val="24"/>
          <w:szCs w:val="24"/>
          <w:lang w:val="zh-CN"/>
        </w:rPr>
        <w:t>进行</w:t>
      </w:r>
      <w:r>
        <w:rPr>
          <w:rFonts w:ascii="Helvetica" w:hAnsi="Helvetica" w:eastAsia="宋体" w:cs="Helvetica"/>
          <w:color w:val="FF0000"/>
          <w:kern w:val="0"/>
          <w:sz w:val="24"/>
          <w:szCs w:val="24"/>
          <w:lang w:val="zh-CN"/>
        </w:rPr>
        <w:t>评标</w:t>
      </w:r>
      <w:r>
        <w:rPr>
          <w:rFonts w:hint="eastAsia" w:ascii="Helvetica" w:hAnsi="Helvetica" w:eastAsia="宋体" w:cs="Helvetica"/>
          <w:color w:val="FF0000"/>
          <w:kern w:val="0"/>
          <w:sz w:val="24"/>
          <w:szCs w:val="24"/>
          <w:lang w:val="zh-CN"/>
        </w:rPr>
        <w:t>。</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7"/>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评标委员会成员依法从政府采购专家库中随机抽取。</w:t>
      </w:r>
      <w:r>
        <w:rPr>
          <w:rFonts w:ascii="宋体" w:hAnsi="宋体" w:eastAsia="宋体" w:cs="Times New Roman"/>
          <w:sz w:val="24"/>
          <w:szCs w:val="20"/>
          <w:lang w:val="zh-CN"/>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8"/>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9"/>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28"/>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5" w:name="_Toc17997"/>
      <w:bookmarkStart w:id="26" w:name="_Toc494561943"/>
      <w:r>
        <w:rPr>
          <w:rFonts w:hint="eastAsia" w:cs="Times New Roman" w:asciiTheme="majorEastAsia" w:hAnsiTheme="majorEastAsia"/>
          <w:bCs w:val="0"/>
          <w:lang w:val="zh-CN"/>
        </w:rPr>
        <w:t>投标人信用信息及查询</w:t>
      </w:r>
      <w:bookmarkEnd w:id="25"/>
      <w:bookmarkEnd w:id="26"/>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列入失信被执行人、重大税收违法案件当事人名单、政府采购严重违法失信行为记录名单的供应商，集中采购机构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7" w:name="_Toc494561944"/>
      <w:bookmarkStart w:id="28" w:name="_Toc9460"/>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7"/>
      <w:bookmarkEnd w:id="28"/>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 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1"/>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1"/>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3"/>
        </w:numPr>
        <w:spacing w:line="360" w:lineRule="auto"/>
        <w:ind w:left="616" w:hanging="616"/>
        <w:rPr>
          <w:rFonts w:ascii="宋体" w:hAnsi="宋体" w:eastAsia="宋体" w:cs="Times New Roman"/>
          <w:sz w:val="24"/>
          <w:szCs w:val="20"/>
          <w:lang w:val="zh-CN"/>
        </w:rPr>
      </w:pPr>
      <w:bookmarkStart w:id="29" w:name="_Toc278891597"/>
      <w:bookmarkStart w:id="30"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31" w:name="_Toc24409"/>
      <w:bookmarkStart w:id="32" w:name="_Toc494561945"/>
      <w:r>
        <w:rPr>
          <w:rFonts w:hint="eastAsia" w:cs="Times New Roman" w:asciiTheme="majorEastAsia" w:hAnsiTheme="majorEastAsia"/>
          <w:bCs w:val="0"/>
          <w:lang w:val="zh-CN"/>
        </w:rPr>
        <w:t>采购信息公告</w:t>
      </w:r>
      <w:bookmarkEnd w:id="31"/>
      <w:bookmarkEnd w:id="32"/>
    </w:p>
    <w:p>
      <w:pPr>
        <w:numPr>
          <w:ilvl w:val="0"/>
          <w:numId w:val="7"/>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4"/>
        </w:numPr>
        <w:tabs>
          <w:tab w:val="left" w:pos="616"/>
        </w:tabs>
        <w:spacing w:line="360" w:lineRule="auto"/>
        <w:ind w:left="616" w:hanging="616"/>
        <w:rPr>
          <w:rFonts w:cs="Helvetica" w:asciiTheme="minorEastAsia" w:hAnsiTheme="minorEastAsia"/>
          <w:color w:val="FF0000"/>
          <w:kern w:val="0"/>
          <w:sz w:val="24"/>
          <w:szCs w:val="24"/>
          <w:lang w:val="zh-CN"/>
        </w:rPr>
      </w:pPr>
      <w:r>
        <w:rPr>
          <w:rFonts w:hint="eastAsia" w:cs="Helvetica" w:asciiTheme="minorEastAsia" w:hAnsiTheme="minorEastAsia"/>
          <w:color w:val="FF0000"/>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集中采购机构在自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，中标公告的公示期为1个工作日。</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33" w:name="_Toc15435"/>
      <w:bookmarkStart w:id="34" w:name="_Toc494561946"/>
      <w:r>
        <w:rPr>
          <w:rFonts w:hint="eastAsia" w:cs="Times New Roman" w:asciiTheme="majorEastAsia" w:hAnsiTheme="majorEastAsia"/>
          <w:bCs w:val="0"/>
          <w:lang w:val="zh-CN"/>
        </w:rPr>
        <w:t>质疑</w:t>
      </w:r>
      <w:bookmarkEnd w:id="29"/>
      <w:bookmarkEnd w:id="30"/>
      <w:r>
        <w:rPr>
          <w:rFonts w:hint="eastAsia" w:cs="Times New Roman" w:asciiTheme="majorEastAsia" w:hAnsiTheme="majorEastAsia"/>
          <w:bCs w:val="0"/>
          <w:lang w:val="zh-CN"/>
        </w:rPr>
        <w:t>及提交</w:t>
      </w:r>
      <w:bookmarkEnd w:id="33"/>
      <w:bookmarkEnd w:id="34"/>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阳新县政府采购中心</w:t>
      </w:r>
      <w:r>
        <w:rPr>
          <w:rFonts w:ascii="宋体" w:hAnsi="宋体" w:eastAsia="宋体" w:cs="Times New Roman"/>
          <w:sz w:val="24"/>
          <w:szCs w:val="20"/>
          <w:lang w:val="zh-CN"/>
        </w:rPr>
        <w:t>提出质疑</w:t>
      </w:r>
      <w:r>
        <w:rPr>
          <w:rFonts w:hint="eastAsia" w:ascii="宋体" w:hAnsi="宋体" w:eastAsia="宋体" w:cs="Times New Roman"/>
          <w:sz w:val="24"/>
          <w:szCs w:val="20"/>
          <w:lang w:val="zh-CN"/>
        </w:rPr>
        <w:t>，质疑提出时间以收到之日为准。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pStyle w:val="8"/>
        <w:adjustRightInd w:val="0"/>
        <w:snapToGrid w:val="0"/>
        <w:spacing w:line="360" w:lineRule="auto"/>
        <w:ind w:left="420"/>
        <w:rPr>
          <w:rFonts w:hAnsi="宋体"/>
          <w:b/>
          <w:sz w:val="24"/>
          <w:szCs w:val="24"/>
        </w:rPr>
      </w:pPr>
      <w:r>
        <w:rPr>
          <w:rFonts w:hint="eastAsia" w:hAnsi="宋体"/>
          <w:b/>
          <w:sz w:val="24"/>
          <w:szCs w:val="24"/>
        </w:rPr>
        <w:t>质疑书不符合上述要求的，采购人或代理机构应书面告知具体事项，质疑人应当按要求进行修改或补充，并在质疑有效期限内提交。</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投标人未按本章“质疑及提交”规定的时限、内容及方式进行质疑的，集中采购机构不予受理。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35" w:name="_Toc4993"/>
      <w:bookmarkStart w:id="36" w:name="_Toc494561947"/>
      <w:r>
        <w:rPr>
          <w:rFonts w:hint="eastAsia" w:cs="Times New Roman" w:asciiTheme="majorEastAsia" w:hAnsiTheme="majorEastAsia"/>
          <w:bCs w:val="0"/>
          <w:lang w:val="zh-CN"/>
        </w:rPr>
        <w:t>相关条文解读</w:t>
      </w:r>
      <w:bookmarkEnd w:id="35"/>
      <w:bookmarkEnd w:id="36"/>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37" w:name="_Toc494561948"/>
      <w:bookmarkStart w:id="38" w:name="_Toc19566"/>
      <w:r>
        <w:rPr>
          <w:rFonts w:hint="eastAsia" w:cs="Times New Roman" w:asciiTheme="majorEastAsia" w:hAnsiTheme="majorEastAsia"/>
          <w:bCs w:val="0"/>
          <w:lang w:val="zh-CN"/>
        </w:rPr>
        <w:t>其他注意事项</w:t>
      </w:r>
      <w:bookmarkEnd w:id="37"/>
      <w:bookmarkEnd w:id="38"/>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9" w:name="_Toc278891598"/>
      <w:bookmarkStart w:id="40" w:name="_Toc3045"/>
      <w:bookmarkStart w:id="41" w:name="_Toc494561949"/>
      <w:bookmarkStart w:id="42" w:name="_Toc272247701"/>
      <w:r>
        <w:rPr>
          <w:rFonts w:hint="eastAsia" w:cs="Times New Roman" w:asciiTheme="majorEastAsia" w:hAnsiTheme="majorEastAsia"/>
          <w:bCs w:val="0"/>
          <w:lang w:val="zh-CN"/>
        </w:rPr>
        <w:t>适用法律</w:t>
      </w:r>
      <w:bookmarkEnd w:id="39"/>
      <w:bookmarkEnd w:id="40"/>
      <w:bookmarkEnd w:id="41"/>
      <w:bookmarkEnd w:id="42"/>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采购人、集中采购机构及投标人的一切招标投标活动均适用《政府采购法》、《政府采购法实施条例》、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7"/>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43" w:name="_Toc494561950"/>
      <w:bookmarkStart w:id="44" w:name="_Toc278891599"/>
      <w:bookmarkStart w:id="45" w:name="_Toc272247702"/>
      <w:bookmarkStart w:id="46" w:name="_Toc23799"/>
      <w:r>
        <w:rPr>
          <w:rFonts w:hint="eastAsia" w:cs="Times New Roman" w:asciiTheme="majorEastAsia" w:hAnsiTheme="majorEastAsia"/>
          <w:bCs w:val="0"/>
          <w:lang w:val="zh-CN"/>
        </w:rPr>
        <w:t>招标文件的解释权</w:t>
      </w:r>
      <w:bookmarkEnd w:id="43"/>
      <w:bookmarkEnd w:id="44"/>
      <w:bookmarkEnd w:id="45"/>
      <w:bookmarkEnd w:id="46"/>
    </w:p>
    <w:p>
      <w:pPr>
        <w:numPr>
          <w:ilvl w:val="0"/>
          <w:numId w:val="7"/>
        </w:numPr>
        <w:spacing w:line="360" w:lineRule="auto"/>
        <w:ind w:left="560" w:hanging="560"/>
        <w:sectPr>
          <w:footerReference r:id="rId7" w:type="default"/>
          <w:pgSz w:w="11906" w:h="16838"/>
          <w:pgMar w:top="1134" w:right="1191" w:bottom="1134" w:left="1191" w:header="851" w:footer="850" w:gutter="0"/>
          <w:pgNumType w:start="1"/>
          <w:cols w:space="0" w:num="1"/>
          <w:docGrid w:type="linesAndChars" w:linePitch="317" w:charSpace="204"/>
        </w:sectPr>
      </w:pPr>
      <w:r>
        <w:rPr>
          <w:rFonts w:hint="eastAsia" w:ascii="宋体" w:hAnsi="宋体" w:eastAsia="宋体" w:cs="Times New Roman"/>
          <w:sz w:val="24"/>
          <w:szCs w:val="20"/>
          <w:lang w:val="zh-CN"/>
        </w:rPr>
        <w:t>招标文件的最终解释权为采购人、集中采购机构所有。</w:t>
      </w:r>
    </w:p>
    <w:p>
      <w:pPr>
        <w:pStyle w:val="2"/>
        <w:numPr>
          <w:ilvl w:val="0"/>
          <w:numId w:val="1"/>
        </w:numPr>
        <w:jc w:val="center"/>
        <w:rPr>
          <w:rFonts w:ascii="黑体" w:hAnsi="黑体" w:eastAsia="黑体"/>
        </w:rPr>
      </w:pPr>
      <w:bookmarkStart w:id="47" w:name="_Toc4301"/>
      <w:r>
        <w:rPr>
          <w:rFonts w:hint="eastAsia" w:ascii="黑体" w:hAnsi="黑体" w:eastAsia="黑体"/>
        </w:rPr>
        <w:t>项目技术、服务及商务要求</w:t>
      </w:r>
      <w:bookmarkEnd w:id="47"/>
    </w:p>
    <w:p>
      <w:pPr>
        <w:pStyle w:val="3"/>
        <w:numPr>
          <w:ilvl w:val="0"/>
          <w:numId w:val="37"/>
        </w:numPr>
        <w:spacing w:before="0" w:after="0" w:line="360" w:lineRule="auto"/>
        <w:ind w:left="616" w:hanging="616"/>
        <w:jc w:val="left"/>
        <w:rPr>
          <w:rFonts w:ascii="宋体" w:hAnsi="宋体"/>
          <w:bCs w:val="0"/>
          <w:sz w:val="30"/>
          <w:szCs w:val="30"/>
          <w:lang w:val="zh-CN"/>
        </w:rPr>
      </w:pPr>
      <w:bookmarkStart w:id="48" w:name="_Toc494561952"/>
      <w:bookmarkStart w:id="49" w:name="_Toc498681381"/>
      <w:bookmarkStart w:id="50" w:name="_Toc16343"/>
      <w:bookmarkStart w:id="51" w:name="_Toc339378679"/>
      <w:bookmarkStart w:id="52" w:name="_Toc338065593"/>
      <w:r>
        <w:rPr>
          <w:rFonts w:hint="eastAsia" w:ascii="宋体" w:hAnsi="宋体"/>
          <w:bCs w:val="0"/>
          <w:sz w:val="30"/>
          <w:szCs w:val="30"/>
          <w:lang w:val="zh-CN"/>
        </w:rPr>
        <w:t>采购清单</w:t>
      </w:r>
      <w:bookmarkEnd w:id="48"/>
      <w:bookmarkEnd w:id="49"/>
      <w:bookmarkEnd w:id="50"/>
    </w:p>
    <w:bookmarkEnd w:id="51"/>
    <w:bookmarkEnd w:id="52"/>
    <w:p>
      <w:pPr>
        <w:spacing w:line="360" w:lineRule="auto"/>
        <w:ind w:left="718" w:hanging="714" w:hangingChars="297"/>
        <w:rPr>
          <w:rFonts w:ascii="宋体" w:hAnsi="宋体" w:cs="宋体"/>
          <w:b/>
          <w:color w:val="000000"/>
          <w:sz w:val="24"/>
          <w:szCs w:val="24"/>
        </w:rPr>
      </w:pPr>
      <w:bookmarkStart w:id="53" w:name="_Toc339378680"/>
      <w:bookmarkStart w:id="54" w:name="_Toc338065594"/>
      <w:r>
        <w:rPr>
          <w:rFonts w:hint="eastAsia" w:ascii="宋体" w:hAnsi="宋体"/>
          <w:sz w:val="24"/>
          <w:szCs w:val="24"/>
          <w:lang w:val="zh-CN"/>
        </w:rPr>
        <w:t>说明：招标文件中“★”标注的</w:t>
      </w:r>
      <w:r>
        <w:rPr>
          <w:rFonts w:hint="eastAsia" w:ascii="宋体" w:hAnsi="宋体"/>
          <w:sz w:val="24"/>
          <w:szCs w:val="24"/>
        </w:rPr>
        <w:t>技术、服务及商务要求</w:t>
      </w:r>
      <w:r>
        <w:rPr>
          <w:rFonts w:hint="eastAsia" w:ascii="宋体" w:hAnsi="宋体"/>
          <w:sz w:val="24"/>
          <w:szCs w:val="24"/>
          <w:lang w:val="zh-CN"/>
        </w:rPr>
        <w:t>，应满足或优于。</w:t>
      </w:r>
    </w:p>
    <w:tbl>
      <w:tblPr>
        <w:tblStyle w:val="22"/>
        <w:tblW w:w="9324" w:type="dxa"/>
        <w:tblInd w:w="93" w:type="dxa"/>
        <w:tblLayout w:type="fixed"/>
        <w:tblCellMar>
          <w:top w:w="0" w:type="dxa"/>
          <w:left w:w="108" w:type="dxa"/>
          <w:bottom w:w="0" w:type="dxa"/>
          <w:right w:w="108" w:type="dxa"/>
        </w:tblCellMar>
      </w:tblPr>
      <w:tblGrid>
        <w:gridCol w:w="631"/>
        <w:gridCol w:w="798"/>
        <w:gridCol w:w="1988"/>
        <w:gridCol w:w="658"/>
        <w:gridCol w:w="644"/>
        <w:gridCol w:w="3359"/>
        <w:gridCol w:w="1246"/>
      </w:tblGrid>
      <w:tr>
        <w:tblPrEx>
          <w:tblLayout w:type="fixed"/>
          <w:tblCellMar>
            <w:top w:w="0" w:type="dxa"/>
            <w:left w:w="108" w:type="dxa"/>
            <w:bottom w:w="0" w:type="dxa"/>
            <w:right w:w="108" w:type="dxa"/>
          </w:tblCellMar>
        </w:tblPrEx>
        <w:trPr>
          <w:trHeight w:val="473" w:hRule="atLeast"/>
        </w:trPr>
        <w:tc>
          <w:tcPr>
            <w:tcW w:w="631"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color w:val="000000"/>
                <w:sz w:val="24"/>
                <w:szCs w:val="24"/>
              </w:rPr>
            </w:pPr>
            <w:r>
              <w:rPr>
                <w:rFonts w:hint="eastAsia" w:ascii="宋体" w:hAnsi="宋体"/>
                <w:color w:val="000000"/>
                <w:sz w:val="24"/>
                <w:szCs w:val="24"/>
              </w:rPr>
              <w:t>序号</w:t>
            </w:r>
          </w:p>
        </w:tc>
        <w:tc>
          <w:tcPr>
            <w:tcW w:w="2786" w:type="dxa"/>
            <w:gridSpan w:val="2"/>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color w:val="000000"/>
                <w:sz w:val="24"/>
                <w:szCs w:val="24"/>
              </w:rPr>
            </w:pPr>
            <w:r>
              <w:rPr>
                <w:rFonts w:hint="eastAsia" w:ascii="宋体" w:hAnsi="宋体"/>
                <w:color w:val="000000"/>
                <w:sz w:val="24"/>
                <w:szCs w:val="24"/>
              </w:rPr>
              <w:t>名称</w:t>
            </w:r>
          </w:p>
        </w:tc>
        <w:tc>
          <w:tcPr>
            <w:tcW w:w="658"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color w:val="000000"/>
                <w:sz w:val="24"/>
                <w:szCs w:val="24"/>
              </w:rPr>
            </w:pPr>
            <w:r>
              <w:rPr>
                <w:rFonts w:hint="eastAsia" w:ascii="宋体" w:hAnsi="宋体"/>
                <w:color w:val="000000"/>
                <w:sz w:val="24"/>
                <w:szCs w:val="24"/>
              </w:rPr>
              <w:t>数量</w:t>
            </w:r>
          </w:p>
        </w:tc>
        <w:tc>
          <w:tcPr>
            <w:tcW w:w="644"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color w:val="000000"/>
                <w:sz w:val="24"/>
                <w:szCs w:val="24"/>
              </w:rPr>
            </w:pPr>
            <w:r>
              <w:rPr>
                <w:rFonts w:hint="eastAsia" w:ascii="宋体" w:hAnsi="宋体"/>
                <w:color w:val="000000"/>
                <w:sz w:val="24"/>
                <w:szCs w:val="24"/>
              </w:rPr>
              <w:t>单位</w:t>
            </w:r>
          </w:p>
        </w:tc>
        <w:tc>
          <w:tcPr>
            <w:tcW w:w="3359"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color w:val="000000"/>
                <w:sz w:val="24"/>
                <w:szCs w:val="24"/>
              </w:rPr>
            </w:pPr>
            <w:r>
              <w:rPr>
                <w:rFonts w:hint="eastAsia" w:ascii="宋体" w:hAnsi="宋体"/>
                <w:color w:val="000000"/>
                <w:sz w:val="24"/>
                <w:szCs w:val="24"/>
              </w:rPr>
              <w:t>要求/备注</w:t>
            </w:r>
          </w:p>
        </w:tc>
        <w:tc>
          <w:tcPr>
            <w:tcW w:w="1246"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color w:val="000000"/>
                <w:sz w:val="24"/>
                <w:szCs w:val="24"/>
              </w:rPr>
            </w:pPr>
            <w:r>
              <w:rPr>
                <w:rFonts w:hint="eastAsia" w:ascii="宋体" w:hAnsi="宋体"/>
                <w:color w:val="000000"/>
                <w:sz w:val="24"/>
                <w:szCs w:val="24"/>
              </w:rPr>
              <w:t>货物/服务</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2"/>
              <w:numPr>
                <w:ilvl w:val="0"/>
                <w:numId w:val="38"/>
              </w:numPr>
              <w:tabs>
                <w:tab w:val="left" w:pos="33"/>
              </w:tabs>
              <w:ind w:left="-93" w:right="-48" w:rightChars="-23" w:hanging="3" w:firstLineChars="0"/>
              <w:jc w:val="center"/>
              <w:rPr>
                <w:rFonts w:ascii="宋体" w:hAnsi="宋体"/>
                <w:sz w:val="24"/>
                <w:szCs w:val="24"/>
              </w:rPr>
            </w:pPr>
          </w:p>
        </w:tc>
        <w:tc>
          <w:tcPr>
            <w:tcW w:w="2786" w:type="dxa"/>
            <w:gridSpan w:val="2"/>
            <w:tcBorders>
              <w:top w:val="nil"/>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Cs w:val="21"/>
              </w:rPr>
              <w:t>数据中心</w:t>
            </w:r>
          </w:p>
        </w:tc>
        <w:tc>
          <w:tcPr>
            <w:tcW w:w="658" w:type="dxa"/>
            <w:tcBorders>
              <w:top w:val="nil"/>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w:t>
            </w:r>
          </w:p>
        </w:tc>
        <w:tc>
          <w:tcPr>
            <w:tcW w:w="644" w:type="dxa"/>
            <w:tcBorders>
              <w:top w:val="nil"/>
              <w:left w:val="single" w:color="auto" w:sz="4" w:space="0"/>
              <w:bottom w:val="single" w:color="auto" w:sz="4" w:space="0"/>
              <w:right w:val="single" w:color="auto" w:sz="4" w:space="0"/>
            </w:tcBorders>
            <w:vAlign w:val="center"/>
          </w:tcPr>
          <w:p>
            <w:pPr>
              <w:ind w:left="-48" w:leftChars="-23" w:right="-48" w:rightChars="-23"/>
              <w:jc w:val="center"/>
              <w:rPr>
                <w:rFonts w:ascii="宋体" w:hAnsi="宋体" w:eastAsia="宋体"/>
                <w:sz w:val="24"/>
                <w:szCs w:val="24"/>
              </w:rPr>
            </w:pPr>
            <w:r>
              <w:rPr>
                <w:rFonts w:hint="eastAsia" w:ascii="宋体" w:hAnsi="宋体" w:eastAsia="宋体"/>
                <w:sz w:val="24"/>
                <w:szCs w:val="24"/>
              </w:rPr>
              <w:t>套</w:t>
            </w:r>
          </w:p>
        </w:tc>
        <w:tc>
          <w:tcPr>
            <w:tcW w:w="3359" w:type="dxa"/>
            <w:tcBorders>
              <w:top w:val="nil"/>
              <w:left w:val="single" w:color="auto" w:sz="4" w:space="0"/>
              <w:bottom w:val="single" w:color="auto" w:sz="4" w:space="0"/>
              <w:right w:val="single" w:color="auto" w:sz="4" w:space="0"/>
            </w:tcBorders>
            <w:vAlign w:val="center"/>
          </w:tcPr>
          <w:p>
            <w:pPr>
              <w:rPr>
                <w:rFonts w:ascii="宋体" w:hAnsi="宋体"/>
                <w:color w:val="FF0000"/>
                <w:sz w:val="24"/>
                <w:szCs w:val="24"/>
              </w:rPr>
            </w:pPr>
            <w:r>
              <w:rPr>
                <w:rFonts w:hint="eastAsia" w:ascii="宋体" w:hAnsi="宋体"/>
                <w:szCs w:val="21"/>
              </w:rPr>
              <w:t>个人住房数据中心</w:t>
            </w:r>
          </w:p>
        </w:tc>
        <w:tc>
          <w:tcPr>
            <w:tcW w:w="1246" w:type="dxa"/>
            <w:tcBorders>
              <w:top w:val="nil"/>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color w:val="000000"/>
                <w:sz w:val="24"/>
                <w:szCs w:val="24"/>
              </w:rPr>
              <w:t>服务</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2"/>
              <w:numPr>
                <w:ilvl w:val="0"/>
                <w:numId w:val="38"/>
              </w:numPr>
              <w:tabs>
                <w:tab w:val="left" w:pos="33"/>
              </w:tabs>
              <w:ind w:left="-93" w:right="-48" w:rightChars="-23" w:hanging="3" w:firstLineChars="0"/>
              <w:jc w:val="center"/>
              <w:rPr>
                <w:rFonts w:ascii="宋体" w:hAnsi="宋体"/>
                <w:sz w:val="24"/>
                <w:szCs w:val="24"/>
              </w:rPr>
            </w:pPr>
          </w:p>
        </w:tc>
        <w:tc>
          <w:tcPr>
            <w:tcW w:w="2786" w:type="dxa"/>
            <w:gridSpan w:val="2"/>
            <w:vMerge w:val="restart"/>
            <w:tcBorders>
              <w:top w:val="nil"/>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Cs w:val="21"/>
              </w:rPr>
              <w:t>个人住房辅助决策应用系统</w:t>
            </w:r>
          </w:p>
        </w:tc>
        <w:tc>
          <w:tcPr>
            <w:tcW w:w="658" w:type="dxa"/>
            <w:vMerge w:val="restart"/>
            <w:tcBorders>
              <w:top w:val="nil"/>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w:t>
            </w:r>
          </w:p>
        </w:tc>
        <w:tc>
          <w:tcPr>
            <w:tcW w:w="644" w:type="dxa"/>
            <w:vMerge w:val="restart"/>
            <w:tcBorders>
              <w:top w:val="nil"/>
              <w:left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sz w:val="24"/>
                <w:szCs w:val="24"/>
              </w:rPr>
              <w:t>套</w:t>
            </w:r>
          </w:p>
        </w:tc>
        <w:tc>
          <w:tcPr>
            <w:tcW w:w="3359" w:type="dxa"/>
            <w:tcBorders>
              <w:top w:val="nil"/>
              <w:left w:val="single" w:color="auto" w:sz="4" w:space="0"/>
              <w:bottom w:val="single" w:color="auto" w:sz="4" w:space="0"/>
              <w:right w:val="single" w:color="auto" w:sz="4" w:space="0"/>
            </w:tcBorders>
            <w:vAlign w:val="center"/>
          </w:tcPr>
          <w:p>
            <w:pPr>
              <w:rPr>
                <w:rFonts w:ascii="宋体" w:hAnsi="宋体"/>
                <w:color w:val="FF0000"/>
                <w:sz w:val="24"/>
                <w:szCs w:val="24"/>
              </w:rPr>
            </w:pPr>
            <w:r>
              <w:rPr>
                <w:rFonts w:hint="eastAsia" w:ascii="宋体" w:hAnsi="宋体"/>
                <w:szCs w:val="21"/>
              </w:rPr>
              <w:t>房屋生命周期管理系统</w:t>
            </w:r>
          </w:p>
        </w:tc>
        <w:tc>
          <w:tcPr>
            <w:tcW w:w="1246" w:type="dxa"/>
            <w:tcBorders>
              <w:top w:val="nil"/>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color w:val="000000"/>
                <w:sz w:val="24"/>
                <w:szCs w:val="24"/>
              </w:rPr>
              <w:t>服务</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2"/>
              <w:numPr>
                <w:ilvl w:val="0"/>
                <w:numId w:val="38"/>
              </w:numPr>
              <w:tabs>
                <w:tab w:val="left" w:pos="33"/>
              </w:tabs>
              <w:ind w:left="-93" w:right="-48" w:rightChars="-23" w:hanging="3" w:firstLineChars="0"/>
              <w:jc w:val="center"/>
              <w:rPr>
                <w:rFonts w:ascii="宋体" w:hAnsi="宋体"/>
                <w:sz w:val="24"/>
                <w:szCs w:val="24"/>
              </w:rPr>
            </w:pPr>
          </w:p>
        </w:tc>
        <w:tc>
          <w:tcPr>
            <w:tcW w:w="2786"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sz w:val="24"/>
                <w:szCs w:val="24"/>
              </w:rPr>
            </w:pPr>
          </w:p>
        </w:tc>
        <w:tc>
          <w:tcPr>
            <w:tcW w:w="658" w:type="dxa"/>
            <w:vMerge w:val="continue"/>
            <w:tcBorders>
              <w:left w:val="single" w:color="auto" w:sz="4" w:space="0"/>
              <w:right w:val="single" w:color="auto" w:sz="4" w:space="0"/>
            </w:tcBorders>
            <w:vAlign w:val="center"/>
          </w:tcPr>
          <w:p>
            <w:pPr>
              <w:rPr>
                <w:rFonts w:ascii="宋体" w:hAnsi="宋体"/>
                <w:sz w:val="24"/>
                <w:szCs w:val="24"/>
              </w:rPr>
            </w:pPr>
          </w:p>
        </w:tc>
        <w:tc>
          <w:tcPr>
            <w:tcW w:w="644" w:type="dxa"/>
            <w:vMerge w:val="continue"/>
            <w:tcBorders>
              <w:left w:val="single" w:color="auto" w:sz="4" w:space="0"/>
              <w:right w:val="single" w:color="auto" w:sz="4" w:space="0"/>
            </w:tcBorders>
            <w:vAlign w:val="center"/>
          </w:tcPr>
          <w:p>
            <w:pPr>
              <w:ind w:left="-48" w:leftChars="-23" w:right="-48" w:rightChars="-23"/>
              <w:jc w:val="center"/>
              <w:rPr>
                <w:rFonts w:ascii="宋体" w:hAnsi="宋体"/>
                <w:sz w:val="24"/>
                <w:szCs w:val="24"/>
              </w:rPr>
            </w:pPr>
          </w:p>
        </w:tc>
        <w:tc>
          <w:tcPr>
            <w:tcW w:w="3359" w:type="dxa"/>
            <w:tcBorders>
              <w:top w:val="nil"/>
              <w:left w:val="single" w:color="auto" w:sz="4" w:space="0"/>
              <w:bottom w:val="single" w:color="auto" w:sz="4" w:space="0"/>
              <w:right w:val="single" w:color="auto" w:sz="4" w:space="0"/>
            </w:tcBorders>
            <w:vAlign w:val="center"/>
          </w:tcPr>
          <w:p>
            <w:pPr>
              <w:rPr>
                <w:rFonts w:ascii="宋体" w:hAnsi="宋体"/>
                <w:color w:val="FF0000"/>
                <w:sz w:val="24"/>
                <w:szCs w:val="24"/>
              </w:rPr>
            </w:pPr>
            <w:r>
              <w:rPr>
                <w:rFonts w:hint="eastAsia" w:ascii="宋体" w:hAnsi="宋体"/>
                <w:szCs w:val="21"/>
              </w:rPr>
              <w:t>个人住房统计分析系统</w:t>
            </w:r>
          </w:p>
        </w:tc>
        <w:tc>
          <w:tcPr>
            <w:tcW w:w="1246" w:type="dxa"/>
            <w:tcBorders>
              <w:top w:val="nil"/>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color w:val="000000"/>
                <w:sz w:val="24"/>
                <w:szCs w:val="24"/>
              </w:rPr>
              <w:t>服务</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2"/>
              <w:numPr>
                <w:ilvl w:val="0"/>
                <w:numId w:val="38"/>
              </w:numPr>
              <w:tabs>
                <w:tab w:val="left" w:pos="33"/>
              </w:tabs>
              <w:ind w:left="-93" w:right="-48" w:rightChars="-23" w:hanging="3" w:firstLineChars="0"/>
              <w:jc w:val="center"/>
              <w:rPr>
                <w:rFonts w:ascii="宋体" w:hAnsi="宋体"/>
                <w:sz w:val="24"/>
                <w:szCs w:val="24"/>
              </w:rPr>
            </w:pPr>
          </w:p>
        </w:tc>
        <w:tc>
          <w:tcPr>
            <w:tcW w:w="2786"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sz w:val="24"/>
                <w:szCs w:val="24"/>
              </w:rPr>
            </w:pPr>
          </w:p>
        </w:tc>
        <w:tc>
          <w:tcPr>
            <w:tcW w:w="658" w:type="dxa"/>
            <w:vMerge w:val="continue"/>
            <w:tcBorders>
              <w:left w:val="single" w:color="auto" w:sz="4" w:space="0"/>
              <w:bottom w:val="single" w:color="auto" w:sz="4" w:space="0"/>
              <w:right w:val="single" w:color="auto" w:sz="4" w:space="0"/>
            </w:tcBorders>
            <w:vAlign w:val="center"/>
          </w:tcPr>
          <w:p>
            <w:pPr>
              <w:rPr>
                <w:rFonts w:ascii="宋体" w:hAnsi="宋体"/>
                <w:sz w:val="24"/>
                <w:szCs w:val="24"/>
              </w:rPr>
            </w:pPr>
          </w:p>
        </w:tc>
        <w:tc>
          <w:tcPr>
            <w:tcW w:w="644" w:type="dxa"/>
            <w:vMerge w:val="continue"/>
            <w:tcBorders>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p>
        </w:tc>
        <w:tc>
          <w:tcPr>
            <w:tcW w:w="3359" w:type="dxa"/>
            <w:tcBorders>
              <w:top w:val="nil"/>
              <w:left w:val="single" w:color="auto" w:sz="4" w:space="0"/>
              <w:bottom w:val="single" w:color="auto" w:sz="4" w:space="0"/>
              <w:right w:val="single" w:color="auto" w:sz="4" w:space="0"/>
            </w:tcBorders>
            <w:vAlign w:val="center"/>
          </w:tcPr>
          <w:p>
            <w:pPr>
              <w:rPr>
                <w:rFonts w:ascii="宋体" w:hAnsi="宋体"/>
                <w:color w:val="FF0000"/>
                <w:sz w:val="24"/>
                <w:szCs w:val="24"/>
              </w:rPr>
            </w:pPr>
            <w:r>
              <w:rPr>
                <w:rFonts w:hint="eastAsia" w:ascii="宋体" w:hAnsi="宋体"/>
                <w:szCs w:val="21"/>
              </w:rPr>
              <w:t>日报月报上报系统</w:t>
            </w:r>
          </w:p>
        </w:tc>
        <w:tc>
          <w:tcPr>
            <w:tcW w:w="1246" w:type="dxa"/>
            <w:tcBorders>
              <w:top w:val="nil"/>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color w:val="000000"/>
                <w:sz w:val="24"/>
                <w:szCs w:val="24"/>
              </w:rPr>
              <w:t>服务</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2"/>
              <w:numPr>
                <w:ilvl w:val="0"/>
                <w:numId w:val="38"/>
              </w:numPr>
              <w:tabs>
                <w:tab w:val="left" w:pos="33"/>
              </w:tabs>
              <w:ind w:left="-93" w:right="-48" w:rightChars="-23" w:hanging="3" w:firstLineChars="0"/>
              <w:jc w:val="center"/>
              <w:rPr>
                <w:rFonts w:ascii="宋体" w:hAnsi="宋体"/>
                <w:sz w:val="24"/>
                <w:szCs w:val="24"/>
              </w:rPr>
            </w:pPr>
          </w:p>
        </w:tc>
        <w:tc>
          <w:tcPr>
            <w:tcW w:w="2786" w:type="dxa"/>
            <w:gridSpan w:val="2"/>
            <w:tcBorders>
              <w:top w:val="nil"/>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Cs w:val="21"/>
              </w:rPr>
              <w:t>扩展房管业务系统</w:t>
            </w:r>
          </w:p>
        </w:tc>
        <w:tc>
          <w:tcPr>
            <w:tcW w:w="658" w:type="dxa"/>
            <w:tcBorders>
              <w:top w:val="nil"/>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w:t>
            </w:r>
          </w:p>
        </w:tc>
        <w:tc>
          <w:tcPr>
            <w:tcW w:w="644" w:type="dxa"/>
            <w:tcBorders>
              <w:top w:val="nil"/>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sz w:val="24"/>
                <w:szCs w:val="24"/>
              </w:rPr>
              <w:t>套</w:t>
            </w:r>
          </w:p>
        </w:tc>
        <w:tc>
          <w:tcPr>
            <w:tcW w:w="3359" w:type="dxa"/>
            <w:tcBorders>
              <w:top w:val="nil"/>
              <w:left w:val="single" w:color="auto" w:sz="4" w:space="0"/>
              <w:bottom w:val="single" w:color="auto" w:sz="4" w:space="0"/>
              <w:right w:val="single" w:color="auto" w:sz="4" w:space="0"/>
            </w:tcBorders>
            <w:vAlign w:val="center"/>
          </w:tcPr>
          <w:p>
            <w:pPr>
              <w:rPr>
                <w:rFonts w:ascii="宋体" w:hAnsi="宋体"/>
                <w:color w:val="FF0000"/>
                <w:sz w:val="24"/>
                <w:szCs w:val="24"/>
              </w:rPr>
            </w:pPr>
            <w:r>
              <w:rPr>
                <w:rFonts w:hint="eastAsia" w:ascii="宋体" w:hAnsi="宋体"/>
                <w:szCs w:val="21"/>
              </w:rPr>
              <w:t>住宅专项维修资金管理系统</w:t>
            </w:r>
          </w:p>
        </w:tc>
        <w:tc>
          <w:tcPr>
            <w:tcW w:w="1246" w:type="dxa"/>
            <w:tcBorders>
              <w:top w:val="nil"/>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color w:val="000000"/>
                <w:sz w:val="24"/>
                <w:szCs w:val="24"/>
              </w:rPr>
              <w:t>服务</w:t>
            </w:r>
          </w:p>
        </w:tc>
      </w:tr>
      <w:tr>
        <w:tblPrEx>
          <w:tblLayout w:type="fixed"/>
          <w:tblCellMar>
            <w:top w:w="0" w:type="dxa"/>
            <w:left w:w="108" w:type="dxa"/>
            <w:bottom w:w="0" w:type="dxa"/>
            <w:right w:w="108" w:type="dxa"/>
          </w:tblCellMar>
        </w:tblPrEx>
        <w:trPr>
          <w:trHeight w:val="20" w:hRule="atLeast"/>
        </w:trPr>
        <w:tc>
          <w:tcPr>
            <w:tcW w:w="1429"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sz w:val="24"/>
                <w:szCs w:val="24"/>
              </w:rPr>
              <w:t>工期要求</w:t>
            </w:r>
          </w:p>
        </w:tc>
        <w:tc>
          <w:tcPr>
            <w:tcW w:w="7895"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pPr>
            <w:r>
              <w:rPr>
                <w:rFonts w:hint="eastAsia" w:ascii="宋体" w:hAnsi="宋体"/>
                <w:sz w:val="24"/>
                <w:szCs w:val="24"/>
              </w:rPr>
              <w:t>合同签订之日起</w:t>
            </w:r>
            <w:r>
              <w:rPr>
                <w:rFonts w:hint="eastAsia" w:ascii="宋体" w:hAnsi="宋体"/>
                <w:color w:val="FF0000"/>
                <w:sz w:val="24"/>
                <w:szCs w:val="24"/>
                <w:u w:val="single"/>
              </w:rPr>
              <w:t>60</w:t>
            </w:r>
            <w:r>
              <w:rPr>
                <w:rFonts w:hint="eastAsia" w:ascii="宋体" w:hAnsi="宋体"/>
                <w:sz w:val="24"/>
                <w:szCs w:val="24"/>
              </w:rPr>
              <w:t>个日历日</w:t>
            </w:r>
          </w:p>
        </w:tc>
      </w:tr>
      <w:tr>
        <w:tblPrEx>
          <w:tblLayout w:type="fixed"/>
          <w:tblCellMar>
            <w:top w:w="0" w:type="dxa"/>
            <w:left w:w="108" w:type="dxa"/>
            <w:bottom w:w="0" w:type="dxa"/>
            <w:right w:w="108" w:type="dxa"/>
          </w:tblCellMar>
        </w:tblPrEx>
        <w:trPr>
          <w:trHeight w:val="20" w:hRule="atLeast"/>
        </w:trPr>
        <w:tc>
          <w:tcPr>
            <w:tcW w:w="1429"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sz w:val="24"/>
                <w:szCs w:val="24"/>
              </w:rPr>
              <w:t>质保要求</w:t>
            </w:r>
          </w:p>
        </w:tc>
        <w:tc>
          <w:tcPr>
            <w:tcW w:w="7895"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pPr>
            <w:r>
              <w:rPr>
                <w:rFonts w:hint="eastAsia" w:ascii="宋体" w:hAnsi="宋体"/>
                <w:color w:val="FF0000"/>
                <w:sz w:val="24"/>
                <w:szCs w:val="24"/>
                <w:u w:val="single"/>
              </w:rPr>
              <w:t>1</w:t>
            </w:r>
            <w:r>
              <w:rPr>
                <w:rFonts w:hint="eastAsia" w:ascii="宋体" w:hAnsi="宋体"/>
                <w:sz w:val="24"/>
                <w:szCs w:val="24"/>
              </w:rPr>
              <w:t>年</w:t>
            </w:r>
          </w:p>
        </w:tc>
      </w:tr>
      <w:bookmarkEnd w:id="53"/>
      <w:bookmarkEnd w:id="54"/>
    </w:tbl>
    <w:p>
      <w:pPr>
        <w:pStyle w:val="3"/>
        <w:numPr>
          <w:ilvl w:val="0"/>
          <w:numId w:val="37"/>
        </w:numPr>
        <w:spacing w:before="0" w:after="0" w:line="360" w:lineRule="auto"/>
        <w:ind w:left="616" w:hanging="616"/>
        <w:jc w:val="left"/>
        <w:rPr>
          <w:rFonts w:ascii="宋体" w:hAnsi="宋体"/>
          <w:bCs w:val="0"/>
          <w:sz w:val="30"/>
          <w:szCs w:val="30"/>
          <w:lang w:val="zh-CN"/>
        </w:rPr>
      </w:pPr>
      <w:bookmarkStart w:id="55" w:name="_Toc21511"/>
      <w:r>
        <w:rPr>
          <w:rFonts w:hint="eastAsia" w:ascii="宋体" w:hAnsi="宋体"/>
          <w:bCs w:val="0"/>
          <w:sz w:val="30"/>
          <w:szCs w:val="30"/>
          <w:lang w:val="zh-CN"/>
        </w:rPr>
        <w:t>项目概况</w:t>
      </w:r>
      <w:bookmarkEnd w:id="55"/>
    </w:p>
    <w:p>
      <w:pPr>
        <w:keepNext/>
        <w:keepLines/>
        <w:autoSpaceDE w:val="0"/>
        <w:autoSpaceDN w:val="0"/>
        <w:adjustRightInd w:val="0"/>
        <w:spacing w:before="240" w:after="260" w:line="360" w:lineRule="auto"/>
        <w:jc w:val="left"/>
        <w:textAlignment w:val="baseline"/>
        <w:outlineLvl w:val="1"/>
        <w:rPr>
          <w:rFonts w:ascii="宋体" w:hAnsi="宋体"/>
          <w:b/>
          <w:szCs w:val="21"/>
        </w:rPr>
      </w:pPr>
      <w:bookmarkStart w:id="56" w:name="_Toc480448621"/>
      <w:bookmarkStart w:id="57" w:name="_Toc28863"/>
      <w:bookmarkStart w:id="58" w:name="_Toc422309955"/>
      <w:bookmarkStart w:id="59" w:name="_Toc434411874"/>
      <w:bookmarkStart w:id="60" w:name="_Toc312241365"/>
      <w:bookmarkStart w:id="61" w:name="_Toc356901014"/>
      <w:bookmarkStart w:id="62" w:name="_Toc355687246"/>
      <w:r>
        <w:rPr>
          <w:rFonts w:hint="eastAsia" w:ascii="宋体" w:hAnsi="宋体"/>
          <w:b/>
          <w:szCs w:val="21"/>
        </w:rPr>
        <w:t>1、建设背景</w:t>
      </w:r>
      <w:bookmarkEnd w:id="56"/>
      <w:bookmarkEnd w:id="57"/>
      <w:bookmarkEnd w:id="58"/>
      <w:bookmarkEnd w:id="59"/>
      <w:bookmarkEnd w:id="60"/>
    </w:p>
    <w:p>
      <w:pPr>
        <w:spacing w:line="360" w:lineRule="auto"/>
        <w:ind w:firstLine="422" w:firstLineChars="200"/>
        <w:rPr>
          <w:rFonts w:ascii="仿宋_GB2312"/>
          <w:szCs w:val="28"/>
        </w:rPr>
      </w:pPr>
      <w:bookmarkStart w:id="63" w:name="_Toc350448126"/>
      <w:r>
        <w:rPr>
          <w:rFonts w:hint="eastAsia" w:ascii="宋体" w:hAnsi="宋体"/>
        </w:rPr>
        <w:t>根据住房和城乡建设部《关于进一步加强城镇个人住房信息系统建设和管理的通知》（建房[2012]198号）、《国土部、住建部关于做好不动产统一登记与房屋交易管理衔接的指导意见》（国土资发[2015]90号）、《关于研究全省城镇个人住房信息系统建设有关问题的会议纪要》（省政府专题会议纪要17号）和《省发改委关于湖北省城镇个人住房信息系统建设项目可行性研究报告的批复》（鄂发改审批服务[2014]30号）等文件要</w:t>
      </w:r>
      <w:r>
        <w:rPr>
          <w:rFonts w:hint="eastAsia" w:ascii="宋体" w:hAnsi="宋体"/>
          <w:color w:val="auto"/>
        </w:rPr>
        <w:t>求，阳新县将全面建设个人住房信息系统（房地产管理</w:t>
      </w:r>
      <w:r>
        <w:rPr>
          <w:rFonts w:hint="eastAsia" w:ascii="宋体" w:hAnsi="宋体"/>
        </w:rPr>
        <w:t>系统），满足部、省、市、县四级联网及相应的辅助决策功能，为实施房地产市场宏观调控政策、提高行业管理和社会服务水平创造条件。</w:t>
      </w:r>
      <w:bookmarkEnd w:id="63"/>
    </w:p>
    <w:p>
      <w:pPr>
        <w:keepNext/>
        <w:keepLines/>
        <w:tabs>
          <w:tab w:val="left" w:pos="5724"/>
        </w:tabs>
        <w:autoSpaceDE w:val="0"/>
        <w:autoSpaceDN w:val="0"/>
        <w:adjustRightInd w:val="0"/>
        <w:spacing w:before="240" w:after="260" w:line="360" w:lineRule="auto"/>
        <w:jc w:val="left"/>
        <w:textAlignment w:val="baseline"/>
        <w:outlineLvl w:val="1"/>
        <w:rPr>
          <w:rFonts w:ascii="宋体" w:hAnsi="宋体"/>
          <w:b/>
          <w:szCs w:val="21"/>
        </w:rPr>
      </w:pPr>
      <w:bookmarkStart w:id="64" w:name="_Toc480448622"/>
      <w:bookmarkStart w:id="65" w:name="_Toc434411878"/>
      <w:bookmarkStart w:id="66" w:name="_Toc422309959"/>
      <w:bookmarkStart w:id="67" w:name="_Toc5935"/>
      <w:r>
        <w:rPr>
          <w:rFonts w:hint="eastAsia" w:ascii="宋体" w:hAnsi="宋体"/>
          <w:b/>
          <w:szCs w:val="21"/>
        </w:rPr>
        <w:t>2、建设目标</w:t>
      </w:r>
      <w:bookmarkEnd w:id="64"/>
      <w:bookmarkEnd w:id="65"/>
      <w:bookmarkEnd w:id="66"/>
      <w:bookmarkEnd w:id="67"/>
      <w:r>
        <w:rPr>
          <w:rFonts w:ascii="宋体" w:hAnsi="宋体"/>
          <w:b/>
          <w:szCs w:val="21"/>
        </w:rPr>
        <w:tab/>
      </w:r>
    </w:p>
    <w:p>
      <w:pPr>
        <w:keepNext/>
        <w:keepLines/>
        <w:autoSpaceDE w:val="0"/>
        <w:autoSpaceDN w:val="0"/>
        <w:adjustRightInd w:val="0"/>
        <w:spacing w:before="240" w:after="260" w:line="360" w:lineRule="auto"/>
        <w:jc w:val="left"/>
        <w:textAlignment w:val="baseline"/>
        <w:outlineLvl w:val="2"/>
        <w:rPr>
          <w:rFonts w:ascii="宋体" w:hAnsi="宋体"/>
          <w:b/>
          <w:szCs w:val="21"/>
        </w:rPr>
      </w:pPr>
      <w:bookmarkStart w:id="68" w:name="_Toc480448623"/>
      <w:bookmarkStart w:id="69" w:name="_Toc434411879"/>
      <w:bookmarkStart w:id="70" w:name="_Toc422309960"/>
      <w:r>
        <w:rPr>
          <w:rFonts w:hint="eastAsia" w:ascii="宋体" w:hAnsi="宋体"/>
          <w:b/>
          <w:szCs w:val="21"/>
        </w:rPr>
        <w:t>2.1、总体目标</w:t>
      </w:r>
      <w:bookmarkEnd w:id="68"/>
      <w:bookmarkEnd w:id="69"/>
      <w:bookmarkEnd w:id="70"/>
    </w:p>
    <w:p>
      <w:pPr>
        <w:spacing w:line="360" w:lineRule="auto"/>
        <w:ind w:firstLine="422" w:firstLineChars="200"/>
        <w:rPr>
          <w:rFonts w:ascii="宋体" w:hAnsi="宋体"/>
        </w:rPr>
      </w:pPr>
      <w:r>
        <w:rPr>
          <w:rFonts w:hint="eastAsia" w:ascii="宋体" w:hAnsi="宋体"/>
        </w:rPr>
        <w:t>阳新县个人住房信息系统建设的总体目标是制定阳新县房地</w:t>
      </w:r>
      <w:r>
        <w:rPr>
          <w:rFonts w:hint="eastAsia" w:ascii="宋体" w:hAnsi="宋体"/>
          <w:color w:val="auto"/>
        </w:rPr>
        <w:t>产管理信息系统的总体规划、技术框架和基础数据标准，建立覆盖全县并逐步与省住房和城乡建设厅联网的城镇个人住房信息系统，实现全县</w:t>
      </w:r>
      <w:r>
        <w:rPr>
          <w:rFonts w:hint="eastAsia" w:ascii="宋体" w:hAnsi="宋体"/>
        </w:rPr>
        <w:t>房地产管理的业务流程标准化、业务数据信息化、档案资料数字化、行政办公网络化，为提高房地产市场宏观调控能力和政府公共服务能力，促进房地产市场持续稳定健康发展提供基础信息和决策依据。实现对内业务资源整合与共享，对外向社会公众提供全面、丰富、权威的市场信息，为城市发展建设的决策提供信息支持。</w:t>
      </w:r>
    </w:p>
    <w:p>
      <w:pPr>
        <w:spacing w:line="360" w:lineRule="auto"/>
        <w:ind w:firstLine="422" w:firstLineChars="200"/>
        <w:rPr>
          <w:rFonts w:ascii="宋体" w:hAnsi="宋体"/>
        </w:rPr>
      </w:pPr>
      <w:r>
        <w:rPr>
          <w:rFonts w:hint="eastAsia" w:ascii="宋体" w:hAnsi="宋体"/>
        </w:rPr>
        <w:t>1、以当前先进可靠的信息技术为依托实现房地产管理部门高效率、高质量的业务管理与服务职能。</w:t>
      </w:r>
    </w:p>
    <w:p>
      <w:pPr>
        <w:spacing w:line="360" w:lineRule="auto"/>
        <w:ind w:firstLine="422" w:firstLineChars="200"/>
        <w:rPr>
          <w:rFonts w:ascii="宋体" w:hAnsi="宋体"/>
        </w:rPr>
      </w:pPr>
      <w:r>
        <w:rPr>
          <w:rFonts w:hint="eastAsia" w:ascii="宋体" w:hAnsi="宋体"/>
        </w:rPr>
        <w:t>2、随时了解城市房地产建设与房地产市场现实状况以及发展态势，为政府出台各种有利于房地产稳定、健康发展的宏观调控政策提供依据。</w:t>
      </w:r>
    </w:p>
    <w:p>
      <w:pPr>
        <w:spacing w:line="360" w:lineRule="auto"/>
        <w:ind w:firstLine="422" w:firstLineChars="200"/>
      </w:pPr>
      <w:r>
        <w:rPr>
          <w:rFonts w:hint="eastAsia" w:ascii="宋体" w:hAnsi="宋体"/>
        </w:rPr>
        <w:t>3、建立准确、完整和真实的覆盖全县的城镇个人住房信息数据中心，实现省、县两级城镇个人住房信息系统联网互通。</w:t>
      </w:r>
    </w:p>
    <w:p>
      <w:pPr>
        <w:keepNext/>
        <w:keepLines/>
        <w:autoSpaceDE w:val="0"/>
        <w:autoSpaceDN w:val="0"/>
        <w:adjustRightInd w:val="0"/>
        <w:spacing w:before="240" w:after="260" w:line="360" w:lineRule="auto"/>
        <w:jc w:val="left"/>
        <w:textAlignment w:val="baseline"/>
        <w:outlineLvl w:val="2"/>
        <w:rPr>
          <w:rFonts w:ascii="宋体" w:hAnsi="宋体"/>
          <w:b/>
          <w:szCs w:val="21"/>
        </w:rPr>
      </w:pPr>
      <w:bookmarkStart w:id="71" w:name="_Toc434411880"/>
      <w:bookmarkStart w:id="72" w:name="_Toc480448624"/>
      <w:bookmarkStart w:id="73" w:name="_Toc422309961"/>
      <w:r>
        <w:rPr>
          <w:rFonts w:hint="eastAsia" w:ascii="宋体" w:hAnsi="宋体"/>
          <w:b/>
          <w:szCs w:val="21"/>
        </w:rPr>
        <w:t>2.2、具体目标</w:t>
      </w:r>
      <w:bookmarkEnd w:id="71"/>
      <w:bookmarkEnd w:id="72"/>
      <w:bookmarkEnd w:id="73"/>
    </w:p>
    <w:p>
      <w:pPr>
        <w:spacing w:line="360" w:lineRule="auto"/>
        <w:ind w:firstLine="422" w:firstLineChars="200"/>
        <w:rPr>
          <w:rFonts w:ascii="宋体" w:hAnsi="宋体"/>
        </w:rPr>
      </w:pPr>
      <w:r>
        <w:rPr>
          <w:rFonts w:hint="eastAsia" w:ascii="宋体" w:hAnsi="宋体"/>
        </w:rPr>
        <w:t>1)、建立全县个人住房信息系统基础数据库，使个人房屋信息更加明晰，有助于在财政、税收等政策上实施“法制化管理”；</w:t>
      </w:r>
    </w:p>
    <w:p>
      <w:pPr>
        <w:spacing w:line="360" w:lineRule="auto"/>
        <w:ind w:firstLine="422" w:firstLineChars="200"/>
        <w:rPr>
          <w:rFonts w:ascii="宋体" w:hAnsi="宋体"/>
        </w:rPr>
      </w:pPr>
      <w:r>
        <w:rPr>
          <w:rFonts w:hint="eastAsia" w:ascii="宋体" w:hAnsi="宋体"/>
        </w:rPr>
        <w:t>2)、全面掌握个人住房基础信息及动态变化情况，满足本地房地产管理部门决策、管理、服务等各层次需要，为各级领导提供及时、全面、准确的信息，为房地产数据统计、分析提供强大的技术支持；</w:t>
      </w:r>
    </w:p>
    <w:p>
      <w:pPr>
        <w:spacing w:line="360" w:lineRule="auto"/>
        <w:ind w:firstLine="422" w:firstLineChars="200"/>
        <w:rPr>
          <w:rFonts w:ascii="宋体" w:hAnsi="宋体"/>
        </w:rPr>
      </w:pPr>
      <w:r>
        <w:rPr>
          <w:rFonts w:hint="eastAsia" w:ascii="宋体" w:hAnsi="宋体"/>
        </w:rPr>
        <w:t>3）、数据整合与上传，实现各个业务系统的数据整合以及整合的数据及时向上一级上传或上报；</w:t>
      </w:r>
    </w:p>
    <w:p>
      <w:pPr>
        <w:spacing w:line="360" w:lineRule="auto"/>
        <w:ind w:firstLine="422" w:firstLineChars="200"/>
        <w:rPr>
          <w:rFonts w:ascii="宋体" w:hAnsi="宋体"/>
        </w:rPr>
      </w:pPr>
      <w:r>
        <w:rPr>
          <w:rFonts w:hint="eastAsia" w:ascii="宋体" w:hAnsi="宋体"/>
        </w:rPr>
        <w:t>4）、数据查询与应用，实现区域内的联网查询个人房屋权利状况，并且能够为相关的政策提供参考依据；</w:t>
      </w:r>
    </w:p>
    <w:p>
      <w:pPr>
        <w:spacing w:line="360" w:lineRule="auto"/>
        <w:ind w:firstLine="422" w:firstLineChars="200"/>
        <w:rPr>
          <w:rFonts w:ascii="宋体" w:hAnsi="宋体"/>
        </w:rPr>
      </w:pPr>
      <w:r>
        <w:rPr>
          <w:rFonts w:hint="eastAsia" w:ascii="宋体" w:hAnsi="宋体"/>
        </w:rPr>
        <w:t>5）、统计分析，实现对区域内房屋以及权利状况做出统计与分析。</w:t>
      </w:r>
    </w:p>
    <w:p>
      <w:pPr>
        <w:keepNext/>
        <w:keepLines/>
        <w:autoSpaceDE w:val="0"/>
        <w:autoSpaceDN w:val="0"/>
        <w:adjustRightInd w:val="0"/>
        <w:spacing w:before="240" w:after="260" w:line="360" w:lineRule="auto"/>
        <w:jc w:val="left"/>
        <w:textAlignment w:val="baseline"/>
        <w:outlineLvl w:val="1"/>
        <w:rPr>
          <w:rFonts w:ascii="宋体" w:hAnsi="宋体"/>
          <w:b/>
          <w:szCs w:val="21"/>
        </w:rPr>
      </w:pPr>
      <w:bookmarkStart w:id="74" w:name="_Toc422309956"/>
      <w:bookmarkStart w:id="75" w:name="_Toc480448625"/>
      <w:bookmarkStart w:id="76" w:name="_Toc312241366"/>
      <w:bookmarkStart w:id="77" w:name="_Toc434411875"/>
      <w:bookmarkStart w:id="78" w:name="_Toc21698"/>
      <w:r>
        <w:rPr>
          <w:rFonts w:hint="eastAsia" w:ascii="宋体" w:hAnsi="宋体"/>
          <w:b/>
          <w:szCs w:val="21"/>
        </w:rPr>
        <w:t>3、建设依据</w:t>
      </w:r>
      <w:bookmarkEnd w:id="74"/>
      <w:bookmarkEnd w:id="75"/>
      <w:bookmarkEnd w:id="76"/>
      <w:bookmarkEnd w:id="77"/>
      <w:bookmarkEnd w:id="78"/>
    </w:p>
    <w:p>
      <w:pPr>
        <w:spacing w:line="360" w:lineRule="auto"/>
        <w:ind w:firstLine="422" w:firstLineChars="200"/>
        <w:rPr>
          <w:rFonts w:ascii="宋体" w:hAnsi="宋体"/>
        </w:rPr>
      </w:pPr>
      <w:r>
        <w:rPr>
          <w:rFonts w:hint="eastAsia" w:ascii="宋体" w:hAnsi="宋体"/>
        </w:rPr>
        <w:t>1、住房和城乡建设部《关于进一步加强城镇个人住房信息系统建设和管理的通知》（建房[2012]198号）</w:t>
      </w:r>
    </w:p>
    <w:p>
      <w:pPr>
        <w:spacing w:line="360" w:lineRule="auto"/>
        <w:ind w:firstLine="422" w:firstLineChars="200"/>
        <w:rPr>
          <w:rFonts w:ascii="宋体" w:hAnsi="宋体"/>
        </w:rPr>
      </w:pPr>
      <w:r>
        <w:rPr>
          <w:rFonts w:hint="eastAsia" w:ascii="宋体" w:hAnsi="宋体"/>
        </w:rPr>
        <w:t>2、住房和城乡建设部《关于建立全国房地产交易信息日报制度的通知》（建房[2015]55号）</w:t>
      </w:r>
    </w:p>
    <w:p>
      <w:pPr>
        <w:spacing w:line="360" w:lineRule="auto"/>
        <w:ind w:firstLine="422" w:firstLineChars="200"/>
        <w:rPr>
          <w:rFonts w:ascii="宋体" w:hAnsi="宋体"/>
        </w:rPr>
      </w:pPr>
      <w:r>
        <w:rPr>
          <w:rFonts w:hint="eastAsia" w:ascii="宋体" w:hAnsi="宋体"/>
        </w:rPr>
        <w:t>3、住房城乡建设部《房屋交易与产权管理工作导则》（建办房[2015]45号）</w:t>
      </w:r>
    </w:p>
    <w:p>
      <w:pPr>
        <w:spacing w:line="360" w:lineRule="auto"/>
        <w:ind w:firstLine="422" w:firstLineChars="200"/>
        <w:rPr>
          <w:rFonts w:ascii="宋体" w:hAnsi="宋体"/>
        </w:rPr>
      </w:pPr>
      <w:r>
        <w:rPr>
          <w:rFonts w:hint="eastAsia" w:ascii="宋体" w:hAnsi="宋体"/>
        </w:rPr>
        <w:t>4、住房城乡建设部办公厅关于印发《房屋交易与产权管理工作导则》的通知</w:t>
      </w:r>
    </w:p>
    <w:p>
      <w:pPr>
        <w:spacing w:line="360" w:lineRule="auto"/>
        <w:ind w:firstLine="422" w:firstLineChars="200"/>
        <w:rPr>
          <w:rFonts w:ascii="宋体" w:hAnsi="宋体"/>
        </w:rPr>
      </w:pPr>
      <w:r>
        <w:rPr>
          <w:rFonts w:hint="eastAsia" w:ascii="宋体" w:hAnsi="宋体"/>
        </w:rPr>
        <w:t>5、湖北省住建厅《关于做好全省城镇个人住房信息系统建设和管理工作的通知》（鄂建〔2013〕21号）</w:t>
      </w:r>
    </w:p>
    <w:p>
      <w:pPr>
        <w:spacing w:line="360" w:lineRule="auto"/>
        <w:ind w:firstLine="422" w:firstLineChars="200"/>
        <w:rPr>
          <w:rFonts w:ascii="宋体" w:hAnsi="宋体"/>
          <w:szCs w:val="21"/>
        </w:rPr>
      </w:pPr>
      <w:r>
        <w:rPr>
          <w:rFonts w:hint="eastAsia" w:ascii="宋体" w:hAnsi="宋体"/>
        </w:rPr>
        <w:t>6、《省发改委关于湖北省城镇个人住房信息系统建设项目可行性研究报告的批复》（鄂发改审批服务[2014]30号）</w:t>
      </w:r>
    </w:p>
    <w:p>
      <w:pPr>
        <w:keepNext/>
        <w:keepLines/>
        <w:autoSpaceDE w:val="0"/>
        <w:autoSpaceDN w:val="0"/>
        <w:adjustRightInd w:val="0"/>
        <w:spacing w:before="240" w:after="260" w:line="360" w:lineRule="auto"/>
        <w:jc w:val="left"/>
        <w:textAlignment w:val="baseline"/>
        <w:outlineLvl w:val="1"/>
        <w:rPr>
          <w:rFonts w:ascii="宋体" w:hAnsi="宋体"/>
          <w:b/>
          <w:szCs w:val="21"/>
        </w:rPr>
      </w:pPr>
      <w:bookmarkStart w:id="79" w:name="_Toc21844"/>
      <w:r>
        <w:rPr>
          <w:rFonts w:hint="eastAsia" w:ascii="宋体" w:hAnsi="宋体"/>
          <w:b/>
          <w:szCs w:val="21"/>
        </w:rPr>
        <w:t>4、建设内容概述</w:t>
      </w:r>
      <w:bookmarkEnd w:id="61"/>
      <w:bookmarkEnd w:id="62"/>
      <w:bookmarkEnd w:id="79"/>
    </w:p>
    <w:p>
      <w:pPr>
        <w:spacing w:line="360" w:lineRule="auto"/>
        <w:ind w:firstLine="422" w:firstLineChars="200"/>
        <w:rPr>
          <w:rFonts w:ascii="宋体" w:hAnsi="宋体"/>
        </w:rPr>
      </w:pPr>
      <w:bookmarkStart w:id="80" w:name="_Toc355687250"/>
      <w:bookmarkStart w:id="81" w:name="_Toc356901018"/>
      <w:r>
        <w:rPr>
          <w:rFonts w:hint="eastAsia" w:ascii="宋体" w:hAnsi="宋体"/>
        </w:rPr>
        <w:t>在阳新县房产信息系统一期建设的基础上，建立全县个人住房信息系统基础数据中心，实时汇总全县房地产业务数据，形成统一、高效、共享、安全的城镇个人住房信息数据库，并扩展物业专项维修资金系统，统筹规划、集成整合各类房产业务资源数据和市场行为数据，最终建立阳新县房管大数据平台。具体内容如下：</w:t>
      </w:r>
    </w:p>
    <w:tbl>
      <w:tblPr>
        <w:tblStyle w:val="22"/>
        <w:tblW w:w="9255" w:type="dxa"/>
        <w:jc w:val="center"/>
        <w:tblInd w:w="1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134"/>
        <w:gridCol w:w="2180"/>
        <w:gridCol w:w="5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6" w:type="dxa"/>
            <w:tcBorders>
              <w:bottom w:val="single" w:color="auto" w:sz="4" w:space="0"/>
            </w:tcBorders>
            <w:vAlign w:val="center"/>
          </w:tcPr>
          <w:p>
            <w:pPr>
              <w:jc w:val="center"/>
              <w:rPr>
                <w:rFonts w:ascii="宋体" w:hAnsi="宋体"/>
                <w:szCs w:val="21"/>
              </w:rPr>
            </w:pPr>
            <w:r>
              <w:rPr>
                <w:rFonts w:hint="eastAsia" w:ascii="宋体" w:hAnsi="宋体"/>
                <w:szCs w:val="21"/>
              </w:rPr>
              <w:t>序号</w:t>
            </w:r>
          </w:p>
        </w:tc>
        <w:tc>
          <w:tcPr>
            <w:tcW w:w="1134"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类别</w:t>
            </w:r>
          </w:p>
        </w:tc>
        <w:tc>
          <w:tcPr>
            <w:tcW w:w="2180" w:type="dxa"/>
            <w:tcBorders>
              <w:left w:val="single" w:color="auto" w:sz="4" w:space="0"/>
            </w:tcBorders>
            <w:vAlign w:val="center"/>
          </w:tcPr>
          <w:p>
            <w:pPr>
              <w:jc w:val="center"/>
              <w:rPr>
                <w:rFonts w:ascii="宋体" w:hAnsi="宋体"/>
                <w:szCs w:val="21"/>
              </w:rPr>
            </w:pPr>
            <w:r>
              <w:rPr>
                <w:rFonts w:hint="eastAsia" w:ascii="宋体" w:hAnsi="宋体"/>
                <w:szCs w:val="21"/>
              </w:rPr>
              <w:t>系统名称</w:t>
            </w:r>
          </w:p>
        </w:tc>
        <w:tc>
          <w:tcPr>
            <w:tcW w:w="5225" w:type="dxa"/>
            <w:vAlign w:val="center"/>
          </w:tcPr>
          <w:p>
            <w:pPr>
              <w:jc w:val="center"/>
              <w:rPr>
                <w:rFonts w:ascii="宋体" w:hAnsi="宋体"/>
                <w:szCs w:val="21"/>
              </w:rPr>
            </w:pPr>
            <w:r>
              <w:rPr>
                <w:rFonts w:hint="eastAsia" w:ascii="宋体" w:hAnsi="宋体"/>
                <w:szCs w:val="21"/>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716" w:type="dxa"/>
            <w:tcBorders>
              <w:top w:val="single" w:color="auto" w:sz="4" w:space="0"/>
            </w:tcBorders>
            <w:vAlign w:val="center"/>
          </w:tcPr>
          <w:p>
            <w:pPr>
              <w:jc w:val="center"/>
              <w:rPr>
                <w:rFonts w:ascii="宋体" w:hAnsi="宋体"/>
                <w:szCs w:val="21"/>
              </w:rPr>
            </w:pPr>
            <w:r>
              <w:rPr>
                <w:rFonts w:hint="eastAsia" w:ascii="宋体" w:hAnsi="宋体"/>
                <w:szCs w:val="21"/>
              </w:rPr>
              <w:t>1</w:t>
            </w:r>
          </w:p>
        </w:tc>
        <w:tc>
          <w:tcPr>
            <w:tcW w:w="1134" w:type="dxa"/>
            <w:tcBorders>
              <w:bottom w:val="single" w:color="auto" w:sz="4" w:space="0"/>
              <w:right w:val="single" w:color="auto" w:sz="4" w:space="0"/>
            </w:tcBorders>
            <w:vAlign w:val="center"/>
          </w:tcPr>
          <w:p>
            <w:pPr>
              <w:rPr>
                <w:rFonts w:ascii="宋体" w:hAnsi="宋体"/>
                <w:szCs w:val="21"/>
              </w:rPr>
            </w:pPr>
            <w:r>
              <w:rPr>
                <w:rFonts w:hint="eastAsia" w:ascii="宋体" w:hAnsi="宋体"/>
                <w:szCs w:val="21"/>
              </w:rPr>
              <w:t>数据中心</w:t>
            </w:r>
          </w:p>
        </w:tc>
        <w:tc>
          <w:tcPr>
            <w:tcW w:w="2180" w:type="dxa"/>
            <w:tcBorders>
              <w:left w:val="single" w:color="auto" w:sz="4" w:space="0"/>
            </w:tcBorders>
            <w:vAlign w:val="center"/>
          </w:tcPr>
          <w:p>
            <w:pPr>
              <w:rPr>
                <w:rFonts w:ascii="宋体" w:hAnsi="宋体"/>
                <w:szCs w:val="21"/>
              </w:rPr>
            </w:pPr>
            <w:r>
              <w:rPr>
                <w:rFonts w:hint="eastAsia" w:ascii="宋体" w:hAnsi="宋体"/>
                <w:szCs w:val="21"/>
              </w:rPr>
              <w:t>个人住房数据中心</w:t>
            </w:r>
          </w:p>
        </w:tc>
        <w:tc>
          <w:tcPr>
            <w:tcW w:w="5225" w:type="dxa"/>
            <w:vAlign w:val="center"/>
          </w:tcPr>
          <w:p>
            <w:pPr>
              <w:pStyle w:val="43"/>
              <w:ind w:left="0" w:leftChars="0" w:firstLine="0" w:firstLineChars="0"/>
              <w:jc w:val="both"/>
              <w:rPr>
                <w:rFonts w:ascii="宋体" w:hAnsi="宋体" w:eastAsia="宋体"/>
                <w:sz w:val="21"/>
                <w:szCs w:val="21"/>
              </w:rPr>
            </w:pPr>
            <w:r>
              <w:rPr>
                <w:rFonts w:hint="eastAsia" w:ascii="宋体" w:hAnsi="宋体" w:eastAsia="宋体"/>
                <w:sz w:val="21"/>
                <w:szCs w:val="21"/>
              </w:rPr>
              <w:t>建立全县个人住房信息系统基础数据中心，实时汇总全县房地产业务数据，形成统一、高效、共享、安全的城镇个人住房信息数据库。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716" w:type="dxa"/>
            <w:tcBorders>
              <w:top w:val="single" w:color="auto" w:sz="4" w:space="0"/>
            </w:tcBorders>
            <w:vAlign w:val="center"/>
          </w:tcPr>
          <w:p>
            <w:pPr>
              <w:jc w:val="center"/>
              <w:rPr>
                <w:rFonts w:ascii="宋体" w:hAnsi="宋体"/>
                <w:szCs w:val="21"/>
              </w:rPr>
            </w:pPr>
            <w:r>
              <w:rPr>
                <w:rFonts w:hint="eastAsia" w:ascii="宋体" w:hAnsi="宋体"/>
                <w:szCs w:val="21"/>
              </w:rPr>
              <w:t>2</w:t>
            </w:r>
          </w:p>
        </w:tc>
        <w:tc>
          <w:tcPr>
            <w:tcW w:w="1134" w:type="dxa"/>
            <w:vMerge w:val="restart"/>
            <w:tcBorders>
              <w:top w:val="single" w:color="auto" w:sz="4" w:space="0"/>
              <w:right w:val="single" w:color="auto" w:sz="4" w:space="0"/>
            </w:tcBorders>
            <w:vAlign w:val="center"/>
          </w:tcPr>
          <w:p>
            <w:pPr>
              <w:rPr>
                <w:rFonts w:ascii="宋体" w:hAnsi="宋体"/>
                <w:szCs w:val="21"/>
              </w:rPr>
            </w:pPr>
            <w:r>
              <w:rPr>
                <w:rFonts w:hint="eastAsia" w:ascii="宋体" w:hAnsi="宋体"/>
                <w:szCs w:val="21"/>
              </w:rPr>
              <w:t>个人住房辅助决策应用系统</w:t>
            </w:r>
          </w:p>
        </w:tc>
        <w:tc>
          <w:tcPr>
            <w:tcW w:w="2180" w:type="dxa"/>
            <w:tcBorders>
              <w:left w:val="single" w:color="auto" w:sz="4" w:space="0"/>
            </w:tcBorders>
            <w:vAlign w:val="center"/>
          </w:tcPr>
          <w:p>
            <w:pPr>
              <w:rPr>
                <w:rFonts w:ascii="宋体" w:hAnsi="宋体"/>
                <w:szCs w:val="21"/>
              </w:rPr>
            </w:pPr>
            <w:r>
              <w:rPr>
                <w:rFonts w:hint="eastAsia" w:ascii="宋体" w:hAnsi="宋体"/>
                <w:szCs w:val="21"/>
              </w:rPr>
              <w:t>房屋生命周期管理系统</w:t>
            </w:r>
          </w:p>
        </w:tc>
        <w:tc>
          <w:tcPr>
            <w:tcW w:w="5225" w:type="dxa"/>
            <w:vAlign w:val="center"/>
          </w:tcPr>
          <w:p>
            <w:pPr>
              <w:rPr>
                <w:rFonts w:ascii="宋体" w:hAnsi="宋体"/>
                <w:szCs w:val="21"/>
              </w:rPr>
            </w:pPr>
            <w:r>
              <w:rPr>
                <w:rFonts w:hint="eastAsia"/>
              </w:rPr>
              <w:t>实现对房地产交易信息、项目信息，按照房屋从规划、预售、确权、买卖、灭失的过程进行直观的展示。城镇个人住房信息系统，通过对区域数据的集合、不同类型业务系统之间的数据集合，基于统一的共享楼盘表，基于房屋从基建到灭失的过程顺利，全方面展示该过程中的房屋的物理自然状况以及权属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716" w:type="dxa"/>
            <w:tcBorders>
              <w:top w:val="single" w:color="auto" w:sz="4" w:space="0"/>
            </w:tcBorders>
            <w:vAlign w:val="center"/>
          </w:tcPr>
          <w:p>
            <w:pPr>
              <w:jc w:val="center"/>
              <w:rPr>
                <w:rFonts w:ascii="宋体" w:hAnsi="宋体"/>
                <w:szCs w:val="21"/>
              </w:rPr>
            </w:pPr>
            <w:r>
              <w:rPr>
                <w:rFonts w:hint="eastAsia" w:ascii="宋体" w:hAnsi="宋体"/>
                <w:szCs w:val="21"/>
              </w:rPr>
              <w:t>3</w:t>
            </w:r>
          </w:p>
        </w:tc>
        <w:tc>
          <w:tcPr>
            <w:tcW w:w="1134" w:type="dxa"/>
            <w:vMerge w:val="continue"/>
            <w:tcBorders>
              <w:right w:val="single" w:color="auto" w:sz="4" w:space="0"/>
            </w:tcBorders>
            <w:vAlign w:val="center"/>
          </w:tcPr>
          <w:p>
            <w:pPr>
              <w:rPr>
                <w:rFonts w:ascii="宋体" w:hAnsi="宋体"/>
                <w:szCs w:val="21"/>
              </w:rPr>
            </w:pPr>
          </w:p>
        </w:tc>
        <w:tc>
          <w:tcPr>
            <w:tcW w:w="2180" w:type="dxa"/>
            <w:tcBorders>
              <w:left w:val="single" w:color="auto" w:sz="4" w:space="0"/>
            </w:tcBorders>
            <w:vAlign w:val="center"/>
          </w:tcPr>
          <w:p>
            <w:pPr>
              <w:rPr>
                <w:rFonts w:ascii="宋体" w:hAnsi="宋体"/>
                <w:szCs w:val="21"/>
              </w:rPr>
            </w:pPr>
            <w:r>
              <w:rPr>
                <w:rFonts w:hint="eastAsia" w:ascii="宋体" w:hAnsi="宋体"/>
                <w:szCs w:val="21"/>
              </w:rPr>
              <w:t>个人住房统计分析系统</w:t>
            </w:r>
          </w:p>
        </w:tc>
        <w:tc>
          <w:tcPr>
            <w:tcW w:w="5225" w:type="dxa"/>
            <w:vAlign w:val="center"/>
          </w:tcPr>
          <w:p>
            <w:pPr>
              <w:rPr>
                <w:rFonts w:ascii="宋体" w:hAnsi="宋体"/>
                <w:szCs w:val="21"/>
              </w:rPr>
            </w:pPr>
            <w:r>
              <w:rPr>
                <w:rFonts w:hint="eastAsia"/>
              </w:rPr>
              <w:t>通过自动地抽取新建商品房、存量房网上合同备案系统的业务数据，建立分析数据库，对房地产市场的各项数据指标进行实时，全面的统计分析。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716" w:type="dxa"/>
            <w:tcBorders>
              <w:top w:val="single" w:color="auto" w:sz="4" w:space="0"/>
            </w:tcBorders>
            <w:vAlign w:val="center"/>
          </w:tcPr>
          <w:p>
            <w:pPr>
              <w:jc w:val="center"/>
              <w:rPr>
                <w:rFonts w:ascii="宋体" w:hAnsi="宋体"/>
                <w:szCs w:val="21"/>
              </w:rPr>
            </w:pPr>
            <w:r>
              <w:rPr>
                <w:rFonts w:hint="eastAsia" w:ascii="宋体" w:hAnsi="宋体"/>
                <w:szCs w:val="21"/>
              </w:rPr>
              <w:t>4</w:t>
            </w:r>
          </w:p>
        </w:tc>
        <w:tc>
          <w:tcPr>
            <w:tcW w:w="1134" w:type="dxa"/>
            <w:vMerge w:val="continue"/>
            <w:tcBorders>
              <w:right w:val="single" w:color="auto" w:sz="4" w:space="0"/>
            </w:tcBorders>
            <w:vAlign w:val="center"/>
          </w:tcPr>
          <w:p>
            <w:pPr>
              <w:rPr>
                <w:rFonts w:ascii="宋体" w:hAnsi="宋体"/>
                <w:szCs w:val="21"/>
              </w:rPr>
            </w:pPr>
          </w:p>
        </w:tc>
        <w:tc>
          <w:tcPr>
            <w:tcW w:w="2180" w:type="dxa"/>
            <w:tcBorders>
              <w:left w:val="single" w:color="auto" w:sz="4" w:space="0"/>
            </w:tcBorders>
            <w:vAlign w:val="center"/>
          </w:tcPr>
          <w:p>
            <w:pPr>
              <w:rPr>
                <w:rFonts w:ascii="宋体" w:hAnsi="宋体"/>
                <w:szCs w:val="21"/>
              </w:rPr>
            </w:pPr>
            <w:r>
              <w:rPr>
                <w:rFonts w:hint="eastAsia" w:ascii="宋体" w:hAnsi="宋体"/>
                <w:szCs w:val="21"/>
              </w:rPr>
              <w:t>日报月报上报系统</w:t>
            </w:r>
          </w:p>
        </w:tc>
        <w:tc>
          <w:tcPr>
            <w:tcW w:w="5225" w:type="dxa"/>
            <w:vAlign w:val="center"/>
          </w:tcPr>
          <w:p>
            <w:pPr>
              <w:rPr>
                <w:rFonts w:ascii="宋体" w:hAnsi="宋体"/>
                <w:szCs w:val="21"/>
              </w:rPr>
            </w:pPr>
            <w:r>
              <w:rPr>
                <w:rFonts w:hint="eastAsia"/>
              </w:rPr>
              <w:t>根据</w:t>
            </w:r>
            <w:r>
              <w:t>《</w:t>
            </w:r>
            <w:r>
              <w:rPr>
                <w:rFonts w:hint="eastAsia"/>
              </w:rPr>
              <w:t>住房</w:t>
            </w:r>
            <w:r>
              <w:t>城乡建设部办公厅关于加快推进全国房地产</w:t>
            </w:r>
            <w:r>
              <w:rPr>
                <w:rFonts w:hint="eastAsia"/>
              </w:rPr>
              <w:t>库存</w:t>
            </w:r>
            <w:r>
              <w:t>和交易监测</w:t>
            </w:r>
            <w:r>
              <w:rPr>
                <w:rFonts w:hint="eastAsia"/>
              </w:rPr>
              <w:t>平台</w:t>
            </w:r>
            <w:r>
              <w:t>建设的通知》</w:t>
            </w:r>
            <w:r>
              <w:rPr>
                <w:rFonts w:hint="eastAsia"/>
              </w:rPr>
              <w:t>（建</w:t>
            </w:r>
            <w:r>
              <w:t>办</w:t>
            </w:r>
            <w:r>
              <w:rPr>
                <w:rFonts w:hint="eastAsia"/>
              </w:rPr>
              <w:t>房</w:t>
            </w:r>
            <w:r>
              <w:t>函</w:t>
            </w:r>
            <w:r>
              <w:rPr>
                <w:rFonts w:hint="eastAsia"/>
              </w:rPr>
              <w:t>[</w:t>
            </w:r>
            <w:r>
              <w:t>2016</w:t>
            </w:r>
            <w:r>
              <w:rPr>
                <w:rFonts w:hint="eastAsia"/>
              </w:rPr>
              <w:t>]</w:t>
            </w:r>
            <w:r>
              <w:t>582</w:t>
            </w:r>
            <w:r>
              <w:rPr>
                <w:rFonts w:hint="eastAsia"/>
              </w:rPr>
              <w:t>号）</w:t>
            </w:r>
            <w:r>
              <w:t>要求，</w:t>
            </w:r>
            <w:r>
              <w:rPr>
                <w:rFonts w:hint="eastAsia"/>
              </w:rPr>
              <w:t>实现数据每日往市里自动上报</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jc w:val="center"/>
        </w:trPr>
        <w:tc>
          <w:tcPr>
            <w:tcW w:w="716" w:type="dxa"/>
            <w:vAlign w:val="center"/>
          </w:tcPr>
          <w:p>
            <w:pPr>
              <w:jc w:val="center"/>
              <w:rPr>
                <w:rFonts w:ascii="宋体" w:hAnsi="宋体"/>
                <w:szCs w:val="21"/>
              </w:rPr>
            </w:pPr>
            <w:r>
              <w:rPr>
                <w:rFonts w:hint="eastAsia" w:ascii="宋体" w:hAnsi="宋体"/>
                <w:szCs w:val="21"/>
              </w:rPr>
              <w:t>5</w:t>
            </w:r>
          </w:p>
        </w:tc>
        <w:tc>
          <w:tcPr>
            <w:tcW w:w="1134" w:type="dxa"/>
            <w:tcBorders>
              <w:right w:val="single" w:color="auto" w:sz="4" w:space="0"/>
            </w:tcBorders>
            <w:vAlign w:val="center"/>
          </w:tcPr>
          <w:p>
            <w:pPr>
              <w:rPr>
                <w:rFonts w:ascii="宋体" w:hAnsi="宋体"/>
                <w:szCs w:val="21"/>
              </w:rPr>
            </w:pPr>
            <w:r>
              <w:rPr>
                <w:rFonts w:hint="eastAsia" w:ascii="宋体" w:hAnsi="宋体"/>
                <w:szCs w:val="21"/>
              </w:rPr>
              <w:t>扩展房管业务系统</w:t>
            </w:r>
          </w:p>
        </w:tc>
        <w:tc>
          <w:tcPr>
            <w:tcW w:w="2180" w:type="dxa"/>
            <w:tcBorders>
              <w:left w:val="single" w:color="auto" w:sz="4" w:space="0"/>
            </w:tcBorders>
            <w:vAlign w:val="center"/>
          </w:tcPr>
          <w:p>
            <w:pPr>
              <w:rPr>
                <w:rFonts w:ascii="宋体" w:hAnsi="宋体"/>
                <w:szCs w:val="21"/>
              </w:rPr>
            </w:pPr>
            <w:r>
              <w:rPr>
                <w:rFonts w:hint="eastAsia" w:ascii="宋体" w:hAnsi="宋体"/>
                <w:szCs w:val="21"/>
              </w:rPr>
              <w:t>住宅专项维修资金管理系统</w:t>
            </w:r>
          </w:p>
        </w:tc>
        <w:tc>
          <w:tcPr>
            <w:tcW w:w="5225" w:type="dxa"/>
            <w:vAlign w:val="center"/>
          </w:tcPr>
          <w:p>
            <w:pPr>
              <w:rPr>
                <w:rFonts w:ascii="宋体" w:hAnsi="宋体"/>
                <w:szCs w:val="21"/>
              </w:rPr>
            </w:pPr>
            <w:r>
              <w:rPr>
                <w:rFonts w:hint="eastAsia" w:ascii="宋体" w:hAnsi="宋体"/>
                <w:szCs w:val="21"/>
              </w:rPr>
              <w:t>实现维修资金的缴交、使用、续交、移交（退款或移交给业主委员会）以及日常管理。</w:t>
            </w:r>
          </w:p>
        </w:tc>
      </w:tr>
    </w:tbl>
    <w:p>
      <w:pPr>
        <w:spacing w:line="360" w:lineRule="auto"/>
        <w:ind w:firstLine="480"/>
        <w:rPr>
          <w:rFonts w:ascii="宋体" w:hAnsi="宋体"/>
          <w:b/>
          <w:szCs w:val="21"/>
        </w:rPr>
      </w:pPr>
    </w:p>
    <w:bookmarkEnd w:id="80"/>
    <w:bookmarkEnd w:id="81"/>
    <w:p>
      <w:pPr>
        <w:pStyle w:val="3"/>
        <w:numPr>
          <w:ilvl w:val="0"/>
          <w:numId w:val="37"/>
        </w:numPr>
        <w:tabs>
          <w:tab w:val="left" w:pos="3798"/>
        </w:tabs>
        <w:spacing w:before="0" w:after="0" w:line="360" w:lineRule="auto"/>
        <w:ind w:left="616" w:hanging="616"/>
        <w:jc w:val="left"/>
        <w:rPr>
          <w:rFonts w:ascii="宋体" w:hAnsi="宋体"/>
          <w:bCs w:val="0"/>
          <w:sz w:val="30"/>
          <w:szCs w:val="30"/>
          <w:lang w:val="zh-CN"/>
        </w:rPr>
      </w:pPr>
      <w:bookmarkStart w:id="82" w:name="_Toc355687255"/>
      <w:bookmarkStart w:id="83" w:name="_Toc356901023"/>
      <w:bookmarkStart w:id="84" w:name="_Toc1009"/>
      <w:r>
        <w:rPr>
          <w:rFonts w:hint="eastAsia" w:ascii="宋体" w:hAnsi="宋体"/>
          <w:bCs w:val="0"/>
          <w:sz w:val="30"/>
          <w:szCs w:val="30"/>
          <w:lang w:val="zh-CN"/>
        </w:rPr>
        <w:t>技术需求概述</w:t>
      </w:r>
      <w:bookmarkEnd w:id="82"/>
      <w:bookmarkEnd w:id="83"/>
      <w:bookmarkEnd w:id="84"/>
    </w:p>
    <w:p>
      <w:pPr>
        <w:spacing w:line="360" w:lineRule="auto"/>
        <w:ind w:firstLine="422" w:firstLineChars="200"/>
        <w:rPr>
          <w:rFonts w:ascii="宋体" w:hAnsi="宋体"/>
        </w:rPr>
      </w:pPr>
      <w:r>
        <w:rPr>
          <w:rFonts w:hint="eastAsia" w:ascii="宋体" w:hAnsi="宋体"/>
        </w:rPr>
        <w:t>系统必须根据业务政策法规的变化，灵活实现业务流程优化，满足房屋业务自动化、 智能化的管理要求。系统必须实现智能化的业务流程管理与逻辑规则控制，提高受理、审核环节的自动化程度。</w:t>
      </w:r>
    </w:p>
    <w:p>
      <w:pPr>
        <w:keepNext/>
        <w:keepLines/>
        <w:autoSpaceDE w:val="0"/>
        <w:autoSpaceDN w:val="0"/>
        <w:adjustRightInd w:val="0"/>
        <w:spacing w:before="240" w:after="260" w:line="360" w:lineRule="auto"/>
        <w:jc w:val="left"/>
        <w:textAlignment w:val="baseline"/>
        <w:outlineLvl w:val="1"/>
      </w:pPr>
      <w:bookmarkStart w:id="85" w:name="_Toc4750"/>
      <w:r>
        <w:rPr>
          <w:rFonts w:hint="eastAsia" w:ascii="宋体" w:hAnsi="宋体"/>
          <w:b/>
          <w:szCs w:val="21"/>
        </w:rPr>
        <w:t>1、数据中心建设要求</w:t>
      </w:r>
      <w:bookmarkEnd w:id="85"/>
    </w:p>
    <w:p>
      <w:pPr>
        <w:keepNext/>
        <w:keepLines/>
        <w:autoSpaceDE w:val="0"/>
        <w:autoSpaceDN w:val="0"/>
        <w:adjustRightInd w:val="0"/>
        <w:spacing w:before="240" w:after="260" w:line="360" w:lineRule="auto"/>
        <w:jc w:val="left"/>
        <w:textAlignment w:val="baseline"/>
        <w:outlineLvl w:val="2"/>
        <w:rPr>
          <w:rFonts w:ascii="宋体" w:hAnsi="宋体"/>
          <w:b/>
          <w:szCs w:val="21"/>
        </w:rPr>
      </w:pPr>
      <w:r>
        <w:rPr>
          <w:rFonts w:hint="eastAsia" w:ascii="宋体" w:hAnsi="宋体"/>
          <w:b/>
          <w:szCs w:val="21"/>
        </w:rPr>
        <w:t>1.1、数据标准</w:t>
      </w:r>
    </w:p>
    <w:p>
      <w:pPr>
        <w:spacing w:line="360" w:lineRule="auto"/>
        <w:ind w:firstLine="422" w:firstLineChars="200"/>
        <w:rPr>
          <w:rFonts w:ascii="宋体" w:hAnsi="宋体" w:cs="宋体"/>
          <w:sz w:val="24"/>
        </w:rPr>
      </w:pPr>
      <w:r>
        <w:rPr>
          <w:rFonts w:hint="eastAsia" w:ascii="宋体" w:hAnsi="宋体"/>
        </w:rPr>
        <w:t>遵循《房地产市场基础信息数据标准（JGJ/T 252-2011）》和《湖北省个人住房信息系统数据标准》，在其基础上结合</w:t>
      </w:r>
      <w:r>
        <w:rPr>
          <w:rFonts w:hint="eastAsia" w:ascii="宋体" w:hAnsi="宋体"/>
          <w:lang w:eastAsia="zh-CN"/>
        </w:rPr>
        <w:t>阳新县</w:t>
      </w:r>
      <w:r>
        <w:rPr>
          <w:rFonts w:hint="eastAsia" w:ascii="宋体" w:hAnsi="宋体"/>
        </w:rPr>
        <w:t>的业务现状及数据要</w:t>
      </w:r>
      <w:r>
        <w:rPr>
          <w:rFonts w:hint="eastAsia" w:ascii="宋体" w:hAnsi="宋体"/>
          <w:color w:val="auto"/>
        </w:rPr>
        <w:t>求，制定全县的数据标准规范，</w:t>
      </w:r>
      <w:r>
        <w:rPr>
          <w:rFonts w:hint="eastAsia" w:ascii="宋体" w:hAnsi="宋体"/>
        </w:rPr>
        <w:t>进行数据标准化及数据架构设计。</w:t>
      </w:r>
    </w:p>
    <w:p>
      <w:pPr>
        <w:keepNext/>
        <w:keepLines/>
        <w:autoSpaceDE w:val="0"/>
        <w:autoSpaceDN w:val="0"/>
        <w:adjustRightInd w:val="0"/>
        <w:spacing w:before="240" w:after="260" w:line="360" w:lineRule="auto"/>
        <w:jc w:val="left"/>
        <w:textAlignment w:val="baseline"/>
        <w:outlineLvl w:val="2"/>
        <w:rPr>
          <w:rFonts w:ascii="宋体" w:hAnsi="宋体"/>
          <w:b/>
          <w:szCs w:val="21"/>
        </w:rPr>
      </w:pPr>
      <w:r>
        <w:rPr>
          <w:rFonts w:hint="eastAsia" w:ascii="宋体" w:hAnsi="宋体"/>
          <w:b/>
          <w:szCs w:val="21"/>
        </w:rPr>
        <w:t>1.2、数据采集</w:t>
      </w:r>
    </w:p>
    <w:p>
      <w:pPr>
        <w:spacing w:line="360" w:lineRule="auto"/>
        <w:ind w:firstLine="422" w:firstLineChars="200"/>
        <w:rPr>
          <w:rFonts w:ascii="宋体" w:hAnsi="宋体"/>
        </w:rPr>
      </w:pPr>
      <w:r>
        <w:rPr>
          <w:rFonts w:hint="eastAsia" w:ascii="宋体" w:hAnsi="宋体"/>
        </w:rPr>
        <w:t>按照建设部标准规范，房地产数据分为基础数据、业务数据、从业主体数据、统计数据、发布数据。本次采集的数据范围既要包含住建部日报月报所涵盖的房地产交易数据、楼盘表数据等。</w:t>
      </w:r>
    </w:p>
    <w:p>
      <w:pPr>
        <w:keepNext/>
        <w:keepLines/>
        <w:autoSpaceDE w:val="0"/>
        <w:autoSpaceDN w:val="0"/>
        <w:adjustRightInd w:val="0"/>
        <w:spacing w:before="240" w:after="260" w:line="360" w:lineRule="auto"/>
        <w:jc w:val="left"/>
        <w:textAlignment w:val="baseline"/>
        <w:outlineLvl w:val="2"/>
        <w:rPr>
          <w:rFonts w:ascii="宋体" w:hAnsi="宋体"/>
          <w:b/>
          <w:szCs w:val="21"/>
        </w:rPr>
      </w:pPr>
      <w:r>
        <w:rPr>
          <w:rFonts w:hint="eastAsia" w:ascii="宋体" w:hAnsi="宋体"/>
          <w:b/>
          <w:szCs w:val="21"/>
        </w:rPr>
        <w:t>1.3、数据管理</w:t>
      </w:r>
    </w:p>
    <w:p>
      <w:pPr>
        <w:spacing w:line="360" w:lineRule="auto"/>
        <w:ind w:firstLine="422" w:firstLineChars="200"/>
        <w:jc w:val="left"/>
        <w:rPr>
          <w:rFonts w:ascii="宋体" w:hAnsi="宋体" w:cs="宋体"/>
          <w:szCs w:val="21"/>
        </w:rPr>
      </w:pPr>
      <w:r>
        <w:rPr>
          <w:rFonts w:hint="eastAsia" w:ascii="宋体" w:hAnsi="宋体" w:cs="宋体"/>
          <w:szCs w:val="21"/>
        </w:rPr>
        <w:t>数据中心管理分为四部分：元数据管理、数据维护及分析管理、数据发布服务和数据共享。</w:t>
      </w:r>
    </w:p>
    <w:p>
      <w:pPr>
        <w:spacing w:line="360" w:lineRule="auto"/>
        <w:ind w:firstLine="422" w:firstLineChars="200"/>
        <w:jc w:val="left"/>
        <w:rPr>
          <w:rFonts w:ascii="宋体" w:hAnsi="宋体" w:cs="宋体"/>
          <w:szCs w:val="21"/>
        </w:rPr>
      </w:pPr>
      <w:r>
        <w:rPr>
          <w:rFonts w:hint="eastAsia" w:ascii="宋体" w:hAnsi="宋体" w:cs="宋体"/>
          <w:b/>
          <w:szCs w:val="21"/>
        </w:rPr>
        <w:t>元数据管理：</w:t>
      </w:r>
      <w:r>
        <w:rPr>
          <w:rFonts w:hint="eastAsia" w:ascii="宋体" w:hAnsi="宋体" w:cs="宋体"/>
          <w:szCs w:val="21"/>
        </w:rPr>
        <w:t>主要对数据源和数据集的元数据进行管理，数据管理需要哪里那些数据源，每个数据源中又包含多少数据集、每个数据集的属性等信息都可以直接通过对他们的元数据管理获取到。该部分是数据管理平台的数据基础。</w:t>
      </w:r>
    </w:p>
    <w:p>
      <w:pPr>
        <w:spacing w:line="360" w:lineRule="auto"/>
        <w:ind w:firstLine="422" w:firstLineChars="200"/>
        <w:jc w:val="left"/>
        <w:rPr>
          <w:rFonts w:ascii="宋体" w:hAnsi="宋体" w:cs="宋体"/>
          <w:szCs w:val="21"/>
        </w:rPr>
      </w:pPr>
      <w:r>
        <w:rPr>
          <w:rFonts w:hint="eastAsia" w:ascii="宋体" w:hAnsi="宋体" w:cs="宋体"/>
          <w:b/>
          <w:szCs w:val="21"/>
        </w:rPr>
        <w:t>数据维护及分析管理：</w:t>
      </w:r>
      <w:r>
        <w:rPr>
          <w:rFonts w:hint="eastAsia" w:ascii="宋体" w:hAnsi="宋体" w:cs="宋体"/>
          <w:szCs w:val="21"/>
        </w:rPr>
        <w:t>主要对系统需要管理的数据集进行分类和维护的过程。根据数据集的含义不同划分不同的数据主题，方便用户从不同的数据应用视图上查看数据。同时提供对数据集中的数据进行维护，支持数据导入导出。</w:t>
      </w:r>
    </w:p>
    <w:p>
      <w:pPr>
        <w:spacing w:line="360" w:lineRule="auto"/>
        <w:ind w:firstLine="422" w:firstLineChars="200"/>
        <w:jc w:val="left"/>
        <w:rPr>
          <w:rFonts w:ascii="宋体" w:hAnsi="宋体" w:cs="宋体"/>
          <w:szCs w:val="21"/>
        </w:rPr>
      </w:pPr>
      <w:r>
        <w:rPr>
          <w:rFonts w:hint="eastAsia" w:ascii="宋体" w:hAnsi="宋体" w:cs="宋体"/>
          <w:b/>
          <w:szCs w:val="21"/>
        </w:rPr>
        <w:t>数据发布服务：</w:t>
      </w:r>
      <w:r>
        <w:rPr>
          <w:rFonts w:hint="eastAsia" w:ascii="宋体" w:hAnsi="宋体" w:cs="宋体"/>
          <w:szCs w:val="21"/>
        </w:rPr>
        <w:t>首先根据数据集和数据集中数据列的权限进行划分，根据数据的不同应用发不成不同的形式，方便用户在门户里面根据资源目录对数据进行浏览。</w:t>
      </w:r>
    </w:p>
    <w:p>
      <w:pPr>
        <w:spacing w:line="360" w:lineRule="auto"/>
        <w:ind w:firstLine="422" w:firstLineChars="200"/>
        <w:jc w:val="left"/>
        <w:rPr>
          <w:rFonts w:ascii="宋体" w:hAnsi="宋体" w:cs="宋体"/>
          <w:szCs w:val="21"/>
        </w:rPr>
      </w:pPr>
      <w:r>
        <w:rPr>
          <w:rFonts w:hint="eastAsia" w:ascii="宋体" w:hAnsi="宋体" w:cs="宋体"/>
          <w:b/>
          <w:szCs w:val="21"/>
        </w:rPr>
        <w:t>数据共享：</w:t>
      </w:r>
      <w:r>
        <w:rPr>
          <w:rFonts w:hint="eastAsia" w:ascii="宋体" w:hAnsi="宋体" w:cs="宋体"/>
          <w:szCs w:val="21"/>
        </w:rPr>
        <w:t>提供数据查询及统计查询方便用户查看各类统计报告和数据查询。</w:t>
      </w:r>
    </w:p>
    <w:p>
      <w:pPr>
        <w:keepNext/>
        <w:keepLines/>
        <w:autoSpaceDE w:val="0"/>
        <w:autoSpaceDN w:val="0"/>
        <w:adjustRightInd w:val="0"/>
        <w:spacing w:before="240" w:after="260" w:line="360" w:lineRule="auto"/>
        <w:jc w:val="left"/>
        <w:textAlignment w:val="baseline"/>
        <w:outlineLvl w:val="1"/>
        <w:rPr>
          <w:rFonts w:ascii="宋体" w:hAnsi="宋体"/>
          <w:b/>
          <w:szCs w:val="21"/>
        </w:rPr>
      </w:pPr>
      <w:bookmarkStart w:id="86" w:name="_Toc21771"/>
      <w:r>
        <w:rPr>
          <w:rFonts w:hint="eastAsia" w:ascii="宋体" w:hAnsi="宋体"/>
          <w:b/>
          <w:szCs w:val="21"/>
        </w:rPr>
        <w:t>2、个人住房辅助决策应用系统建设要求</w:t>
      </w:r>
      <w:bookmarkEnd w:id="86"/>
    </w:p>
    <w:p>
      <w:pPr>
        <w:keepNext/>
        <w:keepLines/>
        <w:autoSpaceDE w:val="0"/>
        <w:autoSpaceDN w:val="0"/>
        <w:adjustRightInd w:val="0"/>
        <w:spacing w:before="240" w:after="260" w:line="360" w:lineRule="auto"/>
        <w:jc w:val="left"/>
        <w:textAlignment w:val="baseline"/>
        <w:outlineLvl w:val="2"/>
        <w:rPr>
          <w:rFonts w:ascii="宋体" w:hAnsi="宋体"/>
          <w:b/>
          <w:szCs w:val="21"/>
        </w:rPr>
      </w:pPr>
      <w:r>
        <w:rPr>
          <w:rFonts w:hint="eastAsia" w:ascii="宋体" w:hAnsi="宋体"/>
          <w:b/>
          <w:szCs w:val="21"/>
        </w:rPr>
        <w:t>2.1、房屋生命周期管理系统</w:t>
      </w:r>
    </w:p>
    <w:p>
      <w:pPr>
        <w:spacing w:line="360" w:lineRule="auto"/>
        <w:ind w:firstLine="422" w:firstLineChars="200"/>
        <w:jc w:val="left"/>
        <w:rPr>
          <w:rFonts w:ascii="宋体" w:hAnsi="宋体" w:cs="宋体"/>
          <w:szCs w:val="21"/>
        </w:rPr>
      </w:pPr>
      <w:r>
        <w:rPr>
          <w:rFonts w:hint="eastAsia"/>
        </w:rPr>
        <w:t>实现对房地产交易信息、项目信息，按照房屋从规划、预售、确权、买卖、灭失的过程进行直观的展示。城镇个人住房信息系统，通过对区域数据的集合、不同类型业务系统之间的数据集合，基于统一的共享楼盘表，基于房屋从基建到灭失的过程顺利，全方面展示该过程中的房屋的物理自然状况以及权属状况。</w:t>
      </w:r>
    </w:p>
    <w:p>
      <w:pPr>
        <w:spacing w:line="360" w:lineRule="auto"/>
        <w:ind w:firstLine="422" w:firstLineChars="200"/>
        <w:jc w:val="left"/>
        <w:rPr>
          <w:rFonts w:ascii="宋体" w:hAnsi="宋体"/>
          <w:b/>
          <w:color w:val="000000"/>
          <w:szCs w:val="21"/>
        </w:rPr>
      </w:pPr>
      <w:r>
        <w:rPr>
          <w:rFonts w:hint="eastAsia" w:ascii="宋体" w:hAnsi="宋体"/>
          <w:b/>
          <w:color w:val="000000"/>
          <w:szCs w:val="21"/>
        </w:rPr>
        <w:t>功能要求</w:t>
      </w:r>
    </w:p>
    <w:p>
      <w:pPr>
        <w:spacing w:line="360" w:lineRule="auto"/>
        <w:ind w:firstLine="422" w:firstLineChars="200"/>
        <w:jc w:val="left"/>
        <w:rPr>
          <w:rFonts w:ascii="宋体" w:hAnsi="宋体" w:cs="宋体"/>
          <w:szCs w:val="21"/>
        </w:rPr>
      </w:pPr>
      <w:r>
        <w:rPr>
          <w:rFonts w:hint="eastAsia" w:ascii="宋体" w:hAnsi="宋体" w:cs="宋体"/>
          <w:szCs w:val="21"/>
        </w:rPr>
        <w:t>（1）项目信息查询</w:t>
      </w:r>
    </w:p>
    <w:p>
      <w:pPr>
        <w:spacing w:line="360" w:lineRule="auto"/>
        <w:ind w:firstLine="422" w:firstLineChars="200"/>
        <w:jc w:val="left"/>
        <w:rPr>
          <w:rFonts w:ascii="宋体" w:hAnsi="宋体"/>
          <w:sz w:val="24"/>
        </w:rPr>
      </w:pPr>
      <w:bookmarkStart w:id="87" w:name="_Toc337793156"/>
      <w:r>
        <w:rPr>
          <w:rFonts w:hint="eastAsia"/>
        </w:rPr>
        <w:t>主要是开发项目基本情况信息：开发企业信息、项目基本信息、项目规划信息；项目所属单体信息：楼幢信息、房屋楼盘表；规划工程规划许可证信息；建筑工程施工许可证信息；建筑工程竣工许可证信息；商品房预售许可证信息；国有土地使用权证信息；建筑用地规划许可证信息。</w:t>
      </w:r>
    </w:p>
    <w:bookmarkEnd w:id="87"/>
    <w:p>
      <w:pPr>
        <w:spacing w:line="360" w:lineRule="auto"/>
        <w:ind w:firstLine="422" w:firstLineChars="200"/>
        <w:jc w:val="left"/>
        <w:rPr>
          <w:rFonts w:ascii="宋体" w:hAnsi="宋体" w:cs="宋体"/>
          <w:szCs w:val="21"/>
        </w:rPr>
      </w:pPr>
      <w:r>
        <w:rPr>
          <w:rFonts w:hint="eastAsia" w:ascii="宋体" w:hAnsi="宋体" w:cs="宋体"/>
          <w:szCs w:val="21"/>
        </w:rPr>
        <w:t>（2）楼盘表查询</w:t>
      </w:r>
    </w:p>
    <w:p>
      <w:pPr>
        <w:spacing w:line="360" w:lineRule="auto"/>
        <w:ind w:firstLine="422" w:firstLineChars="200"/>
        <w:jc w:val="left"/>
        <w:rPr>
          <w:rFonts w:ascii="宋体" w:hAnsi="宋体"/>
          <w:sz w:val="24"/>
        </w:rPr>
      </w:pPr>
      <w:bookmarkStart w:id="88" w:name="_Toc337793157"/>
      <w:r>
        <w:rPr>
          <w:rFonts w:hint="eastAsia"/>
        </w:rPr>
        <w:t>主要是自然幢所属项目基本概况、幢的物理信息、幢的地理信息；幢的楼盘表信息：楼盘表状态、房屋全生命周期业务查看。</w:t>
      </w:r>
    </w:p>
    <w:bookmarkEnd w:id="88"/>
    <w:p>
      <w:pPr>
        <w:spacing w:line="360" w:lineRule="auto"/>
        <w:ind w:firstLine="422" w:firstLineChars="200"/>
        <w:jc w:val="left"/>
        <w:rPr>
          <w:rFonts w:ascii="宋体" w:hAnsi="宋体" w:cs="宋体"/>
          <w:szCs w:val="21"/>
        </w:rPr>
      </w:pPr>
      <w:r>
        <w:rPr>
          <w:rFonts w:hint="eastAsia" w:ascii="宋体" w:hAnsi="宋体" w:cs="宋体"/>
          <w:szCs w:val="21"/>
        </w:rPr>
        <w:t>（3）新建房合同查询</w:t>
      </w:r>
    </w:p>
    <w:p>
      <w:pPr>
        <w:spacing w:line="360" w:lineRule="auto"/>
        <w:ind w:firstLine="422" w:firstLineChars="200"/>
        <w:jc w:val="left"/>
      </w:pPr>
      <w:r>
        <w:rPr>
          <w:rFonts w:hint="eastAsia"/>
        </w:rPr>
        <w:t>主要包括新建商品房签约的房屋、权利人、签约合同概要信息。</w:t>
      </w:r>
    </w:p>
    <w:p>
      <w:pPr>
        <w:spacing w:line="360" w:lineRule="auto"/>
        <w:ind w:firstLine="422" w:firstLineChars="200"/>
        <w:jc w:val="left"/>
        <w:rPr>
          <w:rFonts w:ascii="宋体" w:hAnsi="宋体" w:cs="宋体"/>
          <w:szCs w:val="21"/>
        </w:rPr>
      </w:pPr>
      <w:r>
        <w:rPr>
          <w:rFonts w:hint="eastAsia" w:ascii="宋体" w:hAnsi="宋体" w:cs="宋体"/>
          <w:szCs w:val="21"/>
        </w:rPr>
        <w:t>（4）存量房合同查询</w:t>
      </w:r>
    </w:p>
    <w:p>
      <w:pPr>
        <w:spacing w:line="360" w:lineRule="auto"/>
        <w:ind w:firstLine="422" w:firstLineChars="200"/>
        <w:jc w:val="left"/>
      </w:pPr>
      <w:r>
        <w:rPr>
          <w:rFonts w:hint="eastAsia"/>
        </w:rPr>
        <w:t>主要包括存量商品房签约的房屋、权利人、签约合同概要信息。</w:t>
      </w:r>
    </w:p>
    <w:p>
      <w:pPr>
        <w:spacing w:line="360" w:lineRule="auto"/>
        <w:ind w:firstLine="422" w:firstLineChars="200"/>
        <w:jc w:val="left"/>
        <w:rPr>
          <w:rFonts w:ascii="宋体" w:hAnsi="宋体" w:cs="宋体"/>
          <w:szCs w:val="21"/>
        </w:rPr>
      </w:pPr>
      <w:r>
        <w:rPr>
          <w:rFonts w:hint="eastAsia" w:ascii="宋体" w:hAnsi="宋体" w:cs="宋体"/>
          <w:szCs w:val="21"/>
        </w:rPr>
        <w:t>（5）房屋交易信息查询</w:t>
      </w:r>
    </w:p>
    <w:p>
      <w:pPr>
        <w:spacing w:line="360" w:lineRule="auto"/>
        <w:ind w:firstLine="422" w:firstLineChars="200"/>
        <w:jc w:val="left"/>
      </w:pPr>
      <w:r>
        <w:rPr>
          <w:rFonts w:hint="eastAsia"/>
        </w:rPr>
        <w:t>主要包括登记房屋的交易信息、档案信息等。</w:t>
      </w:r>
    </w:p>
    <w:p>
      <w:pPr>
        <w:keepNext/>
        <w:keepLines/>
        <w:autoSpaceDE w:val="0"/>
        <w:autoSpaceDN w:val="0"/>
        <w:adjustRightInd w:val="0"/>
        <w:spacing w:before="240" w:after="260" w:line="360" w:lineRule="auto"/>
        <w:jc w:val="left"/>
        <w:textAlignment w:val="baseline"/>
        <w:outlineLvl w:val="2"/>
        <w:rPr>
          <w:rFonts w:ascii="宋体" w:hAnsi="宋体"/>
          <w:b/>
          <w:szCs w:val="21"/>
        </w:rPr>
      </w:pPr>
      <w:r>
        <w:rPr>
          <w:rFonts w:hint="eastAsia" w:ascii="宋体" w:hAnsi="宋体"/>
          <w:b/>
          <w:szCs w:val="21"/>
        </w:rPr>
        <w:t>2.2、个人住房统计分析系统</w:t>
      </w:r>
    </w:p>
    <w:p>
      <w:pPr>
        <w:spacing w:line="360" w:lineRule="auto"/>
        <w:ind w:firstLine="422" w:firstLineChars="200"/>
        <w:jc w:val="left"/>
      </w:pPr>
      <w:r>
        <w:rPr>
          <w:rFonts w:hint="eastAsia"/>
        </w:rPr>
        <w:t>通过自动地抽取新建商品房、存量房网上合同备案系统的业务数据，建立分析数据库，对房地产市场的各项数据指标进行实时，全面的统计分析。</w:t>
      </w:r>
    </w:p>
    <w:p>
      <w:pPr>
        <w:spacing w:line="360" w:lineRule="auto"/>
        <w:ind w:firstLine="422" w:firstLineChars="200"/>
        <w:jc w:val="left"/>
        <w:rPr>
          <w:rFonts w:ascii="宋体" w:hAnsi="宋体" w:cs="宋体"/>
          <w:b/>
          <w:szCs w:val="21"/>
        </w:rPr>
      </w:pPr>
      <w:r>
        <w:rPr>
          <w:rFonts w:hint="eastAsia" w:ascii="宋体" w:hAnsi="宋体" w:cs="宋体"/>
          <w:b/>
          <w:szCs w:val="21"/>
        </w:rPr>
        <w:t>功能要求</w:t>
      </w:r>
    </w:p>
    <w:p>
      <w:pPr>
        <w:spacing w:line="360" w:lineRule="auto"/>
        <w:ind w:firstLine="422" w:firstLineChars="200"/>
        <w:jc w:val="left"/>
      </w:pPr>
      <w:r>
        <w:rPr>
          <w:rFonts w:hint="eastAsia"/>
        </w:rPr>
        <w:t>（1）市场供应统计分析</w:t>
      </w:r>
    </w:p>
    <w:p>
      <w:pPr>
        <w:spacing w:line="360" w:lineRule="auto"/>
        <w:ind w:firstLine="422" w:firstLineChars="200"/>
        <w:jc w:val="left"/>
      </w:pPr>
      <w:r>
        <w:rPr>
          <w:rFonts w:hint="eastAsia"/>
        </w:rPr>
        <w:t>按</w:t>
      </w:r>
      <w:r>
        <w:t>区域、时间</w:t>
      </w:r>
      <w:r>
        <w:rPr>
          <w:rFonts w:hint="eastAsia"/>
        </w:rPr>
        <w:t>、</w:t>
      </w:r>
      <w:r>
        <w:t>房屋</w:t>
      </w:r>
      <w:r>
        <w:rPr>
          <w:rFonts w:hint="eastAsia"/>
        </w:rPr>
        <w:t>类型（</w:t>
      </w:r>
      <w:r>
        <w:t>住宅、非住宅）统计预售提供房屋的面积和套数</w:t>
      </w:r>
      <w:r>
        <w:rPr>
          <w:rFonts w:hint="eastAsia"/>
        </w:rPr>
        <w:t>；</w:t>
      </w:r>
    </w:p>
    <w:p>
      <w:pPr>
        <w:spacing w:line="360" w:lineRule="auto"/>
        <w:ind w:firstLine="422" w:firstLineChars="200"/>
        <w:jc w:val="left"/>
      </w:pPr>
      <w:r>
        <w:rPr>
          <w:rFonts w:hint="eastAsia"/>
        </w:rPr>
        <w:t>（2）市场需求统计分析</w:t>
      </w:r>
    </w:p>
    <w:p>
      <w:pPr>
        <w:spacing w:line="360" w:lineRule="auto"/>
        <w:ind w:firstLine="422" w:firstLineChars="200"/>
        <w:jc w:val="left"/>
      </w:pPr>
      <w:r>
        <w:rPr>
          <w:rFonts w:hint="eastAsia"/>
        </w:rPr>
        <w:t>按</w:t>
      </w:r>
      <w:r>
        <w:t>区域、时间、房屋</w:t>
      </w:r>
      <w:r>
        <w:rPr>
          <w:rFonts w:hint="eastAsia"/>
        </w:rPr>
        <w:t>类型（</w:t>
      </w:r>
      <w:r>
        <w:t>住宅、非住宅）</w:t>
      </w:r>
      <w:r>
        <w:rPr>
          <w:rFonts w:hint="eastAsia"/>
        </w:rPr>
        <w:t>统计</w:t>
      </w:r>
      <w:r>
        <w:t>新建房网签的房屋的</w:t>
      </w:r>
      <w:r>
        <w:rPr>
          <w:rFonts w:hint="eastAsia"/>
        </w:rPr>
        <w:t>面积</w:t>
      </w:r>
      <w:r>
        <w:t>、套数、均价</w:t>
      </w:r>
      <w:r>
        <w:rPr>
          <w:rFonts w:hint="eastAsia"/>
        </w:rPr>
        <w:t>；</w:t>
      </w:r>
    </w:p>
    <w:p>
      <w:pPr>
        <w:spacing w:line="360" w:lineRule="auto"/>
        <w:ind w:firstLine="422" w:firstLineChars="200"/>
        <w:jc w:val="left"/>
      </w:pPr>
      <w:r>
        <w:rPr>
          <w:rFonts w:hint="eastAsia"/>
        </w:rPr>
        <w:t>（3）市场库存统计分析</w:t>
      </w:r>
    </w:p>
    <w:p>
      <w:pPr>
        <w:spacing w:line="360" w:lineRule="auto"/>
        <w:ind w:firstLine="422" w:firstLineChars="200"/>
        <w:jc w:val="left"/>
      </w:pPr>
      <w:r>
        <w:rPr>
          <w:rFonts w:hint="eastAsia"/>
        </w:rPr>
        <w:t>按</w:t>
      </w:r>
      <w:r>
        <w:t>区域、截止时间</w:t>
      </w:r>
      <w:r>
        <w:rPr>
          <w:rFonts w:hint="eastAsia"/>
        </w:rPr>
        <w:t>、</w:t>
      </w:r>
      <w:r>
        <w:t>房屋类型（住宅、非住宅）统计新建商品房累计库存</w:t>
      </w:r>
      <w:r>
        <w:rPr>
          <w:rFonts w:hint="eastAsia"/>
        </w:rPr>
        <w:t>套数</w:t>
      </w:r>
      <w:r>
        <w:t>和面积</w:t>
      </w:r>
      <w:r>
        <w:rPr>
          <w:rFonts w:hint="eastAsia"/>
        </w:rPr>
        <w:t>。</w:t>
      </w:r>
    </w:p>
    <w:p>
      <w:pPr>
        <w:spacing w:line="360" w:lineRule="auto"/>
        <w:ind w:firstLine="422" w:firstLineChars="200"/>
        <w:jc w:val="left"/>
        <w:rPr>
          <w:rFonts w:ascii="宋体" w:hAnsi="宋体" w:cs="宋体"/>
          <w:szCs w:val="21"/>
        </w:rPr>
      </w:pPr>
      <w:r>
        <w:rPr>
          <w:rFonts w:hint="eastAsia" w:ascii="宋体" w:hAnsi="宋体" w:cs="宋体"/>
          <w:szCs w:val="21"/>
        </w:rPr>
        <w:t>（4）智能统计分析</w:t>
      </w:r>
    </w:p>
    <w:p>
      <w:pPr>
        <w:spacing w:line="360" w:lineRule="auto"/>
        <w:ind w:firstLine="422" w:firstLineChars="200"/>
        <w:jc w:val="left"/>
        <w:rPr>
          <w:rFonts w:ascii="宋体" w:hAnsi="宋体" w:cs="宋体"/>
          <w:szCs w:val="21"/>
        </w:rPr>
      </w:pPr>
      <w:r>
        <w:rPr>
          <w:rFonts w:hint="eastAsia" w:ascii="宋体" w:hAnsi="宋体" w:cs="宋体"/>
          <w:szCs w:val="21"/>
        </w:rPr>
        <w:t>实现多维度自助统计分析，</w:t>
      </w:r>
      <w:r>
        <w:rPr>
          <w:rFonts w:hint="eastAsia" w:ascii="宋体" w:hAnsi="宋体" w:cs="宋体"/>
          <w:color w:val="000000"/>
        </w:rPr>
        <w:t>支持快速开发能力的自定义电子表单功能</w:t>
      </w:r>
      <w:r>
        <w:rPr>
          <w:rFonts w:hint="eastAsia" w:ascii="宋体" w:hAnsi="宋体" w:cs="宋体"/>
          <w:szCs w:val="21"/>
        </w:rPr>
        <w:t>。</w:t>
      </w:r>
    </w:p>
    <w:p>
      <w:pPr>
        <w:keepNext/>
        <w:keepLines/>
        <w:autoSpaceDE w:val="0"/>
        <w:autoSpaceDN w:val="0"/>
        <w:adjustRightInd w:val="0"/>
        <w:spacing w:before="240" w:after="260" w:line="360" w:lineRule="auto"/>
        <w:jc w:val="left"/>
        <w:textAlignment w:val="baseline"/>
        <w:outlineLvl w:val="2"/>
        <w:rPr>
          <w:rFonts w:ascii="宋体" w:hAnsi="宋体"/>
          <w:b/>
          <w:szCs w:val="21"/>
        </w:rPr>
      </w:pPr>
      <w:r>
        <w:rPr>
          <w:rFonts w:hint="eastAsia" w:ascii="宋体" w:hAnsi="宋体"/>
          <w:b/>
          <w:szCs w:val="21"/>
        </w:rPr>
        <w:t>2.3、日报月报上报系统</w:t>
      </w:r>
    </w:p>
    <w:p>
      <w:pPr>
        <w:spacing w:line="360" w:lineRule="auto"/>
        <w:ind w:firstLine="422" w:firstLineChars="200"/>
        <w:jc w:val="left"/>
      </w:pPr>
      <w:r>
        <w:rPr>
          <w:rFonts w:hint="eastAsia"/>
        </w:rPr>
        <w:t>根据</w:t>
      </w:r>
      <w:r>
        <w:t>《</w:t>
      </w:r>
      <w:r>
        <w:rPr>
          <w:rFonts w:hint="eastAsia"/>
        </w:rPr>
        <w:t>住房</w:t>
      </w:r>
      <w:r>
        <w:t>城乡建设部办公厅关于加快推进全国房地产</w:t>
      </w:r>
      <w:r>
        <w:rPr>
          <w:rFonts w:hint="eastAsia"/>
        </w:rPr>
        <w:t>库存</w:t>
      </w:r>
      <w:r>
        <w:t>和交易监测</w:t>
      </w:r>
      <w:r>
        <w:rPr>
          <w:rFonts w:hint="eastAsia"/>
        </w:rPr>
        <w:t>平台</w:t>
      </w:r>
      <w:r>
        <w:t>建设的通知》</w:t>
      </w:r>
      <w:r>
        <w:rPr>
          <w:rFonts w:hint="eastAsia"/>
        </w:rPr>
        <w:t>（建</w:t>
      </w:r>
      <w:r>
        <w:t>办</w:t>
      </w:r>
      <w:r>
        <w:rPr>
          <w:rFonts w:hint="eastAsia"/>
        </w:rPr>
        <w:t>房</w:t>
      </w:r>
      <w:r>
        <w:t>函</w:t>
      </w:r>
      <w:r>
        <w:rPr>
          <w:rFonts w:hint="eastAsia"/>
        </w:rPr>
        <w:t>[</w:t>
      </w:r>
      <w:r>
        <w:t>2016</w:t>
      </w:r>
      <w:r>
        <w:rPr>
          <w:rFonts w:hint="eastAsia"/>
        </w:rPr>
        <w:t>]</w:t>
      </w:r>
      <w:r>
        <w:t>582</w:t>
      </w:r>
      <w:r>
        <w:rPr>
          <w:rFonts w:hint="eastAsia"/>
        </w:rPr>
        <w:t>号）</w:t>
      </w:r>
      <w:r>
        <w:t>要求，</w:t>
      </w:r>
      <w:r>
        <w:rPr>
          <w:rFonts w:hint="eastAsia"/>
        </w:rPr>
        <w:t>实现数据每日往市里自动上报</w:t>
      </w:r>
      <w:r>
        <w:t>。</w:t>
      </w:r>
    </w:p>
    <w:p>
      <w:pPr>
        <w:spacing w:line="360" w:lineRule="auto"/>
        <w:ind w:firstLine="422" w:firstLineChars="200"/>
        <w:jc w:val="left"/>
        <w:rPr>
          <w:b/>
        </w:rPr>
      </w:pPr>
      <w:r>
        <w:rPr>
          <w:rFonts w:hint="eastAsia"/>
          <w:b/>
        </w:rPr>
        <w:t>功能要求</w:t>
      </w:r>
    </w:p>
    <w:p>
      <w:pPr>
        <w:spacing w:line="360" w:lineRule="auto"/>
        <w:ind w:firstLine="422" w:firstLineChars="200"/>
        <w:jc w:val="left"/>
      </w:pPr>
      <w:r>
        <w:rPr>
          <w:rFonts w:hint="eastAsia"/>
        </w:rPr>
        <w:t>（1）日报月报数据自动上报</w:t>
      </w:r>
    </w:p>
    <w:p>
      <w:pPr>
        <w:spacing w:line="360" w:lineRule="auto"/>
        <w:ind w:firstLine="422" w:firstLineChars="200"/>
        <w:jc w:val="left"/>
      </w:pPr>
      <w:r>
        <w:rPr>
          <w:rFonts w:hint="eastAsia"/>
        </w:rPr>
        <w:t>系统</w:t>
      </w:r>
      <w:r>
        <w:t>自动</w:t>
      </w:r>
      <w:r>
        <w:rPr>
          <w:rFonts w:hint="eastAsia"/>
        </w:rPr>
        <w:t>汇总</w:t>
      </w:r>
      <w:r>
        <w:t>每天各个区县新建商品房、存量房交易的套数、面积、金额</w:t>
      </w:r>
      <w:r>
        <w:rPr>
          <w:rFonts w:hint="eastAsia"/>
        </w:rPr>
        <w:t>；</w:t>
      </w:r>
    </w:p>
    <w:p>
      <w:pPr>
        <w:spacing w:line="360" w:lineRule="auto"/>
        <w:ind w:firstLine="422" w:firstLineChars="200"/>
        <w:jc w:val="left"/>
      </w:pPr>
      <w:r>
        <w:rPr>
          <w:rFonts w:hint="eastAsia"/>
        </w:rPr>
        <w:t>（2）日报月报汇总统计</w:t>
      </w:r>
    </w:p>
    <w:p>
      <w:pPr>
        <w:spacing w:line="360" w:lineRule="auto"/>
        <w:ind w:firstLine="422" w:firstLineChars="200"/>
        <w:jc w:val="left"/>
      </w:pPr>
      <w:r>
        <w:rPr>
          <w:rFonts w:hint="eastAsia"/>
        </w:rPr>
        <w:t>可</w:t>
      </w:r>
      <w:r>
        <w:t>按天、按</w:t>
      </w:r>
      <w:r>
        <w:rPr>
          <w:rFonts w:hint="eastAsia"/>
        </w:rPr>
        <w:t>周</w:t>
      </w:r>
      <w:r>
        <w:t>、按月自定义时间，汇总统计各个区县新建房、存量房交易的套数、面积、金额，并通过柱形图、线状图反映变化趋势，支持打印与输出</w:t>
      </w:r>
      <w:r>
        <w:rPr>
          <w:rFonts w:hint="eastAsia"/>
        </w:rPr>
        <w:t>；</w:t>
      </w:r>
    </w:p>
    <w:p>
      <w:pPr>
        <w:keepNext/>
        <w:keepLines/>
        <w:autoSpaceDE w:val="0"/>
        <w:autoSpaceDN w:val="0"/>
        <w:adjustRightInd w:val="0"/>
        <w:spacing w:before="240" w:after="260" w:line="360" w:lineRule="auto"/>
        <w:jc w:val="left"/>
        <w:textAlignment w:val="baseline"/>
        <w:outlineLvl w:val="1"/>
        <w:rPr>
          <w:rFonts w:ascii="宋体" w:hAnsi="宋体"/>
          <w:b/>
          <w:szCs w:val="21"/>
        </w:rPr>
      </w:pPr>
      <w:bookmarkStart w:id="89" w:name="_Toc18820"/>
      <w:r>
        <w:rPr>
          <w:rFonts w:hint="eastAsia" w:ascii="宋体" w:hAnsi="宋体"/>
          <w:b/>
          <w:szCs w:val="21"/>
        </w:rPr>
        <w:t>3、扩展房管业务系统</w:t>
      </w:r>
      <w:bookmarkEnd w:id="89"/>
    </w:p>
    <w:p>
      <w:pPr>
        <w:keepNext/>
        <w:keepLines/>
        <w:autoSpaceDE w:val="0"/>
        <w:autoSpaceDN w:val="0"/>
        <w:adjustRightInd w:val="0"/>
        <w:spacing w:before="240" w:after="260" w:line="360" w:lineRule="auto"/>
        <w:jc w:val="left"/>
        <w:textAlignment w:val="baseline"/>
        <w:outlineLvl w:val="2"/>
        <w:rPr>
          <w:rFonts w:ascii="宋体" w:hAnsi="宋体"/>
          <w:b/>
          <w:szCs w:val="21"/>
        </w:rPr>
      </w:pPr>
      <w:r>
        <w:rPr>
          <w:rFonts w:hint="eastAsia" w:ascii="宋体" w:hAnsi="宋体"/>
          <w:b/>
          <w:szCs w:val="21"/>
        </w:rPr>
        <w:t>3.1、住宅专项维修资金管理系统</w:t>
      </w:r>
    </w:p>
    <w:p>
      <w:pPr>
        <w:spacing w:line="360" w:lineRule="auto"/>
        <w:ind w:firstLine="474" w:firstLineChars="225"/>
        <w:rPr>
          <w:rFonts w:ascii="宋体" w:hAnsi="宋体"/>
          <w:szCs w:val="21"/>
        </w:rPr>
      </w:pPr>
      <w:r>
        <w:rPr>
          <w:rFonts w:hint="eastAsia" w:ascii="宋体" w:hAnsi="宋体"/>
          <w:szCs w:val="21"/>
        </w:rPr>
        <w:t>住宅专项维修资金管理系统，将实现对资金缴存、分摊使用、结算、派息帐户管理等整个业务流程及账务的自动化管理，保证资金的安全使用。住宅专项维修资金系统应满足《</w:t>
      </w:r>
      <w:r>
        <w:rPr>
          <w:rFonts w:ascii="宋体" w:hAnsi="宋体"/>
          <w:szCs w:val="21"/>
        </w:rPr>
        <w:t>湖北省住宅专项维修资金管理办法</w:t>
      </w:r>
      <w:r>
        <w:rPr>
          <w:rFonts w:hint="eastAsia" w:ascii="宋体" w:hAnsi="宋体"/>
          <w:szCs w:val="21"/>
        </w:rPr>
        <w:t>》</w:t>
      </w:r>
      <w:r>
        <w:rPr>
          <w:rFonts w:ascii="宋体" w:hAnsi="宋体"/>
          <w:szCs w:val="21"/>
        </w:rPr>
        <w:t>（征求意见稿）</w:t>
      </w:r>
      <w:r>
        <w:rPr>
          <w:rFonts w:hint="eastAsia" w:ascii="宋体" w:hAnsi="宋体"/>
          <w:szCs w:val="21"/>
        </w:rPr>
        <w:t>的相关要求。</w:t>
      </w:r>
    </w:p>
    <w:p>
      <w:pPr>
        <w:spacing w:line="360" w:lineRule="auto"/>
        <w:ind w:firstLine="474" w:firstLineChars="225"/>
        <w:rPr>
          <w:rFonts w:ascii="宋体" w:hAnsi="宋体"/>
          <w:b/>
          <w:szCs w:val="21"/>
        </w:rPr>
      </w:pPr>
      <w:r>
        <w:rPr>
          <w:rFonts w:hint="eastAsia" w:ascii="宋体" w:hAnsi="宋体"/>
          <w:b/>
          <w:szCs w:val="21"/>
        </w:rPr>
        <w:t>功能要求</w:t>
      </w:r>
    </w:p>
    <w:p>
      <w:pPr>
        <w:spacing w:line="360" w:lineRule="auto"/>
        <w:ind w:firstLine="474" w:firstLineChars="225"/>
        <w:rPr>
          <w:rFonts w:ascii="宋体" w:hAnsi="宋体"/>
          <w:szCs w:val="21"/>
        </w:rPr>
      </w:pPr>
      <w:r>
        <w:rPr>
          <w:rFonts w:hint="eastAsia" w:ascii="宋体" w:hAnsi="宋体"/>
          <w:szCs w:val="21"/>
        </w:rPr>
        <w:t>1、维修资金缴交：商品房屋的业主应当在办理房屋入住手续前，将首期专项维修资金存入专项维修资金专户。提供首次归集、续交归集、综合处理、打印缴款单等功能。</w:t>
      </w:r>
    </w:p>
    <w:p>
      <w:pPr>
        <w:spacing w:line="360" w:lineRule="auto"/>
        <w:ind w:firstLine="474" w:firstLineChars="225"/>
        <w:rPr>
          <w:rFonts w:ascii="宋体" w:hAnsi="宋体"/>
          <w:szCs w:val="21"/>
        </w:rPr>
      </w:pPr>
      <w:r>
        <w:rPr>
          <w:rFonts w:hint="eastAsia" w:ascii="宋体" w:hAnsi="宋体"/>
          <w:szCs w:val="21"/>
        </w:rPr>
        <w:t>2、维修资金续筹：专项维修资金不敷使用时，经当地房地产行政主管部门或业主大会研究决定，按业主占有的住宅建筑面积比例向业主续筹。</w:t>
      </w:r>
    </w:p>
    <w:p>
      <w:pPr>
        <w:spacing w:line="360" w:lineRule="auto"/>
        <w:ind w:firstLine="474" w:firstLineChars="225"/>
        <w:rPr>
          <w:rFonts w:ascii="宋体" w:hAnsi="宋体"/>
          <w:szCs w:val="21"/>
        </w:rPr>
      </w:pPr>
      <w:r>
        <w:rPr>
          <w:rFonts w:hint="eastAsia" w:ascii="宋体" w:hAnsi="宋体"/>
          <w:szCs w:val="21"/>
        </w:rPr>
        <w:t>3、维修资金计息：维修资金自存入维修资金专户之日起按规定计息，利息分配到户。维修资金利息净收益转作维修资金滚存使用和管理。</w:t>
      </w:r>
    </w:p>
    <w:p>
      <w:pPr>
        <w:spacing w:line="360" w:lineRule="auto"/>
        <w:ind w:firstLine="474" w:firstLineChars="225"/>
        <w:rPr>
          <w:rFonts w:ascii="宋体" w:hAnsi="宋体"/>
          <w:szCs w:val="21"/>
        </w:rPr>
      </w:pPr>
      <w:r>
        <w:rPr>
          <w:rFonts w:hint="eastAsia" w:ascii="宋体" w:hAnsi="宋体"/>
          <w:szCs w:val="21"/>
        </w:rPr>
        <w:t>4、维修资金使用：提供使用申报、申报授理、申报审批、使用分摊、拨付执行、使用入账、使用结算、归档备案、资料扫描上传等功能。</w:t>
      </w:r>
    </w:p>
    <w:p>
      <w:pPr>
        <w:spacing w:line="360" w:lineRule="auto"/>
        <w:ind w:firstLine="474" w:firstLineChars="225"/>
        <w:rPr>
          <w:rFonts w:ascii="宋体" w:hAnsi="宋体"/>
          <w:szCs w:val="21"/>
        </w:rPr>
      </w:pPr>
      <w:r>
        <w:rPr>
          <w:rFonts w:hint="eastAsia" w:ascii="宋体" w:hAnsi="宋体"/>
          <w:szCs w:val="21"/>
        </w:rPr>
        <w:t>5、维修资金监督：提供转移过户、销户申请、维修资金退换等功能。</w:t>
      </w:r>
    </w:p>
    <w:p>
      <w:pPr>
        <w:keepNext/>
        <w:keepLines/>
        <w:autoSpaceDE w:val="0"/>
        <w:autoSpaceDN w:val="0"/>
        <w:adjustRightInd w:val="0"/>
        <w:spacing w:before="240" w:after="260" w:line="360" w:lineRule="auto"/>
        <w:jc w:val="left"/>
        <w:textAlignment w:val="baseline"/>
        <w:outlineLvl w:val="1"/>
        <w:rPr>
          <w:rFonts w:ascii="宋体" w:hAnsi="宋体"/>
          <w:b/>
          <w:szCs w:val="21"/>
        </w:rPr>
      </w:pPr>
      <w:bookmarkStart w:id="90" w:name="_Toc25462"/>
      <w:r>
        <w:rPr>
          <w:rFonts w:hint="eastAsia" w:ascii="宋体" w:hAnsi="宋体"/>
          <w:b/>
          <w:szCs w:val="21"/>
        </w:rPr>
        <w:t>4、建设周期要求</w:t>
      </w:r>
      <w:bookmarkEnd w:id="90"/>
    </w:p>
    <w:p>
      <w:pPr>
        <w:spacing w:line="360" w:lineRule="auto"/>
        <w:ind w:firstLine="474" w:firstLineChars="225"/>
        <w:rPr>
          <w:rFonts w:ascii="宋体" w:hAnsi="宋体"/>
          <w:szCs w:val="21"/>
        </w:rPr>
      </w:pPr>
      <w:r>
        <w:rPr>
          <w:rFonts w:hint="eastAsia" w:ascii="宋体" w:hAnsi="宋体"/>
          <w:szCs w:val="21"/>
        </w:rPr>
        <w:t>从合同签订之日起60个工作日内完成需求调研、概要设计、详细设计与开发、系统测试工作及实施部署工作。</w:t>
      </w:r>
    </w:p>
    <w:p>
      <w:pPr>
        <w:keepNext/>
        <w:keepLines/>
        <w:autoSpaceDE w:val="0"/>
        <w:autoSpaceDN w:val="0"/>
        <w:adjustRightInd w:val="0"/>
        <w:spacing w:before="240" w:after="260" w:line="360" w:lineRule="auto"/>
        <w:jc w:val="left"/>
        <w:textAlignment w:val="baseline"/>
        <w:outlineLvl w:val="1"/>
        <w:rPr>
          <w:rFonts w:ascii="宋体" w:hAnsi="宋体"/>
          <w:b/>
          <w:szCs w:val="21"/>
        </w:rPr>
      </w:pPr>
      <w:bookmarkStart w:id="91" w:name="_Toc350419290"/>
      <w:bookmarkEnd w:id="91"/>
      <w:bookmarkStart w:id="92" w:name="_Toc353752451"/>
      <w:bookmarkEnd w:id="92"/>
      <w:bookmarkStart w:id="93" w:name="_Toc332871993"/>
      <w:bookmarkEnd w:id="93"/>
      <w:bookmarkStart w:id="94" w:name="_Toc353547239"/>
      <w:bookmarkEnd w:id="94"/>
      <w:bookmarkStart w:id="95" w:name="_Toc351035595"/>
      <w:bookmarkEnd w:id="95"/>
      <w:bookmarkStart w:id="96" w:name="_Toc353547238"/>
      <w:bookmarkEnd w:id="96"/>
      <w:bookmarkStart w:id="97" w:name="_Toc332872222"/>
      <w:bookmarkEnd w:id="97"/>
      <w:bookmarkStart w:id="98" w:name="_Toc353752450"/>
      <w:bookmarkEnd w:id="98"/>
      <w:bookmarkStart w:id="99" w:name="_Toc332872180"/>
      <w:bookmarkEnd w:id="99"/>
      <w:bookmarkStart w:id="100" w:name="_Toc350419289"/>
      <w:bookmarkEnd w:id="100"/>
      <w:bookmarkStart w:id="101" w:name="_Toc353655152"/>
      <w:bookmarkEnd w:id="101"/>
      <w:bookmarkStart w:id="102" w:name="_Toc353655153"/>
      <w:bookmarkEnd w:id="102"/>
      <w:bookmarkStart w:id="103" w:name="_Toc351035594"/>
      <w:bookmarkEnd w:id="103"/>
      <w:bookmarkStart w:id="104" w:name="_Toc334770380"/>
      <w:bookmarkEnd w:id="104"/>
      <w:bookmarkStart w:id="105" w:name="_Toc28155"/>
      <w:r>
        <w:rPr>
          <w:rFonts w:hint="eastAsia" w:ascii="宋体" w:hAnsi="宋体"/>
          <w:b/>
          <w:szCs w:val="21"/>
        </w:rPr>
        <w:t>5、售后服务要求</w:t>
      </w:r>
      <w:bookmarkEnd w:id="105"/>
    </w:p>
    <w:p>
      <w:pPr>
        <w:widowControl/>
        <w:snapToGrid w:val="0"/>
        <w:spacing w:line="360" w:lineRule="auto"/>
        <w:ind w:firstLine="422" w:firstLineChars="200"/>
        <w:jc w:val="left"/>
        <w:rPr>
          <w:rFonts w:ascii="宋体" w:hAnsi="宋体"/>
          <w:szCs w:val="21"/>
        </w:rPr>
      </w:pPr>
      <w:r>
        <w:rPr>
          <w:rFonts w:hint="eastAsia" w:ascii="宋体" w:hAnsi="宋体"/>
          <w:szCs w:val="21"/>
        </w:rPr>
        <w:t>中标单位应及时提供各种售后服务和技术支持，并有长期服务和支持的保障。售后服务和</w:t>
      </w:r>
      <w:r>
        <w:rPr>
          <w:rFonts w:ascii="宋体" w:hAnsi="宋体"/>
          <w:szCs w:val="21"/>
        </w:rPr>
        <w:t>技术支持</w:t>
      </w:r>
      <w:r>
        <w:rPr>
          <w:rFonts w:hint="eastAsia" w:ascii="宋体" w:hAnsi="宋体"/>
          <w:szCs w:val="21"/>
        </w:rPr>
        <w:t xml:space="preserve">的基本要求如下： </w:t>
      </w:r>
    </w:p>
    <w:p>
      <w:pPr>
        <w:widowControl/>
        <w:snapToGrid w:val="0"/>
        <w:spacing w:line="360" w:lineRule="auto"/>
        <w:ind w:firstLine="422" w:firstLineChars="200"/>
        <w:jc w:val="left"/>
        <w:rPr>
          <w:rFonts w:ascii="宋体" w:hAnsi="宋体"/>
          <w:szCs w:val="21"/>
        </w:rPr>
      </w:pPr>
      <w:r>
        <w:rPr>
          <w:rFonts w:hint="eastAsia" w:ascii="宋体" w:hAnsi="宋体"/>
          <w:szCs w:val="21"/>
        </w:rPr>
        <w:t>在系统竣工验收后，中标单位应提供至少1年的免费维护期，在免费维护期内，提供系统版本免费升级以及对软件进行维护和完善。在免费维护期内，如果发生故障，中标单位要调查故障原因并修复直至满足验收指标和性能的要求。</w:t>
      </w:r>
    </w:p>
    <w:p>
      <w:pPr>
        <w:keepNext/>
        <w:keepLines/>
        <w:autoSpaceDE w:val="0"/>
        <w:autoSpaceDN w:val="0"/>
        <w:adjustRightInd w:val="0"/>
        <w:spacing w:before="240" w:after="260" w:line="360" w:lineRule="auto"/>
        <w:jc w:val="left"/>
        <w:textAlignment w:val="baseline"/>
        <w:outlineLvl w:val="1"/>
        <w:rPr>
          <w:rFonts w:ascii="宋体" w:hAnsi="宋体"/>
          <w:b/>
          <w:szCs w:val="21"/>
        </w:rPr>
      </w:pPr>
      <w:bookmarkStart w:id="106" w:name="_Toc18960"/>
      <w:r>
        <w:rPr>
          <w:rFonts w:hint="eastAsia" w:ascii="宋体" w:hAnsi="宋体"/>
          <w:b/>
          <w:szCs w:val="21"/>
        </w:rPr>
        <w:t>6、付款方式</w:t>
      </w:r>
      <w:bookmarkEnd w:id="106"/>
    </w:p>
    <w:p>
      <w:pPr>
        <w:widowControl/>
        <w:snapToGrid w:val="0"/>
        <w:spacing w:line="360" w:lineRule="auto"/>
        <w:ind w:firstLine="422" w:firstLineChars="200"/>
        <w:jc w:val="left"/>
        <w:rPr>
          <w:rFonts w:ascii="宋体" w:hAnsi="宋体"/>
          <w:szCs w:val="21"/>
        </w:rPr>
      </w:pPr>
      <w:r>
        <w:rPr>
          <w:rFonts w:hint="eastAsia" w:ascii="宋体" w:hAnsi="宋体"/>
          <w:szCs w:val="21"/>
        </w:rPr>
        <w:t>合同签订五个工作日内预付合同价款的30%，软件上线正常运行十个工作日付合同价款的60%，余款10%为质保金（无息），无重大质量问题在</w:t>
      </w:r>
      <w:r>
        <w:rPr>
          <w:rFonts w:hint="eastAsia" w:ascii="宋体" w:hAnsi="宋体"/>
          <w:szCs w:val="21"/>
          <w:lang w:eastAsia="zh-CN"/>
        </w:rPr>
        <w:t>质保期满</w:t>
      </w:r>
      <w:r>
        <w:rPr>
          <w:rFonts w:hint="eastAsia" w:ascii="宋体" w:hAnsi="宋体"/>
          <w:szCs w:val="21"/>
        </w:rPr>
        <w:t>三个月后付清。</w:t>
      </w:r>
    </w:p>
    <w:p>
      <w:pPr>
        <w:spacing w:line="360" w:lineRule="auto"/>
        <w:rPr>
          <w:rFonts w:ascii="宋体" w:hAnsi="宋体" w:cs="仿宋_GB2312"/>
          <w:sz w:val="24"/>
          <w:szCs w:val="24"/>
        </w:rPr>
      </w:pPr>
    </w:p>
    <w:p>
      <w:pPr>
        <w:pStyle w:val="2"/>
        <w:numPr>
          <w:ilvl w:val="0"/>
          <w:numId w:val="1"/>
        </w:numPr>
        <w:jc w:val="center"/>
        <w:rPr>
          <w:rFonts w:ascii="黑体" w:hAnsi="黑体" w:eastAsia="黑体"/>
        </w:rPr>
      </w:pPr>
      <w:bookmarkStart w:id="107" w:name="_Toc29909"/>
      <w:r>
        <w:rPr>
          <w:rFonts w:hint="eastAsia" w:ascii="黑体" w:hAnsi="黑体" w:eastAsia="黑体"/>
        </w:rPr>
        <w:t>资格审查方法及标准</w:t>
      </w:r>
      <w:bookmarkEnd w:id="107"/>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108" w:name="_Toc494561958"/>
      <w:bookmarkStart w:id="109" w:name="_Toc25001"/>
      <w:r>
        <w:rPr>
          <w:rFonts w:hint="eastAsia" w:cs="Times New Roman" w:asciiTheme="majorEastAsia" w:hAnsiTheme="majorEastAsia"/>
          <w:bCs w:val="0"/>
          <w:sz w:val="30"/>
          <w:szCs w:val="30"/>
          <w:lang w:val="zh-CN"/>
        </w:rPr>
        <w:t>资格审查方法</w:t>
      </w:r>
      <w:bookmarkEnd w:id="108"/>
      <w:bookmarkEnd w:id="109"/>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公开招标采购项目开标结束后，采购人成立资格审查小组，依据法律、法规及招标文件的规定，对投标人的资格进行审查，以确定投标人资格是否合格。</w:t>
      </w:r>
    </w:p>
    <w:p>
      <w:pPr>
        <w:pStyle w:val="3"/>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110" w:name="_Toc5430"/>
      <w:bookmarkStart w:id="111" w:name="_Toc494561959"/>
      <w:r>
        <w:rPr>
          <w:rFonts w:hint="eastAsia" w:cs="Times New Roman" w:asciiTheme="majorEastAsia" w:hAnsiTheme="majorEastAsia"/>
          <w:bCs w:val="0"/>
          <w:sz w:val="30"/>
          <w:szCs w:val="30"/>
          <w:lang w:val="zh-CN"/>
        </w:rPr>
        <w:t>资格审查标准</w:t>
      </w:r>
      <w:bookmarkEnd w:id="110"/>
      <w:bookmarkEnd w:id="111"/>
    </w:p>
    <w:p>
      <w:pPr>
        <w:numPr>
          <w:ilvl w:val="0"/>
          <w:numId w:val="40"/>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32"/>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32"/>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32"/>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财务状况报告（指审计报告），依法缴纳税收（指完税证明）和社会保障资金（指缴纳社保专用发票）的相关材料（以上所有材料仅需提供投标日期起近三年中任一年均可）；</w:t>
      </w:r>
    </w:p>
    <w:p>
      <w:pPr>
        <w:pStyle w:val="32"/>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32"/>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32"/>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32"/>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2"/>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32"/>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32"/>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32"/>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40"/>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2"/>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32"/>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2"/>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2"/>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采购人已进行资格预审的，不再进行资格审查。未通过资格预审的投标人集中采购机构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112" w:name="_Toc2078"/>
      <w:r>
        <w:rPr>
          <w:rFonts w:hint="eastAsia" w:ascii="黑体" w:hAnsi="黑体" w:eastAsia="黑体"/>
        </w:rPr>
        <w:t>评标方法、程序及标准</w:t>
      </w:r>
      <w:bookmarkEnd w:id="112"/>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113" w:name="_Toc272247708"/>
      <w:bookmarkStart w:id="114" w:name="_Toc278891605"/>
      <w:bookmarkStart w:id="115" w:name="_Toc21418"/>
      <w:bookmarkStart w:id="116" w:name="_Toc494561961"/>
      <w:r>
        <w:rPr>
          <w:rFonts w:hint="eastAsia" w:cs="Times New Roman" w:asciiTheme="majorEastAsia" w:hAnsiTheme="majorEastAsia"/>
          <w:bCs w:val="0"/>
          <w:sz w:val="30"/>
          <w:szCs w:val="30"/>
          <w:lang w:val="zh-CN"/>
        </w:rPr>
        <w:t>评标</w:t>
      </w:r>
      <w:bookmarkEnd w:id="113"/>
      <w:bookmarkEnd w:id="114"/>
      <w:r>
        <w:rPr>
          <w:rFonts w:hint="eastAsia" w:cs="Times New Roman" w:asciiTheme="majorEastAsia" w:hAnsiTheme="majorEastAsia"/>
          <w:bCs w:val="0"/>
          <w:sz w:val="30"/>
          <w:szCs w:val="30"/>
          <w:lang w:val="zh-CN"/>
        </w:rPr>
        <w:t>方法</w:t>
      </w:r>
      <w:bookmarkEnd w:id="115"/>
      <w:bookmarkEnd w:id="116"/>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117" w:name="_Toc272247709"/>
      <w:bookmarkStart w:id="118" w:name="_Toc278891606"/>
      <w:bookmarkStart w:id="119" w:name="_Toc494561962"/>
      <w:bookmarkStart w:id="120" w:name="_Toc23914"/>
      <w:r>
        <w:rPr>
          <w:rFonts w:hint="eastAsia" w:cs="Times New Roman" w:asciiTheme="majorEastAsia" w:hAnsiTheme="majorEastAsia"/>
          <w:bCs w:val="0"/>
          <w:sz w:val="30"/>
          <w:szCs w:val="30"/>
          <w:lang w:val="zh-CN"/>
        </w:rPr>
        <w:t>评标程序</w:t>
      </w:r>
      <w:bookmarkEnd w:id="117"/>
      <w:bookmarkEnd w:id="118"/>
      <w:r>
        <w:rPr>
          <w:rFonts w:hint="eastAsia" w:cs="Times New Roman" w:asciiTheme="majorEastAsia" w:hAnsiTheme="majorEastAsia"/>
          <w:bCs w:val="0"/>
          <w:sz w:val="30"/>
          <w:szCs w:val="30"/>
          <w:lang w:val="zh-CN"/>
        </w:rPr>
        <w:t>及标准</w:t>
      </w:r>
      <w:bookmarkEnd w:id="119"/>
      <w:bookmarkEnd w:id="120"/>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5"/>
        </w:numPr>
        <w:ind w:left="1315" w:leftChars="154" w:hanging="991"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1"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《投标书》、《法定代表人授权书》、《开标一览表》未提供或不符合招标文件要求的；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6"/>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sz w:val="24"/>
          <w:szCs w:val="24"/>
          <w:lang w:val="zh-CN"/>
        </w:rPr>
        <w:t>无法定代表人签</w:t>
      </w:r>
      <w:r>
        <w:rPr>
          <w:rFonts w:hint="eastAsia" w:ascii="Times New Roman" w:hAnsi="宋体" w:eastAsia="宋体" w:cs="Times New Roman"/>
          <w:color w:val="auto"/>
          <w:sz w:val="24"/>
          <w:szCs w:val="24"/>
          <w:lang w:val="zh-CN"/>
        </w:rPr>
        <w:t>字（签章）或签字（签章）人无法定代表人有效授权的；</w:t>
      </w:r>
    </w:p>
    <w:p>
      <w:pPr>
        <w:numPr>
          <w:ilvl w:val="0"/>
          <w:numId w:val="46"/>
        </w:numPr>
        <w:tabs>
          <w:tab w:val="left" w:pos="75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正本未按要求提供加盖公章及签字（签章）原件的；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未按要求提供招标文件第二章“十、其他注意事项”中规定的书面声明的；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5"/>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7"/>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7"/>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7"/>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5"/>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2"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2"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2"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0"/>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5"/>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121" w:name="_Toc12148"/>
      <w:bookmarkStart w:id="122" w:name="_Toc494561963"/>
      <w:r>
        <w:rPr>
          <w:rFonts w:hint="eastAsia" w:cs="Times New Roman" w:asciiTheme="majorEastAsia" w:hAnsiTheme="majorEastAsia"/>
          <w:bCs w:val="0"/>
          <w:sz w:val="30"/>
          <w:szCs w:val="30"/>
          <w:lang w:val="zh-CN"/>
        </w:rPr>
        <w:t>评审因素及评分标准</w:t>
      </w:r>
      <w:bookmarkEnd w:id="121"/>
      <w:bookmarkEnd w:id="122"/>
    </w:p>
    <w:p>
      <w:pPr>
        <w:numPr>
          <w:ilvl w:val="0"/>
          <w:numId w:val="54"/>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商务评议（30</w:t>
      </w:r>
      <w:r>
        <w:rPr>
          <w:rFonts w:hint="eastAsia" w:ascii="宋体" w:hAnsi="宋体" w:eastAsia="宋体" w:cs="Courier New"/>
          <w:b/>
          <w:bCs/>
          <w:sz w:val="28"/>
          <w:szCs w:val="28"/>
        </w:rPr>
        <w:t>分</w:t>
      </w:r>
      <w:r>
        <w:rPr>
          <w:rFonts w:hint="eastAsia" w:ascii="宋体" w:hAnsi="宋体" w:eastAsia="宋体" w:cs="Times New Roman"/>
          <w:b/>
          <w:bCs/>
          <w:sz w:val="28"/>
          <w:szCs w:val="28"/>
        </w:rPr>
        <w:t>）</w:t>
      </w:r>
    </w:p>
    <w:tbl>
      <w:tblPr>
        <w:tblStyle w:val="22"/>
        <w:tblW w:w="9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41"/>
        <w:gridCol w:w="601"/>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3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341" w:type="dxa"/>
            <w:shd w:val="pct10"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601" w:type="dxa"/>
            <w:shd w:val="pct10" w:color="auto" w:fill="auto"/>
            <w:vAlign w:val="center"/>
          </w:tcPr>
          <w:p>
            <w:pPr>
              <w:ind w:left="-73" w:leftChars="-35" w:right="-80"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7266" w:type="dxa"/>
            <w:shd w:val="pct10"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业绩</w:t>
            </w:r>
          </w:p>
        </w:tc>
        <w:tc>
          <w:tcPr>
            <w:tcW w:w="601" w:type="dxa"/>
            <w:vAlign w:val="center"/>
          </w:tcPr>
          <w:p>
            <w:pPr>
              <w:spacing w:line="360" w:lineRule="auto"/>
              <w:jc w:val="center"/>
              <w:rPr>
                <w:rFonts w:ascii="宋体" w:hAnsi="宋体"/>
                <w:b/>
                <w:szCs w:val="21"/>
              </w:rPr>
            </w:pPr>
            <w:r>
              <w:rPr>
                <w:rFonts w:hint="eastAsia" w:ascii="宋体" w:hAnsi="宋体"/>
                <w:b/>
                <w:szCs w:val="21"/>
              </w:rPr>
              <w:t>6</w:t>
            </w:r>
          </w:p>
        </w:tc>
        <w:tc>
          <w:tcPr>
            <w:tcW w:w="7266" w:type="dxa"/>
          </w:tcPr>
          <w:p>
            <w:pPr>
              <w:spacing w:line="400" w:lineRule="exact"/>
              <w:rPr>
                <w:rFonts w:ascii="宋体" w:hAnsi="宋体" w:cs="宋体"/>
                <w:szCs w:val="21"/>
              </w:rPr>
            </w:pPr>
            <w:r>
              <w:rPr>
                <w:rFonts w:hint="eastAsia" w:ascii="宋体" w:hAnsi="宋体" w:cs="宋体"/>
                <w:szCs w:val="21"/>
              </w:rPr>
              <w:t>投标人近五年来完成金额100万及以上的房地产</w:t>
            </w:r>
            <w:r>
              <w:rPr>
                <w:rFonts w:hint="eastAsia" w:ascii="宋体" w:hAnsi="宋体" w:eastAsia="宋体" w:cs="Times New Roman"/>
                <w:szCs w:val="21"/>
              </w:rPr>
              <w:t>信息系统</w:t>
            </w:r>
            <w:r>
              <w:rPr>
                <w:rFonts w:hint="eastAsia" w:ascii="宋体" w:hAnsi="宋体" w:cs="宋体"/>
                <w:szCs w:val="21"/>
              </w:rPr>
              <w:t>类似业绩，每个业绩得1分，累计最高得6分；</w:t>
            </w:r>
          </w:p>
          <w:p>
            <w:pPr>
              <w:spacing w:line="400" w:lineRule="exact"/>
              <w:rPr>
                <w:rFonts w:ascii="宋体" w:hAnsi="宋体" w:cs="宋体"/>
                <w:bCs/>
                <w:szCs w:val="21"/>
              </w:rPr>
            </w:pPr>
            <w:r>
              <w:rPr>
                <w:rFonts w:hint="eastAsia" w:ascii="宋体" w:hAnsi="宋体" w:cs="宋体"/>
                <w:bCs/>
                <w:szCs w:val="21"/>
              </w:rPr>
              <w:t>注：须提供合同复印件</w:t>
            </w:r>
            <w:r>
              <w:rPr>
                <w:rFonts w:hint="eastAsia" w:ascii="宋体" w:hAnsi="宋体" w:cs="宋体"/>
                <w:szCs w:val="21"/>
              </w:rPr>
              <w:t>并加盖公章</w:t>
            </w:r>
            <w:r>
              <w:rPr>
                <w:rFonts w:hint="eastAsia" w:ascii="宋体" w:hAnsi="宋体" w:cs="宋体"/>
                <w:bCs/>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企业</w:t>
            </w:r>
          </w:p>
          <w:p>
            <w:pPr>
              <w:spacing w:line="360" w:lineRule="auto"/>
              <w:jc w:val="center"/>
              <w:rPr>
                <w:rFonts w:ascii="宋体" w:hAnsi="宋体"/>
                <w:b/>
                <w:szCs w:val="21"/>
              </w:rPr>
            </w:pPr>
            <w:r>
              <w:rPr>
                <w:rFonts w:hint="eastAsia" w:ascii="宋体" w:hAnsi="宋体"/>
                <w:b/>
                <w:szCs w:val="21"/>
              </w:rPr>
              <w:t>认证</w:t>
            </w:r>
          </w:p>
        </w:tc>
        <w:tc>
          <w:tcPr>
            <w:tcW w:w="601" w:type="dxa"/>
            <w:vAlign w:val="center"/>
          </w:tcPr>
          <w:p>
            <w:pPr>
              <w:spacing w:line="360" w:lineRule="auto"/>
              <w:jc w:val="center"/>
              <w:rPr>
                <w:rFonts w:ascii="宋体" w:hAnsi="宋体"/>
                <w:b/>
                <w:szCs w:val="21"/>
              </w:rPr>
            </w:pPr>
            <w:r>
              <w:rPr>
                <w:rFonts w:hint="eastAsia" w:ascii="宋体" w:hAnsi="宋体"/>
                <w:b/>
                <w:szCs w:val="21"/>
              </w:rPr>
              <w:t>8</w:t>
            </w:r>
          </w:p>
        </w:tc>
        <w:tc>
          <w:tcPr>
            <w:tcW w:w="7266" w:type="dxa"/>
          </w:tcPr>
          <w:p>
            <w:pPr>
              <w:spacing w:line="400" w:lineRule="exact"/>
              <w:rPr>
                <w:rFonts w:ascii="宋体" w:hAnsi="宋体" w:cs="宋体"/>
                <w:szCs w:val="21"/>
              </w:rPr>
            </w:pPr>
            <w:r>
              <w:rPr>
                <w:rFonts w:hint="eastAsia" w:ascii="宋体" w:hAnsi="宋体" w:cs="宋体"/>
                <w:szCs w:val="21"/>
              </w:rPr>
              <w:t>1.投标人同时具有ISO9001质量管理体系认证、ISO/IEC27001信息安全管理体系认证和ISO20000 IT服务管理体系认证证书得3分，不提供不得分。</w:t>
            </w:r>
          </w:p>
          <w:p>
            <w:pPr>
              <w:spacing w:line="400" w:lineRule="exact"/>
              <w:rPr>
                <w:rFonts w:ascii="宋体" w:hAnsi="宋体" w:cs="宋体"/>
                <w:szCs w:val="21"/>
              </w:rPr>
            </w:pPr>
            <w:r>
              <w:rPr>
                <w:rFonts w:hint="eastAsia" w:ascii="宋体" w:hAnsi="宋体" w:cs="宋体"/>
                <w:szCs w:val="21"/>
              </w:rPr>
              <w:t>2.投标人取得软件能力成熟度集成模型CMMI5级认证资质得5分，CMMI3级认证及以下资质得3分，不提供不得分。</w:t>
            </w:r>
          </w:p>
          <w:p>
            <w:pPr>
              <w:spacing w:line="400" w:lineRule="exact"/>
              <w:rPr>
                <w:rFonts w:ascii="宋体" w:hAnsi="宋体" w:cs="宋体"/>
                <w:bCs/>
                <w:szCs w:val="21"/>
              </w:rPr>
            </w:pPr>
            <w:r>
              <w:rPr>
                <w:rFonts w:hint="eastAsia" w:ascii="宋体" w:hAnsi="宋体" w:cs="宋体"/>
                <w:b/>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产品</w:t>
            </w:r>
          </w:p>
          <w:p>
            <w:pPr>
              <w:spacing w:line="360" w:lineRule="auto"/>
              <w:jc w:val="center"/>
              <w:rPr>
                <w:rFonts w:ascii="宋体" w:hAnsi="宋体"/>
                <w:b/>
                <w:szCs w:val="21"/>
              </w:rPr>
            </w:pPr>
            <w:r>
              <w:rPr>
                <w:rFonts w:hint="eastAsia" w:ascii="宋体" w:hAnsi="宋体"/>
                <w:b/>
                <w:szCs w:val="21"/>
              </w:rPr>
              <w:t>认证</w:t>
            </w:r>
          </w:p>
        </w:tc>
        <w:tc>
          <w:tcPr>
            <w:tcW w:w="601" w:type="dxa"/>
            <w:vAlign w:val="center"/>
          </w:tcPr>
          <w:p>
            <w:pPr>
              <w:spacing w:line="360" w:lineRule="auto"/>
              <w:jc w:val="center"/>
              <w:rPr>
                <w:rFonts w:ascii="宋体" w:hAnsi="宋体"/>
                <w:b/>
                <w:szCs w:val="21"/>
              </w:rPr>
            </w:pPr>
            <w:r>
              <w:rPr>
                <w:rFonts w:hint="eastAsia" w:ascii="宋体" w:hAnsi="宋体"/>
                <w:b/>
                <w:szCs w:val="21"/>
              </w:rPr>
              <w:t>6</w:t>
            </w:r>
          </w:p>
        </w:tc>
        <w:tc>
          <w:tcPr>
            <w:tcW w:w="7266" w:type="dxa"/>
          </w:tcPr>
          <w:p>
            <w:pPr>
              <w:rPr>
                <w:rFonts w:ascii="宋体" w:hAnsi="宋体" w:cs="宋体"/>
                <w:szCs w:val="21"/>
              </w:rPr>
            </w:pPr>
            <w:r>
              <w:rPr>
                <w:rFonts w:hint="eastAsia" w:ascii="宋体" w:hAnsi="宋体" w:cs="宋体"/>
                <w:szCs w:val="21"/>
              </w:rPr>
              <w:t>1. 投标人开发的房产相关软件通过住建部的测评或认证的得2分，不提供不得分。</w:t>
            </w:r>
          </w:p>
          <w:p>
            <w:pPr>
              <w:spacing w:line="400" w:lineRule="exact"/>
              <w:rPr>
                <w:rFonts w:ascii="宋体" w:hAnsi="宋体" w:cs="宋体"/>
                <w:szCs w:val="21"/>
              </w:rPr>
            </w:pPr>
            <w:r>
              <w:rPr>
                <w:rFonts w:hint="eastAsia" w:ascii="宋体" w:hAnsi="宋体"/>
                <w:color w:val="000000"/>
                <w:szCs w:val="21"/>
              </w:rPr>
              <w:t>2.投标人具备与本项目建设相关的“智慧统计分析与信息发布系统”软件著作权登记证书，有得2分；</w:t>
            </w:r>
            <w:r>
              <w:rPr>
                <w:rFonts w:hint="eastAsia" w:ascii="宋体" w:hAnsi="宋体" w:cs="宋体"/>
                <w:szCs w:val="21"/>
              </w:rPr>
              <w:t>不提供不得分；</w:t>
            </w:r>
          </w:p>
          <w:p>
            <w:pPr>
              <w:spacing w:line="400" w:lineRule="exact"/>
              <w:rPr>
                <w:rFonts w:ascii="宋体" w:hAnsi="宋体" w:cs="宋体"/>
                <w:szCs w:val="21"/>
              </w:rPr>
            </w:pPr>
            <w:r>
              <w:rPr>
                <w:rFonts w:hint="eastAsia" w:ascii="宋体" w:hAnsi="宋体" w:cs="宋体"/>
                <w:szCs w:val="21"/>
              </w:rPr>
              <w:t>3.投标人荣获中国地理信息产业优秀工程金奖的得2分，不提供不得分。</w:t>
            </w:r>
          </w:p>
          <w:p>
            <w:pPr>
              <w:spacing w:line="400" w:lineRule="exact"/>
              <w:rPr>
                <w:rFonts w:ascii="宋体" w:hAnsi="宋体" w:cs="宋体"/>
                <w:bCs/>
                <w:szCs w:val="21"/>
              </w:rPr>
            </w:pPr>
            <w:r>
              <w:rPr>
                <w:rFonts w:hint="eastAsia" w:ascii="宋体" w:hAnsi="宋体" w:cs="宋体"/>
                <w:b/>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企业</w:t>
            </w:r>
          </w:p>
          <w:p>
            <w:pPr>
              <w:spacing w:line="360" w:lineRule="auto"/>
              <w:jc w:val="center"/>
              <w:rPr>
                <w:rFonts w:ascii="宋体" w:hAnsi="宋体"/>
                <w:b/>
                <w:szCs w:val="21"/>
              </w:rPr>
            </w:pPr>
            <w:r>
              <w:rPr>
                <w:rFonts w:hint="eastAsia" w:ascii="宋体" w:hAnsi="宋体"/>
                <w:b/>
                <w:szCs w:val="21"/>
              </w:rPr>
              <w:t>实力</w:t>
            </w:r>
          </w:p>
        </w:tc>
        <w:tc>
          <w:tcPr>
            <w:tcW w:w="601" w:type="dxa"/>
            <w:vAlign w:val="center"/>
          </w:tcPr>
          <w:p>
            <w:pPr>
              <w:spacing w:line="360" w:lineRule="auto"/>
              <w:jc w:val="center"/>
              <w:rPr>
                <w:rFonts w:ascii="宋体" w:hAnsi="宋体"/>
                <w:b/>
                <w:szCs w:val="21"/>
              </w:rPr>
            </w:pPr>
            <w:r>
              <w:rPr>
                <w:rFonts w:hint="eastAsia" w:ascii="宋体" w:hAnsi="宋体"/>
                <w:b/>
                <w:szCs w:val="21"/>
              </w:rPr>
              <w:t>5</w:t>
            </w:r>
          </w:p>
        </w:tc>
        <w:tc>
          <w:tcPr>
            <w:tcW w:w="7266" w:type="dxa"/>
          </w:tcPr>
          <w:p>
            <w:pPr>
              <w:spacing w:line="400" w:lineRule="exact"/>
              <w:rPr>
                <w:rFonts w:ascii="宋体" w:hAnsi="宋体" w:cs="宋体"/>
                <w:szCs w:val="21"/>
              </w:rPr>
            </w:pPr>
            <w:r>
              <w:rPr>
                <w:rFonts w:hint="eastAsia" w:ascii="宋体" w:hAnsi="宋体" w:cs="宋体"/>
                <w:szCs w:val="21"/>
              </w:rPr>
              <w:t>1.投标人取得</w:t>
            </w:r>
            <w:r>
              <w:rPr>
                <w:rFonts w:hint="eastAsia" w:ascii="PingFang SC" w:hAnsi="PingFang SC" w:eastAsia="PingFang SC" w:cs="PingFang SC"/>
                <w:color w:val="191919"/>
                <w:sz w:val="24"/>
                <w:szCs w:val="24"/>
                <w:shd w:val="clear" w:color="auto" w:fill="FFFFFF"/>
              </w:rPr>
              <w:t>信息系统集成及</w:t>
            </w:r>
            <w:r>
              <w:rPr>
                <w:rFonts w:hint="eastAsia" w:ascii="宋体" w:hAnsi="宋体" w:cs="宋体"/>
                <w:szCs w:val="21"/>
              </w:rPr>
              <w:t>服务大型一级企业证书得2分，</w:t>
            </w:r>
            <w:r>
              <w:rPr>
                <w:rFonts w:hint="eastAsia" w:ascii="PingFang SC" w:hAnsi="PingFang SC" w:eastAsia="PingFang SC" w:cs="PingFang SC"/>
                <w:color w:val="191919"/>
                <w:sz w:val="24"/>
                <w:szCs w:val="24"/>
                <w:shd w:val="clear" w:color="auto" w:fill="FFFFFF"/>
              </w:rPr>
              <w:t>信息系统集成及</w:t>
            </w:r>
            <w:r>
              <w:rPr>
                <w:rFonts w:hint="eastAsia" w:ascii="宋体" w:hAnsi="宋体" w:cs="宋体"/>
                <w:szCs w:val="21"/>
              </w:rPr>
              <w:t>服务二级企业证书得1分，不提供不得分。</w:t>
            </w:r>
          </w:p>
          <w:p>
            <w:pPr>
              <w:spacing w:line="400" w:lineRule="exact"/>
              <w:rPr>
                <w:rFonts w:ascii="宋体" w:hAnsi="宋体" w:cs="宋体"/>
                <w:szCs w:val="21"/>
              </w:rPr>
            </w:pPr>
            <w:r>
              <w:rPr>
                <w:rFonts w:hint="eastAsia" w:ascii="宋体" w:hAnsi="宋体" w:cs="宋体"/>
                <w:szCs w:val="21"/>
              </w:rPr>
              <w:t>2.具有“中国自主可靠企业核心软件品牌证书”，有得1分，不提供不得分。</w:t>
            </w:r>
          </w:p>
          <w:p>
            <w:pPr>
              <w:spacing w:line="400" w:lineRule="exact"/>
              <w:rPr>
                <w:rFonts w:ascii="宋体" w:hAnsi="宋体" w:cs="宋体"/>
                <w:szCs w:val="21"/>
              </w:rPr>
            </w:pPr>
            <w:r>
              <w:rPr>
                <w:rFonts w:hint="eastAsia" w:ascii="宋体" w:hAnsi="宋体" w:cs="宋体"/>
                <w:szCs w:val="21"/>
              </w:rPr>
              <w:t>3.具有中国软件行业协会提供企业信用证明（AAA资信等级证书），有得1分，不提供不得分。</w:t>
            </w:r>
          </w:p>
          <w:p>
            <w:pPr>
              <w:spacing w:line="400" w:lineRule="exact"/>
              <w:rPr>
                <w:rFonts w:ascii="宋体" w:hAnsi="宋体" w:cs="宋体"/>
                <w:szCs w:val="21"/>
              </w:rPr>
            </w:pPr>
            <w:r>
              <w:rPr>
                <w:rFonts w:hint="eastAsia" w:ascii="宋体" w:hAnsi="宋体" w:cs="宋体"/>
                <w:szCs w:val="21"/>
              </w:rPr>
              <w:t>4.近3年获得国家规划布局内重点软件企业证书，有得1分，不提供不得分。</w:t>
            </w:r>
          </w:p>
          <w:p>
            <w:pPr>
              <w:spacing w:line="400" w:lineRule="exact"/>
              <w:rPr>
                <w:rFonts w:ascii="宋体" w:hAnsi="宋体" w:cs="宋体"/>
                <w:bCs/>
                <w:szCs w:val="21"/>
              </w:rPr>
            </w:pPr>
            <w:r>
              <w:rPr>
                <w:rFonts w:hint="eastAsia" w:ascii="宋体" w:hAnsi="宋体" w:cs="宋体"/>
                <w:b/>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财务状况</w:t>
            </w:r>
          </w:p>
        </w:tc>
        <w:tc>
          <w:tcPr>
            <w:tcW w:w="601" w:type="dxa"/>
            <w:vAlign w:val="center"/>
          </w:tcPr>
          <w:p>
            <w:pPr>
              <w:spacing w:line="360" w:lineRule="auto"/>
              <w:jc w:val="center"/>
              <w:rPr>
                <w:rFonts w:ascii="宋体" w:hAnsi="宋体"/>
                <w:b/>
                <w:szCs w:val="21"/>
              </w:rPr>
            </w:pPr>
            <w:r>
              <w:rPr>
                <w:rFonts w:hint="eastAsia" w:ascii="宋体" w:hAnsi="宋体"/>
                <w:b/>
                <w:szCs w:val="21"/>
              </w:rPr>
              <w:t>3</w:t>
            </w:r>
          </w:p>
        </w:tc>
        <w:tc>
          <w:tcPr>
            <w:tcW w:w="7266" w:type="dxa"/>
            <w:vAlign w:val="center"/>
          </w:tcPr>
          <w:p>
            <w:pPr>
              <w:pStyle w:val="40"/>
              <w:rPr>
                <w:rFonts w:ascii="宋体" w:hAnsi="宋体" w:cs="宋体"/>
                <w:szCs w:val="21"/>
              </w:rPr>
            </w:pPr>
            <w:r>
              <w:rPr>
                <w:rFonts w:hint="eastAsia"/>
                <w:szCs w:val="21"/>
                <w:lang w:val="zh-CN"/>
              </w:rPr>
              <w:t>提供经审计事务所出具的</w:t>
            </w:r>
            <w:r>
              <w:rPr>
                <w:rFonts w:hint="eastAsia"/>
                <w:szCs w:val="21"/>
              </w:rPr>
              <w:t>2017</w:t>
            </w:r>
            <w:r>
              <w:rPr>
                <w:rFonts w:hint="eastAsia"/>
                <w:szCs w:val="21"/>
                <w:lang w:val="zh-CN"/>
              </w:rPr>
              <w:t>年度的审计报告，依据各投标人所提供有关资料进行横向比较排名，第一名得</w:t>
            </w:r>
            <w:r>
              <w:rPr>
                <w:rFonts w:hint="eastAsia"/>
                <w:szCs w:val="21"/>
              </w:rPr>
              <w:t>3</w:t>
            </w:r>
            <w:r>
              <w:rPr>
                <w:rFonts w:hint="eastAsia"/>
                <w:szCs w:val="21"/>
                <w:lang w:val="zh-CN"/>
              </w:rPr>
              <w:t>分，第二名得</w:t>
            </w:r>
            <w:r>
              <w:rPr>
                <w:rFonts w:hint="eastAsia"/>
                <w:szCs w:val="21"/>
              </w:rPr>
              <w:t>2</w:t>
            </w:r>
            <w:r>
              <w:rPr>
                <w:rFonts w:hint="eastAsia"/>
                <w:szCs w:val="21"/>
                <w:lang w:val="zh-CN"/>
              </w:rPr>
              <w:t>分，第三名得1分。</w:t>
            </w:r>
            <w:r>
              <w:rPr>
                <w:rFonts w:hint="eastAsia"/>
                <w:szCs w:val="21"/>
              </w:rPr>
              <w:t>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投标文件编制</w:t>
            </w:r>
          </w:p>
        </w:tc>
        <w:tc>
          <w:tcPr>
            <w:tcW w:w="601" w:type="dxa"/>
            <w:vAlign w:val="center"/>
          </w:tcPr>
          <w:p>
            <w:pPr>
              <w:spacing w:line="360" w:lineRule="auto"/>
              <w:jc w:val="center"/>
              <w:rPr>
                <w:rFonts w:ascii="宋体" w:hAnsi="宋体"/>
                <w:b/>
                <w:szCs w:val="21"/>
              </w:rPr>
            </w:pPr>
            <w:r>
              <w:rPr>
                <w:rFonts w:hint="eastAsia" w:ascii="宋体" w:hAnsi="宋体"/>
                <w:b/>
                <w:szCs w:val="21"/>
              </w:rPr>
              <w:t>2</w:t>
            </w:r>
          </w:p>
        </w:tc>
        <w:tc>
          <w:tcPr>
            <w:tcW w:w="7266" w:type="dxa"/>
            <w:vAlign w:val="center"/>
          </w:tcPr>
          <w:p>
            <w:pPr>
              <w:spacing w:line="400" w:lineRule="exact"/>
              <w:rPr>
                <w:rFonts w:ascii="宋体" w:hAnsi="宋体" w:cs="宋体"/>
                <w:szCs w:val="21"/>
              </w:rPr>
            </w:pPr>
            <w:r>
              <w:rPr>
                <w:rFonts w:hint="eastAsia" w:ascii="宋体" w:hAnsi="宋体" w:eastAsia="宋体" w:cs="宋体"/>
                <w:szCs w:val="21"/>
              </w:rPr>
              <w:t>投标文件全面响应招标文件要求，编制完整、美观，非活页装订，且有详细目录、连续页码、目录与有关材料装订顺序对应清晰、查阅方便。不符合要求的，每处扣0.5分，扣完为止。</w:t>
            </w:r>
          </w:p>
        </w:tc>
      </w:tr>
    </w:tbl>
    <w:p>
      <w:pPr>
        <w:numPr>
          <w:ilvl w:val="0"/>
          <w:numId w:val="54"/>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技术、服务评议（55分）</w:t>
      </w:r>
    </w:p>
    <w:tbl>
      <w:tblPr>
        <w:tblStyle w:val="22"/>
        <w:tblW w:w="9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76"/>
        <w:gridCol w:w="588"/>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27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588" w:type="dxa"/>
            <w:shd w:val="pct10" w:color="auto" w:fill="auto"/>
            <w:vAlign w:val="center"/>
          </w:tcPr>
          <w:p>
            <w:pPr>
              <w:ind w:left="-73" w:leftChars="-35" w:right="-80"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726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611" w:type="dxa"/>
            <w:vAlign w:val="center"/>
          </w:tcPr>
          <w:p>
            <w:pPr>
              <w:numPr>
                <w:ilvl w:val="0"/>
                <w:numId w:val="56"/>
              </w:numPr>
              <w:tabs>
                <w:tab w:val="left" w:pos="322"/>
              </w:tabs>
              <w:spacing w:line="320" w:lineRule="exact"/>
              <w:ind w:right="-42" w:rightChars="-2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总体建设</w:t>
            </w:r>
          </w:p>
          <w:p>
            <w:pPr>
              <w:spacing w:line="360" w:lineRule="auto"/>
              <w:jc w:val="center"/>
              <w:rPr>
                <w:rFonts w:ascii="宋体" w:hAnsi="宋体"/>
                <w:b/>
                <w:szCs w:val="21"/>
              </w:rPr>
            </w:pPr>
            <w:r>
              <w:rPr>
                <w:rFonts w:hint="eastAsia" w:ascii="宋体" w:hAnsi="宋体"/>
                <w:b/>
                <w:szCs w:val="21"/>
              </w:rPr>
              <w:t>方案</w:t>
            </w:r>
          </w:p>
        </w:tc>
        <w:tc>
          <w:tcPr>
            <w:tcW w:w="588" w:type="dxa"/>
            <w:vAlign w:val="center"/>
          </w:tcPr>
          <w:p>
            <w:pPr>
              <w:spacing w:line="360" w:lineRule="auto"/>
              <w:jc w:val="center"/>
              <w:rPr>
                <w:rFonts w:ascii="宋体" w:hAnsi="宋体"/>
                <w:b/>
                <w:szCs w:val="21"/>
              </w:rPr>
            </w:pPr>
            <w:r>
              <w:rPr>
                <w:rFonts w:hint="eastAsia" w:ascii="宋体" w:hAnsi="宋体"/>
                <w:b/>
                <w:szCs w:val="21"/>
              </w:rPr>
              <w:t>6</w:t>
            </w:r>
          </w:p>
        </w:tc>
        <w:tc>
          <w:tcPr>
            <w:tcW w:w="7266" w:type="dxa"/>
            <w:vAlign w:val="center"/>
          </w:tcPr>
          <w:p>
            <w:pPr>
              <w:spacing w:line="400" w:lineRule="exact"/>
              <w:ind w:left="-2" w:leftChars="-1"/>
              <w:jc w:val="left"/>
              <w:rPr>
                <w:rFonts w:ascii="宋体" w:hAnsi="宋体" w:eastAsia="宋体" w:cs="Times New Roman"/>
                <w:sz w:val="24"/>
              </w:rPr>
            </w:pPr>
            <w:r>
              <w:rPr>
                <w:rFonts w:hint="eastAsia" w:ascii="宋体" w:hAnsi="宋体" w:cs="宋体"/>
                <w:kern w:val="0"/>
                <w:szCs w:val="21"/>
              </w:rPr>
              <w:t>方案能详细阐述系统的体系架构、功能模块、实现思路和关键技术；是否全面考虑了数据流、业务流、管理流的一体化。</w:t>
            </w:r>
            <w:r>
              <w:rPr>
                <w:rFonts w:hint="eastAsia"/>
                <w:szCs w:val="21"/>
                <w:lang w:val="zh-CN"/>
              </w:rPr>
              <w:t>依据各投标人所提供有关资料进行横向比较排名，</w:t>
            </w:r>
            <w:r>
              <w:rPr>
                <w:rFonts w:hint="eastAsia" w:ascii="宋体" w:hAnsi="宋体" w:cs="宋体"/>
                <w:kern w:val="0"/>
                <w:szCs w:val="21"/>
              </w:rPr>
              <w:t>第一名6分，第二名4分，第三名2分。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11" w:type="dxa"/>
            <w:vAlign w:val="center"/>
          </w:tcPr>
          <w:p>
            <w:pPr>
              <w:numPr>
                <w:ilvl w:val="0"/>
                <w:numId w:val="56"/>
              </w:numPr>
              <w:tabs>
                <w:tab w:val="left" w:pos="322"/>
              </w:tabs>
              <w:spacing w:line="320" w:lineRule="exact"/>
              <w:ind w:left="-42" w:right="-42" w:rightChars="-20" w:firstLine="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系统功能</w:t>
            </w:r>
          </w:p>
          <w:p>
            <w:pPr>
              <w:spacing w:line="360" w:lineRule="auto"/>
              <w:jc w:val="center"/>
              <w:rPr>
                <w:rFonts w:ascii="宋体" w:hAnsi="宋体"/>
                <w:b/>
                <w:szCs w:val="21"/>
              </w:rPr>
            </w:pPr>
            <w:r>
              <w:rPr>
                <w:rFonts w:hint="eastAsia" w:ascii="宋体" w:hAnsi="宋体"/>
                <w:b/>
                <w:szCs w:val="21"/>
              </w:rPr>
              <w:t>响应</w:t>
            </w:r>
          </w:p>
        </w:tc>
        <w:tc>
          <w:tcPr>
            <w:tcW w:w="588" w:type="dxa"/>
            <w:vAlign w:val="center"/>
          </w:tcPr>
          <w:p>
            <w:pPr>
              <w:spacing w:line="360" w:lineRule="auto"/>
              <w:jc w:val="center"/>
              <w:rPr>
                <w:rFonts w:ascii="宋体" w:hAnsi="宋体"/>
                <w:b/>
                <w:szCs w:val="21"/>
              </w:rPr>
            </w:pPr>
            <w:r>
              <w:rPr>
                <w:rFonts w:hint="eastAsia" w:ascii="宋体" w:hAnsi="宋体"/>
                <w:b/>
                <w:szCs w:val="21"/>
              </w:rPr>
              <w:t>6</w:t>
            </w:r>
          </w:p>
        </w:tc>
        <w:tc>
          <w:tcPr>
            <w:tcW w:w="7266" w:type="dxa"/>
            <w:vAlign w:val="center"/>
          </w:tcPr>
          <w:p>
            <w:pPr>
              <w:numPr>
                <w:ilvl w:val="0"/>
                <w:numId w:val="57"/>
              </w:numPr>
              <w:rPr>
                <w:rFonts w:ascii="宋体" w:hAnsi="宋体" w:cs="宋体"/>
                <w:color w:val="000000"/>
                <w:szCs w:val="21"/>
              </w:rPr>
            </w:pPr>
            <w:r>
              <w:rPr>
                <w:rFonts w:hint="eastAsia" w:ascii="宋体" w:hAnsi="宋体" w:cs="宋体"/>
                <w:color w:val="000000"/>
                <w:szCs w:val="21"/>
              </w:rPr>
              <w:t>投标方案是否按</w:t>
            </w:r>
            <w:r>
              <w:rPr>
                <w:rFonts w:ascii="宋体" w:hAnsi="宋体" w:cs="宋体"/>
                <w:color w:val="000000"/>
                <w:szCs w:val="21"/>
              </w:rPr>
              <w:t>统一基础支撑平台设计</w:t>
            </w:r>
            <w:r>
              <w:rPr>
                <w:rFonts w:hint="eastAsia" w:ascii="宋体" w:hAnsi="宋体" w:cs="宋体"/>
                <w:color w:val="000000"/>
                <w:szCs w:val="21"/>
              </w:rPr>
              <w:t>，统一门户管理平台设计，BPM流程管理平台设计，监控与运维平台设计。</w:t>
            </w:r>
          </w:p>
          <w:p>
            <w:pPr>
              <w:numPr>
                <w:ilvl w:val="0"/>
                <w:numId w:val="57"/>
              </w:numPr>
              <w:rPr>
                <w:rFonts w:ascii="宋体" w:hAnsi="宋体" w:cs="宋体"/>
                <w:color w:val="000000" w:themeColor="text1"/>
                <w:szCs w:val="21"/>
                <w:shd w:val="clear" w:color="auto" w:fill="FFFFFF"/>
              </w:rPr>
            </w:pPr>
            <w:r>
              <w:rPr>
                <w:rFonts w:hint="eastAsia" w:ascii="宋体" w:hAnsi="宋体" w:cs="宋体"/>
                <w:szCs w:val="21"/>
              </w:rPr>
              <w:t>业务子系统是否支持基于流程及服务组件的快速开发实施。</w:t>
            </w:r>
          </w:p>
          <w:p>
            <w:pPr>
              <w:numPr>
                <w:ilvl w:val="0"/>
                <w:numId w:val="57"/>
              </w:numPr>
              <w:rPr>
                <w:rFonts w:ascii="宋体" w:hAnsi="宋体" w:cs="宋体"/>
                <w:color w:val="000000" w:themeColor="text1"/>
                <w:szCs w:val="21"/>
                <w:shd w:val="clear" w:color="auto" w:fill="FFFFFF"/>
              </w:rPr>
            </w:pPr>
            <w:r>
              <w:rPr>
                <w:rFonts w:hint="eastAsia" w:ascii="宋体" w:hAnsi="宋体" w:cs="宋体"/>
                <w:szCs w:val="21"/>
              </w:rPr>
              <w:t>系统支持全面的限制核查，各种限制状态在一个页面上全面显示出来。</w:t>
            </w:r>
          </w:p>
          <w:p>
            <w:pPr>
              <w:rPr>
                <w:rFonts w:ascii="宋体" w:hAnsi="宋体" w:cs="宋体"/>
                <w:color w:val="000000" w:themeColor="text1"/>
                <w:szCs w:val="21"/>
                <w:shd w:val="clear" w:color="auto" w:fill="FFFFFF"/>
              </w:rPr>
            </w:pPr>
            <w:r>
              <w:rPr>
                <w:rFonts w:hint="eastAsia"/>
                <w:szCs w:val="21"/>
                <w:lang w:val="zh-CN"/>
              </w:rPr>
              <w:t>依据各投标人所提供有关资料进行横向比较排名，</w:t>
            </w:r>
            <w:r>
              <w:rPr>
                <w:rFonts w:hint="eastAsia" w:ascii="宋体" w:hAnsi="宋体" w:cs="宋体"/>
                <w:kern w:val="0"/>
                <w:szCs w:val="21"/>
              </w:rPr>
              <w:t>第一名6分，第二名4分，第三名2分。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Align w:val="center"/>
          </w:tcPr>
          <w:p>
            <w:pPr>
              <w:numPr>
                <w:ilvl w:val="0"/>
                <w:numId w:val="56"/>
              </w:numPr>
              <w:tabs>
                <w:tab w:val="left" w:pos="322"/>
              </w:tabs>
              <w:spacing w:line="320" w:lineRule="exact"/>
              <w:ind w:left="-42" w:right="-42" w:rightChars="-20" w:firstLine="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系统关联性</w:t>
            </w:r>
          </w:p>
        </w:tc>
        <w:tc>
          <w:tcPr>
            <w:tcW w:w="588" w:type="dxa"/>
            <w:vAlign w:val="center"/>
          </w:tcPr>
          <w:p>
            <w:pPr>
              <w:spacing w:line="360" w:lineRule="auto"/>
              <w:jc w:val="center"/>
              <w:rPr>
                <w:rFonts w:ascii="宋体" w:hAnsi="宋体"/>
                <w:b/>
                <w:szCs w:val="21"/>
              </w:rPr>
            </w:pPr>
            <w:r>
              <w:rPr>
                <w:rFonts w:hint="eastAsia" w:ascii="宋体" w:hAnsi="宋体"/>
                <w:b/>
                <w:szCs w:val="21"/>
              </w:rPr>
              <w:t>8</w:t>
            </w:r>
          </w:p>
        </w:tc>
        <w:tc>
          <w:tcPr>
            <w:tcW w:w="7266" w:type="dxa"/>
            <w:vAlign w:val="center"/>
          </w:tcPr>
          <w:p>
            <w:pPr>
              <w:jc w:val="left"/>
            </w:pPr>
            <w:r>
              <w:rPr>
                <w:rFonts w:hint="eastAsia" w:ascii="宋体" w:hAnsi="宋体" w:cs="宋体"/>
                <w:szCs w:val="21"/>
              </w:rPr>
              <w:t>本项目属于个人住房信息系统二期，要求与阳新县现有一期的房地产市场信息平台无缝集成。完全符合系统无缝集成的得8分；通过接口实现系统关联的得3分；不符合不得分。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Align w:val="center"/>
          </w:tcPr>
          <w:p>
            <w:pPr>
              <w:numPr>
                <w:ilvl w:val="0"/>
                <w:numId w:val="56"/>
              </w:numPr>
              <w:tabs>
                <w:tab w:val="left" w:pos="322"/>
              </w:tabs>
              <w:spacing w:line="320" w:lineRule="exact"/>
              <w:ind w:left="-42" w:right="-42" w:rightChars="-20" w:firstLine="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技术人员</w:t>
            </w:r>
          </w:p>
          <w:p>
            <w:pPr>
              <w:spacing w:line="360" w:lineRule="auto"/>
              <w:jc w:val="center"/>
              <w:rPr>
                <w:rFonts w:ascii="宋体" w:hAnsi="宋体"/>
                <w:b/>
                <w:szCs w:val="21"/>
              </w:rPr>
            </w:pPr>
            <w:r>
              <w:rPr>
                <w:rFonts w:hint="eastAsia" w:ascii="宋体" w:hAnsi="宋体"/>
                <w:b/>
                <w:szCs w:val="21"/>
              </w:rPr>
              <w:t>资格资质</w:t>
            </w:r>
          </w:p>
        </w:tc>
        <w:tc>
          <w:tcPr>
            <w:tcW w:w="588" w:type="dxa"/>
            <w:vAlign w:val="center"/>
          </w:tcPr>
          <w:p>
            <w:pPr>
              <w:spacing w:line="360" w:lineRule="auto"/>
              <w:jc w:val="center"/>
              <w:rPr>
                <w:rFonts w:ascii="宋体" w:hAnsi="宋体"/>
                <w:b/>
                <w:szCs w:val="21"/>
              </w:rPr>
            </w:pPr>
            <w:r>
              <w:rPr>
                <w:rFonts w:hint="eastAsia" w:ascii="宋体" w:hAnsi="宋体"/>
                <w:b/>
                <w:szCs w:val="21"/>
              </w:rPr>
              <w:t>6</w:t>
            </w:r>
          </w:p>
        </w:tc>
        <w:tc>
          <w:tcPr>
            <w:tcW w:w="7266" w:type="dxa"/>
            <w:vAlign w:val="center"/>
          </w:tcPr>
          <w:p>
            <w:pPr>
              <w:spacing w:line="400" w:lineRule="exact"/>
              <w:rPr>
                <w:rFonts w:ascii="宋体" w:hAnsi="宋体" w:cs="宋体"/>
                <w:szCs w:val="21"/>
              </w:rPr>
            </w:pPr>
            <w:r>
              <w:rPr>
                <w:rFonts w:hint="eastAsia" w:ascii="宋体" w:hAnsi="宋体" w:cs="宋体"/>
                <w:szCs w:val="21"/>
              </w:rPr>
              <w:t>1.拟派项目负责人具备信息系统高级项目管理师资质。2分</w:t>
            </w:r>
          </w:p>
          <w:p>
            <w:pPr>
              <w:spacing w:line="400" w:lineRule="exact"/>
              <w:rPr>
                <w:rFonts w:ascii="宋体" w:hAnsi="宋体" w:cs="宋体"/>
                <w:szCs w:val="21"/>
              </w:rPr>
            </w:pPr>
            <w:r>
              <w:rPr>
                <w:rFonts w:hint="eastAsia" w:ascii="宋体" w:hAnsi="宋体" w:cs="宋体"/>
                <w:szCs w:val="21"/>
              </w:rPr>
              <w:t>2.拟派项目经理具有计算机信息系统集成高级项目经理资质。2分</w:t>
            </w:r>
          </w:p>
          <w:p>
            <w:pPr>
              <w:spacing w:line="400" w:lineRule="exact"/>
              <w:rPr>
                <w:rFonts w:ascii="宋体" w:hAnsi="宋体" w:cs="宋体"/>
                <w:szCs w:val="21"/>
              </w:rPr>
            </w:pPr>
            <w:r>
              <w:rPr>
                <w:rFonts w:hint="eastAsia" w:ascii="宋体" w:hAnsi="宋体" w:cs="宋体"/>
                <w:szCs w:val="21"/>
              </w:rPr>
              <w:t>3.</w:t>
            </w:r>
            <w:r>
              <w:rPr>
                <w:rFonts w:hint="eastAsia"/>
              </w:rPr>
              <w:t>拟派项目技术人员具有系统架构师资格证书</w:t>
            </w:r>
            <w:r>
              <w:rPr>
                <w:rFonts w:hint="eastAsia" w:ascii="宋体" w:hAnsi="宋体" w:cs="宋体"/>
                <w:szCs w:val="21"/>
              </w:rPr>
              <w:t>。2分</w:t>
            </w:r>
          </w:p>
          <w:p>
            <w:pPr>
              <w:spacing w:line="400" w:lineRule="exact"/>
            </w:pPr>
            <w:r>
              <w:rPr>
                <w:rFonts w:hint="eastAsia" w:ascii="宋体" w:hAnsi="宋体" w:cs="宋体"/>
                <w:b/>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Align w:val="center"/>
          </w:tcPr>
          <w:p>
            <w:pPr>
              <w:numPr>
                <w:ilvl w:val="0"/>
                <w:numId w:val="56"/>
              </w:numPr>
              <w:tabs>
                <w:tab w:val="left" w:pos="322"/>
              </w:tabs>
              <w:spacing w:line="320" w:lineRule="exact"/>
              <w:ind w:left="-42" w:right="-42" w:rightChars="-20" w:firstLine="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系统</w:t>
            </w:r>
          </w:p>
          <w:p>
            <w:pPr>
              <w:spacing w:line="360" w:lineRule="auto"/>
              <w:jc w:val="center"/>
              <w:rPr>
                <w:rFonts w:ascii="宋体" w:hAnsi="宋体"/>
                <w:b/>
                <w:szCs w:val="21"/>
              </w:rPr>
            </w:pPr>
            <w:r>
              <w:rPr>
                <w:rFonts w:hint="eastAsia" w:ascii="宋体" w:hAnsi="宋体"/>
                <w:b/>
                <w:szCs w:val="21"/>
              </w:rPr>
              <w:t>演示</w:t>
            </w:r>
          </w:p>
        </w:tc>
        <w:tc>
          <w:tcPr>
            <w:tcW w:w="588" w:type="dxa"/>
            <w:vAlign w:val="center"/>
          </w:tcPr>
          <w:p>
            <w:pPr>
              <w:spacing w:line="360" w:lineRule="auto"/>
              <w:jc w:val="center"/>
              <w:rPr>
                <w:rFonts w:ascii="宋体" w:hAnsi="宋体"/>
                <w:b/>
                <w:szCs w:val="21"/>
              </w:rPr>
            </w:pPr>
            <w:r>
              <w:rPr>
                <w:rFonts w:hint="eastAsia" w:ascii="宋体" w:hAnsi="宋体"/>
                <w:b/>
                <w:szCs w:val="21"/>
              </w:rPr>
              <w:t>21</w:t>
            </w:r>
          </w:p>
        </w:tc>
        <w:tc>
          <w:tcPr>
            <w:tcW w:w="7266" w:type="dxa"/>
            <w:vAlign w:val="center"/>
          </w:tcPr>
          <w:p>
            <w:pPr>
              <w:spacing w:line="400" w:lineRule="exact"/>
              <w:rPr>
                <w:szCs w:val="21"/>
              </w:rPr>
            </w:pPr>
            <w:r>
              <w:rPr>
                <w:rFonts w:hint="eastAsia"/>
                <w:szCs w:val="21"/>
              </w:rPr>
              <w:t>1、能够展示和统计每天的新建商品房和存量房交易数据并能够互动查看一周或者半年新建房和存量房交易数据及变化趋势（3分）；</w:t>
            </w:r>
          </w:p>
          <w:p>
            <w:pPr>
              <w:spacing w:line="400" w:lineRule="exact"/>
              <w:rPr>
                <w:szCs w:val="21"/>
              </w:rPr>
            </w:pPr>
            <w:r>
              <w:rPr>
                <w:rFonts w:hint="eastAsia"/>
                <w:szCs w:val="21"/>
              </w:rPr>
              <w:t>2、通过项目关联查看项目的规划、建设、预售、土地信息（3分）；</w:t>
            </w:r>
          </w:p>
          <w:p>
            <w:pPr>
              <w:spacing w:line="400" w:lineRule="exact"/>
              <w:rPr>
                <w:szCs w:val="21"/>
              </w:rPr>
            </w:pPr>
            <w:r>
              <w:rPr>
                <w:rFonts w:hint="eastAsia"/>
                <w:szCs w:val="21"/>
              </w:rPr>
              <w:t>3、通过楼盘表可以查看直观图形化房屋业务办理生命周期（3分）。</w:t>
            </w:r>
          </w:p>
          <w:p>
            <w:pPr>
              <w:spacing w:line="400" w:lineRule="exact"/>
              <w:rPr>
                <w:szCs w:val="21"/>
              </w:rPr>
            </w:pPr>
            <w:r>
              <w:rPr>
                <w:rFonts w:hint="eastAsia"/>
                <w:szCs w:val="21"/>
              </w:rPr>
              <w:t>4、实现从时间、区域进行房地产专题业务对比分析;能够实现按照时间维度，动态展示房产统计数据变化情况（2分）；能够实现特定区域统计数据的6个月环比及6年的同比（2分）。</w:t>
            </w:r>
          </w:p>
          <w:p>
            <w:pPr>
              <w:spacing w:line="400" w:lineRule="exact"/>
              <w:rPr>
                <w:szCs w:val="21"/>
              </w:rPr>
            </w:pPr>
            <w:r>
              <w:rPr>
                <w:rFonts w:hint="eastAsia"/>
                <w:szCs w:val="21"/>
              </w:rPr>
              <w:t>5、能够选择时间区间，展示该时间内竣工或开工的所有项目分布情况，并可查看项目的详细情况（2分）；能够选择时间区间，展示该时间内所有签约的新建房所在项目的分布，并能够查看到不同项目签约的数量（2分）。</w:t>
            </w:r>
          </w:p>
          <w:p>
            <w:pPr>
              <w:spacing w:line="400" w:lineRule="exact"/>
              <w:rPr>
                <w:szCs w:val="21"/>
              </w:rPr>
            </w:pPr>
            <w:r>
              <w:rPr>
                <w:rFonts w:hint="eastAsia"/>
                <w:szCs w:val="21"/>
              </w:rPr>
              <w:t>6、多样统计分析，按区域、时间、住宅、非住宅统计预售房屋的面积和套数、新建房网签房屋的面积、套数、均价，支持报表输出和饼图与柱图展示（2分）；按区域、截止时间、住宅、非住宅统计新建商品房累计库存套数和面积，支持报表输出和饼图与柱图展示（2分）</w:t>
            </w:r>
          </w:p>
          <w:p>
            <w:pPr>
              <w:widowControl/>
              <w:adjustRightInd w:val="0"/>
              <w:snapToGrid w:val="0"/>
              <w:spacing w:line="400" w:lineRule="exact"/>
              <w:jc w:val="left"/>
              <w:rPr>
                <w:rFonts w:ascii="宋体" w:hAnsi="宋体" w:cs="宋体"/>
                <w:b/>
                <w:kern w:val="0"/>
                <w:szCs w:val="21"/>
              </w:rPr>
            </w:pPr>
            <w:r>
              <w:rPr>
                <w:rFonts w:hint="eastAsia" w:ascii="宋体" w:hAnsi="宋体" w:cs="宋体"/>
                <w:b/>
                <w:kern w:val="0"/>
                <w:szCs w:val="21"/>
              </w:rPr>
              <w:t>注：</w:t>
            </w:r>
          </w:p>
          <w:p>
            <w:pPr>
              <w:widowControl/>
              <w:adjustRightInd w:val="0"/>
              <w:snapToGrid w:val="0"/>
              <w:spacing w:line="400" w:lineRule="exact"/>
              <w:ind w:left="-16" w:leftChars="-8" w:firstLine="16" w:firstLineChars="8"/>
              <w:jc w:val="left"/>
              <w:rPr>
                <w:rFonts w:ascii="宋体" w:hAnsi="宋体" w:cs="宋体"/>
                <w:b/>
                <w:kern w:val="0"/>
                <w:szCs w:val="21"/>
              </w:rPr>
            </w:pPr>
            <w:r>
              <w:rPr>
                <w:rFonts w:hint="eastAsia" w:ascii="宋体" w:hAnsi="宋体" w:cs="宋体"/>
                <w:b/>
                <w:kern w:val="0"/>
                <w:szCs w:val="21"/>
              </w:rPr>
              <w:t>1、投标人必须进行现场演示，且所演示系统必须是以本公司所建设的实际项目案例系统。</w:t>
            </w:r>
          </w:p>
          <w:p>
            <w:pPr>
              <w:widowControl/>
              <w:adjustRightInd w:val="0"/>
              <w:snapToGrid w:val="0"/>
              <w:spacing w:line="400" w:lineRule="exact"/>
              <w:ind w:left="-16" w:leftChars="-8" w:firstLine="16" w:firstLineChars="8"/>
              <w:jc w:val="left"/>
              <w:rPr>
                <w:rFonts w:ascii="宋体" w:hAnsi="宋体" w:cs="宋体"/>
                <w:b/>
                <w:kern w:val="0"/>
                <w:szCs w:val="21"/>
              </w:rPr>
            </w:pPr>
            <w:r>
              <w:rPr>
                <w:rFonts w:hint="eastAsia" w:ascii="宋体" w:hAnsi="宋体" w:cs="宋体"/>
                <w:b/>
                <w:kern w:val="0"/>
                <w:szCs w:val="21"/>
              </w:rPr>
              <w:t>2、每个投标人演示时间为15分钟。</w:t>
            </w:r>
          </w:p>
          <w:p>
            <w:pPr>
              <w:widowControl/>
              <w:adjustRightInd w:val="0"/>
              <w:snapToGrid w:val="0"/>
              <w:spacing w:line="400" w:lineRule="exact"/>
              <w:jc w:val="left"/>
              <w:rPr>
                <w:rFonts w:ascii="宋体" w:hAnsi="宋体" w:cs="宋体"/>
                <w:kern w:val="0"/>
                <w:szCs w:val="21"/>
              </w:rPr>
            </w:pPr>
            <w:r>
              <w:rPr>
                <w:rFonts w:hint="eastAsia" w:ascii="宋体" w:hAnsi="宋体" w:cs="宋体"/>
                <w:b/>
                <w:kern w:val="0"/>
                <w:szCs w:val="21"/>
              </w:rPr>
              <w:t>3、没有原型系统演示的，可用PPT代替进行讲解，最高得9分。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Align w:val="center"/>
          </w:tcPr>
          <w:p>
            <w:pPr>
              <w:numPr>
                <w:ilvl w:val="0"/>
                <w:numId w:val="56"/>
              </w:numPr>
              <w:tabs>
                <w:tab w:val="left" w:pos="322"/>
              </w:tabs>
              <w:spacing w:line="320" w:lineRule="exact"/>
              <w:ind w:left="-42" w:right="-42" w:rightChars="-20" w:firstLine="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售后服务</w:t>
            </w:r>
          </w:p>
        </w:tc>
        <w:tc>
          <w:tcPr>
            <w:tcW w:w="588" w:type="dxa"/>
            <w:vAlign w:val="center"/>
          </w:tcPr>
          <w:p>
            <w:pPr>
              <w:spacing w:line="360" w:lineRule="auto"/>
              <w:jc w:val="center"/>
              <w:rPr>
                <w:rFonts w:ascii="宋体" w:hAnsi="宋体"/>
                <w:b/>
                <w:szCs w:val="21"/>
              </w:rPr>
            </w:pPr>
            <w:r>
              <w:rPr>
                <w:rFonts w:hint="eastAsia" w:ascii="宋体" w:hAnsi="宋体"/>
                <w:b/>
                <w:szCs w:val="21"/>
              </w:rPr>
              <w:t>8分</w:t>
            </w:r>
          </w:p>
        </w:tc>
        <w:tc>
          <w:tcPr>
            <w:tcW w:w="7266" w:type="dxa"/>
            <w:vAlign w:val="center"/>
          </w:tcPr>
          <w:p>
            <w:pPr>
              <w:spacing w:line="400" w:lineRule="exact"/>
              <w:rPr>
                <w:rFonts w:ascii="宋体" w:hAnsi="宋体" w:cs="宋体"/>
                <w:szCs w:val="21"/>
              </w:rPr>
            </w:pPr>
            <w:r>
              <w:rPr>
                <w:rFonts w:hint="eastAsia"/>
                <w:color w:val="000000"/>
                <w:szCs w:val="21"/>
              </w:rPr>
              <w:t>1、售后服务机构：为保证售后服务的时效性，投标人在湖北省境内有分公司的得2分，须提供营业执照及联系地址、联系人电话，并且不得是临时指定的服务机构，不提供不得分。</w:t>
            </w:r>
          </w:p>
          <w:p>
            <w:pPr>
              <w:spacing w:line="400" w:lineRule="exact"/>
              <w:rPr>
                <w:rFonts w:ascii="宋体" w:hAnsi="宋体" w:cs="宋体"/>
                <w:szCs w:val="21"/>
              </w:rPr>
            </w:pPr>
            <w:r>
              <w:rPr>
                <w:rFonts w:hint="eastAsia" w:ascii="宋体" w:hAnsi="宋体" w:cs="宋体"/>
                <w:szCs w:val="21"/>
              </w:rPr>
              <w:t>2、运维能力：投标人系统运行维护技术能力评价</w:t>
            </w:r>
            <w:r>
              <w:rPr>
                <w:rFonts w:hint="eastAsia" w:ascii="宋体" w:hAnsi="宋体" w:cs="宋体"/>
                <w:szCs w:val="21"/>
                <w:lang w:eastAsia="zh-CN"/>
              </w:rPr>
              <w:t>，</w:t>
            </w:r>
            <w:r>
              <w:rPr>
                <w:rFonts w:hint="eastAsia" w:ascii="宋体" w:hAnsi="宋体" w:cs="宋体"/>
                <w:szCs w:val="21"/>
              </w:rPr>
              <w:t>投标人具有信息系统集成及服务资质运行维护分项壹级资质得1分</w:t>
            </w:r>
            <w:r>
              <w:rPr>
                <w:rFonts w:hint="eastAsia" w:ascii="宋体" w:hAnsi="宋体" w:cs="宋体"/>
                <w:szCs w:val="21"/>
                <w:lang w:eastAsia="zh-CN"/>
              </w:rPr>
              <w:t>；</w:t>
            </w:r>
            <w:r>
              <w:rPr>
                <w:rFonts w:hint="eastAsia" w:ascii="宋体" w:hAnsi="宋体" w:cs="宋体"/>
                <w:szCs w:val="21"/>
              </w:rPr>
              <w:t>投标人具有“</w:t>
            </w:r>
            <w:r>
              <w:rPr>
                <w:rFonts w:ascii="宋体" w:hAnsi="宋体" w:cs="宋体"/>
                <w:szCs w:val="21"/>
              </w:rPr>
              <w:t>ITSS</w:t>
            </w:r>
            <w:r>
              <w:rPr>
                <w:rFonts w:hint="eastAsia" w:ascii="宋体" w:hAnsi="宋体" w:cs="宋体"/>
                <w:szCs w:val="21"/>
              </w:rPr>
              <w:t>信息技术服务运行维护标准符合性证书”贰级及以上得1分，</w:t>
            </w:r>
            <w:r>
              <w:rPr>
                <w:rFonts w:hint="eastAsia" w:ascii="宋体" w:hAnsi="宋体" w:cs="宋体"/>
                <w:szCs w:val="21"/>
                <w:lang w:eastAsia="zh-CN"/>
              </w:rPr>
              <w:t>不提供不得分</w:t>
            </w:r>
            <w:r>
              <w:rPr>
                <w:rFonts w:hint="eastAsia" w:ascii="宋体" w:hAnsi="宋体" w:cs="宋体"/>
                <w:szCs w:val="21"/>
              </w:rPr>
              <w:t>。</w:t>
            </w:r>
          </w:p>
          <w:p>
            <w:pPr>
              <w:spacing w:line="400" w:lineRule="exact"/>
              <w:rPr>
                <w:rFonts w:ascii="宋体" w:hAnsi="宋体" w:cs="宋体"/>
                <w:b/>
                <w:szCs w:val="21"/>
              </w:rPr>
            </w:pPr>
            <w:r>
              <w:rPr>
                <w:rFonts w:hint="eastAsia" w:ascii="宋体" w:hAnsi="宋体" w:cs="宋体"/>
                <w:b/>
                <w:szCs w:val="21"/>
              </w:rPr>
              <w:t>注：须提供证书证明复印件并加盖公章，否则不得分。</w:t>
            </w:r>
          </w:p>
          <w:p>
            <w:pPr>
              <w:spacing w:line="400" w:lineRule="exact"/>
              <w:rPr>
                <w:color w:val="000000"/>
                <w:szCs w:val="21"/>
              </w:rPr>
            </w:pPr>
            <w:r>
              <w:rPr>
                <w:rFonts w:hint="eastAsia" w:ascii="宋体" w:hAnsi="宋体" w:cs="宋体"/>
                <w:b/>
                <w:szCs w:val="21"/>
              </w:rPr>
              <w:t>3、</w:t>
            </w:r>
            <w:r>
              <w:rPr>
                <w:rFonts w:hint="eastAsia" w:ascii="宋体" w:hAnsi="宋体" w:cs="宋体"/>
                <w:szCs w:val="21"/>
              </w:rPr>
              <w:t>服务承诺：投标人故障处理措施和应急处理方案评价，</w:t>
            </w:r>
            <w:r>
              <w:rPr>
                <w:rFonts w:hint="eastAsia"/>
                <w:szCs w:val="21"/>
                <w:lang w:val="zh-CN"/>
              </w:rPr>
              <w:t>依据各投标人所提供有关资料进行横向比较排名，</w:t>
            </w:r>
            <w:r>
              <w:rPr>
                <w:rFonts w:hint="eastAsia" w:ascii="宋体" w:hAnsi="宋体" w:cs="宋体"/>
                <w:kern w:val="0"/>
                <w:szCs w:val="21"/>
              </w:rPr>
              <w:t>第一名2分，第二名1.5分，第三名1分</w:t>
            </w:r>
            <w:r>
              <w:rPr>
                <w:rFonts w:hint="eastAsia" w:ascii="宋体" w:hAnsi="宋体" w:cs="宋体"/>
                <w:szCs w:val="21"/>
              </w:rPr>
              <w:t>；投标人系统维护服务承诺（包括质保期内和质保期外），</w:t>
            </w:r>
            <w:r>
              <w:rPr>
                <w:rFonts w:hint="eastAsia"/>
                <w:szCs w:val="21"/>
                <w:lang w:val="zh-CN"/>
              </w:rPr>
              <w:t>依据各投标人所提供有关资料进行横向比较排名，</w:t>
            </w:r>
            <w:r>
              <w:rPr>
                <w:rFonts w:hint="eastAsia" w:ascii="宋体" w:hAnsi="宋体" w:cs="宋体"/>
                <w:kern w:val="0"/>
                <w:szCs w:val="21"/>
              </w:rPr>
              <w:t>第一名2分，第二名1.5分，第三名1分</w:t>
            </w:r>
            <w:r>
              <w:rPr>
                <w:rFonts w:hint="eastAsia" w:ascii="宋体" w:hAnsi="宋体" w:cs="宋体"/>
                <w:szCs w:val="21"/>
              </w:rPr>
              <w:t>。</w:t>
            </w:r>
          </w:p>
        </w:tc>
      </w:tr>
    </w:tbl>
    <w:p>
      <w:pPr>
        <w:numPr>
          <w:ilvl w:val="0"/>
          <w:numId w:val="54"/>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价格评议（15分）</w:t>
      </w:r>
    </w:p>
    <w:tbl>
      <w:tblPr>
        <w:tblStyle w:val="22"/>
        <w:tblW w:w="975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75"/>
        <w:gridCol w:w="585"/>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30"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序号</w:t>
            </w:r>
          </w:p>
        </w:tc>
        <w:tc>
          <w:tcPr>
            <w:tcW w:w="1275"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评审因素</w:t>
            </w:r>
          </w:p>
        </w:tc>
        <w:tc>
          <w:tcPr>
            <w:tcW w:w="585" w:type="dxa"/>
            <w:shd w:val="pct10" w:color="auto" w:fill="auto"/>
            <w:vAlign w:val="center"/>
          </w:tcPr>
          <w:p>
            <w:pPr>
              <w:ind w:left="-73" w:leftChars="-35" w:right="-80" w:rightChars="-38"/>
              <w:jc w:val="center"/>
              <w:rPr>
                <w:rFonts w:ascii="宋体" w:hAnsi="宋体" w:eastAsia="宋体" w:cs="Courier New"/>
                <w:b/>
                <w:bCs/>
                <w:sz w:val="24"/>
                <w:szCs w:val="24"/>
              </w:rPr>
            </w:pPr>
            <w:r>
              <w:rPr>
                <w:rFonts w:ascii="宋体" w:hAnsi="宋体" w:eastAsia="宋体" w:cs="Courier New"/>
                <w:b/>
                <w:bCs/>
                <w:sz w:val="24"/>
                <w:szCs w:val="24"/>
              </w:rPr>
              <w:t>分值</w:t>
            </w:r>
          </w:p>
        </w:tc>
        <w:tc>
          <w:tcPr>
            <w:tcW w:w="7264" w:type="dxa"/>
            <w:shd w:val="pct10" w:color="auto" w:fill="auto"/>
            <w:vAlign w:val="center"/>
          </w:tcPr>
          <w:p>
            <w:pPr>
              <w:spacing w:line="240" w:lineRule="atLeast"/>
              <w:jc w:val="center"/>
              <w:rPr>
                <w:rFonts w:ascii="宋体" w:hAnsi="宋体" w:eastAsia="宋体" w:cs="Courier New"/>
                <w:b/>
                <w:bCs/>
                <w:sz w:val="24"/>
                <w:szCs w:val="24"/>
              </w:rPr>
            </w:pPr>
            <w:r>
              <w:rPr>
                <w:rFonts w:hint="eastAsia" w:ascii="宋体" w:hAnsi="宋体" w:eastAsia="宋体" w:cs="Courier New"/>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58"/>
              </w:numPr>
              <w:spacing w:line="320" w:lineRule="exact"/>
              <w:ind w:right="-42" w:rightChars="-20"/>
              <w:jc w:val="center"/>
              <w:rPr>
                <w:rFonts w:ascii="宋体" w:hAnsi="宋体" w:eastAsia="宋体" w:cs="Times New Roman"/>
                <w:b/>
                <w:bCs/>
                <w:sz w:val="24"/>
                <w:szCs w:val="24"/>
              </w:rPr>
            </w:pPr>
          </w:p>
        </w:tc>
        <w:tc>
          <w:tcPr>
            <w:tcW w:w="1275" w:type="dxa"/>
            <w:vAlign w:val="center"/>
          </w:tcPr>
          <w:p>
            <w:pPr>
              <w:ind w:left="-78" w:leftChars="-37" w:right="-86" w:rightChars="-41"/>
              <w:jc w:val="center"/>
              <w:rPr>
                <w:rFonts w:ascii="宋体" w:hAnsi="宋体" w:eastAsia="宋体" w:cs="Times New Roman"/>
                <w:b/>
                <w:bCs/>
                <w:sz w:val="24"/>
                <w:szCs w:val="24"/>
              </w:rPr>
            </w:pPr>
            <w:r>
              <w:rPr>
                <w:rFonts w:hint="eastAsia" w:ascii="宋体" w:hAnsi="宋体"/>
                <w:b/>
                <w:szCs w:val="21"/>
              </w:rPr>
              <w:t>价格评议</w:t>
            </w:r>
          </w:p>
        </w:tc>
        <w:tc>
          <w:tcPr>
            <w:tcW w:w="585" w:type="dxa"/>
            <w:vAlign w:val="center"/>
          </w:tcPr>
          <w:p>
            <w:pPr>
              <w:spacing w:line="320" w:lineRule="exact"/>
              <w:jc w:val="center"/>
              <w:rPr>
                <w:rFonts w:ascii="宋体" w:hAnsi="宋体" w:eastAsia="宋体" w:cs="Times New Roman"/>
                <w:color w:val="0D0D0D"/>
                <w:kern w:val="0"/>
                <w:sz w:val="24"/>
                <w:szCs w:val="24"/>
              </w:rPr>
            </w:pPr>
            <w:r>
              <w:rPr>
                <w:rFonts w:hint="eastAsia" w:ascii="宋体" w:hAnsi="宋体" w:eastAsia="宋体"/>
                <w:b/>
                <w:kern w:val="0"/>
                <w:sz w:val="24"/>
                <w:szCs w:val="24"/>
              </w:rPr>
              <w:t>15</w:t>
            </w:r>
          </w:p>
        </w:tc>
        <w:tc>
          <w:tcPr>
            <w:tcW w:w="7264" w:type="dxa"/>
            <w:vAlign w:val="center"/>
          </w:tcPr>
          <w:p>
            <w:pPr>
              <w:adjustRightInd w:val="0"/>
              <w:snapToGrid w:val="0"/>
              <w:rPr>
                <w:rFonts w:ascii="宋体" w:hAnsi="宋体" w:eastAsia="宋体" w:cs="Times New Roman"/>
                <w:sz w:val="24"/>
                <w:szCs w:val="24"/>
              </w:rPr>
            </w:pPr>
            <w:r>
              <w:rPr>
                <w:rFonts w:hint="eastAsia" w:ascii="宋体" w:hAnsi="宋体"/>
                <w:szCs w:val="21"/>
              </w:rPr>
              <w:t>评标委员会只对符合性审查合格的投标文件进行价格评议，报价分采用低价优先法计算，即满足招标文件要求且投标价格</w:t>
            </w:r>
            <w:r>
              <w:rPr>
                <w:rFonts w:hint="eastAsia" w:ascii="宋体" w:hAnsi="宋体"/>
                <w:b/>
                <w:szCs w:val="21"/>
              </w:rPr>
              <w:t>（落实政府采购政策进行价格调整的，以调整后的价格计算）</w:t>
            </w:r>
            <w:r>
              <w:rPr>
                <w:rFonts w:hint="eastAsia" w:ascii="宋体" w:hAnsi="宋体"/>
                <w:szCs w:val="21"/>
              </w:rPr>
              <w:t>最低的投标报价为评标基准价，其价格分为满分。其他投标人的价格分按照下列公式计算：报价得分=(评标基准价／投标报价)×15分</w:t>
            </w:r>
          </w:p>
        </w:tc>
      </w:tr>
    </w:tbl>
    <w:p/>
    <w:p>
      <w:r>
        <w:br w:type="page"/>
      </w:r>
    </w:p>
    <w:p>
      <w:pPr>
        <w:pStyle w:val="2"/>
        <w:numPr>
          <w:ilvl w:val="0"/>
          <w:numId w:val="1"/>
        </w:numPr>
        <w:jc w:val="center"/>
        <w:rPr>
          <w:rFonts w:ascii="黑体" w:hAnsi="黑体" w:eastAsia="黑体"/>
        </w:rPr>
      </w:pPr>
      <w:bookmarkStart w:id="123" w:name="_Toc494721093"/>
      <w:bookmarkStart w:id="124" w:name="_Toc3626"/>
      <w:bookmarkStart w:id="125" w:name="_Toc494665546"/>
      <w:bookmarkStart w:id="126" w:name="_Toc494702263"/>
      <w:bookmarkStart w:id="127" w:name="_Toc494664993"/>
      <w:bookmarkStart w:id="128" w:name="_Toc494665943"/>
      <w:bookmarkStart w:id="129" w:name="_Toc494745310"/>
      <w:r>
        <w:rPr>
          <w:rFonts w:hint="eastAsia" w:ascii="黑体" w:hAnsi="黑体" w:eastAsia="黑体"/>
        </w:rPr>
        <w:t>合同书格式（参考）</w:t>
      </w:r>
      <w:bookmarkEnd w:id="123"/>
      <w:bookmarkEnd w:id="124"/>
      <w:bookmarkEnd w:id="125"/>
      <w:bookmarkEnd w:id="126"/>
      <w:bookmarkEnd w:id="127"/>
      <w:bookmarkEnd w:id="128"/>
      <w:bookmarkEnd w:id="129"/>
    </w:p>
    <w:p>
      <w:pPr>
        <w:spacing w:line="360" w:lineRule="auto"/>
        <w:ind w:firstLine="482"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2"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91"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9"/>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9"/>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9"/>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9"/>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0"/>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0"/>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0"/>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0"/>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0"/>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pPr>
        <w:numPr>
          <w:ilvl w:val="0"/>
          <w:numId w:val="60"/>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61"/>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61"/>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61"/>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61"/>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9"/>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9"/>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9"/>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9"/>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9"/>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9"/>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9"/>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9"/>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130" w:name="_Toc494702264"/>
      <w:bookmarkStart w:id="131" w:name="_Toc494745311"/>
      <w:bookmarkStart w:id="132" w:name="_Toc494721094"/>
      <w:bookmarkStart w:id="133" w:name="_Toc494665547"/>
      <w:bookmarkStart w:id="134" w:name="_Toc494664994"/>
      <w:bookmarkStart w:id="135" w:name="_Toc494665944"/>
      <w:bookmarkStart w:id="136" w:name="_Toc19320"/>
      <w:r>
        <w:rPr>
          <w:rFonts w:hint="eastAsia" w:ascii="黑体" w:hAnsi="黑体" w:eastAsia="黑体"/>
        </w:rPr>
        <w:t>投标文件格式（参考）</w:t>
      </w:r>
      <w:bookmarkEnd w:id="130"/>
      <w:bookmarkEnd w:id="131"/>
      <w:bookmarkEnd w:id="132"/>
      <w:bookmarkEnd w:id="133"/>
      <w:bookmarkEnd w:id="134"/>
      <w:bookmarkEnd w:id="135"/>
      <w:bookmarkEnd w:id="136"/>
    </w:p>
    <w:p>
      <w:pPr>
        <w:spacing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37" w:name="_Toc494665548"/>
      <w:bookmarkStart w:id="138" w:name="_Toc494702265"/>
      <w:bookmarkStart w:id="139" w:name="_Toc16237"/>
      <w:bookmarkStart w:id="140" w:name="_Toc494664995"/>
      <w:bookmarkStart w:id="141" w:name="_Toc494665945"/>
      <w:bookmarkStart w:id="142" w:name="_Toc494721095"/>
      <w:bookmarkStart w:id="143" w:name="_Toc494745312"/>
      <w:r>
        <w:rPr>
          <w:rFonts w:hint="eastAsia" w:cs="Times New Roman" w:asciiTheme="majorEastAsia" w:hAnsiTheme="majorEastAsia"/>
          <w:bCs w:val="0"/>
          <w:sz w:val="44"/>
          <w:szCs w:val="44"/>
          <w:lang w:val="zh-CN"/>
        </w:rPr>
        <w:t>第一部分 资格证明文件</w:t>
      </w:r>
      <w:bookmarkEnd w:id="137"/>
      <w:bookmarkEnd w:id="138"/>
      <w:bookmarkEnd w:id="139"/>
      <w:bookmarkEnd w:id="140"/>
      <w:bookmarkEnd w:id="141"/>
      <w:bookmarkEnd w:id="142"/>
      <w:bookmarkEnd w:id="143"/>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44" w:name="_Toc494721096"/>
      <w:bookmarkStart w:id="145" w:name="_Toc494665549"/>
      <w:bookmarkStart w:id="146" w:name="_Toc494745313"/>
      <w:bookmarkStart w:id="147" w:name="_Toc494664996"/>
      <w:bookmarkStart w:id="148" w:name="_Toc494702266"/>
      <w:bookmarkStart w:id="149" w:name="_Toc494665946"/>
      <w:r>
        <w:rPr>
          <w:rFonts w:hint="eastAsia" w:ascii="黑体" w:hAnsi="黑体" w:eastAsia="黑体" w:cs="Times New Roman"/>
          <w:b/>
          <w:sz w:val="36"/>
          <w:szCs w:val="36"/>
        </w:rPr>
        <w:t>资格证明文件组成</w:t>
      </w:r>
      <w:bookmarkEnd w:id="144"/>
      <w:bookmarkEnd w:id="145"/>
      <w:bookmarkEnd w:id="146"/>
      <w:bookmarkEnd w:id="147"/>
      <w:bookmarkEnd w:id="148"/>
      <w:bookmarkEnd w:id="149"/>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32"/>
        <w:numPr>
          <w:ilvl w:val="0"/>
          <w:numId w:val="63"/>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2"/>
        <w:numPr>
          <w:ilvl w:val="0"/>
          <w:numId w:val="63"/>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32"/>
        <w:numPr>
          <w:ilvl w:val="0"/>
          <w:numId w:val="63"/>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2"/>
        <w:numPr>
          <w:ilvl w:val="0"/>
          <w:numId w:val="63"/>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2"/>
        <w:numPr>
          <w:ilvl w:val="0"/>
          <w:numId w:val="63"/>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2"/>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50" w:name="_Toc494721097"/>
      <w:bookmarkStart w:id="151" w:name="_Toc494664997"/>
      <w:bookmarkStart w:id="152" w:name="_Toc494665947"/>
      <w:bookmarkStart w:id="153" w:name="_Toc494665550"/>
      <w:bookmarkStart w:id="154" w:name="_Toc494702267"/>
      <w:bookmarkStart w:id="155" w:name="_Toc30559"/>
      <w:bookmarkStart w:id="156" w:name="_Toc494745314"/>
      <w:r>
        <w:rPr>
          <w:rFonts w:hint="eastAsia" w:cs="Times New Roman" w:asciiTheme="majorEastAsia" w:hAnsiTheme="majorEastAsia"/>
          <w:bCs w:val="0"/>
          <w:sz w:val="44"/>
          <w:szCs w:val="44"/>
          <w:lang w:val="zh-CN"/>
        </w:rPr>
        <w:t>第二部分 商务文件</w:t>
      </w:r>
      <w:bookmarkEnd w:id="150"/>
      <w:bookmarkEnd w:id="151"/>
      <w:bookmarkEnd w:id="152"/>
      <w:bookmarkEnd w:id="153"/>
      <w:bookmarkEnd w:id="154"/>
      <w:bookmarkEnd w:id="155"/>
      <w:bookmarkEnd w:id="156"/>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57" w:name="_Toc494745315"/>
      <w:bookmarkStart w:id="158" w:name="_Toc494665551"/>
      <w:bookmarkStart w:id="159" w:name="_Toc494702268"/>
      <w:bookmarkStart w:id="160" w:name="_Toc494665948"/>
      <w:bookmarkStart w:id="161" w:name="_Toc494721098"/>
      <w:bookmarkStart w:id="162" w:name="_Toc494664998"/>
      <w:r>
        <w:rPr>
          <w:rFonts w:hint="eastAsia" w:ascii="黑体" w:hAnsi="黑体" w:eastAsia="黑体" w:cs="Times New Roman"/>
          <w:b/>
          <w:sz w:val="36"/>
          <w:szCs w:val="36"/>
        </w:rPr>
        <w:t>商务文件组成</w:t>
      </w:r>
      <w:bookmarkEnd w:id="157"/>
      <w:bookmarkEnd w:id="158"/>
      <w:bookmarkEnd w:id="159"/>
      <w:bookmarkEnd w:id="160"/>
      <w:bookmarkEnd w:id="161"/>
      <w:bookmarkEnd w:id="162"/>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4"/>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开标一览表（附件二）；</w:t>
      </w:r>
    </w:p>
    <w:p>
      <w:pPr>
        <w:numPr>
          <w:ilvl w:val="0"/>
          <w:numId w:val="64"/>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投标货物、服务清单（附件三）；</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交纳投标保证金的银行凭证（附件四，</w:t>
      </w:r>
      <w:r>
        <w:rPr>
          <w:rFonts w:hint="eastAsia" w:ascii="宋体" w:hAnsi="宋体" w:eastAsia="宋体" w:cs="Courier New"/>
          <w:b/>
          <w:bCs/>
          <w:color w:val="0D0D0D"/>
          <w:sz w:val="24"/>
          <w:szCs w:val="24"/>
        </w:rPr>
        <w:t>本项目不适用</w:t>
      </w:r>
      <w:r>
        <w:rPr>
          <w:rFonts w:hint="eastAsia" w:ascii="宋体" w:hAnsi="宋体" w:eastAsia="宋体" w:cs="Courier New"/>
          <w:color w:val="0D0D0D"/>
          <w:sz w:val="24"/>
          <w:szCs w:val="24"/>
        </w:rPr>
        <w:t>）；</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法定代表人授权书（附件五）；</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投标人的资格声明（附件六）；</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项目负责人、技术负责人简历表（附件七）；</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项目班子成员情况表（附件八）；</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投标人类似项目业绩表（附件九）；</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商务要求响应、偏离说明表（附件十一）；</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商务要求“★”号条款响应、偏离说明表（附件十二）</w:t>
      </w:r>
    </w:p>
    <w:p>
      <w:pPr>
        <w:numPr>
          <w:ilvl w:val="0"/>
          <w:numId w:val="64"/>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商务评议对照表（附件十三）。</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63" w:name="_Toc494665552"/>
      <w:bookmarkStart w:id="164" w:name="_Toc494702269"/>
      <w:bookmarkStart w:id="165" w:name="_Toc3522"/>
      <w:bookmarkStart w:id="166" w:name="_Toc494664999"/>
      <w:bookmarkStart w:id="167" w:name="_Toc494665949"/>
      <w:bookmarkStart w:id="168" w:name="_Toc494745316"/>
      <w:bookmarkStart w:id="169" w:name="_Toc494721099"/>
      <w:r>
        <w:rPr>
          <w:rFonts w:hint="eastAsia" w:cs="Times New Roman" w:asciiTheme="majorEastAsia" w:hAnsiTheme="majorEastAsia"/>
          <w:bCs w:val="0"/>
          <w:sz w:val="44"/>
          <w:szCs w:val="44"/>
          <w:lang w:val="zh-CN"/>
        </w:rPr>
        <w:t>第三部分 技术、服务文件</w:t>
      </w:r>
      <w:bookmarkEnd w:id="163"/>
      <w:bookmarkEnd w:id="164"/>
      <w:bookmarkEnd w:id="165"/>
      <w:bookmarkEnd w:id="166"/>
      <w:bookmarkEnd w:id="167"/>
      <w:bookmarkEnd w:id="168"/>
      <w:bookmarkEnd w:id="169"/>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70" w:name="_Toc494665553"/>
      <w:bookmarkStart w:id="171" w:name="_Toc494702270"/>
      <w:bookmarkStart w:id="172" w:name="_Toc494665000"/>
      <w:bookmarkStart w:id="173" w:name="_Toc494721100"/>
      <w:bookmarkStart w:id="174" w:name="_Toc494665950"/>
      <w:bookmarkStart w:id="175" w:name="_Toc494745317"/>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70"/>
      <w:bookmarkEnd w:id="171"/>
      <w:bookmarkEnd w:id="172"/>
      <w:bookmarkEnd w:id="173"/>
      <w:bookmarkEnd w:id="174"/>
      <w:bookmarkEnd w:id="175"/>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5"/>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技术、服务要求响应、偏离说明表（附件十五）；</w:t>
      </w:r>
    </w:p>
    <w:p>
      <w:pPr>
        <w:numPr>
          <w:ilvl w:val="0"/>
          <w:numId w:val="6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技术、服务要求“★”号条款响应、偏离说明表（附件十六）；</w:t>
      </w:r>
    </w:p>
    <w:p>
      <w:pPr>
        <w:numPr>
          <w:ilvl w:val="0"/>
          <w:numId w:val="6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技术、服务评议对照表（附件十七）；</w:t>
      </w:r>
    </w:p>
    <w:p>
      <w:pPr>
        <w:numPr>
          <w:ilvl w:val="0"/>
          <w:numId w:val="6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8" w:leftChars="-6" w:hanging="730"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66"/>
        </w:numPr>
        <w:spacing w:before="100" w:beforeAutospacing="1" w:afterLines="50" w:line="360" w:lineRule="auto"/>
        <w:ind w:left="1288" w:hanging="1288"/>
        <w:rPr>
          <w:rFonts w:ascii="宋体" w:hAnsi="宋体" w:eastAsia="宋体"/>
        </w:rPr>
      </w:pPr>
      <w:bookmarkStart w:id="176" w:name="_Toc494665951"/>
      <w:bookmarkStart w:id="177" w:name="_Toc494721101"/>
      <w:bookmarkStart w:id="178" w:name="_Toc25314"/>
      <w:bookmarkStart w:id="179" w:name="_Toc236473298"/>
      <w:bookmarkStart w:id="180" w:name="_Toc494665001"/>
      <w:bookmarkStart w:id="181" w:name="_Toc238276242"/>
      <w:bookmarkStart w:id="182" w:name="_Toc494702271"/>
      <w:bookmarkStart w:id="183" w:name="_Toc494745318"/>
      <w:bookmarkStart w:id="184" w:name="_Toc494665554"/>
      <w:r>
        <w:rPr>
          <w:rFonts w:hint="eastAsia" w:ascii="宋体" w:hAnsi="宋体" w:eastAsia="宋体"/>
        </w:rPr>
        <w:t>投标书</w:t>
      </w:r>
      <w:bookmarkEnd w:id="176"/>
      <w:bookmarkEnd w:id="177"/>
      <w:bookmarkEnd w:id="178"/>
      <w:bookmarkEnd w:id="179"/>
      <w:bookmarkEnd w:id="180"/>
      <w:bookmarkEnd w:id="181"/>
      <w:bookmarkEnd w:id="182"/>
      <w:bookmarkEnd w:id="183"/>
      <w:bookmarkEnd w:id="184"/>
    </w:p>
    <w:p>
      <w:pPr>
        <w:spacing w:line="360" w:lineRule="auto"/>
        <w:rPr>
          <w:b/>
          <w:sz w:val="28"/>
          <w:szCs w:val="28"/>
        </w:rPr>
      </w:pPr>
      <w:r>
        <w:rPr>
          <w:rFonts w:hint="eastAsia"/>
          <w:b/>
          <w:sz w:val="28"/>
          <w:szCs w:val="28"/>
        </w:rPr>
        <w:t>阳新县政府采购中心：</w:t>
      </w:r>
    </w:p>
    <w:p>
      <w:pPr>
        <w:spacing w:line="360" w:lineRule="auto"/>
        <w:ind w:firstLine="482"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货物（工程或服务）投标综合折扣率为（%）；</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5．提供按照贵方可能要求的与投标有关的一切数据或资料；</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6．与投标有关的一切正式往来信函请寄：。</w:t>
      </w:r>
    </w:p>
    <w:p>
      <w:pPr>
        <w:autoSpaceDE w:val="0"/>
        <w:autoSpaceDN w:val="0"/>
        <w:adjustRightInd w:val="0"/>
        <w:spacing w:line="400" w:lineRule="exact"/>
        <w:ind w:right="246" w:firstLine="482" w:firstLineChars="200"/>
        <w:rPr>
          <w:rFonts w:ascii="宋体" w:hAnsi="宋体" w:eastAsia="宋体" w:cs="Times New Roman"/>
          <w:kern w:val="0"/>
          <w:sz w:val="24"/>
          <w:szCs w:val="24"/>
        </w:rPr>
      </w:pP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66"/>
        </w:numPr>
        <w:spacing w:before="100" w:beforeAutospacing="1" w:afterLines="50" w:line="360" w:lineRule="auto"/>
        <w:ind w:left="1288" w:hanging="1288"/>
        <w:rPr>
          <w:rFonts w:ascii="宋体" w:hAnsi="宋体" w:eastAsia="宋体"/>
        </w:rPr>
      </w:pPr>
      <w:bookmarkStart w:id="185" w:name="_Toc494745322"/>
      <w:bookmarkStart w:id="186" w:name="_Toc25048"/>
      <w:bookmarkStart w:id="187" w:name="_Toc494702275"/>
      <w:bookmarkStart w:id="188" w:name="_Toc494577410"/>
      <w:bookmarkStart w:id="189" w:name="_Toc494665558"/>
      <w:bookmarkStart w:id="190" w:name="_Toc494721105"/>
      <w:bookmarkStart w:id="191" w:name="_Toc494665005"/>
      <w:bookmarkStart w:id="192" w:name="_Toc494665955"/>
      <w:r>
        <w:rPr>
          <w:rFonts w:hint="eastAsia" w:ascii="宋体" w:hAnsi="宋体" w:eastAsia="宋体"/>
        </w:rPr>
        <w:t>开标一览表</w:t>
      </w:r>
      <w:bookmarkEnd w:id="185"/>
      <w:bookmarkEnd w:id="186"/>
      <w:bookmarkEnd w:id="187"/>
      <w:bookmarkEnd w:id="188"/>
      <w:bookmarkEnd w:id="189"/>
      <w:bookmarkEnd w:id="190"/>
      <w:bookmarkEnd w:id="191"/>
      <w:bookmarkEnd w:id="192"/>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万元整</w:t>
            </w:r>
          </w:p>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宋体"/>
                <w:kern w:val="0"/>
                <w:sz w:val="24"/>
                <w:szCs w:val="24"/>
                <w:lang w:val="zh-CN"/>
              </w:rPr>
            </w:pPr>
          </w:p>
        </w:tc>
      </w:tr>
    </w:tbl>
    <w:p>
      <w:pPr>
        <w:spacing w:line="360" w:lineRule="auto"/>
        <w:ind w:left="1056" w:hanging="1052" w:hangingChars="437"/>
        <w:jc w:val="left"/>
        <w:rPr>
          <w:rFonts w:ascii="宋体" w:hAnsi="宋体"/>
          <w:sz w:val="24"/>
        </w:rPr>
      </w:pPr>
      <w:r>
        <w:rPr>
          <w:rFonts w:hint="eastAsia" w:ascii="宋体" w:hAnsi="宋体"/>
          <w:sz w:val="24"/>
        </w:rPr>
        <w:t>说明：1．所有价格均用</w:t>
      </w:r>
      <w:r>
        <w:rPr>
          <w:rFonts w:hint="eastAsia" w:ascii="宋体" w:hAnsi="宋体"/>
          <w:sz w:val="24"/>
          <w:lang w:eastAsia="zh-CN"/>
        </w:rPr>
        <w:t>人民币</w:t>
      </w:r>
      <w:r>
        <w:rPr>
          <w:rFonts w:hint="eastAsia" w:ascii="宋体" w:hAnsi="宋体"/>
          <w:sz w:val="24"/>
        </w:rPr>
        <w:t>表示</w:t>
      </w:r>
      <w:r>
        <w:rPr>
          <w:rFonts w:hint="eastAsia" w:ascii="宋体" w:hAnsi="宋体"/>
          <w:sz w:val="24"/>
          <w:lang w:eastAsia="zh-CN"/>
        </w:rPr>
        <w:t>，</w:t>
      </w:r>
      <w:r>
        <w:rPr>
          <w:rFonts w:hint="eastAsia" w:ascii="宋体" w:hAnsi="宋体"/>
          <w:sz w:val="24"/>
        </w:rPr>
        <w:t>单位为元。</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3．为方便开标时唱标，投标人应另附《开标一览表》一份</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66"/>
        </w:numPr>
        <w:spacing w:before="100" w:beforeAutospacing="1" w:afterLines="50" w:line="360" w:lineRule="auto"/>
        <w:ind w:left="1288" w:hanging="1288"/>
        <w:rPr>
          <w:rFonts w:ascii="宋体" w:hAnsi="宋体" w:eastAsia="宋体"/>
        </w:rPr>
      </w:pPr>
      <w:bookmarkStart w:id="193" w:name="_Toc494721108"/>
      <w:bookmarkStart w:id="194" w:name="_Toc494665008"/>
      <w:bookmarkStart w:id="195" w:name="_Toc494745325"/>
      <w:bookmarkStart w:id="196" w:name="_Toc21599"/>
      <w:bookmarkStart w:id="197" w:name="_Toc494665958"/>
      <w:bookmarkStart w:id="198" w:name="_Toc494665561"/>
      <w:bookmarkStart w:id="199" w:name="_Toc494702278"/>
      <w:r>
        <w:rPr>
          <w:rFonts w:hint="eastAsia" w:ascii="宋体" w:hAnsi="宋体" w:eastAsia="宋体"/>
        </w:rPr>
        <w:t>投标货物（工程或服务）清单</w:t>
      </w:r>
      <w:bookmarkEnd w:id="193"/>
      <w:bookmarkEnd w:id="194"/>
      <w:bookmarkEnd w:id="195"/>
      <w:bookmarkEnd w:id="196"/>
      <w:bookmarkEnd w:id="197"/>
      <w:bookmarkEnd w:id="198"/>
      <w:bookmarkEnd w:id="199"/>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85" w:hanging="1081"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6" w:leftChars="339" w:hanging="351"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288" w:hanging="1288"/>
        <w:rPr>
          <w:rFonts w:ascii="宋体" w:hAnsi="宋体" w:eastAsia="宋体"/>
        </w:rPr>
      </w:pPr>
      <w:bookmarkStart w:id="200" w:name="_Toc494665009"/>
      <w:bookmarkStart w:id="201" w:name="_Toc494745326"/>
      <w:bookmarkStart w:id="202" w:name="_Toc494702279"/>
      <w:bookmarkStart w:id="203" w:name="_Toc494721109"/>
      <w:bookmarkStart w:id="204" w:name="_Toc494665562"/>
      <w:bookmarkStart w:id="205" w:name="_Toc494665959"/>
      <w:bookmarkStart w:id="206" w:name="_Toc12099"/>
      <w:r>
        <w:rPr>
          <w:rFonts w:hint="eastAsia" w:ascii="宋体" w:hAnsi="宋体" w:eastAsia="宋体"/>
        </w:rPr>
        <w:t>交纳投标保证金的银行凭证</w:t>
      </w:r>
      <w:bookmarkEnd w:id="200"/>
      <w:bookmarkEnd w:id="201"/>
      <w:bookmarkEnd w:id="202"/>
      <w:bookmarkEnd w:id="203"/>
      <w:bookmarkEnd w:id="204"/>
      <w:bookmarkEnd w:id="205"/>
      <w:bookmarkEnd w:id="206"/>
    </w:p>
    <w:p>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p>
      <w:pPr>
        <w:spacing w:line="480" w:lineRule="auto"/>
        <w:rPr>
          <w:rFonts w:ascii="宋体" w:hAnsi="宋体" w:cs="Courier New"/>
          <w:b/>
          <w:sz w:val="28"/>
          <w:szCs w:val="28"/>
        </w:rPr>
      </w:pPr>
      <w:r>
        <w:rPr>
          <w:rFonts w:hint="eastAsia" w:ascii="宋体" w:hAnsi="宋体" w:cs="Courier New"/>
          <w:b/>
          <w:sz w:val="28"/>
          <w:szCs w:val="28"/>
        </w:rPr>
        <w:t>阳新县政府采购中心：</w:t>
      </w:r>
    </w:p>
    <w:p>
      <w:pPr>
        <w:spacing w:line="360" w:lineRule="auto"/>
        <w:ind w:firstLine="491"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    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_）的政府采购活动。按招标文件的规定，已递交人民币（大写）万元的投标保证金。</w:t>
      </w:r>
    </w:p>
    <w:tbl>
      <w:tblPr>
        <w:tblStyle w:val="22"/>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2"/>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1"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5" w:hanging="723"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3"/>
        <w:numPr>
          <w:ilvl w:val="0"/>
          <w:numId w:val="66"/>
        </w:numPr>
        <w:spacing w:before="100" w:beforeAutospacing="1" w:afterLines="50" w:line="360" w:lineRule="auto"/>
        <w:ind w:left="1288" w:hanging="1288"/>
        <w:rPr>
          <w:rFonts w:ascii="宋体" w:hAnsi="宋体" w:eastAsia="宋体"/>
        </w:rPr>
      </w:pPr>
      <w:bookmarkStart w:id="207" w:name="_Toc494665960"/>
      <w:bookmarkStart w:id="208" w:name="_Toc494665010"/>
      <w:bookmarkStart w:id="209" w:name="_Toc494745327"/>
      <w:bookmarkStart w:id="210" w:name="_Toc494702280"/>
      <w:bookmarkStart w:id="211" w:name="_Toc238276247"/>
      <w:bookmarkStart w:id="212" w:name="_Toc236473303"/>
      <w:bookmarkStart w:id="213" w:name="_Toc494665563"/>
      <w:bookmarkStart w:id="214" w:name="_Toc494721110"/>
      <w:bookmarkStart w:id="215" w:name="_Toc17699"/>
      <w:r>
        <w:rPr>
          <w:rFonts w:hint="eastAsia" w:ascii="宋体" w:hAnsi="宋体" w:eastAsia="宋体"/>
        </w:rPr>
        <w:t>法定代表人授权书</w:t>
      </w:r>
      <w:bookmarkEnd w:id="207"/>
      <w:bookmarkEnd w:id="208"/>
      <w:bookmarkEnd w:id="209"/>
      <w:bookmarkEnd w:id="210"/>
      <w:bookmarkEnd w:id="211"/>
      <w:bookmarkEnd w:id="212"/>
      <w:bookmarkEnd w:id="213"/>
      <w:bookmarkEnd w:id="214"/>
      <w:bookmarkEnd w:id="215"/>
    </w:p>
    <w:p>
      <w:pPr>
        <w:spacing w:line="480" w:lineRule="auto"/>
        <w:rPr>
          <w:rFonts w:ascii="宋体" w:hAnsi="宋体" w:eastAsia="宋体" w:cs="Times New Roman"/>
          <w:b/>
          <w:sz w:val="24"/>
          <w:szCs w:val="24"/>
        </w:rPr>
      </w:pPr>
      <w:r>
        <w:rPr>
          <w:rFonts w:hint="eastAsia" w:ascii="宋体" w:hAnsi="宋体" w:cs="Courier New"/>
          <w:b/>
          <w:sz w:val="28"/>
          <w:szCs w:val="28"/>
        </w:rPr>
        <w:t>阳新县政府采购中心：</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兹授权同志为我单位参加贵方组织的</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采购活动的投标人授权代表，全权代表我公司处理在项目采购活动中的一切事宜。代理期限从年月日起至年月日止。 </w:t>
      </w:r>
    </w:p>
    <w:p>
      <w:pPr>
        <w:spacing w:line="360" w:lineRule="auto"/>
        <w:ind w:firstLine="542"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2" w:firstLineChars="225"/>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sz w:val="24"/>
          <w:szCs w:val="21"/>
          <w:lang w:val="zh-CN"/>
        </w:rPr>
        <w:t>签发日期：年月日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2"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2"/>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66"/>
        </w:numPr>
        <w:spacing w:before="100" w:beforeAutospacing="1" w:afterLines="50" w:line="360" w:lineRule="auto"/>
        <w:ind w:left="1610" w:hanging="1610"/>
        <w:rPr>
          <w:rFonts w:ascii="宋体" w:hAnsi="宋体" w:eastAsia="宋体"/>
        </w:rPr>
      </w:pPr>
      <w:bookmarkStart w:id="216" w:name="_Toc238276248"/>
      <w:bookmarkStart w:id="217" w:name="_Toc494745328"/>
      <w:bookmarkStart w:id="218" w:name="_Toc494665564"/>
      <w:bookmarkStart w:id="219" w:name="_Toc236473304"/>
      <w:bookmarkStart w:id="220" w:name="_Toc494665011"/>
      <w:bookmarkStart w:id="221" w:name="_Toc494702281"/>
      <w:bookmarkStart w:id="222" w:name="_Toc494721111"/>
      <w:bookmarkStart w:id="223" w:name="_Toc494665961"/>
      <w:bookmarkStart w:id="224" w:name="_Toc5646"/>
      <w:r>
        <w:rPr>
          <w:rFonts w:hint="eastAsia" w:ascii="宋体" w:hAnsi="宋体" w:eastAsia="宋体"/>
        </w:rPr>
        <w:t>投标人的资格声明</w:t>
      </w:r>
      <w:bookmarkEnd w:id="216"/>
      <w:bookmarkEnd w:id="217"/>
      <w:bookmarkEnd w:id="218"/>
      <w:bookmarkEnd w:id="219"/>
      <w:bookmarkEnd w:id="220"/>
      <w:bookmarkEnd w:id="221"/>
      <w:bookmarkEnd w:id="222"/>
      <w:bookmarkEnd w:id="223"/>
      <w:bookmarkEnd w:id="224"/>
    </w:p>
    <w:p>
      <w:pPr>
        <w:spacing w:line="360" w:lineRule="auto"/>
        <w:ind w:left="1085" w:hanging="1081"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3"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6"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6"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66"/>
        </w:numPr>
        <w:spacing w:before="100" w:beforeAutospacing="1" w:afterLines="50" w:line="360" w:lineRule="auto"/>
        <w:ind w:left="1610" w:hanging="1610"/>
        <w:rPr>
          <w:rFonts w:ascii="宋体" w:hAnsi="宋体" w:eastAsia="宋体"/>
        </w:rPr>
      </w:pPr>
      <w:bookmarkStart w:id="225" w:name="_Toc494665565"/>
      <w:bookmarkStart w:id="226" w:name="_Toc494665962"/>
      <w:bookmarkStart w:id="227" w:name="_Toc494665012"/>
      <w:bookmarkStart w:id="228" w:name="_Toc494745329"/>
      <w:bookmarkStart w:id="229" w:name="_Toc494721112"/>
      <w:bookmarkStart w:id="230" w:name="_Toc494702282"/>
      <w:bookmarkStart w:id="231" w:name="_Toc6424"/>
      <w:r>
        <w:rPr>
          <w:rFonts w:hint="eastAsia" w:ascii="宋体" w:hAnsi="宋体" w:eastAsia="宋体"/>
        </w:rPr>
        <w:t>项目负责人、技术负责人简历表</w:t>
      </w:r>
      <w:bookmarkEnd w:id="225"/>
      <w:bookmarkEnd w:id="226"/>
      <w:bookmarkEnd w:id="227"/>
      <w:bookmarkEnd w:id="228"/>
      <w:bookmarkEnd w:id="229"/>
      <w:bookmarkEnd w:id="230"/>
      <w:bookmarkEnd w:id="231"/>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610" w:hanging="1610"/>
        <w:rPr>
          <w:rFonts w:ascii="宋体" w:hAnsi="宋体" w:eastAsia="宋体"/>
        </w:rPr>
      </w:pPr>
      <w:bookmarkStart w:id="232" w:name="_Toc238276251"/>
      <w:bookmarkStart w:id="233" w:name="_Toc494745330"/>
      <w:bookmarkStart w:id="234" w:name="_Toc494665013"/>
      <w:bookmarkStart w:id="235" w:name="_Toc494721113"/>
      <w:bookmarkStart w:id="236" w:name="_Toc494665963"/>
      <w:bookmarkStart w:id="237" w:name="_Toc494665566"/>
      <w:bookmarkStart w:id="238" w:name="_Toc494702283"/>
      <w:bookmarkStart w:id="239" w:name="_Toc236473307"/>
      <w:bookmarkStart w:id="240" w:name="_Toc26187"/>
      <w:r>
        <w:rPr>
          <w:rFonts w:hint="eastAsia" w:ascii="宋体" w:hAnsi="宋体" w:eastAsia="宋体"/>
        </w:rPr>
        <w:t>项目班子成员情况表</w:t>
      </w:r>
      <w:bookmarkEnd w:id="232"/>
      <w:bookmarkEnd w:id="233"/>
      <w:bookmarkEnd w:id="234"/>
      <w:bookmarkEnd w:id="235"/>
      <w:bookmarkEnd w:id="236"/>
      <w:bookmarkEnd w:id="237"/>
      <w:bookmarkEnd w:id="238"/>
      <w:bookmarkEnd w:id="239"/>
      <w:bookmarkEnd w:id="240"/>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610" w:hanging="1610"/>
        <w:rPr>
          <w:rFonts w:ascii="宋体" w:hAnsi="宋体" w:eastAsia="宋体"/>
        </w:rPr>
      </w:pPr>
      <w:bookmarkStart w:id="241" w:name="_Toc494665964"/>
      <w:bookmarkStart w:id="242" w:name="_Toc494665014"/>
      <w:bookmarkStart w:id="243" w:name="_Toc238276256"/>
      <w:bookmarkStart w:id="244" w:name="_Toc494665567"/>
      <w:bookmarkStart w:id="245" w:name="_Toc494721114"/>
      <w:bookmarkStart w:id="246" w:name="_Toc494702284"/>
      <w:bookmarkStart w:id="247" w:name="_Toc494745331"/>
      <w:bookmarkStart w:id="248" w:name="_Toc236473312"/>
      <w:bookmarkStart w:id="249" w:name="_Toc5293"/>
      <w:r>
        <w:rPr>
          <w:rFonts w:hint="eastAsia" w:ascii="宋体" w:hAnsi="宋体" w:eastAsia="宋体"/>
        </w:rPr>
        <w:t>投标人类似项目业绩表</w:t>
      </w:r>
      <w:bookmarkEnd w:id="241"/>
      <w:bookmarkEnd w:id="242"/>
      <w:bookmarkEnd w:id="243"/>
      <w:bookmarkEnd w:id="244"/>
      <w:bookmarkEnd w:id="245"/>
      <w:bookmarkEnd w:id="246"/>
      <w:bookmarkEnd w:id="247"/>
      <w:bookmarkEnd w:id="248"/>
      <w:bookmarkEnd w:id="24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3" w:firstLineChars="300"/>
        <w:rPr>
          <w:rFonts w:ascii="宋体" w:hAnsi="宋体" w:eastAsia="宋体" w:cs="Times New Roman"/>
          <w:sz w:val="24"/>
          <w:szCs w:val="24"/>
        </w:rPr>
      </w:pPr>
    </w:p>
    <w:p>
      <w:pPr>
        <w:spacing w:line="360" w:lineRule="auto"/>
        <w:ind w:firstLine="723" w:firstLineChars="300"/>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610" w:hanging="1610"/>
        <w:rPr>
          <w:rFonts w:ascii="宋体" w:hAnsi="宋体" w:eastAsia="宋体"/>
        </w:rPr>
      </w:pPr>
      <w:bookmarkStart w:id="250" w:name="_Toc494721115"/>
      <w:bookmarkStart w:id="251" w:name="_Toc494745332"/>
      <w:bookmarkStart w:id="252" w:name="_Toc494665568"/>
      <w:bookmarkStart w:id="253" w:name="_Toc494665015"/>
      <w:bookmarkStart w:id="254" w:name="_Toc494702285"/>
      <w:bookmarkStart w:id="255" w:name="_Toc494665965"/>
      <w:bookmarkStart w:id="256" w:name="_Toc15557"/>
      <w:r>
        <w:rPr>
          <w:rFonts w:hint="eastAsia" w:ascii="宋体" w:hAnsi="宋体" w:eastAsia="宋体"/>
        </w:rPr>
        <w:t>符合性审查对照表</w:t>
      </w:r>
      <w:bookmarkEnd w:id="250"/>
      <w:bookmarkEnd w:id="251"/>
      <w:bookmarkEnd w:id="252"/>
      <w:bookmarkEnd w:id="253"/>
      <w:bookmarkEnd w:id="254"/>
      <w:bookmarkEnd w:id="255"/>
      <w:bookmarkEnd w:id="256"/>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826" w:firstLineChars="1588"/>
        <w:rPr>
          <w:rFonts w:ascii="宋体" w:hAnsi="宋体" w:eastAsia="宋体" w:cs="Times New Roman"/>
          <w:b/>
          <w:bCs/>
          <w:sz w:val="24"/>
          <w:szCs w:val="21"/>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610" w:hanging="1610"/>
        <w:rPr>
          <w:rFonts w:ascii="宋体" w:hAnsi="宋体" w:eastAsia="宋体"/>
        </w:rPr>
      </w:pPr>
      <w:bookmarkStart w:id="257" w:name="_Toc494665569"/>
      <w:bookmarkStart w:id="258" w:name="_Toc494665966"/>
      <w:bookmarkStart w:id="259" w:name="_Toc494721116"/>
      <w:bookmarkStart w:id="260" w:name="_Toc494665016"/>
      <w:bookmarkStart w:id="261" w:name="_Toc494702286"/>
      <w:bookmarkStart w:id="262" w:name="_Toc494745333"/>
      <w:bookmarkStart w:id="263" w:name="_Toc2868"/>
      <w:r>
        <w:rPr>
          <w:rFonts w:hint="eastAsia" w:ascii="宋体" w:hAnsi="宋体" w:eastAsia="宋体"/>
        </w:rPr>
        <w:t>商务要求响应、偏离说明表</w:t>
      </w:r>
      <w:bookmarkEnd w:id="257"/>
      <w:bookmarkEnd w:id="258"/>
      <w:bookmarkEnd w:id="259"/>
      <w:bookmarkEnd w:id="260"/>
      <w:bookmarkEnd w:id="261"/>
      <w:bookmarkEnd w:id="262"/>
      <w:bookmarkEnd w:id="263"/>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5" w:leftChars="258" w:hanging="241" w:hangingChars="100"/>
        <w:rPr>
          <w:rFonts w:ascii="宋体" w:hAnsi="宋体" w:eastAsia="宋体" w:cs="Corbel"/>
          <w:sz w:val="24"/>
          <w:szCs w:val="24"/>
        </w:rPr>
      </w:pPr>
    </w:p>
    <w:p>
      <w:pPr>
        <w:adjustRightInd w:val="0"/>
        <w:snapToGrid w:val="0"/>
        <w:spacing w:line="360" w:lineRule="auto"/>
        <w:ind w:left="785" w:leftChars="258" w:hanging="241" w:hangingChars="1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610" w:hanging="1610"/>
        <w:rPr>
          <w:rFonts w:ascii="宋体" w:hAnsi="宋体" w:eastAsia="宋体"/>
        </w:rPr>
      </w:pPr>
      <w:bookmarkStart w:id="264" w:name="_Toc494665570"/>
      <w:bookmarkStart w:id="265" w:name="_Toc494665017"/>
      <w:bookmarkStart w:id="266" w:name="_Toc494721117"/>
      <w:bookmarkStart w:id="267" w:name="_Toc494665967"/>
      <w:bookmarkStart w:id="268" w:name="_Toc494745334"/>
      <w:bookmarkStart w:id="269" w:name="_Toc494702287"/>
      <w:bookmarkStart w:id="270" w:name="_Toc27249"/>
      <w:r>
        <w:rPr>
          <w:rFonts w:hint="eastAsia" w:ascii="宋体" w:hAnsi="宋体" w:eastAsia="宋体"/>
        </w:rPr>
        <w:t>商务要求“★”号条款响应、偏离说明表</w:t>
      </w:r>
      <w:bookmarkEnd w:id="264"/>
      <w:bookmarkEnd w:id="265"/>
      <w:bookmarkEnd w:id="266"/>
      <w:bookmarkEnd w:id="267"/>
      <w:bookmarkEnd w:id="268"/>
      <w:bookmarkEnd w:id="269"/>
      <w:bookmarkEnd w:id="270"/>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610" w:hanging="1610"/>
        <w:rPr>
          <w:rFonts w:ascii="宋体" w:hAnsi="宋体" w:eastAsia="宋体"/>
        </w:rPr>
      </w:pPr>
      <w:bookmarkStart w:id="271" w:name="_Toc494721118"/>
      <w:bookmarkStart w:id="272" w:name="_Toc494665018"/>
      <w:bookmarkStart w:id="273" w:name="_Toc494702288"/>
      <w:bookmarkStart w:id="274" w:name="_Toc494745335"/>
      <w:bookmarkStart w:id="275" w:name="_Toc494665968"/>
      <w:bookmarkStart w:id="276" w:name="_Toc494665571"/>
      <w:bookmarkStart w:id="277" w:name="_Toc20751"/>
      <w:r>
        <w:rPr>
          <w:rFonts w:hint="eastAsia" w:ascii="宋体" w:hAnsi="宋体" w:eastAsia="宋体"/>
        </w:rPr>
        <w:t>商务评议对照表</w:t>
      </w:r>
      <w:bookmarkEnd w:id="271"/>
      <w:bookmarkEnd w:id="272"/>
      <w:bookmarkEnd w:id="273"/>
      <w:bookmarkEnd w:id="274"/>
      <w:bookmarkEnd w:id="275"/>
      <w:bookmarkEnd w:id="276"/>
      <w:bookmarkEnd w:id="27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610" w:hanging="1610"/>
        <w:rPr>
          <w:rFonts w:ascii="宋体" w:hAnsi="宋体" w:eastAsia="宋体"/>
        </w:rPr>
      </w:pPr>
      <w:bookmarkStart w:id="278" w:name="_Toc494702289"/>
      <w:bookmarkStart w:id="279" w:name="_Toc494665969"/>
      <w:bookmarkStart w:id="280" w:name="_Toc494665572"/>
      <w:bookmarkStart w:id="281" w:name="_Toc494721119"/>
      <w:bookmarkStart w:id="282" w:name="_Toc494745336"/>
      <w:bookmarkStart w:id="283" w:name="_Toc494665019"/>
      <w:bookmarkStart w:id="284" w:name="_Toc9311"/>
      <w:r>
        <w:rPr>
          <w:rFonts w:hint="eastAsia" w:ascii="宋体" w:hAnsi="宋体" w:eastAsia="宋体"/>
        </w:rPr>
        <w:t>技术、服务要求响应、偏离说明表</w:t>
      </w:r>
      <w:bookmarkEnd w:id="278"/>
      <w:bookmarkEnd w:id="279"/>
      <w:bookmarkEnd w:id="280"/>
      <w:bookmarkEnd w:id="281"/>
      <w:bookmarkEnd w:id="282"/>
      <w:bookmarkEnd w:id="283"/>
      <w:bookmarkEnd w:id="284"/>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610" w:hanging="1610"/>
        <w:rPr>
          <w:rFonts w:ascii="宋体" w:hAnsi="宋体" w:eastAsia="宋体"/>
        </w:rPr>
      </w:pPr>
      <w:bookmarkStart w:id="285" w:name="_Toc494702290"/>
      <w:bookmarkStart w:id="286" w:name="_Toc494665970"/>
      <w:bookmarkStart w:id="287" w:name="_Toc494665020"/>
      <w:bookmarkStart w:id="288" w:name="_Toc6242"/>
      <w:bookmarkStart w:id="289" w:name="_Toc494721120"/>
      <w:bookmarkStart w:id="290" w:name="_Toc494745337"/>
      <w:bookmarkStart w:id="291" w:name="_Toc494665573"/>
      <w:bookmarkStart w:id="292" w:name="_Toc329859066"/>
      <w:r>
        <w:rPr>
          <w:rFonts w:hint="eastAsia" w:ascii="宋体" w:hAnsi="宋体" w:eastAsia="宋体"/>
        </w:rPr>
        <w:t>技术、服务要求“★”号条款响应、偏离说明表</w:t>
      </w:r>
      <w:bookmarkEnd w:id="285"/>
      <w:bookmarkEnd w:id="286"/>
      <w:bookmarkEnd w:id="287"/>
      <w:bookmarkEnd w:id="288"/>
      <w:bookmarkEnd w:id="289"/>
      <w:bookmarkEnd w:id="290"/>
      <w:bookmarkEnd w:id="291"/>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42" w:hanging="939"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92"/>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6"/>
        </w:numPr>
        <w:spacing w:before="100" w:beforeAutospacing="1" w:afterLines="50" w:line="360" w:lineRule="auto"/>
        <w:ind w:left="1610" w:hanging="1610"/>
        <w:rPr>
          <w:rFonts w:ascii="宋体" w:hAnsi="宋体" w:eastAsia="宋体"/>
        </w:rPr>
      </w:pPr>
      <w:bookmarkStart w:id="293" w:name="_Toc494702291"/>
      <w:bookmarkStart w:id="294" w:name="_Toc494665574"/>
      <w:bookmarkStart w:id="295" w:name="_Toc494721121"/>
      <w:bookmarkStart w:id="296" w:name="_Toc494665971"/>
      <w:bookmarkStart w:id="297" w:name="_Toc494665021"/>
      <w:bookmarkStart w:id="298" w:name="_Toc494745338"/>
      <w:bookmarkStart w:id="299" w:name="_Toc10292"/>
      <w:r>
        <w:rPr>
          <w:rFonts w:hint="eastAsia" w:ascii="宋体" w:hAnsi="宋体" w:eastAsia="宋体"/>
        </w:rPr>
        <w:t>技术、服务评议对照表</w:t>
      </w:r>
      <w:bookmarkEnd w:id="293"/>
      <w:bookmarkEnd w:id="294"/>
      <w:bookmarkEnd w:id="295"/>
      <w:bookmarkEnd w:id="296"/>
      <w:bookmarkEnd w:id="297"/>
      <w:bookmarkEnd w:id="298"/>
      <w:bookmarkEnd w:id="29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5" w:hanging="723" w:hangingChars="3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p/>
    <w:sectPr>
      <w:pgSz w:w="11906" w:h="16838"/>
      <w:pgMar w:top="1134" w:right="1191" w:bottom="1134" w:left="1191" w:header="851" w:footer="850" w:gutter="0"/>
      <w:cols w:space="0" w:num="1"/>
      <w:docGrid w:type="linesAndChars" w:linePitch="317" w:char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PingFang SC">
    <w:altName w:val="Courier New"/>
    <w:panose1 w:val="00000000000000000000"/>
    <w:charset w:val="00"/>
    <w:family w:val="auto"/>
    <w:pitch w:val="default"/>
    <w:sig w:usb0="00000000" w:usb1="00000000" w:usb2="00000000" w:usb3="00000000" w:csb0="00000000" w:csb1="0000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1"/>
      <w:pBdr>
        <w:top w:val="single" w:color="000000" w:themeColor="text1" w:sz="4" w:space="1"/>
      </w:pBdr>
      <w:tabs>
        <w:tab w:val="clear" w:pos="4153"/>
        <w:tab w:val="clear" w:pos="8306"/>
      </w:tabs>
      <w:ind w:right="-9"/>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1"/>
      <w:pBdr>
        <w:top w:val="single" w:color="000000" w:themeColor="text1" w:sz="4" w:space="1"/>
      </w:pBdr>
      <w:tabs>
        <w:tab w:val="clear" w:pos="4153"/>
        <w:tab w:val="clear" w:pos="8306"/>
      </w:tabs>
      <w:ind w:right="-9"/>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1"/>
      <w:pBdr>
        <w:top w:val="single" w:color="000000" w:themeColor="text1" w:sz="4" w:space="1"/>
      </w:pBdr>
      <w:tabs>
        <w:tab w:val="clear" w:pos="4153"/>
        <w:tab w:val="clear" w:pos="8306"/>
      </w:tabs>
      <w:ind w:right="-9"/>
      <w:rPr>
        <w:rFonts w:asciiTheme="minorEastAsia" w:hAnsiTheme="minorEastAsia"/>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themeColor="text1" w:sz="4" w:space="1"/>
      </w:pBdr>
      <w:tabs>
        <w:tab w:val="clear" w:pos="4153"/>
        <w:tab w:val="clear" w:pos="8306"/>
      </w:tabs>
      <w:ind w:right="-9"/>
      <w:jc w:val="both"/>
      <w:rPr>
        <w:rFonts w:asciiTheme="minorEastAsia" w:hAnsiTheme="minorEastAsia"/>
        <w:b/>
      </w:rPr>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11"/>
                </w:pPr>
                <w:r>
                  <w:rPr>
                    <w:rFonts w:hint="eastAsia"/>
                  </w:rPr>
                  <w:t>第</w:t>
                </w:r>
                <w:r>
                  <w:fldChar w:fldCharType="begin"/>
                </w:r>
                <w:r>
                  <w:instrText xml:space="preserve"> PAGE  \* MERGEFORMAT </w:instrText>
                </w:r>
                <w:r>
                  <w:fldChar w:fldCharType="separate"/>
                </w:r>
                <w:r>
                  <w:t>18</w:t>
                </w:r>
                <w:r>
                  <w:fldChar w:fldCharType="end"/>
                </w:r>
                <w:r>
                  <w:rPr>
                    <w:rFonts w:hint="eastAsia"/>
                  </w:rPr>
                  <w:t>页共 51 页</w:t>
                </w:r>
              </w:p>
            </w:txbxContent>
          </v:textbox>
        </v:shape>
      </w:pict>
    </w:r>
    <w:r>
      <w:rPr>
        <w:rFonts w:hint="eastAsia" w:asciiTheme="minorEastAsia" w:hAnsiTheme="minorEastAsia"/>
      </w:rPr>
      <w:t>阳新县政府采购中心编制</w:t>
    </w:r>
    <w:r>
      <w:rPr>
        <w:rFonts w:asciiTheme="minorEastAsia" w:hAnsiTheme="minorEastAsia"/>
      </w:rPr>
      <w:t xml:space="preserve">                                                                     V3.0.2017.0930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themeColor="text1" w:sz="4" w:space="1"/>
      </w:pBdr>
      <w:tabs>
        <w:tab w:val="clear" w:pos="4153"/>
      </w:tabs>
      <w:jc w:val="left"/>
      <w:rPr>
        <w:b/>
      </w:rPr>
    </w:pPr>
    <w:r>
      <w:rPr>
        <w:rFonts w:hint="eastAsia"/>
        <w:b/>
      </w:rPr>
      <w:t>项目名称</w:t>
    </w:r>
    <w:r>
      <w:rPr>
        <w:rFonts w:hint="eastAsia" w:asciiTheme="minorEastAsia" w:hAnsiTheme="minorEastAsia"/>
        <w:b/>
      </w:rPr>
      <w:t>：阳新县个人住房信息系统</w:t>
    </w:r>
    <w:r>
      <w:rPr>
        <w:rFonts w:hint="eastAsia" w:asciiTheme="minorEastAsia" w:hAnsiTheme="minorEastAsia"/>
        <w:b/>
        <w:lang w:eastAsia="zh-CN"/>
      </w:rPr>
      <w:t>（二期）</w:t>
    </w:r>
    <w:r>
      <w:rPr>
        <w:rFonts w:hint="eastAsia" w:asciiTheme="minorEastAsia" w:hAnsiTheme="minorEastAsia"/>
        <w:b/>
      </w:rPr>
      <w:t>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A0403F"/>
    <w:multiLevelType w:val="multilevel"/>
    <w:tmpl w:val="0EA0403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0256CE"/>
    <w:multiLevelType w:val="multilevel"/>
    <w:tmpl w:val="2A0256CE"/>
    <w:lvl w:ilvl="0" w:tentative="0">
      <w:start w:val="1"/>
      <w:numFmt w:val="decimal"/>
      <w:lvlText w:val="2.%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2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D850054"/>
    <w:multiLevelType w:val="multilevel"/>
    <w:tmpl w:val="2D850054"/>
    <w:lvl w:ilvl="0" w:tentative="0">
      <w:start w:val="1"/>
      <w:numFmt w:val="decimal"/>
      <w:lvlText w:val="%1. "/>
      <w:lvlJc w:val="left"/>
      <w:pPr>
        <w:ind w:left="704" w:hanging="420"/>
      </w:pPr>
      <w:rPr>
        <w:rFonts w:hint="default" w:ascii="宋体" w:hAnsi="宋体" w:eastAsia="宋体"/>
        <w:b/>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5442C9F"/>
    <w:multiLevelType w:val="multilevel"/>
    <w:tmpl w:val="35442C9F"/>
    <w:lvl w:ilvl="0" w:tentative="0">
      <w:start w:val="1"/>
      <w:numFmt w:val="decimal"/>
      <w:lvlText w:val="（%1）"/>
      <w:lvlJc w:val="left"/>
      <w:pPr>
        <w:ind w:left="651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8">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9">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0">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3">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0">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1">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2">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8EB75D0"/>
    <w:multiLevelType w:val="singleLevel"/>
    <w:tmpl w:val="68EB75D0"/>
    <w:lvl w:ilvl="0" w:tentative="0">
      <w:start w:val="1"/>
      <w:numFmt w:val="decimal"/>
      <w:suff w:val="nothing"/>
      <w:lvlText w:val="%1、"/>
      <w:lvlJc w:val="left"/>
    </w:lvl>
  </w:abstractNum>
  <w:abstractNum w:abstractNumId="56">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1">
    <w:nsid w:val="76137D61"/>
    <w:multiLevelType w:val="multilevel"/>
    <w:tmpl w:val="76137D61"/>
    <w:lvl w:ilvl="0" w:tentative="0">
      <w:start w:val="1"/>
      <w:numFmt w:val="decimal"/>
      <w:lvlText w:val="3.%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3"/>
  </w:num>
  <w:num w:numId="2">
    <w:abstractNumId w:val="2"/>
  </w:num>
  <w:num w:numId="3">
    <w:abstractNumId w:val="18"/>
  </w:num>
  <w:num w:numId="4">
    <w:abstractNumId w:val="31"/>
  </w:num>
  <w:num w:numId="5">
    <w:abstractNumId w:val="46"/>
  </w:num>
  <w:num w:numId="6">
    <w:abstractNumId w:val="3"/>
  </w:num>
  <w:num w:numId="7">
    <w:abstractNumId w:val="40"/>
  </w:num>
  <w:num w:numId="8">
    <w:abstractNumId w:val="15"/>
  </w:num>
  <w:num w:numId="9">
    <w:abstractNumId w:val="5"/>
  </w:num>
  <w:num w:numId="10">
    <w:abstractNumId w:val="53"/>
  </w:num>
  <w:num w:numId="11">
    <w:abstractNumId w:val="34"/>
  </w:num>
  <w:num w:numId="12">
    <w:abstractNumId w:val="50"/>
  </w:num>
  <w:num w:numId="13">
    <w:abstractNumId w:val="30"/>
  </w:num>
  <w:num w:numId="14">
    <w:abstractNumId w:val="4"/>
  </w:num>
  <w:num w:numId="15">
    <w:abstractNumId w:val="22"/>
  </w:num>
  <w:num w:numId="16">
    <w:abstractNumId w:val="24"/>
  </w:num>
  <w:num w:numId="17">
    <w:abstractNumId w:val="9"/>
  </w:num>
  <w:num w:numId="18">
    <w:abstractNumId w:val="63"/>
  </w:num>
  <w:num w:numId="19">
    <w:abstractNumId w:val="10"/>
  </w:num>
  <w:num w:numId="20">
    <w:abstractNumId w:val="29"/>
  </w:num>
  <w:num w:numId="21">
    <w:abstractNumId w:val="36"/>
  </w:num>
  <w:num w:numId="22">
    <w:abstractNumId w:val="39"/>
  </w:num>
  <w:num w:numId="23">
    <w:abstractNumId w:val="66"/>
  </w:num>
  <w:num w:numId="24">
    <w:abstractNumId w:val="47"/>
  </w:num>
  <w:num w:numId="25">
    <w:abstractNumId w:val="58"/>
  </w:num>
  <w:num w:numId="26">
    <w:abstractNumId w:val="64"/>
  </w:num>
  <w:num w:numId="27">
    <w:abstractNumId w:val="45"/>
  </w:num>
  <w:num w:numId="28">
    <w:abstractNumId w:val="8"/>
  </w:num>
  <w:num w:numId="29">
    <w:abstractNumId w:val="20"/>
  </w:num>
  <w:num w:numId="30">
    <w:abstractNumId w:val="59"/>
  </w:num>
  <w:num w:numId="31">
    <w:abstractNumId w:val="54"/>
  </w:num>
  <w:num w:numId="32">
    <w:abstractNumId w:val="38"/>
  </w:num>
  <w:num w:numId="33">
    <w:abstractNumId w:val="52"/>
  </w:num>
  <w:num w:numId="34">
    <w:abstractNumId w:val="25"/>
  </w:num>
  <w:num w:numId="35">
    <w:abstractNumId w:val="56"/>
  </w:num>
  <w:num w:numId="36">
    <w:abstractNumId w:val="1"/>
  </w:num>
  <w:num w:numId="37">
    <w:abstractNumId w:val="32"/>
  </w:num>
  <w:num w:numId="38">
    <w:abstractNumId w:val="6"/>
  </w:num>
  <w:num w:numId="39">
    <w:abstractNumId w:val="48"/>
  </w:num>
  <w:num w:numId="40">
    <w:abstractNumId w:val="27"/>
  </w:num>
  <w:num w:numId="41">
    <w:abstractNumId w:val="44"/>
  </w:num>
  <w:num w:numId="42">
    <w:abstractNumId w:val="33"/>
  </w:num>
  <w:num w:numId="43">
    <w:abstractNumId w:val="41"/>
  </w:num>
  <w:num w:numId="44">
    <w:abstractNumId w:val="35"/>
  </w:num>
  <w:num w:numId="45">
    <w:abstractNumId w:val="17"/>
  </w:num>
  <w:num w:numId="46">
    <w:abstractNumId w:val="51"/>
  </w:num>
  <w:num w:numId="47">
    <w:abstractNumId w:val="67"/>
  </w:num>
  <w:num w:numId="48">
    <w:abstractNumId w:val="19"/>
  </w:num>
  <w:num w:numId="49">
    <w:abstractNumId w:val="16"/>
  </w:num>
  <w:num w:numId="50">
    <w:abstractNumId w:val="0"/>
  </w:num>
  <w:num w:numId="51">
    <w:abstractNumId w:val="13"/>
  </w:num>
  <w:num w:numId="52">
    <w:abstractNumId w:val="26"/>
  </w:num>
  <w:num w:numId="53">
    <w:abstractNumId w:val="65"/>
  </w:num>
  <w:num w:numId="54">
    <w:abstractNumId w:val="7"/>
  </w:num>
  <w:num w:numId="55">
    <w:abstractNumId w:val="49"/>
  </w:num>
  <w:num w:numId="56">
    <w:abstractNumId w:val="23"/>
  </w:num>
  <w:num w:numId="57">
    <w:abstractNumId w:val="55"/>
  </w:num>
  <w:num w:numId="58">
    <w:abstractNumId w:val="61"/>
  </w:num>
  <w:num w:numId="59">
    <w:abstractNumId w:val="57"/>
  </w:num>
  <w:num w:numId="60">
    <w:abstractNumId w:val="42"/>
  </w:num>
  <w:num w:numId="61">
    <w:abstractNumId w:val="12"/>
  </w:num>
  <w:num w:numId="62">
    <w:abstractNumId w:val="21"/>
  </w:num>
  <w:num w:numId="63">
    <w:abstractNumId w:val="60"/>
  </w:num>
  <w:num w:numId="64">
    <w:abstractNumId w:val="37"/>
  </w:num>
  <w:num w:numId="65">
    <w:abstractNumId w:val="62"/>
  </w:num>
  <w:num w:numId="66">
    <w:abstractNumId w:val="11"/>
  </w:num>
  <w:num w:numId="67">
    <w:abstractNumId w:val="14"/>
  </w:num>
  <w:num w:numId="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00DB5"/>
    <w:rsid w:val="00036C10"/>
    <w:rsid w:val="00092B59"/>
    <w:rsid w:val="001739D0"/>
    <w:rsid w:val="001C79D5"/>
    <w:rsid w:val="00266F12"/>
    <w:rsid w:val="00273AE4"/>
    <w:rsid w:val="002B07B4"/>
    <w:rsid w:val="002D0D60"/>
    <w:rsid w:val="002E0358"/>
    <w:rsid w:val="002E3734"/>
    <w:rsid w:val="00335DB8"/>
    <w:rsid w:val="00350567"/>
    <w:rsid w:val="003A4F80"/>
    <w:rsid w:val="003D7A78"/>
    <w:rsid w:val="003F1C36"/>
    <w:rsid w:val="003F2BB8"/>
    <w:rsid w:val="003F4EB1"/>
    <w:rsid w:val="00412746"/>
    <w:rsid w:val="00436B52"/>
    <w:rsid w:val="00442D6D"/>
    <w:rsid w:val="0045431C"/>
    <w:rsid w:val="00494078"/>
    <w:rsid w:val="004A3A0F"/>
    <w:rsid w:val="004D7CFC"/>
    <w:rsid w:val="004F3AEE"/>
    <w:rsid w:val="0050349F"/>
    <w:rsid w:val="005232AE"/>
    <w:rsid w:val="00531CA5"/>
    <w:rsid w:val="00552802"/>
    <w:rsid w:val="005B384E"/>
    <w:rsid w:val="005B75DC"/>
    <w:rsid w:val="005D1DA1"/>
    <w:rsid w:val="005E5226"/>
    <w:rsid w:val="005F4064"/>
    <w:rsid w:val="00606BCE"/>
    <w:rsid w:val="0062035B"/>
    <w:rsid w:val="00643811"/>
    <w:rsid w:val="006538F6"/>
    <w:rsid w:val="00672A78"/>
    <w:rsid w:val="00677B81"/>
    <w:rsid w:val="00691536"/>
    <w:rsid w:val="006B0913"/>
    <w:rsid w:val="006D5B6D"/>
    <w:rsid w:val="006E24CD"/>
    <w:rsid w:val="006E6D50"/>
    <w:rsid w:val="007470B7"/>
    <w:rsid w:val="00791667"/>
    <w:rsid w:val="007F3D64"/>
    <w:rsid w:val="008214CE"/>
    <w:rsid w:val="00866E9D"/>
    <w:rsid w:val="00871048"/>
    <w:rsid w:val="008A7168"/>
    <w:rsid w:val="008F33F2"/>
    <w:rsid w:val="009344DC"/>
    <w:rsid w:val="00942A08"/>
    <w:rsid w:val="00977A03"/>
    <w:rsid w:val="009C4DA5"/>
    <w:rsid w:val="009D39D5"/>
    <w:rsid w:val="009F796C"/>
    <w:rsid w:val="00A00DB5"/>
    <w:rsid w:val="00A41F61"/>
    <w:rsid w:val="00A53E88"/>
    <w:rsid w:val="00AB4D1D"/>
    <w:rsid w:val="00AD3129"/>
    <w:rsid w:val="00B0626C"/>
    <w:rsid w:val="00B433C9"/>
    <w:rsid w:val="00BB6E09"/>
    <w:rsid w:val="00BD4445"/>
    <w:rsid w:val="00BE6B28"/>
    <w:rsid w:val="00C0119B"/>
    <w:rsid w:val="00C275D7"/>
    <w:rsid w:val="00C75B62"/>
    <w:rsid w:val="00C96F19"/>
    <w:rsid w:val="00CF72FC"/>
    <w:rsid w:val="00D25A91"/>
    <w:rsid w:val="00D35C8D"/>
    <w:rsid w:val="00D937EE"/>
    <w:rsid w:val="00DE66D9"/>
    <w:rsid w:val="00E101E8"/>
    <w:rsid w:val="00E16C71"/>
    <w:rsid w:val="00E35388"/>
    <w:rsid w:val="00E4165A"/>
    <w:rsid w:val="00E72726"/>
    <w:rsid w:val="00E92827"/>
    <w:rsid w:val="00ED322B"/>
    <w:rsid w:val="00ED7F1B"/>
    <w:rsid w:val="00F216C5"/>
    <w:rsid w:val="00F370C1"/>
    <w:rsid w:val="00F54A0A"/>
    <w:rsid w:val="00F62CEC"/>
    <w:rsid w:val="00F64DD1"/>
    <w:rsid w:val="00F81076"/>
    <w:rsid w:val="00FC598F"/>
    <w:rsid w:val="00FF44D8"/>
    <w:rsid w:val="03A64B69"/>
    <w:rsid w:val="04421458"/>
    <w:rsid w:val="08C57871"/>
    <w:rsid w:val="09F62C91"/>
    <w:rsid w:val="0B6B1F0B"/>
    <w:rsid w:val="0B7D148B"/>
    <w:rsid w:val="0C457F28"/>
    <w:rsid w:val="0DD065F4"/>
    <w:rsid w:val="0FD30983"/>
    <w:rsid w:val="11DF1E58"/>
    <w:rsid w:val="11F3145E"/>
    <w:rsid w:val="12134C2C"/>
    <w:rsid w:val="12B02035"/>
    <w:rsid w:val="12E60311"/>
    <w:rsid w:val="13D42198"/>
    <w:rsid w:val="13E46216"/>
    <w:rsid w:val="14D01A84"/>
    <w:rsid w:val="14EA1CE0"/>
    <w:rsid w:val="16421F11"/>
    <w:rsid w:val="16C76622"/>
    <w:rsid w:val="178F63E3"/>
    <w:rsid w:val="179675A0"/>
    <w:rsid w:val="18381870"/>
    <w:rsid w:val="19322AE7"/>
    <w:rsid w:val="1C050AF3"/>
    <w:rsid w:val="1C0E1A98"/>
    <w:rsid w:val="1C7A6BC9"/>
    <w:rsid w:val="1CDE1C97"/>
    <w:rsid w:val="1CE600AE"/>
    <w:rsid w:val="1DA32D45"/>
    <w:rsid w:val="1E1016B7"/>
    <w:rsid w:val="1E9B0A3A"/>
    <w:rsid w:val="1F5A702D"/>
    <w:rsid w:val="20264D57"/>
    <w:rsid w:val="20320ABD"/>
    <w:rsid w:val="212328BD"/>
    <w:rsid w:val="21452025"/>
    <w:rsid w:val="21B5210B"/>
    <w:rsid w:val="22F2096C"/>
    <w:rsid w:val="231C5618"/>
    <w:rsid w:val="24C41630"/>
    <w:rsid w:val="252E5011"/>
    <w:rsid w:val="25EF096B"/>
    <w:rsid w:val="263B17C8"/>
    <w:rsid w:val="273B4398"/>
    <w:rsid w:val="291701C8"/>
    <w:rsid w:val="2BE64AE3"/>
    <w:rsid w:val="2CDF1F2B"/>
    <w:rsid w:val="2F536A98"/>
    <w:rsid w:val="2FB91465"/>
    <w:rsid w:val="302C7240"/>
    <w:rsid w:val="31713F39"/>
    <w:rsid w:val="32B1206F"/>
    <w:rsid w:val="33540C46"/>
    <w:rsid w:val="357953FE"/>
    <w:rsid w:val="36AB150F"/>
    <w:rsid w:val="36D55EF9"/>
    <w:rsid w:val="37051ACD"/>
    <w:rsid w:val="37253E8A"/>
    <w:rsid w:val="37534178"/>
    <w:rsid w:val="375F32CB"/>
    <w:rsid w:val="37D416A4"/>
    <w:rsid w:val="396C508C"/>
    <w:rsid w:val="3A59064C"/>
    <w:rsid w:val="3B3F60E8"/>
    <w:rsid w:val="3C3104DF"/>
    <w:rsid w:val="3CDF116D"/>
    <w:rsid w:val="3DF02BFD"/>
    <w:rsid w:val="3E487E67"/>
    <w:rsid w:val="3EB01EEA"/>
    <w:rsid w:val="403F2B47"/>
    <w:rsid w:val="40DF302C"/>
    <w:rsid w:val="40E46C28"/>
    <w:rsid w:val="424E4B6A"/>
    <w:rsid w:val="427A663F"/>
    <w:rsid w:val="4330314B"/>
    <w:rsid w:val="458E0E3B"/>
    <w:rsid w:val="46E64CBA"/>
    <w:rsid w:val="48180C2B"/>
    <w:rsid w:val="49AA7CAD"/>
    <w:rsid w:val="4AA21989"/>
    <w:rsid w:val="4AB16169"/>
    <w:rsid w:val="4AE333C7"/>
    <w:rsid w:val="4CC51A03"/>
    <w:rsid w:val="4E474A4B"/>
    <w:rsid w:val="4E5E3137"/>
    <w:rsid w:val="4F3E25D9"/>
    <w:rsid w:val="50E336C1"/>
    <w:rsid w:val="51086382"/>
    <w:rsid w:val="52922686"/>
    <w:rsid w:val="53F2217D"/>
    <w:rsid w:val="57680125"/>
    <w:rsid w:val="5B333A82"/>
    <w:rsid w:val="5B792034"/>
    <w:rsid w:val="5C5D7C48"/>
    <w:rsid w:val="5E325597"/>
    <w:rsid w:val="5EC90ABC"/>
    <w:rsid w:val="5F01496B"/>
    <w:rsid w:val="5F2330F5"/>
    <w:rsid w:val="5F276DA9"/>
    <w:rsid w:val="5FC1205A"/>
    <w:rsid w:val="60CD64BE"/>
    <w:rsid w:val="612B2CF7"/>
    <w:rsid w:val="61554288"/>
    <w:rsid w:val="629D7D44"/>
    <w:rsid w:val="63CE3478"/>
    <w:rsid w:val="64A92CF8"/>
    <w:rsid w:val="66281EC1"/>
    <w:rsid w:val="66AD7384"/>
    <w:rsid w:val="67647408"/>
    <w:rsid w:val="682A60F2"/>
    <w:rsid w:val="68A52399"/>
    <w:rsid w:val="68EE1602"/>
    <w:rsid w:val="69A63060"/>
    <w:rsid w:val="69BC1740"/>
    <w:rsid w:val="69DC5D71"/>
    <w:rsid w:val="6BAE6CB9"/>
    <w:rsid w:val="6C8266AE"/>
    <w:rsid w:val="6D10317E"/>
    <w:rsid w:val="6E2D5DD3"/>
    <w:rsid w:val="6F53712D"/>
    <w:rsid w:val="705339F7"/>
    <w:rsid w:val="71326D93"/>
    <w:rsid w:val="716236AE"/>
    <w:rsid w:val="7193658F"/>
    <w:rsid w:val="72DA7291"/>
    <w:rsid w:val="73C94B85"/>
    <w:rsid w:val="73F310C6"/>
    <w:rsid w:val="742665A0"/>
    <w:rsid w:val="74FC4AA9"/>
    <w:rsid w:val="75D43EBC"/>
    <w:rsid w:val="75D4469A"/>
    <w:rsid w:val="777138F3"/>
    <w:rsid w:val="78B125B1"/>
    <w:rsid w:val="78D244C8"/>
    <w:rsid w:val="79094B82"/>
    <w:rsid w:val="794376E8"/>
    <w:rsid w:val="7A5429A6"/>
    <w:rsid w:val="7A5D6AD3"/>
    <w:rsid w:val="7AE06308"/>
    <w:rsid w:val="7C8C7D58"/>
    <w:rsid w:val="7E424DCC"/>
    <w:rsid w:val="7F347064"/>
    <w:rsid w:val="7FB05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8"/>
    <w:unhideWhenUsed/>
    <w:qFormat/>
    <w:uiPriority w:val="99"/>
    <w:rPr>
      <w:b/>
      <w:bCs/>
    </w:rPr>
  </w:style>
  <w:style w:type="paragraph" w:styleId="5">
    <w:name w:val="annotation text"/>
    <w:basedOn w:val="1"/>
    <w:link w:val="27"/>
    <w:unhideWhenUsed/>
    <w:qFormat/>
    <w:uiPriority w:val="99"/>
    <w:pPr>
      <w:jc w:val="left"/>
    </w:pPr>
  </w:style>
  <w:style w:type="paragraph" w:styleId="6">
    <w:name w:val="Normal Indent"/>
    <w:basedOn w:val="1"/>
    <w:link w:val="36"/>
    <w:qFormat/>
    <w:uiPriority w:val="0"/>
    <w:pPr>
      <w:ind w:firstLine="420"/>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Plain Text"/>
    <w:basedOn w:val="1"/>
    <w:link w:val="29"/>
    <w:qFormat/>
    <w:uiPriority w:val="0"/>
    <w:rPr>
      <w:rFonts w:ascii="宋体" w:hAnsi="Courier New" w:cs="Courier New"/>
      <w:szCs w:val="21"/>
    </w:rPr>
  </w:style>
  <w:style w:type="paragraph" w:styleId="9">
    <w:name w:val="endnote text"/>
    <w:basedOn w:val="1"/>
    <w:link w:val="30"/>
    <w:unhideWhenUsed/>
    <w:qFormat/>
    <w:uiPriority w:val="99"/>
    <w:pPr>
      <w:snapToGrid w:val="0"/>
      <w:jc w:val="left"/>
    </w:pPr>
  </w:style>
  <w:style w:type="paragraph" w:styleId="10">
    <w:name w:val="Balloon Text"/>
    <w:basedOn w:val="1"/>
    <w:link w:val="31"/>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4"/>
    <w:next w:val="2"/>
    <w:unhideWhenUsed/>
    <w:qFormat/>
    <w:uiPriority w:val="39"/>
    <w:pPr>
      <w:widowControl/>
      <w:spacing w:line="440" w:lineRule="exact"/>
      <w:jc w:val="left"/>
    </w:pPr>
    <w:rPr>
      <w:rFonts w:eastAsia="黑体"/>
      <w:b/>
      <w:i w:val="0"/>
      <w:kern w:val="0"/>
      <w:sz w:val="28"/>
    </w:rPr>
  </w:style>
  <w:style w:type="paragraph" w:customStyle="1" w:styleId="14">
    <w:name w:val="引用1"/>
    <w:basedOn w:val="1"/>
    <w:next w:val="1"/>
    <w:link w:val="35"/>
    <w:qFormat/>
    <w:uiPriority w:val="29"/>
    <w:rPr>
      <w:i/>
      <w:iCs/>
      <w:color w:val="000000" w:themeColor="text1"/>
    </w:rPr>
  </w:style>
  <w:style w:type="paragraph" w:styleId="15">
    <w:name w:val="toc 2"/>
    <w:basedOn w:val="14"/>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Strong"/>
    <w:qFormat/>
    <w:uiPriority w:val="22"/>
    <w:rPr>
      <w:b/>
    </w:rPr>
  </w:style>
  <w:style w:type="character" w:styleId="19">
    <w:name w:val="endnote reference"/>
    <w:basedOn w:val="17"/>
    <w:unhideWhenUsed/>
    <w:qFormat/>
    <w:uiPriority w:val="99"/>
    <w:rPr>
      <w:vertAlign w:val="superscript"/>
    </w:rPr>
  </w:style>
  <w:style w:type="character" w:styleId="20">
    <w:name w:val="Hyperlink"/>
    <w:basedOn w:val="17"/>
    <w:unhideWhenUsed/>
    <w:qFormat/>
    <w:uiPriority w:val="99"/>
    <w:rPr>
      <w:color w:val="0000FF" w:themeColor="hyperlink"/>
      <w:u w:val="single"/>
    </w:rPr>
  </w:style>
  <w:style w:type="character" w:styleId="21">
    <w:name w:val="annotation reference"/>
    <w:qFormat/>
    <w:uiPriority w:val="99"/>
    <w:rPr>
      <w:sz w:val="21"/>
    </w:rPr>
  </w:style>
  <w:style w:type="character" w:customStyle="1" w:styleId="23">
    <w:name w:val="页眉 Char"/>
    <w:basedOn w:val="17"/>
    <w:link w:val="12"/>
    <w:qFormat/>
    <w:uiPriority w:val="99"/>
    <w:rPr>
      <w:sz w:val="18"/>
      <w:szCs w:val="18"/>
    </w:rPr>
  </w:style>
  <w:style w:type="character" w:customStyle="1" w:styleId="24">
    <w:name w:val="页脚 Char"/>
    <w:basedOn w:val="17"/>
    <w:link w:val="11"/>
    <w:qFormat/>
    <w:uiPriority w:val="99"/>
    <w:rPr>
      <w:sz w:val="18"/>
      <w:szCs w:val="18"/>
    </w:rPr>
  </w:style>
  <w:style w:type="character" w:customStyle="1" w:styleId="25">
    <w:name w:val="标题 1 Char"/>
    <w:basedOn w:val="17"/>
    <w:link w:val="2"/>
    <w:qFormat/>
    <w:uiPriority w:val="9"/>
    <w:rPr>
      <w:b/>
      <w:bCs/>
      <w:kern w:val="44"/>
      <w:sz w:val="44"/>
      <w:szCs w:val="44"/>
    </w:rPr>
  </w:style>
  <w:style w:type="character" w:customStyle="1" w:styleId="26">
    <w:name w:val="标题 2 Char"/>
    <w:basedOn w:val="17"/>
    <w:link w:val="3"/>
    <w:qFormat/>
    <w:uiPriority w:val="9"/>
    <w:rPr>
      <w:rFonts w:asciiTheme="majorHAnsi" w:hAnsiTheme="majorHAnsi" w:eastAsiaTheme="majorEastAsia" w:cstheme="majorBidi"/>
      <w:b/>
      <w:bCs/>
      <w:sz w:val="32"/>
      <w:szCs w:val="32"/>
    </w:rPr>
  </w:style>
  <w:style w:type="character" w:customStyle="1" w:styleId="27">
    <w:name w:val="批注文字 Char"/>
    <w:basedOn w:val="17"/>
    <w:link w:val="5"/>
    <w:qFormat/>
    <w:uiPriority w:val="99"/>
  </w:style>
  <w:style w:type="character" w:customStyle="1" w:styleId="28">
    <w:name w:val="批注主题 Char"/>
    <w:basedOn w:val="27"/>
    <w:link w:val="4"/>
    <w:qFormat/>
    <w:uiPriority w:val="99"/>
    <w:rPr>
      <w:b/>
      <w:bCs/>
    </w:rPr>
  </w:style>
  <w:style w:type="character" w:customStyle="1" w:styleId="29">
    <w:name w:val="纯文本 Char"/>
    <w:basedOn w:val="17"/>
    <w:link w:val="8"/>
    <w:qFormat/>
    <w:uiPriority w:val="0"/>
    <w:rPr>
      <w:rFonts w:ascii="宋体" w:hAnsi="Courier New" w:cs="Courier New"/>
      <w:szCs w:val="21"/>
    </w:rPr>
  </w:style>
  <w:style w:type="character" w:customStyle="1" w:styleId="30">
    <w:name w:val="尾注文本 Char"/>
    <w:basedOn w:val="17"/>
    <w:link w:val="9"/>
    <w:qFormat/>
    <w:uiPriority w:val="99"/>
  </w:style>
  <w:style w:type="character" w:customStyle="1" w:styleId="31">
    <w:name w:val="批注框文本 Char"/>
    <w:basedOn w:val="17"/>
    <w:link w:val="10"/>
    <w:qFormat/>
    <w:uiPriority w:val="99"/>
    <w:rPr>
      <w:sz w:val="18"/>
      <w:szCs w:val="18"/>
    </w:rPr>
  </w:style>
  <w:style w:type="paragraph" w:customStyle="1" w:styleId="32">
    <w:name w:val="列出段落1"/>
    <w:basedOn w:val="1"/>
    <w:qFormat/>
    <w:uiPriority w:val="34"/>
    <w:pPr>
      <w:ind w:firstLine="420" w:firstLineChars="200"/>
    </w:p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纯文本 Char1"/>
    <w:basedOn w:val="17"/>
    <w:semiHidden/>
    <w:qFormat/>
    <w:uiPriority w:val="99"/>
    <w:rPr>
      <w:rFonts w:ascii="宋体" w:hAnsi="Courier New" w:eastAsia="宋体" w:cs="Courier New"/>
      <w:szCs w:val="21"/>
    </w:rPr>
  </w:style>
  <w:style w:type="character" w:customStyle="1" w:styleId="35">
    <w:name w:val="引用 Char"/>
    <w:basedOn w:val="17"/>
    <w:link w:val="14"/>
    <w:qFormat/>
    <w:uiPriority w:val="29"/>
    <w:rPr>
      <w:i/>
      <w:iCs/>
      <w:color w:val="000000" w:themeColor="text1"/>
    </w:rPr>
  </w:style>
  <w:style w:type="character" w:customStyle="1" w:styleId="36">
    <w:name w:val="正文缩进 Char"/>
    <w:link w:val="6"/>
    <w:qFormat/>
    <w:uiPriority w:val="0"/>
  </w:style>
  <w:style w:type="paragraph" w:customStyle="1" w:styleId="37">
    <w:name w:val="列出段落2"/>
    <w:basedOn w:val="1"/>
    <w:qFormat/>
    <w:uiPriority w:val="34"/>
    <w:pPr>
      <w:ind w:firstLine="420" w:firstLineChars="200"/>
    </w:pPr>
  </w:style>
  <w:style w:type="character" w:customStyle="1" w:styleId="38">
    <w:name w:val="纯文本 Char2"/>
    <w:qFormat/>
    <w:locked/>
    <w:uiPriority w:val="0"/>
    <w:rPr>
      <w:rFonts w:ascii="宋体" w:hAnsi="Courier New" w:eastAsia="宋体" w:cs="Courier New"/>
      <w:szCs w:val="21"/>
    </w:rPr>
  </w:style>
  <w:style w:type="paragraph" w:customStyle="1" w:styleId="39">
    <w:name w:val="Char Char"/>
    <w:basedOn w:val="1"/>
    <w:qFormat/>
    <w:uiPriority w:val="0"/>
    <w:rPr>
      <w:rFonts w:ascii="Tahoma" w:hAnsi="Tahoma" w:eastAsia="宋体" w:cs="Times New Roman"/>
      <w:sz w:val="24"/>
      <w:szCs w:val="20"/>
    </w:rPr>
  </w:style>
  <w:style w:type="paragraph" w:customStyle="1" w:styleId="4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1">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2">
    <w:name w:val="标题2"/>
    <w:basedOn w:val="2"/>
    <w:qFormat/>
    <w:uiPriority w:val="0"/>
    <w:pPr>
      <w:spacing w:before="100" w:beforeAutospacing="1" w:after="100" w:afterAutospacing="1"/>
      <w:jc w:val="left"/>
    </w:pPr>
    <w:rPr>
      <w:rFonts w:ascii="宋体" w:hAnsi="宋体" w:eastAsia="黑体"/>
      <w:sz w:val="24"/>
      <w:szCs w:val="24"/>
    </w:rPr>
  </w:style>
  <w:style w:type="paragraph" w:customStyle="1" w:styleId="43">
    <w:name w:val="Crp正文"/>
    <w:basedOn w:val="1"/>
    <w:qFormat/>
    <w:uiPriority w:val="0"/>
    <w:pPr>
      <w:spacing w:after="120"/>
      <w:ind w:left="420" w:leftChars="200" w:firstLine="560" w:firstLineChars="200"/>
      <w:jc w:val="left"/>
    </w:pPr>
    <w:rPr>
      <w:rFonts w:ascii="仿宋_GB2312"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A2791-850A-4F71-ABF5-7DB1C34D1ADB}">
  <ds:schemaRefs/>
</ds:datastoreItem>
</file>

<file path=docProps/app.xml><?xml version="1.0" encoding="utf-8"?>
<Properties xmlns="http://schemas.openxmlformats.org/officeDocument/2006/extended-properties" xmlns:vt="http://schemas.openxmlformats.org/officeDocument/2006/docPropsVTypes">
  <Template>Normal.dotm</Template>
  <Company>UQi.me</Company>
  <Pages>58</Pages>
  <Words>5023</Words>
  <Characters>28634</Characters>
  <Lines>238</Lines>
  <Paragraphs>67</Paragraphs>
  <ScaleCrop>false</ScaleCrop>
  <LinksUpToDate>false</LinksUpToDate>
  <CharactersWithSpaces>33590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2017-10-30T02:57:00Z</dcterms:created>
  <dc:creator>UQi.me</dc:creator>
  <cp:lastModifiedBy>Administrator</cp:lastModifiedBy>
  <cp:lastPrinted>2018-09-26T06:57:00Z</cp:lastPrinted>
  <dcterms:modified xsi:type="dcterms:W3CDTF">2018-09-28T02:33:30Z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