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w w:val="120"/>
          <w:sz w:val="52"/>
          <w:szCs w:val="52"/>
        </w:rPr>
      </w:pPr>
      <w:r>
        <w:rPr>
          <w:rFonts w:hint="eastAsia"/>
          <w:w w:val="120"/>
          <w:sz w:val="52"/>
          <w:szCs w:val="52"/>
        </w:rPr>
        <w:t>阳新县县级政府采购</w:t>
      </w:r>
    </w:p>
    <w:p>
      <w:pPr>
        <w:pStyle w:val="8"/>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500" w:firstLineChars="500"/>
        <w:rPr>
          <w:bCs/>
          <w:sz w:val="30"/>
          <w:szCs w:val="30"/>
          <w:u w:val="single"/>
        </w:rPr>
      </w:pPr>
      <w:r>
        <w:rPr>
          <w:rFonts w:hint="eastAsia"/>
          <w:bCs/>
          <w:sz w:val="30"/>
          <w:szCs w:val="30"/>
        </w:rPr>
        <w:t>项目编号：131-Zcg·2019-2</w:t>
      </w:r>
    </w:p>
    <w:p>
      <w:pPr>
        <w:spacing w:line="480" w:lineRule="auto"/>
        <w:ind w:firstLine="1500" w:firstLineChars="500"/>
        <w:rPr>
          <w:bCs/>
          <w:sz w:val="30"/>
          <w:szCs w:val="30"/>
        </w:rPr>
      </w:pPr>
      <w:r>
        <w:rPr>
          <w:rFonts w:hint="eastAsia"/>
          <w:bCs/>
          <w:sz w:val="30"/>
          <w:szCs w:val="30"/>
        </w:rPr>
        <w:t>采购人：黄石市网湖湿地自然保护区管理局</w:t>
      </w:r>
    </w:p>
    <w:p>
      <w:pPr>
        <w:spacing w:line="480" w:lineRule="auto"/>
        <w:ind w:firstLine="1500" w:firstLineChars="500"/>
        <w:rPr>
          <w:bCs/>
          <w:sz w:val="30"/>
          <w:szCs w:val="30"/>
        </w:rPr>
      </w:pPr>
      <w:r>
        <w:rPr>
          <w:rFonts w:hint="eastAsia"/>
          <w:bCs/>
          <w:sz w:val="30"/>
          <w:szCs w:val="30"/>
        </w:rPr>
        <w:t>项目名称：湖北网湖自然保护区水生态环境保护规划项目</w:t>
      </w:r>
    </w:p>
    <w:p>
      <w:pPr>
        <w:spacing w:line="480" w:lineRule="auto"/>
        <w:ind w:firstLine="1500" w:firstLineChars="500"/>
        <w:rPr>
          <w:bCs/>
          <w:sz w:val="30"/>
          <w:szCs w:val="30"/>
        </w:rPr>
      </w:pPr>
      <w:r>
        <w:rPr>
          <w:rFonts w:hint="eastAsia"/>
          <w:bCs/>
          <w:sz w:val="30"/>
          <w:szCs w:val="30"/>
        </w:rPr>
        <w:t>采购内容：水生态环境保护规划</w:t>
      </w:r>
    </w:p>
    <w:p>
      <w:pPr>
        <w:spacing w:line="480" w:lineRule="auto"/>
        <w:ind w:firstLine="1500" w:firstLineChars="500"/>
        <w:rPr>
          <w:bCs/>
          <w:sz w:val="30"/>
          <w:szCs w:val="30"/>
          <w:u w:val="single"/>
        </w:rPr>
      </w:pPr>
    </w:p>
    <w:p>
      <w:pPr>
        <w:adjustRightInd w:val="0"/>
        <w:snapToGrid w:val="0"/>
        <w:jc w:val="center"/>
        <w:rPr>
          <w:bCs/>
          <w:snapToGrid w:val="0"/>
          <w:kern w:val="0"/>
          <w:position w:val="-98"/>
          <w:sz w:val="72"/>
          <w:szCs w:val="72"/>
        </w:rPr>
      </w:pPr>
      <w:r>
        <w:rPr>
          <w:rFonts w:hint="eastAsia"/>
          <w:bCs/>
          <w:snapToGrid w:val="0"/>
          <w:kern w:val="0"/>
          <w:position w:val="-98"/>
          <w:sz w:val="72"/>
          <w:szCs w:val="72"/>
        </w:rPr>
        <w:t>武汉富纳工程咨询有限公司</w:t>
      </w:r>
    </w:p>
    <w:p>
      <w:pPr>
        <w:jc w:val="center"/>
        <w:rPr>
          <w:rFonts w:ascii="黑体" w:hAnsi="黑体" w:eastAsia="黑体"/>
          <w:b/>
          <w:sz w:val="48"/>
          <w:szCs w:val="48"/>
        </w:rPr>
      </w:pPr>
      <w:r>
        <w:rPr>
          <w:rFonts w:hint="eastAsia"/>
          <w:sz w:val="48"/>
          <w:szCs w:val="48"/>
        </w:rPr>
        <w:t>2019年1</w:t>
      </w:r>
      <w:r>
        <w:rPr>
          <w:rFonts w:hint="eastAsia" w:asciiTheme="minorEastAsia" w:hAnsiTheme="minorEastAsia" w:cstheme="minorEastAsia"/>
          <w:bCs/>
          <w:sz w:val="48"/>
          <w:szCs w:val="48"/>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312" w:beforeLines="100"/>
        <w:jc w:val="center"/>
        <w:rPr>
          <w:rFonts w:ascii="黑体" w:hAnsi="黑体" w:eastAsia="黑体"/>
          <w:sz w:val="44"/>
          <w:szCs w:val="44"/>
        </w:rPr>
      </w:pPr>
      <w:r>
        <w:rPr>
          <w:rFonts w:hint="eastAsia" w:ascii="黑体" w:hAnsi="黑体" w:eastAsia="黑体"/>
          <w:sz w:val="44"/>
          <w:szCs w:val="44"/>
        </w:rPr>
        <w:t>目   录</w:t>
      </w:r>
    </w:p>
    <w:sdt>
      <w:sdtPr>
        <w:rPr>
          <w:color w:val="auto"/>
          <w:lang w:val="zh-CN"/>
        </w:rPr>
        <w:id w:val="1482579200"/>
      </w:sdtPr>
      <w:sdtEndPr>
        <w:rPr>
          <w:b w:val="0"/>
          <w:bCs/>
          <w:color w:val="auto"/>
          <w:lang w:val="zh-CN"/>
        </w:rPr>
      </w:sdtEndPr>
      <w:sdtContent>
        <w:p>
          <w:pPr>
            <w:pStyle w:val="14"/>
            <w:tabs>
              <w:tab w:val="left" w:pos="1260"/>
              <w:tab w:val="right" w:leader="dot" w:pos="9514"/>
            </w:tabs>
            <w:rPr>
              <w:rFonts w:eastAsiaTheme="minorEastAsia"/>
              <w:b w:val="0"/>
              <w:iCs w:val="0"/>
              <w:color w:val="auto"/>
              <w:kern w:val="2"/>
              <w:sz w:val="21"/>
            </w:rPr>
          </w:pPr>
          <w:r>
            <w:rPr>
              <w:color w:val="auto"/>
            </w:rPr>
            <w:fldChar w:fldCharType="begin"/>
          </w:r>
          <w:r>
            <w:rPr>
              <w:color w:val="auto"/>
            </w:rPr>
            <w:instrText xml:space="preserve"> TOC \o "1-2" \h \z \u </w:instrText>
          </w:r>
          <w:r>
            <w:rPr>
              <w:color w:val="auto"/>
            </w:rPr>
            <w:fldChar w:fldCharType="separate"/>
          </w:r>
          <w:r>
            <w:fldChar w:fldCharType="begin"/>
          </w:r>
          <w:r>
            <w:instrText xml:space="preserve"> HYPERLINK \l "_Toc533862400" </w:instrText>
          </w:r>
          <w:r>
            <w:fldChar w:fldCharType="separate"/>
          </w:r>
          <w:r>
            <w:rPr>
              <w:rStyle w:val="22"/>
              <w:rFonts w:hint="eastAsia" w:ascii="黑体" w:hAnsi="黑体"/>
            </w:rPr>
            <w:t>第一章</w:t>
          </w:r>
          <w:r>
            <w:rPr>
              <w:rFonts w:eastAsiaTheme="minorEastAsia"/>
              <w:b w:val="0"/>
              <w:iCs w:val="0"/>
              <w:color w:val="auto"/>
              <w:kern w:val="2"/>
              <w:sz w:val="21"/>
            </w:rPr>
            <w:tab/>
          </w:r>
          <w:r>
            <w:rPr>
              <w:rStyle w:val="22"/>
              <w:rFonts w:hint="eastAsia" w:ascii="黑体" w:hAnsi="黑体"/>
            </w:rPr>
            <w:t>投标邀请书</w:t>
          </w:r>
          <w:r>
            <w:tab/>
          </w:r>
          <w:r>
            <w:fldChar w:fldCharType="begin"/>
          </w:r>
          <w:r>
            <w:instrText xml:space="preserve"> PAGEREF _Toc533862400 \h </w:instrText>
          </w:r>
          <w:r>
            <w:fldChar w:fldCharType="separate"/>
          </w:r>
          <w:r>
            <w:t>4</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"_Toc533862401" </w:instrText>
          </w:r>
          <w:r>
            <w:fldChar w:fldCharType="separate"/>
          </w:r>
          <w:r>
            <w:rPr>
              <w:rStyle w:val="22"/>
              <w:rFonts w:hint="eastAsia" w:ascii="黑体" w:hAnsi="黑体"/>
            </w:rPr>
            <w:t>第二章</w:t>
          </w:r>
          <w:r>
            <w:rPr>
              <w:rFonts w:eastAsiaTheme="minorEastAsia"/>
              <w:b w:val="0"/>
              <w:iCs w:val="0"/>
              <w:color w:val="auto"/>
              <w:kern w:val="2"/>
              <w:sz w:val="21"/>
            </w:rPr>
            <w:tab/>
          </w:r>
          <w:r>
            <w:rPr>
              <w:rStyle w:val="22"/>
              <w:rFonts w:hint="eastAsia" w:ascii="黑体" w:hAnsi="黑体"/>
            </w:rPr>
            <w:t>投标人须知</w:t>
          </w:r>
          <w:r>
            <w:tab/>
          </w:r>
          <w:r>
            <w:fldChar w:fldCharType="begin"/>
          </w:r>
          <w:r>
            <w:instrText xml:space="preserve"> PAGEREF _Toc533862401 \h </w:instrText>
          </w:r>
          <w:r>
            <w:fldChar w:fldCharType="separate"/>
          </w:r>
          <w:r>
            <w:t>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"_Toc533862402" </w:instrText>
          </w:r>
          <w:r>
            <w:fldChar w:fldCharType="separate"/>
          </w:r>
          <w:r>
            <w:rPr>
              <w:rStyle w:val="22"/>
              <w:rFonts w:hint="eastAsia" w:cs="Times New Roman" w:asciiTheme="majorEastAsia" w:hAnsiTheme="majorEastAsia" w:eastAsiaTheme="majorEastAsia"/>
              <w:b/>
              <w:bCs/>
              <w:lang w:val="zh-CN"/>
            </w:rPr>
            <w:t>投标须知前附表</w:t>
          </w:r>
          <w:r>
            <w:tab/>
          </w:r>
          <w:r>
            <w:fldChar w:fldCharType="begin"/>
          </w:r>
          <w:r>
            <w:instrText xml:space="preserve"> PAGEREF _Toc533862402 \h </w:instrText>
          </w:r>
          <w:r>
            <w:fldChar w:fldCharType="separate"/>
          </w:r>
          <w:r>
            <w:t>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"_Toc533862403"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说</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明</w:t>
          </w:r>
          <w:r>
            <w:tab/>
          </w:r>
          <w:r>
            <w:fldChar w:fldCharType="begin"/>
          </w:r>
          <w:r>
            <w:instrText xml:space="preserve"> PAGEREF _Toc533862403 \h </w:instrText>
          </w:r>
          <w:r>
            <w:fldChar w:fldCharType="separate"/>
          </w:r>
          <w:r>
            <w:t>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"_Toc533862404"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招标文件</w:t>
          </w:r>
          <w:r>
            <w:tab/>
          </w:r>
          <w:r>
            <w:fldChar w:fldCharType="begin"/>
          </w:r>
          <w:r>
            <w:instrText xml:space="preserve"> PAGEREF _Toc533862404 \h </w:instrText>
          </w:r>
          <w:r>
            <w:fldChar w:fldCharType="separate"/>
          </w:r>
          <w:r>
            <w:t>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"_Toc533862405" </w:instrText>
          </w:r>
          <w:r>
            <w:fldChar w:fldCharType="separate"/>
          </w:r>
          <w:r>
            <w:rPr>
              <w:rStyle w:val="22"/>
              <w:rFonts w:hint="eastAsia" w:cs="Times New Roman" w:asciiTheme="majorEastAsia" w:hAnsiTheme="majorEastAsia"/>
              <w:lang w:val="zh-CN"/>
            </w:rPr>
            <w:t>三、</w:t>
          </w:r>
          <w:r>
            <w:rPr>
              <w:rFonts w:asciiTheme="minorHAnsi" w:hAnsiTheme="minorHAnsi"/>
              <w:iCs w:val="0"/>
              <w:color w:val="auto"/>
              <w:kern w:val="2"/>
              <w:sz w:val="21"/>
            </w:rPr>
            <w:tab/>
          </w:r>
          <w:r>
            <w:rPr>
              <w:rStyle w:val="22"/>
              <w:rFonts w:hint="eastAsia" w:cs="Times New Roman" w:asciiTheme="majorEastAsia" w:hAnsiTheme="majorEastAsia"/>
              <w:lang w:val="zh-CN"/>
            </w:rPr>
            <w:t>投标文件</w:t>
          </w:r>
          <w:r>
            <w:tab/>
          </w:r>
          <w:r>
            <w:fldChar w:fldCharType="begin"/>
          </w:r>
          <w:r>
            <w:instrText xml:space="preserve"> PAGEREF _Toc533862405 \h </w:instrText>
          </w:r>
          <w:r>
            <w:fldChar w:fldCharType="separate"/>
          </w:r>
          <w:r>
            <w:t>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"_Toc533862406" </w:instrText>
          </w:r>
          <w:r>
            <w:fldChar w:fldCharType="separate"/>
          </w:r>
          <w:r>
            <w:rPr>
              <w:rStyle w:val="22"/>
              <w:rFonts w:hint="eastAsia" w:cs="Times New Roman" w:asciiTheme="majorEastAsia" w:hAnsiTheme="majorEastAsia"/>
              <w:lang w:val="zh-CN"/>
            </w:rPr>
            <w:t>四、</w:t>
          </w:r>
          <w:r>
            <w:rPr>
              <w:rFonts w:asciiTheme="minorHAnsi" w:hAnsiTheme="minorHAnsi"/>
              <w:iCs w:val="0"/>
              <w:color w:val="auto"/>
              <w:kern w:val="2"/>
              <w:sz w:val="21"/>
            </w:rPr>
            <w:tab/>
          </w:r>
          <w:r>
            <w:rPr>
              <w:rStyle w:val="22"/>
              <w:rFonts w:hint="eastAsia" w:cs="Times New Roman" w:asciiTheme="majorEastAsia" w:hAnsiTheme="majorEastAsia"/>
              <w:lang w:val="zh-CN"/>
            </w:rPr>
            <w:t>开标与评标</w:t>
          </w:r>
          <w:r>
            <w:tab/>
          </w:r>
          <w:r>
            <w:fldChar w:fldCharType="begin"/>
          </w:r>
          <w:r>
            <w:instrText xml:space="preserve"> PAGEREF _Toc533862406 \h </w:instrText>
          </w:r>
          <w:r>
            <w:fldChar w:fldCharType="separate"/>
          </w:r>
          <w:r>
            <w:t>15</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"_Toc533862407" </w:instrText>
          </w:r>
          <w:r>
            <w:fldChar w:fldCharType="separate"/>
          </w:r>
          <w:r>
            <w:rPr>
              <w:rStyle w:val="22"/>
              <w:rFonts w:hint="eastAsia" w:cs="Times New Roman" w:asciiTheme="majorEastAsia" w:hAnsiTheme="majorEastAsia"/>
              <w:lang w:val="zh-CN"/>
            </w:rPr>
            <w:t>五、</w:t>
          </w:r>
          <w:r>
            <w:rPr>
              <w:rFonts w:asciiTheme="minorHAnsi" w:hAnsiTheme="minorHAnsi"/>
              <w:iCs w:val="0"/>
              <w:color w:val="auto"/>
              <w:kern w:val="2"/>
              <w:sz w:val="21"/>
            </w:rPr>
            <w:tab/>
          </w:r>
          <w:r>
            <w:rPr>
              <w:rStyle w:val="22"/>
              <w:rFonts w:hint="eastAsia" w:cs="Times New Roman" w:asciiTheme="majorEastAsia" w:hAnsiTheme="majorEastAsia"/>
              <w:lang w:val="zh-CN"/>
            </w:rPr>
            <w:t>投标人信用信息及查询</w:t>
          </w:r>
          <w:r>
            <w:tab/>
          </w:r>
          <w:r>
            <w:fldChar w:fldCharType="begin"/>
          </w:r>
          <w:r>
            <w:instrText xml:space="preserve"> PAGEREF _Toc533862407 \h </w:instrText>
          </w:r>
          <w:r>
            <w:fldChar w:fldCharType="separate"/>
          </w:r>
          <w:r>
            <w:t>17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"_Toc533862408" </w:instrText>
          </w:r>
          <w:r>
            <w:fldChar w:fldCharType="separate"/>
          </w:r>
          <w:r>
            <w:rPr>
              <w:rStyle w:val="22"/>
              <w:rFonts w:hint="eastAsia" w:cs="Times New Roman" w:asciiTheme="majorEastAsia" w:hAnsiTheme="majorEastAsia"/>
              <w:lang w:val="zh-CN"/>
            </w:rPr>
            <w:t>六、</w:t>
          </w:r>
          <w:r>
            <w:rPr>
              <w:rFonts w:asciiTheme="minorHAnsi" w:hAnsiTheme="minorHAnsi"/>
              <w:iCs w:val="0"/>
              <w:color w:val="auto"/>
              <w:kern w:val="2"/>
              <w:sz w:val="21"/>
            </w:rPr>
            <w:tab/>
          </w:r>
          <w:r>
            <w:rPr>
              <w:rStyle w:val="22"/>
              <w:rFonts w:hint="eastAsia" w:cs="Times New Roman" w:asciiTheme="majorEastAsia" w:hAnsiTheme="majorEastAsia"/>
              <w:lang w:val="zh-CN"/>
            </w:rPr>
            <w:t>中标与合同</w:t>
          </w:r>
          <w:r>
            <w:tab/>
          </w:r>
          <w:r>
            <w:fldChar w:fldCharType="begin"/>
          </w:r>
          <w:r>
            <w:instrText xml:space="preserve"> PAGEREF _Toc533862408 \h </w:instrText>
          </w:r>
          <w:r>
            <w:fldChar w:fldCharType="separate"/>
          </w:r>
          <w:r>
            <w:t>17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"_Toc533862409" </w:instrText>
          </w:r>
          <w:r>
            <w:fldChar w:fldCharType="separate"/>
          </w:r>
          <w:r>
            <w:rPr>
              <w:rStyle w:val="22"/>
              <w:rFonts w:hint="eastAsia" w:cs="Times New Roman" w:asciiTheme="majorEastAsia" w:hAnsiTheme="majorEastAsia"/>
              <w:lang w:val="zh-CN"/>
            </w:rPr>
            <w:t>七、</w:t>
          </w:r>
          <w:r>
            <w:rPr>
              <w:rFonts w:asciiTheme="minorHAnsi" w:hAnsiTheme="minorHAnsi"/>
              <w:iCs w:val="0"/>
              <w:color w:val="auto"/>
              <w:kern w:val="2"/>
              <w:sz w:val="21"/>
            </w:rPr>
            <w:tab/>
          </w:r>
          <w:r>
            <w:rPr>
              <w:rStyle w:val="22"/>
              <w:rFonts w:hint="eastAsia" w:cs="Times New Roman" w:asciiTheme="majorEastAsia" w:hAnsiTheme="majorEastAsia"/>
              <w:lang w:val="zh-CN"/>
            </w:rPr>
            <w:t>采购信息公告</w:t>
          </w:r>
          <w:r>
            <w:tab/>
          </w:r>
          <w:r>
            <w:fldChar w:fldCharType="begin"/>
          </w:r>
          <w:r>
            <w:instrText xml:space="preserve"> PAGEREF _Toc533862409 \h </w:instrText>
          </w:r>
          <w:r>
            <w:fldChar w:fldCharType="separate"/>
          </w:r>
          <w:r>
            <w:t>18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"_Toc533862410" </w:instrText>
          </w:r>
          <w:r>
            <w:fldChar w:fldCharType="separate"/>
          </w:r>
          <w:r>
            <w:rPr>
              <w:rStyle w:val="22"/>
              <w:rFonts w:hint="eastAsia" w:cs="Times New Roman" w:asciiTheme="majorEastAsia" w:hAnsiTheme="majorEastAsia"/>
              <w:lang w:val="zh-CN"/>
            </w:rPr>
            <w:t>八、</w:t>
          </w:r>
          <w:r>
            <w:rPr>
              <w:rFonts w:asciiTheme="minorHAnsi" w:hAnsiTheme="minorHAnsi"/>
              <w:iCs w:val="0"/>
              <w:color w:val="auto"/>
              <w:kern w:val="2"/>
              <w:sz w:val="21"/>
            </w:rPr>
            <w:tab/>
          </w:r>
          <w:r>
            <w:rPr>
              <w:rStyle w:val="22"/>
              <w:rFonts w:hint="eastAsia" w:cs="Times New Roman" w:asciiTheme="majorEastAsia" w:hAnsiTheme="majorEastAsia"/>
              <w:lang w:val="zh-CN"/>
            </w:rPr>
            <w:t>质疑及提交</w:t>
          </w:r>
          <w:r>
            <w:tab/>
          </w:r>
          <w:r>
            <w:fldChar w:fldCharType="begin"/>
          </w:r>
          <w:r>
            <w:instrText xml:space="preserve"> PAGEREF _Toc533862410 \h </w:instrText>
          </w:r>
          <w:r>
            <w:fldChar w:fldCharType="separate"/>
          </w:r>
          <w:r>
            <w:t>19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"_Toc533862411" </w:instrText>
          </w:r>
          <w:r>
            <w:fldChar w:fldCharType="separate"/>
          </w:r>
          <w:r>
            <w:rPr>
              <w:rStyle w:val="22"/>
              <w:rFonts w:hint="eastAsia" w:cs="Times New Roman" w:asciiTheme="majorEastAsia" w:hAnsiTheme="majorEastAsia"/>
              <w:lang w:val="zh-CN"/>
            </w:rPr>
            <w:t>九、</w:t>
          </w:r>
          <w:r>
            <w:rPr>
              <w:rFonts w:asciiTheme="minorHAnsi" w:hAnsiTheme="minorHAnsi"/>
              <w:iCs w:val="0"/>
              <w:color w:val="auto"/>
              <w:kern w:val="2"/>
              <w:sz w:val="21"/>
            </w:rPr>
            <w:tab/>
          </w:r>
          <w:r>
            <w:rPr>
              <w:rStyle w:val="22"/>
              <w:rFonts w:hint="eastAsia" w:cs="Times New Roman" w:asciiTheme="majorEastAsia" w:hAnsiTheme="majorEastAsia"/>
              <w:lang w:val="zh-CN"/>
            </w:rPr>
            <w:t>相关条文解读</w:t>
          </w:r>
          <w:r>
            <w:tab/>
          </w:r>
          <w:r>
            <w:fldChar w:fldCharType="begin"/>
          </w:r>
          <w:r>
            <w:instrText xml:space="preserve"> PAGEREF _Toc533862411 \h </w:instrText>
          </w:r>
          <w:r>
            <w:fldChar w:fldCharType="separate"/>
          </w:r>
          <w:r>
            <w:t>20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"_Toc533862412" </w:instrText>
          </w:r>
          <w:r>
            <w:fldChar w:fldCharType="separate"/>
          </w:r>
          <w:r>
            <w:rPr>
              <w:rStyle w:val="22"/>
              <w:rFonts w:hint="eastAsia" w:cs="Times New Roman" w:asciiTheme="majorEastAsia" w:hAnsiTheme="majorEastAsia"/>
              <w:lang w:val="zh-CN"/>
            </w:rPr>
            <w:t>十、</w:t>
          </w:r>
          <w:r>
            <w:rPr>
              <w:rFonts w:asciiTheme="minorHAnsi" w:hAnsiTheme="minorHAnsi"/>
              <w:iCs w:val="0"/>
              <w:color w:val="auto"/>
              <w:kern w:val="2"/>
              <w:sz w:val="21"/>
            </w:rPr>
            <w:tab/>
          </w:r>
          <w:r>
            <w:rPr>
              <w:rStyle w:val="22"/>
              <w:rFonts w:hint="eastAsia" w:cs="Times New Roman" w:asciiTheme="majorEastAsia" w:hAnsiTheme="majorEastAsia"/>
              <w:lang w:val="zh-CN"/>
            </w:rPr>
            <w:t>其他注意事项</w:t>
          </w:r>
          <w:r>
            <w:tab/>
          </w:r>
          <w:r>
            <w:fldChar w:fldCharType="begin"/>
          </w:r>
          <w:r>
            <w:instrText xml:space="preserve"> PAGEREF _Toc533862412 \h </w:instrText>
          </w:r>
          <w:r>
            <w:fldChar w:fldCharType="separate"/>
          </w:r>
          <w:r>
            <w:t>20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"_Toc533862413" </w:instrText>
          </w:r>
          <w:r>
            <w:fldChar w:fldCharType="separate"/>
          </w:r>
          <w:r>
            <w:rPr>
              <w:rStyle w:val="22"/>
              <w:rFonts w:hint="eastAsia" w:cs="Times New Roman" w:asciiTheme="majorEastAsia" w:hAnsiTheme="majorEastAsia"/>
              <w:lang w:val="zh-CN"/>
            </w:rPr>
            <w:t>十一、</w:t>
          </w:r>
          <w:r>
            <w:rPr>
              <w:rFonts w:asciiTheme="minorHAnsi" w:hAnsiTheme="minorHAnsi"/>
              <w:iCs w:val="0"/>
              <w:color w:val="auto"/>
              <w:kern w:val="2"/>
              <w:sz w:val="21"/>
            </w:rPr>
            <w:tab/>
          </w:r>
          <w:r>
            <w:rPr>
              <w:rStyle w:val="22"/>
              <w:rFonts w:hint="eastAsia" w:cs="Times New Roman" w:asciiTheme="majorEastAsia" w:hAnsiTheme="majorEastAsia"/>
              <w:lang w:val="zh-CN"/>
            </w:rPr>
            <w:t>适用法律</w:t>
          </w:r>
          <w:r>
            <w:tab/>
          </w:r>
          <w:r>
            <w:fldChar w:fldCharType="begin"/>
          </w:r>
          <w:r>
            <w:instrText xml:space="preserve"> PAGEREF _Toc533862413 \h </w:instrText>
          </w:r>
          <w:r>
            <w:fldChar w:fldCharType="separate"/>
          </w:r>
          <w:r>
            <w:t>20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"_Toc533862414" </w:instrText>
          </w:r>
          <w:r>
            <w:fldChar w:fldCharType="separate"/>
          </w:r>
          <w:r>
            <w:rPr>
              <w:rStyle w:val="22"/>
              <w:rFonts w:hint="eastAsia" w:cs="Times New Roman" w:asciiTheme="majorEastAsia" w:hAnsiTheme="majorEastAsia"/>
              <w:lang w:val="zh-CN"/>
            </w:rPr>
            <w:t>十二、</w:t>
          </w:r>
          <w:r>
            <w:rPr>
              <w:rFonts w:asciiTheme="minorHAnsi" w:hAnsiTheme="minorHAnsi"/>
              <w:iCs w:val="0"/>
              <w:color w:val="auto"/>
              <w:kern w:val="2"/>
              <w:sz w:val="21"/>
            </w:rPr>
            <w:tab/>
          </w:r>
          <w:r>
            <w:rPr>
              <w:rStyle w:val="22"/>
              <w:rFonts w:hint="eastAsia" w:cs="Times New Roman" w:asciiTheme="majorEastAsia" w:hAnsiTheme="majorEastAsia"/>
              <w:lang w:val="zh-CN"/>
            </w:rPr>
            <w:t>招标文件的解释权</w:t>
          </w:r>
          <w:r>
            <w:tab/>
          </w:r>
          <w:r>
            <w:fldChar w:fldCharType="begin"/>
          </w:r>
          <w:r>
            <w:instrText xml:space="preserve"> PAGEREF _Toc533862414 \h </w:instrText>
          </w:r>
          <w:r>
            <w:fldChar w:fldCharType="separate"/>
          </w:r>
          <w:r>
            <w:t>20</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"_Toc533862415" </w:instrText>
          </w:r>
          <w:r>
            <w:fldChar w:fldCharType="separate"/>
          </w:r>
          <w:r>
            <w:rPr>
              <w:rStyle w:val="22"/>
              <w:rFonts w:hint="eastAsia" w:ascii="黑体" w:hAnsi="黑体"/>
            </w:rPr>
            <w:t>第三章</w:t>
          </w:r>
          <w:r>
            <w:rPr>
              <w:rFonts w:eastAsiaTheme="minorEastAsia"/>
              <w:b w:val="0"/>
              <w:iCs w:val="0"/>
              <w:color w:val="auto"/>
              <w:kern w:val="2"/>
              <w:sz w:val="21"/>
            </w:rPr>
            <w:tab/>
          </w:r>
          <w:r>
            <w:rPr>
              <w:rStyle w:val="22"/>
              <w:rFonts w:hint="eastAsia" w:ascii="黑体" w:hAnsi="黑体"/>
            </w:rPr>
            <w:t>项目技术、服务及商务要求</w:t>
          </w:r>
          <w:r>
            <w:tab/>
          </w:r>
          <w:r>
            <w:fldChar w:fldCharType="begin"/>
          </w:r>
          <w:r>
            <w:instrText xml:space="preserve"> PAGEREF _Toc533862415 \h </w:instrText>
          </w:r>
          <w:r>
            <w:fldChar w:fldCharType="separate"/>
          </w:r>
          <w:r>
            <w:t>21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"_Toc533862416"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采购清单</w:t>
          </w:r>
          <w:r>
            <w:tab/>
          </w:r>
          <w:r>
            <w:fldChar w:fldCharType="begin"/>
          </w:r>
          <w:r>
            <w:instrText xml:space="preserve"> PAGEREF _Toc533862416 \h </w:instrText>
          </w:r>
          <w:r>
            <w:fldChar w:fldCharType="separate"/>
          </w:r>
          <w:r>
            <w:t>21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"_Toc533862417"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项目概况</w:t>
          </w:r>
          <w:r>
            <w:tab/>
          </w:r>
          <w:r>
            <w:fldChar w:fldCharType="begin"/>
          </w:r>
          <w:r>
            <w:instrText xml:space="preserve"> PAGEREF _Toc533862417 \h </w:instrText>
          </w:r>
          <w:r>
            <w:fldChar w:fldCharType="separate"/>
          </w:r>
          <w:r>
            <w:t>21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"_Toc533862418" </w:instrText>
          </w:r>
          <w:r>
            <w:fldChar w:fldCharType="separate"/>
          </w:r>
          <w:r>
            <w:rPr>
              <w:rStyle w:val="22"/>
              <w:rFonts w:hint="eastAsia"/>
            </w:rPr>
            <w:t>三、</w:t>
          </w:r>
          <w:r>
            <w:rPr>
              <w:rFonts w:asciiTheme="minorHAnsi" w:hAnsiTheme="minorHAnsi"/>
              <w:iCs w:val="0"/>
              <w:color w:val="auto"/>
              <w:kern w:val="2"/>
              <w:sz w:val="21"/>
            </w:rPr>
            <w:tab/>
          </w:r>
          <w:r>
            <w:rPr>
              <w:rStyle w:val="22"/>
              <w:rFonts w:hint="eastAsia"/>
            </w:rPr>
            <w:t>采购项目内容及要求</w:t>
          </w:r>
          <w:r>
            <w:tab/>
          </w:r>
          <w:r>
            <w:fldChar w:fldCharType="begin"/>
          </w:r>
          <w:r>
            <w:instrText xml:space="preserve"> PAGEREF _Toc533862418 \h </w:instrText>
          </w:r>
          <w:r>
            <w:fldChar w:fldCharType="separate"/>
          </w:r>
          <w:r>
            <w:t>21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"_Toc533862419" </w:instrText>
          </w:r>
          <w:r>
            <w:fldChar w:fldCharType="separate"/>
          </w:r>
          <w:r>
            <w:rPr>
              <w:rStyle w:val="22"/>
              <w:rFonts w:hint="eastAsia" w:cs="Times New Roman" w:asciiTheme="majorEastAsia" w:hAnsiTheme="majorEastAsia"/>
              <w:lang w:val="zh-CN"/>
            </w:rPr>
            <w:t>四、</w:t>
          </w:r>
          <w:r>
            <w:rPr>
              <w:rFonts w:asciiTheme="minorHAnsi" w:hAnsiTheme="minorHAnsi"/>
              <w:iCs w:val="0"/>
              <w:color w:val="auto"/>
              <w:kern w:val="2"/>
              <w:sz w:val="21"/>
            </w:rPr>
            <w:tab/>
          </w:r>
          <w:r>
            <w:rPr>
              <w:rStyle w:val="22"/>
              <w:rFonts w:hint="eastAsia" w:cs="Times New Roman" w:asciiTheme="majorEastAsia" w:hAnsiTheme="majorEastAsia"/>
              <w:lang w:val="zh-CN"/>
            </w:rPr>
            <w:t>商务要求</w:t>
          </w:r>
          <w:r>
            <w:tab/>
          </w:r>
          <w:r>
            <w:fldChar w:fldCharType="begin"/>
          </w:r>
          <w:r>
            <w:instrText xml:space="preserve"> PAGEREF _Toc533862419 \h </w:instrText>
          </w:r>
          <w:r>
            <w:fldChar w:fldCharType="separate"/>
          </w:r>
          <w:r>
            <w:t>23</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"_Toc533862420" </w:instrText>
          </w:r>
          <w:r>
            <w:fldChar w:fldCharType="separate"/>
          </w:r>
          <w:r>
            <w:rPr>
              <w:rStyle w:val="22"/>
              <w:rFonts w:hint="eastAsia" w:ascii="黑体" w:hAnsi="黑体"/>
            </w:rPr>
            <w:t>第四章</w:t>
          </w:r>
          <w:r>
            <w:rPr>
              <w:rFonts w:eastAsiaTheme="minorEastAsia"/>
              <w:b w:val="0"/>
              <w:iCs w:val="0"/>
              <w:color w:val="auto"/>
              <w:kern w:val="2"/>
              <w:sz w:val="21"/>
            </w:rPr>
            <w:tab/>
          </w:r>
          <w:r>
            <w:rPr>
              <w:rStyle w:val="22"/>
              <w:rFonts w:hint="eastAsia" w:ascii="黑体" w:hAnsi="黑体"/>
            </w:rPr>
            <w:t>资格审查方法及标准</w:t>
          </w:r>
          <w:r>
            <w:tab/>
          </w:r>
          <w:r>
            <w:fldChar w:fldCharType="begin"/>
          </w:r>
          <w:r>
            <w:instrText xml:space="preserve"> PAGEREF _Toc533862420 \h </w:instrText>
          </w:r>
          <w:r>
            <w:fldChar w:fldCharType="separate"/>
          </w:r>
          <w:r>
            <w:t>24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"_Toc533862421"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资格审查方法</w:t>
          </w:r>
          <w:r>
            <w:tab/>
          </w:r>
          <w:r>
            <w:fldChar w:fldCharType="begin"/>
          </w:r>
          <w:r>
            <w:instrText xml:space="preserve"> PAGEREF _Toc533862421 \h </w:instrText>
          </w:r>
          <w:r>
            <w:fldChar w:fldCharType="separate"/>
          </w:r>
          <w:r>
            <w:t>24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"_Toc533862422"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资格审查标准</w:t>
          </w:r>
          <w:r>
            <w:tab/>
          </w:r>
          <w:r>
            <w:fldChar w:fldCharType="begin"/>
          </w:r>
          <w:r>
            <w:instrText xml:space="preserve"> PAGEREF _Toc533862422 \h </w:instrText>
          </w:r>
          <w:r>
            <w:fldChar w:fldCharType="separate"/>
          </w:r>
          <w:r>
            <w:t>24</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"_Toc533862423" </w:instrText>
          </w:r>
          <w:r>
            <w:fldChar w:fldCharType="separate"/>
          </w:r>
          <w:r>
            <w:rPr>
              <w:rStyle w:val="22"/>
              <w:rFonts w:hint="eastAsia" w:ascii="黑体" w:hAnsi="黑体"/>
            </w:rPr>
            <w:t>第五章</w:t>
          </w:r>
          <w:r>
            <w:rPr>
              <w:rFonts w:eastAsiaTheme="minorEastAsia"/>
              <w:b w:val="0"/>
              <w:iCs w:val="0"/>
              <w:color w:val="auto"/>
              <w:kern w:val="2"/>
              <w:sz w:val="21"/>
            </w:rPr>
            <w:tab/>
          </w:r>
          <w:r>
            <w:rPr>
              <w:rStyle w:val="22"/>
              <w:rFonts w:hint="eastAsia" w:ascii="黑体" w:hAnsi="黑体"/>
            </w:rPr>
            <w:t>评标方法、程序及标准</w:t>
          </w:r>
          <w:r>
            <w:tab/>
          </w:r>
          <w:r>
            <w:fldChar w:fldCharType="begin"/>
          </w:r>
          <w:r>
            <w:instrText xml:space="preserve"> PAGEREF _Toc533862423 \h </w:instrText>
          </w:r>
          <w:r>
            <w:fldChar w:fldCharType="separate"/>
          </w:r>
          <w:r>
            <w:t>26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"_Toc533862424" </w:instrText>
          </w:r>
          <w:r>
            <w:fldChar w:fldCharType="separate"/>
          </w:r>
          <w:r>
            <w:rPr>
              <w:rStyle w:val="22"/>
              <w:rFonts w:hint="eastAsia" w:cs="Times New Roman" w:asciiTheme="majorEastAsia" w:hAnsiTheme="majorEastAsia"/>
              <w:lang w:val="zh-CN"/>
            </w:rPr>
            <w:t>一、</w:t>
          </w:r>
          <w:r>
            <w:rPr>
              <w:rFonts w:asciiTheme="minorHAnsi" w:hAnsiTheme="minorHAnsi"/>
              <w:iCs w:val="0"/>
              <w:color w:val="auto"/>
              <w:kern w:val="2"/>
              <w:sz w:val="21"/>
            </w:rPr>
            <w:tab/>
          </w:r>
          <w:r>
            <w:rPr>
              <w:rStyle w:val="22"/>
              <w:rFonts w:hint="eastAsia" w:cs="Times New Roman" w:asciiTheme="majorEastAsia" w:hAnsiTheme="majorEastAsia"/>
              <w:lang w:val="zh-CN"/>
            </w:rPr>
            <w:t>评标方法</w:t>
          </w:r>
          <w:r>
            <w:tab/>
          </w:r>
          <w:r>
            <w:fldChar w:fldCharType="begin"/>
          </w:r>
          <w:r>
            <w:instrText xml:space="preserve"> PAGEREF _Toc533862424 \h </w:instrText>
          </w:r>
          <w:r>
            <w:fldChar w:fldCharType="separate"/>
          </w:r>
          <w:r>
            <w:t>26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"_Toc533862425" </w:instrText>
          </w:r>
          <w:r>
            <w:fldChar w:fldCharType="separate"/>
          </w:r>
          <w:r>
            <w:rPr>
              <w:rStyle w:val="22"/>
              <w:rFonts w:hint="eastAsia" w:cs="Times New Roman" w:asciiTheme="majorEastAsia" w:hAnsiTheme="majorEastAsia"/>
              <w:lang w:val="zh-CN"/>
            </w:rPr>
            <w:t>二、</w:t>
          </w:r>
          <w:r>
            <w:rPr>
              <w:rFonts w:asciiTheme="minorHAnsi" w:hAnsiTheme="minorHAnsi"/>
              <w:iCs w:val="0"/>
              <w:color w:val="auto"/>
              <w:kern w:val="2"/>
              <w:sz w:val="21"/>
            </w:rPr>
            <w:tab/>
          </w:r>
          <w:r>
            <w:rPr>
              <w:rStyle w:val="22"/>
              <w:rFonts w:hint="eastAsia" w:cs="Times New Roman" w:asciiTheme="majorEastAsia" w:hAnsiTheme="majorEastAsia"/>
              <w:lang w:val="zh-CN"/>
            </w:rPr>
            <w:t>评标程序及标准</w:t>
          </w:r>
          <w:r>
            <w:tab/>
          </w:r>
          <w:r>
            <w:fldChar w:fldCharType="begin"/>
          </w:r>
          <w:r>
            <w:instrText xml:space="preserve"> PAGEREF _Toc533862425 \h </w:instrText>
          </w:r>
          <w:r>
            <w:fldChar w:fldCharType="separate"/>
          </w:r>
          <w:r>
            <w:t>26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"_Toc533862426" </w:instrText>
          </w:r>
          <w:r>
            <w:fldChar w:fldCharType="separate"/>
          </w:r>
          <w:r>
            <w:rPr>
              <w:rStyle w:val="22"/>
              <w:rFonts w:hint="eastAsia" w:cs="Times New Roman" w:asciiTheme="majorEastAsia" w:hAnsiTheme="majorEastAsia"/>
              <w:lang w:val="zh-CN"/>
            </w:rPr>
            <w:t>三、</w:t>
          </w:r>
          <w:r>
            <w:rPr>
              <w:rFonts w:asciiTheme="minorHAnsi" w:hAnsiTheme="minorHAnsi"/>
              <w:iCs w:val="0"/>
              <w:color w:val="auto"/>
              <w:kern w:val="2"/>
              <w:sz w:val="21"/>
            </w:rPr>
            <w:tab/>
          </w:r>
          <w:r>
            <w:rPr>
              <w:rStyle w:val="22"/>
              <w:rFonts w:hint="eastAsia" w:cs="Times New Roman" w:asciiTheme="majorEastAsia" w:hAnsiTheme="majorEastAsia"/>
              <w:lang w:val="zh-CN"/>
            </w:rPr>
            <w:t>评审因素及评分标准</w:t>
          </w:r>
          <w:r>
            <w:tab/>
          </w:r>
          <w:r>
            <w:fldChar w:fldCharType="begin"/>
          </w:r>
          <w:r>
            <w:instrText xml:space="preserve"> PAGEREF _Toc533862426 \h </w:instrText>
          </w:r>
          <w:r>
            <w:fldChar w:fldCharType="separate"/>
          </w:r>
          <w:r>
            <w:t>30</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"_Toc533862427" </w:instrText>
          </w:r>
          <w:r>
            <w:fldChar w:fldCharType="separate"/>
          </w:r>
          <w:r>
            <w:rPr>
              <w:rStyle w:val="22"/>
              <w:rFonts w:hint="eastAsia" w:ascii="黑体" w:hAnsi="黑体"/>
            </w:rPr>
            <w:t>第六章</w:t>
          </w:r>
          <w:r>
            <w:rPr>
              <w:rFonts w:eastAsiaTheme="minorEastAsia"/>
              <w:b w:val="0"/>
              <w:iCs w:val="0"/>
              <w:color w:val="auto"/>
              <w:kern w:val="2"/>
              <w:sz w:val="21"/>
            </w:rPr>
            <w:tab/>
          </w:r>
          <w:r>
            <w:rPr>
              <w:rStyle w:val="22"/>
              <w:rFonts w:hint="eastAsia" w:ascii="黑体" w:hAnsi="黑体"/>
            </w:rPr>
            <w:t>合同书格式（参考）</w:t>
          </w:r>
          <w:r>
            <w:tab/>
          </w:r>
          <w:r>
            <w:fldChar w:fldCharType="begin"/>
          </w:r>
          <w:r>
            <w:instrText xml:space="preserve"> PAGEREF _Toc533862427 \h </w:instrText>
          </w:r>
          <w:r>
            <w:fldChar w:fldCharType="separate"/>
          </w:r>
          <w:r>
            <w:t>33</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"_Toc533862428" </w:instrText>
          </w:r>
          <w:r>
            <w:fldChar w:fldCharType="separate"/>
          </w:r>
          <w:r>
            <w:rPr>
              <w:rStyle w:val="22"/>
              <w:rFonts w:hint="eastAsia" w:ascii="黑体" w:hAnsi="黑体"/>
            </w:rPr>
            <w:t>第七章</w:t>
          </w:r>
          <w:r>
            <w:rPr>
              <w:rFonts w:eastAsiaTheme="minorEastAsia"/>
              <w:b w:val="0"/>
              <w:iCs w:val="0"/>
              <w:color w:val="auto"/>
              <w:kern w:val="2"/>
              <w:sz w:val="21"/>
            </w:rPr>
            <w:tab/>
          </w:r>
          <w:r>
            <w:rPr>
              <w:rStyle w:val="22"/>
              <w:rFonts w:hint="eastAsia" w:ascii="黑体" w:hAnsi="黑体"/>
            </w:rPr>
            <w:t>投标文件格式（参考）</w:t>
          </w:r>
          <w:r>
            <w:tab/>
          </w:r>
          <w:r>
            <w:fldChar w:fldCharType="begin"/>
          </w:r>
          <w:r>
            <w:instrText xml:space="preserve"> PAGEREF _Toc533862428 \h </w:instrText>
          </w:r>
          <w:r>
            <w:fldChar w:fldCharType="separate"/>
          </w:r>
          <w:r>
            <w:t>44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"_Toc533862429" </w:instrText>
          </w:r>
          <w:r>
            <w:fldChar w:fldCharType="separate"/>
          </w:r>
          <w:r>
            <w:rPr>
              <w:rStyle w:val="22"/>
              <w:rFonts w:hint="eastAsia" w:cs="Times New Roman" w:asciiTheme="majorEastAsia" w:hAnsiTheme="majorEastAsia"/>
              <w:lang w:val="zh-CN"/>
            </w:rPr>
            <w:t>第一部分</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资格证明文件</w:t>
          </w:r>
          <w:r>
            <w:tab/>
          </w:r>
          <w:r>
            <w:fldChar w:fldCharType="begin"/>
          </w:r>
          <w:r>
            <w:instrText xml:space="preserve"> PAGEREF _Toc533862429 \h </w:instrText>
          </w:r>
          <w:r>
            <w:fldChar w:fldCharType="separate"/>
          </w:r>
          <w:r>
            <w:t>44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"_Toc533862430" </w:instrText>
          </w:r>
          <w:r>
            <w:fldChar w:fldCharType="separate"/>
          </w:r>
          <w:r>
            <w:rPr>
              <w:rStyle w:val="22"/>
              <w:rFonts w:hint="eastAsia" w:cs="Times New Roman" w:asciiTheme="majorEastAsia" w:hAnsiTheme="majorEastAsia"/>
              <w:lang w:val="zh-CN"/>
            </w:rPr>
            <w:t>第二部分</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商务文件</w:t>
          </w:r>
          <w:r>
            <w:tab/>
          </w:r>
          <w:r>
            <w:fldChar w:fldCharType="begin"/>
          </w:r>
          <w:r>
            <w:instrText xml:space="preserve"> PAGEREF _Toc533862430 \h </w:instrText>
          </w:r>
          <w:r>
            <w:fldChar w:fldCharType="separate"/>
          </w:r>
          <w:r>
            <w:t>46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"_Toc533862431" </w:instrText>
          </w:r>
          <w:r>
            <w:fldChar w:fldCharType="separate"/>
          </w:r>
          <w:r>
            <w:rPr>
              <w:rStyle w:val="22"/>
              <w:rFonts w:hint="eastAsia" w:cs="Times New Roman" w:asciiTheme="majorEastAsia" w:hAnsiTheme="majorEastAsia"/>
              <w:lang w:val="zh-CN"/>
            </w:rPr>
            <w:t>第三部分</w:t>
          </w:r>
          <w:r>
            <w:rPr>
              <w:rStyle w:val="22"/>
              <w:rFonts w:cs="Times New Roman" w:asciiTheme="majorEastAsia" w:hAnsiTheme="majorEastAsia"/>
              <w:lang w:val="zh-CN"/>
            </w:rPr>
            <w:t xml:space="preserve"> </w:t>
          </w:r>
          <w:r>
            <w:rPr>
              <w:rStyle w:val="22"/>
              <w:rFonts w:hint="eastAsia" w:cs="Times New Roman" w:asciiTheme="majorEastAsia" w:hAnsiTheme="majorEastAsia"/>
              <w:lang w:val="zh-CN"/>
            </w:rPr>
            <w:t>技术、服务文件</w:t>
          </w:r>
          <w:r>
            <w:tab/>
          </w:r>
          <w:r>
            <w:fldChar w:fldCharType="begin"/>
          </w:r>
          <w:r>
            <w:instrText xml:space="preserve"> PAGEREF _Toc533862431 \h </w:instrText>
          </w:r>
          <w:r>
            <w:fldChar w:fldCharType="separate"/>
          </w:r>
          <w:r>
            <w:t>48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"_Toc533862432" </w:instrText>
          </w:r>
          <w:r>
            <w:fldChar w:fldCharType="separate"/>
          </w:r>
          <w:r>
            <w:rPr>
              <w:rStyle w:val="22"/>
              <w:rFonts w:hint="eastAsia" w:eastAsia="宋体"/>
            </w:rPr>
            <w:t>附件一、</w:t>
          </w:r>
          <w:r>
            <w:rPr>
              <w:rFonts w:asciiTheme="minorHAnsi" w:hAnsiTheme="minorHAnsi"/>
              <w:iCs w:val="0"/>
              <w:color w:val="auto"/>
              <w:kern w:val="2"/>
              <w:sz w:val="21"/>
            </w:rPr>
            <w:tab/>
          </w:r>
          <w:r>
            <w:rPr>
              <w:rStyle w:val="22"/>
              <w:rFonts w:hint="eastAsia" w:eastAsia="宋体"/>
            </w:rPr>
            <w:t>投标书</w:t>
          </w:r>
          <w:r>
            <w:tab/>
          </w:r>
          <w:r>
            <w:fldChar w:fldCharType="begin"/>
          </w:r>
          <w:r>
            <w:instrText xml:space="preserve"> PAGEREF _Toc533862432 \h </w:instrText>
          </w:r>
          <w:r>
            <w:fldChar w:fldCharType="separate"/>
          </w:r>
          <w:r>
            <w:t>50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"_Toc533862433" </w:instrText>
          </w:r>
          <w:r>
            <w:fldChar w:fldCharType="separate"/>
          </w:r>
          <w:r>
            <w:rPr>
              <w:rStyle w:val="22"/>
              <w:rFonts w:hint="eastAsia" w:eastAsia="宋体"/>
            </w:rPr>
            <w:t>附件二、</w:t>
          </w:r>
          <w:r>
            <w:rPr>
              <w:rFonts w:asciiTheme="minorHAnsi" w:hAnsiTheme="minorHAnsi"/>
              <w:iCs w:val="0"/>
              <w:color w:val="auto"/>
              <w:kern w:val="2"/>
              <w:sz w:val="21"/>
            </w:rPr>
            <w:tab/>
          </w:r>
          <w:r>
            <w:rPr>
              <w:rStyle w:val="22"/>
              <w:rFonts w:hint="eastAsia" w:eastAsia="宋体"/>
            </w:rPr>
            <w:t>制造商中小企业声明函</w:t>
          </w:r>
          <w:r>
            <w:tab/>
          </w:r>
          <w:r>
            <w:fldChar w:fldCharType="begin"/>
          </w:r>
          <w:r>
            <w:instrText xml:space="preserve"> PAGEREF _Toc533862433 \h </w:instrText>
          </w:r>
          <w:r>
            <w:fldChar w:fldCharType="separate"/>
          </w:r>
          <w:r>
            <w:t>51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"_Toc533862434" </w:instrText>
          </w:r>
          <w:r>
            <w:fldChar w:fldCharType="separate"/>
          </w:r>
          <w:r>
            <w:rPr>
              <w:rStyle w:val="22"/>
              <w:rFonts w:hint="eastAsia" w:eastAsia="宋体"/>
            </w:rPr>
            <w:t>附件三、</w:t>
          </w:r>
          <w:r>
            <w:rPr>
              <w:rFonts w:asciiTheme="minorHAnsi" w:hAnsiTheme="minorHAnsi"/>
              <w:iCs w:val="0"/>
              <w:color w:val="auto"/>
              <w:kern w:val="2"/>
              <w:sz w:val="21"/>
            </w:rPr>
            <w:tab/>
          </w:r>
          <w:r>
            <w:rPr>
              <w:rStyle w:val="22"/>
              <w:rFonts w:hint="eastAsia" w:eastAsia="宋体"/>
            </w:rPr>
            <w:t>中小企业声明函</w:t>
          </w:r>
          <w:r>
            <w:tab/>
          </w:r>
          <w:r>
            <w:fldChar w:fldCharType="begin"/>
          </w:r>
          <w:r>
            <w:instrText xml:space="preserve"> PAGEREF _Toc533862434 \h </w:instrText>
          </w:r>
          <w:r>
            <w:fldChar w:fldCharType="separate"/>
          </w:r>
          <w:r>
            <w:t>52</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"_Toc533862435" </w:instrText>
          </w:r>
          <w:r>
            <w:fldChar w:fldCharType="separate"/>
          </w:r>
          <w:r>
            <w:rPr>
              <w:rStyle w:val="22"/>
              <w:rFonts w:hint="eastAsia" w:eastAsia="宋体"/>
            </w:rPr>
            <w:t>附件四、</w:t>
          </w:r>
          <w:r>
            <w:rPr>
              <w:rFonts w:asciiTheme="minorHAnsi" w:hAnsiTheme="minorHAnsi"/>
              <w:iCs w:val="0"/>
              <w:color w:val="auto"/>
              <w:kern w:val="2"/>
              <w:sz w:val="21"/>
            </w:rPr>
            <w:tab/>
          </w:r>
          <w:r>
            <w:rPr>
              <w:rStyle w:val="22"/>
              <w:rFonts w:hint="eastAsia" w:eastAsia="宋体"/>
            </w:rPr>
            <w:t>残疾人福利性单位声明函</w:t>
          </w:r>
          <w:r>
            <w:tab/>
          </w:r>
          <w:r>
            <w:fldChar w:fldCharType="begin"/>
          </w:r>
          <w:r>
            <w:instrText xml:space="preserve"> PAGEREF _Toc533862435 \h </w:instrText>
          </w:r>
          <w:r>
            <w:fldChar w:fldCharType="separate"/>
          </w:r>
          <w:r>
            <w:t>54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"_Toc533862436" </w:instrText>
          </w:r>
          <w:r>
            <w:fldChar w:fldCharType="separate"/>
          </w:r>
          <w:r>
            <w:rPr>
              <w:rStyle w:val="22"/>
              <w:rFonts w:hint="eastAsia" w:eastAsia="宋体"/>
            </w:rPr>
            <w:t>附件五、</w:t>
          </w:r>
          <w:r>
            <w:rPr>
              <w:rFonts w:asciiTheme="minorHAnsi" w:hAnsiTheme="minorHAnsi"/>
              <w:iCs w:val="0"/>
              <w:color w:val="auto"/>
              <w:kern w:val="2"/>
              <w:sz w:val="21"/>
            </w:rPr>
            <w:tab/>
          </w:r>
          <w:r>
            <w:rPr>
              <w:rStyle w:val="22"/>
              <w:rFonts w:hint="eastAsia" w:eastAsia="宋体"/>
            </w:rPr>
            <w:t>开标一览表</w:t>
          </w:r>
          <w:r>
            <w:tab/>
          </w:r>
          <w:r>
            <w:fldChar w:fldCharType="begin"/>
          </w:r>
          <w:r>
            <w:instrText xml:space="preserve"> PAGEREF _Toc533862436 \h </w:instrText>
          </w:r>
          <w:r>
            <w:fldChar w:fldCharType="separate"/>
          </w:r>
          <w:r>
            <w:t>57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"_Toc533862437" </w:instrText>
          </w:r>
          <w:r>
            <w:fldChar w:fldCharType="separate"/>
          </w:r>
          <w:r>
            <w:rPr>
              <w:rStyle w:val="22"/>
              <w:rFonts w:hint="eastAsia" w:eastAsia="宋体"/>
            </w:rPr>
            <w:t>附件六、</w:t>
          </w:r>
          <w:r>
            <w:rPr>
              <w:rFonts w:asciiTheme="minorHAnsi" w:hAnsiTheme="minorHAnsi"/>
              <w:iCs w:val="0"/>
              <w:color w:val="auto"/>
              <w:kern w:val="2"/>
              <w:sz w:val="21"/>
            </w:rPr>
            <w:tab/>
          </w:r>
          <w:r>
            <w:rPr>
              <w:rStyle w:val="22"/>
              <w:rFonts w:hint="eastAsia" w:eastAsia="宋体"/>
            </w:rPr>
            <w:t>投标报价明细表</w:t>
          </w:r>
          <w:r>
            <w:tab/>
          </w:r>
          <w:r>
            <w:fldChar w:fldCharType="begin"/>
          </w:r>
          <w:r>
            <w:instrText xml:space="preserve"> PAGEREF _Toc533862437 \h </w:instrText>
          </w:r>
          <w:r>
            <w:fldChar w:fldCharType="separate"/>
          </w:r>
          <w:r>
            <w:t>58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"_Toc533862438" </w:instrText>
          </w:r>
          <w:r>
            <w:fldChar w:fldCharType="separate"/>
          </w:r>
          <w:r>
            <w:rPr>
              <w:rStyle w:val="22"/>
              <w:rFonts w:hint="eastAsia" w:eastAsia="宋体"/>
            </w:rPr>
            <w:t>附件七、</w:t>
          </w:r>
          <w:r>
            <w:rPr>
              <w:rFonts w:asciiTheme="minorHAnsi" w:hAnsiTheme="minorHAnsi"/>
              <w:iCs w:val="0"/>
              <w:color w:val="auto"/>
              <w:kern w:val="2"/>
              <w:sz w:val="21"/>
            </w:rPr>
            <w:tab/>
          </w:r>
          <w:r>
            <w:rPr>
              <w:rStyle w:val="22"/>
              <w:rFonts w:hint="eastAsia" w:eastAsia="宋体"/>
            </w:rPr>
            <w:t>小型和微型企业、监狱企业、残疾人福利性单位货物汇总表</w:t>
          </w:r>
          <w:r>
            <w:tab/>
          </w:r>
          <w:r>
            <w:fldChar w:fldCharType="begin"/>
          </w:r>
          <w:r>
            <w:instrText xml:space="preserve"> PAGEREF _Toc533862438 \h </w:instrText>
          </w:r>
          <w:r>
            <w:fldChar w:fldCharType="separate"/>
          </w:r>
          <w:r>
            <w:t>59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"_Toc533862439" </w:instrText>
          </w:r>
          <w:r>
            <w:fldChar w:fldCharType="separate"/>
          </w:r>
          <w:r>
            <w:rPr>
              <w:rStyle w:val="22"/>
              <w:rFonts w:hint="eastAsia" w:eastAsia="宋体"/>
            </w:rPr>
            <w:t>附件八、</w:t>
          </w:r>
          <w:r>
            <w:rPr>
              <w:rFonts w:asciiTheme="minorHAnsi" w:hAnsiTheme="minorHAnsi"/>
              <w:iCs w:val="0"/>
              <w:color w:val="auto"/>
              <w:kern w:val="2"/>
              <w:sz w:val="21"/>
            </w:rPr>
            <w:tab/>
          </w:r>
          <w:r>
            <w:rPr>
              <w:rStyle w:val="22"/>
              <w:rFonts w:hint="eastAsia" w:eastAsia="宋体"/>
            </w:rPr>
            <w:t>投标货物（工程或服务）清单</w:t>
          </w:r>
          <w:r>
            <w:tab/>
          </w:r>
          <w:r>
            <w:fldChar w:fldCharType="begin"/>
          </w:r>
          <w:r>
            <w:instrText xml:space="preserve"> PAGEREF _Toc533862439 \h </w:instrText>
          </w:r>
          <w:r>
            <w:fldChar w:fldCharType="separate"/>
          </w:r>
          <w:r>
            <w:t>60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"_Toc533862440" </w:instrText>
          </w:r>
          <w:r>
            <w:fldChar w:fldCharType="separate"/>
          </w:r>
          <w:r>
            <w:rPr>
              <w:rStyle w:val="22"/>
              <w:rFonts w:hint="eastAsia" w:eastAsia="宋体"/>
            </w:rPr>
            <w:t>附件九、</w:t>
          </w:r>
          <w:r>
            <w:rPr>
              <w:rFonts w:asciiTheme="minorHAnsi" w:hAnsiTheme="minorHAnsi"/>
              <w:iCs w:val="0"/>
              <w:color w:val="auto"/>
              <w:kern w:val="2"/>
              <w:sz w:val="21"/>
            </w:rPr>
            <w:tab/>
          </w:r>
          <w:r>
            <w:rPr>
              <w:rStyle w:val="22"/>
              <w:rFonts w:hint="eastAsia" w:eastAsia="宋体"/>
            </w:rPr>
            <w:t>交纳投标保证金的银行凭证（本项目不需提供）</w:t>
          </w:r>
          <w:r>
            <w:tab/>
          </w:r>
          <w:r>
            <w:fldChar w:fldCharType="begin"/>
          </w:r>
          <w:r>
            <w:instrText xml:space="preserve"> PAGEREF _Toc533862440 \h </w:instrText>
          </w:r>
          <w:r>
            <w:fldChar w:fldCharType="separate"/>
          </w:r>
          <w:r>
            <w:t>61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"_Toc533862441" </w:instrText>
          </w:r>
          <w:r>
            <w:fldChar w:fldCharType="separate"/>
          </w:r>
          <w:r>
            <w:rPr>
              <w:rStyle w:val="22"/>
              <w:rFonts w:hint="eastAsia" w:eastAsia="宋体"/>
            </w:rPr>
            <w:t>附件十、</w:t>
          </w:r>
          <w:r>
            <w:rPr>
              <w:rFonts w:asciiTheme="minorHAnsi" w:hAnsiTheme="minorHAnsi"/>
              <w:iCs w:val="0"/>
              <w:color w:val="auto"/>
              <w:kern w:val="2"/>
              <w:sz w:val="21"/>
            </w:rPr>
            <w:tab/>
          </w:r>
          <w:r>
            <w:rPr>
              <w:rStyle w:val="22"/>
              <w:rFonts w:hint="eastAsia" w:eastAsia="宋体"/>
            </w:rPr>
            <w:t>法定代表人授权书</w:t>
          </w:r>
          <w:r>
            <w:tab/>
          </w:r>
          <w:r>
            <w:fldChar w:fldCharType="begin"/>
          </w:r>
          <w:r>
            <w:instrText xml:space="preserve"> PAGEREF _Toc533862441 \h </w:instrText>
          </w:r>
          <w:r>
            <w:fldChar w:fldCharType="separate"/>
          </w:r>
          <w:r>
            <w:t>62</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"_Toc533862442" </w:instrText>
          </w:r>
          <w:r>
            <w:fldChar w:fldCharType="separate"/>
          </w:r>
          <w:r>
            <w:rPr>
              <w:rStyle w:val="22"/>
              <w:rFonts w:hint="eastAsia" w:eastAsia="宋体"/>
            </w:rPr>
            <w:t>附件十一、</w:t>
          </w:r>
          <w:r>
            <w:rPr>
              <w:rFonts w:asciiTheme="minorHAnsi" w:hAnsiTheme="minorHAnsi"/>
              <w:iCs w:val="0"/>
              <w:color w:val="auto"/>
              <w:kern w:val="2"/>
              <w:sz w:val="21"/>
            </w:rPr>
            <w:tab/>
          </w:r>
          <w:r>
            <w:rPr>
              <w:rStyle w:val="22"/>
              <w:rFonts w:hint="eastAsia" w:eastAsia="宋体"/>
            </w:rPr>
            <w:t>投标人的资格声明</w:t>
          </w:r>
          <w:r>
            <w:tab/>
          </w:r>
          <w:r>
            <w:fldChar w:fldCharType="begin"/>
          </w:r>
          <w:r>
            <w:instrText xml:space="preserve"> PAGEREF _Toc533862442 \h </w:instrText>
          </w:r>
          <w:r>
            <w:fldChar w:fldCharType="separate"/>
          </w:r>
          <w:r>
            <w:t>63</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"_Toc533862443" </w:instrText>
          </w:r>
          <w:r>
            <w:fldChar w:fldCharType="separate"/>
          </w:r>
          <w:r>
            <w:rPr>
              <w:rStyle w:val="22"/>
              <w:rFonts w:hint="eastAsia" w:eastAsia="宋体"/>
            </w:rPr>
            <w:t>附件十二、</w:t>
          </w:r>
          <w:r>
            <w:rPr>
              <w:rFonts w:asciiTheme="minorHAnsi" w:hAnsiTheme="minorHAnsi"/>
              <w:iCs w:val="0"/>
              <w:color w:val="auto"/>
              <w:kern w:val="2"/>
              <w:sz w:val="21"/>
            </w:rPr>
            <w:tab/>
          </w:r>
          <w:r>
            <w:rPr>
              <w:rStyle w:val="22"/>
              <w:rFonts w:hint="eastAsia" w:eastAsia="宋体"/>
            </w:rPr>
            <w:t>项目负责人、技术负责人简历表</w:t>
          </w:r>
          <w:r>
            <w:tab/>
          </w:r>
          <w:r>
            <w:fldChar w:fldCharType="begin"/>
          </w:r>
          <w:r>
            <w:instrText xml:space="preserve"> PAGEREF _Toc533862443 \h </w:instrText>
          </w:r>
          <w:r>
            <w:fldChar w:fldCharType="separate"/>
          </w:r>
          <w:r>
            <w:t>64</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"_Toc533862444" </w:instrText>
          </w:r>
          <w:r>
            <w:fldChar w:fldCharType="separate"/>
          </w:r>
          <w:r>
            <w:rPr>
              <w:rStyle w:val="22"/>
              <w:rFonts w:hint="eastAsia" w:eastAsia="宋体"/>
            </w:rPr>
            <w:t>附件十三、</w:t>
          </w:r>
          <w:r>
            <w:rPr>
              <w:rFonts w:asciiTheme="minorHAnsi" w:hAnsiTheme="minorHAnsi"/>
              <w:iCs w:val="0"/>
              <w:color w:val="auto"/>
              <w:kern w:val="2"/>
              <w:sz w:val="21"/>
            </w:rPr>
            <w:tab/>
          </w:r>
          <w:r>
            <w:rPr>
              <w:rStyle w:val="22"/>
              <w:rFonts w:hint="eastAsia" w:eastAsia="宋体"/>
            </w:rPr>
            <w:t>项目班子成员情况表</w:t>
          </w:r>
          <w:r>
            <w:tab/>
          </w:r>
          <w:r>
            <w:fldChar w:fldCharType="begin"/>
          </w:r>
          <w:r>
            <w:instrText xml:space="preserve"> PAGEREF _Toc533862444 \h </w:instrText>
          </w:r>
          <w:r>
            <w:fldChar w:fldCharType="separate"/>
          </w:r>
          <w:r>
            <w:t>65</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"_Toc533862445" </w:instrText>
          </w:r>
          <w:r>
            <w:fldChar w:fldCharType="separate"/>
          </w:r>
          <w:r>
            <w:rPr>
              <w:rStyle w:val="22"/>
              <w:rFonts w:hint="eastAsia" w:eastAsia="宋体"/>
            </w:rPr>
            <w:t>附件十四、</w:t>
          </w:r>
          <w:r>
            <w:rPr>
              <w:rFonts w:asciiTheme="minorHAnsi" w:hAnsiTheme="minorHAnsi"/>
              <w:iCs w:val="0"/>
              <w:color w:val="auto"/>
              <w:kern w:val="2"/>
              <w:sz w:val="21"/>
            </w:rPr>
            <w:tab/>
          </w:r>
          <w:r>
            <w:rPr>
              <w:rStyle w:val="22"/>
              <w:rFonts w:hint="eastAsia" w:eastAsia="宋体"/>
            </w:rPr>
            <w:t>投标人类似项目业绩表</w:t>
          </w:r>
          <w:r>
            <w:tab/>
          </w:r>
          <w:r>
            <w:fldChar w:fldCharType="begin"/>
          </w:r>
          <w:r>
            <w:instrText xml:space="preserve"> PAGEREF _Toc533862445 \h </w:instrText>
          </w:r>
          <w:r>
            <w:fldChar w:fldCharType="separate"/>
          </w:r>
          <w:r>
            <w:t>66</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"_Toc533862446" </w:instrText>
          </w:r>
          <w:r>
            <w:fldChar w:fldCharType="separate"/>
          </w:r>
          <w:r>
            <w:rPr>
              <w:rStyle w:val="22"/>
              <w:rFonts w:hint="eastAsia" w:eastAsia="宋体"/>
            </w:rPr>
            <w:t>附件十五、</w:t>
          </w:r>
          <w:r>
            <w:rPr>
              <w:rFonts w:asciiTheme="minorHAnsi" w:hAnsiTheme="minorHAnsi"/>
              <w:iCs w:val="0"/>
              <w:color w:val="auto"/>
              <w:kern w:val="2"/>
              <w:sz w:val="21"/>
            </w:rPr>
            <w:tab/>
          </w:r>
          <w:r>
            <w:rPr>
              <w:rStyle w:val="22"/>
              <w:rFonts w:hint="eastAsia" w:eastAsia="宋体"/>
            </w:rPr>
            <w:t>符合性审查对照表</w:t>
          </w:r>
          <w:r>
            <w:tab/>
          </w:r>
          <w:r>
            <w:fldChar w:fldCharType="begin"/>
          </w:r>
          <w:r>
            <w:instrText xml:space="preserve"> PAGEREF _Toc533862446 \h </w:instrText>
          </w:r>
          <w:r>
            <w:fldChar w:fldCharType="separate"/>
          </w:r>
          <w:r>
            <w:t>67</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"_Toc533862447" </w:instrText>
          </w:r>
          <w:r>
            <w:fldChar w:fldCharType="separate"/>
          </w:r>
          <w:r>
            <w:rPr>
              <w:rStyle w:val="22"/>
              <w:rFonts w:hint="eastAsia" w:eastAsia="宋体"/>
            </w:rPr>
            <w:t>附件十六、</w:t>
          </w:r>
          <w:r>
            <w:rPr>
              <w:rFonts w:asciiTheme="minorHAnsi" w:hAnsiTheme="minorHAnsi"/>
              <w:iCs w:val="0"/>
              <w:color w:val="auto"/>
              <w:kern w:val="2"/>
              <w:sz w:val="21"/>
            </w:rPr>
            <w:tab/>
          </w:r>
          <w:r>
            <w:rPr>
              <w:rStyle w:val="22"/>
              <w:rFonts w:hint="eastAsia" w:eastAsia="宋体"/>
            </w:rPr>
            <w:t>商务要求响应、偏离说明表</w:t>
          </w:r>
          <w:r>
            <w:tab/>
          </w:r>
          <w:r>
            <w:fldChar w:fldCharType="begin"/>
          </w:r>
          <w:r>
            <w:instrText xml:space="preserve"> PAGEREF _Toc533862447 \h </w:instrText>
          </w:r>
          <w:r>
            <w:fldChar w:fldCharType="separate"/>
          </w:r>
          <w:r>
            <w:t>68</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"_Toc533862448" </w:instrText>
          </w:r>
          <w:r>
            <w:fldChar w:fldCharType="separate"/>
          </w:r>
          <w:r>
            <w:rPr>
              <w:rStyle w:val="22"/>
              <w:rFonts w:hint="eastAsia" w:eastAsia="宋体"/>
            </w:rPr>
            <w:t>附件十七、</w:t>
          </w:r>
          <w:r>
            <w:rPr>
              <w:rFonts w:asciiTheme="minorHAnsi" w:hAnsiTheme="minorHAnsi"/>
              <w:iCs w:val="0"/>
              <w:color w:val="auto"/>
              <w:kern w:val="2"/>
              <w:sz w:val="21"/>
            </w:rPr>
            <w:tab/>
          </w:r>
          <w:r>
            <w:rPr>
              <w:rStyle w:val="22"/>
              <w:rFonts w:hint="eastAsia" w:eastAsia="宋体"/>
            </w:rPr>
            <w:t>商务要求“★”号条款响应、偏离说明表</w:t>
          </w:r>
          <w:r>
            <w:tab/>
          </w:r>
          <w:r>
            <w:fldChar w:fldCharType="begin"/>
          </w:r>
          <w:r>
            <w:instrText xml:space="preserve"> PAGEREF _Toc533862448 \h </w:instrText>
          </w:r>
          <w:r>
            <w:fldChar w:fldCharType="separate"/>
          </w:r>
          <w:r>
            <w:t>69</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"_Toc533862449" </w:instrText>
          </w:r>
          <w:r>
            <w:fldChar w:fldCharType="separate"/>
          </w:r>
          <w:r>
            <w:rPr>
              <w:rStyle w:val="22"/>
              <w:rFonts w:hint="eastAsia" w:eastAsia="宋体"/>
            </w:rPr>
            <w:t>附件十八、</w:t>
          </w:r>
          <w:r>
            <w:rPr>
              <w:rFonts w:asciiTheme="minorHAnsi" w:hAnsiTheme="minorHAnsi"/>
              <w:iCs w:val="0"/>
              <w:color w:val="auto"/>
              <w:kern w:val="2"/>
              <w:sz w:val="21"/>
            </w:rPr>
            <w:tab/>
          </w:r>
          <w:r>
            <w:rPr>
              <w:rStyle w:val="22"/>
              <w:rFonts w:hint="eastAsia" w:eastAsia="宋体"/>
            </w:rPr>
            <w:t>商务评议对照表</w:t>
          </w:r>
          <w:r>
            <w:tab/>
          </w:r>
          <w:r>
            <w:fldChar w:fldCharType="begin"/>
          </w:r>
          <w:r>
            <w:instrText xml:space="preserve"> PAGEREF _Toc533862449 \h </w:instrText>
          </w:r>
          <w:r>
            <w:fldChar w:fldCharType="separate"/>
          </w:r>
          <w:r>
            <w:t>70</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"_Toc533862450" </w:instrText>
          </w:r>
          <w:r>
            <w:fldChar w:fldCharType="separate"/>
          </w:r>
          <w:r>
            <w:rPr>
              <w:rStyle w:val="22"/>
              <w:rFonts w:hint="eastAsia" w:eastAsia="宋体"/>
            </w:rPr>
            <w:t>附件十九、</w:t>
          </w:r>
          <w:r>
            <w:rPr>
              <w:rFonts w:asciiTheme="minorHAnsi" w:hAnsiTheme="minorHAnsi"/>
              <w:iCs w:val="0"/>
              <w:color w:val="auto"/>
              <w:kern w:val="2"/>
              <w:sz w:val="21"/>
            </w:rPr>
            <w:tab/>
          </w:r>
          <w:r>
            <w:rPr>
              <w:rStyle w:val="22"/>
              <w:rFonts w:hint="eastAsia" w:eastAsia="宋体"/>
            </w:rPr>
            <w:t>技术、服务要求响应、偏离说明表</w:t>
          </w:r>
          <w:r>
            <w:tab/>
          </w:r>
          <w:r>
            <w:fldChar w:fldCharType="begin"/>
          </w:r>
          <w:r>
            <w:instrText xml:space="preserve"> PAGEREF _Toc533862450 \h </w:instrText>
          </w:r>
          <w:r>
            <w:fldChar w:fldCharType="separate"/>
          </w:r>
          <w:r>
            <w:t>71</w:t>
          </w:r>
          <w:r>
            <w:fldChar w:fldCharType="end"/>
          </w:r>
          <w:r>
            <w:fldChar w:fldCharType="end"/>
          </w:r>
        </w:p>
        <w:p>
          <w:pPr>
            <w:pStyle w:val="16"/>
            <w:rPr>
              <w:rFonts w:asciiTheme="minorHAnsi" w:hAnsiTheme="minorHAnsi"/>
              <w:iCs w:val="0"/>
              <w:color w:val="auto"/>
              <w:kern w:val="2"/>
              <w:sz w:val="21"/>
            </w:rPr>
          </w:pPr>
          <w:r>
            <w:fldChar w:fldCharType="begin"/>
          </w:r>
          <w:r>
            <w:instrText xml:space="preserve"> HYPERLINK \l "_Toc533862451" </w:instrText>
          </w:r>
          <w:r>
            <w:fldChar w:fldCharType="separate"/>
          </w:r>
          <w:r>
            <w:rPr>
              <w:rStyle w:val="22"/>
              <w:rFonts w:hint="eastAsia" w:eastAsia="宋体"/>
            </w:rPr>
            <w:t>附件二十、</w:t>
          </w:r>
          <w:r>
            <w:rPr>
              <w:rFonts w:asciiTheme="minorHAnsi" w:hAnsiTheme="minorHAnsi"/>
              <w:iCs w:val="0"/>
              <w:color w:val="auto"/>
              <w:kern w:val="2"/>
              <w:sz w:val="21"/>
            </w:rPr>
            <w:tab/>
          </w:r>
          <w:r>
            <w:rPr>
              <w:rStyle w:val="22"/>
              <w:rFonts w:hint="eastAsia" w:eastAsia="宋体"/>
            </w:rPr>
            <w:t>技术、服务要求“★”号条款响应、偏离说明表</w:t>
          </w:r>
          <w:r>
            <w:tab/>
          </w:r>
          <w:r>
            <w:fldChar w:fldCharType="begin"/>
          </w:r>
          <w:r>
            <w:instrText xml:space="preserve"> PAGEREF _Toc533862451 \h </w:instrText>
          </w:r>
          <w:r>
            <w:fldChar w:fldCharType="separate"/>
          </w:r>
          <w:r>
            <w:t>72</w:t>
          </w:r>
          <w:r>
            <w:fldChar w:fldCharType="end"/>
          </w:r>
          <w:r>
            <w:fldChar w:fldCharType="end"/>
          </w:r>
        </w:p>
        <w:p>
          <w:pPr>
            <w:pStyle w:val="16"/>
            <w:tabs>
              <w:tab w:val="left" w:pos="1870"/>
            </w:tabs>
            <w:rPr>
              <w:rFonts w:asciiTheme="minorHAnsi" w:hAnsiTheme="minorHAnsi"/>
              <w:iCs w:val="0"/>
              <w:color w:val="auto"/>
              <w:kern w:val="2"/>
              <w:sz w:val="21"/>
            </w:rPr>
          </w:pPr>
          <w:r>
            <w:fldChar w:fldCharType="begin"/>
          </w:r>
          <w:r>
            <w:instrText xml:space="preserve"> HYPERLINK \l "_Toc533862452" </w:instrText>
          </w:r>
          <w:r>
            <w:fldChar w:fldCharType="separate"/>
          </w:r>
          <w:r>
            <w:rPr>
              <w:rStyle w:val="22"/>
              <w:rFonts w:hint="eastAsia" w:eastAsia="宋体"/>
            </w:rPr>
            <w:t>附件二十一、</w:t>
          </w:r>
          <w:r>
            <w:rPr>
              <w:rFonts w:asciiTheme="minorHAnsi" w:hAnsiTheme="minorHAnsi"/>
              <w:iCs w:val="0"/>
              <w:color w:val="auto"/>
              <w:kern w:val="2"/>
              <w:sz w:val="21"/>
            </w:rPr>
            <w:tab/>
          </w:r>
          <w:r>
            <w:rPr>
              <w:rStyle w:val="22"/>
              <w:rFonts w:hint="eastAsia" w:eastAsia="宋体"/>
            </w:rPr>
            <w:t>技术、服务评议对照表</w:t>
          </w:r>
          <w:r>
            <w:tab/>
          </w:r>
          <w:r>
            <w:fldChar w:fldCharType="begin"/>
          </w:r>
          <w:r>
            <w:instrText xml:space="preserve"> PAGEREF _Toc533862452 \h </w:instrText>
          </w:r>
          <w:r>
            <w:fldChar w:fldCharType="separate"/>
          </w:r>
          <w:r>
            <w:t>73</w:t>
          </w:r>
          <w:r>
            <w:fldChar w:fldCharType="end"/>
          </w:r>
          <w:r>
            <w:fldChar w:fldCharType="end"/>
          </w:r>
        </w:p>
        <w:p>
          <w:pPr>
            <w:pStyle w:val="14"/>
            <w:tabs>
              <w:tab w:val="left" w:pos="1260"/>
              <w:tab w:val="right" w:leader="dot" w:pos="9514"/>
            </w:tabs>
            <w:rPr>
              <w:color w:val="auto"/>
            </w:rPr>
          </w:pPr>
          <w:r>
            <w:rPr>
              <w:color w:val="auto"/>
            </w:rPr>
            <w:fldChar w:fldCharType="end"/>
          </w:r>
          <w:r>
            <w:rPr>
              <w:b w:val="0"/>
              <w:bCs/>
              <w:color w:val="auto"/>
              <w:lang w:val="zh-CN"/>
            </w:rPr>
            <w:tab/>
          </w:r>
        </w:p>
      </w:sdtContent>
    </w:sdt>
    <w:p>
      <w:r>
        <w:br w:type="page"/>
      </w:r>
    </w:p>
    <w:p>
      <w:pPr>
        <w:pStyle w:val="2"/>
        <w:numPr>
          <w:ilvl w:val="0"/>
          <w:numId w:val="1"/>
        </w:numPr>
        <w:spacing w:before="240" w:after="120"/>
        <w:ind w:left="883" w:hanging="880" w:hangingChars="200"/>
        <w:jc w:val="center"/>
        <w:rPr>
          <w:rFonts w:ascii="黑体" w:hAnsi="黑体" w:eastAsia="黑体"/>
        </w:rPr>
      </w:pPr>
      <w:bookmarkStart w:id="0" w:name="_Toc533862400"/>
      <w:r>
        <w:rPr>
          <w:rFonts w:hint="eastAsia" w:ascii="黑体" w:hAnsi="黑体" w:eastAsia="黑体"/>
        </w:rPr>
        <w:t>投标邀请书</w:t>
      </w:r>
      <w:bookmarkEnd w:id="0"/>
    </w:p>
    <w:p>
      <w:pPr>
        <w:spacing w:line="48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依据阳财采计备[2018]A242号的要求，武汉富纳工程咨询有限公司受黄石市网湖湿地自然保护区管理局的委托，就湖北网湖自然保护区水生态环境保护规划项目进行公开招标采购，欢迎符合条件的供应商投标。</w:t>
      </w:r>
    </w:p>
    <w:p>
      <w:pPr>
        <w:spacing w:line="480" w:lineRule="auto"/>
        <w:ind w:firstLine="480" w:firstLineChars="200"/>
        <w:rPr>
          <w:bCs/>
          <w:sz w:val="32"/>
          <w:szCs w:val="32"/>
          <w:u w:val="single"/>
        </w:rPr>
      </w:pPr>
      <w:r>
        <w:rPr>
          <w:rFonts w:hint="eastAsia" w:ascii="宋体" w:hAnsi="宋体" w:eastAsia="宋体" w:cs="Times New Roman"/>
          <w:b/>
          <w:sz w:val="24"/>
          <w:szCs w:val="24"/>
        </w:rPr>
        <w:t>一、项目编号：</w:t>
      </w:r>
      <w:r>
        <w:rPr>
          <w:rFonts w:hint="eastAsia" w:ascii="宋体" w:hAnsi="宋体" w:eastAsia="宋体" w:cs="Times New Roman"/>
          <w:sz w:val="24"/>
          <w:szCs w:val="24"/>
        </w:rPr>
        <w:t>131-Zcg·2019-2</w:t>
      </w:r>
    </w:p>
    <w:p>
      <w:pPr>
        <w:spacing w:line="360" w:lineRule="auto"/>
        <w:ind w:left="490"/>
        <w:rPr>
          <w:rFonts w:ascii="宋体" w:hAnsi="宋体" w:eastAsia="宋体" w:cs="Times New Roman"/>
          <w:b/>
          <w:sz w:val="24"/>
          <w:szCs w:val="24"/>
        </w:rPr>
      </w:pPr>
      <w:r>
        <w:rPr>
          <w:rFonts w:hint="eastAsia" w:ascii="宋体" w:hAnsi="宋体" w:eastAsia="宋体" w:cs="Times New Roman"/>
          <w:b/>
          <w:sz w:val="24"/>
          <w:szCs w:val="24"/>
        </w:rPr>
        <w:t>二、项目名称：</w:t>
      </w:r>
      <w:r>
        <w:rPr>
          <w:rFonts w:hint="eastAsia" w:ascii="宋体" w:hAnsi="宋体" w:eastAsia="宋体" w:cs="Times New Roman"/>
          <w:sz w:val="24"/>
          <w:szCs w:val="24"/>
        </w:rPr>
        <w:t>湖北网湖自然保护区水生态环境保护规划项目</w:t>
      </w:r>
    </w:p>
    <w:p>
      <w:pPr>
        <w:spacing w:line="360" w:lineRule="auto"/>
        <w:ind w:left="490"/>
        <w:rPr>
          <w:rFonts w:ascii="宋体" w:hAnsi="宋体" w:eastAsia="宋体" w:cs="Times New Roman"/>
          <w:sz w:val="24"/>
          <w:szCs w:val="24"/>
        </w:rPr>
      </w:pPr>
      <w:r>
        <w:rPr>
          <w:rFonts w:hint="eastAsia" w:ascii="宋体" w:hAnsi="宋体" w:eastAsia="宋体" w:cs="Times New Roman"/>
          <w:b/>
          <w:sz w:val="24"/>
          <w:szCs w:val="24"/>
        </w:rPr>
        <w:t>三、招标内容：</w:t>
      </w:r>
      <w:r>
        <w:rPr>
          <w:rFonts w:hint="eastAsia" w:ascii="宋体" w:hAnsi="宋体" w:eastAsia="宋体" w:cs="Times New Roman"/>
          <w:sz w:val="24"/>
          <w:szCs w:val="24"/>
        </w:rPr>
        <w:t>水生态环境保护规划（详见招标文件《采购清单》）</w:t>
      </w:r>
    </w:p>
    <w:p>
      <w:pPr>
        <w:spacing w:line="360" w:lineRule="auto"/>
        <w:ind w:left="490"/>
        <w:rPr>
          <w:rFonts w:ascii="宋体" w:hAnsi="宋体" w:eastAsia="宋体" w:cs="Times New Roman"/>
          <w:sz w:val="24"/>
          <w:szCs w:val="24"/>
        </w:rPr>
      </w:pPr>
      <w:r>
        <w:rPr>
          <w:rFonts w:hint="eastAsia" w:ascii="宋体" w:hAnsi="宋体" w:eastAsia="宋体" w:cs="Times New Roman"/>
          <w:b/>
          <w:sz w:val="24"/>
          <w:szCs w:val="24"/>
        </w:rPr>
        <w:t>四、采购预算：</w:t>
      </w:r>
      <w:r>
        <w:rPr>
          <w:rFonts w:hint="eastAsia" w:ascii="宋体" w:hAnsi="宋体" w:eastAsia="宋体" w:cs="Times New Roman"/>
          <w:sz w:val="24"/>
          <w:szCs w:val="24"/>
        </w:rPr>
        <w:t>人民币</w:t>
      </w:r>
      <w:r>
        <w:rPr>
          <w:rFonts w:ascii="宋体" w:hAnsi="宋体" w:eastAsia="宋体" w:cs="Times New Roman"/>
          <w:b/>
          <w:sz w:val="24"/>
          <w:szCs w:val="24"/>
          <w:u w:val="single"/>
        </w:rPr>
        <w:t>456</w:t>
      </w:r>
      <w:r>
        <w:rPr>
          <w:rFonts w:hint="eastAsia" w:ascii="宋体" w:hAnsi="宋体" w:eastAsia="宋体" w:cs="Times New Roman"/>
          <w:b/>
          <w:sz w:val="24"/>
          <w:szCs w:val="24"/>
          <w:u w:val="single"/>
        </w:rPr>
        <w:t>.</w:t>
      </w:r>
      <w:r>
        <w:rPr>
          <w:rFonts w:ascii="宋体" w:hAnsi="宋体" w:eastAsia="宋体" w:cs="Times New Roman"/>
          <w:b/>
          <w:sz w:val="24"/>
          <w:szCs w:val="24"/>
          <w:u w:val="single"/>
        </w:rPr>
        <w:t>136</w:t>
      </w:r>
      <w:r>
        <w:rPr>
          <w:rFonts w:hint="eastAsia" w:ascii="宋体" w:hAnsi="宋体" w:eastAsia="宋体" w:cs="Times New Roman"/>
          <w:sz w:val="24"/>
          <w:szCs w:val="24"/>
        </w:rPr>
        <w:t>万元整。</w:t>
      </w:r>
    </w:p>
    <w:p>
      <w:pPr>
        <w:spacing w:line="360" w:lineRule="auto"/>
        <w:ind w:left="490"/>
        <w:rPr>
          <w:rFonts w:ascii="宋体" w:hAnsi="宋体" w:eastAsia="宋体" w:cs="Times New Roman"/>
          <w:sz w:val="24"/>
          <w:szCs w:val="24"/>
        </w:rPr>
      </w:pPr>
      <w:r>
        <w:rPr>
          <w:rFonts w:hint="eastAsia" w:ascii="宋体" w:hAnsi="宋体" w:eastAsia="宋体" w:cs="Times New Roman"/>
          <w:b/>
          <w:sz w:val="24"/>
          <w:szCs w:val="24"/>
        </w:rPr>
        <w:t>五、资金来源：</w:t>
      </w:r>
      <w:r>
        <w:rPr>
          <w:rFonts w:hint="eastAsia" w:ascii="宋体" w:hAnsi="宋体" w:eastAsia="宋体" w:cs="Times New Roman"/>
          <w:sz w:val="24"/>
          <w:szCs w:val="24"/>
        </w:rPr>
        <w:t>财政性资金</w:t>
      </w:r>
    </w:p>
    <w:p>
      <w:pPr>
        <w:spacing w:line="360" w:lineRule="auto"/>
        <w:ind w:left="490"/>
        <w:rPr>
          <w:rFonts w:ascii="宋体" w:hAnsi="宋体" w:eastAsia="宋体" w:cs="Times New Roman"/>
          <w:sz w:val="24"/>
          <w:szCs w:val="24"/>
        </w:rPr>
      </w:pPr>
      <w:r>
        <w:rPr>
          <w:rFonts w:hint="eastAsia" w:ascii="宋体" w:hAnsi="宋体" w:eastAsia="宋体" w:cs="Times New Roman"/>
          <w:b/>
          <w:sz w:val="24"/>
          <w:szCs w:val="24"/>
        </w:rPr>
        <w:t>六、政府集中采购项目：否</w:t>
      </w:r>
    </w:p>
    <w:p>
      <w:pPr>
        <w:spacing w:line="360" w:lineRule="auto"/>
        <w:ind w:left="490"/>
        <w:rPr>
          <w:rFonts w:ascii="宋体" w:hAnsi="宋体" w:eastAsia="宋体" w:cs="Times New Roman"/>
          <w:b/>
          <w:sz w:val="24"/>
          <w:szCs w:val="24"/>
        </w:rPr>
      </w:pPr>
      <w:r>
        <w:rPr>
          <w:rFonts w:hint="eastAsia" w:ascii="宋体" w:hAnsi="宋体" w:eastAsia="宋体" w:cs="Times New Roman"/>
          <w:b/>
          <w:sz w:val="24"/>
          <w:szCs w:val="24"/>
        </w:rPr>
        <w:t>七、投标人资格要求：</w:t>
      </w:r>
    </w:p>
    <w:p>
      <w:pPr>
        <w:spacing w:line="360" w:lineRule="auto"/>
        <w:ind w:left="490"/>
        <w:rPr>
          <w:rFonts w:ascii="宋体" w:hAnsi="宋体" w:eastAsia="宋体" w:cs="Times New Roman"/>
          <w:sz w:val="24"/>
          <w:szCs w:val="24"/>
        </w:rPr>
      </w:pPr>
      <w:r>
        <w:rPr>
          <w:rFonts w:hint="eastAsia" w:ascii="宋体" w:hAnsi="宋体" w:eastAsia="宋体" w:cs="Times New Roman"/>
          <w:sz w:val="24"/>
          <w:szCs w:val="24"/>
        </w:rPr>
        <w:t>1、应具备《政府采购法》第二十二条第一款规定的条件；</w:t>
      </w:r>
    </w:p>
    <w:p>
      <w:pPr>
        <w:spacing w:line="360" w:lineRule="auto"/>
        <w:ind w:left="490"/>
        <w:rPr>
          <w:rFonts w:ascii="宋体" w:hAnsi="宋体"/>
          <w:color w:val="000000" w:themeColor="text1"/>
          <w:sz w:val="24"/>
          <w:szCs w:val="24"/>
        </w:rPr>
      </w:pPr>
      <w:r>
        <w:rPr>
          <w:rFonts w:hint="eastAsia" w:ascii="宋体" w:hAnsi="宋体" w:eastAsia="宋体" w:cs="Times New Roman"/>
          <w:sz w:val="24"/>
          <w:szCs w:val="24"/>
        </w:rPr>
        <w:t>2、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政府采购严重违法失信行为记录名单</w:t>
      </w:r>
      <w:r>
        <w:rPr>
          <w:rFonts w:hint="eastAsia" w:ascii="宋体" w:hAnsi="宋体"/>
          <w:sz w:val="24"/>
          <w:szCs w:val="24"/>
        </w:rPr>
        <w:t>（须提供以上3个网页查询截图并加盖公章）</w:t>
      </w:r>
      <w:r>
        <w:rPr>
          <w:rFonts w:hint="eastAsia" w:ascii="宋体" w:hAnsi="宋体" w:eastAsia="宋体" w:cs="Times New Roman"/>
          <w:sz w:val="24"/>
          <w:szCs w:val="24"/>
        </w:rPr>
        <w:t>；</w:t>
      </w:r>
      <w:r>
        <w:rPr>
          <w:rFonts w:hint="eastAsia" w:ascii="宋体" w:hAnsi="宋体"/>
          <w:color w:val="000000" w:themeColor="text1"/>
          <w:sz w:val="24"/>
          <w:szCs w:val="24"/>
        </w:rPr>
        <w:t>投标人须在中国政府采购网（www.ccgp.gov.cn）上未被列入政府采购严重违法失信行为记录名单（须提供网页查询截图并加盖公章，查询时间以公告发布之日起为准）。</w:t>
      </w:r>
    </w:p>
    <w:p>
      <w:pPr>
        <w:spacing w:line="360" w:lineRule="auto"/>
        <w:ind w:left="490"/>
        <w:rPr>
          <w:rFonts w:ascii="宋体" w:hAnsi="宋体" w:eastAsia="宋体" w:cs="Times New Roman"/>
          <w:color w:val="000000" w:themeColor="text1"/>
          <w:sz w:val="24"/>
          <w:szCs w:val="24"/>
        </w:rPr>
      </w:pPr>
      <w:r>
        <w:rPr>
          <w:rFonts w:hint="eastAsia" w:ascii="宋体" w:hAnsi="宋体"/>
          <w:color w:val="000000" w:themeColor="text1"/>
          <w:sz w:val="24"/>
          <w:szCs w:val="24"/>
        </w:rPr>
        <w:t>3、</w:t>
      </w:r>
      <w:r>
        <w:rPr>
          <w:rFonts w:hint="eastAsia" w:ascii="宋体" w:hAnsi="宋体" w:eastAsia="宋体" w:cs="Times New Roman"/>
          <w:color w:val="000000" w:themeColor="text1"/>
          <w:sz w:val="24"/>
          <w:szCs w:val="24"/>
        </w:rPr>
        <w:t>特定条件：投标人的营业执照经营范围需含有环境技术咨询等类似内容。</w:t>
      </w:r>
    </w:p>
    <w:p>
      <w:pPr>
        <w:spacing w:line="360" w:lineRule="auto"/>
        <w:ind w:left="490"/>
        <w:rPr>
          <w:rFonts w:ascii="宋体" w:hAnsi="宋体" w:eastAsia="宋体" w:cs="Times New Roman"/>
          <w:sz w:val="24"/>
          <w:szCs w:val="24"/>
        </w:rPr>
      </w:pPr>
      <w:r>
        <w:rPr>
          <w:rFonts w:hint="eastAsia" w:ascii="宋体" w:hAnsi="宋体" w:eastAsia="宋体" w:cs="Times New Roman"/>
          <w:color w:val="000000" w:themeColor="text1"/>
          <w:sz w:val="24"/>
          <w:szCs w:val="24"/>
        </w:rPr>
        <w:t>4、不接受联合体形式的投标</w:t>
      </w:r>
      <w:r>
        <w:rPr>
          <w:rFonts w:hint="eastAsia" w:ascii="宋体" w:hAnsi="宋体" w:eastAsia="宋体" w:cs="Times New Roman"/>
          <w:sz w:val="24"/>
          <w:szCs w:val="24"/>
        </w:rPr>
        <w:t>。</w:t>
      </w:r>
    </w:p>
    <w:p>
      <w:pPr>
        <w:spacing w:line="360" w:lineRule="auto"/>
        <w:ind w:left="490"/>
        <w:rPr>
          <w:rFonts w:ascii="宋体" w:hAnsi="宋体" w:eastAsia="宋体" w:cs="宋体"/>
          <w:b/>
          <w:kern w:val="0"/>
          <w:sz w:val="24"/>
          <w:szCs w:val="24"/>
        </w:rPr>
      </w:pPr>
      <w:r>
        <w:rPr>
          <w:rFonts w:hint="eastAsia" w:ascii="宋体" w:hAnsi="宋体" w:eastAsia="宋体" w:cs="宋体"/>
          <w:b/>
          <w:kern w:val="0"/>
          <w:sz w:val="24"/>
          <w:szCs w:val="24"/>
        </w:rPr>
        <w:t>八、政府采购相关政策执行：</w:t>
      </w:r>
    </w:p>
    <w:p>
      <w:pPr>
        <w:tabs>
          <w:tab w:val="left" w:pos="896"/>
        </w:tabs>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落实</w:t>
      </w:r>
      <w:r>
        <w:rPr>
          <w:rFonts w:hint="eastAsia" w:ascii="宋体" w:hAnsi="宋体" w:eastAsia="宋体" w:cs="Times New Roman"/>
          <w:sz w:val="24"/>
          <w:szCs w:val="24"/>
        </w:rPr>
        <w:t>政府采购强制、优先采购节能产品政策；政府采购优先采购环保产品政策；政府采购促进中小企业发展（监狱企业、残疾人福利性单位视同小微企业）等政策。</w:t>
      </w:r>
    </w:p>
    <w:p>
      <w:pPr>
        <w:tabs>
          <w:tab w:val="left" w:pos="896"/>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b/>
          <w:sz w:val="24"/>
          <w:szCs w:val="24"/>
        </w:rPr>
        <w:t>是否专门面向中小企业、监狱企业、残疾人福利性单位：否。</w:t>
      </w:r>
    </w:p>
    <w:p>
      <w:pPr>
        <w:spacing w:line="360" w:lineRule="auto"/>
        <w:ind w:left="490"/>
        <w:rPr>
          <w:rFonts w:ascii="宋体" w:hAnsi="宋体" w:eastAsia="宋体" w:cs="宋体"/>
          <w:b/>
          <w:kern w:val="0"/>
          <w:sz w:val="24"/>
          <w:szCs w:val="24"/>
        </w:rPr>
      </w:pPr>
      <w:r>
        <w:rPr>
          <w:rFonts w:hint="eastAsia" w:ascii="宋体" w:hAnsi="宋体" w:eastAsia="宋体" w:cs="宋体"/>
          <w:b/>
          <w:kern w:val="0"/>
          <w:sz w:val="24"/>
          <w:szCs w:val="24"/>
          <w:lang w:val="zh-CN"/>
        </w:rPr>
        <w:t>九、招标文件获取</w:t>
      </w:r>
      <w:r>
        <w:rPr>
          <w:rFonts w:hint="eastAsia" w:ascii="宋体" w:hAnsi="宋体" w:eastAsia="宋体" w:cs="宋体"/>
          <w:b/>
          <w:kern w:val="0"/>
          <w:sz w:val="24"/>
          <w:szCs w:val="24"/>
        </w:rPr>
        <w:t>：</w:t>
      </w:r>
    </w:p>
    <w:p>
      <w:pPr>
        <w:widowControl/>
        <w:adjustRightInd w:val="0"/>
        <w:snapToGrid w:val="0"/>
        <w:spacing w:line="360" w:lineRule="auto"/>
        <w:ind w:firstLine="480" w:firstLineChars="200"/>
        <w:jc w:val="left"/>
        <w:rPr>
          <w:rFonts w:ascii="宋体" w:hAnsi="宋体" w:eastAsia="宋体" w:cs="Times New Roman"/>
          <w:b/>
          <w:sz w:val="24"/>
          <w:szCs w:val="24"/>
        </w:rPr>
      </w:pPr>
      <w:r>
        <w:rPr>
          <w:rFonts w:hint="eastAsia" w:ascii="宋体" w:hAnsi="宋体" w:eastAsia="宋体" w:cs="Times New Roman"/>
          <w:sz w:val="24"/>
          <w:szCs w:val="24"/>
        </w:rPr>
        <w:t>本项目实行网上下载标书，招标文件与本招标公告同时发布（见招标文件下载），凡自愿参加本项目投标者，请于</w:t>
      </w:r>
      <w:r>
        <w:rPr>
          <w:rFonts w:hint="eastAsia" w:ascii="宋体" w:hAnsi="宋体" w:eastAsia="宋体" w:cs="Times New Roman"/>
          <w:color w:val="FF0000"/>
          <w:sz w:val="24"/>
          <w:szCs w:val="24"/>
        </w:rPr>
        <w:t>2019年1月2日至2019年1月9日17:30</w:t>
      </w:r>
      <w:r>
        <w:rPr>
          <w:rFonts w:hint="eastAsia" w:ascii="宋体" w:hAnsi="宋体" w:eastAsia="宋体" w:cs="Times New Roman"/>
          <w:sz w:val="24"/>
          <w:szCs w:val="24"/>
        </w:rPr>
        <w:t>前点击项目招标公告中的链接免费下载招标文件，并在投标截止时间前办理所有投标手续并同时递交投标文件。</w:t>
      </w:r>
    </w:p>
    <w:p>
      <w:pPr>
        <w:spacing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十、投标信息：</w:t>
      </w:r>
    </w:p>
    <w:p>
      <w:pPr>
        <w:spacing w:line="360" w:lineRule="auto"/>
        <w:ind w:firstLine="470" w:firstLineChars="196"/>
        <w:rPr>
          <w:rFonts w:ascii="宋体" w:hAnsi="宋体" w:eastAsia="宋体" w:cs="宋体"/>
          <w:b/>
          <w:kern w:val="0"/>
          <w:sz w:val="24"/>
          <w:szCs w:val="24"/>
        </w:rPr>
      </w:pPr>
      <w:r>
        <w:rPr>
          <w:rFonts w:hint="eastAsia" w:ascii="宋体" w:hAnsi="宋体" w:eastAsia="宋体" w:cs="宋体"/>
          <w:kern w:val="0"/>
          <w:sz w:val="24"/>
          <w:szCs w:val="24"/>
        </w:rPr>
        <w:t>投标文件递交截止时间：</w:t>
      </w:r>
      <w:r>
        <w:rPr>
          <w:rFonts w:hint="eastAsia" w:ascii="宋体" w:hAnsi="宋体" w:eastAsia="宋体" w:cs="宋体"/>
          <w:color w:val="FF0000"/>
          <w:kern w:val="0"/>
          <w:sz w:val="24"/>
          <w:szCs w:val="24"/>
        </w:rPr>
        <w:t>2019</w:t>
      </w:r>
      <w:r>
        <w:rPr>
          <w:rFonts w:hint="eastAsia" w:ascii="宋体" w:hAnsi="宋体" w:eastAsia="宋体" w:cs="Times New Roman"/>
          <w:color w:val="FF0000"/>
          <w:sz w:val="24"/>
          <w:szCs w:val="24"/>
        </w:rPr>
        <w:t>年1月22日9：00</w:t>
      </w:r>
      <w:r>
        <w:rPr>
          <w:rFonts w:hint="eastAsia" w:ascii="宋体" w:hAnsi="宋体" w:eastAsia="宋体" w:cs="宋体"/>
          <w:color w:val="FF0000"/>
          <w:kern w:val="0"/>
          <w:sz w:val="24"/>
          <w:szCs w:val="24"/>
        </w:rPr>
        <w:t>（8时30分</w:t>
      </w:r>
      <w:r>
        <w:rPr>
          <w:rFonts w:hint="eastAsia" w:ascii="宋体" w:hAnsi="宋体" w:eastAsia="宋体" w:cs="宋体"/>
          <w:kern w:val="0"/>
          <w:sz w:val="24"/>
          <w:szCs w:val="24"/>
        </w:rPr>
        <w:t>开始接收投标文件，拒收逾期送达或者未按招标文件要求密封的投标文件）</w:t>
      </w:r>
    </w:p>
    <w:p>
      <w:pPr>
        <w:widowControl/>
        <w:spacing w:line="360" w:lineRule="auto"/>
        <w:ind w:firstLine="470" w:firstLineChars="196"/>
        <w:jc w:val="left"/>
        <w:rPr>
          <w:rFonts w:ascii="宋体" w:hAnsi="宋体" w:eastAsia="宋体" w:cs="宋体"/>
          <w:kern w:val="0"/>
          <w:sz w:val="24"/>
          <w:szCs w:val="24"/>
        </w:rPr>
      </w:pPr>
      <w:r>
        <w:rPr>
          <w:rFonts w:hint="eastAsia" w:ascii="宋体" w:hAnsi="宋体" w:eastAsia="宋体" w:cs="宋体"/>
          <w:kern w:val="0"/>
          <w:sz w:val="24"/>
          <w:szCs w:val="24"/>
        </w:rPr>
        <w:t>投标文件递交地点：阳新县公共资源</w:t>
      </w:r>
      <w:r>
        <w:rPr>
          <w:rFonts w:hint="eastAsia" w:ascii="宋体" w:hAnsi="宋体" w:eastAsia="宋体" w:cs="宋体"/>
          <w:color w:val="FF0000"/>
          <w:kern w:val="0"/>
          <w:sz w:val="24"/>
          <w:szCs w:val="24"/>
        </w:rPr>
        <w:t>交易中心二楼开标大厅</w:t>
      </w:r>
      <w:r>
        <w:rPr>
          <w:rFonts w:hint="eastAsia" w:ascii="宋体" w:hAnsi="宋体" w:eastAsia="宋体" w:cs="宋体"/>
          <w:kern w:val="0"/>
          <w:sz w:val="24"/>
          <w:szCs w:val="24"/>
        </w:rPr>
        <w:t>（阳新县熊家垴安置小区东侧）</w:t>
      </w:r>
    </w:p>
    <w:p>
      <w:pPr>
        <w:widowControl/>
        <w:spacing w:line="357" w:lineRule="atLeast"/>
        <w:ind w:firstLine="480" w:firstLineChars="200"/>
        <w:textAlignment w:val="baseline"/>
        <w:rPr>
          <w:rFonts w:ascii="宋体" w:hAnsi="宋体" w:eastAsia="宋体" w:cs="宋体"/>
          <w:kern w:val="0"/>
          <w:sz w:val="24"/>
          <w:szCs w:val="24"/>
        </w:rPr>
      </w:pPr>
      <w:r>
        <w:rPr>
          <w:rFonts w:hint="eastAsia" w:ascii="Times New Roman" w:hAnsi="Times New Roman" w:eastAsia="宋体" w:cs="宋体"/>
          <w:sz w:val="24"/>
          <w:szCs w:val="24"/>
        </w:rPr>
        <w:t>届时请参加投标的授权代表携带有效身份证、法人身份证明书或法人委托授权书（原件）出席开标大会，否则视同认可开标结果。</w:t>
      </w:r>
    </w:p>
    <w:p>
      <w:pPr>
        <w:spacing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十一、开标信息：</w:t>
      </w:r>
    </w:p>
    <w:p>
      <w:pPr>
        <w:spacing w:line="360" w:lineRule="auto"/>
        <w:ind w:firstLine="470" w:firstLineChars="196"/>
        <w:rPr>
          <w:rFonts w:ascii="宋体" w:hAnsi="宋体" w:eastAsia="宋体" w:cs="Times New Roman"/>
          <w:color w:val="FF0000"/>
          <w:sz w:val="24"/>
          <w:szCs w:val="24"/>
          <w:u w:val="single"/>
        </w:rPr>
      </w:pPr>
      <w:r>
        <w:rPr>
          <w:rFonts w:hint="eastAsia" w:ascii="宋体" w:hAnsi="宋体" w:eastAsia="宋体" w:cs="宋体"/>
          <w:kern w:val="0"/>
          <w:sz w:val="24"/>
          <w:szCs w:val="24"/>
        </w:rPr>
        <w:t>开标时间：</w:t>
      </w:r>
      <w:r>
        <w:rPr>
          <w:rFonts w:hint="eastAsia" w:ascii="宋体" w:hAnsi="宋体" w:eastAsia="宋体" w:cs="宋体"/>
          <w:color w:val="FF0000"/>
          <w:kern w:val="0"/>
          <w:sz w:val="24"/>
          <w:szCs w:val="24"/>
        </w:rPr>
        <w:t>2019</w:t>
      </w:r>
      <w:r>
        <w:rPr>
          <w:rFonts w:hint="eastAsia" w:ascii="宋体" w:hAnsi="宋体" w:eastAsia="宋体" w:cs="Times New Roman"/>
          <w:color w:val="FF0000"/>
          <w:sz w:val="24"/>
          <w:szCs w:val="24"/>
        </w:rPr>
        <w:t>年1月22日9：00</w:t>
      </w:r>
    </w:p>
    <w:p>
      <w:pPr>
        <w:spacing w:line="360" w:lineRule="auto"/>
        <w:ind w:firstLine="470" w:firstLineChars="196"/>
        <w:rPr>
          <w:rFonts w:ascii="宋体" w:hAnsi="宋体" w:eastAsia="宋体" w:cs="宋体"/>
          <w:kern w:val="0"/>
          <w:sz w:val="24"/>
          <w:szCs w:val="24"/>
        </w:rPr>
      </w:pPr>
      <w:r>
        <w:rPr>
          <w:rFonts w:hint="eastAsia" w:ascii="宋体" w:hAnsi="宋体" w:eastAsia="宋体" w:cs="宋体"/>
          <w:kern w:val="0"/>
          <w:sz w:val="24"/>
          <w:szCs w:val="24"/>
        </w:rPr>
        <w:t>开标地点：阳新县公共资源</w:t>
      </w:r>
      <w:r>
        <w:rPr>
          <w:rFonts w:hint="eastAsia" w:ascii="宋体" w:hAnsi="宋体" w:eastAsia="宋体" w:cs="宋体"/>
          <w:color w:val="FF0000"/>
          <w:kern w:val="0"/>
          <w:sz w:val="24"/>
          <w:szCs w:val="24"/>
        </w:rPr>
        <w:t>交易中心二楼开标大厅</w:t>
      </w:r>
      <w:r>
        <w:rPr>
          <w:rFonts w:hint="eastAsia" w:ascii="宋体" w:hAnsi="宋体" w:eastAsia="宋体" w:cs="宋体"/>
          <w:kern w:val="0"/>
          <w:sz w:val="24"/>
          <w:szCs w:val="24"/>
        </w:rPr>
        <w:t>（阳新县熊家垴安置小区东侧）</w:t>
      </w:r>
    </w:p>
    <w:p>
      <w:pPr>
        <w:spacing w:line="360" w:lineRule="auto"/>
        <w:ind w:firstLine="480" w:firstLineChars="200"/>
        <w:rPr>
          <w:rFonts w:ascii="宋体" w:hAnsi="宋体" w:eastAsia="宋体" w:cs="Times New Roman"/>
          <w:sz w:val="24"/>
          <w:szCs w:val="24"/>
        </w:rPr>
      </w:pPr>
      <w:r>
        <w:rPr>
          <w:rFonts w:hint="eastAsia" w:ascii="宋体" w:hAnsi="宋体" w:eastAsia="宋体" w:cs="宋体"/>
          <w:b/>
          <w:kern w:val="0"/>
          <w:sz w:val="24"/>
          <w:szCs w:val="24"/>
          <w:lang w:val="zh-CN"/>
        </w:rPr>
        <w:t>十二、公告期限：</w:t>
      </w:r>
      <w:r>
        <w:rPr>
          <w:rFonts w:hint="eastAsia" w:ascii="宋体" w:hAnsi="宋体" w:eastAsia="宋体" w:cs="Times New Roman"/>
          <w:sz w:val="24"/>
          <w:szCs w:val="24"/>
        </w:rPr>
        <w:t>自公告发布之日起5个工作日。</w:t>
      </w:r>
    </w:p>
    <w:p>
      <w:pPr>
        <w:spacing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十三、质疑：</w:t>
      </w:r>
    </w:p>
    <w:p>
      <w:pPr>
        <w:spacing w:line="360" w:lineRule="auto"/>
        <w:ind w:firstLine="480" w:firstLineChars="200"/>
        <w:rPr>
          <w:rFonts w:ascii="宋体" w:hAnsi="宋体" w:eastAsia="宋体" w:cs="宋体"/>
          <w:b/>
          <w:kern w:val="0"/>
          <w:sz w:val="24"/>
          <w:szCs w:val="24"/>
          <w:lang w:val="zh-CN"/>
        </w:rPr>
      </w:pP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投标人认为招标文件、招标过程和中标结果使自己的权益受到损害的，可以在知道或者应知其权益受到损害之日起7个工作日内，向采购人或采购代理机构提出</w:t>
      </w:r>
      <w:r>
        <w:rPr>
          <w:rFonts w:hint="eastAsia" w:cs="宋体"/>
          <w:kern w:val="0"/>
          <w:sz w:val="24"/>
          <w:szCs w:val="24"/>
          <w:lang w:val="zh-CN"/>
        </w:rPr>
        <w:t>书面</w:t>
      </w:r>
      <w:r>
        <w:rPr>
          <w:rFonts w:hint="eastAsia" w:ascii="宋体" w:hAnsi="宋体" w:eastAsia="宋体" w:cs="宋体"/>
          <w:kern w:val="0"/>
          <w:sz w:val="24"/>
          <w:szCs w:val="24"/>
          <w:lang w:val="zh-CN"/>
        </w:rPr>
        <w:t>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ascii="宋体" w:hAnsi="宋体" w:eastAsia="宋体" w:cs="宋体"/>
          <w:b/>
          <w:kern w:val="0"/>
          <w:sz w:val="24"/>
          <w:szCs w:val="24"/>
          <w:lang w:val="zh-CN"/>
        </w:rPr>
      </w:pPr>
      <w:r>
        <w:rPr>
          <w:rFonts w:hint="eastAsia" w:ascii="宋体" w:hAnsi="宋体" w:eastAsia="宋体" w:cs="宋体"/>
          <w:b/>
          <w:kern w:val="0"/>
          <w:sz w:val="24"/>
          <w:szCs w:val="24"/>
          <w:lang w:val="zh-CN"/>
        </w:rPr>
        <w:t>十四、联系方式：</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Times New Roman"/>
          <w:sz w:val="24"/>
          <w:szCs w:val="24"/>
        </w:rPr>
        <w:t>采购代理机构：武汉富纳工程咨询有限公司</w:t>
      </w:r>
    </w:p>
    <w:p>
      <w:pPr>
        <w:widowControl/>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 xml:space="preserve">联系人：吴克亮、胡鹏 </w:t>
      </w:r>
    </w:p>
    <w:p>
      <w:pPr>
        <w:widowControl/>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联系电话：027-86619227</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地址：</w:t>
      </w:r>
      <w:r>
        <w:rPr>
          <w:rFonts w:hint="eastAsia" w:ascii="宋体" w:hAnsi="宋体" w:eastAsia="宋体" w:cs="Times New Roman"/>
          <w:sz w:val="24"/>
          <w:szCs w:val="24"/>
        </w:rPr>
        <w:t>武汉市武昌区和平大道（武车路路口）绿地铭创大厦401室</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采购人：黄石市网湖湿地自然保护区管理局</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联系人：胡斌</w:t>
      </w:r>
    </w:p>
    <w:p>
      <w:pPr>
        <w:ind w:firstLine="480" w:firstLineChars="200"/>
        <w:rPr>
          <w:rFonts w:ascii="宋体" w:hAnsi="宋体"/>
        </w:rPr>
      </w:pPr>
      <w:r>
        <w:rPr>
          <w:rFonts w:hint="eastAsia" w:ascii="宋体" w:hAnsi="宋体" w:eastAsia="宋体" w:cs="宋体"/>
          <w:bCs/>
          <w:kern w:val="0"/>
          <w:sz w:val="24"/>
          <w:szCs w:val="24"/>
        </w:rPr>
        <w:t>联系电话：</w:t>
      </w:r>
      <w:r>
        <w:rPr>
          <w:rFonts w:ascii="宋体" w:hAnsi="宋体" w:eastAsia="宋体" w:cs="宋体"/>
          <w:bCs/>
          <w:kern w:val="0"/>
          <w:sz w:val="24"/>
          <w:szCs w:val="24"/>
        </w:rPr>
        <w:t>13329928006</w:t>
      </w:r>
    </w:p>
    <w:p>
      <w:pPr>
        <w:widowControl/>
        <w:spacing w:line="360" w:lineRule="auto"/>
        <w:ind w:firstLine="480"/>
        <w:jc w:val="left"/>
        <w:rPr>
          <w:rFonts w:ascii="宋体" w:hAnsi="宋体" w:eastAsia="宋体" w:cs="宋体"/>
          <w:bCs/>
          <w:kern w:val="0"/>
          <w:sz w:val="24"/>
          <w:szCs w:val="24"/>
        </w:rPr>
      </w:pPr>
      <w:r>
        <w:rPr>
          <w:rFonts w:hint="eastAsia" w:ascii="宋体" w:hAnsi="宋体" w:eastAsia="宋体" w:cs="宋体"/>
          <w:bCs/>
          <w:kern w:val="0"/>
          <w:sz w:val="24"/>
          <w:szCs w:val="24"/>
        </w:rPr>
        <w:t>地址：湖北省黄石市阳新县</w:t>
      </w:r>
    </w:p>
    <w:p>
      <w:pPr>
        <w:widowControl/>
        <w:spacing w:line="360" w:lineRule="auto"/>
        <w:jc w:val="left"/>
        <w:rPr>
          <w:rFonts w:ascii="宋体" w:hAnsi="宋体" w:eastAsia="宋体" w:cs="Times New Roman"/>
          <w:b/>
          <w:sz w:val="28"/>
          <w:szCs w:val="28"/>
          <w:lang w:val="zh-CN"/>
        </w:rPr>
      </w:pPr>
      <w:r>
        <w:rPr>
          <w:rFonts w:hint="eastAsia" w:ascii="宋体" w:hAnsi="宋体" w:eastAsia="宋体" w:cs="Times New Roman"/>
          <w:b/>
          <w:sz w:val="28"/>
          <w:szCs w:val="28"/>
          <w:lang w:val="zh-CN"/>
        </w:rPr>
        <w:t xml:space="preserve">                                          2019年1月2日</w:t>
      </w:r>
    </w:p>
    <w:p>
      <w:pPr>
        <w:widowControl/>
        <w:spacing w:line="360" w:lineRule="auto"/>
        <w:jc w:val="left"/>
      </w:pPr>
    </w:p>
    <w:p>
      <w:pPr>
        <w:widowControl/>
        <w:spacing w:line="360" w:lineRule="auto"/>
        <w:jc w:val="left"/>
      </w:pPr>
    </w:p>
    <w:p>
      <w:pPr>
        <w:widowControl/>
        <w:spacing w:line="360" w:lineRule="auto"/>
        <w:jc w:val="left"/>
      </w:pPr>
    </w:p>
    <w:p>
      <w:pPr>
        <w:widowControl/>
        <w:spacing w:line="360" w:lineRule="auto"/>
        <w:jc w:val="left"/>
      </w:pPr>
    </w:p>
    <w:p>
      <w:pPr>
        <w:widowControl/>
        <w:spacing w:line="360" w:lineRule="auto"/>
        <w:jc w:val="left"/>
      </w:pPr>
    </w:p>
    <w:p>
      <w:pPr>
        <w:pStyle w:val="2"/>
        <w:numPr>
          <w:ilvl w:val="0"/>
          <w:numId w:val="1"/>
        </w:numPr>
        <w:spacing w:before="240" w:after="120"/>
        <w:ind w:left="883" w:hanging="880" w:hangingChars="200"/>
        <w:jc w:val="center"/>
        <w:rPr>
          <w:rFonts w:ascii="黑体" w:hAnsi="黑体" w:eastAsia="黑体"/>
        </w:rPr>
      </w:pPr>
      <w:bookmarkStart w:id="1" w:name="_Toc533862401"/>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533862402"/>
      <w:r>
        <w:rPr>
          <w:rFonts w:cs="Times New Roman" w:asciiTheme="majorEastAsia" w:hAnsiTheme="majorEastAsia" w:eastAsiaTheme="majorEastAsia"/>
          <w:b/>
          <w:bCs/>
          <w:sz w:val="32"/>
          <w:szCs w:val="32"/>
          <w:lang w:val="zh-CN"/>
        </w:rPr>
        <w:t>投标须知前附表</w:t>
      </w:r>
      <w:bookmarkEnd w:id="2"/>
      <w:bookmarkEnd w:id="3"/>
    </w:p>
    <w:tbl>
      <w:tblPr>
        <w:tblStyle w:val="18"/>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宋体" w:hAnsi="宋体" w:eastAsia="宋体" w:cs="Times New Roman"/>
                <w:sz w:val="24"/>
                <w:szCs w:val="24"/>
              </w:rPr>
              <w:t>131-Zcg·2019-2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宋体" w:hAnsi="宋体" w:eastAsia="宋体" w:cs="Times New Roman"/>
                <w:sz w:val="24"/>
                <w:szCs w:val="24"/>
              </w:rPr>
              <w:t>湖北网湖自然保护区水生态环境保护规划项目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kern w:val="0"/>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bCs/>
                <w:kern w:val="0"/>
                <w:sz w:val="24"/>
                <w:szCs w:val="24"/>
              </w:rPr>
              <w:t>黄石市网湖湿地自然保护区管理局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b/>
                <w:sz w:val="24"/>
                <w:szCs w:val="24"/>
              </w:rPr>
            </w:pPr>
            <w:r>
              <w:rPr>
                <w:rFonts w:ascii="Times New Roman" w:hAnsi="宋体" w:eastAsia="宋体" w:cs="Times New Roman"/>
                <w:b/>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cs="宋体"/>
                <w:b/>
                <w:kern w:val="0"/>
                <w:sz w:val="24"/>
                <w:szCs w:val="24"/>
              </w:rPr>
            </w:pPr>
            <w:r>
              <w:rPr>
                <w:rFonts w:hint="eastAsia" w:ascii="宋体" w:hAnsi="宋体" w:cs="宋体"/>
                <w:b/>
                <w:kern w:val="0"/>
                <w:sz w:val="24"/>
                <w:szCs w:val="24"/>
              </w:rPr>
              <w:t>本项目为政府采购项目，不收取投标保证金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b/>
                <w:sz w:val="24"/>
                <w:szCs w:val="24"/>
              </w:rPr>
            </w:pPr>
            <w:r>
              <w:rPr>
                <w:rFonts w:ascii="Times New Roman" w:hAnsi="宋体" w:eastAsia="宋体" w:cs="Times New Roman"/>
                <w:b/>
                <w:sz w:val="24"/>
                <w:szCs w:val="24"/>
              </w:rPr>
              <w:t>保证金</w:t>
            </w:r>
            <w:r>
              <w:rPr>
                <w:rFonts w:hint="eastAsia" w:ascii="Times New Roman" w:hAnsi="宋体" w:eastAsia="宋体" w:cs="Times New Roman"/>
                <w:b/>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cs="宋体"/>
                <w:b/>
                <w:kern w:val="0"/>
                <w:sz w:val="24"/>
                <w:szCs w:val="24"/>
              </w:rPr>
            </w:pPr>
            <w:r>
              <w:rPr>
                <w:rFonts w:hint="eastAsia" w:ascii="宋体" w:hAnsi="宋体" w:cs="宋体"/>
                <w:b/>
                <w:kern w:val="0"/>
                <w:sz w:val="24"/>
                <w:szCs w:val="24"/>
              </w:rPr>
              <w:t>不提供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正本</w:t>
            </w:r>
            <w:r>
              <w:rPr>
                <w:rFonts w:hint="eastAsia" w:ascii="Times New Roman" w:hAnsi="Times New Roman" w:eastAsia="宋体" w:cs="Times New Roman"/>
                <w:sz w:val="24"/>
                <w:szCs w:val="24"/>
              </w:rPr>
              <w:t>一</w:t>
            </w:r>
            <w:r>
              <w:rPr>
                <w:rFonts w:ascii="Times New Roman" w:hAnsi="Times New Roman" w:eastAsia="宋体" w:cs="Times New Roman"/>
                <w:sz w:val="24"/>
                <w:szCs w:val="24"/>
              </w:rPr>
              <w:t>份</w:t>
            </w:r>
            <w:r>
              <w:rPr>
                <w:rFonts w:hint="eastAsia" w:ascii="Times New Roman" w:hAnsi="Times New Roman" w:eastAsia="宋体" w:cs="Times New Roman"/>
                <w:sz w:val="24"/>
                <w:szCs w:val="24"/>
              </w:rPr>
              <w:t>，</w:t>
            </w:r>
            <w:r>
              <w:rPr>
                <w:rFonts w:ascii="Times New Roman" w:hAnsi="Times New Roman" w:eastAsia="宋体" w:cs="Times New Roman"/>
                <w:sz w:val="24"/>
                <w:szCs w:val="24"/>
              </w:rPr>
              <w:t>副本</w:t>
            </w:r>
            <w:r>
              <w:rPr>
                <w:rFonts w:hint="eastAsia" w:ascii="Times New Roman" w:hAnsi="Times New Roman" w:eastAsia="宋体" w:cs="Times New Roman"/>
                <w:sz w:val="24"/>
                <w:szCs w:val="24"/>
              </w:rPr>
              <w:t>四</w:t>
            </w:r>
            <w:r>
              <w:rPr>
                <w:rFonts w:ascii="Times New Roman" w:hAnsi="Times New Roman" w:eastAsia="宋体" w:cs="Times New Roman"/>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宋体" w:hAnsi="宋体" w:eastAsia="宋体" w:cs="宋体"/>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不提交</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sz w:val="24"/>
                <w:szCs w:val="24"/>
              </w:rPr>
            </w:pPr>
            <w:r>
              <w:rPr>
                <w:rFonts w:hint="eastAsia" w:ascii="Times New Roman" w:hAnsi="Times New Roman" w:eastAsia="宋体" w:cs="Times New Roman"/>
                <w:sz w:val="24"/>
                <w:szCs w:val="24"/>
              </w:rPr>
              <w:t>不组织</w:t>
            </w:r>
          </w:p>
          <w:p>
            <w:pPr>
              <w:ind w:right="-105" w:rightChars="-50"/>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允许</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详见第三章“</w:t>
            </w:r>
            <w:r>
              <w:rPr>
                <w:rFonts w:hint="eastAsia" w:ascii="宋体" w:hAnsi="宋体" w:eastAsia="宋体" w:cs="Times New Roman"/>
                <w:sz w:val="24"/>
                <w:szCs w:val="24"/>
              </w:rPr>
              <w:t>项目技术、服务及商务要求</w:t>
            </w:r>
            <w:r>
              <w:rPr>
                <w:rFonts w:hint="eastAsia" w:ascii="Times New Roman" w:hAnsi="Times New Roman" w:eastAsia="宋体" w:cs="Times New Roman"/>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ascii="Times New Roman" w:hAnsi="Times New Roman" w:eastAsia="宋体" w:cs="Times New Roman"/>
                <w:sz w:val="24"/>
                <w:szCs w:val="24"/>
              </w:rPr>
              <w:t>综合评分法</w:t>
            </w:r>
          </w:p>
          <w:p>
            <w:pPr>
              <w:rPr>
                <w:rFonts w:ascii="Times New Roman" w:hAnsi="Times New Roman" w:eastAsia="宋体" w:cs="Times New Roman"/>
                <w:sz w:val="24"/>
                <w:szCs w:val="24"/>
                <w:lang w:val="zh-CN"/>
              </w:rPr>
            </w:pPr>
            <w:r>
              <w:rPr>
                <w:rFonts w:hint="eastAsia" w:ascii="Times New Roman" w:hAnsi="Times New Roman" w:eastAsia="宋体" w:cs="Times New Roman"/>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2"/>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sz w:val="24"/>
                <w:szCs w:val="24"/>
              </w:rPr>
            </w:pPr>
            <w:r>
              <w:rPr>
                <w:rFonts w:hint="eastAsia" w:cs="Times New Roman" w:asciiTheme="minorEastAsia" w:hAnsiTheme="minorEastAsia"/>
                <w:sz w:val="24"/>
                <w:szCs w:val="24"/>
              </w:rPr>
              <w:t>详见本章“质疑及提交”要求</w:t>
            </w:r>
          </w:p>
        </w:tc>
      </w:tr>
    </w:tbl>
    <w:p>
      <w:pPr>
        <w:keepNext/>
        <w:keepLines/>
        <w:numPr>
          <w:ilvl w:val="0"/>
          <w:numId w:val="3"/>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5" w:name="_Toc533862403"/>
      <w:r>
        <w:rPr>
          <w:rFonts w:hint="eastAsia" w:cs="Times New Roman" w:asciiTheme="majorEastAsia" w:hAnsiTheme="majorEastAsia"/>
          <w:bCs w:val="0"/>
          <w:lang w:val="zh-CN"/>
        </w:rPr>
        <w:t>说  明</w:t>
      </w:r>
      <w:bookmarkEnd w:id="4"/>
      <w:bookmarkEnd w:id="5"/>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sz w:val="24"/>
          <w:szCs w:val="24"/>
        </w:rPr>
        <w:t>武汉富纳工程咨询有限公司</w:t>
      </w:r>
      <w:r>
        <w:rPr>
          <w:rFonts w:hint="eastAsia" w:cs="Times New Roman" w:asciiTheme="minorEastAsia" w:hAnsiTheme="minorEastAsia"/>
          <w:sz w:val="24"/>
          <w:szCs w:val="24"/>
          <w:lang w:val="zh-CN"/>
        </w:rPr>
        <w:t>。</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6"/>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6"/>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8"/>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7"/>
        </w:numPr>
        <w:spacing w:line="360" w:lineRule="auto"/>
        <w:ind w:left="476" w:hanging="47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“工程”是指</w:t>
      </w:r>
      <w:r>
        <w:rPr>
          <w:rFonts w:hint="eastAsia" w:cs="Times New Roman" w:asciiTheme="minorEastAsia" w:hAnsiTheme="minorEastAsia"/>
          <w:sz w:val="24"/>
          <w:szCs w:val="24"/>
          <w:lang w:val="zh-CN"/>
        </w:rPr>
        <w:t>：与建筑物和构筑物的新建、改建、扩建及其相关的装修、拆除、修缮无关的工程。</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“服务”是指：</w:t>
      </w:r>
      <w:r>
        <w:rPr>
          <w:rFonts w:hint="eastAsia" w:cs="Times New Roman" w:asciiTheme="minorEastAsia" w:hAnsiTheme="minorEastAsia"/>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7"/>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8"/>
        <w:numPr>
          <w:ilvl w:val="0"/>
          <w:numId w:val="9"/>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8"/>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38"/>
        <w:ind w:left="420" w:firstLine="0" w:firstLineChars="0"/>
        <w:rPr>
          <w:rFonts w:ascii="宋体" w:hAnsi="宋体"/>
          <w:sz w:val="24"/>
          <w:szCs w:val="24"/>
        </w:rPr>
      </w:pPr>
    </w:p>
    <w:tbl>
      <w:tblPr>
        <w:tblStyle w:val="18"/>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0288;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1312;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05pt;z-index:251659264;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8"/>
        <w:adjustRightInd w:val="0"/>
        <w:snapToGrid w:val="0"/>
        <w:spacing w:line="300" w:lineRule="auto"/>
        <w:ind w:left="420" w:firstLine="0" w:firstLineChars="0"/>
        <w:rPr>
          <w:rFonts w:ascii="宋体" w:hAnsi="宋体"/>
          <w:sz w:val="24"/>
          <w:szCs w:val="24"/>
        </w:rPr>
      </w:pP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6" w:name="_Toc272247695"/>
      <w:bookmarkStart w:id="7" w:name="_Toc278891592"/>
      <w:bookmarkStart w:id="8" w:name="_Toc533862404"/>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0"/>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1"/>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5"/>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533862405"/>
      <w:bookmarkStart w:id="12" w:name="_Toc272247696"/>
      <w:bookmarkStart w:id="13" w:name="_Toc494561940"/>
      <w:r>
        <w:rPr>
          <w:rFonts w:hint="eastAsia" w:cs="Times New Roman" w:asciiTheme="majorEastAsia" w:hAnsiTheme="majorEastAsia"/>
          <w:bCs w:val="0"/>
          <w:lang w:val="zh-CN"/>
        </w:rPr>
        <w:t>投标文件</w:t>
      </w:r>
      <w:bookmarkEnd w:id="10"/>
      <w:bookmarkEnd w:id="11"/>
      <w:bookmarkEnd w:id="12"/>
      <w:bookmarkEnd w:id="13"/>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5"/>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投标人应对投标文件中所提供资料的真实性负责，如有虚假，将依法承担相应责任。投标人应自觉接受</w:t>
      </w:r>
      <w:r>
        <w:rPr>
          <w:rFonts w:hint="eastAsia" w:ascii="Helvetica" w:hAnsi="Helvetica" w:eastAsia="宋体" w:cs="Helvetica"/>
          <w:kern w:val="0"/>
          <w:sz w:val="24"/>
          <w:szCs w:val="24"/>
          <w:lang w:val="zh-CN"/>
        </w:rPr>
        <w:t>采购人（或采购代理机构）</w:t>
      </w:r>
      <w:r>
        <w:rPr>
          <w:rFonts w:hint="eastAsia" w:cs="Times New Roman" w:asciiTheme="minorEastAsia" w:hAnsiTheme="minorEastAsia"/>
          <w:sz w:val="24"/>
          <w:szCs w:val="24"/>
          <w:lang w:val="zh-CN"/>
        </w:rPr>
        <w:t>对其中任何资料进一步核实的要求。</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3"/>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13"/>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5"/>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5"/>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5"/>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联合体中标的，联合体各方应当共同与采购人签订采购合同，</w:t>
      </w:r>
      <w:r>
        <w:rPr>
          <w:rFonts w:hint="eastAsia" w:ascii="宋体" w:hAnsi="宋体"/>
          <w:sz w:val="24"/>
        </w:rPr>
        <w:t>就采购合同约定的事项对采购人承担连带责任，</w:t>
      </w:r>
      <w:r>
        <w:rPr>
          <w:rFonts w:hint="eastAsia" w:cs="Times New Roman" w:asciiTheme="minorEastAsia" w:hAnsiTheme="minorEastAsia"/>
          <w:sz w:val="24"/>
          <w:szCs w:val="24"/>
          <w:lang w:val="zh-CN"/>
        </w:rPr>
        <w:t>联合体主体单位负主要责任。</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6"/>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7"/>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5"/>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投标人应在投标文件中提供交纳保证金的凭证。</w:t>
      </w:r>
      <w:r>
        <w:rPr>
          <w:rFonts w:hint="eastAsia" w:cs="Times New Roman" w:asciiTheme="minorEastAsia" w:hAnsiTheme="minorEastAsia"/>
          <w:b/>
          <w:sz w:val="24"/>
          <w:szCs w:val="24"/>
          <w:lang w:val="zh-CN"/>
        </w:rPr>
        <w:t>同时参加多个分包的投标人，保证金应按照各包保证金要求分别交纳。</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投标人应在投标文件递交截至时间前，按规定将投标保证金汇入阳新县公共资源交易中心专用账户。投标保证金应在投标有效期截止日后的</w:t>
      </w:r>
      <w:r>
        <w:rPr>
          <w:rFonts w:hint="eastAsia" w:cs="Times New Roman" w:asciiTheme="minorEastAsia" w:hAnsiTheme="minorEastAsia"/>
          <w:b/>
          <w:sz w:val="24"/>
          <w:szCs w:val="24"/>
          <w:lang w:val="zh-CN"/>
        </w:rPr>
        <w:t>30</w:t>
      </w:r>
      <w:r>
        <w:rPr>
          <w:rFonts w:hint="eastAsia" w:cs="Times New Roman" w:asciiTheme="minorEastAsia" w:hAnsiTheme="minorEastAsia"/>
          <w:sz w:val="24"/>
          <w:szCs w:val="24"/>
          <w:lang w:val="zh-CN"/>
        </w:rPr>
        <w:t>天期限内有效。</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投标保证金应按以下方式递交：</w:t>
      </w:r>
    </w:p>
    <w:p>
      <w:pPr>
        <w:numPr>
          <w:ilvl w:val="0"/>
          <w:numId w:val="19"/>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应以电汇或网上银行方式汇入保证金账户，不得以个人名义、不得以现金方式交纳。</w:t>
      </w:r>
    </w:p>
    <w:p>
      <w:pPr>
        <w:numPr>
          <w:ilvl w:val="0"/>
          <w:numId w:val="19"/>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到账时间以阳新县公共资源交易中心账户时间为准。</w:t>
      </w:r>
    </w:p>
    <w:p>
      <w:pPr>
        <w:numPr>
          <w:ilvl w:val="0"/>
          <w:numId w:val="19"/>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交款凭证备注中应说明项目编号及开标时间。</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未按招标文件要求递交投标保证金，或交纳保证金的账户名称与投标人名称不一致的按照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8"/>
        </w:numPr>
        <w:spacing w:line="360" w:lineRule="auto"/>
        <w:ind w:left="616" w:hanging="616"/>
        <w:rPr>
          <w:rFonts w:cs="Times New Roman" w:asciiTheme="minorEastAsia" w:hAnsiTheme="minorEastAsia"/>
          <w:sz w:val="24"/>
          <w:szCs w:val="24"/>
          <w:lang w:val="zh-CN"/>
        </w:rPr>
      </w:pP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将在自中标通知书发出之日起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个工作日内（如无质疑或投诉）不计利息原额退还未中标人的投标保证金；自政府采购合同签订之日起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个工作日内不计利息原额退还中标人的投标保证金。</w:t>
      </w:r>
    </w:p>
    <w:p>
      <w:pPr>
        <w:numPr>
          <w:ilvl w:val="0"/>
          <w:numId w:val="18"/>
        </w:numPr>
        <w:spacing w:line="360" w:lineRule="auto"/>
        <w:ind w:left="616" w:hanging="616"/>
        <w:rPr>
          <w:rFonts w:cs="Times New Roman" w:asciiTheme="minorEastAsia" w:hAnsiTheme="minorEastAsia"/>
          <w:sz w:val="24"/>
          <w:szCs w:val="24"/>
          <w:lang w:val="zh-CN"/>
        </w:rPr>
      </w:pPr>
      <w:r>
        <w:rPr>
          <w:rFonts w:cs="Helvetica" w:asciiTheme="minorEastAsia" w:hAnsiTheme="minorEastAsia"/>
          <w:kern w:val="0"/>
          <w:sz w:val="24"/>
          <w:szCs w:val="24"/>
          <w:lang w:val="zh-CN"/>
        </w:rPr>
        <w:t>投标人在投标截止时间前撤回已提交的投标文件的，</w:t>
      </w: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将在</w:t>
      </w:r>
      <w:r>
        <w:rPr>
          <w:rFonts w:cs="Helvetica" w:asciiTheme="minorEastAsia" w:hAnsiTheme="minorEastAsia"/>
          <w:kern w:val="0"/>
          <w:sz w:val="24"/>
          <w:szCs w:val="24"/>
          <w:lang w:val="zh-CN"/>
        </w:rPr>
        <w:t>自收到投标人书面撤回通知之日起5个工作日内，退还已收取的投标保证金，但因投标人自身原因导致无法及时退还的除外。</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投标保证金将直接退还至投标人交纳时的账户，不以现金方式退还。</w:t>
      </w:r>
    </w:p>
    <w:p>
      <w:pPr>
        <w:numPr>
          <w:ilvl w:val="0"/>
          <w:numId w:val="18"/>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投标人有下列情形之一的，其投标保证金不予退还：</w:t>
      </w:r>
    </w:p>
    <w:p>
      <w:pPr>
        <w:numPr>
          <w:ilvl w:val="0"/>
          <w:numId w:val="20"/>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在投标文件有效期内撤销投标文件的；</w:t>
      </w:r>
    </w:p>
    <w:p>
      <w:pPr>
        <w:numPr>
          <w:ilvl w:val="0"/>
          <w:numId w:val="20"/>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在投标文件中提供虚假材料的；</w:t>
      </w:r>
    </w:p>
    <w:p>
      <w:pPr>
        <w:numPr>
          <w:ilvl w:val="0"/>
          <w:numId w:val="20"/>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中标后无正当理由拒绝签订政府采购合同的；</w:t>
      </w:r>
    </w:p>
    <w:p>
      <w:pPr>
        <w:numPr>
          <w:ilvl w:val="0"/>
          <w:numId w:val="20"/>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串通投标、恶意串通的；</w:t>
      </w:r>
    </w:p>
    <w:p>
      <w:pPr>
        <w:numPr>
          <w:ilvl w:val="0"/>
          <w:numId w:val="20"/>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法律、法规和招标文件中规定的其它不予退还投标保证金的情形。</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5"/>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2"/>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3"/>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投标人应将投标文件第一部分资格证明文件、第二部分商务文件、第三部分技术、服务文件合并一起装订，一起封装。</w:t>
      </w:r>
    </w:p>
    <w:p>
      <w:pPr>
        <w:numPr>
          <w:ilvl w:val="0"/>
          <w:numId w:val="23"/>
        </w:numPr>
        <w:spacing w:line="360" w:lineRule="auto"/>
        <w:ind w:left="616" w:hanging="616"/>
        <w:rPr>
          <w:rFonts w:ascii="宋体" w:hAnsi="宋体" w:eastAsia="宋体" w:cs="Times New Roman"/>
          <w:color w:val="FF0000"/>
          <w:sz w:val="24"/>
          <w:szCs w:val="20"/>
          <w:lang w:val="zh-CN"/>
        </w:rPr>
      </w:pPr>
      <w:r>
        <w:rPr>
          <w:rFonts w:hint="eastAsia" w:ascii="宋体" w:hAnsi="宋体" w:eastAsia="宋体" w:cs="Times New Roman"/>
          <w:color w:val="FF0000"/>
          <w:sz w:val="24"/>
          <w:szCs w:val="20"/>
          <w:lang w:val="zh-CN"/>
        </w:rPr>
        <w:t>投标人应将投标文件</w:t>
      </w:r>
      <w:r>
        <w:rPr>
          <w:rFonts w:hint="eastAsia" w:ascii="宋体" w:hAnsi="宋体" w:eastAsia="宋体" w:cs="Times New Roman"/>
          <w:b/>
          <w:color w:val="FF0000"/>
          <w:sz w:val="24"/>
          <w:szCs w:val="20"/>
          <w:lang w:val="zh-CN"/>
        </w:rPr>
        <w:t>正本和副本</w:t>
      </w:r>
      <w:r>
        <w:rPr>
          <w:rFonts w:hint="eastAsia" w:ascii="宋体" w:hAnsi="宋体" w:eastAsia="宋体" w:cs="Times New Roman"/>
          <w:color w:val="FF0000"/>
          <w:sz w:val="24"/>
          <w:szCs w:val="20"/>
          <w:lang w:val="zh-CN"/>
        </w:rPr>
        <w:t>统一密封在单独的封包中。</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如果未按要求加写密封、标记或存在错误，采购代理机构对其误投或提前启封概不负责。</w:t>
      </w:r>
    </w:p>
    <w:p>
      <w:pPr>
        <w:numPr>
          <w:ilvl w:val="0"/>
          <w:numId w:val="23"/>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为方便开标时唱标，投标人应将《开标一览表》原件及《交纳投标保证金的银行凭证》（若有交纳保证金要求的）各一份一并</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4"/>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投标人应在不迟于投标邀请书中规定的投标截止日期和时间将投标文件密封递交至采购人（或采购代理机构）规定的投标地点。</w:t>
      </w:r>
    </w:p>
    <w:p>
      <w:pPr>
        <w:numPr>
          <w:ilvl w:val="0"/>
          <w:numId w:val="24"/>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采购人（或采购代理机构）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4"/>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采购人（或采购代理机构）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5"/>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4" w:name="_Toc494561942"/>
      <w:bookmarkStart w:id="15" w:name="_Toc272247698"/>
      <w:bookmarkStart w:id="16" w:name="_Toc533862406"/>
      <w:bookmarkStart w:id="17" w:name="_Toc278891595"/>
      <w:r>
        <w:rPr>
          <w:rFonts w:hint="eastAsia" w:cs="Times New Roman" w:asciiTheme="majorEastAsia" w:hAnsiTheme="majorEastAsia"/>
          <w:bCs w:val="0"/>
          <w:lang w:val="zh-CN"/>
        </w:rPr>
        <w:t>开标与评标</w:t>
      </w:r>
      <w:bookmarkEnd w:id="14"/>
      <w:bookmarkEnd w:id="15"/>
      <w:bookmarkEnd w:id="16"/>
      <w:bookmarkEnd w:id="1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6"/>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kern w:val="0"/>
          <w:sz w:val="24"/>
          <w:szCs w:val="24"/>
          <w:lang w:val="zh-CN"/>
        </w:rPr>
        <w:t>采购人（或采购代理机构）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kern w:val="0"/>
          <w:sz w:val="24"/>
          <w:szCs w:val="24"/>
          <w:lang w:val="zh-CN"/>
        </w:rPr>
        <w:t>采购人（或采购代理机构）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6"/>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kern w:val="0"/>
          <w:sz w:val="24"/>
          <w:szCs w:val="24"/>
          <w:lang w:val="zh-CN"/>
        </w:rPr>
        <w:t>采购人（或采购代理机构）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采购代理机构</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公开招标采购项目开标结束后，采购人和采购代理机构依据法律、法规及招标文件的规定，对投标人的资格进行审查，以确定投标人资格是否合格。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8"/>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8"/>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8"/>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9"/>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9"/>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30"/>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1"/>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1"/>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1"/>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1"/>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1"/>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或者有关部门报告评标中发现的违法行为。</w:t>
      </w:r>
    </w:p>
    <w:p>
      <w:pPr>
        <w:numPr>
          <w:ilvl w:val="0"/>
          <w:numId w:val="30"/>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18" w:name="_Toc533862407"/>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2"/>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2"/>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2"/>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2"/>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32"/>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采购人（或采购代理机构）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0" w:name="_Toc533862408"/>
      <w:bookmarkStart w:id="21" w:name="_Toc494561944"/>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3"/>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3"/>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4"/>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4"/>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3"/>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3"/>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5"/>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5"/>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5"/>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5"/>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5"/>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5"/>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533862409"/>
      <w:r>
        <w:rPr>
          <w:rFonts w:hint="eastAsia" w:cs="Times New Roman" w:asciiTheme="majorEastAsia" w:hAnsiTheme="majorEastAsia"/>
          <w:bCs w:val="0"/>
          <w:lang w:val="zh-CN"/>
        </w:rPr>
        <w:t>采购信息公告</w:t>
      </w:r>
      <w:bookmarkEnd w:id="24"/>
      <w:bookmarkEnd w:id="25"/>
    </w:p>
    <w:p>
      <w:pPr>
        <w:numPr>
          <w:ilvl w:val="0"/>
          <w:numId w:val="5"/>
        </w:numPr>
        <w:spacing w:line="360" w:lineRule="auto"/>
        <w:ind w:left="560" w:hanging="560"/>
        <w:rPr>
          <w:rFonts w:ascii="宋体" w:hAnsi="宋体" w:eastAsia="宋体" w:cs="Helvetica"/>
          <w:b/>
          <w:kern w:val="0"/>
          <w:sz w:val="24"/>
          <w:szCs w:val="24"/>
          <w:lang w:val="zh-CN"/>
        </w:rPr>
      </w:pPr>
      <w:r>
        <w:rPr>
          <w:rFonts w:hint="eastAsia" w:ascii="宋体" w:hAnsi="宋体" w:eastAsia="宋体" w:cs="Helvetica"/>
          <w:b/>
          <w:kern w:val="0"/>
          <w:sz w:val="24"/>
          <w:szCs w:val="24"/>
          <w:lang w:val="zh-CN"/>
        </w:rPr>
        <w:t>公告的媒体及规定</w:t>
      </w:r>
    </w:p>
    <w:p>
      <w:pPr>
        <w:numPr>
          <w:ilvl w:val="0"/>
          <w:numId w:val="36"/>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6"/>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6"/>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6"/>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533862410"/>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w:t>
      </w: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7"/>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7"/>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7"/>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5"/>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w:t>
      </w: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）不予受理。</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28" w:name="_Toc533862411"/>
      <w:bookmarkStart w:id="29" w:name="_Toc494561947"/>
      <w:r>
        <w:rPr>
          <w:rFonts w:hint="eastAsia" w:cs="Times New Roman" w:asciiTheme="majorEastAsia" w:hAnsiTheme="majorEastAsia"/>
          <w:bCs w:val="0"/>
          <w:lang w:val="zh-CN"/>
        </w:rPr>
        <w:t>相关条文解读</w:t>
      </w:r>
      <w:bookmarkEnd w:id="28"/>
      <w:bookmarkEnd w:id="29"/>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根据财政部《政府采购法实施条例》释义中关于供应商资格条件的解释，对于银行、保险、石油石化、电力、电信等有行业特殊情况的，采购人和采购代理机构允许其分支机构参与投标。</w:t>
      </w:r>
    </w:p>
    <w:p>
      <w:pPr>
        <w:pStyle w:val="3"/>
        <w:numPr>
          <w:ilvl w:val="0"/>
          <w:numId w:val="4"/>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533862412"/>
      <w:r>
        <w:rPr>
          <w:rFonts w:hint="eastAsia" w:cs="Times New Roman" w:asciiTheme="majorEastAsia" w:hAnsiTheme="majorEastAsia"/>
          <w:bCs w:val="0"/>
          <w:lang w:val="zh-CN"/>
        </w:rPr>
        <w:t>其他注意事项</w:t>
      </w:r>
      <w:bookmarkEnd w:id="30"/>
      <w:bookmarkEnd w:id="31"/>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278891598"/>
      <w:bookmarkStart w:id="34" w:name="_Toc494561949"/>
      <w:bookmarkStart w:id="35" w:name="_Toc533862413"/>
      <w:r>
        <w:rPr>
          <w:rFonts w:hint="eastAsia" w:cs="Times New Roman" w:asciiTheme="majorEastAsia" w:hAnsiTheme="majorEastAsia"/>
          <w:bCs w:val="0"/>
          <w:lang w:val="zh-CN"/>
        </w:rPr>
        <w:t>适用法律</w:t>
      </w:r>
      <w:bookmarkEnd w:id="32"/>
      <w:bookmarkEnd w:id="33"/>
      <w:bookmarkEnd w:id="34"/>
      <w:bookmarkEnd w:id="35"/>
    </w:p>
    <w:p>
      <w:pPr>
        <w:numPr>
          <w:ilvl w:val="0"/>
          <w:numId w:val="5"/>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5"/>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4"/>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278891599"/>
      <w:bookmarkStart w:id="38" w:name="_Toc272247702"/>
      <w:bookmarkStart w:id="39" w:name="_Toc533862414"/>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5"/>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2"/>
        <w:numPr>
          <w:ilvl w:val="0"/>
          <w:numId w:val="1"/>
        </w:numPr>
        <w:jc w:val="center"/>
        <w:rPr>
          <w:rFonts w:ascii="黑体" w:hAnsi="黑体" w:eastAsia="黑体"/>
        </w:rPr>
      </w:pPr>
      <w:bookmarkStart w:id="40" w:name="_Toc533862415"/>
      <w:r>
        <w:rPr>
          <w:rFonts w:hint="eastAsia" w:ascii="黑体" w:hAnsi="黑体" w:eastAsia="黑体"/>
        </w:rPr>
        <w:t>项目技术、服务及商务要求</w:t>
      </w:r>
      <w:bookmarkEnd w:id="40"/>
    </w:p>
    <w:p>
      <w:pPr>
        <w:pStyle w:val="3"/>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1" w:name="_Toc338065593"/>
      <w:bookmarkStart w:id="42" w:name="_Toc533862416"/>
      <w:bookmarkStart w:id="43" w:name="_Toc339378679"/>
      <w:bookmarkStart w:id="44" w:name="_Toc494561952"/>
      <w:r>
        <w:rPr>
          <w:rFonts w:hint="eastAsia" w:cs="Times New Roman" w:asciiTheme="majorEastAsia" w:hAnsiTheme="majorEastAsia"/>
          <w:bCs w:val="0"/>
          <w:sz w:val="30"/>
          <w:szCs w:val="30"/>
          <w:lang w:val="zh-CN"/>
        </w:rPr>
        <w:t>采购清单</w:t>
      </w:r>
      <w:bookmarkEnd w:id="41"/>
      <w:bookmarkEnd w:id="42"/>
      <w:bookmarkEnd w:id="43"/>
      <w:bookmarkEnd w:id="44"/>
      <w:bookmarkStart w:id="45" w:name="_Toc338065594"/>
      <w:bookmarkStart w:id="46" w:name="_Toc339378680"/>
    </w:p>
    <w:tbl>
      <w:tblPr>
        <w:tblStyle w:val="18"/>
        <w:tblW w:w="9370" w:type="dxa"/>
        <w:tblInd w:w="93" w:type="dxa"/>
        <w:tblLayout w:type="fixed"/>
        <w:tblCellMar>
          <w:top w:w="0" w:type="dxa"/>
          <w:left w:w="108" w:type="dxa"/>
          <w:bottom w:w="0" w:type="dxa"/>
          <w:right w:w="108" w:type="dxa"/>
        </w:tblCellMar>
      </w:tblPr>
      <w:tblGrid>
        <w:gridCol w:w="634"/>
        <w:gridCol w:w="802"/>
        <w:gridCol w:w="1998"/>
        <w:gridCol w:w="661"/>
        <w:gridCol w:w="647"/>
        <w:gridCol w:w="3376"/>
        <w:gridCol w:w="1252"/>
      </w:tblGrid>
      <w:tr>
        <w:tblPrEx>
          <w:tblCellMar>
            <w:top w:w="0" w:type="dxa"/>
            <w:left w:w="108" w:type="dxa"/>
            <w:bottom w:w="0" w:type="dxa"/>
            <w:right w:w="108" w:type="dxa"/>
          </w:tblCellMar>
        </w:tblPrEx>
        <w:trPr>
          <w:trHeight w:val="26" w:hRule="atLeast"/>
        </w:trPr>
        <w:tc>
          <w:tcPr>
            <w:tcW w:w="634" w:type="dxa"/>
            <w:tcBorders>
              <w:top w:val="single" w:color="auto" w:sz="4" w:space="0"/>
              <w:left w:val="single" w:color="auto" w:sz="4" w:space="0"/>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2800" w:type="dxa"/>
            <w:gridSpan w:val="2"/>
            <w:tcBorders>
              <w:top w:val="single" w:color="auto" w:sz="4" w:space="0"/>
              <w:left w:val="nil"/>
              <w:bottom w:val="single" w:color="auto" w:sz="4" w:space="0"/>
              <w:right w:val="single" w:color="auto" w:sz="4" w:space="0"/>
            </w:tcBorders>
            <w:shd w:val="clear" w:color="auto" w:fill="DDD9C3"/>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名称</w:t>
            </w:r>
          </w:p>
        </w:tc>
        <w:tc>
          <w:tcPr>
            <w:tcW w:w="661"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数量</w:t>
            </w:r>
          </w:p>
        </w:tc>
        <w:tc>
          <w:tcPr>
            <w:tcW w:w="647"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单位</w:t>
            </w:r>
          </w:p>
        </w:tc>
        <w:tc>
          <w:tcPr>
            <w:tcW w:w="3376" w:type="dxa"/>
            <w:tcBorders>
              <w:top w:val="single" w:color="auto" w:sz="4" w:space="0"/>
              <w:left w:val="nil"/>
              <w:bottom w:val="single" w:color="auto" w:sz="4" w:space="0"/>
              <w:right w:val="single" w:color="auto" w:sz="4" w:space="0"/>
            </w:tcBorders>
            <w:shd w:val="clear" w:color="auto" w:fill="DDD9C3"/>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要求/备注</w:t>
            </w:r>
          </w:p>
        </w:tc>
        <w:tc>
          <w:tcPr>
            <w:tcW w:w="1252" w:type="dxa"/>
            <w:tcBorders>
              <w:top w:val="single" w:color="auto" w:sz="4" w:space="0"/>
              <w:left w:val="nil"/>
              <w:bottom w:val="single" w:color="auto" w:sz="4" w:space="0"/>
              <w:right w:val="single" w:color="auto" w:sz="4" w:space="0"/>
            </w:tcBorders>
            <w:shd w:val="clear" w:color="auto" w:fill="DDD9C3"/>
            <w:vAlign w:val="center"/>
          </w:tcPr>
          <w:p>
            <w:pPr>
              <w:spacing w:line="360" w:lineRule="auto"/>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货物/服务</w:t>
            </w:r>
          </w:p>
        </w:tc>
      </w:tr>
      <w:tr>
        <w:tblPrEx>
          <w:tblCellMar>
            <w:top w:w="0" w:type="dxa"/>
            <w:left w:w="108" w:type="dxa"/>
            <w:bottom w:w="0" w:type="dxa"/>
            <w:right w:w="108" w:type="dxa"/>
          </w:tblCellMar>
        </w:tblPrEx>
        <w:trPr>
          <w:trHeight w:val="735" w:hRule="atLeast"/>
        </w:trPr>
        <w:tc>
          <w:tcPr>
            <w:tcW w:w="634" w:type="dxa"/>
            <w:tcBorders>
              <w:top w:val="nil"/>
              <w:left w:val="single" w:color="auto" w:sz="4" w:space="0"/>
              <w:bottom w:val="single" w:color="auto" w:sz="4" w:space="0"/>
              <w:right w:val="single" w:color="auto" w:sz="4" w:space="0"/>
            </w:tcBorders>
            <w:shd w:val="clear" w:color="auto" w:fill="auto"/>
            <w:vAlign w:val="center"/>
          </w:tcPr>
          <w:p>
            <w:pPr>
              <w:pStyle w:val="27"/>
              <w:numPr>
                <w:ilvl w:val="0"/>
                <w:numId w:val="40"/>
              </w:numPr>
              <w:tabs>
                <w:tab w:val="left" w:pos="33"/>
              </w:tabs>
              <w:ind w:left="-93" w:right="-48" w:rightChars="-23" w:hanging="3" w:firstLineChars="0"/>
              <w:jc w:val="center"/>
              <w:rPr>
                <w:rFonts w:ascii="宋体" w:hAnsi="宋体" w:eastAsia="宋体" w:cs="Times New Roman"/>
                <w:sz w:val="24"/>
                <w:szCs w:val="24"/>
              </w:rPr>
            </w:pPr>
          </w:p>
        </w:tc>
        <w:tc>
          <w:tcPr>
            <w:tcW w:w="2800" w:type="dxa"/>
            <w:gridSpan w:val="2"/>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sz w:val="24"/>
                <w:szCs w:val="24"/>
              </w:rPr>
              <w:t>湖北网湖自然保护区水生态环境保护规划项目</w:t>
            </w:r>
          </w:p>
        </w:tc>
        <w:tc>
          <w:tcPr>
            <w:tcW w:w="661"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1</w:t>
            </w:r>
          </w:p>
        </w:tc>
        <w:tc>
          <w:tcPr>
            <w:tcW w:w="647"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项</w:t>
            </w:r>
          </w:p>
        </w:tc>
        <w:tc>
          <w:tcPr>
            <w:tcW w:w="3376"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p>
        </w:tc>
        <w:tc>
          <w:tcPr>
            <w:tcW w:w="1252" w:type="dxa"/>
            <w:tcBorders>
              <w:top w:val="nil"/>
              <w:left w:val="single" w:color="auto" w:sz="4" w:space="0"/>
              <w:bottom w:val="single" w:color="auto" w:sz="4" w:space="0"/>
              <w:right w:val="single" w:color="auto" w:sz="4" w:space="0"/>
            </w:tcBorders>
            <w:shd w:val="clear" w:color="auto" w:fill="auto"/>
            <w:vAlign w:val="center"/>
          </w:tcPr>
          <w:p>
            <w:pPr>
              <w:ind w:left="-48" w:leftChars="-23" w:right="-48" w:rightChars="-23"/>
              <w:jc w:val="center"/>
              <w:rPr>
                <w:rFonts w:ascii="宋体" w:hAnsi="宋体" w:eastAsia="宋体" w:cs="Times New Roman"/>
                <w:sz w:val="24"/>
                <w:szCs w:val="24"/>
              </w:rPr>
            </w:pPr>
            <w:r>
              <w:rPr>
                <w:rFonts w:hint="eastAsia" w:ascii="宋体" w:hAnsi="宋体" w:eastAsia="宋体" w:cs="Times New Roman"/>
                <w:sz w:val="24"/>
                <w:szCs w:val="24"/>
              </w:rPr>
              <w:t>服务</w:t>
            </w:r>
          </w:p>
        </w:tc>
      </w:tr>
      <w:tr>
        <w:tblPrEx>
          <w:tblCellMar>
            <w:top w:w="0" w:type="dxa"/>
            <w:left w:w="108" w:type="dxa"/>
            <w:bottom w:w="0" w:type="dxa"/>
            <w:right w:w="108" w:type="dxa"/>
          </w:tblCellMar>
        </w:tblPrEx>
        <w:trPr>
          <w:trHeight w:val="673" w:hRule="atLeast"/>
        </w:trPr>
        <w:tc>
          <w:tcPr>
            <w:tcW w:w="1436" w:type="dxa"/>
            <w:gridSpan w:val="2"/>
            <w:tcBorders>
              <w:top w:val="single" w:color="auto" w:sz="4" w:space="0"/>
              <w:left w:val="single" w:color="auto" w:sz="4" w:space="0"/>
              <w:bottom w:val="single" w:color="auto" w:sz="4" w:space="0"/>
              <w:right w:val="single" w:color="auto" w:sz="4" w:space="0"/>
            </w:tcBorders>
            <w:vAlign w:val="center"/>
          </w:tcPr>
          <w:p>
            <w:pPr>
              <w:ind w:left="-48" w:leftChars="-23" w:right="-48" w:rightChars="-23"/>
              <w:jc w:val="center"/>
              <w:rPr>
                <w:rFonts w:ascii="宋体" w:hAnsi="宋体" w:eastAsia="宋体" w:cs="Times New Roman"/>
                <w:sz w:val="24"/>
                <w:szCs w:val="24"/>
              </w:rPr>
            </w:pPr>
            <w:r>
              <w:rPr>
                <w:rFonts w:ascii="宋体" w:hAnsi="宋体" w:eastAsia="宋体" w:cs="Times New Roman"/>
                <w:sz w:val="24"/>
                <w:szCs w:val="24"/>
              </w:rPr>
              <w:t>服务期限</w:t>
            </w:r>
          </w:p>
        </w:tc>
        <w:tc>
          <w:tcPr>
            <w:tcW w:w="7934" w:type="dxa"/>
            <w:gridSpan w:val="5"/>
            <w:tcBorders>
              <w:top w:val="single" w:color="auto" w:sz="4" w:space="0"/>
              <w:left w:val="single" w:color="auto" w:sz="4" w:space="0"/>
              <w:bottom w:val="single" w:color="auto" w:sz="4" w:space="0"/>
              <w:right w:val="single" w:color="auto" w:sz="4" w:space="0"/>
            </w:tcBorders>
            <w:vAlign w:val="center"/>
          </w:tcPr>
          <w:p>
            <w:pPr>
              <w:ind w:right="-48" w:rightChars="-23"/>
              <w:jc w:val="left"/>
              <w:rPr>
                <w:rFonts w:ascii="宋体" w:hAnsi="宋体" w:eastAsia="宋体" w:cs="Times New Roman"/>
                <w:sz w:val="24"/>
                <w:szCs w:val="24"/>
              </w:rPr>
            </w:pPr>
            <w:r>
              <w:rPr>
                <w:rFonts w:hint="eastAsia" w:ascii="宋体" w:hAnsi="宋体" w:eastAsia="宋体" w:cs="Times New Roman"/>
                <w:sz w:val="24"/>
                <w:szCs w:val="24"/>
              </w:rPr>
              <w:t>2年</w:t>
            </w:r>
          </w:p>
        </w:tc>
      </w:tr>
    </w:tbl>
    <w:p>
      <w:pPr>
        <w:pStyle w:val="3"/>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7" w:name="_Toc533862417"/>
      <w:r>
        <w:rPr>
          <w:rFonts w:hint="eastAsia" w:cs="Times New Roman" w:asciiTheme="majorEastAsia" w:hAnsiTheme="majorEastAsia"/>
          <w:bCs w:val="0"/>
          <w:sz w:val="30"/>
          <w:szCs w:val="30"/>
          <w:lang w:val="zh-CN"/>
        </w:rPr>
        <w:t>项目概况</w:t>
      </w:r>
      <w:bookmarkEnd w:id="47"/>
    </w:p>
    <w:p>
      <w:pPr>
        <w:spacing w:line="360" w:lineRule="auto"/>
        <w:ind w:left="-48" w:leftChars="-23" w:right="-48" w:rightChars="-23" w:firstLine="480" w:firstLineChars="200"/>
        <w:jc w:val="left"/>
        <w:rPr>
          <w:rFonts w:ascii="宋体" w:hAnsi="宋体" w:eastAsia="宋体"/>
          <w:sz w:val="24"/>
          <w:szCs w:val="24"/>
        </w:rPr>
      </w:pPr>
      <w:r>
        <w:rPr>
          <w:rFonts w:hint="eastAsia" w:ascii="宋体" w:hAnsi="宋体" w:eastAsia="宋体"/>
          <w:sz w:val="24"/>
          <w:szCs w:val="24"/>
        </w:rPr>
        <w:t>党中央、国务院高度重视长江经济带生态环境保护工作，习近平总书记多次对长江经济带生态环境保护工作作出重要指示，《长江经济带生态环境保护规划》要求积极推进水质较好湖泊的保护。湖北阳新网湖列入规划中的水质较好湖泊名单，网湖湿地也被列入《国际重要湿地名录》，属于重点保护对象之一。为推进网湖水质降磷及水生态恢复工作，强化网湖自然保护区生态环境保护顶层规划，理顺自然保护区环境整治与保护思路，保障网湖水质安全，拟开展湖北网湖自然保护区水生态环境保护规划项目。</w:t>
      </w:r>
    </w:p>
    <w:bookmarkEnd w:id="45"/>
    <w:bookmarkEnd w:id="46"/>
    <w:p>
      <w:pPr>
        <w:pStyle w:val="3"/>
        <w:numPr>
          <w:ilvl w:val="0"/>
          <w:numId w:val="39"/>
        </w:numPr>
        <w:spacing w:before="0" w:after="0" w:line="360" w:lineRule="auto"/>
        <w:ind w:left="616" w:hanging="616"/>
        <w:jc w:val="left"/>
      </w:pPr>
      <w:bookmarkStart w:id="48" w:name="_Toc533862418"/>
      <w:bookmarkStart w:id="49" w:name="_Toc494561955"/>
      <w:r>
        <w:rPr>
          <w:rFonts w:hint="eastAsia"/>
        </w:rPr>
        <w:t>采购项目内容及要求</w:t>
      </w:r>
      <w:bookmarkEnd w:id="48"/>
    </w:p>
    <w:p>
      <w:pPr>
        <w:autoSpaceDE w:val="0"/>
        <w:autoSpaceDN w:val="0"/>
        <w:adjustRightInd w:val="0"/>
        <w:spacing w:line="360" w:lineRule="auto"/>
        <w:ind w:firstLine="480" w:firstLineChars="200"/>
        <w:rPr>
          <w:rFonts w:ascii="宋体" w:hAnsi="宋体" w:eastAsia="宋体"/>
          <w:b/>
          <w:sz w:val="24"/>
          <w:szCs w:val="24"/>
        </w:rPr>
      </w:pPr>
      <w:r>
        <w:rPr>
          <w:rFonts w:hint="eastAsia" w:ascii="宋体" w:hAnsi="宋体" w:eastAsia="宋体"/>
          <w:b/>
          <w:sz w:val="24"/>
          <w:szCs w:val="24"/>
        </w:rPr>
        <w:t>（一）规划编制要求</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全面贯彻党的十九大报告及习近平生态文明思想精神，坚持“保护第一、合理利用”的基本方针，以改善水环境质量和保障水生态系统健康为核心，以推进长江经济带生态环境保护、实现“让网湖休养生息”为目标，按照“控源减负、生态修复”的技术思路，从现状调查、问题诊断、目标制定、保护措施、项目安排、投资估算、目标可达性分析及规划实施的保障措施等方面开展网湖生态环境保护规划的编制工作，切实指导网湖的自然生态功能改善与恢复工作，维护生物多样性和湖泊生态景观，促进流域经济社会与环境保护可持续发展。</w:t>
      </w:r>
    </w:p>
    <w:p>
      <w:pPr>
        <w:autoSpaceDE w:val="0"/>
        <w:autoSpaceDN w:val="0"/>
        <w:adjustRightInd w:val="0"/>
        <w:spacing w:line="360" w:lineRule="auto"/>
        <w:ind w:firstLine="480" w:firstLineChars="200"/>
        <w:rPr>
          <w:rFonts w:ascii="宋体" w:hAnsi="宋体" w:eastAsia="宋体"/>
          <w:b/>
          <w:sz w:val="24"/>
          <w:szCs w:val="24"/>
        </w:rPr>
      </w:pPr>
      <w:r>
        <w:rPr>
          <w:rFonts w:hint="eastAsia" w:ascii="宋体" w:hAnsi="宋体" w:eastAsia="宋体"/>
          <w:b/>
          <w:sz w:val="24"/>
          <w:szCs w:val="24"/>
        </w:rPr>
        <w:t>1、规划范围</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本项目围绕网湖自然保护区水生态环境保护开展研究分析，主要研究范围包括：以网湖自然保护区为核心，并包含影响网湖水质的上游汇入支流水体（湖库）及其陆域范围。</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具体包括：网湖、塞桥湖、猪婆湖、夹节湖、大坡湖、犀湖、伍家湖、下羊湖、戎湖、杨塞湖、南湖、吴家塞湖、小塞湖13个湖泊流域范围，以及网湖湿地自然保护区涉及的陶港镇（8个村），富池镇（4个村），兴国镇（3个村），木港镇（2个村），枫林镇（4个村），半壁山管理区的五爪嘴大队，城东新区的新塘社区。</w:t>
      </w:r>
    </w:p>
    <w:p>
      <w:pPr>
        <w:autoSpaceDE w:val="0"/>
        <w:autoSpaceDN w:val="0"/>
        <w:adjustRightInd w:val="0"/>
        <w:spacing w:line="360" w:lineRule="auto"/>
        <w:ind w:firstLine="480" w:firstLineChars="200"/>
        <w:rPr>
          <w:rFonts w:ascii="宋体" w:hAnsi="宋体" w:eastAsia="宋体"/>
          <w:b/>
          <w:sz w:val="24"/>
          <w:szCs w:val="24"/>
        </w:rPr>
      </w:pPr>
      <w:r>
        <w:rPr>
          <w:rFonts w:hint="eastAsia" w:ascii="宋体" w:hAnsi="宋体" w:eastAsia="宋体"/>
          <w:b/>
          <w:sz w:val="24"/>
          <w:szCs w:val="24"/>
        </w:rPr>
        <w:t>2、规划年限</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基准年为2018年，近期为2019-2023年，远期为2024-2028年。</w:t>
      </w:r>
    </w:p>
    <w:p>
      <w:pPr>
        <w:autoSpaceDE w:val="0"/>
        <w:autoSpaceDN w:val="0"/>
        <w:adjustRightInd w:val="0"/>
        <w:spacing w:line="360" w:lineRule="auto"/>
        <w:ind w:firstLine="480"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、规划工作方案编制</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按照</w:t>
      </w:r>
      <w:r>
        <w:rPr>
          <w:rFonts w:hint="eastAsia" w:ascii="宋体" w:hAnsi="宋体" w:eastAsia="宋体"/>
          <w:kern w:val="44"/>
          <w:sz w:val="24"/>
          <w:szCs w:val="24"/>
        </w:rPr>
        <w:t>《</w:t>
      </w:r>
      <w:r>
        <w:rPr>
          <w:rFonts w:hint="eastAsia" w:ascii="宋体" w:hAnsi="宋体" w:eastAsia="宋体"/>
          <w:color w:val="000000"/>
          <w:sz w:val="24"/>
          <w:szCs w:val="24"/>
        </w:rPr>
        <w:t>黄石市水污染防治实施方案</w:t>
      </w:r>
      <w:r>
        <w:rPr>
          <w:rFonts w:hint="eastAsia" w:ascii="宋体" w:hAnsi="宋体" w:eastAsia="宋体"/>
          <w:kern w:val="44"/>
          <w:sz w:val="24"/>
          <w:szCs w:val="24"/>
        </w:rPr>
        <w:t>》，结合中央及省市环保督察、国家审计署反馈问题整改、“绿盾2018”专项行动等工作要求，</w:t>
      </w:r>
      <w:r>
        <w:rPr>
          <w:rFonts w:hint="eastAsia" w:ascii="宋体" w:hAnsi="宋体" w:eastAsia="宋体"/>
          <w:sz w:val="24"/>
          <w:szCs w:val="24"/>
        </w:rPr>
        <w:t>编制《湖北网湖自然保护区水生态环境保护规划工作方案》，工作方案内容包括但不限于任务内容、技术路线、工作方法（含现场调查监测点位布设、调查内容、资料收集等）、任务组织、进度安排等。</w:t>
      </w:r>
    </w:p>
    <w:p>
      <w:pPr>
        <w:autoSpaceDE w:val="0"/>
        <w:autoSpaceDN w:val="0"/>
        <w:adjustRightInd w:val="0"/>
        <w:spacing w:line="360" w:lineRule="auto"/>
        <w:ind w:firstLine="480" w:firstLineChars="200"/>
        <w:rPr>
          <w:rFonts w:ascii="宋体" w:hAnsi="宋体" w:eastAsia="宋体"/>
          <w:b/>
          <w:sz w:val="24"/>
          <w:szCs w:val="24"/>
        </w:rPr>
      </w:pPr>
      <w:r>
        <w:rPr>
          <w:rFonts w:hint="eastAsia" w:ascii="宋体" w:hAnsi="宋体" w:eastAsia="宋体"/>
          <w:b/>
          <w:sz w:val="24"/>
          <w:szCs w:val="24"/>
        </w:rPr>
        <w:t>（二）规划思路与主要工作内容</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在开展网湖生态安全调查和评估的基础上，结合流域基本情况、主要环境问题、环境资源承载力及生态环境保护总体目标，从流域社会经济调控、水土资源调控、污染源防治、生态修复与保护、监管能力建设等方面提出相应的治理和保护措施，明确重点工程项目、估算工程投资、并进行目标可达性和规划实施保障措施分析。编制完成《湖北网湖自然保护区水生态环境保护规划》。</w:t>
      </w:r>
    </w:p>
    <w:p>
      <w:pPr>
        <w:autoSpaceDE w:val="0"/>
        <w:autoSpaceDN w:val="0"/>
        <w:adjustRightInd w:val="0"/>
        <w:spacing w:line="360" w:lineRule="auto"/>
        <w:ind w:firstLine="480" w:firstLineChars="200"/>
        <w:rPr>
          <w:rFonts w:ascii="宋体" w:hAnsi="宋体" w:eastAsia="宋体"/>
          <w:bCs/>
          <w:kern w:val="44"/>
          <w:sz w:val="24"/>
          <w:szCs w:val="24"/>
        </w:rPr>
      </w:pPr>
      <w:r>
        <w:rPr>
          <w:rFonts w:hint="eastAsia" w:ascii="宋体" w:hAnsi="宋体" w:eastAsia="宋体"/>
          <w:bCs/>
          <w:kern w:val="44"/>
          <w:sz w:val="24"/>
          <w:szCs w:val="24"/>
        </w:rPr>
        <w:t>主要工作内容包括（但不限于）：</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1、自然环境与社会经济趋势分析：自然环境与资源现状、社会经济发展现状、水环境保护管理现状；</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2、水环境现状调查：水土资源利用情况调查、水文水质资料收集、水环境问题诊断；</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3、水文水质及地形补充监测：对湖泊群进行定期水质补充监测，开展加密水文水质监测及地形监测。</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4、底泥污染补充监测：对网湖及周边联通湖泊的主要内源污染-底泥进行监测</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5、水污染源调查与污染负荷总量预测：污染控制单元细化、工业污染源调查、生活污染源调查、地表径流污染源调查与负荷预测、内源污染特征分析与预测；</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6、生态现状调查：开展全面的生态资源调查，包括植被多样性、植物多样性、动物多样性等，了解该区域自然资源和生态环境本底，进行生态和生物多样性评价报告；</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7、压力分析与目标指标研究：水质不达标成因分析，区域水环境保护压力分析；</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8、水环境数学模型构建：污染排放与水质响应关系建立、允许排放量计算、生态流量计算；</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9、整治措施与规划任务：社会经济布局调控方案、水资源优化配置方案、污染物排放控制措施、水生态环境综合治理与保护方案、监管能力建设；</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10、重点工程与投资估算：重点工程安排与投资经费概算；</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11、可达性分析与实施保障：项目目标、实施可行性分析，提出落实规划的保障措施。</w:t>
      </w:r>
    </w:p>
    <w:p>
      <w:pPr>
        <w:autoSpaceDE w:val="0"/>
        <w:autoSpaceDN w:val="0"/>
        <w:adjustRightInd w:val="0"/>
        <w:spacing w:line="360" w:lineRule="auto"/>
        <w:ind w:firstLine="480" w:firstLineChars="200"/>
        <w:rPr>
          <w:rFonts w:ascii="宋体" w:hAnsi="宋体" w:eastAsia="宋体"/>
          <w:b/>
          <w:sz w:val="24"/>
          <w:szCs w:val="24"/>
        </w:rPr>
      </w:pPr>
      <w:r>
        <w:rPr>
          <w:rFonts w:hint="eastAsia" w:ascii="宋体" w:hAnsi="宋体" w:eastAsia="宋体"/>
          <w:b/>
          <w:sz w:val="24"/>
          <w:szCs w:val="24"/>
        </w:rPr>
        <w:t>（三）规划成果提交要求</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在2</w:t>
      </w:r>
      <w:r>
        <w:rPr>
          <w:rFonts w:ascii="宋体" w:hAnsi="宋体" w:eastAsia="宋体"/>
          <w:sz w:val="24"/>
          <w:szCs w:val="24"/>
        </w:rPr>
        <w:t>019</w:t>
      </w:r>
      <w:r>
        <w:rPr>
          <w:rFonts w:hint="eastAsia" w:ascii="宋体" w:hAnsi="宋体" w:eastAsia="宋体"/>
          <w:sz w:val="24"/>
          <w:szCs w:val="24"/>
        </w:rPr>
        <w:t>年1</w:t>
      </w:r>
      <w:r>
        <w:rPr>
          <w:rFonts w:ascii="宋体" w:hAnsi="宋体" w:eastAsia="宋体"/>
          <w:sz w:val="24"/>
          <w:szCs w:val="24"/>
        </w:rPr>
        <w:t>2</w:t>
      </w:r>
      <w:r>
        <w:rPr>
          <w:rFonts w:hint="eastAsia" w:ascii="宋体" w:hAnsi="宋体" w:eastAsia="宋体"/>
          <w:sz w:val="24"/>
          <w:szCs w:val="24"/>
        </w:rPr>
        <w:t>月3</w:t>
      </w:r>
      <w:r>
        <w:rPr>
          <w:rFonts w:ascii="宋体" w:hAnsi="宋体" w:eastAsia="宋体"/>
          <w:sz w:val="24"/>
          <w:szCs w:val="24"/>
        </w:rPr>
        <w:t>1</w:t>
      </w:r>
      <w:r>
        <w:rPr>
          <w:rFonts w:hint="eastAsia" w:ascii="宋体" w:hAnsi="宋体" w:eastAsia="宋体"/>
          <w:sz w:val="24"/>
          <w:szCs w:val="24"/>
        </w:rPr>
        <w:t>日前完成《湖北网湖自然保护区水生态环境保护规划》。</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项目成果的内容必须符合本项目合同书的有关要求和国家的相关标准，并按采购人要求完成必要的成果评审和报批。</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提交成果数量和规格：《湖北网湖自然保护区水生态环境保护规划》（报批稿）</w:t>
      </w:r>
      <w:r>
        <w:rPr>
          <w:rFonts w:ascii="宋体" w:hAnsi="宋体" w:eastAsia="宋体"/>
          <w:sz w:val="24"/>
          <w:szCs w:val="24"/>
        </w:rPr>
        <w:t>2</w:t>
      </w:r>
      <w:r>
        <w:rPr>
          <w:rFonts w:hint="eastAsia" w:ascii="宋体" w:hAnsi="宋体" w:eastAsia="宋体"/>
          <w:sz w:val="24"/>
          <w:szCs w:val="24"/>
        </w:rPr>
        <w:t>0套；</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全部图文成果电子文件5套(电子版)。</w:t>
      </w:r>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文本文件和图件必须做到清晰、完整，尺寸齐全、准确，度量采用国际通用的公制度量标准。</w:t>
      </w:r>
      <w:bookmarkEnd w:id="49"/>
    </w:p>
    <w:p>
      <w:pPr>
        <w:autoSpaceDE w:val="0"/>
        <w:autoSpaceDN w:val="0"/>
        <w:adjustRightInd w:val="0"/>
        <w:spacing w:line="360" w:lineRule="auto"/>
        <w:ind w:firstLine="480" w:firstLineChars="200"/>
        <w:rPr>
          <w:rFonts w:ascii="宋体" w:hAnsi="宋体" w:eastAsia="宋体"/>
          <w:sz w:val="24"/>
          <w:szCs w:val="24"/>
        </w:rPr>
      </w:pPr>
      <w:r>
        <w:rPr>
          <w:rFonts w:hint="eastAsia" w:ascii="宋体" w:hAnsi="宋体" w:eastAsia="宋体"/>
          <w:sz w:val="24"/>
          <w:szCs w:val="24"/>
        </w:rPr>
        <w:t>规划编制单位应对项目实施过程中人员、设备等安全负主体责任，同时对规划成果中涉及的任务、工程等实施所涉及的环境安全负主体责任。</w:t>
      </w:r>
    </w:p>
    <w:p>
      <w:pPr>
        <w:pStyle w:val="3"/>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50" w:name="_Toc533862419"/>
      <w:bookmarkStart w:id="51" w:name="_Toc494561956"/>
      <w:r>
        <w:rPr>
          <w:rFonts w:hint="eastAsia" w:cs="Times New Roman" w:asciiTheme="majorEastAsia" w:hAnsiTheme="majorEastAsia"/>
          <w:bCs w:val="0"/>
          <w:sz w:val="30"/>
          <w:szCs w:val="30"/>
          <w:lang w:val="zh-CN"/>
        </w:rPr>
        <w:t>商务要求</w:t>
      </w:r>
      <w:bookmarkEnd w:id="50"/>
      <w:bookmarkEnd w:id="51"/>
    </w:p>
    <w:p>
      <w:pPr>
        <w:pStyle w:val="38"/>
        <w:numPr>
          <w:ilvl w:val="0"/>
          <w:numId w:val="41"/>
        </w:numPr>
        <w:spacing w:line="360" w:lineRule="auto"/>
        <w:ind w:firstLine="36" w:firstLineChars="0"/>
        <w:rPr>
          <w:rFonts w:ascii="宋体" w:hAnsi="宋体" w:eastAsia="宋体" w:cs="宋体"/>
          <w:b/>
          <w:sz w:val="24"/>
          <w:szCs w:val="24"/>
        </w:rPr>
      </w:pPr>
      <w:r>
        <w:rPr>
          <w:rFonts w:hint="eastAsia" w:ascii="宋体" w:hAnsi="宋体" w:eastAsia="宋体" w:cs="宋体"/>
          <w:b/>
          <w:sz w:val="24"/>
          <w:szCs w:val="24"/>
        </w:rPr>
        <w:t>付款方式：</w:t>
      </w:r>
    </w:p>
    <w:p>
      <w:pPr>
        <w:autoSpaceDE w:val="0"/>
        <w:autoSpaceDN w:val="0"/>
        <w:adjustRightInd w:val="0"/>
        <w:spacing w:line="360" w:lineRule="auto"/>
        <w:ind w:firstLine="480" w:firstLineChars="200"/>
        <w:rPr>
          <w:rFonts w:ascii="宋体"/>
          <w:sz w:val="24"/>
          <w:szCs w:val="24"/>
        </w:rPr>
      </w:pPr>
      <w:r>
        <w:rPr>
          <w:rFonts w:hint="eastAsia" w:ascii="宋体" w:hAnsi="宋体"/>
          <w:sz w:val="24"/>
          <w:szCs w:val="24"/>
        </w:rPr>
        <w:t>本项目采用分期付款方式，具体如下：</w:t>
      </w:r>
    </w:p>
    <w:p>
      <w:pPr>
        <w:autoSpaceDE w:val="0"/>
        <w:autoSpaceDN w:val="0"/>
        <w:adjustRightInd w:val="0"/>
        <w:spacing w:line="360" w:lineRule="auto"/>
        <w:ind w:firstLine="480" w:firstLineChars="20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hint="eastAsia" w:ascii="宋体" w:hAnsi="宋体" w:cs="宋体"/>
          <w:sz w:val="24"/>
          <w:szCs w:val="24"/>
        </w:rPr>
        <w:t>合同签定后，采购方在收到合法票据15日内向中标人支付50%的合同金额，作为项目启动经费</w:t>
      </w:r>
      <w:r>
        <w:rPr>
          <w:rFonts w:hint="eastAsia" w:ascii="宋体" w:hAnsi="宋体"/>
          <w:sz w:val="24"/>
          <w:szCs w:val="24"/>
        </w:rPr>
        <w:t>；</w:t>
      </w:r>
    </w:p>
    <w:p>
      <w:pPr>
        <w:autoSpaceDE w:val="0"/>
        <w:autoSpaceDN w:val="0"/>
        <w:adjustRightInd w:val="0"/>
        <w:spacing w:line="360" w:lineRule="auto"/>
        <w:ind w:firstLine="480" w:firstLineChars="200"/>
        <w:rPr>
          <w:rFonts w:ascii="宋体"/>
          <w:sz w:val="24"/>
          <w:szCs w:val="24"/>
        </w:rPr>
      </w:pPr>
      <w:r>
        <w:rPr>
          <w:rFonts w:hint="eastAsia" w:ascii="宋体" w:hAnsi="宋体"/>
          <w:sz w:val="24"/>
          <w:szCs w:val="24"/>
        </w:rPr>
        <w:t>（2）中标人按要求提交规划成果，通过专家评审后，</w:t>
      </w:r>
      <w:r>
        <w:rPr>
          <w:rFonts w:hint="eastAsia" w:ascii="宋体" w:hAnsi="宋体" w:cs="宋体"/>
          <w:sz w:val="24"/>
          <w:szCs w:val="24"/>
        </w:rPr>
        <w:t>采购方</w:t>
      </w:r>
      <w:r>
        <w:rPr>
          <w:rFonts w:hint="eastAsia" w:ascii="宋体" w:hAnsi="宋体"/>
          <w:sz w:val="24"/>
          <w:szCs w:val="24"/>
        </w:rPr>
        <w:t>收到合法票据15日内支付合同4</w:t>
      </w:r>
      <w:r>
        <w:rPr>
          <w:rFonts w:ascii="宋体" w:hAnsi="宋体"/>
          <w:sz w:val="24"/>
          <w:szCs w:val="24"/>
        </w:rPr>
        <w:t>0</w:t>
      </w:r>
      <w:r>
        <w:rPr>
          <w:rFonts w:hint="eastAsia" w:ascii="宋体" w:hAnsi="宋体"/>
          <w:sz w:val="24"/>
          <w:szCs w:val="24"/>
        </w:rPr>
        <w:t>%的款项；</w:t>
      </w:r>
    </w:p>
    <w:p>
      <w:pPr>
        <w:spacing w:line="360" w:lineRule="auto"/>
        <w:ind w:firstLine="480" w:firstLineChars="200"/>
        <w:rPr>
          <w:rFonts w:ascii="宋体" w:hAnsi="宋体"/>
          <w:sz w:val="24"/>
          <w:szCs w:val="24"/>
        </w:rPr>
      </w:pPr>
      <w:r>
        <w:rPr>
          <w:rFonts w:hint="eastAsia" w:ascii="宋体" w:hAnsi="宋体"/>
          <w:sz w:val="24"/>
          <w:szCs w:val="24"/>
        </w:rPr>
        <w:t>（3）中标人提交全部项目成果后，采购方收到合法票据15日内支付项目合同金额1</w:t>
      </w:r>
      <w:r>
        <w:rPr>
          <w:rFonts w:ascii="宋体" w:hAnsi="宋体"/>
          <w:sz w:val="24"/>
          <w:szCs w:val="24"/>
        </w:rPr>
        <w:t>0</w:t>
      </w:r>
      <w:r>
        <w:rPr>
          <w:rFonts w:hint="eastAsia" w:ascii="宋体" w:hAnsi="宋体"/>
          <w:sz w:val="24"/>
          <w:szCs w:val="24"/>
        </w:rPr>
        <w:t>%。</w:t>
      </w:r>
    </w:p>
    <w:p>
      <w:pPr>
        <w:pStyle w:val="38"/>
        <w:numPr>
          <w:ilvl w:val="0"/>
          <w:numId w:val="41"/>
        </w:numPr>
        <w:spacing w:line="360" w:lineRule="auto"/>
        <w:ind w:firstLine="36" w:firstLineChars="0"/>
        <w:rPr>
          <w:rFonts w:ascii="宋体" w:hAnsi="宋体" w:eastAsia="宋体" w:cs="宋体"/>
          <w:b/>
          <w:sz w:val="24"/>
          <w:szCs w:val="24"/>
        </w:rPr>
      </w:pPr>
      <w:r>
        <w:rPr>
          <w:rFonts w:hint="eastAsia" w:ascii="宋体" w:hAnsi="宋体" w:eastAsia="宋体" w:cs="宋体"/>
          <w:b/>
          <w:sz w:val="24"/>
          <w:szCs w:val="24"/>
        </w:rPr>
        <w:t>其他要求</w:t>
      </w:r>
      <w:r>
        <w:rPr>
          <w:rFonts w:hint="eastAsia" w:ascii="宋体" w:hAnsi="宋体" w:eastAsia="宋体" w:cs="宋体"/>
          <w:sz w:val="24"/>
          <w:szCs w:val="24"/>
        </w:rPr>
        <w:t>：</w:t>
      </w:r>
    </w:p>
    <w:p>
      <w:pPr>
        <w:pStyle w:val="38"/>
        <w:spacing w:line="360" w:lineRule="auto"/>
        <w:ind w:left="426" w:firstLine="0" w:firstLineChars="0"/>
        <w:rPr>
          <w:rFonts w:ascii="宋体" w:hAnsi="宋体"/>
          <w:b/>
          <w:sz w:val="24"/>
          <w:szCs w:val="24"/>
        </w:rPr>
      </w:pPr>
      <w:r>
        <w:rPr>
          <w:rFonts w:hint="eastAsia" w:ascii="宋体" w:hAnsi="宋体" w:eastAsia="宋体" w:cs="宋体"/>
          <w:b/>
          <w:sz w:val="24"/>
          <w:szCs w:val="24"/>
        </w:rPr>
        <w:t>（1）</w:t>
      </w:r>
      <w:r>
        <w:rPr>
          <w:rFonts w:hint="eastAsia" w:ascii="宋体" w:hAnsi="宋体"/>
          <w:b/>
          <w:sz w:val="24"/>
          <w:szCs w:val="24"/>
        </w:rPr>
        <w:t>本项目采购预算控制金额为</w:t>
      </w:r>
      <w:r>
        <w:rPr>
          <w:rFonts w:ascii="宋体" w:hAnsi="宋体"/>
          <w:b/>
          <w:sz w:val="24"/>
          <w:szCs w:val="24"/>
        </w:rPr>
        <w:t>456</w:t>
      </w:r>
      <w:r>
        <w:rPr>
          <w:rFonts w:hint="eastAsia" w:ascii="宋体" w:hAnsi="宋体"/>
          <w:b/>
          <w:sz w:val="24"/>
          <w:szCs w:val="24"/>
        </w:rPr>
        <w:t>.</w:t>
      </w:r>
      <w:r>
        <w:rPr>
          <w:rFonts w:ascii="宋体" w:hAnsi="宋体"/>
          <w:b/>
          <w:sz w:val="24"/>
          <w:szCs w:val="24"/>
        </w:rPr>
        <w:t>136</w:t>
      </w:r>
      <w:r>
        <w:rPr>
          <w:rFonts w:hint="eastAsia" w:ascii="宋体" w:hAnsi="宋体"/>
          <w:b/>
          <w:sz w:val="24"/>
          <w:szCs w:val="24"/>
        </w:rPr>
        <w:t>万元，超出预算控制金额将导致其投标无效。</w:t>
      </w:r>
    </w:p>
    <w:p>
      <w:pPr>
        <w:pStyle w:val="38"/>
        <w:spacing w:line="360" w:lineRule="auto"/>
        <w:ind w:left="426" w:firstLine="0" w:firstLineChars="0"/>
        <w:rPr>
          <w:rFonts w:ascii="宋体" w:hAnsi="宋体" w:eastAsia="宋体" w:cs="宋体"/>
          <w:b/>
          <w:sz w:val="24"/>
          <w:szCs w:val="24"/>
        </w:rPr>
      </w:pPr>
      <w:r>
        <w:rPr>
          <w:rFonts w:hint="eastAsia" w:ascii="宋体" w:hAnsi="宋体"/>
          <w:b/>
          <w:sz w:val="24"/>
          <w:szCs w:val="24"/>
        </w:rPr>
        <w:t>（2）本项目中标人需与采购方签订《廉政责任书》作为合同的附件，以规范合同双方的各项活动，防止发生各种谋取不正当利益的违法违纪行为，保护国家、集体和当事人的合法权益。</w:t>
      </w:r>
    </w:p>
    <w:p>
      <w:pPr>
        <w:spacing w:line="360" w:lineRule="auto"/>
        <w:rPr>
          <w:rFonts w:ascii="宋体" w:hAnsi="宋体" w:eastAsia="宋体" w:cs="宋体"/>
          <w:b/>
          <w:sz w:val="24"/>
          <w:szCs w:val="24"/>
        </w:rPr>
      </w:pPr>
    </w:p>
    <w:p>
      <w:pPr>
        <w:spacing w:line="360" w:lineRule="auto"/>
        <w:ind w:left="716" w:hanging="712" w:hangingChars="297"/>
        <w:rPr>
          <w:rFonts w:ascii="宋体" w:hAnsi="宋体" w:eastAsia="宋体" w:cs="宋体"/>
          <w:b/>
          <w:sz w:val="24"/>
          <w:szCs w:val="24"/>
        </w:rPr>
      </w:pPr>
    </w:p>
    <w:p/>
    <w:p/>
    <w:p/>
    <w:p/>
    <w:p/>
    <w:p/>
    <w:p/>
    <w:p>
      <w:pPr>
        <w:pStyle w:val="2"/>
        <w:numPr>
          <w:ilvl w:val="0"/>
          <w:numId w:val="1"/>
        </w:numPr>
        <w:jc w:val="center"/>
        <w:rPr>
          <w:rFonts w:ascii="黑体" w:hAnsi="黑体" w:eastAsia="黑体"/>
        </w:rPr>
      </w:pPr>
      <w:bookmarkStart w:id="52" w:name="_Toc533862420"/>
      <w:r>
        <w:rPr>
          <w:rFonts w:hint="eastAsia" w:ascii="黑体" w:hAnsi="黑体" w:eastAsia="黑体"/>
        </w:rPr>
        <w:t>资格审查方法及标准</w:t>
      </w:r>
      <w:bookmarkEnd w:id="52"/>
    </w:p>
    <w:p>
      <w:pPr>
        <w:spacing w:line="360" w:lineRule="auto"/>
        <w:ind w:firstLine="42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根据《政府采购法》、《政府采购法实施条例》、《政府采购货物和服务招标投标管理办法》等相关法律法规确定以下资格审查方法及标准。</w:t>
      </w:r>
    </w:p>
    <w:p>
      <w:pPr>
        <w:pStyle w:val="3"/>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53" w:name="_Toc533862421"/>
      <w:bookmarkStart w:id="54" w:name="_Toc494561958"/>
      <w:r>
        <w:rPr>
          <w:rFonts w:hint="eastAsia" w:cs="Times New Roman" w:asciiTheme="majorEastAsia" w:hAnsiTheme="majorEastAsia"/>
          <w:bCs w:val="0"/>
          <w:sz w:val="30"/>
          <w:szCs w:val="30"/>
          <w:lang w:val="zh-CN"/>
        </w:rPr>
        <w:t>资格审查方法</w:t>
      </w:r>
      <w:bookmarkEnd w:id="53"/>
      <w:bookmarkEnd w:id="54"/>
    </w:p>
    <w:p>
      <w:pPr>
        <w:spacing w:line="360" w:lineRule="auto"/>
        <w:ind w:firstLine="420"/>
        <w:rPr>
          <w:rFonts w:ascii="宋体" w:hAnsi="宋体" w:eastAsia="宋体" w:cs="Times New Roman"/>
          <w:bCs/>
          <w:sz w:val="24"/>
          <w:szCs w:val="20"/>
          <w:lang w:val="zh-CN"/>
        </w:rPr>
      </w:pPr>
      <w:r>
        <w:rPr>
          <w:rFonts w:hint="eastAsia" w:ascii="宋体" w:hAnsi="宋体" w:eastAsia="宋体" w:cs="Times New Roman"/>
          <w:bCs/>
          <w:sz w:val="24"/>
          <w:szCs w:val="20"/>
          <w:lang w:val="zh-CN"/>
        </w:rPr>
        <w:t>公开招标采购项目开标结束后，采购人、采购代理机构成立资格审查小组，依据法律、法规及招标文件的规定，对投标人的资格进行审查，以确定投标人资格是否合格。</w:t>
      </w:r>
    </w:p>
    <w:p>
      <w:pPr>
        <w:pStyle w:val="3"/>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55" w:name="_Toc494561959"/>
      <w:bookmarkStart w:id="56" w:name="_Toc533862422"/>
      <w:r>
        <w:rPr>
          <w:rFonts w:hint="eastAsia" w:cs="Times New Roman" w:asciiTheme="majorEastAsia" w:hAnsiTheme="majorEastAsia"/>
          <w:bCs w:val="0"/>
          <w:sz w:val="30"/>
          <w:szCs w:val="30"/>
          <w:lang w:val="zh-CN"/>
        </w:rPr>
        <w:t>资格审查标准</w:t>
      </w:r>
      <w:bookmarkEnd w:id="55"/>
      <w:bookmarkEnd w:id="56"/>
    </w:p>
    <w:p>
      <w:pPr>
        <w:numPr>
          <w:ilvl w:val="0"/>
          <w:numId w:val="43"/>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资格证明文件审查</w:t>
      </w:r>
    </w:p>
    <w:p>
      <w:pPr>
        <w:tabs>
          <w:tab w:val="left" w:pos="616"/>
        </w:tabs>
        <w:spacing w:line="360" w:lineRule="auto"/>
        <w:ind w:firstLine="420"/>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kern w:val="0"/>
          <w:sz w:val="24"/>
          <w:szCs w:val="24"/>
          <w:lang w:val="zh-CN"/>
        </w:rPr>
        <w:t>无效投标处理：</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27"/>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27"/>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27"/>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27"/>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27"/>
        <w:numPr>
          <w:ilvl w:val="0"/>
          <w:numId w:val="45"/>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未被“信用中国”网站(www.creditchina.gov.cn)列入失信被执行人、重大税收违法案件当事人名单、政府采购严重违法失信行为记录名单的网站查询结果页面截图；</w:t>
      </w:r>
      <w:r>
        <w:rPr>
          <w:rFonts w:hint="eastAsia" w:ascii="宋体" w:hAnsi="宋体"/>
          <w:sz w:val="24"/>
          <w:szCs w:val="24"/>
        </w:rPr>
        <w:t>未被“中国政府采购网”（www.ccgp.gov.cn）列入政府采购严重违法失信行为记录名单的</w:t>
      </w:r>
      <w:r>
        <w:rPr>
          <w:rFonts w:hint="eastAsia" w:ascii="宋体" w:hAnsi="宋体" w:eastAsia="宋体" w:cs="Times New Roman"/>
          <w:sz w:val="24"/>
          <w:szCs w:val="24"/>
          <w:lang w:val="zh-CN"/>
        </w:rPr>
        <w:t>网站查询结果页面截图。</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7"/>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43"/>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7"/>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7"/>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7"/>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7"/>
        <w:numPr>
          <w:ilvl w:val="0"/>
          <w:numId w:val="46"/>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0"/>
          <w:numId w:val="1"/>
        </w:numPr>
        <w:jc w:val="center"/>
        <w:rPr>
          <w:rFonts w:ascii="黑体" w:hAnsi="黑体" w:eastAsia="黑体"/>
        </w:rPr>
      </w:pPr>
      <w:bookmarkStart w:id="57" w:name="_Toc533862423"/>
      <w:r>
        <w:rPr>
          <w:rFonts w:hint="eastAsia" w:ascii="黑体" w:hAnsi="黑体" w:eastAsia="黑体"/>
        </w:rPr>
        <w:t>评标方法、程序及标准</w:t>
      </w:r>
      <w:bookmarkEnd w:id="57"/>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58" w:name="_Toc272247708"/>
      <w:bookmarkStart w:id="59" w:name="_Toc278891605"/>
      <w:bookmarkStart w:id="60" w:name="_Toc494561961"/>
      <w:bookmarkStart w:id="61" w:name="_Toc533862424"/>
      <w:r>
        <w:rPr>
          <w:rFonts w:hint="eastAsia" w:cs="Times New Roman" w:asciiTheme="majorEastAsia" w:hAnsiTheme="majorEastAsia"/>
          <w:bCs w:val="0"/>
          <w:sz w:val="30"/>
          <w:szCs w:val="30"/>
          <w:lang w:val="zh-CN"/>
        </w:rPr>
        <w:t>评标</w:t>
      </w:r>
      <w:bookmarkEnd w:id="58"/>
      <w:bookmarkEnd w:id="59"/>
      <w:r>
        <w:rPr>
          <w:rFonts w:hint="eastAsia" w:cs="Times New Roman" w:asciiTheme="majorEastAsia" w:hAnsiTheme="majorEastAsia"/>
          <w:bCs w:val="0"/>
          <w:sz w:val="30"/>
          <w:szCs w:val="30"/>
          <w:lang w:val="zh-CN"/>
        </w:rPr>
        <w:t>方法</w:t>
      </w:r>
      <w:bookmarkEnd w:id="60"/>
      <w:bookmarkEnd w:id="61"/>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62" w:name="_Toc272247709"/>
      <w:bookmarkStart w:id="63" w:name="_Toc278891606"/>
      <w:bookmarkStart w:id="64" w:name="_Toc494561962"/>
      <w:bookmarkStart w:id="65" w:name="_Toc533862425"/>
      <w:r>
        <w:rPr>
          <w:rFonts w:hint="eastAsia" w:cs="Times New Roman" w:asciiTheme="majorEastAsia" w:hAnsiTheme="majorEastAsia"/>
          <w:bCs w:val="0"/>
          <w:sz w:val="30"/>
          <w:szCs w:val="30"/>
          <w:lang w:val="zh-CN"/>
        </w:rPr>
        <w:t>评标程序</w:t>
      </w:r>
      <w:bookmarkEnd w:id="62"/>
      <w:bookmarkEnd w:id="63"/>
      <w:r>
        <w:rPr>
          <w:rFonts w:hint="eastAsia" w:cs="Times New Roman" w:asciiTheme="majorEastAsia" w:hAnsiTheme="majorEastAsia"/>
          <w:bCs w:val="0"/>
          <w:sz w:val="30"/>
          <w:szCs w:val="30"/>
          <w:lang w:val="zh-CN"/>
        </w:rPr>
        <w:t>及标准</w:t>
      </w:r>
      <w:bookmarkEnd w:id="64"/>
      <w:bookmarkEnd w:id="65"/>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8"/>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r>
        <w:rPr>
          <w:rFonts w:hint="eastAsia" w:ascii="Times New Roman" w:hAnsi="宋体" w:eastAsia="宋体" w:cs="Times New Roman"/>
          <w:b/>
          <w:sz w:val="24"/>
          <w:szCs w:val="24"/>
          <w:lang w:val="zh-CN"/>
        </w:rPr>
        <w:t>（本项目不适用）</w:t>
      </w:r>
      <w:r>
        <w:rPr>
          <w:rFonts w:hint="eastAsia" w:ascii="Times New Roman" w:hAnsi="宋体" w:eastAsia="宋体" w:cs="Times New Roman"/>
          <w:sz w:val="24"/>
          <w:szCs w:val="24"/>
          <w:lang w:val="zh-CN"/>
        </w:rPr>
        <w:t>；</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9"/>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9"/>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r>
        <w:rPr>
          <w:rFonts w:hint="eastAsia" w:ascii="Times New Roman" w:hAnsi="宋体" w:eastAsia="宋体" w:cs="Times New Roman"/>
          <w:b/>
          <w:sz w:val="24"/>
          <w:szCs w:val="24"/>
          <w:lang w:val="zh-CN"/>
        </w:rPr>
        <w:t>（本项目不适用）</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r>
        <w:rPr>
          <w:rFonts w:hint="eastAsia" w:ascii="Times New Roman" w:hAnsi="宋体" w:eastAsia="宋体" w:cs="Times New Roman"/>
          <w:b/>
          <w:sz w:val="24"/>
          <w:szCs w:val="24"/>
          <w:lang w:val="zh-CN"/>
        </w:rPr>
        <w:t>（本项目不适用）</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9"/>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8"/>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50"/>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50"/>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51"/>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投标文件中开标一览表内容与投标文件中相应内容不一致的，以开标一览表为准</w:t>
      </w:r>
      <w:r>
        <w:rPr>
          <w:rFonts w:hint="eastAsia" w:ascii="宋体" w:hAnsi="宋体" w:eastAsia="宋体" w:cs="Times New Roman"/>
          <w:sz w:val="24"/>
          <w:szCs w:val="24"/>
          <w:lang w:val="zh-CN"/>
        </w:rPr>
        <w:t>。</w:t>
      </w:r>
    </w:p>
    <w:p>
      <w:pPr>
        <w:numPr>
          <w:ilvl w:val="0"/>
          <w:numId w:val="51"/>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大写金额和小写金额不一致的，以大写金额为准</w:t>
      </w:r>
      <w:r>
        <w:rPr>
          <w:rFonts w:hint="eastAsia" w:ascii="宋体" w:hAnsi="宋体" w:eastAsia="宋体" w:cs="Times New Roman"/>
          <w:sz w:val="24"/>
          <w:szCs w:val="24"/>
          <w:lang w:val="zh-CN"/>
        </w:rPr>
        <w:t>。</w:t>
      </w:r>
    </w:p>
    <w:p>
      <w:pPr>
        <w:numPr>
          <w:ilvl w:val="0"/>
          <w:numId w:val="51"/>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单价金额小数点或者百分比有明显错位的，以开标一览表的总价为准，并修改单价</w:t>
      </w:r>
      <w:r>
        <w:rPr>
          <w:rFonts w:hint="eastAsia" w:ascii="宋体" w:hAnsi="宋体" w:eastAsia="宋体" w:cs="Times New Roman"/>
          <w:sz w:val="24"/>
          <w:szCs w:val="24"/>
          <w:lang w:val="zh-CN"/>
        </w:rPr>
        <w:t>。</w:t>
      </w:r>
    </w:p>
    <w:p>
      <w:pPr>
        <w:numPr>
          <w:ilvl w:val="0"/>
          <w:numId w:val="51"/>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总价金额与按单价汇总金额不一致的，以单价金额计算结果为准</w:t>
      </w:r>
      <w:r>
        <w:rPr>
          <w:rFonts w:hint="eastAsia" w:ascii="宋体" w:hAnsi="宋体" w:eastAsia="宋体" w:cs="Times New Roman"/>
          <w:sz w:val="24"/>
          <w:szCs w:val="24"/>
          <w:lang w:val="zh-CN"/>
        </w:rPr>
        <w:t>。</w:t>
      </w:r>
    </w:p>
    <w:p>
      <w:pPr>
        <w:numPr>
          <w:ilvl w:val="0"/>
          <w:numId w:val="51"/>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同时出现两种以上不一致的，按照前款规定的顺序修正</w:t>
      </w:r>
      <w:r>
        <w:rPr>
          <w:rFonts w:hint="eastAsia" w:ascii="宋体" w:hAnsi="宋体" w:eastAsia="宋体" w:cs="Times New Roman"/>
          <w:sz w:val="24"/>
          <w:szCs w:val="24"/>
          <w:lang w:val="zh-CN"/>
        </w:rPr>
        <w:t>。</w:t>
      </w:r>
    </w:p>
    <w:p>
      <w:pPr>
        <w:numPr>
          <w:ilvl w:val="0"/>
          <w:numId w:val="51"/>
        </w:numPr>
        <w:adjustRightInd w:val="0"/>
        <w:spacing w:line="360" w:lineRule="auto"/>
        <w:ind w:left="742" w:hanging="493"/>
        <w:rPr>
          <w:rFonts w:ascii="宋体" w:hAnsi="宋体" w:eastAsia="宋体" w:cs="Times New Roman"/>
          <w:sz w:val="24"/>
          <w:szCs w:val="24"/>
          <w:lang w:val="zh-CN"/>
        </w:rPr>
      </w:pPr>
      <w:r>
        <w:rPr>
          <w:rFonts w:ascii="宋体" w:hAnsi="宋体" w:eastAsia="宋体" w:cs="Times New Roman"/>
          <w:sz w:val="24"/>
          <w:szCs w:val="24"/>
          <w:lang w:val="zh-CN"/>
        </w:rPr>
        <w:t>修正后的报价按照</w:t>
      </w:r>
      <w:r>
        <w:rPr>
          <w:rFonts w:hint="eastAsia" w:ascii="宋体" w:hAnsi="宋体" w:eastAsia="宋体" w:cs="Times New Roman"/>
          <w:sz w:val="24"/>
          <w:szCs w:val="24"/>
          <w:lang w:val="zh-CN"/>
        </w:rPr>
        <w:t>本节第4条规定</w:t>
      </w:r>
      <w:r>
        <w:rPr>
          <w:rFonts w:ascii="宋体" w:hAnsi="宋体" w:eastAsia="宋体" w:cs="Times New Roman"/>
          <w:sz w:val="24"/>
          <w:szCs w:val="24"/>
          <w:lang w:val="zh-CN"/>
        </w:rPr>
        <w:t>经投标人确认后产生约束力，投标人不确认的，</w:t>
      </w:r>
      <w:r>
        <w:rPr>
          <w:rFonts w:hint="eastAsia" w:ascii="宋体" w:hAnsi="宋体" w:eastAsia="宋体" w:cs="Times New Roman"/>
          <w:sz w:val="24"/>
          <w:szCs w:val="24"/>
          <w:lang w:val="zh-CN"/>
        </w:rPr>
        <w:t>按照</w:t>
      </w:r>
      <w:r>
        <w:rPr>
          <w:rFonts w:ascii="宋体" w:hAnsi="宋体" w:eastAsia="宋体" w:cs="Times New Roman"/>
          <w:b/>
          <w:sz w:val="24"/>
          <w:szCs w:val="24"/>
          <w:lang w:val="zh-CN"/>
        </w:rPr>
        <w:t>无效</w:t>
      </w:r>
      <w:r>
        <w:rPr>
          <w:rFonts w:hint="eastAsia" w:ascii="宋体" w:hAnsi="宋体" w:eastAsia="宋体" w:cs="Times New Roman"/>
          <w:b/>
          <w:sz w:val="24"/>
          <w:szCs w:val="24"/>
          <w:lang w:val="zh-CN"/>
        </w:rPr>
        <w:t>投标处理</w:t>
      </w:r>
      <w:r>
        <w:rPr>
          <w:rFonts w:ascii="宋体" w:hAnsi="宋体" w:eastAsia="宋体" w:cs="Times New Roman"/>
          <w:sz w:val="24"/>
          <w:szCs w:val="24"/>
          <w:lang w:val="zh-CN"/>
        </w:rPr>
        <w:t>。</w:t>
      </w:r>
    </w:p>
    <w:p>
      <w:pPr>
        <w:numPr>
          <w:ilvl w:val="0"/>
          <w:numId w:val="50"/>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8"/>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3"/>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3"/>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4"/>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4"/>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4"/>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4"/>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4"/>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5"/>
        </w:numPr>
        <w:adjustRightInd w:val="0"/>
        <w:spacing w:line="360" w:lineRule="auto"/>
        <w:ind w:left="756" w:hanging="507"/>
        <w:rPr>
          <w:rFonts w:ascii="Helvetica" w:hAnsi="Helvetica" w:eastAsia="宋体" w:cs="Helvetica"/>
          <w:kern w:val="0"/>
          <w:sz w:val="24"/>
          <w:szCs w:val="24"/>
          <w:lang w:val="zh-CN"/>
        </w:rPr>
      </w:pPr>
      <w:r>
        <w:rPr>
          <w:rFonts w:ascii="Helvetica" w:hAnsi="Helvetica" w:eastAsia="宋体" w:cs="Helvetica"/>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确定一个投标人获得中标人推荐资格，其他同品牌投标人不作为中标候选人。</w:t>
      </w:r>
    </w:p>
    <w:p>
      <w:pPr>
        <w:numPr>
          <w:ilvl w:val="0"/>
          <w:numId w:val="55"/>
        </w:numPr>
        <w:adjustRightInd w:val="0"/>
        <w:spacing w:line="360" w:lineRule="auto"/>
        <w:ind w:left="756" w:hanging="507"/>
        <w:rPr>
          <w:rFonts w:ascii="Helvetica" w:hAnsi="Helvetica" w:eastAsia="宋体" w:cs="Helvetica"/>
          <w:kern w:val="0"/>
          <w:sz w:val="24"/>
          <w:szCs w:val="24"/>
          <w:lang w:val="zh-CN"/>
        </w:rPr>
      </w:pPr>
      <w:r>
        <w:rPr>
          <w:rFonts w:ascii="Helvetica" w:hAnsi="Helvetica" w:eastAsia="宋体" w:cs="Helvetica"/>
          <w:kern w:val="0"/>
          <w:sz w:val="24"/>
          <w:szCs w:val="24"/>
          <w:lang w:val="zh-CN"/>
        </w:rPr>
        <w:t>非单一产品采购项目，采购人应当根据采购项目技术构成、产品价格比重等合理确定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（采购清单中作“相同〈或同一〉品牌”实质性要求的产品，视为一个核心产品），</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在招标文件中</w:t>
      </w:r>
      <w:r>
        <w:rPr>
          <w:rFonts w:hint="eastAsia" w:ascii="Helvetica" w:hAnsi="Helvetica" w:eastAsia="宋体" w:cs="Helvetica"/>
          <w:kern w:val="0"/>
          <w:sz w:val="24"/>
          <w:szCs w:val="24"/>
          <w:lang w:val="zh-CN"/>
        </w:rPr>
        <w:t>标注</w:t>
      </w:r>
      <w:r>
        <w:rPr>
          <w:rFonts w:ascii="Helvetica" w:hAnsi="Helvetica" w:eastAsia="宋体" w:cs="Helvetica"/>
          <w:kern w:val="0"/>
          <w:sz w:val="24"/>
          <w:szCs w:val="24"/>
          <w:lang w:val="zh-CN"/>
        </w:rPr>
        <w:t>。</w:t>
      </w:r>
    </w:p>
    <w:p>
      <w:pPr>
        <w:numPr>
          <w:ilvl w:val="0"/>
          <w:numId w:val="52"/>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6"/>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56"/>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8"/>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tabs>
          <w:tab w:val="left" w:pos="616"/>
        </w:tabs>
        <w:spacing w:line="360" w:lineRule="auto"/>
        <w:ind w:left="10"/>
        <w:rPr>
          <w:rFonts w:ascii="Helvetica" w:hAnsi="Helvetica" w:eastAsia="宋体" w:cs="Helvetica"/>
          <w:kern w:val="0"/>
          <w:sz w:val="24"/>
          <w:szCs w:val="24"/>
          <w:lang w:val="zh-CN"/>
        </w:rPr>
      </w:pPr>
    </w:p>
    <w:p>
      <w:pPr>
        <w:tabs>
          <w:tab w:val="left" w:pos="616"/>
        </w:tabs>
        <w:spacing w:line="360" w:lineRule="auto"/>
        <w:ind w:left="10"/>
        <w:rPr>
          <w:rFonts w:ascii="Helvetica" w:hAnsi="Helvetica" w:eastAsia="宋体" w:cs="Helvetica"/>
          <w:kern w:val="0"/>
          <w:sz w:val="24"/>
          <w:szCs w:val="24"/>
          <w:lang w:val="zh-CN"/>
        </w:rPr>
      </w:pPr>
    </w:p>
    <w:p>
      <w:pPr>
        <w:tabs>
          <w:tab w:val="left" w:pos="616"/>
        </w:tabs>
        <w:spacing w:line="360" w:lineRule="auto"/>
        <w:ind w:left="10"/>
        <w:rPr>
          <w:rFonts w:ascii="Helvetica" w:hAnsi="Helvetica" w:eastAsia="宋体" w:cs="Helvetica"/>
          <w:kern w:val="0"/>
          <w:sz w:val="24"/>
          <w:szCs w:val="24"/>
          <w:lang w:val="zh-CN"/>
        </w:rPr>
      </w:pPr>
    </w:p>
    <w:p>
      <w:pPr>
        <w:tabs>
          <w:tab w:val="left" w:pos="616"/>
        </w:tabs>
        <w:spacing w:line="360" w:lineRule="auto"/>
        <w:ind w:left="10"/>
        <w:rPr>
          <w:rFonts w:ascii="Helvetica" w:hAnsi="Helvetica" w:eastAsia="宋体" w:cs="Helvetica"/>
          <w:kern w:val="0"/>
          <w:sz w:val="24"/>
          <w:szCs w:val="24"/>
          <w:lang w:val="zh-CN"/>
        </w:rPr>
      </w:pPr>
    </w:p>
    <w:p>
      <w:pPr>
        <w:pStyle w:val="3"/>
        <w:numPr>
          <w:ilvl w:val="0"/>
          <w:numId w:val="47"/>
        </w:numPr>
        <w:spacing w:before="0" w:after="0" w:line="360" w:lineRule="auto"/>
        <w:ind w:left="616" w:hanging="616"/>
        <w:jc w:val="left"/>
        <w:rPr>
          <w:rFonts w:cs="Times New Roman" w:asciiTheme="majorEastAsia" w:hAnsiTheme="majorEastAsia"/>
          <w:bCs w:val="0"/>
          <w:sz w:val="30"/>
          <w:szCs w:val="30"/>
          <w:lang w:val="zh-CN"/>
        </w:rPr>
      </w:pPr>
      <w:bookmarkStart w:id="66" w:name="_Toc533862426"/>
      <w:bookmarkStart w:id="67" w:name="_Toc494561963"/>
      <w:r>
        <w:rPr>
          <w:rFonts w:hint="eastAsia" w:cs="Times New Roman" w:asciiTheme="majorEastAsia" w:hAnsiTheme="majorEastAsia"/>
          <w:bCs w:val="0"/>
          <w:sz w:val="30"/>
          <w:szCs w:val="30"/>
          <w:lang w:val="zh-CN"/>
        </w:rPr>
        <w:t>评审因素及评分标准</w:t>
      </w:r>
      <w:bookmarkEnd w:id="66"/>
      <w:bookmarkEnd w:id="67"/>
    </w:p>
    <w:tbl>
      <w:tblPr>
        <w:tblStyle w:val="1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276"/>
        <w:gridCol w:w="709"/>
        <w:gridCol w:w="6524"/>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restart"/>
            <w:shd w:val="pct10" w:color="auto" w:fill="auto"/>
            <w:vAlign w:val="center"/>
          </w:tcPr>
          <w:p>
            <w:pPr>
              <w:ind w:left="-77" w:leftChars="-37" w:right="-86" w:rightChars="-41"/>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商务评议</w:t>
            </w:r>
          </w:p>
          <w:p>
            <w:pPr>
              <w:ind w:left="-77" w:leftChars="-37" w:right="-86" w:rightChars="-41"/>
              <w:jc w:val="center"/>
              <w:rPr>
                <w:rFonts w:ascii="宋体" w:hAnsi="宋体" w:eastAsia="宋体" w:cs="Times New Roman"/>
                <w:b/>
                <w:color w:val="000000" w:themeColor="text1"/>
                <w:szCs w:val="21"/>
              </w:rPr>
            </w:pPr>
            <w:r>
              <w:rPr>
                <w:rFonts w:hint="eastAsia" w:ascii="宋体" w:hAnsi="宋体" w:eastAsia="宋体" w:cs="Times New Roman"/>
                <w:b/>
                <w:bCs/>
                <w:color w:val="000000" w:themeColor="text1"/>
                <w:szCs w:val="21"/>
              </w:rPr>
              <w:t>40</w:t>
            </w:r>
          </w:p>
        </w:tc>
        <w:tc>
          <w:tcPr>
            <w:tcW w:w="1276" w:type="dxa"/>
            <w:shd w:val="pct10" w:color="auto" w:fill="auto"/>
            <w:vAlign w:val="center"/>
          </w:tcPr>
          <w:p>
            <w:pPr>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评审因素</w:t>
            </w:r>
          </w:p>
        </w:tc>
        <w:tc>
          <w:tcPr>
            <w:tcW w:w="709" w:type="dxa"/>
            <w:shd w:val="pct10" w:color="auto" w:fill="auto"/>
            <w:vAlign w:val="center"/>
          </w:tcPr>
          <w:p>
            <w:pPr>
              <w:ind w:left="-73" w:leftChars="-35" w:right="-79" w:rightChars="-38"/>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分值</w:t>
            </w:r>
          </w:p>
        </w:tc>
        <w:tc>
          <w:tcPr>
            <w:tcW w:w="6524" w:type="dxa"/>
            <w:shd w:val="pct10" w:color="auto" w:fill="auto"/>
            <w:vAlign w:val="center"/>
          </w:tcPr>
          <w:p>
            <w:pPr>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评分标准</w:t>
            </w:r>
          </w:p>
        </w:tc>
        <w:tc>
          <w:tcPr>
            <w:tcW w:w="944" w:type="dxa"/>
            <w:shd w:val="pct10" w:color="auto" w:fill="auto"/>
            <w:vAlign w:val="center"/>
          </w:tcPr>
          <w:p>
            <w:pPr>
              <w:spacing w:line="280" w:lineRule="exact"/>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因素</w:t>
            </w:r>
          </w:p>
          <w:p>
            <w:pPr>
              <w:spacing w:line="280" w:lineRule="exact"/>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Align w:val="center"/>
          </w:tcPr>
          <w:p>
            <w:pPr>
              <w:ind w:left="-21" w:leftChars="-10" w:right="-21" w:rightChars="-10"/>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投标文件编制情况</w:t>
            </w: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2</w:t>
            </w:r>
          </w:p>
        </w:tc>
        <w:tc>
          <w:tcPr>
            <w:tcW w:w="6524" w:type="dxa"/>
            <w:vAlign w:val="center"/>
          </w:tcPr>
          <w:p>
            <w:pPr>
              <w:spacing w:line="320" w:lineRule="exact"/>
              <w:rPr>
                <w:rFonts w:ascii="宋体" w:hAnsi="宋体" w:eastAsia="宋体" w:cs="Times New Roman"/>
                <w:color w:val="000000" w:themeColor="text1"/>
                <w:szCs w:val="21"/>
              </w:rPr>
            </w:pPr>
            <w:r>
              <w:rPr>
                <w:rFonts w:hint="eastAsia" w:ascii="宋体" w:hAnsi="宋体"/>
                <w:color w:val="000000" w:themeColor="text1"/>
                <w:szCs w:val="21"/>
              </w:rPr>
              <w:t>投标文件全面响应招标文件要求，编制完整、非活页装订，且有详细目录、连续页码、目录与有关材料装订顺序对应清晰、查阅方便得2分。编排杂乱无章、叙述答非所问、资料残缺不全、资料模糊不清、前后不一致等，每处扣0.5分，扣完为止；活页装订本项不得分。</w:t>
            </w:r>
          </w:p>
        </w:tc>
        <w:tc>
          <w:tcPr>
            <w:tcW w:w="944" w:type="dxa"/>
            <w:vAlign w:val="center"/>
          </w:tcPr>
          <w:p>
            <w:pPr>
              <w:spacing w:line="320" w:lineRule="exact"/>
              <w:ind w:left="-65" w:leftChars="-31" w:right="-35" w:rightChars="-17"/>
              <w:jc w:val="right"/>
              <w:rPr>
                <w:rFonts w:ascii="宋体" w:hAnsi="宋体" w:eastAsia="宋体" w:cs="Times New Roman"/>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restart"/>
            <w:vAlign w:val="center"/>
          </w:tcPr>
          <w:p>
            <w:pPr>
              <w:ind w:left="-21" w:leftChars="-10" w:right="-21" w:rightChars="-10"/>
              <w:jc w:val="center"/>
              <w:rPr>
                <w:rFonts w:ascii="宋体" w:hAnsi="宋体" w:eastAsia="宋体" w:cs="Times New Roman"/>
                <w:b/>
                <w:color w:val="000000" w:themeColor="text1"/>
                <w:szCs w:val="21"/>
              </w:rPr>
            </w:pPr>
            <w:r>
              <w:rPr>
                <w:rFonts w:ascii="宋体" w:hAnsi="宋体" w:eastAsia="宋体" w:cs="Times New Roman"/>
                <w:b/>
                <w:color w:val="000000" w:themeColor="text1"/>
                <w:szCs w:val="21"/>
              </w:rPr>
              <w:t>投标人资质</w:t>
            </w: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4</w:t>
            </w:r>
          </w:p>
        </w:tc>
        <w:tc>
          <w:tcPr>
            <w:tcW w:w="6524" w:type="dxa"/>
            <w:vAlign w:val="center"/>
          </w:tcPr>
          <w:p>
            <w:pPr>
              <w:spacing w:line="320" w:lineRule="exact"/>
              <w:rPr>
                <w:rFonts w:ascii="宋体" w:hAnsi="宋体"/>
                <w:color w:val="000000" w:themeColor="text1"/>
                <w:szCs w:val="21"/>
              </w:rPr>
            </w:pPr>
            <w:r>
              <w:rPr>
                <w:rFonts w:ascii="宋体" w:hAnsi="宋体"/>
                <w:color w:val="000000" w:themeColor="text1"/>
                <w:szCs w:val="21"/>
              </w:rPr>
              <w:t>投标人具有国家级计量认证证书(CMA)的，得</w:t>
            </w:r>
            <w:r>
              <w:rPr>
                <w:rFonts w:hint="eastAsia" w:ascii="宋体" w:hAnsi="宋体"/>
                <w:color w:val="000000" w:themeColor="text1"/>
                <w:szCs w:val="21"/>
              </w:rPr>
              <w:t>4</w:t>
            </w:r>
            <w:r>
              <w:rPr>
                <w:rFonts w:ascii="宋体" w:hAnsi="宋体"/>
                <w:color w:val="000000" w:themeColor="text1"/>
                <w:szCs w:val="21"/>
              </w:rPr>
              <w:t>分；具有省级计量认证证书(CMA)的，得</w:t>
            </w:r>
            <w:r>
              <w:rPr>
                <w:rFonts w:hint="eastAsia" w:ascii="宋体" w:hAnsi="宋体"/>
                <w:color w:val="000000" w:themeColor="text1"/>
                <w:szCs w:val="21"/>
              </w:rPr>
              <w:t>2</w:t>
            </w:r>
            <w:r>
              <w:rPr>
                <w:rFonts w:ascii="宋体" w:hAnsi="宋体"/>
                <w:color w:val="000000" w:themeColor="text1"/>
                <w:szCs w:val="21"/>
              </w:rPr>
              <w:t>分。</w:t>
            </w:r>
            <w:r>
              <w:rPr>
                <w:rFonts w:hint="eastAsia" w:ascii="宋体" w:hAnsi="宋体"/>
                <w:color w:val="000000" w:themeColor="text1"/>
                <w:szCs w:val="21"/>
              </w:rPr>
              <w:t>需提供认证证书等有效证明材料，且证明材料须提供真彩扫描打印件。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continue"/>
            <w:vAlign w:val="center"/>
          </w:tcPr>
          <w:p>
            <w:pPr>
              <w:ind w:left="-21" w:leftChars="-10" w:right="-21" w:rightChars="-10"/>
              <w:jc w:val="center"/>
              <w:rPr>
                <w:rFonts w:ascii="宋体" w:hAnsi="宋体" w:eastAsia="宋体" w:cs="Times New Roman"/>
                <w:b/>
                <w:color w:val="000000" w:themeColor="text1"/>
                <w:szCs w:val="21"/>
              </w:rPr>
            </w:pP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2</w:t>
            </w:r>
          </w:p>
        </w:tc>
        <w:tc>
          <w:tcPr>
            <w:tcW w:w="6524" w:type="dxa"/>
            <w:vAlign w:val="center"/>
          </w:tcPr>
          <w:p>
            <w:pPr>
              <w:spacing w:line="320" w:lineRule="exact"/>
              <w:rPr>
                <w:rFonts w:ascii="宋体" w:hAnsi="宋体"/>
                <w:color w:val="000000" w:themeColor="text1"/>
                <w:szCs w:val="21"/>
              </w:rPr>
            </w:pPr>
            <w:r>
              <w:rPr>
                <w:rFonts w:ascii="宋体" w:hAnsi="宋体"/>
                <w:color w:val="000000" w:themeColor="text1"/>
                <w:szCs w:val="21"/>
              </w:rPr>
              <w:t>投标人具有ISO9001质量管理体系认证证书的得</w:t>
            </w:r>
            <w:r>
              <w:rPr>
                <w:rFonts w:hint="eastAsia" w:ascii="宋体" w:hAnsi="宋体"/>
                <w:color w:val="000000" w:themeColor="text1"/>
                <w:szCs w:val="21"/>
              </w:rPr>
              <w:t>2</w:t>
            </w:r>
            <w:r>
              <w:rPr>
                <w:rFonts w:ascii="宋体" w:hAnsi="宋体"/>
                <w:color w:val="000000" w:themeColor="text1"/>
                <w:szCs w:val="21"/>
              </w:rPr>
              <w:t>分</w:t>
            </w:r>
            <w:r>
              <w:rPr>
                <w:rFonts w:hint="eastAsia" w:ascii="宋体" w:hAnsi="宋体"/>
                <w:color w:val="000000" w:themeColor="text1"/>
                <w:szCs w:val="21"/>
              </w:rPr>
              <w:t>。需提供认证证书等有效证明材料，且证明材料须提供真彩扫描打印件。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continue"/>
            <w:vAlign w:val="center"/>
          </w:tcPr>
          <w:p>
            <w:pPr>
              <w:ind w:left="-21" w:leftChars="-10" w:right="-21" w:rightChars="-10"/>
              <w:jc w:val="center"/>
              <w:rPr>
                <w:rFonts w:ascii="宋体" w:hAnsi="宋体" w:eastAsia="宋体" w:cs="Times New Roman"/>
                <w:b/>
                <w:color w:val="000000" w:themeColor="text1"/>
                <w:szCs w:val="21"/>
              </w:rPr>
            </w:pP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4</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投标人每具有一个省部级及以上环保类重点实验室的得1分，最高得4分。需提供批复文件等有效证明材料，且证明材料须提供真彩扫描打印件。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restart"/>
            <w:vAlign w:val="center"/>
          </w:tcPr>
          <w:p>
            <w:pPr>
              <w:ind w:left="-21" w:leftChars="-10" w:right="-21" w:rightChars="-10"/>
              <w:jc w:val="center"/>
              <w:rPr>
                <w:rFonts w:ascii="宋体" w:hAnsi="宋体" w:eastAsia="宋体" w:cs="Times New Roman"/>
                <w:b/>
                <w:color w:val="000000" w:themeColor="text1"/>
                <w:szCs w:val="21"/>
              </w:rPr>
            </w:pPr>
            <w:r>
              <w:rPr>
                <w:rFonts w:ascii="宋体" w:hAnsi="宋体" w:eastAsia="宋体" w:cs="Times New Roman"/>
                <w:b/>
                <w:color w:val="000000" w:themeColor="text1"/>
                <w:szCs w:val="21"/>
              </w:rPr>
              <w:t>类似项目</w:t>
            </w:r>
          </w:p>
          <w:p>
            <w:pPr>
              <w:ind w:left="-21" w:leftChars="-10" w:right="-21" w:rightChars="-10"/>
              <w:jc w:val="center"/>
              <w:rPr>
                <w:rFonts w:ascii="宋体" w:hAnsi="宋体" w:eastAsia="宋体" w:cs="Times New Roman"/>
                <w:b/>
                <w:color w:val="000000" w:themeColor="text1"/>
                <w:szCs w:val="21"/>
              </w:rPr>
            </w:pPr>
            <w:r>
              <w:rPr>
                <w:rFonts w:ascii="宋体" w:hAnsi="宋体" w:eastAsia="宋体" w:cs="Times New Roman"/>
                <w:b/>
                <w:color w:val="000000" w:themeColor="text1"/>
                <w:szCs w:val="21"/>
              </w:rPr>
              <w:t>业绩</w:t>
            </w: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2013年12月份以来承担过省级及以上水污染防治工作方案或行动计划编制并获得省级部门批复或者通过专家评审的得3分。需提供批复文件或专家评审意见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continue"/>
            <w:vAlign w:val="center"/>
          </w:tcPr>
          <w:p>
            <w:pPr>
              <w:ind w:left="-21" w:leftChars="-10" w:right="-21" w:rightChars="-10"/>
              <w:jc w:val="center"/>
              <w:rPr>
                <w:rFonts w:ascii="宋体" w:hAnsi="宋体" w:eastAsia="宋体" w:cs="Times New Roman"/>
                <w:b/>
                <w:color w:val="000000" w:themeColor="text1"/>
                <w:szCs w:val="21"/>
              </w:rPr>
            </w:pP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投标人2013年12月份以来承担过地市级水污染防治工作方案或行动计划并获得批复或者通过专家评审的，每一项得</w:t>
            </w:r>
            <w:r>
              <w:rPr>
                <w:rFonts w:ascii="宋体" w:hAnsi="宋体"/>
                <w:color w:val="000000" w:themeColor="text1"/>
                <w:szCs w:val="21"/>
              </w:rPr>
              <w:t>1</w:t>
            </w:r>
            <w:r>
              <w:rPr>
                <w:rFonts w:hint="eastAsia" w:ascii="宋体" w:hAnsi="宋体"/>
                <w:color w:val="000000" w:themeColor="text1"/>
                <w:szCs w:val="21"/>
              </w:rPr>
              <w:t>.5分，最高得3分。需提供批复文件或专家评审意见等有效证明材料，且证明材料须提供真彩扫描打印件。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continue"/>
            <w:vAlign w:val="center"/>
          </w:tcPr>
          <w:p>
            <w:pPr>
              <w:ind w:left="-21" w:leftChars="-10" w:right="-21" w:rightChars="-10"/>
              <w:jc w:val="center"/>
              <w:rPr>
                <w:rFonts w:ascii="宋体" w:hAnsi="宋体" w:eastAsia="宋体" w:cs="Times New Roman"/>
                <w:b/>
                <w:color w:val="000000" w:themeColor="text1"/>
                <w:szCs w:val="21"/>
              </w:rPr>
            </w:pP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投标人2013年12月份以来承担过县级或区级水污染防治工作方案或行动计划并获得批复或者通过专家评审的，每一项得</w:t>
            </w:r>
            <w:r>
              <w:rPr>
                <w:rFonts w:ascii="宋体" w:hAnsi="宋体"/>
                <w:color w:val="000000" w:themeColor="text1"/>
                <w:szCs w:val="21"/>
              </w:rPr>
              <w:t>1</w:t>
            </w:r>
            <w:r>
              <w:rPr>
                <w:rFonts w:hint="eastAsia" w:ascii="宋体" w:hAnsi="宋体"/>
                <w:color w:val="000000" w:themeColor="text1"/>
                <w:szCs w:val="21"/>
              </w:rPr>
              <w:t>分，最高得3分。需提供批复文件或专家评审意见等有效证明材料，且证明材料须提供真彩扫描打印件。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restart"/>
            <w:vAlign w:val="center"/>
          </w:tcPr>
          <w:p>
            <w:pPr>
              <w:ind w:left="-21" w:leftChars="-10" w:right="-21" w:rightChars="-10"/>
              <w:jc w:val="center"/>
              <w:rPr>
                <w:rFonts w:ascii="宋体" w:hAnsi="宋体" w:eastAsia="宋体" w:cs="Times New Roman"/>
                <w:b/>
                <w:color w:val="000000" w:themeColor="text1"/>
                <w:szCs w:val="21"/>
              </w:rPr>
            </w:pPr>
            <w:r>
              <w:rPr>
                <w:rFonts w:ascii="宋体" w:hAnsi="宋体" w:eastAsia="宋体" w:cs="Times New Roman"/>
                <w:b/>
                <w:color w:val="000000" w:themeColor="text1"/>
                <w:szCs w:val="21"/>
              </w:rPr>
              <w:t>团队实力</w:t>
            </w: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2</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投标人拟派的项目负责人具有环境保护类正高级职称得2分。需提供职称证书、近两个月社保缴纳证明文件等有效证明材料，且证明材料须提供真彩扫描打印件。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continue"/>
            <w:vAlign w:val="center"/>
          </w:tcPr>
          <w:p>
            <w:pPr>
              <w:ind w:left="-21" w:leftChars="-10" w:right="-21" w:rightChars="-10"/>
              <w:jc w:val="center"/>
              <w:rPr>
                <w:rFonts w:ascii="宋体" w:hAnsi="宋体" w:eastAsia="宋体" w:cs="Times New Roman"/>
                <w:b/>
                <w:color w:val="000000" w:themeColor="text1"/>
                <w:szCs w:val="21"/>
              </w:rPr>
            </w:pP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8</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拟派的项目组人员（项目负责人除外）专业结构合理，项目组中具有生态学、环境工程学、水文水资源学等专业人员的得3分；项目组人员（项目负责人除外）中每名正高级职称人员得1.5分，最高得1.5分；每名副高级职称人员得1分，最高得2分；每名中级职称人员得0.5分，最高1.5分。</w:t>
            </w:r>
          </w:p>
          <w:p>
            <w:pPr>
              <w:spacing w:line="320" w:lineRule="exact"/>
              <w:rPr>
                <w:rFonts w:ascii="宋体" w:hAnsi="宋体"/>
                <w:color w:val="000000" w:themeColor="text1"/>
                <w:szCs w:val="21"/>
              </w:rPr>
            </w:pPr>
            <w:r>
              <w:rPr>
                <w:rFonts w:hint="eastAsia" w:ascii="宋体" w:hAnsi="宋体"/>
                <w:b/>
                <w:bCs/>
                <w:color w:val="000000" w:themeColor="text1"/>
                <w:szCs w:val="21"/>
              </w:rPr>
              <w:t>此项累计最高得8分</w:t>
            </w:r>
            <w:r>
              <w:rPr>
                <w:rFonts w:hint="eastAsia" w:ascii="宋体" w:hAnsi="宋体"/>
                <w:color w:val="000000" w:themeColor="text1"/>
                <w:szCs w:val="21"/>
              </w:rPr>
              <w:t>。需提供以上人员学位及专业证明、职称证书和近两个月社保缴纳证明文件等有效证明材料，且证明材料须提供真彩扫描打印件。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restart"/>
            <w:vAlign w:val="center"/>
          </w:tcPr>
          <w:p>
            <w:pPr>
              <w:ind w:left="-21" w:leftChars="-10" w:right="-21" w:rightChars="-10"/>
              <w:jc w:val="center"/>
              <w:rPr>
                <w:rFonts w:ascii="宋体" w:hAnsi="宋体" w:eastAsia="宋体" w:cs="Times New Roman"/>
                <w:b/>
                <w:color w:val="000000" w:themeColor="text1"/>
                <w:szCs w:val="21"/>
              </w:rPr>
            </w:pPr>
            <w:r>
              <w:rPr>
                <w:rFonts w:ascii="宋体" w:hAnsi="宋体" w:eastAsia="宋体" w:cs="Times New Roman"/>
                <w:b/>
                <w:color w:val="000000" w:themeColor="text1"/>
                <w:szCs w:val="21"/>
              </w:rPr>
              <w:t>获奖情况</w:t>
            </w: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6</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投标人2013年12月份至今获得省部级或以上一等及以上科技奖励的，每项得1分；获得省部级或以上二等或三等科技奖励的，每项得0.5分；获得厅级或市级科技奖励的，每项得0.1分。</w:t>
            </w:r>
            <w:r>
              <w:rPr>
                <w:rFonts w:hint="eastAsia" w:ascii="宋体" w:hAnsi="宋体"/>
                <w:b/>
                <w:bCs/>
                <w:color w:val="000000" w:themeColor="text1"/>
                <w:szCs w:val="21"/>
              </w:rPr>
              <w:t>此项累计最高得6分</w:t>
            </w:r>
            <w:r>
              <w:rPr>
                <w:rFonts w:hint="eastAsia" w:ascii="宋体" w:hAnsi="宋体"/>
                <w:color w:val="000000" w:themeColor="text1"/>
                <w:szCs w:val="21"/>
              </w:rPr>
              <w:t>。需提供有效证明材料，且证明材料须提供真彩扫描打印件。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89" w:type="dxa"/>
            <w:vMerge w:val="continue"/>
            <w:vAlign w:val="center"/>
          </w:tcPr>
          <w:p>
            <w:pPr>
              <w:numPr>
                <w:ilvl w:val="0"/>
                <w:numId w:val="58"/>
              </w:numPr>
              <w:tabs>
                <w:tab w:val="left" w:pos="322"/>
              </w:tabs>
              <w:spacing w:line="320" w:lineRule="exact"/>
              <w:ind w:left="-42" w:right="-42" w:rightChars="-20" w:firstLine="0"/>
              <w:jc w:val="right"/>
              <w:rPr>
                <w:rFonts w:ascii="宋体" w:hAnsi="宋体" w:eastAsia="宋体" w:cs="Times New Roman"/>
                <w:b/>
                <w:color w:val="000000" w:themeColor="text1"/>
                <w:szCs w:val="21"/>
              </w:rPr>
            </w:pPr>
          </w:p>
        </w:tc>
        <w:tc>
          <w:tcPr>
            <w:tcW w:w="1276" w:type="dxa"/>
            <w:vMerge w:val="continue"/>
            <w:vAlign w:val="center"/>
          </w:tcPr>
          <w:p>
            <w:pPr>
              <w:ind w:left="-21" w:leftChars="-10" w:right="-21" w:rightChars="-10"/>
              <w:jc w:val="center"/>
              <w:rPr>
                <w:rFonts w:ascii="宋体" w:hAnsi="宋体" w:eastAsia="宋体" w:cs="Times New Roman"/>
                <w:b/>
                <w:color w:val="000000" w:themeColor="text1"/>
                <w:szCs w:val="21"/>
              </w:rPr>
            </w:pPr>
          </w:p>
        </w:tc>
        <w:tc>
          <w:tcPr>
            <w:tcW w:w="709" w:type="dxa"/>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投标人拟派的项目负责人获省部级或以上环保科技类二等奖或以上的得</w:t>
            </w:r>
            <w:r>
              <w:rPr>
                <w:rFonts w:ascii="宋体" w:hAnsi="宋体"/>
                <w:color w:val="000000" w:themeColor="text1"/>
                <w:szCs w:val="21"/>
              </w:rPr>
              <w:t>3</w:t>
            </w:r>
            <w:r>
              <w:rPr>
                <w:rFonts w:hint="eastAsia" w:ascii="宋体" w:hAnsi="宋体"/>
                <w:color w:val="000000" w:themeColor="text1"/>
                <w:szCs w:val="21"/>
              </w:rPr>
              <w:t>分；项目负责人获省部级或以上环保科技类三等奖的得1分。需提供有效证明材料，且证明材料须提供真彩扫描打印件。</w:t>
            </w:r>
          </w:p>
        </w:tc>
        <w:tc>
          <w:tcPr>
            <w:tcW w:w="944" w:type="dxa"/>
            <w:vAlign w:val="center"/>
          </w:tcPr>
          <w:p>
            <w:pPr>
              <w:spacing w:line="320" w:lineRule="exact"/>
              <w:ind w:left="-65" w:leftChars="-31" w:right="-35" w:rightChars="-17"/>
              <w:jc w:val="right"/>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74" w:type="dxa"/>
            <w:gridSpan w:val="3"/>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商务分合计</w:t>
            </w:r>
          </w:p>
        </w:tc>
        <w:tc>
          <w:tcPr>
            <w:tcW w:w="7468" w:type="dxa"/>
            <w:gridSpan w:val="2"/>
            <w:vAlign w:val="center"/>
          </w:tcPr>
          <w:p>
            <w:pPr>
              <w:spacing w:line="320" w:lineRule="exact"/>
              <w:jc w:val="center"/>
              <w:rPr>
                <w:rFonts w:ascii="宋体" w:hAnsi="宋体"/>
                <w:b/>
                <w:color w:val="000000" w:themeColor="text1"/>
                <w:szCs w:val="21"/>
              </w:rPr>
            </w:pPr>
            <w:r>
              <w:rPr>
                <w:rFonts w:hint="eastAsia" w:ascii="宋体" w:hAnsi="宋体"/>
                <w:b/>
                <w:color w:val="000000" w:themeColor="text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dxa"/>
            <w:vMerge w:val="restart"/>
            <w:shd w:val="pct10" w:color="auto" w:fill="auto"/>
            <w:vAlign w:val="center"/>
          </w:tcPr>
          <w:p>
            <w:pPr>
              <w:tabs>
                <w:tab w:val="left" w:pos="322"/>
              </w:tabs>
              <w:spacing w:line="320" w:lineRule="exact"/>
              <w:ind w:left="-42" w:right="-42" w:rightChars="-20"/>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技术服务评议</w:t>
            </w:r>
          </w:p>
          <w:p>
            <w:pPr>
              <w:tabs>
                <w:tab w:val="left" w:pos="322"/>
              </w:tabs>
              <w:spacing w:line="320" w:lineRule="exact"/>
              <w:ind w:left="-42" w:right="-42" w:rightChars="-20"/>
              <w:jc w:val="center"/>
              <w:rPr>
                <w:rFonts w:ascii="宋体" w:hAnsi="宋体" w:eastAsia="宋体" w:cs="Times New Roman"/>
                <w:b/>
                <w:color w:val="000000" w:themeColor="text1"/>
                <w:szCs w:val="21"/>
              </w:rPr>
            </w:pPr>
            <w:r>
              <w:rPr>
                <w:rFonts w:hint="eastAsia" w:ascii="宋体" w:hAnsi="宋体" w:eastAsia="宋体" w:cs="Times New Roman"/>
                <w:b/>
                <w:bCs/>
                <w:color w:val="000000" w:themeColor="text1"/>
                <w:szCs w:val="21"/>
              </w:rPr>
              <w:t>50</w:t>
            </w:r>
          </w:p>
        </w:tc>
        <w:tc>
          <w:tcPr>
            <w:tcW w:w="1276" w:type="dxa"/>
            <w:shd w:val="pct10" w:color="auto" w:fill="auto"/>
            <w:vAlign w:val="center"/>
          </w:tcPr>
          <w:p>
            <w:pPr>
              <w:ind w:left="-77" w:leftChars="-37" w:right="-86" w:rightChars="-41"/>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评审因素</w:t>
            </w:r>
          </w:p>
        </w:tc>
        <w:tc>
          <w:tcPr>
            <w:tcW w:w="709" w:type="dxa"/>
            <w:shd w:val="pct10" w:color="auto" w:fill="auto"/>
            <w:vAlign w:val="center"/>
          </w:tcPr>
          <w:p>
            <w:pPr>
              <w:ind w:left="-73" w:leftChars="-35" w:right="-79" w:rightChars="-38"/>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分值</w:t>
            </w:r>
          </w:p>
        </w:tc>
        <w:tc>
          <w:tcPr>
            <w:tcW w:w="6524" w:type="dxa"/>
            <w:shd w:val="pct10" w:color="auto" w:fill="auto"/>
            <w:vAlign w:val="center"/>
          </w:tcPr>
          <w:p>
            <w:pPr>
              <w:spacing w:line="320" w:lineRule="exact"/>
              <w:rPr>
                <w:rFonts w:ascii="宋体" w:hAnsi="宋体"/>
                <w:color w:val="000000" w:themeColor="text1"/>
                <w:szCs w:val="21"/>
              </w:rPr>
            </w:pPr>
            <w:r>
              <w:rPr>
                <w:rFonts w:hint="eastAsia" w:ascii="宋体" w:hAnsi="宋体"/>
                <w:color w:val="000000" w:themeColor="text1"/>
                <w:szCs w:val="21"/>
              </w:rPr>
              <w:t>评分标准</w:t>
            </w:r>
          </w:p>
        </w:tc>
        <w:tc>
          <w:tcPr>
            <w:tcW w:w="944" w:type="dxa"/>
            <w:shd w:val="pct10" w:color="auto" w:fill="auto"/>
            <w:vAlign w:val="center"/>
          </w:tcPr>
          <w:p>
            <w:pPr>
              <w:spacing w:line="320" w:lineRule="exact"/>
              <w:rPr>
                <w:rFonts w:ascii="宋体" w:hAnsi="宋体"/>
                <w:color w:val="000000" w:themeColor="text1"/>
                <w:szCs w:val="21"/>
              </w:rPr>
            </w:pPr>
            <w:r>
              <w:rPr>
                <w:rFonts w:hint="eastAsia" w:ascii="宋体" w:hAnsi="宋体"/>
                <w:color w:val="000000" w:themeColor="text1"/>
                <w:szCs w:val="21"/>
              </w:rPr>
              <w:t>因素</w:t>
            </w:r>
          </w:p>
          <w:p>
            <w:pPr>
              <w:spacing w:line="320" w:lineRule="exact"/>
              <w:rPr>
                <w:rFonts w:ascii="宋体" w:hAnsi="宋体"/>
                <w:color w:val="000000" w:themeColor="text1"/>
                <w:szCs w:val="21"/>
              </w:rPr>
            </w:pPr>
            <w:r>
              <w:rPr>
                <w:rFonts w:hint="eastAsia" w:ascii="宋体" w:hAnsi="宋体"/>
                <w:color w:val="000000" w:themeColor="text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ind w:left="-21" w:leftChars="-10" w:right="-21" w:rightChars="-10"/>
              <w:rPr>
                <w:rFonts w:ascii="宋体" w:hAnsi="宋体" w:eastAsia="宋体" w:cs="Times New Roman"/>
                <w:b/>
                <w:color w:val="000000" w:themeColor="text1"/>
                <w:szCs w:val="21"/>
              </w:rPr>
            </w:pPr>
            <w:r>
              <w:rPr>
                <w:rFonts w:hint="eastAsia"/>
                <w:color w:val="000000" w:themeColor="text1"/>
                <w:szCs w:val="21"/>
              </w:rPr>
              <w:t>对本项目的理解</w:t>
            </w:r>
          </w:p>
        </w:tc>
        <w:tc>
          <w:tcPr>
            <w:tcW w:w="709" w:type="dxa"/>
            <w:vAlign w:val="center"/>
          </w:tcPr>
          <w:p>
            <w:pPr>
              <w:spacing w:line="320" w:lineRule="exact"/>
              <w:ind w:left="-48" w:leftChars="-23" w:right="-35" w:rightChars="-17"/>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10</w:t>
            </w:r>
          </w:p>
        </w:tc>
        <w:tc>
          <w:tcPr>
            <w:tcW w:w="6524" w:type="dxa"/>
            <w:vAlign w:val="center"/>
          </w:tcPr>
          <w:p>
            <w:pPr>
              <w:spacing w:line="320" w:lineRule="exact"/>
              <w:rPr>
                <w:rFonts w:ascii="宋体" w:hAnsi="宋体"/>
                <w:color w:val="000000" w:themeColor="text1"/>
                <w:szCs w:val="21"/>
              </w:rPr>
            </w:pPr>
            <w:r>
              <w:rPr>
                <w:rFonts w:hint="eastAsia" w:ascii="宋体" w:hAnsi="宋体" w:eastAsia="宋体" w:cs="Times New Roman"/>
                <w:b/>
                <w:color w:val="000000" w:themeColor="text1"/>
                <w:szCs w:val="21"/>
              </w:rPr>
              <w:t>对本项目背景、现状、目标、内容、要求的了解和响应程度。</w:t>
            </w:r>
            <w:r>
              <w:rPr>
                <w:rFonts w:hint="eastAsia"/>
                <w:color w:val="000000" w:themeColor="text1"/>
                <w:szCs w:val="21"/>
              </w:rPr>
              <w:t>主要评审投标人对本项目建设的必要性、前瞻性的理解程度，特别是对本项目建设阶段的难点分析是否准确，对重点难点问题拟采取的措施的有效性和针对性。</w:t>
            </w:r>
            <w:r>
              <w:rPr>
                <w:rFonts w:hint="eastAsia" w:ascii="宋体" w:hAnsi="宋体"/>
                <w:color w:val="000000" w:themeColor="text1"/>
                <w:szCs w:val="21"/>
              </w:rPr>
              <w:t>根据投标人对项目背景、现状、目标、内容、要求的理解是否准确,了解和认识是否深刻，是否对项目需求作出了全面响应进行横向比较：依据各投标人所提供有关资料进行横向比较排名，第一名得10分，第二名得7分，第三名得4分，以此类推。</w:t>
            </w:r>
          </w:p>
        </w:tc>
        <w:tc>
          <w:tcPr>
            <w:tcW w:w="944" w:type="dxa"/>
            <w:vAlign w:val="center"/>
          </w:tcPr>
          <w:p>
            <w:pPr>
              <w:spacing w:line="320" w:lineRule="exact"/>
              <w:ind w:left="-65" w:leftChars="-31" w:right="-35" w:rightChars="-1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rPr>
                <w:color w:val="000000" w:themeColor="text1"/>
                <w:szCs w:val="21"/>
              </w:rPr>
            </w:pPr>
            <w:r>
              <w:rPr>
                <w:rFonts w:hint="eastAsia"/>
                <w:color w:val="000000" w:themeColor="text1"/>
                <w:szCs w:val="21"/>
              </w:rPr>
              <w:t>规划设计</w:t>
            </w:r>
          </w:p>
          <w:p>
            <w:pPr>
              <w:rPr>
                <w:color w:val="000000" w:themeColor="text1"/>
                <w:szCs w:val="21"/>
              </w:rPr>
            </w:pPr>
            <w:r>
              <w:rPr>
                <w:rFonts w:hint="eastAsia"/>
                <w:color w:val="000000" w:themeColor="text1"/>
                <w:szCs w:val="21"/>
              </w:rPr>
              <w:t>初步设想</w:t>
            </w:r>
          </w:p>
        </w:tc>
        <w:tc>
          <w:tcPr>
            <w:tcW w:w="709" w:type="dxa"/>
            <w:vAlign w:val="center"/>
          </w:tcPr>
          <w:p>
            <w:pPr>
              <w:rPr>
                <w:color w:val="000000" w:themeColor="text1"/>
                <w:szCs w:val="21"/>
              </w:rPr>
            </w:pPr>
            <w:r>
              <w:rPr>
                <w:rFonts w:hint="eastAsia"/>
                <w:color w:val="000000" w:themeColor="text1"/>
                <w:szCs w:val="21"/>
              </w:rPr>
              <w:t>7</w:t>
            </w:r>
          </w:p>
        </w:tc>
        <w:tc>
          <w:tcPr>
            <w:tcW w:w="6524" w:type="dxa"/>
            <w:vAlign w:val="center"/>
          </w:tcPr>
          <w:p>
            <w:pPr>
              <w:rPr>
                <w:color w:val="000000" w:themeColor="text1"/>
                <w:szCs w:val="21"/>
              </w:rPr>
            </w:pPr>
            <w:r>
              <w:rPr>
                <w:rFonts w:hint="eastAsia"/>
                <w:color w:val="000000" w:themeColor="text1"/>
                <w:szCs w:val="21"/>
              </w:rPr>
              <w:t>主要评审投标人在对本项目理解和建设条件认识的基础上针对项目布局和项目服务综合规划提出初步设想，设想是否可行、思路把握是否准确。依据各投标人所提供有关资料进行横向比较排名，第一名得7分，第二名得4分，第三名得1分。</w:t>
            </w:r>
          </w:p>
        </w:tc>
        <w:tc>
          <w:tcPr>
            <w:tcW w:w="944" w:type="dxa"/>
            <w:vAlign w:val="center"/>
          </w:tcPr>
          <w:p>
            <w:pPr>
              <w:spacing w:line="320" w:lineRule="exact"/>
              <w:ind w:left="-65" w:leftChars="-31" w:right="-35" w:rightChars="-1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服务方案</w:t>
            </w:r>
          </w:p>
        </w:tc>
        <w:tc>
          <w:tcPr>
            <w:tcW w:w="709" w:type="dxa"/>
            <w:vAlign w:val="center"/>
          </w:tcPr>
          <w:p>
            <w:pPr>
              <w:spacing w:line="320" w:lineRule="exact"/>
              <w:ind w:left="-48" w:leftChars="-23" w:right="-35" w:rightChars="-17"/>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10</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根据投标人提供的服务方案进行横向比较：服务方案具体、全面、科学、合理且有针对性，调查与评估方法符合有关技术指南要求，依据各投标人所提供有关资料进行横向比较排名，第一名得10分，第二名得7分，第三名得4分，以此类推。</w:t>
            </w:r>
          </w:p>
        </w:tc>
        <w:tc>
          <w:tcPr>
            <w:tcW w:w="944" w:type="dxa"/>
            <w:vAlign w:val="center"/>
          </w:tcPr>
          <w:p>
            <w:pPr>
              <w:spacing w:line="320" w:lineRule="exact"/>
              <w:ind w:left="-65" w:leftChars="-31" w:right="-35" w:rightChars="-1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rPr>
                <w:color w:val="000000" w:themeColor="text1"/>
                <w:szCs w:val="21"/>
              </w:rPr>
            </w:pPr>
            <w:r>
              <w:rPr>
                <w:rFonts w:hint="eastAsia"/>
                <w:color w:val="000000" w:themeColor="text1"/>
                <w:szCs w:val="21"/>
              </w:rPr>
              <w:t>技术支持</w:t>
            </w:r>
          </w:p>
        </w:tc>
        <w:tc>
          <w:tcPr>
            <w:tcW w:w="709" w:type="dxa"/>
            <w:vAlign w:val="center"/>
          </w:tcPr>
          <w:p>
            <w:pPr>
              <w:rPr>
                <w:color w:val="000000" w:themeColor="text1"/>
                <w:szCs w:val="21"/>
              </w:rPr>
            </w:pPr>
            <w:r>
              <w:rPr>
                <w:rFonts w:hint="eastAsia"/>
                <w:color w:val="000000" w:themeColor="text1"/>
                <w:szCs w:val="21"/>
              </w:rPr>
              <w:t>5</w:t>
            </w:r>
          </w:p>
        </w:tc>
        <w:tc>
          <w:tcPr>
            <w:tcW w:w="6524" w:type="dxa"/>
            <w:vAlign w:val="center"/>
          </w:tcPr>
          <w:p>
            <w:pPr>
              <w:rPr>
                <w:color w:val="000000" w:themeColor="text1"/>
                <w:szCs w:val="21"/>
              </w:rPr>
            </w:pPr>
            <w:r>
              <w:rPr>
                <w:rFonts w:hint="eastAsia"/>
                <w:color w:val="000000" w:themeColor="text1"/>
                <w:szCs w:val="21"/>
              </w:rPr>
              <w:t>具备优良的技术支持，根据投标人提供的相关技术准备情况打分。依据各投标人所提供有关资料进行横向比较排名，第一名得5分，第二名得4分，第三名得3分。以此类推。</w:t>
            </w:r>
          </w:p>
        </w:tc>
        <w:tc>
          <w:tcPr>
            <w:tcW w:w="944" w:type="dxa"/>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人员管理</w:t>
            </w:r>
          </w:p>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架构</w:t>
            </w:r>
          </w:p>
        </w:tc>
        <w:tc>
          <w:tcPr>
            <w:tcW w:w="709" w:type="dxa"/>
            <w:vAlign w:val="center"/>
          </w:tcPr>
          <w:p>
            <w:pPr>
              <w:spacing w:line="320" w:lineRule="exact"/>
              <w:ind w:left="-48" w:leftChars="-23" w:right="-35" w:rightChars="-17"/>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10</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根据投标人提供的人员管理架构进行横向比较：人员管理架构完善，分工明确清晰，专业技术人员充足，依据各投标人所提供有关资料进行横向比较排名，第一名得10分，第二名得7分，第三名得4分，以此类推。</w:t>
            </w:r>
          </w:p>
        </w:tc>
        <w:tc>
          <w:tcPr>
            <w:tcW w:w="944" w:type="dxa"/>
            <w:vAlign w:val="center"/>
          </w:tcPr>
          <w:p>
            <w:pPr>
              <w:spacing w:line="320" w:lineRule="exact"/>
              <w:ind w:left="-65" w:leftChars="-31" w:right="-35" w:rightChars="-1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时间计划</w:t>
            </w:r>
          </w:p>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安排</w:t>
            </w:r>
          </w:p>
        </w:tc>
        <w:tc>
          <w:tcPr>
            <w:tcW w:w="709" w:type="dxa"/>
            <w:vAlign w:val="center"/>
          </w:tcPr>
          <w:p>
            <w:pPr>
              <w:spacing w:line="320" w:lineRule="exact"/>
              <w:ind w:left="-48" w:leftChars="-23" w:right="-35" w:rightChars="-17"/>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3</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根据投标人提供的时间计划安排的合理性、科学性及可行性进行横向比较:第一名得3分；第二名得2分，第三名得1分。</w:t>
            </w:r>
          </w:p>
        </w:tc>
        <w:tc>
          <w:tcPr>
            <w:tcW w:w="944" w:type="dxa"/>
            <w:vAlign w:val="center"/>
          </w:tcPr>
          <w:p>
            <w:pPr>
              <w:spacing w:line="320" w:lineRule="exact"/>
              <w:ind w:left="-65" w:leftChars="-31" w:right="-35" w:rightChars="-1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89" w:type="dxa"/>
            <w:vMerge w:val="continue"/>
            <w:vAlign w:val="center"/>
          </w:tcPr>
          <w:p>
            <w:pPr>
              <w:tabs>
                <w:tab w:val="left" w:pos="322"/>
              </w:tabs>
              <w:spacing w:line="320" w:lineRule="exact"/>
              <w:ind w:left="-42" w:right="-42" w:rightChars="-20"/>
              <w:jc w:val="right"/>
              <w:rPr>
                <w:rFonts w:ascii="宋体" w:hAnsi="宋体" w:eastAsia="宋体" w:cs="Times New Roman"/>
                <w:b/>
                <w:color w:val="000000" w:themeColor="text1"/>
                <w:szCs w:val="21"/>
              </w:rPr>
            </w:pPr>
          </w:p>
        </w:tc>
        <w:tc>
          <w:tcPr>
            <w:tcW w:w="1276" w:type="dxa"/>
            <w:vAlign w:val="center"/>
          </w:tcPr>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服务保障</w:t>
            </w:r>
          </w:p>
          <w:p>
            <w:pPr>
              <w:ind w:left="-21" w:leftChars="-10" w:right="-21" w:rightChars="-1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措施</w:t>
            </w:r>
          </w:p>
        </w:tc>
        <w:tc>
          <w:tcPr>
            <w:tcW w:w="709" w:type="dxa"/>
            <w:vAlign w:val="center"/>
          </w:tcPr>
          <w:p>
            <w:pPr>
              <w:spacing w:line="320" w:lineRule="exact"/>
              <w:ind w:left="-48" w:leftChars="-23" w:right="-35" w:rightChars="-17"/>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5</w:t>
            </w:r>
          </w:p>
        </w:tc>
        <w:tc>
          <w:tcPr>
            <w:tcW w:w="6524" w:type="dxa"/>
            <w:vAlign w:val="center"/>
          </w:tcPr>
          <w:p>
            <w:pPr>
              <w:spacing w:line="320" w:lineRule="exact"/>
              <w:rPr>
                <w:rFonts w:ascii="宋体" w:hAnsi="宋体"/>
                <w:color w:val="000000" w:themeColor="text1"/>
                <w:szCs w:val="21"/>
              </w:rPr>
            </w:pPr>
            <w:r>
              <w:rPr>
                <w:rFonts w:hint="eastAsia" w:ascii="宋体" w:hAnsi="宋体"/>
                <w:color w:val="000000" w:themeColor="text1"/>
                <w:szCs w:val="21"/>
              </w:rPr>
              <w:t>根据投标人提供的服务保障措施的合理性及可行性进行横向比较: 第一名得5分；第二名得3分，第三名得1分。</w:t>
            </w:r>
          </w:p>
        </w:tc>
        <w:tc>
          <w:tcPr>
            <w:tcW w:w="944" w:type="dxa"/>
            <w:vAlign w:val="center"/>
          </w:tcPr>
          <w:p>
            <w:pPr>
              <w:spacing w:line="320" w:lineRule="exact"/>
              <w:ind w:left="-65" w:leftChars="-31" w:right="-35" w:rightChars="-17"/>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74" w:type="dxa"/>
            <w:gridSpan w:val="3"/>
            <w:vAlign w:val="center"/>
          </w:tcPr>
          <w:p>
            <w:pPr>
              <w:spacing w:line="320" w:lineRule="exact"/>
              <w:ind w:left="-48" w:leftChars="-23"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技术分合计</w:t>
            </w:r>
          </w:p>
        </w:tc>
        <w:tc>
          <w:tcPr>
            <w:tcW w:w="7468" w:type="dxa"/>
            <w:gridSpan w:val="2"/>
            <w:vAlign w:val="center"/>
          </w:tcPr>
          <w:p>
            <w:pPr>
              <w:spacing w:line="320" w:lineRule="exact"/>
              <w:ind w:left="-65" w:leftChars="-31" w:right="-35" w:rightChars="-17"/>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gridSpan w:val="2"/>
            <w:vAlign w:val="center"/>
          </w:tcPr>
          <w:p>
            <w:pPr>
              <w:ind w:left="-77" w:leftChars="-37" w:right="-86" w:rightChars="-41"/>
              <w:jc w:val="center"/>
              <w:rPr>
                <w:rFonts w:ascii="宋体" w:hAnsi="宋体" w:eastAsia="宋体" w:cs="Times New Roman"/>
                <w:b/>
                <w:bCs/>
                <w:color w:val="000000" w:themeColor="text1"/>
                <w:szCs w:val="21"/>
              </w:rPr>
            </w:pPr>
            <w:r>
              <w:rPr>
                <w:rFonts w:hint="eastAsia" w:ascii="宋体" w:hAnsi="宋体" w:eastAsia="宋体" w:cs="Times New Roman"/>
                <w:b/>
                <w:bCs/>
                <w:color w:val="000000" w:themeColor="text1"/>
                <w:szCs w:val="21"/>
              </w:rPr>
              <w:t>价格评议</w:t>
            </w:r>
          </w:p>
        </w:tc>
        <w:tc>
          <w:tcPr>
            <w:tcW w:w="709" w:type="dxa"/>
            <w:vAlign w:val="center"/>
          </w:tcPr>
          <w:p>
            <w:pPr>
              <w:spacing w:line="320" w:lineRule="exact"/>
              <w:rPr>
                <w:rFonts w:ascii="宋体" w:hAnsi="宋体" w:eastAsia="宋体" w:cs="Times New Roman"/>
                <w:color w:val="000000" w:themeColor="text1"/>
                <w:kern w:val="0"/>
                <w:szCs w:val="21"/>
              </w:rPr>
            </w:pPr>
            <w:r>
              <w:rPr>
                <w:rFonts w:hint="eastAsia" w:ascii="宋体" w:hAnsi="宋体" w:eastAsia="宋体" w:cs="Times New Roman"/>
                <w:b/>
                <w:bCs/>
                <w:color w:val="000000" w:themeColor="text1"/>
                <w:kern w:val="0"/>
                <w:szCs w:val="21"/>
              </w:rPr>
              <w:t>10</w:t>
            </w:r>
          </w:p>
        </w:tc>
        <w:tc>
          <w:tcPr>
            <w:tcW w:w="7468" w:type="dxa"/>
            <w:gridSpan w:val="2"/>
            <w:vAlign w:val="center"/>
          </w:tcPr>
          <w:p>
            <w:pPr>
              <w:adjustRightInd w:val="0"/>
              <w:snapToGrid w:val="0"/>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10。计算时保留两位小数。为保证产品质量，投标报价低于采购预算80%时，评标委员会将对其进行成本分析，评标委员会认为报价低于成本价时将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74" w:type="dxa"/>
            <w:gridSpan w:val="3"/>
            <w:vAlign w:val="center"/>
          </w:tcPr>
          <w:p>
            <w:pPr>
              <w:spacing w:line="32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报价分合计</w:t>
            </w:r>
          </w:p>
        </w:tc>
        <w:tc>
          <w:tcPr>
            <w:tcW w:w="7468" w:type="dxa"/>
            <w:gridSpan w:val="2"/>
            <w:vAlign w:val="center"/>
          </w:tcPr>
          <w:p>
            <w:pPr>
              <w:adjustRightInd w:val="0"/>
              <w:snapToGrid w:val="0"/>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dxa"/>
            <w:gridSpan w:val="3"/>
            <w:vAlign w:val="center"/>
          </w:tcPr>
          <w:p>
            <w:pPr>
              <w:spacing w:line="320" w:lineRule="exact"/>
              <w:jc w:val="center"/>
              <w:rPr>
                <w:rFonts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得分总计</w:t>
            </w:r>
          </w:p>
        </w:tc>
        <w:tc>
          <w:tcPr>
            <w:tcW w:w="7468" w:type="dxa"/>
            <w:gridSpan w:val="2"/>
            <w:vAlign w:val="center"/>
          </w:tcPr>
          <w:p>
            <w:pPr>
              <w:adjustRightInd w:val="0"/>
              <w:snapToGrid w:val="0"/>
              <w:jc w:val="center"/>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100</w:t>
            </w:r>
          </w:p>
        </w:tc>
      </w:tr>
    </w:tbl>
    <w:p/>
    <w:p>
      <w:r>
        <w:br w:type="page"/>
      </w:r>
    </w:p>
    <w:p>
      <w:pPr>
        <w:pStyle w:val="2"/>
        <w:numPr>
          <w:ilvl w:val="0"/>
          <w:numId w:val="1"/>
        </w:numPr>
        <w:jc w:val="center"/>
        <w:rPr>
          <w:rFonts w:ascii="黑体" w:hAnsi="黑体" w:eastAsia="黑体"/>
        </w:rPr>
      </w:pPr>
      <w:bookmarkStart w:id="68" w:name="_Toc494665546"/>
      <w:bookmarkStart w:id="69" w:name="_Toc494665943"/>
      <w:bookmarkStart w:id="70" w:name="_Toc533862427"/>
      <w:bookmarkStart w:id="71" w:name="_Toc494721093"/>
      <w:bookmarkStart w:id="72" w:name="_Toc494664993"/>
      <w:bookmarkStart w:id="73" w:name="_Toc494745310"/>
      <w:bookmarkStart w:id="74" w:name="_Toc494702263"/>
      <w:r>
        <w:rPr>
          <w:rFonts w:hint="eastAsia" w:ascii="黑体" w:hAnsi="黑体" w:eastAsia="黑体"/>
        </w:rPr>
        <w:t>合同书格式（参考）</w:t>
      </w:r>
      <w:bookmarkEnd w:id="68"/>
      <w:bookmarkEnd w:id="69"/>
      <w:bookmarkEnd w:id="70"/>
      <w:bookmarkEnd w:id="71"/>
      <w:bookmarkEnd w:id="72"/>
      <w:bookmarkEnd w:id="73"/>
      <w:bookmarkEnd w:id="74"/>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jc w:val="center"/>
        <w:rPr>
          <w:rFonts w:eastAsia="黑体"/>
          <w:spacing w:val="120"/>
          <w:sz w:val="48"/>
        </w:rPr>
      </w:pPr>
      <w:r>
        <w:rPr>
          <w:rFonts w:hint="eastAsia" w:eastAsia="黑体"/>
          <w:spacing w:val="120"/>
          <w:sz w:val="48"/>
        </w:rPr>
        <w:t>技术咨询合同</w:t>
      </w:r>
    </w:p>
    <w:p>
      <w:pPr>
        <w:rPr>
          <w:rFonts w:asciiTheme="minorEastAsia" w:hAnsiTheme="minorEastAsia"/>
        </w:rPr>
      </w:pPr>
    </w:p>
    <w:p>
      <w:pPr>
        <w:rPr>
          <w:rFonts w:asciiTheme="minorEastAsia" w:hAnsiTheme="minorEastAsia"/>
        </w:rPr>
      </w:pPr>
    </w:p>
    <w:tbl>
      <w:tblPr>
        <w:tblStyle w:val="18"/>
        <w:tblW w:w="0" w:type="auto"/>
        <w:tblInd w:w="0" w:type="dxa"/>
        <w:tblLayout w:type="fixed"/>
        <w:tblCellMar>
          <w:top w:w="0" w:type="dxa"/>
          <w:left w:w="108" w:type="dxa"/>
          <w:bottom w:w="0" w:type="dxa"/>
          <w:right w:w="108" w:type="dxa"/>
        </w:tblCellMar>
      </w:tblPr>
      <w:tblGrid>
        <w:gridCol w:w="2268"/>
        <w:gridCol w:w="6840"/>
      </w:tblGrid>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项</w:t>
            </w:r>
            <w:r>
              <w:rPr>
                <w:rFonts w:asciiTheme="minorEastAsia" w:hAnsiTheme="minorEastAsia"/>
                <w:sz w:val="24"/>
                <w:szCs w:val="24"/>
              </w:rPr>
              <w:t xml:space="preserve"> </w:t>
            </w:r>
            <w:r>
              <w:rPr>
                <w:rFonts w:hint="eastAsia" w:asciiTheme="minorEastAsia" w:hAnsiTheme="minorEastAsia"/>
                <w:sz w:val="24"/>
                <w:szCs w:val="24"/>
              </w:rPr>
              <w:t>目</w:t>
            </w:r>
            <w:r>
              <w:rPr>
                <w:rFonts w:asciiTheme="minorEastAsia" w:hAnsiTheme="minorEastAsia"/>
                <w:sz w:val="24"/>
                <w:szCs w:val="24"/>
              </w:rPr>
              <w:t xml:space="preserve"> </w:t>
            </w:r>
            <w:r>
              <w:rPr>
                <w:rFonts w:hint="eastAsia" w:asciiTheme="minorEastAsia" w:hAnsiTheme="minorEastAsia"/>
                <w:sz w:val="24"/>
                <w:szCs w:val="24"/>
              </w:rPr>
              <w:t>名</w:t>
            </w:r>
            <w:r>
              <w:rPr>
                <w:rFonts w:asciiTheme="minorEastAsia" w:hAnsiTheme="minorEastAsia"/>
                <w:sz w:val="24"/>
                <w:szCs w:val="24"/>
              </w:rPr>
              <w:t xml:space="preserve"> </w:t>
            </w:r>
            <w:r>
              <w:rPr>
                <w:rFonts w:hint="eastAsia" w:asciiTheme="minorEastAsia" w:hAnsiTheme="minorEastAsia"/>
                <w:sz w:val="24"/>
                <w:szCs w:val="24"/>
              </w:rPr>
              <w:t>称：</w:t>
            </w:r>
          </w:p>
        </w:tc>
        <w:tc>
          <w:tcPr>
            <w:tcW w:w="6840" w:type="dxa"/>
            <w:tcBorders>
              <w:bottom w:val="single" w:color="auto" w:sz="4" w:space="0"/>
            </w:tcBorders>
          </w:tcPr>
          <w:p>
            <w:pPr>
              <w:rPr>
                <w:rFonts w:asciiTheme="minorEastAsia" w:hAnsiTheme="minorEastAsia"/>
                <w:sz w:val="24"/>
                <w:szCs w:val="24"/>
                <w:u w:val="thick"/>
              </w:rPr>
            </w:pPr>
            <w:r>
              <w:rPr>
                <w:rFonts w:hint="eastAsia" w:cs="Times New Roman" w:asciiTheme="minorEastAsia" w:hAnsiTheme="minorEastAsia"/>
                <w:sz w:val="24"/>
                <w:szCs w:val="24"/>
              </w:rPr>
              <w:t>湖北网湖自然保护区水生态环境保护规划项目</w:t>
            </w: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p>
        </w:tc>
        <w:tc>
          <w:tcPr>
            <w:tcW w:w="6840" w:type="dxa"/>
            <w:tcBorders>
              <w:top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委</w:t>
            </w:r>
            <w:r>
              <w:rPr>
                <w:rFonts w:asciiTheme="minorEastAsia" w:hAnsiTheme="minorEastAsia"/>
                <w:sz w:val="24"/>
                <w:szCs w:val="24"/>
              </w:rPr>
              <w:t xml:space="preserve">  </w:t>
            </w:r>
            <w:r>
              <w:rPr>
                <w:rFonts w:hint="eastAsia" w:asciiTheme="minorEastAsia" w:hAnsiTheme="minorEastAsia"/>
                <w:sz w:val="24"/>
                <w:szCs w:val="24"/>
              </w:rPr>
              <w:t>托</w:t>
            </w:r>
            <w:r>
              <w:rPr>
                <w:rFonts w:asciiTheme="minorEastAsia" w:hAnsiTheme="minorEastAsia"/>
                <w:sz w:val="24"/>
                <w:szCs w:val="24"/>
              </w:rPr>
              <w:t xml:space="preserve">  </w:t>
            </w:r>
            <w:r>
              <w:rPr>
                <w:rFonts w:hint="eastAsia" w:asciiTheme="minorEastAsia" w:hAnsiTheme="minorEastAsia"/>
                <w:sz w:val="24"/>
                <w:szCs w:val="24"/>
              </w:rPr>
              <w:t>方：</w:t>
            </w:r>
          </w:p>
        </w:tc>
        <w:tc>
          <w:tcPr>
            <w:tcW w:w="6840" w:type="dxa"/>
            <w:tcBorders>
              <w:bottom w:val="single" w:color="auto" w:sz="4" w:space="0"/>
            </w:tcBorders>
          </w:tcPr>
          <w:p>
            <w:pPr>
              <w:rPr>
                <w:rFonts w:asciiTheme="minorEastAsia" w:hAnsiTheme="minorEastAsia"/>
                <w:sz w:val="24"/>
                <w:szCs w:val="24"/>
              </w:rPr>
            </w:pPr>
            <w:r>
              <w:rPr>
                <w:rFonts w:hint="eastAsia" w:cs="Times New Roman" w:asciiTheme="minorEastAsia" w:hAnsiTheme="minorEastAsia"/>
                <w:sz w:val="24"/>
                <w:szCs w:val="24"/>
              </w:rPr>
              <w:t>黄石市网湖湿地自然保护区管理局</w:t>
            </w: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（甲方）</w:t>
            </w:r>
          </w:p>
        </w:tc>
        <w:tc>
          <w:tcPr>
            <w:tcW w:w="6840" w:type="dxa"/>
            <w:tcBorders>
              <w:top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受  托</w:t>
            </w:r>
            <w:r>
              <w:rPr>
                <w:rFonts w:asciiTheme="minorEastAsia" w:hAnsiTheme="minorEastAsia"/>
                <w:sz w:val="24"/>
                <w:szCs w:val="24"/>
              </w:rPr>
              <w:t xml:space="preserve">  </w:t>
            </w:r>
            <w:r>
              <w:rPr>
                <w:rFonts w:hint="eastAsia" w:asciiTheme="minorEastAsia" w:hAnsiTheme="minorEastAsia"/>
                <w:sz w:val="24"/>
                <w:szCs w:val="24"/>
              </w:rPr>
              <w:t>方：</w:t>
            </w:r>
          </w:p>
        </w:tc>
        <w:tc>
          <w:tcPr>
            <w:tcW w:w="6840" w:type="dxa"/>
            <w:tcBorders>
              <w:bottom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（乙方）</w:t>
            </w:r>
          </w:p>
        </w:tc>
        <w:tc>
          <w:tcPr>
            <w:tcW w:w="6840" w:type="dxa"/>
            <w:tcBorders>
              <w:top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p>
        </w:tc>
        <w:tc>
          <w:tcPr>
            <w:tcW w:w="6840" w:type="dxa"/>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签 订 时 间：</w:t>
            </w:r>
          </w:p>
        </w:tc>
        <w:tc>
          <w:tcPr>
            <w:tcW w:w="6840" w:type="dxa"/>
            <w:tcBorders>
              <w:bottom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p>
        </w:tc>
        <w:tc>
          <w:tcPr>
            <w:tcW w:w="6840" w:type="dxa"/>
            <w:tcBorders>
              <w:top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签 订 地 点：</w:t>
            </w:r>
          </w:p>
        </w:tc>
        <w:tc>
          <w:tcPr>
            <w:tcW w:w="6840" w:type="dxa"/>
            <w:tcBorders>
              <w:bottom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p>
        </w:tc>
        <w:tc>
          <w:tcPr>
            <w:tcW w:w="6840" w:type="dxa"/>
            <w:tcBorders>
              <w:top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r>
              <w:rPr>
                <w:rFonts w:hint="eastAsia" w:asciiTheme="minorEastAsia" w:hAnsiTheme="minorEastAsia"/>
                <w:sz w:val="24"/>
                <w:szCs w:val="24"/>
              </w:rPr>
              <w:t>有 效 期 限：</w:t>
            </w:r>
          </w:p>
        </w:tc>
        <w:tc>
          <w:tcPr>
            <w:tcW w:w="6840" w:type="dxa"/>
            <w:tcBorders>
              <w:bottom w:val="single" w:color="auto" w:sz="4" w:space="0"/>
            </w:tcBorders>
          </w:tcPr>
          <w:p>
            <w:pPr>
              <w:rPr>
                <w:rFonts w:asciiTheme="minorEastAsia" w:hAnsiTheme="minorEastAsia"/>
                <w:sz w:val="24"/>
                <w:szCs w:val="24"/>
              </w:rPr>
            </w:pPr>
          </w:p>
        </w:tc>
      </w:tr>
      <w:tr>
        <w:tblPrEx>
          <w:tblCellMar>
            <w:top w:w="0" w:type="dxa"/>
            <w:left w:w="108" w:type="dxa"/>
            <w:bottom w:w="0" w:type="dxa"/>
            <w:right w:w="108" w:type="dxa"/>
          </w:tblCellMar>
        </w:tblPrEx>
        <w:tc>
          <w:tcPr>
            <w:tcW w:w="2268" w:type="dxa"/>
          </w:tcPr>
          <w:p>
            <w:pPr>
              <w:rPr>
                <w:rFonts w:asciiTheme="minorEastAsia" w:hAnsiTheme="minorEastAsia"/>
                <w:sz w:val="24"/>
                <w:szCs w:val="24"/>
              </w:rPr>
            </w:pPr>
          </w:p>
        </w:tc>
        <w:tc>
          <w:tcPr>
            <w:tcW w:w="6840" w:type="dxa"/>
            <w:tcBorders>
              <w:top w:val="single" w:color="auto" w:sz="4" w:space="0"/>
            </w:tcBorders>
          </w:tcPr>
          <w:p>
            <w:pPr>
              <w:rPr>
                <w:rFonts w:asciiTheme="minorEastAsia" w:hAnsiTheme="minorEastAsia"/>
                <w:sz w:val="24"/>
                <w:szCs w:val="24"/>
              </w:rPr>
            </w:pPr>
          </w:p>
        </w:tc>
      </w:tr>
    </w:tbl>
    <w:p>
      <w:pPr>
        <w:spacing w:before="120" w:after="120"/>
        <w:rPr>
          <w:rFonts w:asciiTheme="minorEastAsia" w:hAnsiTheme="minorEastAsia"/>
          <w:sz w:val="28"/>
        </w:rPr>
      </w:pPr>
    </w:p>
    <w:p>
      <w:pPr>
        <w:spacing w:before="120" w:after="120"/>
        <w:rPr>
          <w:sz w:val="28"/>
        </w:rPr>
      </w:pPr>
    </w:p>
    <w:p>
      <w:pPr>
        <w:spacing w:before="120" w:after="120"/>
        <w:rPr>
          <w:sz w:val="28"/>
        </w:rPr>
      </w:pPr>
    </w:p>
    <w:p>
      <w:pPr>
        <w:spacing w:before="120" w:after="120"/>
        <w:rPr>
          <w:sz w:val="28"/>
        </w:rPr>
      </w:pPr>
    </w:p>
    <w:p>
      <w:pPr>
        <w:spacing w:before="120" w:after="120"/>
        <w:rPr>
          <w:sz w:val="28"/>
        </w:rPr>
      </w:pPr>
    </w:p>
    <w:p>
      <w:pPr>
        <w:spacing w:before="120" w:after="120"/>
        <w:rPr>
          <w:sz w:val="28"/>
        </w:rPr>
      </w:pPr>
    </w:p>
    <w:p>
      <w:pPr>
        <w:spacing w:before="120" w:after="120"/>
        <w:rPr>
          <w:sz w:val="28"/>
        </w:rPr>
      </w:pPr>
    </w:p>
    <w:p>
      <w:pPr>
        <w:spacing w:before="120" w:after="120"/>
        <w:rPr>
          <w:sz w:val="28"/>
        </w:rPr>
      </w:pPr>
    </w:p>
    <w:p>
      <w:pPr>
        <w:spacing w:before="120" w:after="120"/>
        <w:rPr>
          <w:sz w:val="28"/>
        </w:rPr>
      </w:pPr>
    </w:p>
    <w:p>
      <w:pPr>
        <w:spacing w:before="120" w:after="120"/>
        <w:jc w:val="center"/>
        <w:rPr>
          <w:rFonts w:ascii="宋体" w:hAnsi="宋体" w:eastAsia="宋体"/>
          <w:b/>
          <w:sz w:val="36"/>
        </w:rPr>
      </w:pPr>
      <w:r>
        <w:rPr>
          <w:rFonts w:hint="eastAsia" w:ascii="宋体" w:hAnsi="宋体" w:eastAsia="宋体"/>
          <w:b/>
          <w:sz w:val="36"/>
        </w:rPr>
        <w:t>中华人民共和国科学技术部印制</w:t>
      </w:r>
    </w:p>
    <w:p>
      <w:pPr>
        <w:jc w:val="center"/>
        <w:rPr>
          <w:rFonts w:ascii="宋体" w:hAnsi="宋体" w:eastAsia="宋体"/>
          <w:b/>
          <w:sz w:val="30"/>
        </w:rPr>
      </w:pPr>
      <w:r>
        <w:rPr>
          <w:rFonts w:hint="eastAsia" w:ascii="宋体" w:hAnsi="宋体" w:eastAsia="宋体"/>
          <w:b/>
          <w:sz w:val="30"/>
        </w:rPr>
        <w:t>填</w:t>
      </w:r>
      <w:r>
        <w:rPr>
          <w:rFonts w:ascii="宋体" w:hAnsi="宋体" w:eastAsia="宋体"/>
          <w:b/>
          <w:sz w:val="30"/>
        </w:rPr>
        <w:t xml:space="preserve">  </w:t>
      </w:r>
      <w:r>
        <w:rPr>
          <w:rFonts w:hint="eastAsia" w:ascii="宋体" w:hAnsi="宋体" w:eastAsia="宋体"/>
          <w:b/>
          <w:sz w:val="30"/>
        </w:rPr>
        <w:t>写</w:t>
      </w:r>
      <w:r>
        <w:rPr>
          <w:rFonts w:ascii="宋体" w:hAnsi="宋体" w:eastAsia="宋体"/>
          <w:b/>
          <w:sz w:val="30"/>
        </w:rPr>
        <w:t xml:space="preserve">  </w:t>
      </w:r>
      <w:r>
        <w:rPr>
          <w:rFonts w:hint="eastAsia" w:ascii="宋体" w:hAnsi="宋体" w:eastAsia="宋体"/>
          <w:b/>
          <w:sz w:val="30"/>
        </w:rPr>
        <w:t>说</w:t>
      </w:r>
      <w:r>
        <w:rPr>
          <w:rFonts w:ascii="宋体" w:hAnsi="宋体" w:eastAsia="宋体"/>
          <w:b/>
          <w:sz w:val="30"/>
        </w:rPr>
        <w:t xml:space="preserve">  </w:t>
      </w:r>
      <w:r>
        <w:rPr>
          <w:rFonts w:hint="eastAsia" w:ascii="宋体" w:hAnsi="宋体" w:eastAsia="宋体"/>
          <w:b/>
          <w:sz w:val="30"/>
        </w:rPr>
        <w:t>明</w:t>
      </w:r>
      <w:r>
        <w:rPr>
          <w:rFonts w:ascii="宋体" w:hAnsi="宋体" w:eastAsia="宋体"/>
          <w:b/>
          <w:sz w:val="30"/>
        </w:rPr>
        <w:t xml:space="preserve">   </w:t>
      </w:r>
    </w:p>
    <w:p>
      <w:pPr>
        <w:jc w:val="center"/>
        <w:rPr>
          <w:rFonts w:ascii="宋体" w:hAnsi="宋体" w:eastAsia="宋体"/>
          <w:b/>
          <w:sz w:val="30"/>
        </w:rPr>
      </w:pPr>
    </w:p>
    <w:p>
      <w:pPr>
        <w:pStyle w:val="9"/>
        <w:ind w:firstLine="600" w:firstLineChars="200"/>
        <w:rPr>
          <w:sz w:val="30"/>
        </w:rPr>
      </w:pPr>
      <w:r>
        <w:rPr>
          <w:rFonts w:hint="eastAsia"/>
          <w:sz w:val="30"/>
        </w:rPr>
        <w:t>一、本合同为中华人民共和国科学技术部印制的技术服务合同示范文本，各技术合同登记机构可推介技术合同当事人参照使用。</w:t>
      </w:r>
    </w:p>
    <w:p>
      <w:pPr>
        <w:ind w:firstLine="600" w:firstLineChars="200"/>
        <w:rPr>
          <w:rFonts w:ascii="宋体" w:hAnsi="宋体" w:eastAsia="宋体"/>
          <w:sz w:val="30"/>
        </w:rPr>
      </w:pPr>
      <w:r>
        <w:rPr>
          <w:rFonts w:hint="eastAsia" w:ascii="宋体" w:hAnsi="宋体" w:eastAsia="宋体"/>
          <w:sz w:val="30"/>
        </w:rPr>
        <w:t>二、本合同适用于一方当事人（受托方）以技术知识为另一方（委托方）解决特定技术问题所订立的合同。</w:t>
      </w:r>
    </w:p>
    <w:p>
      <w:pPr>
        <w:ind w:firstLine="600" w:firstLineChars="200"/>
        <w:rPr>
          <w:rFonts w:ascii="宋体" w:hAnsi="宋体" w:eastAsia="宋体"/>
          <w:sz w:val="30"/>
        </w:rPr>
      </w:pPr>
      <w:r>
        <w:rPr>
          <w:rFonts w:hint="eastAsia" w:ascii="宋体" w:hAnsi="宋体" w:eastAsia="宋体"/>
          <w:sz w:val="30"/>
        </w:rPr>
        <w:t>三、签约一方为多个当事人的，可按各自在合同关系中的作用等，在“委托方”“受托方”项下（增页）分别排列为共同委托人或共同受托人。</w:t>
      </w:r>
    </w:p>
    <w:p>
      <w:pPr>
        <w:ind w:firstLine="600" w:firstLineChars="200"/>
        <w:rPr>
          <w:rFonts w:ascii="宋体" w:hAnsi="宋体" w:eastAsia="宋体"/>
          <w:sz w:val="30"/>
        </w:rPr>
      </w:pPr>
      <w:r>
        <w:rPr>
          <w:rFonts w:hint="eastAsia" w:ascii="宋体" w:hAnsi="宋体" w:eastAsia="宋体"/>
          <w:sz w:val="30"/>
        </w:rPr>
        <w:t>四、本合同书未尽事项，可由当事人附页另行约定，并作为本合同的组成部分。</w:t>
      </w:r>
    </w:p>
    <w:p>
      <w:pPr>
        <w:ind w:firstLine="600" w:firstLineChars="200"/>
        <w:rPr>
          <w:rFonts w:ascii="宋体" w:hAnsi="宋体" w:eastAsia="宋体"/>
        </w:rPr>
      </w:pPr>
      <w:r>
        <w:rPr>
          <w:rFonts w:hint="eastAsia" w:ascii="宋体" w:hAnsi="宋体" w:eastAsia="宋体"/>
          <w:sz w:val="30"/>
        </w:rPr>
        <w:t>五、当事人使用本合同书时约定无需填写的条款，应在该条款处注明“无”等字样。</w:t>
      </w:r>
    </w:p>
    <w:p>
      <w:pPr>
        <w:jc w:val="center"/>
        <w:rPr>
          <w:rFonts w:eastAsia="黑体"/>
          <w:sz w:val="36"/>
        </w:rPr>
      </w:pPr>
      <w:r>
        <w:rPr>
          <w:rFonts w:ascii="宋体" w:hAnsi="宋体" w:eastAsia="宋体"/>
        </w:rPr>
        <w:br w:type="page"/>
      </w:r>
      <w:r>
        <w:rPr>
          <w:rFonts w:hint="eastAsia" w:eastAsia="黑体"/>
          <w:sz w:val="36"/>
        </w:rPr>
        <w:t xml:space="preserve">技术咨询合同   </w:t>
      </w:r>
    </w:p>
    <w:p>
      <w:pPr>
        <w:rPr>
          <w:rFonts w:ascii="宋体" w:hAnsi="宋体" w:eastAsia="黑体"/>
          <w:sz w:val="36"/>
        </w:rPr>
      </w:pPr>
      <w:r>
        <w:rPr>
          <w:rFonts w:hint="eastAsia" w:eastAsia="黑体"/>
          <w:sz w:val="36"/>
        </w:rPr>
        <w:t xml:space="preserve">          </w:t>
      </w:r>
      <w:r>
        <w:rPr>
          <w:rFonts w:hint="eastAsia" w:ascii="宋体" w:hAnsi="宋体" w:eastAsia="黑体"/>
          <w:sz w:val="36"/>
        </w:rPr>
        <w:t xml:space="preserve">                </w:t>
      </w:r>
    </w:p>
    <w:tbl>
      <w:tblPr>
        <w:tblStyle w:val="18"/>
        <w:tblW w:w="0" w:type="auto"/>
        <w:tblInd w:w="0" w:type="dxa"/>
        <w:tblLayout w:type="fixed"/>
        <w:tblCellMar>
          <w:top w:w="0" w:type="dxa"/>
          <w:left w:w="108" w:type="dxa"/>
          <w:bottom w:w="0" w:type="dxa"/>
          <w:right w:w="108" w:type="dxa"/>
        </w:tblCellMar>
      </w:tblPr>
      <w:tblGrid>
        <w:gridCol w:w="2235"/>
        <w:gridCol w:w="6873"/>
      </w:tblGrid>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委托方（甲方）：</w:t>
            </w:r>
          </w:p>
        </w:tc>
        <w:tc>
          <w:tcPr>
            <w:tcW w:w="6873" w:type="dxa"/>
            <w:tcBorders>
              <w:bottom w:val="single" w:color="auto" w:sz="4" w:space="0"/>
            </w:tcBorders>
          </w:tcPr>
          <w:p>
            <w:pPr>
              <w:spacing w:line="480" w:lineRule="atLeast"/>
              <w:rPr>
                <w:rFonts w:ascii="宋体" w:hAnsi="宋体" w:eastAsia="宋体"/>
                <w:sz w:val="24"/>
                <w:szCs w:val="24"/>
                <w:u w:val="thick"/>
              </w:rPr>
            </w:pPr>
            <w:r>
              <w:rPr>
                <w:rFonts w:hint="eastAsia" w:ascii="宋体" w:hAnsi="宋体" w:eastAsia="宋体" w:cs="Times New Roman"/>
                <w:sz w:val="24"/>
                <w:szCs w:val="24"/>
              </w:rPr>
              <w:t>黄石市网湖湿地自然保护区管理局</w:t>
            </w:r>
          </w:p>
        </w:tc>
      </w:tr>
      <w:tr>
        <w:tblPrEx>
          <w:tblCellMar>
            <w:top w:w="0" w:type="dxa"/>
            <w:left w:w="108" w:type="dxa"/>
            <w:bottom w:w="0" w:type="dxa"/>
            <w:right w:w="108" w:type="dxa"/>
          </w:tblCellMar>
        </w:tblPrEx>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住  所  地：</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法定代表人：</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项目联系人：</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r>
              <w:rPr>
                <w:rFonts w:hint="eastAsia" w:ascii="宋体" w:hAnsi="宋体" w:eastAsia="宋体" w:cs="宋体"/>
                <w:bCs/>
                <w:kern w:val="0"/>
                <w:sz w:val="24"/>
                <w:szCs w:val="24"/>
              </w:rPr>
              <w:t>胡斌</w:t>
            </w: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联系方式</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r>
              <w:rPr>
                <w:rFonts w:ascii="宋体" w:hAnsi="宋体" w:eastAsia="宋体" w:cs="宋体"/>
                <w:bCs/>
                <w:kern w:val="0"/>
                <w:sz w:val="24"/>
                <w:szCs w:val="24"/>
              </w:rPr>
              <w:t>13329928006</w:t>
            </w: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通讯地址：</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电    话：</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r>
              <w:rPr>
                <w:rFonts w:hint="eastAsia" w:ascii="宋体" w:hAnsi="宋体" w:eastAsia="宋体"/>
                <w:sz w:val="24"/>
                <w:szCs w:val="24"/>
              </w:rPr>
              <w:t xml:space="preserve">  </w:t>
            </w: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传    真：</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电子信箱：</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受托方（乙方）：</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住  所  地：</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法定代表人：</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项目联系人：</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联系方式</w:t>
            </w:r>
          </w:p>
        </w:tc>
        <w:tc>
          <w:tcPr>
            <w:tcW w:w="6873" w:type="dxa"/>
            <w:tcBorders>
              <w:top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通讯地址：</w:t>
            </w:r>
          </w:p>
        </w:tc>
        <w:tc>
          <w:tcPr>
            <w:tcW w:w="6873" w:type="dxa"/>
            <w:tcBorders>
              <w:top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Pr>
          <w:p>
            <w:pPr>
              <w:spacing w:line="480" w:lineRule="atLeast"/>
              <w:rPr>
                <w:rFonts w:ascii="宋体" w:hAnsi="宋体" w:eastAsia="宋体"/>
                <w:sz w:val="24"/>
                <w:szCs w:val="24"/>
              </w:rPr>
            </w:pPr>
            <w:r>
              <w:rPr>
                <w:rFonts w:hint="eastAsia" w:ascii="宋体" w:hAnsi="宋体" w:eastAsia="宋体"/>
                <w:sz w:val="24"/>
                <w:szCs w:val="24"/>
              </w:rPr>
              <w:t xml:space="preserve">  电    话：</w:t>
            </w:r>
          </w:p>
        </w:tc>
        <w:tc>
          <w:tcPr>
            <w:tcW w:w="6873" w:type="dxa"/>
            <w:tcBorders>
              <w:top w:val="single" w:color="auto" w:sz="4" w:space="0"/>
            </w:tcBorders>
          </w:tcPr>
          <w:p>
            <w:pPr>
              <w:spacing w:line="480" w:lineRule="atLeast"/>
              <w:rPr>
                <w:rFonts w:ascii="宋体" w:hAnsi="宋体" w:eastAsia="宋体"/>
                <w:sz w:val="24"/>
                <w:szCs w:val="24"/>
              </w:rPr>
            </w:pPr>
            <w:r>
              <w:rPr>
                <w:rFonts w:hint="eastAsia" w:ascii="宋体" w:hAnsi="宋体" w:eastAsia="宋体"/>
                <w:sz w:val="24"/>
                <w:szCs w:val="24"/>
              </w:rPr>
              <w:t xml:space="preserve">  </w:t>
            </w:r>
          </w:p>
        </w:tc>
      </w:tr>
      <w:tr>
        <w:tblPrEx>
          <w:tblCellMar>
            <w:top w:w="0" w:type="dxa"/>
            <w:left w:w="108" w:type="dxa"/>
            <w:bottom w:w="0" w:type="dxa"/>
            <w:right w:w="108" w:type="dxa"/>
          </w:tblCellMar>
        </w:tblPrEx>
        <w:tc>
          <w:tcPr>
            <w:tcW w:w="2235" w:type="dxa"/>
          </w:tcPr>
          <w:p>
            <w:pPr>
              <w:spacing w:line="480" w:lineRule="atLeast"/>
              <w:ind w:firstLine="240" w:firstLineChars="100"/>
              <w:rPr>
                <w:rFonts w:ascii="宋体" w:hAnsi="宋体" w:eastAsia="宋体"/>
                <w:sz w:val="24"/>
                <w:szCs w:val="24"/>
              </w:rPr>
            </w:pPr>
            <w:r>
              <w:rPr>
                <w:rFonts w:hint="eastAsia" w:ascii="宋体" w:hAnsi="宋体" w:eastAsia="宋体"/>
                <w:sz w:val="24"/>
                <w:szCs w:val="24"/>
              </w:rPr>
              <w:t>传    真：</w:t>
            </w:r>
          </w:p>
        </w:tc>
        <w:tc>
          <w:tcPr>
            <w:tcW w:w="6873" w:type="dxa"/>
            <w:tcBorders>
              <w:top w:val="single" w:color="auto" w:sz="4" w:space="0"/>
            </w:tcBorders>
          </w:tcPr>
          <w:p>
            <w:pPr>
              <w:spacing w:line="480" w:lineRule="atLeast"/>
              <w:rPr>
                <w:rFonts w:ascii="宋体" w:hAnsi="宋体" w:eastAsia="宋体"/>
                <w:sz w:val="24"/>
                <w:szCs w:val="24"/>
              </w:rPr>
            </w:pPr>
          </w:p>
        </w:tc>
      </w:tr>
      <w:tr>
        <w:tblPrEx>
          <w:tblCellMar>
            <w:top w:w="0" w:type="dxa"/>
            <w:left w:w="108" w:type="dxa"/>
            <w:bottom w:w="0" w:type="dxa"/>
            <w:right w:w="108" w:type="dxa"/>
          </w:tblCellMar>
        </w:tblPrEx>
        <w:tc>
          <w:tcPr>
            <w:tcW w:w="2235" w:type="dxa"/>
            <w:tcBorders>
              <w:bottom w:val="nil"/>
            </w:tcBorders>
          </w:tcPr>
          <w:p>
            <w:pPr>
              <w:spacing w:line="480" w:lineRule="atLeast"/>
              <w:rPr>
                <w:rFonts w:ascii="宋体" w:hAnsi="宋体" w:eastAsia="宋体"/>
                <w:sz w:val="24"/>
                <w:szCs w:val="24"/>
              </w:rPr>
            </w:pPr>
            <w:r>
              <w:rPr>
                <w:rFonts w:hint="eastAsia" w:ascii="宋体" w:hAnsi="宋体" w:eastAsia="宋体"/>
                <w:sz w:val="24"/>
                <w:szCs w:val="24"/>
              </w:rPr>
              <w:t xml:space="preserve">  电子信箱：</w:t>
            </w:r>
          </w:p>
        </w:tc>
        <w:tc>
          <w:tcPr>
            <w:tcW w:w="6873" w:type="dxa"/>
            <w:tcBorders>
              <w:top w:val="single" w:color="auto" w:sz="4" w:space="0"/>
              <w:bottom w:val="single" w:color="auto" w:sz="4" w:space="0"/>
            </w:tcBorders>
          </w:tcPr>
          <w:p>
            <w:pPr>
              <w:spacing w:line="480" w:lineRule="atLeast"/>
              <w:rPr>
                <w:rFonts w:ascii="宋体" w:hAnsi="宋体" w:eastAsia="宋体"/>
                <w:sz w:val="24"/>
                <w:szCs w:val="24"/>
              </w:rPr>
            </w:pPr>
          </w:p>
        </w:tc>
      </w:tr>
    </w:tbl>
    <w:p>
      <w:pPr>
        <w:rPr>
          <w:rFonts w:ascii="宋体" w:hAnsi="宋体" w:eastAsia="宋体"/>
          <w:sz w:val="24"/>
          <w:szCs w:val="24"/>
        </w:rPr>
      </w:pPr>
    </w:p>
    <w:p>
      <w:pPr>
        <w:spacing w:line="360" w:lineRule="auto"/>
        <w:rPr>
          <w:rFonts w:ascii="宋体" w:hAnsi="宋体" w:eastAsia="宋体"/>
          <w:sz w:val="24"/>
          <w:szCs w:val="24"/>
          <w:u w:val="single"/>
        </w:rPr>
      </w:pPr>
      <w:r>
        <w:rPr>
          <w:rFonts w:hint="eastAsia" w:ascii="宋体" w:hAnsi="宋体" w:eastAsia="宋体"/>
          <w:sz w:val="24"/>
          <w:szCs w:val="24"/>
        </w:rPr>
        <w:t xml:space="preserve">  本合同甲方委托乙方就</w:t>
      </w:r>
      <w:r>
        <w:rPr>
          <w:rFonts w:hint="eastAsia" w:ascii="Calibri" w:hAnsi="Calibri" w:eastAsia="宋体" w:cs="Times New Roman"/>
          <w:sz w:val="24"/>
          <w:szCs w:val="24"/>
          <w:u w:val="single"/>
        </w:rPr>
        <w:t>湖北网湖自然保护区水生态环境保护规划</w:t>
      </w:r>
      <w:r>
        <w:rPr>
          <w:rFonts w:hint="eastAsia" w:ascii="宋体" w:hAnsi="宋体" w:eastAsia="宋体"/>
          <w:sz w:val="24"/>
          <w:szCs w:val="24"/>
          <w:u w:val="single"/>
        </w:rPr>
        <w:t>项目</w:t>
      </w:r>
      <w:r>
        <w:rPr>
          <w:rFonts w:hint="eastAsia" w:ascii="宋体" w:hAnsi="宋体" w:eastAsia="宋体"/>
          <w:sz w:val="24"/>
          <w:szCs w:val="24"/>
        </w:rPr>
        <w:t>进行技术咨询，并支付咨询报酬。双方经过平等协商，在真实、充分地表达各自意愿的基础上，根据《中华人民共和国合同法》的规定，达成如下协议，并由双方共同恪守。</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第一条  乙方进行技术咨询的内容、要求和方式：</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1、咨询内容：</w:t>
      </w:r>
      <w:r>
        <w:rPr>
          <w:rFonts w:hint="eastAsia" w:ascii="宋体" w:hAnsi="宋体" w:eastAsia="宋体" w:cs="Times New Roman"/>
          <w:sz w:val="24"/>
          <w:szCs w:val="24"/>
          <w:u w:val="single"/>
        </w:rPr>
        <w:t>乙方按照甲方要求，为推进网湖水质降磷及水生态恢复工作，强化网湖自然保护区生态环境保护顶层规划，理顺自然保护区环境整治与保护思路，保障网湖水质安全，开展湖北网湖自然保护区水生态环境保护规划编制工作。</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2、咨询要求：</w:t>
      </w:r>
      <w:r>
        <w:rPr>
          <w:rFonts w:hint="eastAsia" w:ascii="宋体" w:hAnsi="宋体" w:eastAsia="宋体" w:cs="Times New Roman"/>
          <w:sz w:val="24"/>
          <w:szCs w:val="24"/>
          <w:u w:val="single"/>
        </w:rPr>
        <w:t>全面贯彻党的十九大报告及习近平生态文明思想</w:t>
      </w:r>
      <w:bookmarkStart w:id="284" w:name="_GoBack"/>
      <w:bookmarkEnd w:id="284"/>
      <w:r>
        <w:rPr>
          <w:rFonts w:hint="eastAsia" w:ascii="宋体" w:hAnsi="宋体" w:eastAsia="宋体" w:cs="Times New Roman"/>
          <w:sz w:val="24"/>
          <w:szCs w:val="24"/>
          <w:u w:val="single"/>
        </w:rPr>
        <w:t>，坚持“保护第一、合理利用”的基本方针，以改善水环境质量和保障水生态系统健康为核心，以推进长江经济带生态环境保护、实现“让网湖休养生息”为目标，按照“控源减负、生态修复”的技术思路，从现状调查、问题诊断、目标制定、保护措施、项目安排、投资估算、目标可达性分析及规划实施的保障措施等方面开展网湖生态环境保护规划的编制工作，切实指导网湖的自然生态功能改善与恢复工作，维护生物多样性和湖泊生态景观，促进流域经济社会与环境保护可持续发展。项目成果的内容必须符合本项目合同书的有关要求和国家的相关标准，并按采购人要求完成必要的成果评审和报批。</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3、咨询方式：</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第二条  乙方应当按照下列进度要求进行本合同项目的技术咨询工作：</w:t>
      </w:r>
      <w:r>
        <w:rPr>
          <w:rFonts w:hint="eastAsia" w:ascii="宋体" w:hAnsi="宋体" w:eastAsia="宋体" w:cs="Times New Roman"/>
          <w:sz w:val="24"/>
          <w:szCs w:val="24"/>
          <w:u w:val="single"/>
        </w:rPr>
        <w:t>在2019年12月31日前完成《湖北网湖自然保护区水生态环境保护规划》报告、文本及相关全部成果。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第三条   为保证乙方有效进行技术咨询工作，甲方应当向乙方提供下列协作事项：</w:t>
      </w:r>
    </w:p>
    <w:p>
      <w:pPr>
        <w:spacing w:line="360" w:lineRule="auto"/>
        <w:ind w:firstLine="525"/>
        <w:rPr>
          <w:rFonts w:ascii="宋体" w:hAnsi="宋体" w:eastAsia="宋体"/>
          <w:sz w:val="24"/>
          <w:szCs w:val="24"/>
        </w:rPr>
      </w:pPr>
      <w:r>
        <w:rPr>
          <w:rFonts w:hint="eastAsia" w:ascii="宋体" w:hAnsi="宋体" w:eastAsia="宋体"/>
          <w:sz w:val="24"/>
          <w:szCs w:val="24"/>
        </w:rPr>
        <w:t>1、提供技术资料：</w:t>
      </w:r>
    </w:p>
    <w:p>
      <w:pPr>
        <w:spacing w:line="360" w:lineRule="auto"/>
        <w:ind w:firstLine="705"/>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705"/>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705"/>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705"/>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2、提供工作条件：</w:t>
      </w:r>
    </w:p>
    <w:p>
      <w:pPr>
        <w:spacing w:line="360" w:lineRule="auto"/>
        <w:ind w:firstLine="705"/>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705"/>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705"/>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748" w:firstLineChars="312"/>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 xml:space="preserve">     3、其他：</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甲方提供上述协作事项的时间及方式：</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第四条  甲方向乙方支付技术咨询报酬及支付方式为：</w:t>
      </w:r>
    </w:p>
    <w:p>
      <w:pPr>
        <w:spacing w:line="360" w:lineRule="auto"/>
        <w:ind w:firstLine="570"/>
        <w:rPr>
          <w:rFonts w:ascii="宋体" w:hAnsi="宋体" w:eastAsia="宋体"/>
          <w:sz w:val="24"/>
          <w:szCs w:val="24"/>
          <w:u w:val="single"/>
        </w:rPr>
      </w:pPr>
      <w:r>
        <w:rPr>
          <w:rFonts w:hint="eastAsia" w:ascii="宋体" w:hAnsi="宋体" w:eastAsia="宋体"/>
          <w:sz w:val="24"/>
          <w:szCs w:val="24"/>
        </w:rPr>
        <w:t>1、技术咨询报酬总额为：</w:t>
      </w:r>
      <w:r>
        <w:rPr>
          <w:rFonts w:hint="eastAsia" w:ascii="宋体" w:hAnsi="宋体" w:eastAsia="宋体"/>
          <w:sz w:val="24"/>
          <w:szCs w:val="24"/>
          <w:u w:val="single"/>
        </w:rPr>
        <w:t xml:space="preserve">                                      。</w:t>
      </w:r>
    </w:p>
    <w:p>
      <w:pPr>
        <w:spacing w:line="360" w:lineRule="auto"/>
        <w:ind w:firstLine="570"/>
        <w:rPr>
          <w:rFonts w:ascii="宋体" w:hAnsi="宋体" w:eastAsia="宋体"/>
          <w:sz w:val="24"/>
          <w:szCs w:val="24"/>
        </w:rPr>
      </w:pPr>
      <w:r>
        <w:rPr>
          <w:rFonts w:hint="eastAsia" w:ascii="宋体" w:hAnsi="宋体" w:eastAsia="宋体"/>
          <w:sz w:val="24"/>
          <w:szCs w:val="24"/>
        </w:rPr>
        <w:t>2、技术咨询报酬由甲方</w:t>
      </w:r>
      <w:r>
        <w:rPr>
          <w:rFonts w:hint="eastAsia" w:ascii="宋体" w:hAnsi="宋体" w:eastAsia="宋体"/>
          <w:sz w:val="24"/>
          <w:szCs w:val="24"/>
          <w:u w:val="single"/>
        </w:rPr>
        <w:t>分期</w:t>
      </w:r>
      <w:r>
        <w:rPr>
          <w:rFonts w:hint="eastAsia" w:ascii="宋体" w:hAnsi="宋体" w:eastAsia="宋体"/>
          <w:sz w:val="24"/>
          <w:szCs w:val="24"/>
        </w:rPr>
        <w:t>（一次或分期）支付乙方。</w:t>
      </w:r>
    </w:p>
    <w:p>
      <w:pPr>
        <w:spacing w:line="360" w:lineRule="auto"/>
        <w:ind w:firstLine="964" w:firstLineChars="402"/>
        <w:rPr>
          <w:rFonts w:ascii="宋体" w:hAnsi="宋体" w:eastAsia="宋体"/>
          <w:sz w:val="24"/>
          <w:szCs w:val="24"/>
        </w:rPr>
      </w:pPr>
      <w:r>
        <w:rPr>
          <w:rFonts w:hint="eastAsia" w:ascii="宋体" w:hAnsi="宋体" w:eastAsia="宋体"/>
          <w:sz w:val="24"/>
          <w:szCs w:val="24"/>
        </w:rPr>
        <w:t>具体支付方式和时间如下：</w:t>
      </w:r>
    </w:p>
    <w:p>
      <w:pPr>
        <w:spacing w:line="360" w:lineRule="auto"/>
        <w:ind w:firstLine="868" w:firstLineChars="362"/>
        <w:rPr>
          <w:rFonts w:ascii="宋体" w:hAnsi="宋体" w:eastAsia="宋体"/>
          <w:sz w:val="24"/>
          <w:szCs w:val="24"/>
        </w:rPr>
      </w:pPr>
      <w:r>
        <w:rPr>
          <w:rFonts w:hint="eastAsia" w:ascii="宋体" w:hAnsi="宋体" w:eastAsia="宋体"/>
          <w:sz w:val="24"/>
          <w:szCs w:val="24"/>
        </w:rPr>
        <w:t>（1）</w:t>
      </w:r>
      <w:r>
        <w:rPr>
          <w:rFonts w:hint="eastAsia" w:ascii="宋体" w:hAnsi="宋体" w:eastAsia="宋体" w:cs="Times New Roman"/>
          <w:sz w:val="24"/>
          <w:szCs w:val="24"/>
          <w:u w:val="single"/>
        </w:rPr>
        <w:t>合同签定后，采购方在收到合法票据15日内向乙方支付50%的合同金额，作为项目启动经费</w:t>
      </w:r>
      <w:r>
        <w:rPr>
          <w:rFonts w:hint="eastAsia" w:ascii="宋体" w:hAnsi="宋体" w:eastAsia="宋体"/>
          <w:sz w:val="24"/>
          <w:szCs w:val="24"/>
        </w:rPr>
        <w:t>；</w:t>
      </w:r>
    </w:p>
    <w:p>
      <w:pPr>
        <w:spacing w:line="360" w:lineRule="auto"/>
        <w:ind w:firstLine="868" w:firstLineChars="362"/>
        <w:rPr>
          <w:rFonts w:ascii="宋体" w:hAnsi="宋体" w:eastAsia="宋体"/>
          <w:sz w:val="24"/>
          <w:szCs w:val="24"/>
        </w:rPr>
      </w:pPr>
      <w:r>
        <w:rPr>
          <w:rFonts w:hint="eastAsia" w:ascii="宋体" w:hAnsi="宋体" w:eastAsia="宋体"/>
          <w:sz w:val="24"/>
          <w:szCs w:val="24"/>
        </w:rPr>
        <w:t>（2）</w:t>
      </w:r>
      <w:r>
        <w:rPr>
          <w:rFonts w:hint="eastAsia" w:ascii="宋体" w:hAnsi="宋体" w:eastAsia="宋体" w:cs="Times New Roman"/>
          <w:sz w:val="24"/>
          <w:szCs w:val="24"/>
          <w:u w:val="single"/>
        </w:rPr>
        <w:t>中标人按要求提交规划成果，通过专家评审后，采购方收到合法票据15日内支付合同40%的款项</w:t>
      </w:r>
      <w:r>
        <w:rPr>
          <w:rFonts w:hint="eastAsia" w:ascii="宋体" w:hAnsi="宋体" w:eastAsia="宋体"/>
          <w:sz w:val="24"/>
          <w:szCs w:val="24"/>
        </w:rPr>
        <w:t>；</w:t>
      </w:r>
    </w:p>
    <w:p>
      <w:pPr>
        <w:spacing w:line="360" w:lineRule="auto"/>
        <w:ind w:firstLine="868" w:firstLineChars="362"/>
        <w:rPr>
          <w:rFonts w:ascii="宋体" w:hAnsi="宋体" w:eastAsia="宋体"/>
          <w:sz w:val="24"/>
          <w:szCs w:val="24"/>
        </w:rPr>
      </w:pPr>
      <w:r>
        <w:rPr>
          <w:rFonts w:hint="eastAsia" w:ascii="宋体" w:hAnsi="宋体" w:eastAsia="宋体"/>
          <w:sz w:val="24"/>
          <w:szCs w:val="24"/>
        </w:rPr>
        <w:t>（3）</w:t>
      </w:r>
      <w:r>
        <w:rPr>
          <w:rFonts w:hint="eastAsia" w:ascii="宋体" w:hAnsi="宋体" w:eastAsia="宋体" w:cs="Times New Roman"/>
          <w:sz w:val="24"/>
          <w:szCs w:val="24"/>
          <w:u w:val="single"/>
        </w:rPr>
        <w:t>中标人提交全部项目成果后，采购方收到合法票据15日内支付项目合同金额10%</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乙方开户银行名称、地址和帐号为：</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开户银行：</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地址：</w:t>
      </w:r>
      <w:r>
        <w:rPr>
          <w:rFonts w:hint="eastAsia" w:ascii="宋体" w:hAnsi="宋体" w:eastAsia="宋体"/>
          <w:sz w:val="24"/>
          <w:szCs w:val="24"/>
          <w:u w:val="single"/>
        </w:rPr>
        <w:t xml:space="preserve">                                                      </w:t>
      </w:r>
    </w:p>
    <w:p>
      <w:pPr>
        <w:spacing w:line="360" w:lineRule="auto"/>
        <w:ind w:firstLine="480" w:firstLineChars="200"/>
        <w:rPr>
          <w:rFonts w:ascii="宋体" w:hAnsi="宋体" w:eastAsia="宋体"/>
          <w:sz w:val="24"/>
          <w:szCs w:val="24"/>
          <w:u w:val="single"/>
        </w:rPr>
      </w:pPr>
      <w:r>
        <w:rPr>
          <w:rFonts w:hint="eastAsia" w:ascii="宋体" w:hAnsi="宋体" w:eastAsia="宋体"/>
          <w:sz w:val="24"/>
          <w:szCs w:val="24"/>
        </w:rPr>
        <w:t>帐号：</w:t>
      </w:r>
      <w:r>
        <w:rPr>
          <w:rFonts w:hint="eastAsia" w:ascii="宋体" w:hAnsi="宋体" w:eastAsia="宋体"/>
          <w:sz w:val="24"/>
          <w:szCs w:val="24"/>
          <w:u w:val="single"/>
        </w:rPr>
        <w:t xml:space="preserve">                                                      </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xml:space="preserve">  第五条  双方确定因履行本合同应遵守的保密义务如下：</w:t>
      </w:r>
    </w:p>
    <w:p>
      <w:pPr>
        <w:spacing w:line="360" w:lineRule="auto"/>
        <w:rPr>
          <w:rFonts w:ascii="宋体" w:hAnsi="宋体" w:eastAsia="宋体"/>
          <w:sz w:val="24"/>
          <w:szCs w:val="24"/>
        </w:rPr>
      </w:pPr>
      <w:r>
        <w:rPr>
          <w:rFonts w:hint="eastAsia" w:ascii="宋体" w:hAnsi="宋体" w:eastAsia="宋体"/>
          <w:sz w:val="24"/>
          <w:szCs w:val="24"/>
        </w:rPr>
        <w:t xml:space="preserve">    甲方：</w:t>
      </w:r>
    </w:p>
    <w:p>
      <w:pPr>
        <w:spacing w:line="360" w:lineRule="auto"/>
        <w:rPr>
          <w:rFonts w:ascii="宋体" w:hAnsi="宋体" w:eastAsia="宋体"/>
          <w:sz w:val="24"/>
          <w:szCs w:val="24"/>
          <w:u w:val="single"/>
        </w:rPr>
      </w:pPr>
      <w:r>
        <w:rPr>
          <w:rFonts w:hint="eastAsia" w:ascii="宋体" w:hAnsi="宋体" w:eastAsia="宋体"/>
          <w:sz w:val="24"/>
          <w:szCs w:val="24"/>
        </w:rPr>
        <w:t xml:space="preserve">     1、保密内容（包括技术信息和经营信息）：</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2、涉密人员范围：</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3、保密期限：</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4、泄密责任：</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乙方：</w:t>
      </w:r>
    </w:p>
    <w:p>
      <w:pPr>
        <w:spacing w:line="360" w:lineRule="auto"/>
        <w:ind w:firstLine="600" w:firstLineChars="250"/>
        <w:rPr>
          <w:rFonts w:ascii="宋体" w:hAnsi="宋体" w:eastAsia="宋体"/>
          <w:sz w:val="24"/>
          <w:szCs w:val="24"/>
          <w:u w:val="single"/>
        </w:rPr>
      </w:pPr>
      <w:r>
        <w:rPr>
          <w:rFonts w:hint="eastAsia" w:ascii="宋体" w:hAnsi="宋体" w:eastAsia="宋体"/>
          <w:sz w:val="24"/>
          <w:szCs w:val="24"/>
        </w:rPr>
        <w:t>1、保密内容（包括技术信息和经营信息）：</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2、涉密人员范围：</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3、保密期限：</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4、泄密责任：</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第六条  本合同的变更必须由双方协商一致，并以书面形式确定。但有下列情形之一的，一方可以向另一方提出变更合同权利与义务的请求，另一方应当在</w:t>
      </w:r>
      <w:r>
        <w:rPr>
          <w:rFonts w:hint="eastAsia" w:ascii="宋体" w:hAnsi="宋体" w:eastAsia="宋体"/>
          <w:sz w:val="24"/>
          <w:szCs w:val="24"/>
          <w:u w:val="single"/>
        </w:rPr>
        <w:t xml:space="preserve">        </w:t>
      </w:r>
      <w:r>
        <w:rPr>
          <w:rFonts w:hint="eastAsia" w:ascii="宋体" w:hAnsi="宋体" w:eastAsia="宋体"/>
          <w:sz w:val="24"/>
          <w:szCs w:val="24"/>
        </w:rPr>
        <w:t>日内予以答复；逾期未予答复的，视为同意：</w:t>
      </w:r>
    </w:p>
    <w:p>
      <w:pPr>
        <w:spacing w:line="360" w:lineRule="auto"/>
        <w:ind w:firstLine="600" w:firstLineChars="25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第七条  双方确定，按以下标准和方式对乙方提交的技术咨询工作成果进行验收：</w:t>
      </w:r>
    </w:p>
    <w:p>
      <w:pPr>
        <w:spacing w:line="360" w:lineRule="auto"/>
        <w:ind w:firstLine="570"/>
        <w:rPr>
          <w:rFonts w:ascii="宋体" w:hAnsi="宋体" w:eastAsia="宋体"/>
          <w:sz w:val="24"/>
          <w:szCs w:val="24"/>
          <w:u w:val="single"/>
        </w:rPr>
      </w:pPr>
      <w:r>
        <w:rPr>
          <w:rFonts w:hint="eastAsia" w:ascii="宋体" w:hAnsi="宋体" w:eastAsia="宋体"/>
          <w:sz w:val="24"/>
          <w:szCs w:val="24"/>
        </w:rPr>
        <w:t>1、乙方提交技术咨询工作成果的形式：</w:t>
      </w:r>
      <w:r>
        <w:rPr>
          <w:rFonts w:hint="eastAsia" w:ascii="宋体" w:hAnsi="宋体" w:eastAsia="宋体" w:cs="Times New Roman"/>
          <w:sz w:val="24"/>
          <w:szCs w:val="24"/>
          <w:u w:val="single"/>
        </w:rPr>
        <w:t>《湖北网湖自然保护区水生态环境保护规划》（报批稿）20套；全部图文成果电子文件5套(电子版)。</w:t>
      </w:r>
    </w:p>
    <w:p>
      <w:pPr>
        <w:spacing w:line="360" w:lineRule="auto"/>
        <w:ind w:firstLine="570"/>
        <w:rPr>
          <w:rFonts w:ascii="宋体" w:hAnsi="宋体" w:eastAsia="宋体"/>
          <w:sz w:val="24"/>
          <w:szCs w:val="24"/>
          <w:u w:val="single"/>
        </w:rPr>
      </w:pPr>
      <w:r>
        <w:rPr>
          <w:rFonts w:hint="eastAsia" w:ascii="宋体" w:hAnsi="宋体" w:eastAsia="宋体"/>
          <w:sz w:val="24"/>
          <w:szCs w:val="24"/>
        </w:rPr>
        <w:t>2、技术咨询工作成果的验收标准：</w:t>
      </w:r>
      <w:r>
        <w:rPr>
          <w:rFonts w:hint="eastAsia" w:ascii="宋体" w:hAnsi="宋体" w:eastAsia="宋体" w:cs="Times New Roman"/>
          <w:sz w:val="24"/>
          <w:szCs w:val="24"/>
          <w:u w:val="single"/>
        </w:rPr>
        <w:t>文本文件和图件必须做到清晰、完整，尺寸齐全、准确，度量采用国际通用的公制度量标准，技术文件符合国家有关规范和标准，监测数据真实有效，乙方应保证所提供服务涉及到的知识产权和技术资料是合法取得，并享有完整的知识产权，不会因为甲方的使用而被责令停止使用、追偿或要求赔偿损失，如出现此情况，一切经济和法律责任均由乙方承担</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3、技术咨询工作成果的验收方法：</w:t>
      </w:r>
      <w:r>
        <w:rPr>
          <w:rFonts w:hint="eastAsia" w:ascii="宋体" w:hAnsi="宋体" w:eastAsia="宋体" w:cs="Times New Roman"/>
          <w:sz w:val="24"/>
          <w:szCs w:val="24"/>
          <w:u w:val="single"/>
        </w:rPr>
        <w:t>采取专家评审的方式进行验收</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4、验收的时间和地点：</w:t>
      </w:r>
      <w:r>
        <w:rPr>
          <w:rFonts w:hint="eastAsia" w:ascii="宋体" w:hAnsi="宋体" w:eastAsia="宋体" w:cs="Times New Roman"/>
          <w:sz w:val="24"/>
          <w:szCs w:val="24"/>
          <w:u w:val="single"/>
        </w:rPr>
        <w:t>2019年12月31日前，于湖北省黄石市阳新县进行验收</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第八条  双方确定，按以下约定承担各自的违约责任：</w:t>
      </w:r>
    </w:p>
    <w:p>
      <w:pPr>
        <w:spacing w:line="360" w:lineRule="auto"/>
        <w:ind w:firstLine="570"/>
        <w:rPr>
          <w:rFonts w:ascii="宋体" w:hAnsi="宋体" w:eastAsia="宋体"/>
          <w:sz w:val="24"/>
          <w:szCs w:val="24"/>
          <w:u w:val="single"/>
        </w:rPr>
      </w:pPr>
      <w:r>
        <w:rPr>
          <w:rFonts w:hint="eastAsia" w:ascii="宋体" w:hAnsi="宋体" w:eastAsia="宋体"/>
          <w:sz w:val="24"/>
          <w:szCs w:val="24"/>
        </w:rPr>
        <w:t>1、</w:t>
      </w:r>
      <w:r>
        <w:rPr>
          <w:rFonts w:hint="eastAsia" w:ascii="宋体" w:hAnsi="宋体" w:eastAsia="宋体" w:cs="Times New Roman"/>
          <w:sz w:val="24"/>
          <w:szCs w:val="24"/>
          <w:u w:val="single"/>
        </w:rPr>
        <w:t>甲</w:t>
      </w:r>
      <w:r>
        <w:rPr>
          <w:rFonts w:hint="eastAsia" w:ascii="宋体" w:hAnsi="宋体" w:eastAsia="宋体"/>
          <w:sz w:val="24"/>
          <w:szCs w:val="24"/>
        </w:rPr>
        <w:t>方违反本合同第</w:t>
      </w:r>
      <w:r>
        <w:rPr>
          <w:rFonts w:hint="eastAsia" w:ascii="宋体" w:hAnsi="宋体" w:eastAsia="宋体" w:cs="Times New Roman"/>
          <w:sz w:val="24"/>
          <w:szCs w:val="24"/>
          <w:u w:val="single"/>
        </w:rPr>
        <w:t>四</w:t>
      </w:r>
      <w:r>
        <w:rPr>
          <w:rFonts w:hint="eastAsia" w:ascii="宋体" w:hAnsi="宋体" w:eastAsia="宋体"/>
          <w:sz w:val="24"/>
          <w:szCs w:val="24"/>
        </w:rPr>
        <w:t>条约定，应当</w:t>
      </w:r>
      <w:r>
        <w:rPr>
          <w:rFonts w:hint="eastAsia" w:ascii="宋体" w:hAnsi="宋体" w:eastAsia="宋体" w:cs="Times New Roman"/>
          <w:sz w:val="24"/>
          <w:szCs w:val="24"/>
          <w:u w:val="single"/>
        </w:rPr>
        <w:t>按逾期总额每日0.04%的标准计算</w:t>
      </w:r>
      <w:r>
        <w:rPr>
          <w:rFonts w:hint="eastAsia" w:ascii="宋体" w:hAnsi="宋体" w:eastAsia="宋体"/>
          <w:sz w:val="24"/>
          <w:szCs w:val="24"/>
        </w:rPr>
        <w:t>（支付违约金或损失赔偿额的计算方法）。</w:t>
      </w:r>
    </w:p>
    <w:p>
      <w:pPr>
        <w:spacing w:line="360" w:lineRule="auto"/>
        <w:ind w:firstLine="570"/>
        <w:rPr>
          <w:rFonts w:ascii="宋体" w:hAnsi="宋体" w:eastAsia="宋体"/>
          <w:sz w:val="24"/>
          <w:szCs w:val="24"/>
          <w:u w:val="single"/>
        </w:rPr>
      </w:pPr>
      <w:r>
        <w:rPr>
          <w:rFonts w:hint="eastAsia" w:ascii="宋体" w:hAnsi="宋体" w:eastAsia="宋体"/>
          <w:sz w:val="24"/>
          <w:szCs w:val="24"/>
        </w:rPr>
        <w:t>2、</w:t>
      </w:r>
      <w:r>
        <w:rPr>
          <w:rFonts w:hint="eastAsia" w:ascii="宋体" w:hAnsi="宋体" w:eastAsia="宋体" w:cs="Times New Roman"/>
          <w:sz w:val="24"/>
          <w:szCs w:val="24"/>
          <w:u w:val="single"/>
        </w:rPr>
        <w:t>乙</w:t>
      </w:r>
      <w:r>
        <w:rPr>
          <w:rFonts w:hint="eastAsia" w:ascii="宋体" w:hAnsi="宋体" w:eastAsia="宋体"/>
          <w:sz w:val="24"/>
          <w:szCs w:val="24"/>
        </w:rPr>
        <w:t>方违反本合同第</w:t>
      </w:r>
      <w:r>
        <w:rPr>
          <w:rFonts w:hint="eastAsia" w:ascii="宋体" w:hAnsi="宋体" w:eastAsia="宋体" w:cs="Times New Roman"/>
          <w:sz w:val="24"/>
          <w:szCs w:val="24"/>
          <w:u w:val="single"/>
        </w:rPr>
        <w:t>一、二、七</w:t>
      </w:r>
      <w:r>
        <w:rPr>
          <w:rFonts w:hint="eastAsia" w:ascii="宋体" w:hAnsi="宋体" w:eastAsia="宋体"/>
          <w:sz w:val="24"/>
          <w:szCs w:val="24"/>
        </w:rPr>
        <w:t>条约定，应当</w:t>
      </w:r>
      <w:r>
        <w:rPr>
          <w:rFonts w:hint="eastAsia" w:ascii="宋体" w:hAnsi="宋体" w:eastAsia="宋体" w:cs="Times New Roman"/>
          <w:sz w:val="24"/>
          <w:szCs w:val="24"/>
          <w:u w:val="single"/>
        </w:rPr>
        <w:t>支付违约金</w:t>
      </w:r>
      <w:r>
        <w:rPr>
          <w:rFonts w:hint="eastAsia" w:ascii="宋体" w:hAnsi="宋体" w:eastAsia="宋体"/>
          <w:sz w:val="24"/>
          <w:szCs w:val="24"/>
        </w:rPr>
        <w:t>（支付违约金或损失赔偿额的计算方法）。</w:t>
      </w:r>
    </w:p>
    <w:p>
      <w:pPr>
        <w:spacing w:line="360" w:lineRule="auto"/>
        <w:ind w:firstLine="570"/>
        <w:rPr>
          <w:rFonts w:ascii="宋体" w:hAnsi="宋体" w:eastAsia="宋体"/>
          <w:sz w:val="24"/>
          <w:szCs w:val="24"/>
          <w:u w:val="single"/>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方违反本合同第</w:t>
      </w:r>
      <w:r>
        <w:rPr>
          <w:rFonts w:hint="eastAsia" w:ascii="宋体" w:hAnsi="宋体" w:eastAsia="宋体"/>
          <w:sz w:val="24"/>
          <w:szCs w:val="24"/>
          <w:u w:val="single"/>
        </w:rPr>
        <w:t xml:space="preserve">      </w:t>
      </w:r>
      <w:r>
        <w:rPr>
          <w:rFonts w:hint="eastAsia" w:ascii="宋体" w:hAnsi="宋体" w:eastAsia="宋体"/>
          <w:sz w:val="24"/>
          <w:szCs w:val="24"/>
        </w:rPr>
        <w:t>条约定，应当</w:t>
      </w:r>
      <w:r>
        <w:rPr>
          <w:rFonts w:hint="eastAsia" w:ascii="宋体" w:hAnsi="宋体" w:eastAsia="宋体"/>
          <w:sz w:val="24"/>
          <w:szCs w:val="24"/>
          <w:u w:val="single"/>
        </w:rPr>
        <w:t xml:space="preserve">                  </w:t>
      </w:r>
      <w:r>
        <w:rPr>
          <w:rFonts w:hint="eastAsia" w:ascii="宋体" w:hAnsi="宋体" w:eastAsia="宋体"/>
          <w:sz w:val="24"/>
          <w:szCs w:val="24"/>
        </w:rPr>
        <w:t>（支付违约金或损失赔偿额的计算方法）。</w:t>
      </w:r>
    </w:p>
    <w:p>
      <w:pPr>
        <w:spacing w:line="360" w:lineRule="auto"/>
        <w:ind w:firstLine="570"/>
        <w:rPr>
          <w:rFonts w:ascii="宋体" w:hAnsi="宋体" w:eastAsia="宋体"/>
          <w:sz w:val="24"/>
          <w:szCs w:val="24"/>
          <w:u w:val="single"/>
        </w:rPr>
      </w:pPr>
      <w:r>
        <w:rPr>
          <w:rFonts w:hint="eastAsia" w:ascii="宋体" w:hAnsi="宋体" w:eastAsia="宋体"/>
          <w:sz w:val="24"/>
          <w:szCs w:val="24"/>
        </w:rPr>
        <w:t>4、</w:t>
      </w:r>
      <w:r>
        <w:rPr>
          <w:rFonts w:hint="eastAsia" w:ascii="宋体" w:hAnsi="宋体" w:eastAsia="宋体"/>
          <w:sz w:val="24"/>
          <w:szCs w:val="24"/>
          <w:u w:val="single"/>
        </w:rPr>
        <w:t xml:space="preserve">       </w:t>
      </w:r>
      <w:r>
        <w:rPr>
          <w:rFonts w:hint="eastAsia" w:ascii="宋体" w:hAnsi="宋体" w:eastAsia="宋体"/>
          <w:sz w:val="24"/>
          <w:szCs w:val="24"/>
        </w:rPr>
        <w:t>方违反本合同第</w:t>
      </w:r>
      <w:r>
        <w:rPr>
          <w:rFonts w:hint="eastAsia" w:ascii="宋体" w:hAnsi="宋体" w:eastAsia="宋体"/>
          <w:sz w:val="24"/>
          <w:szCs w:val="24"/>
          <w:u w:val="single"/>
        </w:rPr>
        <w:t xml:space="preserve">      </w:t>
      </w:r>
      <w:r>
        <w:rPr>
          <w:rFonts w:hint="eastAsia" w:ascii="宋体" w:hAnsi="宋体" w:eastAsia="宋体"/>
          <w:sz w:val="24"/>
          <w:szCs w:val="24"/>
        </w:rPr>
        <w:t>条约定，应当</w:t>
      </w:r>
      <w:r>
        <w:rPr>
          <w:rFonts w:hint="eastAsia" w:ascii="宋体" w:hAnsi="宋体" w:eastAsia="宋体"/>
          <w:sz w:val="24"/>
          <w:szCs w:val="24"/>
          <w:u w:val="single"/>
        </w:rPr>
        <w:t xml:space="preserve">                  </w:t>
      </w:r>
      <w:r>
        <w:rPr>
          <w:rFonts w:hint="eastAsia" w:ascii="宋体" w:hAnsi="宋体" w:eastAsia="宋体"/>
          <w:sz w:val="24"/>
          <w:szCs w:val="24"/>
        </w:rPr>
        <w:t>（支付违约金或损失赔偿额的计算方法）。</w:t>
      </w:r>
    </w:p>
    <w:p>
      <w:pPr>
        <w:spacing w:line="360" w:lineRule="auto"/>
        <w:ind w:firstLine="570"/>
        <w:rPr>
          <w:rFonts w:ascii="宋体" w:hAnsi="宋体" w:eastAsia="宋体"/>
          <w:sz w:val="24"/>
          <w:szCs w:val="24"/>
        </w:rPr>
      </w:pPr>
      <w:r>
        <w:rPr>
          <w:rFonts w:hint="eastAsia" w:ascii="宋体" w:hAnsi="宋体" w:eastAsia="宋体"/>
          <w:sz w:val="24"/>
          <w:szCs w:val="24"/>
        </w:rPr>
        <w:t>第九条  双方确定，甲方按照乙方符合本合同约定标准和方式完成的咨询工作成果作出决策并予以实施所造成的损失，按以下第</w:t>
      </w:r>
      <w:r>
        <w:rPr>
          <w:rFonts w:hint="eastAsia" w:ascii="宋体" w:hAnsi="宋体" w:eastAsia="宋体"/>
          <w:sz w:val="24"/>
          <w:szCs w:val="24"/>
          <w:u w:val="single"/>
        </w:rPr>
        <w:t xml:space="preserve"> </w:t>
      </w:r>
      <w:r>
        <w:rPr>
          <w:rFonts w:hint="eastAsia" w:ascii="宋体" w:hAnsi="宋体" w:eastAsia="宋体" w:cs="Times New Roman"/>
          <w:sz w:val="24"/>
          <w:szCs w:val="24"/>
          <w:u w:val="single"/>
        </w:rPr>
        <w:t>2</w:t>
      </w:r>
      <w:r>
        <w:rPr>
          <w:rFonts w:hint="eastAsia" w:ascii="宋体" w:hAnsi="宋体" w:eastAsia="宋体"/>
          <w:sz w:val="24"/>
          <w:szCs w:val="24"/>
        </w:rPr>
        <w:t>种方式处理：</w:t>
      </w:r>
    </w:p>
    <w:p>
      <w:pPr>
        <w:spacing w:line="360" w:lineRule="auto"/>
        <w:ind w:firstLine="570"/>
        <w:rPr>
          <w:rFonts w:ascii="宋体" w:hAnsi="宋体" w:eastAsia="宋体"/>
          <w:sz w:val="24"/>
          <w:szCs w:val="24"/>
        </w:rPr>
      </w:pPr>
      <w:r>
        <w:rPr>
          <w:rFonts w:hint="eastAsia" w:ascii="宋体" w:hAnsi="宋体" w:eastAsia="宋体"/>
          <w:sz w:val="24"/>
          <w:szCs w:val="24"/>
        </w:rPr>
        <w:t>1、乙方不承担责任。</w:t>
      </w:r>
    </w:p>
    <w:p>
      <w:pPr>
        <w:spacing w:line="360" w:lineRule="auto"/>
        <w:ind w:firstLine="570"/>
        <w:rPr>
          <w:rFonts w:ascii="宋体" w:hAnsi="宋体" w:eastAsia="宋体"/>
          <w:sz w:val="24"/>
          <w:szCs w:val="24"/>
          <w:u w:val="single"/>
        </w:rPr>
      </w:pPr>
      <w:r>
        <w:rPr>
          <w:rFonts w:hint="eastAsia" w:ascii="宋体" w:hAnsi="宋体" w:eastAsia="宋体"/>
          <w:sz w:val="24"/>
          <w:szCs w:val="24"/>
        </w:rPr>
        <w:t>2、乙方承担部分责任。具体承担方式为：</w:t>
      </w:r>
      <w:r>
        <w:rPr>
          <w:rFonts w:hint="eastAsia" w:ascii="宋体" w:hAnsi="宋体" w:eastAsia="宋体" w:cs="Times New Roman"/>
          <w:sz w:val="24"/>
          <w:szCs w:val="24"/>
          <w:u w:val="single"/>
        </w:rPr>
        <w:t>重新核实成果内容和可行性，给出修正方案</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3、乙方承担全部责任。</w:t>
      </w:r>
    </w:p>
    <w:p>
      <w:pPr>
        <w:spacing w:line="360" w:lineRule="auto"/>
        <w:ind w:firstLine="570"/>
        <w:rPr>
          <w:rFonts w:ascii="宋体" w:hAnsi="宋体" w:eastAsia="宋体"/>
          <w:sz w:val="24"/>
          <w:szCs w:val="24"/>
        </w:rPr>
      </w:pPr>
      <w:r>
        <w:rPr>
          <w:rFonts w:hint="eastAsia" w:ascii="宋体" w:hAnsi="宋体" w:eastAsia="宋体"/>
          <w:sz w:val="24"/>
          <w:szCs w:val="24"/>
        </w:rPr>
        <w:t>第十条  双方确定：</w:t>
      </w:r>
    </w:p>
    <w:p>
      <w:pPr>
        <w:spacing w:line="360" w:lineRule="auto"/>
        <w:ind w:firstLine="570"/>
        <w:rPr>
          <w:rFonts w:ascii="宋体" w:hAnsi="宋体" w:eastAsia="宋体"/>
          <w:sz w:val="24"/>
          <w:szCs w:val="24"/>
        </w:rPr>
      </w:pPr>
      <w:r>
        <w:rPr>
          <w:rFonts w:hint="eastAsia" w:ascii="宋体" w:hAnsi="宋体" w:eastAsia="宋体"/>
          <w:sz w:val="24"/>
          <w:szCs w:val="24"/>
        </w:rPr>
        <w:t>1、在本合同有效期内，甲方利用乙方提交的技术咨询工作成果所完成的新的技术成果，归</w:t>
      </w:r>
      <w:r>
        <w:rPr>
          <w:rFonts w:hint="eastAsia" w:ascii="宋体" w:hAnsi="宋体" w:eastAsia="宋体"/>
          <w:sz w:val="24"/>
          <w:szCs w:val="24"/>
          <w:u w:val="single"/>
        </w:rPr>
        <w:t>甲</w:t>
      </w:r>
      <w:r>
        <w:rPr>
          <w:rFonts w:hint="eastAsia" w:ascii="宋体" w:hAnsi="宋体" w:eastAsia="宋体"/>
          <w:sz w:val="24"/>
          <w:szCs w:val="24"/>
        </w:rPr>
        <w:t>（甲、双）方所有。</w:t>
      </w:r>
    </w:p>
    <w:p>
      <w:pPr>
        <w:spacing w:line="360" w:lineRule="auto"/>
        <w:ind w:firstLine="570"/>
        <w:rPr>
          <w:rFonts w:ascii="宋体" w:hAnsi="宋体" w:eastAsia="宋体"/>
          <w:sz w:val="24"/>
          <w:szCs w:val="24"/>
        </w:rPr>
      </w:pPr>
      <w:r>
        <w:rPr>
          <w:rFonts w:hint="eastAsia" w:ascii="宋体" w:hAnsi="宋体" w:eastAsia="宋体"/>
          <w:sz w:val="24"/>
          <w:szCs w:val="24"/>
        </w:rPr>
        <w:t>2、在本合同有效期内，乙方利用甲方提交的技术咨询工作成果所完成的新的技术成果，归</w:t>
      </w:r>
      <w:r>
        <w:rPr>
          <w:rFonts w:hint="eastAsia" w:ascii="宋体" w:hAnsi="宋体" w:eastAsia="宋体"/>
          <w:sz w:val="24"/>
          <w:szCs w:val="24"/>
          <w:u w:val="single"/>
        </w:rPr>
        <w:t>乙</w:t>
      </w:r>
      <w:r>
        <w:rPr>
          <w:rFonts w:hint="eastAsia" w:ascii="宋体" w:hAnsi="宋体" w:eastAsia="宋体"/>
          <w:sz w:val="24"/>
          <w:szCs w:val="24"/>
        </w:rPr>
        <w:t>（乙、双）方所有。</w:t>
      </w:r>
    </w:p>
    <w:p>
      <w:pPr>
        <w:spacing w:line="360" w:lineRule="auto"/>
        <w:ind w:firstLine="570"/>
        <w:rPr>
          <w:rFonts w:ascii="宋体" w:hAnsi="宋体" w:eastAsia="宋体"/>
          <w:sz w:val="24"/>
          <w:szCs w:val="24"/>
          <w:u w:val="single"/>
        </w:rPr>
      </w:pPr>
      <w:r>
        <w:rPr>
          <w:rFonts w:hint="eastAsia" w:ascii="宋体" w:hAnsi="宋体" w:eastAsia="宋体"/>
          <w:sz w:val="24"/>
          <w:szCs w:val="24"/>
        </w:rPr>
        <w:t>第十一条  双方确定，在本合同有效期内，甲方指定</w:t>
      </w:r>
      <w:r>
        <w:rPr>
          <w:rFonts w:hint="eastAsia" w:ascii="宋体" w:hAnsi="宋体" w:eastAsia="宋体"/>
          <w:sz w:val="24"/>
          <w:szCs w:val="24"/>
          <w:u w:val="single"/>
        </w:rPr>
        <w:t>胡斌</w:t>
      </w:r>
      <w:r>
        <w:rPr>
          <w:rFonts w:hint="eastAsia" w:ascii="宋体" w:hAnsi="宋体" w:eastAsia="宋体"/>
          <w:sz w:val="24"/>
          <w:szCs w:val="24"/>
        </w:rPr>
        <w:t>为甲方项目联系人，乙方指定</w:t>
      </w:r>
      <w:r>
        <w:rPr>
          <w:rFonts w:hint="eastAsia" w:ascii="宋体" w:hAnsi="宋体" w:eastAsia="宋体"/>
          <w:sz w:val="24"/>
          <w:szCs w:val="24"/>
          <w:u w:val="single"/>
        </w:rPr>
        <w:t xml:space="preserve">                       </w:t>
      </w:r>
      <w:r>
        <w:rPr>
          <w:rFonts w:hint="eastAsia" w:ascii="宋体" w:hAnsi="宋体" w:eastAsia="宋体"/>
          <w:sz w:val="24"/>
          <w:szCs w:val="24"/>
        </w:rPr>
        <w:t>为乙方项目联系人。项目联系人承担以下责任：</w:t>
      </w:r>
    </w:p>
    <w:p>
      <w:pPr>
        <w:spacing w:line="360" w:lineRule="auto"/>
        <w:ind w:firstLine="600" w:firstLineChars="25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一方变更项目联系人的，应当及时以书面形式通知另一方。未及时通知并影响本合同履行或造成损失的，应承担相应的责任。</w:t>
      </w:r>
    </w:p>
    <w:p>
      <w:pPr>
        <w:spacing w:line="360" w:lineRule="auto"/>
        <w:ind w:firstLine="600" w:firstLineChars="250"/>
        <w:rPr>
          <w:rFonts w:ascii="宋体" w:hAnsi="宋体" w:eastAsia="宋体"/>
          <w:sz w:val="24"/>
          <w:szCs w:val="24"/>
        </w:rPr>
      </w:pPr>
      <w:r>
        <w:rPr>
          <w:rFonts w:hint="eastAsia" w:ascii="宋体" w:hAnsi="宋体" w:eastAsia="宋体"/>
          <w:sz w:val="24"/>
          <w:szCs w:val="24"/>
        </w:rPr>
        <w:t>第十二条  双方确定，出现下列情形，致使本合同的履行成为不必要或不可能的，可以解除本合同：</w:t>
      </w:r>
    </w:p>
    <w:p>
      <w:pPr>
        <w:spacing w:line="360" w:lineRule="auto"/>
        <w:ind w:firstLine="600" w:firstLineChars="250"/>
        <w:rPr>
          <w:rFonts w:ascii="宋体" w:hAnsi="宋体" w:eastAsia="宋体"/>
          <w:sz w:val="24"/>
          <w:szCs w:val="24"/>
        </w:rPr>
      </w:pPr>
      <w:r>
        <w:rPr>
          <w:rFonts w:hint="eastAsia" w:ascii="宋体" w:hAnsi="宋体" w:eastAsia="宋体"/>
          <w:sz w:val="24"/>
          <w:szCs w:val="24"/>
        </w:rPr>
        <w:t>1、发生不可抗力；</w:t>
      </w:r>
    </w:p>
    <w:p>
      <w:pPr>
        <w:spacing w:line="360" w:lineRule="auto"/>
        <w:ind w:firstLine="600" w:firstLineChars="250"/>
        <w:rPr>
          <w:rFonts w:ascii="宋体" w:hAnsi="宋体" w:eastAsia="宋体"/>
          <w:sz w:val="24"/>
          <w:szCs w:val="24"/>
        </w:rPr>
      </w:pPr>
      <w:r>
        <w:rPr>
          <w:rFonts w:hint="eastAsia" w:ascii="宋体" w:hAnsi="宋体" w:eastAsia="宋体"/>
          <w:sz w:val="24"/>
          <w:szCs w:val="24"/>
        </w:rPr>
        <w:t>2、                                                        ；</w:t>
      </w:r>
    </w:p>
    <w:p>
      <w:pPr>
        <w:spacing w:line="360" w:lineRule="auto"/>
        <w:ind w:firstLine="600" w:firstLineChars="25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第十三条  双方因履行本合同而发生的争议，应协商、调解解决。协商、调解不成的，确定按以下第</w:t>
      </w:r>
      <w:r>
        <w:rPr>
          <w:rFonts w:hint="eastAsia" w:ascii="宋体" w:hAnsi="宋体" w:eastAsia="宋体"/>
          <w:sz w:val="24"/>
          <w:szCs w:val="24"/>
          <w:u w:val="single"/>
        </w:rPr>
        <w:t>1</w:t>
      </w:r>
      <w:r>
        <w:rPr>
          <w:rFonts w:hint="eastAsia" w:ascii="宋体" w:hAnsi="宋体" w:eastAsia="宋体"/>
          <w:sz w:val="24"/>
          <w:szCs w:val="24"/>
        </w:rPr>
        <w:t>种方式处理；</w:t>
      </w:r>
    </w:p>
    <w:p>
      <w:pPr>
        <w:spacing w:line="360" w:lineRule="auto"/>
        <w:ind w:firstLine="570"/>
        <w:rPr>
          <w:rFonts w:ascii="宋体" w:hAnsi="宋体" w:eastAsia="宋体"/>
          <w:sz w:val="24"/>
          <w:szCs w:val="24"/>
        </w:rPr>
      </w:pPr>
      <w:r>
        <w:rPr>
          <w:rFonts w:hint="eastAsia" w:ascii="宋体" w:hAnsi="宋体" w:eastAsia="宋体"/>
          <w:sz w:val="24"/>
          <w:szCs w:val="24"/>
        </w:rPr>
        <w:t>1、提交</w:t>
      </w:r>
      <w:r>
        <w:rPr>
          <w:rFonts w:hint="eastAsia" w:ascii="宋体" w:hAnsi="宋体" w:eastAsia="宋体"/>
          <w:sz w:val="24"/>
          <w:szCs w:val="24"/>
          <w:u w:val="single"/>
        </w:rPr>
        <w:t>黄石市</w:t>
      </w:r>
      <w:r>
        <w:rPr>
          <w:rFonts w:hint="eastAsia" w:ascii="宋体" w:hAnsi="宋体" w:eastAsia="宋体"/>
          <w:sz w:val="24"/>
          <w:szCs w:val="24"/>
        </w:rPr>
        <w:t>仲裁委员会仲裁；</w:t>
      </w:r>
    </w:p>
    <w:p>
      <w:pPr>
        <w:spacing w:line="360" w:lineRule="auto"/>
        <w:ind w:firstLine="570"/>
        <w:rPr>
          <w:rFonts w:ascii="宋体" w:hAnsi="宋体" w:eastAsia="宋体"/>
          <w:sz w:val="24"/>
          <w:szCs w:val="24"/>
        </w:rPr>
      </w:pPr>
      <w:r>
        <w:rPr>
          <w:rFonts w:hint="eastAsia" w:ascii="宋体" w:hAnsi="宋体" w:eastAsia="宋体"/>
          <w:sz w:val="24"/>
          <w:szCs w:val="24"/>
        </w:rPr>
        <w:t>2、依法向人民法院起诉。</w:t>
      </w:r>
    </w:p>
    <w:p>
      <w:pPr>
        <w:spacing w:line="360" w:lineRule="auto"/>
        <w:ind w:firstLine="570"/>
        <w:rPr>
          <w:rFonts w:ascii="宋体" w:hAnsi="宋体" w:eastAsia="宋体"/>
          <w:sz w:val="24"/>
          <w:szCs w:val="24"/>
        </w:rPr>
      </w:pPr>
      <w:r>
        <w:rPr>
          <w:rFonts w:hint="eastAsia" w:ascii="宋体" w:hAnsi="宋体" w:eastAsia="宋体"/>
          <w:sz w:val="24"/>
          <w:szCs w:val="24"/>
        </w:rPr>
        <w:t>第十四条  双方确定，本合同及相关附件中所涉及的有关名词和技术术语，其定义和解释如下：</w:t>
      </w:r>
    </w:p>
    <w:p>
      <w:pPr>
        <w:spacing w:line="360" w:lineRule="auto"/>
        <w:ind w:firstLine="600" w:firstLineChars="25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第十五条  与履行本合同有关的下列技术文件，经双方以</w:t>
      </w:r>
      <w:r>
        <w:rPr>
          <w:rFonts w:hint="eastAsia" w:ascii="宋体" w:hAnsi="宋体" w:eastAsia="宋体"/>
          <w:sz w:val="24"/>
          <w:szCs w:val="24"/>
          <w:u w:val="single"/>
        </w:rPr>
        <w:t xml:space="preserve">         </w:t>
      </w:r>
      <w:r>
        <w:rPr>
          <w:rFonts w:hint="eastAsia" w:ascii="宋体" w:hAnsi="宋体" w:eastAsia="宋体"/>
          <w:sz w:val="24"/>
          <w:szCs w:val="24"/>
        </w:rPr>
        <w:t>方式确认后，为本合同的组成部份：</w:t>
      </w:r>
    </w:p>
    <w:p>
      <w:pPr>
        <w:spacing w:line="360" w:lineRule="auto"/>
        <w:ind w:firstLine="600" w:firstLineChars="25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570"/>
        <w:rPr>
          <w:rFonts w:ascii="宋体" w:hAnsi="宋体" w:eastAsia="宋体"/>
          <w:sz w:val="24"/>
          <w:szCs w:val="24"/>
          <w:u w:val="single"/>
        </w:rPr>
      </w:pPr>
      <w:r>
        <w:rPr>
          <w:rFonts w:hint="eastAsia" w:ascii="宋体" w:hAnsi="宋体" w:eastAsia="宋体"/>
          <w:sz w:val="24"/>
          <w:szCs w:val="24"/>
        </w:rPr>
        <w:t>第十六条  双方约定本合同其他相关事项为：</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360" w:lineRule="auto"/>
        <w:ind w:firstLine="600" w:firstLineChars="250"/>
        <w:rPr>
          <w:rFonts w:ascii="宋体" w:hAnsi="宋体" w:eastAsia="宋体"/>
          <w:sz w:val="24"/>
          <w:szCs w:val="24"/>
        </w:rPr>
      </w:pPr>
      <w:r>
        <w:rPr>
          <w:rFonts w:hint="eastAsia" w:ascii="宋体" w:hAnsi="宋体" w:eastAsia="宋体"/>
          <w:sz w:val="24"/>
          <w:szCs w:val="24"/>
        </w:rPr>
        <w:t>第十七条  本合同一式</w:t>
      </w:r>
      <w:r>
        <w:rPr>
          <w:rFonts w:hint="eastAsia" w:ascii="宋体" w:hAnsi="宋体" w:eastAsia="宋体" w:cs="Times New Roman"/>
          <w:sz w:val="24"/>
          <w:szCs w:val="24"/>
          <w:u w:val="single"/>
        </w:rPr>
        <w:t>捌</w:t>
      </w:r>
      <w:r>
        <w:rPr>
          <w:rFonts w:hint="eastAsia" w:ascii="宋体" w:hAnsi="宋体" w:eastAsia="宋体"/>
          <w:sz w:val="24"/>
          <w:szCs w:val="24"/>
        </w:rPr>
        <w:t>份，具有同等法律效力。</w:t>
      </w:r>
    </w:p>
    <w:p>
      <w:pPr>
        <w:spacing w:line="360" w:lineRule="auto"/>
        <w:ind w:firstLine="600" w:firstLineChars="250"/>
        <w:rPr>
          <w:rFonts w:ascii="宋体" w:hAnsi="宋体" w:eastAsia="宋体"/>
          <w:sz w:val="24"/>
          <w:szCs w:val="24"/>
        </w:rPr>
      </w:pPr>
      <w:r>
        <w:rPr>
          <w:rFonts w:hint="eastAsia" w:ascii="宋体" w:hAnsi="宋体" w:eastAsia="宋体"/>
          <w:sz w:val="24"/>
          <w:szCs w:val="24"/>
        </w:rPr>
        <w:t>第十八条  本合同经双方签字盖章后生效。</w:t>
      </w:r>
    </w:p>
    <w:p>
      <w:pPr>
        <w:spacing w:line="360" w:lineRule="auto"/>
        <w:ind w:firstLine="600" w:firstLineChars="250"/>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甲方：</w:t>
      </w:r>
      <w:r>
        <w:rPr>
          <w:rFonts w:hint="eastAsia" w:ascii="宋体" w:hAnsi="宋体" w:eastAsia="宋体"/>
          <w:sz w:val="24"/>
          <w:szCs w:val="24"/>
          <w:u w:val="single"/>
        </w:rPr>
        <w:t xml:space="preserve">                                            </w:t>
      </w:r>
      <w:r>
        <w:rPr>
          <w:rFonts w:hint="eastAsia" w:ascii="宋体" w:hAnsi="宋体" w:eastAsia="宋体"/>
          <w:sz w:val="24"/>
          <w:szCs w:val="24"/>
        </w:rPr>
        <w:t>（盖章）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法定代表人/委托代理人：</w:t>
      </w:r>
      <w:r>
        <w:rPr>
          <w:rFonts w:hint="eastAsia" w:ascii="宋体" w:hAnsi="宋体" w:eastAsia="宋体"/>
          <w:sz w:val="24"/>
          <w:szCs w:val="24"/>
          <w:u w:val="single"/>
        </w:rPr>
        <w:t xml:space="preserve">                           </w:t>
      </w:r>
      <w:r>
        <w:rPr>
          <w:rFonts w:hint="eastAsia" w:ascii="宋体" w:hAnsi="宋体" w:eastAsia="宋体"/>
          <w:sz w:val="24"/>
          <w:szCs w:val="24"/>
        </w:rPr>
        <w:t>（签名）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年      月     日</w:t>
      </w:r>
    </w:p>
    <w:p>
      <w:pPr>
        <w:spacing w:line="360" w:lineRule="auto"/>
        <w:rPr>
          <w:rFonts w:ascii="宋体" w:hAnsi="宋体" w:eastAsia="宋体"/>
          <w:sz w:val="24"/>
          <w:szCs w:val="24"/>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乙方：</w:t>
      </w:r>
      <w:r>
        <w:rPr>
          <w:rFonts w:hint="eastAsia" w:ascii="宋体" w:hAnsi="宋体" w:eastAsia="宋体"/>
          <w:sz w:val="24"/>
          <w:szCs w:val="24"/>
          <w:u w:val="single"/>
        </w:rPr>
        <w:t xml:space="preserve">                                            </w:t>
      </w:r>
      <w:r>
        <w:rPr>
          <w:rFonts w:hint="eastAsia" w:ascii="宋体" w:hAnsi="宋体" w:eastAsia="宋体"/>
          <w:sz w:val="24"/>
          <w:szCs w:val="24"/>
        </w:rPr>
        <w:t>（盖章）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法定代表人/委托代理人：</w:t>
      </w:r>
      <w:r>
        <w:rPr>
          <w:rFonts w:hint="eastAsia" w:ascii="宋体" w:hAnsi="宋体" w:eastAsia="宋体"/>
          <w:sz w:val="24"/>
          <w:szCs w:val="24"/>
          <w:u w:val="single"/>
        </w:rPr>
        <w:t xml:space="preserve">                           </w:t>
      </w:r>
      <w:r>
        <w:rPr>
          <w:rFonts w:hint="eastAsia" w:ascii="宋体" w:hAnsi="宋体" w:eastAsia="宋体"/>
          <w:sz w:val="24"/>
          <w:szCs w:val="24"/>
        </w:rPr>
        <w:t>（签名）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年      月     日</w:t>
      </w:r>
    </w:p>
    <w:p>
      <w:pPr>
        <w:spacing w:line="360" w:lineRule="auto"/>
        <w:jc w:val="left"/>
        <w:rPr>
          <w:rFonts w:ascii="宋体" w:hAnsi="宋体"/>
          <w:sz w:val="24"/>
          <w:szCs w:val="24"/>
        </w:rPr>
      </w:pPr>
      <w:r>
        <w:br w:type="page"/>
      </w:r>
      <w:r>
        <w:rPr>
          <w:rFonts w:hint="eastAsia" w:ascii="宋体" w:hAnsi="宋体"/>
          <w:sz w:val="24"/>
          <w:szCs w:val="24"/>
        </w:rPr>
        <w:t>印花税票粘贴处：</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u w:val="single"/>
        </w:rPr>
        <w:t xml:space="preserve">                                                   </w:t>
      </w:r>
    </w:p>
    <w:p>
      <w:pPr>
        <w:spacing w:line="360" w:lineRule="auto"/>
        <w:rPr>
          <w:rFonts w:ascii="宋体" w:hAnsi="宋体"/>
          <w:sz w:val="24"/>
          <w:szCs w:val="24"/>
        </w:rPr>
      </w:pPr>
      <w:r>
        <w:rPr>
          <w:rFonts w:hint="eastAsia" w:ascii="宋体" w:hAnsi="宋体"/>
          <w:sz w:val="24"/>
          <w:szCs w:val="24"/>
        </w:rPr>
        <w:t xml:space="preserve">  （以下由技术合同登记机构填写）</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合同登记编号：</w:t>
      </w:r>
    </w:p>
    <w:tbl>
      <w:tblPr>
        <w:tblStyle w:val="18"/>
        <w:tblW w:w="6720" w:type="dxa"/>
        <w:tblInd w:w="1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420"/>
        <w:gridCol w:w="420"/>
        <w:gridCol w:w="420"/>
        <w:gridCol w:w="420"/>
        <w:gridCol w:w="420"/>
        <w:gridCol w:w="420"/>
        <w:gridCol w:w="420"/>
        <w:gridCol w:w="420"/>
        <w:gridCol w:w="420"/>
        <w:gridCol w:w="420"/>
        <w:gridCol w:w="420"/>
        <w:gridCol w:w="420"/>
        <w:gridCol w:w="420"/>
        <w:gridCol w:w="420"/>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20" w:type="dxa"/>
          </w:tcPr>
          <w:p>
            <w:pPr>
              <w:spacing w:line="360" w:lineRule="auto"/>
              <w:rPr>
                <w:rFonts w:ascii="宋体" w:hAnsi="宋体"/>
                <w:sz w:val="24"/>
                <w:szCs w:val="24"/>
              </w:rPr>
            </w:pPr>
            <w:r>
              <w:rPr>
                <w:rFonts w:hint="eastAsia" w:ascii="宋体" w:hAnsi="宋体"/>
                <w:sz w:val="24"/>
                <w:szCs w:val="24"/>
              </w:rPr>
              <w:t xml:space="preserve">     </w:t>
            </w: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c>
          <w:tcPr>
            <w:tcW w:w="420" w:type="dxa"/>
          </w:tcPr>
          <w:p>
            <w:pPr>
              <w:spacing w:line="360" w:lineRule="auto"/>
              <w:rPr>
                <w:rFonts w:ascii="宋体" w:hAnsi="宋体"/>
                <w:sz w:val="24"/>
                <w:szCs w:val="24"/>
              </w:rPr>
            </w:pPr>
          </w:p>
        </w:tc>
      </w:tr>
    </w:tbl>
    <w:p>
      <w:pPr>
        <w:spacing w:line="360" w:lineRule="auto"/>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 xml:space="preserve">         1、申请登记人：</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 xml:space="preserve">         2、登记材料：（1）</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 xml:space="preserve">                      （2）</w:t>
      </w:r>
      <w:r>
        <w:rPr>
          <w:rFonts w:hint="eastAsia" w:ascii="宋体" w:hAnsi="宋体"/>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 xml:space="preserve">                      （3）</w:t>
      </w:r>
      <w:r>
        <w:rPr>
          <w:rFonts w:hint="eastAsia" w:ascii="宋体" w:hAnsi="宋体"/>
          <w:sz w:val="24"/>
          <w:szCs w:val="24"/>
          <w:u w:val="single"/>
        </w:rPr>
        <w:t xml:space="preserve">                                    </w:t>
      </w:r>
    </w:p>
    <w:p>
      <w:pPr>
        <w:spacing w:before="120" w:line="360" w:lineRule="auto"/>
        <w:rPr>
          <w:rFonts w:ascii="宋体" w:hAnsi="宋体"/>
          <w:sz w:val="24"/>
          <w:szCs w:val="24"/>
          <w:u w:val="single"/>
        </w:rPr>
      </w:pPr>
      <w:r>
        <w:rPr>
          <w:rFonts w:hint="eastAsia" w:ascii="宋体" w:hAnsi="宋体"/>
          <w:sz w:val="24"/>
          <w:szCs w:val="24"/>
        </w:rPr>
        <w:t xml:space="preserve">         3、合同类型：</w:t>
      </w:r>
      <w:r>
        <w:rPr>
          <w:rFonts w:hint="eastAsia" w:ascii="宋体" w:hAnsi="宋体"/>
          <w:sz w:val="24"/>
          <w:szCs w:val="24"/>
          <w:u w:val="single"/>
        </w:rPr>
        <w:t xml:space="preserve">                                        </w:t>
      </w:r>
    </w:p>
    <w:p>
      <w:pPr>
        <w:spacing w:before="120" w:line="360" w:lineRule="auto"/>
        <w:rPr>
          <w:rFonts w:ascii="宋体" w:hAnsi="宋体"/>
          <w:sz w:val="24"/>
          <w:szCs w:val="24"/>
          <w:u w:val="single"/>
        </w:rPr>
      </w:pPr>
      <w:r>
        <w:rPr>
          <w:rFonts w:hint="eastAsia" w:ascii="宋体" w:hAnsi="宋体"/>
          <w:sz w:val="24"/>
          <w:szCs w:val="24"/>
        </w:rPr>
        <w:t xml:space="preserve">         4、合同交易额：</w:t>
      </w:r>
      <w:r>
        <w:rPr>
          <w:rFonts w:hint="eastAsia" w:ascii="宋体" w:hAnsi="宋体"/>
          <w:sz w:val="24"/>
          <w:szCs w:val="24"/>
          <w:u w:val="single"/>
        </w:rPr>
        <w:t xml:space="preserve">                                      </w:t>
      </w:r>
    </w:p>
    <w:p>
      <w:pPr>
        <w:spacing w:before="120" w:line="360" w:lineRule="auto"/>
        <w:rPr>
          <w:rFonts w:ascii="宋体" w:hAnsi="宋体"/>
          <w:sz w:val="24"/>
          <w:szCs w:val="24"/>
          <w:u w:val="single"/>
        </w:rPr>
      </w:pPr>
      <w:r>
        <w:rPr>
          <w:rFonts w:hint="eastAsia" w:ascii="宋体" w:hAnsi="宋体"/>
          <w:sz w:val="24"/>
          <w:szCs w:val="24"/>
        </w:rPr>
        <w:t xml:space="preserve">         5、技术交易额：</w:t>
      </w:r>
      <w:r>
        <w:rPr>
          <w:rFonts w:hint="eastAsia" w:ascii="宋体" w:hAnsi="宋体"/>
          <w:sz w:val="24"/>
          <w:szCs w:val="24"/>
          <w:u w:val="single"/>
        </w:rPr>
        <w:t xml:space="preserve">                                      </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 xml:space="preserve">                                   技术合同登记机构（印章）</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 xml:space="preserve">                                      经办人：</w:t>
      </w:r>
    </w:p>
    <w:p>
      <w:pPr>
        <w:spacing w:before="78" w:beforeLines="25" w:line="360" w:lineRule="auto"/>
        <w:ind w:firstLine="489" w:firstLineChars="204"/>
        <w:contextualSpacing/>
        <w:jc w:val="left"/>
        <w:rPr>
          <w:rFonts w:ascii="宋体" w:hAnsi="宋体" w:eastAsia="宋体" w:cs="Times New Roman"/>
          <w:kern w:val="0"/>
          <w:sz w:val="24"/>
          <w:szCs w:val="24"/>
        </w:rPr>
      </w:pPr>
      <w:r>
        <w:rPr>
          <w:rFonts w:hint="eastAsia" w:ascii="宋体" w:hAnsi="宋体"/>
          <w:sz w:val="24"/>
          <w:szCs w:val="24"/>
        </w:rPr>
        <w:t xml:space="preserve">                                          年      月     日</w:t>
      </w:r>
    </w:p>
    <w:p>
      <w:pPr>
        <w:spacing w:line="360" w:lineRule="auto"/>
        <w:rPr>
          <w:sz w:val="24"/>
          <w:szCs w:val="24"/>
        </w:rPr>
      </w:pPr>
      <w:r>
        <w:rPr>
          <w:sz w:val="24"/>
          <w:szCs w:val="24"/>
        </w:rPr>
        <w:br w:type="page"/>
      </w:r>
    </w:p>
    <w:p>
      <w:pPr>
        <w:spacing w:line="640" w:lineRule="exact"/>
        <w:rPr>
          <w:rFonts w:ascii="宋体" w:hAnsi="宋体" w:eastAsia="宋体" w:cs="方正黑体简体"/>
          <w:bCs/>
          <w:sz w:val="18"/>
          <w:szCs w:val="18"/>
          <w:shd w:val="clear" w:color="auto" w:fill="FFFFFF"/>
        </w:rPr>
      </w:pPr>
      <w:r>
        <w:rPr>
          <w:rFonts w:hint="eastAsia" w:ascii="宋体" w:hAnsi="宋体" w:eastAsia="宋体"/>
          <w:sz w:val="32"/>
          <w:szCs w:val="32"/>
        </w:rPr>
        <w:t>附件</w:t>
      </w:r>
    </w:p>
    <w:p>
      <w:pPr>
        <w:spacing w:line="640" w:lineRule="exact"/>
        <w:jc w:val="center"/>
        <w:rPr>
          <w:rFonts w:ascii="宋体" w:hAnsi="宋体" w:eastAsia="宋体"/>
          <w:sz w:val="44"/>
          <w:szCs w:val="44"/>
        </w:rPr>
      </w:pPr>
      <w:r>
        <w:rPr>
          <w:rFonts w:hint="eastAsia" w:ascii="宋体" w:hAnsi="宋体" w:eastAsia="宋体"/>
          <w:sz w:val="44"/>
          <w:szCs w:val="44"/>
        </w:rPr>
        <w:t>廉政责任书</w:t>
      </w:r>
    </w:p>
    <w:p>
      <w:pPr>
        <w:rPr>
          <w:rFonts w:ascii="宋体" w:hAnsi="宋体" w:eastAsia="宋体"/>
          <w:sz w:val="24"/>
          <w:szCs w:val="24"/>
        </w:rPr>
      </w:pPr>
    </w:p>
    <w:p>
      <w:pPr>
        <w:pStyle w:val="6"/>
        <w:spacing w:line="560" w:lineRule="exact"/>
        <w:ind w:right="-787" w:rightChars="-375" w:firstLine="470" w:firstLineChars="196"/>
        <w:rPr>
          <w:rFonts w:ascii="宋体" w:hAnsi="宋体" w:eastAsia="宋体" w:cs="仿宋_GB2312"/>
          <w:sz w:val="24"/>
          <w:szCs w:val="24"/>
        </w:rPr>
      </w:pPr>
      <w:r>
        <w:rPr>
          <w:rFonts w:hint="eastAsia" w:ascii="宋体" w:hAnsi="宋体" w:eastAsia="宋体" w:cs="仿宋_GB2312"/>
          <w:b/>
          <w:bCs/>
          <w:sz w:val="24"/>
          <w:szCs w:val="24"/>
        </w:rPr>
        <w:t>甲方(全称)：</w:t>
      </w:r>
      <w:r>
        <w:rPr>
          <w:rFonts w:hint="eastAsia" w:ascii="宋体" w:hAnsi="宋体" w:eastAsia="宋体" w:cs="仿宋_GB2312"/>
          <w:sz w:val="24"/>
          <w:szCs w:val="24"/>
        </w:rPr>
        <w:t xml:space="preserve"> </w:t>
      </w:r>
    </w:p>
    <w:p>
      <w:pPr>
        <w:pStyle w:val="6"/>
        <w:spacing w:line="560" w:lineRule="exact"/>
        <w:ind w:right="-787" w:rightChars="-375" w:firstLine="470" w:firstLineChars="196"/>
        <w:rPr>
          <w:rFonts w:ascii="宋体" w:hAnsi="宋体" w:eastAsia="宋体" w:cs="仿宋_GB2312"/>
          <w:sz w:val="24"/>
          <w:szCs w:val="24"/>
        </w:rPr>
      </w:pPr>
      <w:r>
        <w:rPr>
          <w:rFonts w:hint="eastAsia" w:ascii="宋体" w:hAnsi="宋体" w:eastAsia="宋体" w:cs="仿宋_GB2312"/>
          <w:b/>
          <w:bCs/>
          <w:sz w:val="24"/>
          <w:szCs w:val="24"/>
        </w:rPr>
        <w:t>乙方(全称)：</w:t>
      </w:r>
      <w:r>
        <w:rPr>
          <w:rFonts w:hint="eastAsia" w:ascii="宋体" w:hAnsi="宋体" w:eastAsia="宋体" w:cs="仿宋_GB2312"/>
          <w:sz w:val="24"/>
          <w:szCs w:val="24"/>
        </w:rPr>
        <w:t xml:space="preserve"> </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甲、乙双方于   年  月   日签订了《      项目合同》文件，为加强合同履行中的廉政建设，规范合同双方的各项活动，防止发生各种谋取不正当利益的违法违纪行为，保护国家、集体和当事人的合法权益，根据国家有关法律法规和廉政建设责任制规定，特订立廉政合同。</w:t>
      </w:r>
    </w:p>
    <w:p>
      <w:pPr>
        <w:spacing w:line="640" w:lineRule="exact"/>
        <w:ind w:firstLine="480" w:firstLineChars="200"/>
        <w:rPr>
          <w:rFonts w:ascii="宋体" w:hAnsi="宋体" w:eastAsia="宋体" w:cs="仿宋_GB2312"/>
          <w:b/>
          <w:sz w:val="24"/>
          <w:szCs w:val="24"/>
        </w:rPr>
      </w:pPr>
      <w:r>
        <w:rPr>
          <w:rFonts w:hint="eastAsia" w:ascii="宋体" w:hAnsi="宋体" w:eastAsia="宋体" w:cs="仿宋_GB2312"/>
          <w:b/>
          <w:sz w:val="24"/>
          <w:szCs w:val="24"/>
        </w:rPr>
        <w:t>第一条  甲乙双方的权利和义务</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一)应严格遵守国家关于市场准入、招标投标、建设工程（含招标代理、勘察、设计、审图、施工、监理、造价咨询等）、政府采购（含货物采购、服务采购）和市场活动的有关法律、法规、规章和规范性文件，相关政策，以及廉政建设的各项规定。</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(二)严格履行《           项目合同》及相关文件。</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(三)双方的履约行为坚持公开、公正、诚信、透明的原则(除法律认定的商业秘密和合同文件另有规定之外)，不得损害国家和集体利益。</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(四)发现对方在业务活动中有违反廉政规定的行为，有及时提醒对方纠正的权利和义务。</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(五)发现对方严重违反本合同义务条款的行为，有向相关部门举报、建议给予处理并要求告知处理结果的权利。</w:t>
      </w:r>
    </w:p>
    <w:p>
      <w:pPr>
        <w:spacing w:line="640" w:lineRule="exact"/>
        <w:ind w:firstLine="480" w:firstLineChars="200"/>
        <w:rPr>
          <w:rFonts w:ascii="宋体" w:hAnsi="宋体" w:eastAsia="宋体"/>
          <w:b/>
          <w:sz w:val="24"/>
          <w:szCs w:val="24"/>
        </w:rPr>
      </w:pPr>
      <w:r>
        <w:rPr>
          <w:rFonts w:hint="eastAsia" w:ascii="宋体" w:hAnsi="宋体" w:eastAsia="宋体"/>
          <w:b/>
          <w:sz w:val="24"/>
          <w:szCs w:val="24"/>
        </w:rPr>
        <w:t>第二条  甲方的义务</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(一)不得向乙方、相关单位或个人索要或接受礼金、有价证券、贵重物品和回扣、好处费、感谢费等。</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(二)不得向乙方、相关单位或个人报销任何应由甲方、相关单位或个人支付的费用。</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(三)不得要求、暗示或接受乙方、相关单位或个人为甲方、相关单位或个人装修住房、婚丧嫁娶、配偶子女的工作安排以及出国(境)、旅游等提供方便。</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(四)不得参加有可能影响公正履行合同的乙方、相关单位或个人的宴请、健身、娱乐等活动。</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(五)不得向乙方、相关单位或个人介绍或为配偶、子女、亲属参与同甲方项目有关的业务活动。</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（六）不得出于输送利益目的要求乙方、相关单位或个人在履行合同过程中使用某种产品、材料和设备。</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(七)不得要求乙方、相关单位或个人为甲方、相关单位或个人购置或提供通讯工具、交通工具和高档办公用品等。</w:t>
      </w:r>
    </w:p>
    <w:p>
      <w:pPr>
        <w:spacing w:line="640" w:lineRule="exact"/>
        <w:ind w:firstLine="480" w:firstLineChars="200"/>
        <w:rPr>
          <w:rFonts w:ascii="宋体" w:hAnsi="宋体" w:eastAsia="宋体"/>
          <w:b/>
          <w:sz w:val="24"/>
          <w:szCs w:val="24"/>
        </w:rPr>
      </w:pPr>
      <w:r>
        <w:rPr>
          <w:rFonts w:hint="eastAsia" w:ascii="宋体" w:hAnsi="宋体" w:eastAsia="宋体"/>
          <w:b/>
          <w:sz w:val="24"/>
          <w:szCs w:val="24"/>
        </w:rPr>
        <w:t>第三条  乙方的义务</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(一)不得向甲方、相关单位或个人索要、接受或赠送礼金、有价证券、贵重物品及回扣、好处费、感谢费等。</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(二)不得为甲方、相关单位或个人报销应由对方支付的费用。</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(三)不得要求或接受为甲方、相关单位或个人装修住房、婚丧嫁娶、配偶子女的工作安排以及出国(境)旅游等提供方便。</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(四)不得为甲方、相关单位或个人组织有可能影响公正履行合同的宴请、健身、娱乐等活动。</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(五)不得为甲方、相关单位或个人配偶、子女、亲属安排参与同项目有关的业务活动。</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（六）不得出于输送利益目的在履行合同过程中使用甲方、相关单位或个人指定的某种产品、材料和设备。</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(七)不得为甲方、相关单位或个人购置或提供通讯工具、交通工具和高档办公用品等。</w:t>
      </w:r>
    </w:p>
    <w:p>
      <w:pPr>
        <w:spacing w:line="640" w:lineRule="exact"/>
        <w:ind w:firstLine="480" w:firstLineChars="200"/>
        <w:rPr>
          <w:rFonts w:ascii="宋体" w:hAnsi="宋体" w:eastAsia="宋体"/>
          <w:b/>
          <w:sz w:val="24"/>
          <w:szCs w:val="24"/>
        </w:rPr>
      </w:pPr>
      <w:r>
        <w:rPr>
          <w:rFonts w:hint="eastAsia" w:ascii="宋体" w:hAnsi="宋体" w:eastAsia="宋体"/>
          <w:b/>
          <w:sz w:val="24"/>
          <w:szCs w:val="24"/>
        </w:rPr>
        <w:t>第四条  违约责任</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一)甲方工作人员有违反本合同第一、二条责任行为的，按照管理权限，依据有关法律法规和规定给予党纪、政纪处分或组织处理；涉嫌犯罪的，移交司法机关追究刑事责任；给乙方单位造成经济损失的，应予以赔偿。</w:t>
      </w:r>
    </w:p>
    <w:p>
      <w:pPr>
        <w:spacing w:line="640" w:lineRule="exact"/>
        <w:ind w:firstLine="480" w:firstLineChars="200"/>
        <w:rPr>
          <w:rFonts w:ascii="宋体" w:hAnsi="宋体" w:eastAsia="宋体"/>
          <w:sz w:val="24"/>
          <w:szCs w:val="24"/>
        </w:rPr>
      </w:pPr>
      <w:r>
        <w:rPr>
          <w:rFonts w:hint="eastAsia" w:ascii="宋体" w:hAnsi="宋体" w:eastAsia="宋体"/>
          <w:sz w:val="24"/>
          <w:szCs w:val="24"/>
        </w:rPr>
        <w:t>(二)乙方工作人员有违反本合同第一、三条责任行为的，按照管理权限，依据有关法律、法规、规章和规范性文件规定给予党纪、政纪处分或组织处理；涉嫌犯罪的，移交司法机关追究刑事责任；给甲方单位造成经济损失的，应予以赔偿；情节严重的，甲方将移送相关行政主管部门并建议给予乙方相应处罚。</w:t>
      </w:r>
    </w:p>
    <w:p>
      <w:pPr>
        <w:spacing w:line="640" w:lineRule="exact"/>
        <w:ind w:firstLine="480" w:firstLineChars="200"/>
        <w:rPr>
          <w:rFonts w:ascii="宋体" w:hAnsi="宋体" w:eastAsia="宋体"/>
          <w:sz w:val="24"/>
          <w:szCs w:val="24"/>
        </w:rPr>
      </w:pPr>
      <w:r>
        <w:rPr>
          <w:rFonts w:hint="eastAsia" w:ascii="宋体" w:hAnsi="宋体" w:eastAsia="宋体"/>
          <w:b/>
          <w:sz w:val="24"/>
          <w:szCs w:val="24"/>
        </w:rPr>
        <w:t>第五条</w:t>
      </w:r>
      <w:r>
        <w:rPr>
          <w:rFonts w:hint="eastAsia" w:ascii="宋体" w:hAnsi="宋体" w:eastAsia="宋体"/>
          <w:sz w:val="24"/>
          <w:szCs w:val="24"/>
        </w:rPr>
        <w:t>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640" w:lineRule="exact"/>
        <w:ind w:firstLine="480" w:firstLineChars="200"/>
        <w:rPr>
          <w:rFonts w:ascii="宋体" w:hAnsi="宋体" w:eastAsia="宋体"/>
          <w:sz w:val="24"/>
          <w:szCs w:val="24"/>
        </w:rPr>
      </w:pPr>
      <w:r>
        <w:rPr>
          <w:rFonts w:hint="eastAsia" w:ascii="宋体" w:hAnsi="宋体" w:eastAsia="宋体"/>
          <w:b/>
          <w:sz w:val="24"/>
          <w:szCs w:val="24"/>
        </w:rPr>
        <w:t>第六条</w:t>
      </w:r>
      <w:r>
        <w:rPr>
          <w:rFonts w:hint="eastAsia" w:ascii="宋体" w:hAnsi="宋体" w:eastAsia="宋体"/>
          <w:sz w:val="24"/>
          <w:szCs w:val="24"/>
        </w:rPr>
        <w:t>  本合同有效期为甲乙双方签署之日起至《           项目合同》履行完毕之日止。</w:t>
      </w:r>
    </w:p>
    <w:p>
      <w:pPr>
        <w:spacing w:line="640" w:lineRule="exact"/>
        <w:ind w:firstLine="480" w:firstLineChars="200"/>
        <w:rPr>
          <w:rFonts w:ascii="宋体" w:hAnsi="宋体" w:eastAsia="宋体"/>
          <w:sz w:val="24"/>
          <w:szCs w:val="24"/>
        </w:rPr>
      </w:pPr>
      <w:r>
        <w:rPr>
          <w:rFonts w:hint="eastAsia" w:ascii="宋体" w:hAnsi="宋体" w:eastAsia="宋体"/>
          <w:b/>
          <w:sz w:val="24"/>
          <w:szCs w:val="24"/>
        </w:rPr>
        <w:t>第七条 </w:t>
      </w:r>
      <w:r>
        <w:rPr>
          <w:rFonts w:hint="eastAsia" w:ascii="宋体" w:hAnsi="宋体" w:eastAsia="宋体"/>
          <w:sz w:val="24"/>
          <w:szCs w:val="24"/>
        </w:rPr>
        <w:t> 本合同作为《        项目合同》的附件，与上述合同具有同等的法律效力，经合同双方签署立即生效。</w:t>
      </w:r>
    </w:p>
    <w:p>
      <w:pPr>
        <w:spacing w:line="640" w:lineRule="exact"/>
        <w:ind w:firstLine="480" w:firstLineChars="200"/>
        <w:rPr>
          <w:rFonts w:ascii="宋体" w:hAnsi="宋体" w:eastAsia="宋体"/>
          <w:sz w:val="24"/>
          <w:szCs w:val="24"/>
        </w:rPr>
      </w:pPr>
      <w:r>
        <w:rPr>
          <w:rFonts w:hint="eastAsia" w:ascii="宋体" w:hAnsi="宋体" w:eastAsia="宋体"/>
          <w:b/>
          <w:sz w:val="24"/>
          <w:szCs w:val="24"/>
        </w:rPr>
        <w:t>第八条</w:t>
      </w:r>
      <w:r>
        <w:rPr>
          <w:rFonts w:hint="eastAsia" w:ascii="宋体" w:hAnsi="宋体" w:eastAsia="宋体"/>
          <w:sz w:val="24"/>
          <w:szCs w:val="24"/>
        </w:rPr>
        <w:t>  本合同一式伍份，具有同等法律效力，甲方执叄份、乙方执贰份。 </w:t>
      </w:r>
    </w:p>
    <w:p>
      <w:pPr>
        <w:spacing w:before="468" w:beforeLines="150"/>
        <w:rPr>
          <w:rFonts w:ascii="宋体" w:hAnsi="宋体" w:eastAsia="宋体" w:cs="仿宋_GB2312"/>
          <w:sz w:val="24"/>
          <w:szCs w:val="24"/>
        </w:rPr>
      </w:pPr>
      <w:r>
        <w:rPr>
          <w:rFonts w:hint="eastAsia" w:ascii="宋体" w:hAnsi="宋体" w:eastAsia="宋体" w:cs="仿宋_GB2312"/>
          <w:sz w:val="24"/>
          <w:szCs w:val="24"/>
        </w:rPr>
        <w:t>甲方（盖章）：</w:t>
      </w:r>
      <w:r>
        <w:rPr>
          <w:rFonts w:hint="eastAsia" w:ascii="宋体" w:hAnsi="宋体" w:eastAsia="宋体" w:cs="仿宋_GB2312"/>
          <w:color w:val="FF0000"/>
          <w:sz w:val="24"/>
          <w:szCs w:val="24"/>
        </w:rPr>
        <w:t xml:space="preserve"> </w:t>
      </w:r>
      <w:r>
        <w:rPr>
          <w:rFonts w:ascii="宋体" w:hAnsi="宋体" w:eastAsia="宋体" w:cs="仿宋_GB2312"/>
          <w:color w:val="FF0000"/>
          <w:sz w:val="24"/>
          <w:szCs w:val="24"/>
        </w:rPr>
        <w:t xml:space="preserve">                         </w:t>
      </w:r>
      <w:r>
        <w:rPr>
          <w:rFonts w:hint="eastAsia" w:ascii="宋体" w:hAnsi="宋体" w:eastAsia="宋体" w:cs="仿宋_GB2312"/>
          <w:color w:val="FF0000"/>
          <w:sz w:val="24"/>
          <w:szCs w:val="24"/>
        </w:rPr>
        <w:t xml:space="preserve"> </w:t>
      </w:r>
      <w:r>
        <w:rPr>
          <w:rFonts w:hint="eastAsia" w:ascii="宋体" w:hAnsi="宋体" w:eastAsia="宋体" w:cs="仿宋_GB2312"/>
          <w:sz w:val="24"/>
          <w:szCs w:val="24"/>
        </w:rPr>
        <w:t>乙方（盖章）：</w:t>
      </w:r>
    </w:p>
    <w:p>
      <w:pPr>
        <w:spacing w:before="468" w:beforeLines="150"/>
        <w:rPr>
          <w:rFonts w:ascii="宋体" w:hAnsi="宋体" w:eastAsia="宋体" w:cs="仿宋_GB2312"/>
          <w:color w:val="000000"/>
          <w:sz w:val="24"/>
          <w:szCs w:val="24"/>
        </w:rPr>
      </w:pPr>
      <w:r>
        <w:rPr>
          <w:rFonts w:ascii="宋体" w:hAnsi="宋体" w:eastAsia="宋体" w:cs="仿宋_GB2312"/>
          <w:color w:val="FF0000"/>
          <w:sz w:val="24"/>
          <w:szCs w:val="24"/>
        </w:rPr>
        <w:t xml:space="preserve">       </w:t>
      </w:r>
      <w:r>
        <w:rPr>
          <w:rFonts w:ascii="宋体" w:hAnsi="宋体" w:eastAsia="宋体" w:cs="仿宋_GB2312"/>
          <w:color w:val="000000"/>
          <w:sz w:val="24"/>
          <w:szCs w:val="24"/>
        </w:rPr>
        <w:t xml:space="preserve"> </w:t>
      </w:r>
      <w:r>
        <w:rPr>
          <w:rFonts w:hint="eastAsia" w:ascii="宋体" w:hAnsi="宋体" w:eastAsia="宋体" w:cs="仿宋_GB2312"/>
          <w:color w:val="000000"/>
          <w:sz w:val="24"/>
          <w:szCs w:val="24"/>
        </w:rPr>
        <w:t xml:space="preserve">                       </w:t>
      </w:r>
    </w:p>
    <w:p>
      <w:pPr>
        <w:spacing w:line="560" w:lineRule="exact"/>
        <w:rPr>
          <w:rFonts w:ascii="宋体" w:hAnsi="宋体" w:eastAsia="宋体" w:cs="仿宋_GB2312"/>
          <w:sz w:val="24"/>
          <w:szCs w:val="24"/>
        </w:rPr>
      </w:pPr>
      <w:r>
        <w:rPr>
          <w:rFonts w:hint="eastAsia" w:ascii="宋体" w:hAnsi="宋体" w:eastAsia="宋体" w:cs="仿宋_GB2312"/>
          <w:sz w:val="24"/>
          <w:szCs w:val="24"/>
        </w:rPr>
        <w:t>法定代表人：                         法定代表人：</w:t>
      </w:r>
    </w:p>
    <w:p>
      <w:pPr>
        <w:spacing w:line="360" w:lineRule="auto"/>
        <w:rPr>
          <w:sz w:val="24"/>
          <w:szCs w:val="24"/>
        </w:rPr>
      </w:pPr>
      <w:r>
        <w:rPr>
          <w:rFonts w:hint="eastAsia" w:ascii="宋体" w:hAnsi="宋体" w:eastAsia="宋体" w:cs="仿宋_GB2312"/>
          <w:sz w:val="24"/>
          <w:szCs w:val="24"/>
        </w:rPr>
        <w:t>授权代理人：                         授权代理人：</w:t>
      </w:r>
    </w:p>
    <w:p>
      <w:pPr>
        <w:pStyle w:val="2"/>
        <w:numPr>
          <w:ilvl w:val="0"/>
          <w:numId w:val="1"/>
        </w:numPr>
        <w:jc w:val="center"/>
        <w:rPr>
          <w:rFonts w:ascii="黑体" w:hAnsi="黑体" w:eastAsia="黑体"/>
        </w:rPr>
      </w:pPr>
      <w:bookmarkStart w:id="75" w:name="_Toc494664994"/>
      <w:bookmarkStart w:id="76" w:name="_Toc494721094"/>
      <w:bookmarkStart w:id="77" w:name="_Toc494702264"/>
      <w:bookmarkStart w:id="78" w:name="_Toc533862428"/>
      <w:bookmarkStart w:id="79" w:name="_Toc494745311"/>
      <w:bookmarkStart w:id="80" w:name="_Toc494665944"/>
      <w:bookmarkStart w:id="81" w:name="_Toc494665547"/>
      <w:r>
        <w:rPr>
          <w:rFonts w:hint="eastAsia" w:ascii="黑体" w:hAnsi="黑体" w:eastAsia="黑体"/>
        </w:rPr>
        <w:t>投标文件格式（参考）</w:t>
      </w:r>
      <w:bookmarkEnd w:id="75"/>
      <w:bookmarkEnd w:id="76"/>
      <w:bookmarkEnd w:id="77"/>
      <w:bookmarkEnd w:id="78"/>
      <w:bookmarkEnd w:id="79"/>
      <w:bookmarkEnd w:id="80"/>
      <w:bookmarkEnd w:id="81"/>
    </w:p>
    <w:p>
      <w:pPr>
        <w:spacing w:after="780"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624" w:afterLines="200"/>
        <w:jc w:val="center"/>
        <w:rPr>
          <w:rFonts w:ascii="黑体" w:hAnsi="黑体" w:eastAsia="黑体"/>
          <w:b/>
          <w:sz w:val="144"/>
          <w:szCs w:val="144"/>
        </w:rPr>
      </w:pPr>
    </w:p>
    <w:p>
      <w:pPr>
        <w:pStyle w:val="3"/>
        <w:spacing w:before="340" w:after="480" w:line="360" w:lineRule="auto"/>
        <w:jc w:val="center"/>
        <w:rPr>
          <w:rFonts w:cs="Times New Roman" w:asciiTheme="majorEastAsia" w:hAnsiTheme="majorEastAsia"/>
          <w:bCs w:val="0"/>
          <w:sz w:val="44"/>
          <w:szCs w:val="44"/>
          <w:lang w:val="zh-CN"/>
        </w:rPr>
      </w:pPr>
      <w:bookmarkStart w:id="82" w:name="_Toc494664995"/>
      <w:bookmarkStart w:id="83" w:name="_Toc494665945"/>
      <w:bookmarkStart w:id="84" w:name="_Toc533862429"/>
      <w:bookmarkStart w:id="85" w:name="_Toc494665548"/>
      <w:bookmarkStart w:id="86" w:name="_Toc494745312"/>
      <w:bookmarkStart w:id="87" w:name="_Toc494702265"/>
      <w:bookmarkStart w:id="88" w:name="_Toc494721095"/>
      <w:r>
        <w:rPr>
          <w:rFonts w:hint="eastAsia" w:cs="Times New Roman" w:asciiTheme="majorEastAsia" w:hAnsiTheme="majorEastAsia"/>
          <w:bCs w:val="0"/>
          <w:sz w:val="44"/>
          <w:szCs w:val="44"/>
          <w:lang w:val="zh-CN"/>
        </w:rPr>
        <w:t>第一部分 资格证明文件</w:t>
      </w:r>
      <w:bookmarkEnd w:id="82"/>
      <w:bookmarkEnd w:id="83"/>
      <w:bookmarkEnd w:id="84"/>
      <w:bookmarkEnd w:id="85"/>
      <w:bookmarkEnd w:id="86"/>
      <w:bookmarkEnd w:id="87"/>
      <w:bookmarkEnd w:id="88"/>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9" w:name="_Toc494664996"/>
      <w:bookmarkStart w:id="90" w:name="_Toc494665946"/>
      <w:bookmarkStart w:id="91" w:name="_Toc494665549"/>
      <w:bookmarkStart w:id="92" w:name="_Toc494721096"/>
      <w:bookmarkStart w:id="93" w:name="_Toc494745313"/>
      <w:bookmarkStart w:id="94" w:name="_Toc494702266"/>
      <w:r>
        <w:rPr>
          <w:rFonts w:hint="eastAsia" w:ascii="黑体" w:hAnsi="黑体" w:eastAsia="黑体" w:cs="Times New Roman"/>
          <w:b/>
          <w:sz w:val="36"/>
          <w:szCs w:val="36"/>
        </w:rPr>
        <w:t>资格证明文件组成</w:t>
      </w:r>
      <w:bookmarkEnd w:id="89"/>
      <w:bookmarkEnd w:id="90"/>
      <w:bookmarkEnd w:id="91"/>
      <w:bookmarkEnd w:id="92"/>
      <w:bookmarkEnd w:id="93"/>
      <w:bookmarkEnd w:id="94"/>
    </w:p>
    <w:p>
      <w:pPr>
        <w:autoSpaceDE w:val="0"/>
        <w:autoSpaceDN w:val="0"/>
        <w:adjustRightInd w:val="0"/>
        <w:spacing w:before="156" w:beforeLines="50" w:after="156" w:afterLines="50"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由各投标人根据参考格式要求自行编写。目录清晰、内容详尽、易于理解和审查。具体内容应包括但不限于以下内容：</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9"/>
        </w:numPr>
        <w:autoSpaceDE w:val="0"/>
        <w:autoSpaceDN w:val="0"/>
        <w:adjustRightInd w:val="0"/>
        <w:spacing w:line="360" w:lineRule="auto"/>
        <w:ind w:left="490" w:hanging="370"/>
        <w:rPr>
          <w:rFonts w:ascii="宋体" w:hAnsi="宋体" w:eastAsia="宋体" w:cs="Times New Roman"/>
          <w:b/>
          <w:kern w:val="0"/>
          <w:sz w:val="24"/>
          <w:szCs w:val="32"/>
        </w:rPr>
      </w:pPr>
      <w:r>
        <w:rPr>
          <w:rFonts w:hint="eastAsia" w:ascii="宋体" w:hAnsi="宋体"/>
          <w:kern w:val="0"/>
          <w:sz w:val="24"/>
          <w:szCs w:val="32"/>
        </w:rPr>
        <w:t>应具备《政府采购法》第二十二条第一款规定的条件，提供下列材料：</w:t>
      </w:r>
    </w:p>
    <w:p>
      <w:pPr>
        <w:pStyle w:val="27"/>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7"/>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27"/>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7"/>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7"/>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未被“信用中国”网站(www.creditchina.gov.cn)列入失信被执行人、重大税收违法案件当事人名单、政府采购严重违法失信行为记录名单的网站查询结果页面截图；</w:t>
      </w:r>
      <w:r>
        <w:rPr>
          <w:rFonts w:hint="eastAsia" w:ascii="宋体" w:hAnsi="宋体"/>
          <w:sz w:val="24"/>
          <w:szCs w:val="24"/>
        </w:rPr>
        <w:t>未被“中国政府采购网”（www.ccgp.gov.cn）列入政府采购严重违法失信行为记录名单的</w:t>
      </w:r>
      <w:r>
        <w:rPr>
          <w:rFonts w:hint="eastAsia" w:ascii="宋体" w:hAnsi="宋体" w:eastAsia="宋体" w:cs="Times New Roman"/>
          <w:sz w:val="24"/>
          <w:szCs w:val="24"/>
          <w:lang w:val="zh-CN"/>
        </w:rPr>
        <w:t>网站查询结果页面截图。</w:t>
      </w:r>
    </w:p>
    <w:p>
      <w:pPr>
        <w:numPr>
          <w:ilvl w:val="0"/>
          <w:numId w:val="5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招标文件第一章“投标人资格要求”中有特殊要求的，投标人应提供其符合特殊要求的证明材料或者情况说明；</w:t>
      </w:r>
    </w:p>
    <w:p>
      <w:pPr>
        <w:numPr>
          <w:ilvl w:val="0"/>
          <w:numId w:val="5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不符合联合体投标相关规定和要求的（适用于接受联合体投标的项目）；</w:t>
      </w:r>
    </w:p>
    <w:p>
      <w:pPr>
        <w:numPr>
          <w:ilvl w:val="0"/>
          <w:numId w:val="5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sz w:val="24"/>
          <w:szCs w:val="24"/>
        </w:rPr>
      </w:pPr>
    </w:p>
    <w:p>
      <w:pPr>
        <w:autoSpaceDE w:val="0"/>
        <w:autoSpaceDN w:val="0"/>
        <w:adjustRightInd w:val="0"/>
        <w:spacing w:line="400" w:lineRule="exact"/>
        <w:ind w:left="490"/>
        <w:rPr>
          <w:rFonts w:ascii="Calibri" w:hAnsi="宋体" w:eastAsia="宋体" w:cs="Times New Roman"/>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95" w:name="_Toc494702267"/>
      <w:bookmarkStart w:id="96" w:name="_Toc494745314"/>
      <w:bookmarkStart w:id="97" w:name="_Toc494664997"/>
      <w:bookmarkStart w:id="98" w:name="_Toc494721097"/>
      <w:bookmarkStart w:id="99" w:name="_Toc494665947"/>
      <w:bookmarkStart w:id="100" w:name="_Toc494665550"/>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01" w:name="_Toc533862430"/>
      <w:r>
        <w:rPr>
          <w:rFonts w:hint="eastAsia" w:cs="Times New Roman" w:asciiTheme="majorEastAsia" w:hAnsiTheme="majorEastAsia"/>
          <w:bCs w:val="0"/>
          <w:sz w:val="44"/>
          <w:szCs w:val="44"/>
          <w:lang w:val="zh-CN"/>
        </w:rPr>
        <w:t>第二部分 商务文件</w:t>
      </w:r>
      <w:bookmarkEnd w:id="95"/>
      <w:bookmarkEnd w:id="96"/>
      <w:bookmarkEnd w:id="97"/>
      <w:bookmarkEnd w:id="98"/>
      <w:bookmarkEnd w:id="99"/>
      <w:bookmarkEnd w:id="100"/>
      <w:bookmarkEnd w:id="101"/>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2" w:name="_Toc494665948"/>
      <w:bookmarkStart w:id="103" w:name="_Toc494664998"/>
      <w:bookmarkStart w:id="104" w:name="_Toc494665551"/>
      <w:bookmarkStart w:id="105" w:name="_Toc494721098"/>
      <w:bookmarkStart w:id="106" w:name="_Toc494702268"/>
      <w:bookmarkStart w:id="107" w:name="_Toc494745315"/>
      <w:r>
        <w:rPr>
          <w:rFonts w:hint="eastAsia" w:ascii="黑体" w:hAnsi="黑体" w:eastAsia="黑体" w:cs="Times New Roman"/>
          <w:b/>
          <w:sz w:val="36"/>
          <w:szCs w:val="36"/>
        </w:rPr>
        <w:t>商务文件组成</w:t>
      </w:r>
      <w:bookmarkEnd w:id="102"/>
      <w:bookmarkEnd w:id="103"/>
      <w:bookmarkEnd w:id="104"/>
      <w:bookmarkEnd w:id="105"/>
      <w:bookmarkEnd w:id="106"/>
      <w:bookmarkEnd w:id="107"/>
    </w:p>
    <w:p>
      <w:pPr>
        <w:autoSpaceDE w:val="0"/>
        <w:autoSpaceDN w:val="0"/>
        <w:adjustRightInd w:val="0"/>
        <w:spacing w:before="156" w:beforeLines="50" w:after="156" w:afterLines="50"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制造商中小企业声明函（附件二）；</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中小企业声明函（附件三）；</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残疾人福利性单位声明函（附件四）</w:t>
      </w:r>
    </w:p>
    <w:p>
      <w:pPr>
        <w:numPr>
          <w:ilvl w:val="0"/>
          <w:numId w:val="61"/>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开标一览表（附件五）；</w:t>
      </w:r>
    </w:p>
    <w:p>
      <w:pPr>
        <w:numPr>
          <w:ilvl w:val="0"/>
          <w:numId w:val="61"/>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投标报价明细表（附件六）；</w:t>
      </w:r>
    </w:p>
    <w:p>
      <w:pPr>
        <w:numPr>
          <w:ilvl w:val="0"/>
          <w:numId w:val="61"/>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小型和微型企业、监狱企业、残疾人福利性单位货物汇总表（附件七）；</w:t>
      </w:r>
    </w:p>
    <w:p>
      <w:pPr>
        <w:numPr>
          <w:ilvl w:val="0"/>
          <w:numId w:val="61"/>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投标货物、服务清单（附件八）；</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交纳投标保证金的银行凭证（附件九，适用招标文件有交纳要求的应当提供）；</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法定代表人授权书（附件十）；</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关于不存在招标文件第二章“十一 其他注意事项”中规定禁止情形的书面声明；</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投标人的资格声明（附件十一）；</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项目负责人、技术负责人简历表（附件十二）；</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项目班子成员情况表（附件十三）；</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投标人类似项目业绩表（附件十四）；</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招标文件要求提供或投标人认为需提供的其它资料；</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符合性审查对照表（附件十五）；</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商务要求响应、偏离说明表（附件十六）；</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商务要求“★”号条款响应、偏离说明表（附件十七）</w:t>
      </w:r>
    </w:p>
    <w:p>
      <w:pPr>
        <w:numPr>
          <w:ilvl w:val="0"/>
          <w:numId w:val="61"/>
        </w:numPr>
        <w:autoSpaceDE w:val="0"/>
        <w:autoSpaceDN w:val="0"/>
        <w:adjustRightInd w:val="0"/>
        <w:spacing w:line="360" w:lineRule="auto"/>
        <w:ind w:left="616" w:hanging="496"/>
        <w:rPr>
          <w:rFonts w:ascii="宋体" w:hAnsi="宋体" w:eastAsia="宋体" w:cs="Courier New"/>
          <w:sz w:val="24"/>
          <w:szCs w:val="24"/>
        </w:rPr>
      </w:pPr>
      <w:r>
        <w:rPr>
          <w:rFonts w:hint="eastAsia" w:ascii="宋体" w:hAnsi="宋体" w:eastAsia="宋体" w:cs="Courier New"/>
          <w:sz w:val="24"/>
          <w:szCs w:val="24"/>
        </w:rPr>
        <w:t>商务评议对照表（附件十八）。</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08" w:name="_Toc494721099"/>
      <w:bookmarkStart w:id="109" w:name="_Toc494665949"/>
      <w:bookmarkStart w:id="110" w:name="_Toc494665552"/>
      <w:bookmarkStart w:id="111" w:name="_Toc494702269"/>
      <w:bookmarkStart w:id="112" w:name="_Toc494745316"/>
      <w:bookmarkStart w:id="113" w:name="_Toc494664999"/>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14" w:name="_Toc533862431"/>
      <w:r>
        <w:rPr>
          <w:rFonts w:hint="eastAsia" w:cs="Times New Roman" w:asciiTheme="majorEastAsia" w:hAnsiTheme="majorEastAsia"/>
          <w:bCs w:val="0"/>
          <w:sz w:val="44"/>
          <w:szCs w:val="44"/>
          <w:lang w:val="zh-CN"/>
        </w:rPr>
        <w:t>第三部分 技术、服务文件</w:t>
      </w:r>
      <w:bookmarkEnd w:id="108"/>
      <w:bookmarkEnd w:id="109"/>
      <w:bookmarkEnd w:id="110"/>
      <w:bookmarkEnd w:id="111"/>
      <w:bookmarkEnd w:id="112"/>
      <w:bookmarkEnd w:id="113"/>
      <w:bookmarkEnd w:id="114"/>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5" w:name="_Toc494665950"/>
      <w:bookmarkStart w:id="116" w:name="_Toc494721100"/>
      <w:bookmarkStart w:id="117" w:name="_Toc494665000"/>
      <w:bookmarkStart w:id="118" w:name="_Toc494745317"/>
      <w:bookmarkStart w:id="119" w:name="_Toc494665553"/>
      <w:bookmarkStart w:id="120" w:name="_Toc49470227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5"/>
      <w:bookmarkEnd w:id="116"/>
      <w:bookmarkEnd w:id="117"/>
      <w:bookmarkEnd w:id="118"/>
      <w:bookmarkEnd w:id="119"/>
      <w:bookmarkEnd w:id="120"/>
    </w:p>
    <w:p>
      <w:pPr>
        <w:autoSpaceDE w:val="0"/>
        <w:autoSpaceDN w:val="0"/>
        <w:adjustRightInd w:val="0"/>
        <w:spacing w:before="156" w:beforeLines="50" w:after="156" w:afterLines="50" w:line="360" w:lineRule="auto"/>
        <w:ind w:firstLine="480" w:firstLineChars="200"/>
        <w:rPr>
          <w:rFonts w:ascii="宋体" w:hAnsi="宋体" w:eastAsia="宋体" w:cs="Times New Roman"/>
          <w:kern w:val="0"/>
          <w:sz w:val="24"/>
          <w:szCs w:val="32"/>
        </w:rPr>
      </w:pPr>
      <w:r>
        <w:rPr>
          <w:rFonts w:hint="eastAsia" w:ascii="宋体" w:hAnsi="宋体" w:eastAsia="宋体" w:cs="Times New Roman"/>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2"/>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kern w:val="0"/>
          <w:sz w:val="24"/>
          <w:szCs w:val="32"/>
        </w:rPr>
      </w:pPr>
      <w:r>
        <w:rPr>
          <w:rFonts w:hint="eastAsia" w:ascii="宋体" w:hAnsi="宋体" w:eastAsia="宋体" w:cs="Times New Roman"/>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21" w:name="_Toc494665951"/>
      <w:bookmarkStart w:id="122" w:name="_Toc494702271"/>
      <w:bookmarkStart w:id="123" w:name="_Toc494721101"/>
      <w:bookmarkStart w:id="124" w:name="_Toc494665001"/>
      <w:bookmarkStart w:id="125" w:name="_Toc494745318"/>
      <w:bookmarkStart w:id="126" w:name="_Toc494665554"/>
      <w:bookmarkStart w:id="127" w:name="_Toc238276242"/>
      <w:bookmarkStart w:id="128" w:name="_Toc236473298"/>
      <w:bookmarkStart w:id="129" w:name="_Toc533862432"/>
      <w:r>
        <w:rPr>
          <w:rFonts w:hint="eastAsia" w:ascii="宋体" w:hAnsi="宋体" w:eastAsia="宋体"/>
        </w:rPr>
        <w:t>投标书</w:t>
      </w:r>
      <w:bookmarkEnd w:id="121"/>
      <w:bookmarkEnd w:id="122"/>
      <w:bookmarkEnd w:id="123"/>
      <w:bookmarkEnd w:id="124"/>
      <w:bookmarkEnd w:id="125"/>
      <w:bookmarkEnd w:id="126"/>
      <w:bookmarkEnd w:id="127"/>
      <w:bookmarkEnd w:id="128"/>
      <w:bookmarkEnd w:id="129"/>
    </w:p>
    <w:p>
      <w:pPr>
        <w:spacing w:line="360" w:lineRule="auto"/>
        <w:rPr>
          <w:b/>
          <w:sz w:val="28"/>
          <w:szCs w:val="28"/>
        </w:rPr>
      </w:pPr>
      <w:r>
        <w:rPr>
          <w:rFonts w:hint="eastAsia"/>
          <w:b/>
          <w:sz w:val="28"/>
          <w:szCs w:val="28"/>
        </w:rPr>
        <w:t>采购人（或采购代理机构）：</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依据贵方___</w:t>
      </w:r>
      <w:r>
        <w:rPr>
          <w:rFonts w:hint="eastAsia" w:asciiTheme="minorEastAsia" w:hAnsiTheme="minorEastAsia"/>
          <w:sz w:val="24"/>
          <w:szCs w:val="24"/>
          <w:u w:val="single"/>
        </w:rPr>
        <w:t xml:space="preserve">  _</w:t>
      </w:r>
      <w:r>
        <w:rPr>
          <w:rFonts w:hint="eastAsia" w:asciiTheme="minorEastAsia" w:hAnsiTheme="minorEastAsia"/>
          <w:sz w:val="24"/>
          <w:szCs w:val="24"/>
        </w:rPr>
        <w:t>项目（项目编号：_____）招标的投标邀请，我方代表</w:t>
      </w:r>
      <w:r>
        <w:rPr>
          <w:rFonts w:hint="eastAsia" w:asciiTheme="minorEastAsia" w:hAnsiTheme="minorEastAsia"/>
          <w:sz w:val="24"/>
          <w:szCs w:val="24"/>
          <w:u w:val="single"/>
        </w:rPr>
        <w:t>（姓名、职务）</w:t>
      </w:r>
      <w:r>
        <w:rPr>
          <w:rFonts w:hint="eastAsia" w:asciiTheme="minorEastAsia" w:hAnsiTheme="minorEastAsia"/>
          <w:sz w:val="24"/>
          <w:szCs w:val="24"/>
        </w:rPr>
        <w:t>经正式授权并代表投标人</w:t>
      </w:r>
      <w:r>
        <w:rPr>
          <w:rFonts w:hint="eastAsia" w:asciiTheme="minorEastAsia" w:hAnsiTheme="minorEastAsia"/>
          <w:sz w:val="24"/>
          <w:szCs w:val="24"/>
          <w:u w:val="single"/>
        </w:rPr>
        <w:t>（投标人全称 ）</w:t>
      </w:r>
      <w:r>
        <w:rPr>
          <w:rFonts w:hint="eastAsia" w:asciiTheme="minorEastAsia" w:hAnsiTheme="minorEastAsia"/>
          <w:sz w:val="24"/>
          <w:szCs w:val="24"/>
        </w:rPr>
        <w:t>提交</w:t>
      </w:r>
      <w:r>
        <w:rPr>
          <w:rFonts w:hint="eastAsia" w:ascii="宋体" w:hAnsi="宋体"/>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kern w:val="0"/>
          <w:sz w:val="24"/>
          <w:szCs w:val="24"/>
        </w:rPr>
      </w:pPr>
      <w:r>
        <w:rPr>
          <w:rFonts w:hint="eastAsia" w:ascii="宋体" w:hAnsi="宋体" w:eastAsia="宋体" w:cs="Times New Roman"/>
          <w:b/>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4．投标有效期为自</w:t>
      </w:r>
      <w:r>
        <w:rPr>
          <w:rFonts w:hint="eastAsia" w:ascii="宋体" w:hAnsi="宋体"/>
          <w:kern w:val="0"/>
          <w:sz w:val="24"/>
        </w:rPr>
        <w:t>递交投标文件截止之日</w:t>
      </w:r>
      <w:r>
        <w:rPr>
          <w:rFonts w:hint="eastAsia" w:asciiTheme="minorEastAsia" w:hAnsiTheme="minorEastAsia"/>
          <w:sz w:val="24"/>
          <w:szCs w:val="24"/>
        </w:rPr>
        <w:t>起，共个日历日；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30" w:name="_Toc494665002"/>
      <w:bookmarkStart w:id="131" w:name="_Toc494702272"/>
      <w:bookmarkStart w:id="132" w:name="_Toc494665555"/>
      <w:bookmarkStart w:id="133" w:name="_Toc494665952"/>
      <w:bookmarkStart w:id="134" w:name="_Toc533862433"/>
      <w:bookmarkStart w:id="135" w:name="_Toc494745319"/>
      <w:bookmarkStart w:id="136" w:name="_Toc494721102"/>
      <w:r>
        <w:rPr>
          <w:rFonts w:hint="eastAsia" w:ascii="宋体" w:hAnsi="宋体" w:eastAsia="宋体"/>
        </w:rPr>
        <w:t>制造商中小企业声明函</w:t>
      </w:r>
      <w:bookmarkEnd w:id="130"/>
      <w:bookmarkEnd w:id="131"/>
      <w:bookmarkEnd w:id="132"/>
      <w:bookmarkEnd w:id="133"/>
      <w:bookmarkEnd w:id="134"/>
      <w:bookmarkEnd w:id="135"/>
      <w:bookmarkEnd w:id="13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采购人（或采购代理机构）：</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eastAsia="宋体" w:cs="Times New Roman"/>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2.本公司授权</w:t>
      </w:r>
      <w:r>
        <w:rPr>
          <w:rFonts w:hint="eastAsia" w:ascii="宋体" w:hAnsi="宋体" w:eastAsia="宋体" w:cs="Times New Roman"/>
          <w:sz w:val="24"/>
          <w:szCs w:val="21"/>
          <w:u w:val="single"/>
          <w:lang w:val="zh-CN"/>
        </w:rPr>
        <w:t xml:space="preserve">  （投标人）  </w:t>
      </w:r>
      <w:r>
        <w:rPr>
          <w:rFonts w:hint="eastAsia" w:ascii="宋体" w:hAnsi="宋体" w:eastAsia="宋体" w:cs="Times New Roman"/>
          <w:sz w:val="24"/>
          <w:szCs w:val="21"/>
          <w:lang w:val="zh-CN"/>
        </w:rPr>
        <w:t>参加_</w:t>
      </w:r>
      <w:r>
        <w:rPr>
          <w:rFonts w:hint="eastAsia" w:ascii="宋体" w:hAnsi="宋体" w:eastAsia="宋体" w:cs="Times New Roman"/>
          <w:sz w:val="24"/>
          <w:szCs w:val="21"/>
          <w:u w:val="single"/>
          <w:lang w:val="zh-CN"/>
        </w:rPr>
        <w:t>_（采购人）_</w:t>
      </w:r>
      <w:r>
        <w:rPr>
          <w:rFonts w:hint="eastAsia" w:ascii="宋体" w:hAnsi="宋体" w:eastAsia="宋体" w:cs="Times New Roman"/>
          <w:sz w:val="24"/>
          <w:szCs w:val="21"/>
          <w:lang w:val="zh-CN"/>
        </w:rPr>
        <w:t>的__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项目（项目编号：_____）采购活动提供本企业制造的货物。本条所称货物不包括使用大型企业注册商标的货物。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r>
    </w:tbl>
    <w:p>
      <w:pPr>
        <w:spacing w:before="156"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8"/>
        <w:spacing w:line="360" w:lineRule="auto"/>
        <w:ind w:left="960" w:hanging="960" w:hangingChars="400"/>
        <w:jc w:val="left"/>
        <w:rPr>
          <w:rFonts w:hAnsi="宋体" w:cs="Corbel"/>
          <w:sz w:val="24"/>
        </w:rPr>
      </w:pPr>
      <w:r>
        <w:rPr>
          <w:rFonts w:hint="eastAsia" w:hAnsi="宋体" w:eastAsia="宋体" w:cs="Times New Roman"/>
          <w:bCs/>
          <w:sz w:val="24"/>
          <w:szCs w:val="24"/>
        </w:rPr>
        <w:t>说明：</w:t>
      </w:r>
      <w:r>
        <w:rPr>
          <w:rFonts w:hint="eastAsia" w:hAnsi="宋体" w:cs="Corbel"/>
          <w:sz w:val="24"/>
        </w:rPr>
        <w:t>1、投标人所投货物为自己制造的，也应按本声明函格式填写。</w:t>
      </w:r>
    </w:p>
    <w:p>
      <w:pPr>
        <w:pStyle w:val="8"/>
        <w:spacing w:line="360" w:lineRule="auto"/>
        <w:ind w:left="958" w:leftChars="342" w:hanging="240" w:hangingChars="100"/>
        <w:jc w:val="left"/>
        <w:rPr>
          <w:rFonts w:hAnsi="宋体"/>
          <w:sz w:val="24"/>
        </w:rPr>
      </w:pPr>
      <w:r>
        <w:rPr>
          <w:rFonts w:hint="eastAsia" w:hAnsi="宋体"/>
          <w:sz w:val="24"/>
        </w:rPr>
        <w:t>2、组成联合体的大中型企业和其他自然人、法人或者其他组织，与小型、微型企业之间不得存在投资关系。</w:t>
      </w:r>
    </w:p>
    <w:p>
      <w:pPr>
        <w:pStyle w:val="8"/>
        <w:spacing w:line="360" w:lineRule="auto"/>
        <w:ind w:left="958" w:leftChars="342" w:hanging="240" w:hangingChars="100"/>
        <w:jc w:val="left"/>
        <w:rPr>
          <w:rFonts w:hAnsi="宋体" w:eastAsia="宋体" w:cs="Times New Roman"/>
          <w:bCs/>
          <w:sz w:val="24"/>
          <w:szCs w:val="24"/>
        </w:rPr>
      </w:pPr>
      <w:r>
        <w:rPr>
          <w:rFonts w:hint="eastAsia" w:hAnsi="宋体"/>
          <w:sz w:val="24"/>
        </w:rPr>
        <w:t>3、如以联合体方式参与本项目投标的供应商，则应由联合体双方签字盖章。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37" w:name="_Toc494665003"/>
      <w:bookmarkStart w:id="138" w:name="_Toc494665953"/>
      <w:bookmarkStart w:id="139" w:name="_Toc494665556"/>
      <w:bookmarkStart w:id="140" w:name="_Toc494702273"/>
      <w:bookmarkStart w:id="141" w:name="_Toc494721103"/>
      <w:bookmarkStart w:id="142" w:name="_Toc533862434"/>
      <w:bookmarkStart w:id="143" w:name="_Toc456264006"/>
      <w:bookmarkStart w:id="144" w:name="_Toc494745320"/>
      <w:r>
        <w:rPr>
          <w:rFonts w:hint="eastAsia" w:ascii="宋体" w:hAnsi="宋体" w:eastAsia="宋体"/>
        </w:rPr>
        <w:t>中小企业声明函</w:t>
      </w:r>
      <w:bookmarkEnd w:id="137"/>
      <w:bookmarkEnd w:id="138"/>
      <w:bookmarkEnd w:id="139"/>
      <w:bookmarkEnd w:id="140"/>
      <w:bookmarkEnd w:id="141"/>
      <w:bookmarkEnd w:id="142"/>
      <w:bookmarkEnd w:id="143"/>
      <w:bookmarkEnd w:id="144"/>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采购人（或采购代理机构）：</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1.根据《工业和信息化部、国家统计局、国家发展和改革委员会、财政部关于印发中小企业划型标准规定的通知》（工信部联企业〔2011〕300号）规定的划分标准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eastAsia="宋体" w:cs="Times New Roman"/>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2.本公司参加_</w:t>
      </w:r>
      <w:r>
        <w:rPr>
          <w:rFonts w:hint="eastAsia" w:ascii="宋体" w:hAnsi="宋体" w:eastAsia="宋体" w:cs="Times New Roman"/>
          <w:sz w:val="24"/>
          <w:szCs w:val="21"/>
          <w:u w:val="single"/>
          <w:lang w:val="zh-CN"/>
        </w:rPr>
        <w:t>_（采购人）</w:t>
      </w:r>
      <w:r>
        <w:rPr>
          <w:rFonts w:hint="eastAsia" w:ascii="宋体" w:hAnsi="宋体" w:eastAsia="宋体" w:cs="Times New Roman"/>
          <w:sz w:val="24"/>
          <w:szCs w:val="21"/>
          <w:lang w:val="zh-CN"/>
        </w:rPr>
        <w:t>的__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项目（项目编号：______）采购活动由本企业承担工程（或提供服务）。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p>
    <w:p>
      <w:pPr>
        <w:spacing w:line="240" w:lineRule="atLeast"/>
        <w:ind w:left="-48" w:leftChars="-23" w:right="-65" w:rightChars="-31"/>
        <w:jc w:val="center"/>
        <w:rPr>
          <w:rFonts w:ascii="宋体" w:hAnsi="宋体" w:eastAsia="宋体" w:cs="Times New Roman"/>
          <w:b/>
          <w:sz w:val="30"/>
          <w:szCs w:val="30"/>
          <w:lang w:val="zh-CN"/>
        </w:rPr>
      </w:pPr>
      <w:bookmarkStart w:id="145" w:name="_Toc476153619"/>
      <w:r>
        <w:rPr>
          <w:rFonts w:hint="eastAsia" w:ascii="宋体" w:hAnsi="宋体" w:eastAsia="宋体" w:cs="Times New Roman"/>
          <w:b/>
          <w:sz w:val="30"/>
          <w:szCs w:val="30"/>
          <w:lang w:val="zh-CN"/>
        </w:rPr>
        <w:t>中小企业划型标准</w:t>
      </w:r>
      <w:bookmarkEnd w:id="145"/>
    </w:p>
    <w:tbl>
      <w:tblPr>
        <w:tblStyle w:val="18"/>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r>
        <w:br w:type="page"/>
      </w:r>
    </w:p>
    <w:p>
      <w:pPr>
        <w:sectPr>
          <w:pgSz w:w="16838" w:h="11906" w:orient="landscape"/>
          <w:pgMar w:top="1191" w:right="1134" w:bottom="1191" w:left="1134" w:header="851" w:footer="851" w:gutter="0"/>
          <w:cols w:space="425" w:num="1"/>
          <w:docGrid w:type="lines" w:linePitch="312" w:charSpace="0"/>
        </w:sectPr>
      </w:pPr>
    </w:p>
    <w:p>
      <w:pPr>
        <w:pStyle w:val="3"/>
        <w:numPr>
          <w:ilvl w:val="0"/>
          <w:numId w:val="63"/>
        </w:numPr>
        <w:spacing w:before="100" w:beforeAutospacing="1" w:after="156" w:afterLines="50" w:line="360" w:lineRule="auto"/>
        <w:ind w:left="1288" w:hanging="1288"/>
        <w:rPr>
          <w:rFonts w:ascii="宋体" w:hAnsi="宋体" w:eastAsia="宋体"/>
        </w:rPr>
      </w:pPr>
      <w:bookmarkStart w:id="146" w:name="_Toc494665557"/>
      <w:bookmarkStart w:id="147" w:name="_Toc494702274"/>
      <w:bookmarkStart w:id="148" w:name="_Toc494745321"/>
      <w:bookmarkStart w:id="149" w:name="_Toc494665004"/>
      <w:bookmarkStart w:id="150" w:name="_Toc494721104"/>
      <w:bookmarkStart w:id="151" w:name="_Toc494665954"/>
      <w:bookmarkStart w:id="152" w:name="_Toc533862435"/>
      <w:r>
        <w:rPr>
          <w:rFonts w:hint="eastAsia" w:ascii="宋体" w:hAnsi="宋体" w:eastAsia="宋体"/>
        </w:rPr>
        <w:t>残疾人福利性单位声明函</w:t>
      </w:r>
      <w:bookmarkEnd w:id="146"/>
      <w:bookmarkEnd w:id="147"/>
      <w:bookmarkEnd w:id="148"/>
      <w:bookmarkEnd w:id="149"/>
      <w:bookmarkEnd w:id="150"/>
      <w:bookmarkEnd w:id="151"/>
      <w:bookmarkEnd w:id="152"/>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采购人（或采购代理机构）：</w:t>
      </w:r>
    </w:p>
    <w:p>
      <w:pPr>
        <w:pStyle w:val="8"/>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pStyle w:val="8"/>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sz w:val="24"/>
        </w:rPr>
      </w:pPr>
      <w:r>
        <w:rPr>
          <w:rFonts w:hint="eastAsia" w:ascii="宋体" w:hAnsi="宋体"/>
          <w:bCs/>
          <w:sz w:val="24"/>
          <w:lang w:val="zh-CN"/>
        </w:rPr>
        <w:t>2</w:t>
      </w:r>
      <w:r>
        <w:rPr>
          <w:rFonts w:hint="eastAsia" w:ascii="宋体" w:hAnsi="宋体"/>
          <w:bCs/>
          <w:sz w:val="24"/>
        </w:rPr>
        <w:t>.由本单位制造的货物清单见下表：</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sz w:val="24"/>
          <w:szCs w:val="24"/>
        </w:rPr>
      </w:pPr>
    </w:p>
    <w:p>
      <w:pPr>
        <w:pStyle w:val="8"/>
        <w:spacing w:line="360" w:lineRule="auto"/>
        <w:jc w:val="left"/>
        <w:rPr>
          <w:rFonts w:hAnsi="宋体" w:cs="Corbel"/>
          <w:sz w:val="24"/>
        </w:rPr>
      </w:pPr>
      <w:r>
        <w:rPr>
          <w:rFonts w:hint="eastAsia" w:hAnsi="宋体" w:eastAsia="宋体" w:cs="Times New Roman"/>
          <w:bCs/>
          <w:sz w:val="24"/>
          <w:szCs w:val="24"/>
        </w:rPr>
        <w:t>说明：</w:t>
      </w:r>
      <w:r>
        <w:rPr>
          <w:rFonts w:hint="eastAsia" w:hAnsi="宋体" w:cs="Corbel"/>
          <w:sz w:val="24"/>
        </w:rPr>
        <w:t>1、投标人所投货物为自己制造的，也应按本声明函格式填写。</w:t>
      </w:r>
    </w:p>
    <w:p>
      <w:pPr>
        <w:pStyle w:val="8"/>
        <w:spacing w:line="360" w:lineRule="auto"/>
        <w:ind w:left="1078" w:leftChars="342" w:hanging="360" w:hangingChars="150"/>
        <w:jc w:val="left"/>
        <w:rPr>
          <w:rFonts w:hAnsi="宋体"/>
          <w:sz w:val="24"/>
        </w:rPr>
      </w:pPr>
      <w:r>
        <w:rPr>
          <w:rFonts w:hint="eastAsia" w:hAnsi="宋体"/>
          <w:sz w:val="24"/>
        </w:rPr>
        <w:t>2、组成联合体的大中型企业和其他自然人、法人或者其他组织，与残疾人福利性单位之间不得存在投资关系。</w:t>
      </w:r>
    </w:p>
    <w:p>
      <w:pPr>
        <w:pStyle w:val="8"/>
        <w:spacing w:line="360" w:lineRule="auto"/>
        <w:ind w:left="1078" w:leftChars="342" w:hanging="360" w:hangingChars="150"/>
        <w:jc w:val="left"/>
        <w:rPr>
          <w:rFonts w:hAnsi="宋体"/>
          <w:sz w:val="24"/>
        </w:rPr>
      </w:pPr>
      <w:r>
        <w:rPr>
          <w:rFonts w:hint="eastAsia" w:hAnsi="宋体"/>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312"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采购人（或采购代理机构）：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本单位郑重声明，根据《财政部 民政部 中国残疾人联合会关于促进残疾人就业政府采购政策的通知》（财库〔2017〕141号）的规定，本单位为符合条件的残疾人福利性单位</w:t>
      </w:r>
      <w:r>
        <w:rPr>
          <w:rFonts w:hint="eastAsia" w:hAnsi="宋体"/>
          <w:sz w:val="24"/>
        </w:rPr>
        <w:t>（详见“残疾人福利性单位应当满足的条件”）</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sz w:val="24"/>
          <w:szCs w:val="21"/>
        </w:rPr>
      </w:pPr>
      <w:r>
        <w:rPr>
          <w:rFonts w:hint="eastAsia" w:ascii="宋体" w:hAnsi="宋体" w:cs="Courier New"/>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sz w:val="24"/>
          <w:szCs w:val="24"/>
        </w:rPr>
      </w:pPr>
      <w:r>
        <w:rPr>
          <w:rFonts w:hint="eastAsia" w:ascii="宋体" w:hAnsi="宋体" w:cs="Courier New"/>
          <w:sz w:val="24"/>
          <w:szCs w:val="21"/>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53" w:name="_Toc494721105"/>
      <w:bookmarkStart w:id="154" w:name="_Toc494577410"/>
      <w:bookmarkStart w:id="155" w:name="_Toc494665558"/>
      <w:bookmarkStart w:id="156" w:name="_Toc494665005"/>
      <w:bookmarkStart w:id="157" w:name="_Toc494665955"/>
      <w:bookmarkStart w:id="158" w:name="_Toc533862436"/>
      <w:bookmarkStart w:id="159" w:name="_Toc494745322"/>
      <w:bookmarkStart w:id="160" w:name="_Toc494702275"/>
      <w:r>
        <w:rPr>
          <w:rFonts w:hint="eastAsia" w:ascii="宋体" w:hAnsi="宋体" w:eastAsia="宋体"/>
        </w:rPr>
        <w:t>开标一览表</w:t>
      </w:r>
      <w:bookmarkEnd w:id="153"/>
      <w:bookmarkEnd w:id="154"/>
      <w:bookmarkEnd w:id="155"/>
      <w:bookmarkEnd w:id="156"/>
      <w:bookmarkEnd w:id="157"/>
      <w:bookmarkEnd w:id="158"/>
      <w:bookmarkEnd w:id="159"/>
      <w:bookmarkEnd w:id="160"/>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5"/>
        <w:gridCol w:w="189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55" w:type="dxa"/>
            <w:tcBorders>
              <w:top w:val="double" w:color="auto" w:sz="4" w:space="0"/>
              <w:left w:val="double" w:color="auto" w:sz="4" w:space="0"/>
              <w:bottom w:val="single" w:color="auto" w:sz="4" w:space="0"/>
              <w:right w:val="double" w:color="auto" w:sz="4" w:space="0"/>
            </w:tcBorders>
            <w:shd w:val="clear" w:color="auto" w:fill="EEECE1"/>
            <w:vAlign w:val="center"/>
          </w:tcPr>
          <w:p>
            <w:pPr>
              <w:spacing w:line="360" w:lineRule="auto"/>
              <w:ind w:right="-65" w:rightChars="-31"/>
              <w:jc w:val="center"/>
              <w:rPr>
                <w:rFonts w:ascii="宋体" w:hAnsi="宋体" w:cs="宋体"/>
                <w:kern w:val="0"/>
                <w:sz w:val="24"/>
              </w:rPr>
            </w:pPr>
            <w:r>
              <w:rPr>
                <w:rFonts w:ascii="宋体" w:hAnsi="宋体" w:cs="宋体"/>
                <w:kern w:val="0"/>
                <w:sz w:val="24"/>
              </w:rPr>
              <w:t>投标报价</w:t>
            </w:r>
          </w:p>
        </w:tc>
        <w:tc>
          <w:tcPr>
            <w:tcW w:w="1892" w:type="dxa"/>
            <w:tcBorders>
              <w:top w:val="double" w:color="auto" w:sz="4" w:space="0"/>
              <w:left w:val="double" w:color="auto" w:sz="4" w:space="0"/>
              <w:bottom w:val="single" w:color="auto" w:sz="4" w:space="0"/>
              <w:right w:val="double" w:color="auto" w:sz="4" w:space="0"/>
            </w:tcBorders>
            <w:shd w:val="clear" w:color="auto" w:fill="EEECE1"/>
            <w:vAlign w:val="center"/>
          </w:tcPr>
          <w:p>
            <w:pPr>
              <w:spacing w:line="360" w:lineRule="auto"/>
              <w:ind w:right="-65" w:rightChars="-31"/>
              <w:jc w:val="center"/>
              <w:rPr>
                <w:rFonts w:ascii="宋体" w:hAnsi="宋体" w:cs="宋体"/>
                <w:kern w:val="0"/>
                <w:sz w:val="24"/>
              </w:rPr>
            </w:pPr>
            <w:r>
              <w:rPr>
                <w:rFonts w:ascii="宋体" w:hAnsi="宋体" w:cs="宋体"/>
                <w:kern w:val="0"/>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7655" w:type="dxa"/>
            <w:tcBorders>
              <w:top w:val="single" w:color="auto" w:sz="4" w:space="0"/>
              <w:left w:val="double" w:color="auto" w:sz="4" w:space="0"/>
              <w:right w:val="double" w:color="auto" w:sz="4" w:space="0"/>
            </w:tcBorders>
            <w:vAlign w:val="center"/>
          </w:tcPr>
          <w:p>
            <w:pPr>
              <w:spacing w:after="120" w:line="400" w:lineRule="atLeast"/>
              <w:ind w:right="-65" w:rightChars="-31" w:firstLine="480" w:firstLineChars="200"/>
              <w:rPr>
                <w:rFonts w:ascii="宋体" w:hAnsi="宋体" w:eastAsia="宋体" w:cs="宋体"/>
                <w:kern w:val="0"/>
                <w:sz w:val="24"/>
                <w:szCs w:val="24"/>
              </w:rPr>
            </w:pPr>
            <w:r>
              <w:rPr>
                <w:rFonts w:hint="eastAsia" w:ascii="宋体" w:hAnsi="宋体" w:eastAsia="宋体" w:cs="宋体"/>
                <w:kern w:val="0"/>
                <w:sz w:val="24"/>
                <w:szCs w:val="24"/>
              </w:rPr>
              <w:t>小写：</w:t>
            </w:r>
          </w:p>
          <w:p>
            <w:pPr>
              <w:spacing w:after="120" w:line="400" w:lineRule="atLeast"/>
              <w:ind w:right="-65" w:rightChars="-31" w:firstLine="480" w:firstLineChars="200"/>
              <w:rPr>
                <w:rFonts w:ascii="宋体" w:hAnsi="宋体" w:eastAsia="宋体" w:cs="宋体"/>
                <w:kern w:val="0"/>
                <w:sz w:val="24"/>
                <w:szCs w:val="24"/>
              </w:rPr>
            </w:pPr>
            <w:r>
              <w:rPr>
                <w:rFonts w:hint="eastAsia" w:ascii="宋体" w:hAnsi="宋体" w:eastAsia="宋体" w:cs="宋体"/>
                <w:kern w:val="0"/>
                <w:sz w:val="24"/>
                <w:szCs w:val="24"/>
              </w:rPr>
              <w:t>大写：</w:t>
            </w:r>
          </w:p>
          <w:p>
            <w:pPr>
              <w:spacing w:after="120" w:line="400" w:lineRule="atLeast"/>
              <w:ind w:right="-65" w:rightChars="-31" w:firstLine="480" w:firstLineChars="200"/>
              <w:rPr>
                <w:rFonts w:ascii="宋体" w:hAnsi="宋体" w:eastAsia="宋体" w:cs="宋体"/>
                <w:kern w:val="0"/>
                <w:sz w:val="24"/>
                <w:szCs w:val="24"/>
              </w:rPr>
            </w:pPr>
            <w:r>
              <w:rPr>
                <w:rFonts w:hint="eastAsia" w:ascii="宋体" w:hAnsi="宋体" w:eastAsia="宋体" w:cs="宋体"/>
                <w:kern w:val="0"/>
                <w:sz w:val="24"/>
                <w:szCs w:val="24"/>
              </w:rPr>
              <w:t>（单位：万元）</w:t>
            </w:r>
          </w:p>
        </w:tc>
        <w:tc>
          <w:tcPr>
            <w:tcW w:w="1892" w:type="dxa"/>
            <w:tcBorders>
              <w:top w:val="single" w:color="auto" w:sz="4" w:space="0"/>
              <w:left w:val="double" w:color="auto" w:sz="4" w:space="0"/>
              <w:right w:val="double" w:color="auto" w:sz="4" w:space="0"/>
            </w:tcBorders>
            <w:vAlign w:val="center"/>
          </w:tcPr>
          <w:p>
            <w:pPr>
              <w:spacing w:line="240" w:lineRule="atLeast"/>
              <w:ind w:left="-48" w:leftChars="-23" w:right="-65" w:rightChars="-31" w:firstLine="240" w:firstLineChars="100"/>
              <w:jc w:val="center"/>
              <w:rPr>
                <w:rFonts w:ascii="宋体" w:hAnsi="宋体" w:eastAsia="宋体" w:cs="宋体"/>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61" w:name="_Toc494721106"/>
      <w:bookmarkStart w:id="162" w:name="_Toc494665956"/>
      <w:bookmarkStart w:id="163" w:name="_Toc494665559"/>
      <w:bookmarkStart w:id="164" w:name="_Toc533862437"/>
      <w:bookmarkStart w:id="165" w:name="_Toc494702276"/>
      <w:bookmarkStart w:id="166" w:name="_Toc494745323"/>
      <w:bookmarkStart w:id="167" w:name="_Toc494577411"/>
      <w:bookmarkStart w:id="168" w:name="_Toc494665006"/>
      <w:r>
        <w:rPr>
          <w:rFonts w:hint="eastAsia" w:ascii="宋体" w:hAnsi="宋体" w:eastAsia="宋体"/>
        </w:rPr>
        <w:t>投标报价明细表</w:t>
      </w:r>
      <w:bookmarkEnd w:id="161"/>
      <w:bookmarkEnd w:id="162"/>
      <w:bookmarkEnd w:id="163"/>
      <w:bookmarkEnd w:id="164"/>
      <w:bookmarkEnd w:id="165"/>
      <w:bookmarkEnd w:id="166"/>
      <w:bookmarkEnd w:id="167"/>
      <w:bookmarkEnd w:id="168"/>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kern w:val="0"/>
                <w:sz w:val="24"/>
              </w:rPr>
            </w:pPr>
            <w:r>
              <w:rPr>
                <w:rFonts w:hint="eastAsia" w:ascii="宋体" w:hAnsi="宋体"/>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kern w:val="0"/>
                <w:sz w:val="24"/>
              </w:rPr>
            </w:pPr>
            <w:r>
              <w:rPr>
                <w:rFonts w:hint="eastAsia" w:ascii="宋体" w:hAnsi="宋体" w:cs="宋体"/>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2．报价明细表合计应与《开标一览表》中的投标总报价一致。</w:t>
      </w:r>
    </w:p>
    <w:p>
      <w:pPr>
        <w:spacing w:line="360" w:lineRule="auto"/>
        <w:ind w:left="1061" w:leftChars="339" w:hanging="350" w:hangingChars="146"/>
        <w:jc w:val="left"/>
        <w:rPr>
          <w:rFonts w:ascii="宋体" w:hAnsi="宋体"/>
          <w:sz w:val="24"/>
        </w:rPr>
      </w:pPr>
      <w:r>
        <w:rPr>
          <w:rFonts w:hint="eastAsia" w:ascii="宋体" w:hAnsi="宋体"/>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288" w:hanging="1288"/>
        <w:rPr>
          <w:rFonts w:ascii="宋体" w:hAnsi="宋体" w:eastAsia="宋体"/>
          <w:sz w:val="31"/>
          <w:szCs w:val="31"/>
        </w:rPr>
      </w:pPr>
      <w:bookmarkStart w:id="169" w:name="_Toc533862438"/>
      <w:bookmarkStart w:id="170" w:name="_Toc494702277"/>
      <w:bookmarkStart w:id="171" w:name="_Toc494665007"/>
      <w:bookmarkStart w:id="172" w:name="_Toc494665560"/>
      <w:bookmarkStart w:id="173" w:name="_Toc494665957"/>
      <w:bookmarkStart w:id="174" w:name="_Toc494577412"/>
      <w:bookmarkStart w:id="175" w:name="_Toc494745324"/>
      <w:bookmarkStart w:id="176" w:name="_Toc494721107"/>
      <w:r>
        <w:rPr>
          <w:rFonts w:hint="eastAsia" w:ascii="宋体" w:hAnsi="宋体" w:eastAsia="宋体"/>
          <w:sz w:val="31"/>
          <w:szCs w:val="31"/>
        </w:rPr>
        <w:t>小型和微型企业、监狱企业、残疾人福利性单位货物汇总表</w:t>
      </w:r>
      <w:bookmarkEnd w:id="169"/>
      <w:bookmarkEnd w:id="170"/>
      <w:bookmarkEnd w:id="171"/>
      <w:bookmarkEnd w:id="172"/>
      <w:bookmarkEnd w:id="173"/>
      <w:bookmarkEnd w:id="174"/>
      <w:bookmarkEnd w:id="175"/>
      <w:bookmarkEnd w:id="17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1</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2</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3</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4</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5</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6</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7</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w:t>
            </w:r>
          </w:p>
        </w:tc>
        <w:tc>
          <w:tcPr>
            <w:tcW w:w="1552" w:type="dxa"/>
          </w:tcPr>
          <w:p>
            <w:pPr>
              <w:tabs>
                <w:tab w:val="left" w:pos="0"/>
                <w:tab w:val="left" w:pos="56"/>
              </w:tabs>
              <w:adjustRightInd w:val="0"/>
              <w:snapToGrid w:val="0"/>
              <w:jc w:val="center"/>
              <w:rPr>
                <w:rFonts w:ascii="宋体" w:hAnsi="宋体" w:cs="宋体"/>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77" w:name="_Toc494721108"/>
      <w:bookmarkStart w:id="178" w:name="_Toc533862439"/>
      <w:bookmarkStart w:id="179" w:name="_Toc494745325"/>
      <w:bookmarkStart w:id="180" w:name="_Toc494702278"/>
      <w:bookmarkStart w:id="181" w:name="_Toc494665958"/>
      <w:bookmarkStart w:id="182" w:name="_Toc494665561"/>
      <w:bookmarkStart w:id="183" w:name="_Toc494665008"/>
      <w:r>
        <w:rPr>
          <w:rFonts w:hint="eastAsia" w:ascii="宋体" w:hAnsi="宋体" w:eastAsia="宋体"/>
        </w:rPr>
        <w:t>投标货物（工程或服务）清单</w:t>
      </w:r>
      <w:bookmarkEnd w:id="177"/>
      <w:bookmarkEnd w:id="178"/>
      <w:bookmarkEnd w:id="179"/>
      <w:bookmarkEnd w:id="180"/>
      <w:bookmarkEnd w:id="181"/>
      <w:bookmarkEnd w:id="182"/>
      <w:bookmarkEnd w:id="183"/>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kern w:val="0"/>
                <w:sz w:val="24"/>
              </w:rPr>
            </w:pPr>
            <w:r>
              <w:rPr>
                <w:rFonts w:hint="eastAsia" w:ascii="宋体" w:hAnsi="宋体" w:cs="宋体"/>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kern w:val="0"/>
                <w:sz w:val="24"/>
              </w:rPr>
            </w:pPr>
            <w:r>
              <w:rPr>
                <w:rFonts w:hint="eastAsia" w:ascii="宋体" w:hAnsi="宋体" w:cs="宋体"/>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84" w:name="_Toc494665562"/>
      <w:bookmarkStart w:id="185" w:name="_Toc494745326"/>
      <w:bookmarkStart w:id="186" w:name="_Toc494665959"/>
      <w:bookmarkStart w:id="187" w:name="_Toc494665009"/>
      <w:bookmarkStart w:id="188" w:name="_Toc494721109"/>
      <w:bookmarkStart w:id="189" w:name="_Toc494702279"/>
      <w:bookmarkStart w:id="190" w:name="_Toc533862440"/>
      <w:r>
        <w:rPr>
          <w:rFonts w:hint="eastAsia" w:ascii="宋体" w:hAnsi="宋体" w:eastAsia="宋体"/>
        </w:rPr>
        <w:t>交纳投标保证金的银行凭证</w:t>
      </w:r>
      <w:bookmarkEnd w:id="184"/>
      <w:bookmarkEnd w:id="185"/>
      <w:bookmarkEnd w:id="186"/>
      <w:bookmarkEnd w:id="187"/>
      <w:bookmarkEnd w:id="188"/>
      <w:bookmarkEnd w:id="189"/>
      <w:r>
        <w:rPr>
          <w:rFonts w:hint="eastAsia" w:ascii="宋体" w:hAnsi="宋体" w:eastAsia="宋体"/>
          <w:color w:val="FF0000"/>
        </w:rPr>
        <w:t>（本项目不需提供）</w:t>
      </w:r>
      <w:bookmarkEnd w:id="190"/>
    </w:p>
    <w:p>
      <w:pPr>
        <w:spacing w:line="480" w:lineRule="auto"/>
        <w:rPr>
          <w:rFonts w:ascii="宋体" w:hAnsi="宋体" w:cs="Courier New"/>
          <w:b/>
          <w:sz w:val="28"/>
          <w:szCs w:val="28"/>
        </w:rPr>
      </w:pPr>
      <w:r>
        <w:rPr>
          <w:rFonts w:hint="eastAsia"/>
          <w:b/>
          <w:sz w:val="28"/>
          <w:szCs w:val="28"/>
        </w:rPr>
        <w:t>采购人（或采购代理机构）</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项目（项目编号：______）的政府采购活动。按招标文件的规定，已递交人民币（大写）__</w:t>
      </w:r>
      <w:r>
        <w:rPr>
          <w:rFonts w:hint="eastAsia" w:ascii="宋体" w:hAnsi="宋体" w:eastAsia="宋体" w:cs="Times New Roman"/>
          <w:sz w:val="24"/>
          <w:szCs w:val="21"/>
          <w:u w:val="single"/>
          <w:lang w:val="zh-CN"/>
        </w:rPr>
        <w:t>__</w:t>
      </w:r>
      <w:r>
        <w:rPr>
          <w:rFonts w:hint="eastAsia" w:ascii="宋体" w:hAnsi="宋体" w:eastAsia="宋体" w:cs="Times New Roman"/>
          <w:sz w:val="24"/>
          <w:szCs w:val="21"/>
          <w:lang w:val="zh-CN"/>
        </w:rPr>
        <w:t>万元的投标保证金。</w:t>
      </w:r>
    </w:p>
    <w:tbl>
      <w:tblPr>
        <w:tblStyle w:val="18"/>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8"/>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说明：投标人应认真填写银行信息，与转帐或电汇银行凭证的相关信息一致，采购代理机构将依据此凭证信息查退投标保证金。</w:t>
      </w:r>
    </w:p>
    <w:p>
      <w:r>
        <w:br w:type="page"/>
      </w:r>
    </w:p>
    <w:p>
      <w:pPr>
        <w:pStyle w:val="3"/>
        <w:numPr>
          <w:ilvl w:val="0"/>
          <w:numId w:val="63"/>
        </w:numPr>
        <w:spacing w:before="100" w:beforeAutospacing="1" w:after="156" w:afterLines="50" w:line="360" w:lineRule="auto"/>
        <w:ind w:left="1288" w:hanging="1288"/>
        <w:rPr>
          <w:rFonts w:ascii="宋体" w:hAnsi="宋体" w:eastAsia="宋体"/>
        </w:rPr>
      </w:pPr>
      <w:bookmarkStart w:id="191" w:name="_Toc494721110"/>
      <w:bookmarkStart w:id="192" w:name="_Toc494665960"/>
      <w:bookmarkStart w:id="193" w:name="_Toc494665010"/>
      <w:bookmarkStart w:id="194" w:name="_Toc494745327"/>
      <w:bookmarkStart w:id="195" w:name="_Toc236473303"/>
      <w:bookmarkStart w:id="196" w:name="_Toc238276247"/>
      <w:bookmarkStart w:id="197" w:name="_Toc494665563"/>
      <w:bookmarkStart w:id="198" w:name="_Toc533862441"/>
      <w:bookmarkStart w:id="199" w:name="_Toc494702280"/>
      <w:r>
        <w:rPr>
          <w:rFonts w:hint="eastAsia" w:ascii="宋体" w:hAnsi="宋体" w:eastAsia="宋体"/>
        </w:rPr>
        <w:t>法定代表人授权书</w:t>
      </w:r>
      <w:bookmarkEnd w:id="191"/>
      <w:bookmarkEnd w:id="192"/>
      <w:bookmarkEnd w:id="193"/>
      <w:bookmarkEnd w:id="194"/>
      <w:bookmarkEnd w:id="195"/>
      <w:bookmarkEnd w:id="196"/>
      <w:bookmarkEnd w:id="197"/>
      <w:bookmarkEnd w:id="198"/>
      <w:bookmarkEnd w:id="199"/>
    </w:p>
    <w:p>
      <w:pPr>
        <w:spacing w:line="480" w:lineRule="auto"/>
        <w:rPr>
          <w:rFonts w:ascii="宋体" w:hAnsi="宋体" w:eastAsia="宋体" w:cs="Times New Roman"/>
          <w:b/>
          <w:sz w:val="24"/>
          <w:szCs w:val="24"/>
        </w:rPr>
      </w:pPr>
      <w:r>
        <w:rPr>
          <w:rFonts w:hint="eastAsia"/>
          <w:b/>
          <w:sz w:val="28"/>
          <w:szCs w:val="28"/>
        </w:rPr>
        <w:t>采购人（或采购代理机构）</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sz w:val="24"/>
          <w:szCs w:val="24"/>
        </w:rPr>
        <w:t>____</w:t>
      </w:r>
      <w:r>
        <w:rPr>
          <w:rFonts w:hint="eastAsia" w:ascii="宋体" w:hAnsi="宋体" w:eastAsia="宋体" w:cs="Times New Roman"/>
          <w:sz w:val="24"/>
          <w:szCs w:val="24"/>
        </w:rPr>
        <w:t>同志为我单位参加贵方组织的</w:t>
      </w:r>
      <w:r>
        <w:rPr>
          <w:rFonts w:hint="eastAsia" w:ascii="Times New Roman" w:hAnsi="宋体" w:eastAsia="宋体" w:cs="Times New Roman"/>
          <w:sz w:val="24"/>
          <w:szCs w:val="24"/>
        </w:rPr>
        <w:t>____项目（项目编号：______）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sz w:val="24"/>
          <w:szCs w:val="24"/>
        </w:rPr>
        <w:t>____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sz w:val="24"/>
          <w:szCs w:val="24"/>
        </w:rPr>
        <w:t>__</w:t>
      </w:r>
      <w:r>
        <w:rPr>
          <w:rFonts w:hint="eastAsia" w:ascii="宋体" w:hAnsi="宋体" w:eastAsia="宋体" w:cs="Times New Roman"/>
          <w:sz w:val="24"/>
          <w:szCs w:val="24"/>
        </w:rPr>
        <w:t>年</w:t>
      </w:r>
      <w:r>
        <w:rPr>
          <w:rFonts w:hint="eastAsia" w:ascii="Times New Roman" w:hAnsi="宋体" w:eastAsia="宋体" w:cs="Times New Roman"/>
          <w:sz w:val="24"/>
          <w:szCs w:val="24"/>
        </w:rPr>
        <w:t>__</w:t>
      </w:r>
      <w:r>
        <w:rPr>
          <w:rFonts w:hint="eastAsia" w:ascii="宋体" w:hAnsi="宋体" w:eastAsia="宋体" w:cs="Times New Roman"/>
          <w:sz w:val="24"/>
          <w:szCs w:val="24"/>
        </w:rPr>
        <w:t>月</w:t>
      </w:r>
      <w:r>
        <w:rPr>
          <w:rFonts w:hint="eastAsia" w:ascii="Times New Roman" w:hAnsi="宋体" w:eastAsia="宋体" w:cs="Times New Roman"/>
          <w:sz w:val="24"/>
          <w:szCs w:val="24"/>
        </w:rPr>
        <w:t>__</w:t>
      </w:r>
      <w:r>
        <w:rPr>
          <w:rFonts w:hint="eastAsia" w:ascii="宋体" w:hAnsi="宋体" w:eastAsia="宋体" w:cs="Times New Roman"/>
          <w:sz w:val="24"/>
          <w:szCs w:val="24"/>
        </w:rPr>
        <w:t>日起至</w:t>
      </w:r>
      <w:r>
        <w:rPr>
          <w:rFonts w:hint="eastAsia" w:ascii="Times New Roman" w:hAnsi="宋体" w:eastAsia="宋体" w:cs="Times New Roman"/>
          <w:sz w:val="24"/>
          <w:szCs w:val="24"/>
        </w:rPr>
        <w:t>____</w:t>
      </w:r>
      <w:r>
        <w:rPr>
          <w:rFonts w:hint="eastAsia" w:ascii="宋体" w:hAnsi="宋体" w:eastAsia="宋体" w:cs="Times New Roman"/>
          <w:sz w:val="24"/>
          <w:szCs w:val="24"/>
        </w:rPr>
        <w:t>年</w:t>
      </w:r>
      <w:r>
        <w:rPr>
          <w:rFonts w:hint="eastAsia" w:ascii="Times New Roman" w:hAnsi="宋体" w:eastAsia="宋体" w:cs="Times New Roman"/>
          <w:sz w:val="24"/>
          <w:szCs w:val="24"/>
        </w:rPr>
        <w:t>____</w:t>
      </w:r>
      <w:r>
        <w:rPr>
          <w:rFonts w:hint="eastAsia" w:ascii="宋体" w:hAnsi="宋体" w:eastAsia="宋体" w:cs="Times New Roman"/>
          <w:sz w:val="24"/>
          <w:szCs w:val="24"/>
        </w:rPr>
        <w:t>月</w:t>
      </w:r>
      <w:r>
        <w:rPr>
          <w:rFonts w:hint="eastAsia" w:ascii="Times New Roman" w:hAnsi="宋体" w:eastAsia="宋体" w:cs="Times New Roman"/>
          <w:sz w:val="24"/>
          <w:szCs w:val="24"/>
        </w:rPr>
        <w:t>____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sz w:val="24"/>
          <w:szCs w:val="24"/>
        </w:rPr>
        <w:t>____</w:t>
      </w:r>
      <w:r>
        <w:rPr>
          <w:rFonts w:hint="eastAsia" w:ascii="宋体" w:hAnsi="宋体" w:eastAsia="宋体" w:cs="Times New Roman"/>
          <w:b/>
          <w:sz w:val="24"/>
          <w:szCs w:val="21"/>
          <w:lang w:val="zh-CN"/>
        </w:rPr>
        <w:t>年</w:t>
      </w:r>
      <w:r>
        <w:rPr>
          <w:rFonts w:hint="eastAsia" w:ascii="Times New Roman" w:hAnsi="宋体" w:eastAsia="宋体" w:cs="Times New Roman"/>
          <w:sz w:val="24"/>
          <w:szCs w:val="24"/>
        </w:rPr>
        <w:t>____</w:t>
      </w:r>
      <w:r>
        <w:rPr>
          <w:rFonts w:hint="eastAsia" w:ascii="宋体" w:hAnsi="宋体" w:eastAsia="宋体" w:cs="Times New Roman"/>
          <w:b/>
          <w:sz w:val="24"/>
          <w:szCs w:val="21"/>
          <w:lang w:val="zh-CN"/>
        </w:rPr>
        <w:t>月</w:t>
      </w:r>
      <w:r>
        <w:rPr>
          <w:rFonts w:hint="eastAsia" w:ascii="Times New Roman" w:hAnsi="宋体" w:eastAsia="宋体" w:cs="Times New Roman"/>
          <w:sz w:val="24"/>
          <w:szCs w:val="24"/>
        </w:rPr>
        <w:t>____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00" w:name="_Toc238276248"/>
      <w:bookmarkStart w:id="201" w:name="_Toc236473304"/>
      <w:bookmarkStart w:id="202" w:name="_Toc494721111"/>
      <w:bookmarkStart w:id="203" w:name="_Toc494745328"/>
      <w:bookmarkStart w:id="204" w:name="_Toc533862442"/>
      <w:bookmarkStart w:id="205" w:name="_Toc494702281"/>
      <w:bookmarkStart w:id="206" w:name="_Toc494665961"/>
      <w:bookmarkStart w:id="207" w:name="_Toc494665564"/>
      <w:bookmarkStart w:id="208" w:name="_Toc494665011"/>
      <w:r>
        <w:rPr>
          <w:rFonts w:hint="eastAsia" w:ascii="宋体" w:hAnsi="宋体" w:eastAsia="宋体"/>
        </w:rPr>
        <w:t>投标人的资格声明</w:t>
      </w:r>
      <w:bookmarkEnd w:id="200"/>
      <w:bookmarkEnd w:id="201"/>
      <w:bookmarkEnd w:id="202"/>
      <w:bookmarkEnd w:id="203"/>
      <w:bookmarkEnd w:id="204"/>
      <w:bookmarkEnd w:id="205"/>
      <w:bookmarkEnd w:id="206"/>
      <w:bookmarkEnd w:id="207"/>
      <w:bookmarkEnd w:id="208"/>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8"/>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63"/>
        </w:numPr>
        <w:spacing w:before="100" w:beforeAutospacing="1" w:after="156" w:afterLines="50" w:line="360" w:lineRule="auto"/>
        <w:ind w:left="1610" w:hanging="1610"/>
        <w:rPr>
          <w:rFonts w:ascii="宋体" w:hAnsi="宋体" w:eastAsia="宋体"/>
        </w:rPr>
      </w:pPr>
      <w:bookmarkStart w:id="209" w:name="_Toc494665962"/>
      <w:bookmarkStart w:id="210" w:name="_Toc494665565"/>
      <w:bookmarkStart w:id="211" w:name="_Toc533862443"/>
      <w:bookmarkStart w:id="212" w:name="_Toc494745329"/>
      <w:bookmarkStart w:id="213" w:name="_Toc494721112"/>
      <w:bookmarkStart w:id="214" w:name="_Toc494665012"/>
      <w:bookmarkStart w:id="215" w:name="_Toc494702282"/>
      <w:r>
        <w:rPr>
          <w:rFonts w:hint="eastAsia" w:ascii="宋体" w:hAnsi="宋体" w:eastAsia="宋体"/>
        </w:rPr>
        <w:t>项目负责人、技术负责人简历表</w:t>
      </w:r>
      <w:bookmarkEnd w:id="209"/>
      <w:bookmarkEnd w:id="210"/>
      <w:bookmarkEnd w:id="211"/>
      <w:bookmarkEnd w:id="212"/>
      <w:bookmarkEnd w:id="213"/>
      <w:bookmarkEnd w:id="214"/>
      <w:bookmarkEnd w:id="21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16" w:name="_Toc236473307"/>
      <w:bookmarkStart w:id="217" w:name="_Toc494702283"/>
      <w:bookmarkStart w:id="218" w:name="_Toc494721113"/>
      <w:bookmarkStart w:id="219" w:name="_Toc238276251"/>
      <w:bookmarkStart w:id="220" w:name="_Toc494665013"/>
      <w:bookmarkStart w:id="221" w:name="_Toc494665963"/>
      <w:bookmarkStart w:id="222" w:name="_Toc494745330"/>
      <w:bookmarkStart w:id="223" w:name="_Toc494665566"/>
      <w:bookmarkStart w:id="224" w:name="_Toc533862444"/>
      <w:r>
        <w:rPr>
          <w:rFonts w:hint="eastAsia" w:ascii="宋体" w:hAnsi="宋体" w:eastAsia="宋体"/>
        </w:rPr>
        <w:t>项目班子成员情况表</w:t>
      </w:r>
      <w:bookmarkEnd w:id="216"/>
      <w:bookmarkEnd w:id="217"/>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25" w:name="_Toc494665964"/>
      <w:bookmarkStart w:id="226" w:name="_Toc494665567"/>
      <w:bookmarkStart w:id="227" w:name="_Toc494745331"/>
      <w:bookmarkStart w:id="228" w:name="_Toc494721114"/>
      <w:bookmarkStart w:id="229" w:name="_Toc494665014"/>
      <w:bookmarkStart w:id="230" w:name="_Toc533862445"/>
      <w:bookmarkStart w:id="231" w:name="_Toc494702284"/>
      <w:bookmarkStart w:id="232" w:name="_Toc238276256"/>
      <w:bookmarkStart w:id="233" w:name="_Toc236473312"/>
      <w:r>
        <w:rPr>
          <w:rFonts w:hint="eastAsia" w:ascii="宋体" w:hAnsi="宋体" w:eastAsia="宋体"/>
        </w:rPr>
        <w:t>投标人类似项目业绩表</w:t>
      </w:r>
      <w:bookmarkEnd w:id="225"/>
      <w:bookmarkEnd w:id="226"/>
      <w:bookmarkEnd w:id="227"/>
      <w:bookmarkEnd w:id="228"/>
      <w:bookmarkEnd w:id="229"/>
      <w:bookmarkEnd w:id="230"/>
      <w:bookmarkEnd w:id="231"/>
      <w:bookmarkEnd w:id="232"/>
      <w:bookmarkEnd w:id="23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34" w:name="_Toc533862446"/>
      <w:bookmarkStart w:id="235" w:name="_Toc494665015"/>
      <w:bookmarkStart w:id="236" w:name="_Toc494745332"/>
      <w:bookmarkStart w:id="237" w:name="_Toc494665965"/>
      <w:bookmarkStart w:id="238" w:name="_Toc494721115"/>
      <w:bookmarkStart w:id="239" w:name="_Toc494702285"/>
      <w:bookmarkStart w:id="240" w:name="_Toc494665568"/>
      <w:r>
        <w:rPr>
          <w:rFonts w:hint="eastAsia" w:ascii="宋体" w:hAnsi="宋体" w:eastAsia="宋体"/>
        </w:rPr>
        <w:t>符合性审查对照表</w:t>
      </w:r>
      <w:bookmarkEnd w:id="234"/>
      <w:bookmarkEnd w:id="235"/>
      <w:bookmarkEnd w:id="236"/>
      <w:bookmarkEnd w:id="237"/>
      <w:bookmarkEnd w:id="238"/>
      <w:bookmarkEnd w:id="239"/>
      <w:bookmarkEnd w:id="24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41" w:name="_Toc494745333"/>
      <w:bookmarkStart w:id="242" w:name="_Toc494665966"/>
      <w:bookmarkStart w:id="243" w:name="_Toc494702286"/>
      <w:bookmarkStart w:id="244" w:name="_Toc494665016"/>
      <w:bookmarkStart w:id="245" w:name="_Toc494721116"/>
      <w:bookmarkStart w:id="246" w:name="_Toc494665569"/>
      <w:bookmarkStart w:id="247" w:name="_Toc533862447"/>
      <w:r>
        <w:rPr>
          <w:rFonts w:hint="eastAsia" w:ascii="宋体" w:hAnsi="宋体" w:eastAsia="宋体"/>
        </w:rPr>
        <w:t>商务要求响应、偏离说明表</w:t>
      </w:r>
      <w:bookmarkEnd w:id="241"/>
      <w:bookmarkEnd w:id="242"/>
      <w:bookmarkEnd w:id="243"/>
      <w:bookmarkEnd w:id="244"/>
      <w:bookmarkEnd w:id="245"/>
      <w:bookmarkEnd w:id="246"/>
      <w:bookmarkEnd w:id="24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48" w:name="_Toc494665967"/>
      <w:bookmarkStart w:id="249" w:name="_Toc494721117"/>
      <w:bookmarkStart w:id="250" w:name="_Toc494702287"/>
      <w:bookmarkStart w:id="251" w:name="_Toc494745334"/>
      <w:bookmarkStart w:id="252" w:name="_Toc494665570"/>
      <w:bookmarkStart w:id="253" w:name="_Toc533862448"/>
      <w:bookmarkStart w:id="254" w:name="_Toc494665017"/>
      <w:r>
        <w:rPr>
          <w:rFonts w:hint="eastAsia" w:ascii="宋体" w:hAnsi="宋体" w:eastAsia="宋体"/>
        </w:rPr>
        <w:t>商务要求“★”号条款响应、偏离说明表</w:t>
      </w:r>
      <w:bookmarkEnd w:id="248"/>
      <w:bookmarkEnd w:id="249"/>
      <w:bookmarkEnd w:id="250"/>
      <w:bookmarkEnd w:id="251"/>
      <w:bookmarkEnd w:id="252"/>
      <w:bookmarkEnd w:id="253"/>
      <w:bookmarkEnd w:id="25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55" w:name="_Toc494665018"/>
      <w:bookmarkStart w:id="256" w:name="_Toc494745335"/>
      <w:bookmarkStart w:id="257" w:name="_Toc494702288"/>
      <w:bookmarkStart w:id="258" w:name="_Toc494665968"/>
      <w:bookmarkStart w:id="259" w:name="_Toc494721118"/>
      <w:bookmarkStart w:id="260" w:name="_Toc494665571"/>
      <w:bookmarkStart w:id="261" w:name="_Toc533862449"/>
      <w:r>
        <w:rPr>
          <w:rFonts w:hint="eastAsia" w:ascii="宋体" w:hAnsi="宋体" w:eastAsia="宋体"/>
        </w:rPr>
        <w:t>商务评议对照表</w:t>
      </w:r>
      <w:bookmarkEnd w:id="255"/>
      <w:bookmarkEnd w:id="256"/>
      <w:bookmarkEnd w:id="257"/>
      <w:bookmarkEnd w:id="258"/>
      <w:bookmarkEnd w:id="259"/>
      <w:bookmarkEnd w:id="260"/>
      <w:bookmarkEnd w:id="26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62" w:name="_Toc494721119"/>
      <w:bookmarkStart w:id="263" w:name="_Toc494665019"/>
      <w:bookmarkStart w:id="264" w:name="_Toc494665969"/>
      <w:bookmarkStart w:id="265" w:name="_Toc494665572"/>
      <w:bookmarkStart w:id="266" w:name="_Toc494745336"/>
      <w:bookmarkStart w:id="267" w:name="_Toc494702289"/>
      <w:bookmarkStart w:id="268" w:name="_Toc533862450"/>
      <w:r>
        <w:rPr>
          <w:rFonts w:hint="eastAsia" w:ascii="宋体" w:hAnsi="宋体" w:eastAsia="宋体"/>
        </w:rPr>
        <w:t>技术、服务要求响应、偏离说明表</w:t>
      </w:r>
      <w:bookmarkEnd w:id="262"/>
      <w:bookmarkEnd w:id="263"/>
      <w:bookmarkEnd w:id="264"/>
      <w:bookmarkEnd w:id="265"/>
      <w:bookmarkEnd w:id="266"/>
      <w:bookmarkEnd w:id="267"/>
      <w:bookmarkEnd w:id="26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69" w:name="_Toc494665970"/>
      <w:bookmarkStart w:id="270" w:name="_Toc494665020"/>
      <w:bookmarkStart w:id="271" w:name="_Toc533862451"/>
      <w:bookmarkStart w:id="272" w:name="_Toc494745337"/>
      <w:bookmarkStart w:id="273" w:name="_Toc494665573"/>
      <w:bookmarkStart w:id="274" w:name="_Toc494702290"/>
      <w:bookmarkStart w:id="275" w:name="_Toc494721120"/>
      <w:bookmarkStart w:id="276" w:name="_Toc329859066"/>
      <w:r>
        <w:rPr>
          <w:rFonts w:hint="eastAsia" w:ascii="宋体" w:hAnsi="宋体" w:eastAsia="宋体"/>
        </w:rPr>
        <w:t>技术、服务要求“★”号条款响应、偏离说明表</w:t>
      </w:r>
      <w:bookmarkEnd w:id="269"/>
      <w:bookmarkEnd w:id="270"/>
      <w:bookmarkEnd w:id="271"/>
      <w:bookmarkEnd w:id="272"/>
      <w:bookmarkEnd w:id="273"/>
      <w:bookmarkEnd w:id="274"/>
      <w:bookmarkEnd w:id="27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6"/>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3"/>
        </w:numPr>
        <w:spacing w:before="100" w:beforeAutospacing="1" w:after="156" w:afterLines="50" w:line="360" w:lineRule="auto"/>
        <w:ind w:left="1610" w:hanging="1610"/>
        <w:rPr>
          <w:rFonts w:ascii="宋体" w:hAnsi="宋体" w:eastAsia="宋体"/>
        </w:rPr>
      </w:pPr>
      <w:bookmarkStart w:id="277" w:name="_Toc494665574"/>
      <w:bookmarkStart w:id="278" w:name="_Toc494702291"/>
      <w:bookmarkStart w:id="279" w:name="_Toc494665021"/>
      <w:bookmarkStart w:id="280" w:name="_Toc533862452"/>
      <w:bookmarkStart w:id="281" w:name="_Toc494665971"/>
      <w:bookmarkStart w:id="282" w:name="_Toc494721121"/>
      <w:bookmarkStart w:id="283" w:name="_Toc494745338"/>
      <w:r>
        <w:rPr>
          <w:rFonts w:hint="eastAsia" w:ascii="宋体" w:hAnsi="宋体" w:eastAsia="宋体"/>
        </w:rPr>
        <w:t>技术、服务评议对照表</w:t>
      </w:r>
      <w:bookmarkEnd w:id="277"/>
      <w:bookmarkEnd w:id="278"/>
      <w:bookmarkEnd w:id="279"/>
      <w:bookmarkEnd w:id="280"/>
      <w:bookmarkEnd w:id="281"/>
      <w:bookmarkEnd w:id="282"/>
      <w:bookmarkEnd w:id="28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8"/>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黑体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2"/>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72</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武汉富纳工程咨询有限公司制</w:t>
    </w:r>
  </w:p>
  <w:p>
    <w:pPr>
      <w:pStyle w:val="12"/>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6</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themeColor="text1" w:sz="0" w:space="1"/>
      </w:pBdr>
      <w:tabs>
        <w:tab w:val="clear" w:pos="4153"/>
      </w:tabs>
      <w:jc w:val="left"/>
      <w:rPr>
        <w:b/>
      </w:rPr>
    </w:pPr>
    <w:r>
      <w:rPr>
        <w:rFonts w:hint="eastAsia"/>
        <w:b/>
      </w:rPr>
      <w:t>项目名称：湖北网湖自然保护区水生态环境保护规划项目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E5779A"/>
    <w:multiLevelType w:val="multilevel"/>
    <w:tmpl w:val="0BE5779A"/>
    <w:lvl w:ilvl="0" w:tentative="0">
      <w:start w:val="1"/>
      <w:numFmt w:val="decimal"/>
      <w:lvlText w:val="%1"/>
      <w:lvlJc w:val="left"/>
      <w:pPr>
        <w:ind w:left="324"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3">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6">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7">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4567563F"/>
    <w:multiLevelType w:val="multilevel"/>
    <w:tmpl w:val="4567563F"/>
    <w:lvl w:ilvl="0" w:tentative="0">
      <w:start w:val="1"/>
      <w:numFmt w:val="decimal"/>
      <w:lvlText w:val="17.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1">
    <w:nsid w:val="475A1545"/>
    <w:multiLevelType w:val="multilevel"/>
    <w:tmpl w:val="475A1545"/>
    <w:lvl w:ilvl="0" w:tentative="0">
      <w:start w:val="1"/>
      <w:numFmt w:val="decimal"/>
      <w:lvlText w:val="17.8.%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2">
    <w:nsid w:val="49C131F2"/>
    <w:multiLevelType w:val="multilevel"/>
    <w:tmpl w:val="49C131F2"/>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0">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1">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2">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3">
    <w:nsid w:val="5FDA742B"/>
    <w:multiLevelType w:val="multilevel"/>
    <w:tmpl w:val="5FDA742B"/>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6">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2">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3">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6">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3"/>
  </w:num>
  <w:num w:numId="2">
    <w:abstractNumId w:val="29"/>
  </w:num>
  <w:num w:numId="3">
    <w:abstractNumId w:val="46"/>
  </w:num>
  <w:num w:numId="4">
    <w:abstractNumId w:val="2"/>
  </w:num>
  <w:num w:numId="5">
    <w:abstractNumId w:val="38"/>
  </w:num>
  <w:num w:numId="6">
    <w:abstractNumId w:val="14"/>
  </w:num>
  <w:num w:numId="7">
    <w:abstractNumId w:val="5"/>
  </w:num>
  <w:num w:numId="8">
    <w:abstractNumId w:val="55"/>
  </w:num>
  <w:num w:numId="9">
    <w:abstractNumId w:val="32"/>
  </w:num>
  <w:num w:numId="10">
    <w:abstractNumId w:val="50"/>
  </w:num>
  <w:num w:numId="11">
    <w:abstractNumId w:val="28"/>
  </w:num>
  <w:num w:numId="12">
    <w:abstractNumId w:val="4"/>
  </w:num>
  <w:num w:numId="13">
    <w:abstractNumId w:val="21"/>
  </w:num>
  <w:num w:numId="14">
    <w:abstractNumId w:val="22"/>
  </w:num>
  <w:num w:numId="15">
    <w:abstractNumId w:val="9"/>
  </w:num>
  <w:num w:numId="16">
    <w:abstractNumId w:val="8"/>
  </w:num>
  <w:num w:numId="17">
    <w:abstractNumId w:val="63"/>
  </w:num>
  <w:num w:numId="18">
    <w:abstractNumId w:val="42"/>
  </w:num>
  <w:num w:numId="19">
    <w:abstractNumId w:val="40"/>
  </w:num>
  <w:num w:numId="20">
    <w:abstractNumId w:val="41"/>
  </w:num>
  <w:num w:numId="21">
    <w:abstractNumId w:val="10"/>
  </w:num>
  <w:num w:numId="22">
    <w:abstractNumId w:val="27"/>
  </w:num>
  <w:num w:numId="23">
    <w:abstractNumId w:val="34"/>
  </w:num>
  <w:num w:numId="24">
    <w:abstractNumId w:val="37"/>
  </w:num>
  <w:num w:numId="25">
    <w:abstractNumId w:val="66"/>
  </w:num>
  <w:num w:numId="26">
    <w:abstractNumId w:val="47"/>
  </w:num>
  <w:num w:numId="27">
    <w:abstractNumId w:val="59"/>
  </w:num>
  <w:num w:numId="28">
    <w:abstractNumId w:val="64"/>
  </w:num>
  <w:num w:numId="29">
    <w:abstractNumId w:val="45"/>
  </w:num>
  <w:num w:numId="30">
    <w:abstractNumId w:val="7"/>
  </w:num>
  <w:num w:numId="31">
    <w:abstractNumId w:val="18"/>
  </w:num>
  <w:num w:numId="32">
    <w:abstractNumId w:val="60"/>
  </w:num>
  <w:num w:numId="33">
    <w:abstractNumId w:val="56"/>
  </w:num>
  <w:num w:numId="34">
    <w:abstractNumId w:val="36"/>
  </w:num>
  <w:num w:numId="35">
    <w:abstractNumId w:val="54"/>
  </w:num>
  <w:num w:numId="36">
    <w:abstractNumId w:val="23"/>
  </w:num>
  <w:num w:numId="37">
    <w:abstractNumId w:val="57"/>
  </w:num>
  <w:num w:numId="38">
    <w:abstractNumId w:val="1"/>
  </w:num>
  <w:num w:numId="39">
    <w:abstractNumId w:val="30"/>
  </w:num>
  <w:num w:numId="40">
    <w:abstractNumId w:val="6"/>
  </w:num>
  <w:num w:numId="41">
    <w:abstractNumId w:val="53"/>
  </w:num>
  <w:num w:numId="42">
    <w:abstractNumId w:val="48"/>
  </w:num>
  <w:num w:numId="43">
    <w:abstractNumId w:val="25"/>
  </w:num>
  <w:num w:numId="44">
    <w:abstractNumId w:val="44"/>
  </w:num>
  <w:num w:numId="45">
    <w:abstractNumId w:val="31"/>
  </w:num>
  <w:num w:numId="46">
    <w:abstractNumId w:val="39"/>
  </w:num>
  <w:num w:numId="47">
    <w:abstractNumId w:val="33"/>
  </w:num>
  <w:num w:numId="48">
    <w:abstractNumId w:val="16"/>
  </w:num>
  <w:num w:numId="49">
    <w:abstractNumId w:val="52"/>
  </w:num>
  <w:num w:numId="50">
    <w:abstractNumId w:val="67"/>
  </w:num>
  <w:num w:numId="51">
    <w:abstractNumId w:val="17"/>
  </w:num>
  <w:num w:numId="52">
    <w:abstractNumId w:val="15"/>
  </w:num>
  <w:num w:numId="53">
    <w:abstractNumId w:val="0"/>
  </w:num>
  <w:num w:numId="54">
    <w:abstractNumId w:val="51"/>
    <w:lvlOverride w:ilvl="0">
      <w:startOverride w:val="1"/>
    </w:lvlOverride>
  </w:num>
  <w:num w:numId="55">
    <w:abstractNumId w:val="12"/>
  </w:num>
  <w:num w:numId="56">
    <w:abstractNumId w:val="24"/>
  </w:num>
  <w:num w:numId="57">
    <w:abstractNumId w:val="65"/>
  </w:num>
  <w:num w:numId="58">
    <w:abstractNumId w:val="49"/>
  </w:num>
  <w:num w:numId="59">
    <w:abstractNumId w:val="20"/>
  </w:num>
  <w:num w:numId="60">
    <w:abstractNumId w:val="61"/>
  </w:num>
  <w:num w:numId="61">
    <w:abstractNumId w:val="35"/>
  </w:num>
  <w:num w:numId="62">
    <w:abstractNumId w:val="62"/>
  </w:num>
  <w:num w:numId="63">
    <w:abstractNumId w:val="11"/>
  </w:num>
  <w:num w:numId="64">
    <w:abstractNumId w:val="58"/>
  </w:num>
  <w:num w:numId="65">
    <w:abstractNumId w:val="19"/>
  </w:num>
  <w:num w:numId="66">
    <w:abstractNumId w:val="3"/>
  </w:num>
  <w:num w:numId="67">
    <w:abstractNumId w:val="13"/>
  </w:num>
  <w:num w:numId="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YxNjVhNGI1NzUyMmM1OTkyZjBkY2Y3ZmQ4NzkxY2IifQ=="/>
    <w:docVar w:name="KSO_WPS_MARK_KEY" w:val="724986e7-7a65-4676-93b6-a78c1e338550"/>
  </w:docVars>
  <w:rsids>
    <w:rsidRoot w:val="00095415"/>
    <w:rsid w:val="00002E95"/>
    <w:rsid w:val="00016562"/>
    <w:rsid w:val="00017BE8"/>
    <w:rsid w:val="00020344"/>
    <w:rsid w:val="000254ED"/>
    <w:rsid w:val="00026775"/>
    <w:rsid w:val="00032FD5"/>
    <w:rsid w:val="0003405D"/>
    <w:rsid w:val="00040B72"/>
    <w:rsid w:val="00046CAA"/>
    <w:rsid w:val="00050B48"/>
    <w:rsid w:val="00052043"/>
    <w:rsid w:val="00052335"/>
    <w:rsid w:val="000658A4"/>
    <w:rsid w:val="00066A72"/>
    <w:rsid w:val="00075213"/>
    <w:rsid w:val="00077E85"/>
    <w:rsid w:val="000812D6"/>
    <w:rsid w:val="00081EFC"/>
    <w:rsid w:val="000855FE"/>
    <w:rsid w:val="00086F2A"/>
    <w:rsid w:val="00092450"/>
    <w:rsid w:val="00095415"/>
    <w:rsid w:val="000955C5"/>
    <w:rsid w:val="000A7255"/>
    <w:rsid w:val="000A7FFD"/>
    <w:rsid w:val="000B1EA5"/>
    <w:rsid w:val="000B3053"/>
    <w:rsid w:val="000B42CE"/>
    <w:rsid w:val="000B4B13"/>
    <w:rsid w:val="000C1DBB"/>
    <w:rsid w:val="000C2224"/>
    <w:rsid w:val="000C26A7"/>
    <w:rsid w:val="000C46E9"/>
    <w:rsid w:val="000D274B"/>
    <w:rsid w:val="000E00D0"/>
    <w:rsid w:val="000E0271"/>
    <w:rsid w:val="000E36E2"/>
    <w:rsid w:val="000E4686"/>
    <w:rsid w:val="000E6D7E"/>
    <w:rsid w:val="000F14BA"/>
    <w:rsid w:val="000F64E0"/>
    <w:rsid w:val="00100585"/>
    <w:rsid w:val="00105BC5"/>
    <w:rsid w:val="0010781B"/>
    <w:rsid w:val="00116564"/>
    <w:rsid w:val="00122C84"/>
    <w:rsid w:val="001259CC"/>
    <w:rsid w:val="00125AB4"/>
    <w:rsid w:val="00133220"/>
    <w:rsid w:val="001338E8"/>
    <w:rsid w:val="00156561"/>
    <w:rsid w:val="00161C85"/>
    <w:rsid w:val="00162A4F"/>
    <w:rsid w:val="001641C9"/>
    <w:rsid w:val="00177C62"/>
    <w:rsid w:val="00183383"/>
    <w:rsid w:val="00185E9A"/>
    <w:rsid w:val="0019225C"/>
    <w:rsid w:val="001A0AB1"/>
    <w:rsid w:val="001A1335"/>
    <w:rsid w:val="001A2B2A"/>
    <w:rsid w:val="001A54E8"/>
    <w:rsid w:val="001B03BB"/>
    <w:rsid w:val="001B215E"/>
    <w:rsid w:val="001B38CD"/>
    <w:rsid w:val="001B785A"/>
    <w:rsid w:val="001C08CD"/>
    <w:rsid w:val="001C7B23"/>
    <w:rsid w:val="001D21E0"/>
    <w:rsid w:val="001D2460"/>
    <w:rsid w:val="001D3EE7"/>
    <w:rsid w:val="001D5838"/>
    <w:rsid w:val="001D7598"/>
    <w:rsid w:val="001E157C"/>
    <w:rsid w:val="001E5D69"/>
    <w:rsid w:val="001E7CEA"/>
    <w:rsid w:val="001F002C"/>
    <w:rsid w:val="00220470"/>
    <w:rsid w:val="00220E09"/>
    <w:rsid w:val="00222B0D"/>
    <w:rsid w:val="00223408"/>
    <w:rsid w:val="00225534"/>
    <w:rsid w:val="002334D5"/>
    <w:rsid w:val="00236772"/>
    <w:rsid w:val="002426EA"/>
    <w:rsid w:val="002446C6"/>
    <w:rsid w:val="0025443B"/>
    <w:rsid w:val="0026033C"/>
    <w:rsid w:val="00262673"/>
    <w:rsid w:val="0026342E"/>
    <w:rsid w:val="0027390B"/>
    <w:rsid w:val="00275A17"/>
    <w:rsid w:val="00276CFD"/>
    <w:rsid w:val="00277541"/>
    <w:rsid w:val="00293211"/>
    <w:rsid w:val="00295F64"/>
    <w:rsid w:val="002A4FA3"/>
    <w:rsid w:val="002B4B7D"/>
    <w:rsid w:val="002B7581"/>
    <w:rsid w:val="002C38E4"/>
    <w:rsid w:val="002C7FA6"/>
    <w:rsid w:val="002D07BB"/>
    <w:rsid w:val="002D412B"/>
    <w:rsid w:val="002D51AC"/>
    <w:rsid w:val="002E637A"/>
    <w:rsid w:val="002F3D16"/>
    <w:rsid w:val="002F6E1D"/>
    <w:rsid w:val="00310B7E"/>
    <w:rsid w:val="00310F98"/>
    <w:rsid w:val="00314B08"/>
    <w:rsid w:val="00316026"/>
    <w:rsid w:val="00320ACF"/>
    <w:rsid w:val="00323F1C"/>
    <w:rsid w:val="00333225"/>
    <w:rsid w:val="0033323B"/>
    <w:rsid w:val="00344E95"/>
    <w:rsid w:val="00352AE1"/>
    <w:rsid w:val="00353542"/>
    <w:rsid w:val="003540BC"/>
    <w:rsid w:val="0035551A"/>
    <w:rsid w:val="00360712"/>
    <w:rsid w:val="0036309F"/>
    <w:rsid w:val="0036474B"/>
    <w:rsid w:val="00364CE9"/>
    <w:rsid w:val="003661C8"/>
    <w:rsid w:val="003667C1"/>
    <w:rsid w:val="00366E30"/>
    <w:rsid w:val="00370D03"/>
    <w:rsid w:val="00377B5F"/>
    <w:rsid w:val="00380351"/>
    <w:rsid w:val="00383221"/>
    <w:rsid w:val="00386A49"/>
    <w:rsid w:val="00393E94"/>
    <w:rsid w:val="00395608"/>
    <w:rsid w:val="00395A8C"/>
    <w:rsid w:val="003A1634"/>
    <w:rsid w:val="003B0D5A"/>
    <w:rsid w:val="003B4F8E"/>
    <w:rsid w:val="003B718F"/>
    <w:rsid w:val="003B7826"/>
    <w:rsid w:val="003B7A0D"/>
    <w:rsid w:val="003C2008"/>
    <w:rsid w:val="003C2241"/>
    <w:rsid w:val="003C6083"/>
    <w:rsid w:val="003C7B81"/>
    <w:rsid w:val="003D090A"/>
    <w:rsid w:val="003D1759"/>
    <w:rsid w:val="003D2AC4"/>
    <w:rsid w:val="003D5E80"/>
    <w:rsid w:val="003E1CB8"/>
    <w:rsid w:val="003E4EC5"/>
    <w:rsid w:val="003F2B92"/>
    <w:rsid w:val="003F3007"/>
    <w:rsid w:val="0040329E"/>
    <w:rsid w:val="0040679C"/>
    <w:rsid w:val="00406BC4"/>
    <w:rsid w:val="004110F8"/>
    <w:rsid w:val="00414A80"/>
    <w:rsid w:val="004161BA"/>
    <w:rsid w:val="00417820"/>
    <w:rsid w:val="00421E21"/>
    <w:rsid w:val="00425487"/>
    <w:rsid w:val="004349F3"/>
    <w:rsid w:val="0043503C"/>
    <w:rsid w:val="00436CC2"/>
    <w:rsid w:val="0044287A"/>
    <w:rsid w:val="004475F1"/>
    <w:rsid w:val="00457308"/>
    <w:rsid w:val="004605F3"/>
    <w:rsid w:val="00461CD8"/>
    <w:rsid w:val="00461DFE"/>
    <w:rsid w:val="00476E59"/>
    <w:rsid w:val="004871A8"/>
    <w:rsid w:val="004A4F81"/>
    <w:rsid w:val="004B0CC2"/>
    <w:rsid w:val="004B118F"/>
    <w:rsid w:val="004B4385"/>
    <w:rsid w:val="004B4BED"/>
    <w:rsid w:val="004C1027"/>
    <w:rsid w:val="004C62F7"/>
    <w:rsid w:val="004C750B"/>
    <w:rsid w:val="004D49CB"/>
    <w:rsid w:val="004D548F"/>
    <w:rsid w:val="004E00F2"/>
    <w:rsid w:val="004E40B4"/>
    <w:rsid w:val="004E48AF"/>
    <w:rsid w:val="004E5A44"/>
    <w:rsid w:val="004E6483"/>
    <w:rsid w:val="004F21F4"/>
    <w:rsid w:val="004F43AD"/>
    <w:rsid w:val="005025B6"/>
    <w:rsid w:val="00502EAD"/>
    <w:rsid w:val="00511E96"/>
    <w:rsid w:val="005130B9"/>
    <w:rsid w:val="00522A02"/>
    <w:rsid w:val="00522D80"/>
    <w:rsid w:val="00525A93"/>
    <w:rsid w:val="00541163"/>
    <w:rsid w:val="005413FF"/>
    <w:rsid w:val="005437D7"/>
    <w:rsid w:val="005445A9"/>
    <w:rsid w:val="00545B0F"/>
    <w:rsid w:val="00545EDA"/>
    <w:rsid w:val="00552BFE"/>
    <w:rsid w:val="00556850"/>
    <w:rsid w:val="00560FA5"/>
    <w:rsid w:val="00562BD4"/>
    <w:rsid w:val="00566AC4"/>
    <w:rsid w:val="00572AB0"/>
    <w:rsid w:val="00573437"/>
    <w:rsid w:val="0057573F"/>
    <w:rsid w:val="005761D0"/>
    <w:rsid w:val="00580FFF"/>
    <w:rsid w:val="005813AA"/>
    <w:rsid w:val="0058186D"/>
    <w:rsid w:val="005967BA"/>
    <w:rsid w:val="005A58A0"/>
    <w:rsid w:val="005A7D3E"/>
    <w:rsid w:val="005B12FC"/>
    <w:rsid w:val="005B6D3E"/>
    <w:rsid w:val="005B713A"/>
    <w:rsid w:val="005C31D8"/>
    <w:rsid w:val="005D6632"/>
    <w:rsid w:val="005D6D24"/>
    <w:rsid w:val="005E1521"/>
    <w:rsid w:val="005E3CD4"/>
    <w:rsid w:val="005F1588"/>
    <w:rsid w:val="005F2449"/>
    <w:rsid w:val="005F2B8B"/>
    <w:rsid w:val="005F30B4"/>
    <w:rsid w:val="00601112"/>
    <w:rsid w:val="00601990"/>
    <w:rsid w:val="00605C0D"/>
    <w:rsid w:val="0061528F"/>
    <w:rsid w:val="00623CBB"/>
    <w:rsid w:val="006263C6"/>
    <w:rsid w:val="006302AC"/>
    <w:rsid w:val="00632C11"/>
    <w:rsid w:val="006440C5"/>
    <w:rsid w:val="00651541"/>
    <w:rsid w:val="00652F08"/>
    <w:rsid w:val="00655314"/>
    <w:rsid w:val="00656F4A"/>
    <w:rsid w:val="006620FA"/>
    <w:rsid w:val="00663B35"/>
    <w:rsid w:val="00666B23"/>
    <w:rsid w:val="00674132"/>
    <w:rsid w:val="0067786F"/>
    <w:rsid w:val="00680A96"/>
    <w:rsid w:val="00682652"/>
    <w:rsid w:val="00690659"/>
    <w:rsid w:val="006A5069"/>
    <w:rsid w:val="006A6C1D"/>
    <w:rsid w:val="006A6C51"/>
    <w:rsid w:val="006A7A3D"/>
    <w:rsid w:val="006B0B84"/>
    <w:rsid w:val="006C0B5F"/>
    <w:rsid w:val="006C0B7B"/>
    <w:rsid w:val="006C1AF1"/>
    <w:rsid w:val="006C6FDC"/>
    <w:rsid w:val="006C7037"/>
    <w:rsid w:val="006D1D6E"/>
    <w:rsid w:val="006F0D07"/>
    <w:rsid w:val="00701012"/>
    <w:rsid w:val="00715E44"/>
    <w:rsid w:val="00720747"/>
    <w:rsid w:val="00722075"/>
    <w:rsid w:val="00722AAC"/>
    <w:rsid w:val="00722F57"/>
    <w:rsid w:val="00723103"/>
    <w:rsid w:val="00725899"/>
    <w:rsid w:val="00725F67"/>
    <w:rsid w:val="007308BA"/>
    <w:rsid w:val="00730CB6"/>
    <w:rsid w:val="007318D6"/>
    <w:rsid w:val="00732E91"/>
    <w:rsid w:val="00737211"/>
    <w:rsid w:val="00767F44"/>
    <w:rsid w:val="0077270B"/>
    <w:rsid w:val="00773A2C"/>
    <w:rsid w:val="00774EB7"/>
    <w:rsid w:val="00775A96"/>
    <w:rsid w:val="00780DBA"/>
    <w:rsid w:val="00781943"/>
    <w:rsid w:val="00782541"/>
    <w:rsid w:val="00784AEB"/>
    <w:rsid w:val="00784ED7"/>
    <w:rsid w:val="00786E84"/>
    <w:rsid w:val="007916F7"/>
    <w:rsid w:val="007917A2"/>
    <w:rsid w:val="00792A26"/>
    <w:rsid w:val="00793CB2"/>
    <w:rsid w:val="007A27DA"/>
    <w:rsid w:val="007A2D91"/>
    <w:rsid w:val="007A427D"/>
    <w:rsid w:val="007A6B1E"/>
    <w:rsid w:val="007A6F5F"/>
    <w:rsid w:val="007A78B2"/>
    <w:rsid w:val="007B24C4"/>
    <w:rsid w:val="007B6141"/>
    <w:rsid w:val="007C0DA7"/>
    <w:rsid w:val="007C132C"/>
    <w:rsid w:val="007C1D03"/>
    <w:rsid w:val="007C4F14"/>
    <w:rsid w:val="007C6E5E"/>
    <w:rsid w:val="007D053D"/>
    <w:rsid w:val="007D440A"/>
    <w:rsid w:val="007D72CF"/>
    <w:rsid w:val="007E3D3C"/>
    <w:rsid w:val="007F504A"/>
    <w:rsid w:val="007F6863"/>
    <w:rsid w:val="007F6F97"/>
    <w:rsid w:val="00802536"/>
    <w:rsid w:val="00804419"/>
    <w:rsid w:val="00810E69"/>
    <w:rsid w:val="0081114F"/>
    <w:rsid w:val="00816910"/>
    <w:rsid w:val="00816AE2"/>
    <w:rsid w:val="00820E08"/>
    <w:rsid w:val="008226B4"/>
    <w:rsid w:val="0082486D"/>
    <w:rsid w:val="008456E3"/>
    <w:rsid w:val="00863EDD"/>
    <w:rsid w:val="00873259"/>
    <w:rsid w:val="00876E59"/>
    <w:rsid w:val="00877211"/>
    <w:rsid w:val="0088586B"/>
    <w:rsid w:val="00886A46"/>
    <w:rsid w:val="008879F9"/>
    <w:rsid w:val="00891868"/>
    <w:rsid w:val="008966BE"/>
    <w:rsid w:val="008A1AF7"/>
    <w:rsid w:val="008A30BA"/>
    <w:rsid w:val="008A6CD8"/>
    <w:rsid w:val="008B1A1F"/>
    <w:rsid w:val="008B4F32"/>
    <w:rsid w:val="008B5601"/>
    <w:rsid w:val="008B6529"/>
    <w:rsid w:val="008C3F7A"/>
    <w:rsid w:val="008D2370"/>
    <w:rsid w:val="008D35F1"/>
    <w:rsid w:val="008D3612"/>
    <w:rsid w:val="008D5777"/>
    <w:rsid w:val="008D7D59"/>
    <w:rsid w:val="008E2203"/>
    <w:rsid w:val="008F1B81"/>
    <w:rsid w:val="008F3383"/>
    <w:rsid w:val="00901279"/>
    <w:rsid w:val="00901362"/>
    <w:rsid w:val="009020C7"/>
    <w:rsid w:val="0090240A"/>
    <w:rsid w:val="00903A2D"/>
    <w:rsid w:val="00907388"/>
    <w:rsid w:val="00914F14"/>
    <w:rsid w:val="00933750"/>
    <w:rsid w:val="00935E05"/>
    <w:rsid w:val="0093723A"/>
    <w:rsid w:val="009402E6"/>
    <w:rsid w:val="00943F98"/>
    <w:rsid w:val="00947542"/>
    <w:rsid w:val="00947AAD"/>
    <w:rsid w:val="00952E42"/>
    <w:rsid w:val="00954A2F"/>
    <w:rsid w:val="00956AAC"/>
    <w:rsid w:val="00964EB5"/>
    <w:rsid w:val="00967D22"/>
    <w:rsid w:val="0097080D"/>
    <w:rsid w:val="009714FE"/>
    <w:rsid w:val="00973398"/>
    <w:rsid w:val="00973E87"/>
    <w:rsid w:val="00982AD3"/>
    <w:rsid w:val="00983958"/>
    <w:rsid w:val="009849C0"/>
    <w:rsid w:val="0098774A"/>
    <w:rsid w:val="009944A9"/>
    <w:rsid w:val="009945BC"/>
    <w:rsid w:val="00995ACC"/>
    <w:rsid w:val="00996DEE"/>
    <w:rsid w:val="0099779F"/>
    <w:rsid w:val="009B11C0"/>
    <w:rsid w:val="009B3048"/>
    <w:rsid w:val="009B3424"/>
    <w:rsid w:val="009B44B7"/>
    <w:rsid w:val="009B45A9"/>
    <w:rsid w:val="009B6DC6"/>
    <w:rsid w:val="009D36C0"/>
    <w:rsid w:val="009D496D"/>
    <w:rsid w:val="009D5647"/>
    <w:rsid w:val="009E04AF"/>
    <w:rsid w:val="009E0ECF"/>
    <w:rsid w:val="009F0A1F"/>
    <w:rsid w:val="009F3858"/>
    <w:rsid w:val="009F522E"/>
    <w:rsid w:val="00A00810"/>
    <w:rsid w:val="00A05AF5"/>
    <w:rsid w:val="00A0777C"/>
    <w:rsid w:val="00A30AE5"/>
    <w:rsid w:val="00A30DFD"/>
    <w:rsid w:val="00A325E4"/>
    <w:rsid w:val="00A33A80"/>
    <w:rsid w:val="00A3568F"/>
    <w:rsid w:val="00A36FFA"/>
    <w:rsid w:val="00A40BC9"/>
    <w:rsid w:val="00A46DEF"/>
    <w:rsid w:val="00A51D8F"/>
    <w:rsid w:val="00A52326"/>
    <w:rsid w:val="00A52A2B"/>
    <w:rsid w:val="00A62860"/>
    <w:rsid w:val="00A6435A"/>
    <w:rsid w:val="00A66C3E"/>
    <w:rsid w:val="00A678FB"/>
    <w:rsid w:val="00A70BA1"/>
    <w:rsid w:val="00A813D2"/>
    <w:rsid w:val="00A81616"/>
    <w:rsid w:val="00A879DB"/>
    <w:rsid w:val="00AA5C5D"/>
    <w:rsid w:val="00AA5C66"/>
    <w:rsid w:val="00AB2B17"/>
    <w:rsid w:val="00AB3343"/>
    <w:rsid w:val="00AC399F"/>
    <w:rsid w:val="00AC584B"/>
    <w:rsid w:val="00AD03BF"/>
    <w:rsid w:val="00AD18FC"/>
    <w:rsid w:val="00AD52A3"/>
    <w:rsid w:val="00AD634F"/>
    <w:rsid w:val="00AE02A5"/>
    <w:rsid w:val="00AF18BF"/>
    <w:rsid w:val="00B002B6"/>
    <w:rsid w:val="00B0070A"/>
    <w:rsid w:val="00B03B10"/>
    <w:rsid w:val="00B04237"/>
    <w:rsid w:val="00B161F2"/>
    <w:rsid w:val="00B16C8C"/>
    <w:rsid w:val="00B20FD9"/>
    <w:rsid w:val="00B36D9B"/>
    <w:rsid w:val="00B52520"/>
    <w:rsid w:val="00B5682D"/>
    <w:rsid w:val="00B6583F"/>
    <w:rsid w:val="00B67CCB"/>
    <w:rsid w:val="00B73233"/>
    <w:rsid w:val="00B81E1B"/>
    <w:rsid w:val="00B82783"/>
    <w:rsid w:val="00B84A3B"/>
    <w:rsid w:val="00B956F2"/>
    <w:rsid w:val="00BA438A"/>
    <w:rsid w:val="00BA4681"/>
    <w:rsid w:val="00BB27FF"/>
    <w:rsid w:val="00BB6F18"/>
    <w:rsid w:val="00BB78CC"/>
    <w:rsid w:val="00BC386C"/>
    <w:rsid w:val="00BC3AA1"/>
    <w:rsid w:val="00BC55B9"/>
    <w:rsid w:val="00BD0C54"/>
    <w:rsid w:val="00BD2144"/>
    <w:rsid w:val="00BD62C1"/>
    <w:rsid w:val="00BD681B"/>
    <w:rsid w:val="00BE3563"/>
    <w:rsid w:val="00BF5732"/>
    <w:rsid w:val="00C0257A"/>
    <w:rsid w:val="00C040D1"/>
    <w:rsid w:val="00C04566"/>
    <w:rsid w:val="00C139A6"/>
    <w:rsid w:val="00C1592E"/>
    <w:rsid w:val="00C37FEA"/>
    <w:rsid w:val="00C4038F"/>
    <w:rsid w:val="00C41AFC"/>
    <w:rsid w:val="00C469B0"/>
    <w:rsid w:val="00C51BB3"/>
    <w:rsid w:val="00C52140"/>
    <w:rsid w:val="00C64D3E"/>
    <w:rsid w:val="00C6643D"/>
    <w:rsid w:val="00C6680F"/>
    <w:rsid w:val="00C66ACC"/>
    <w:rsid w:val="00C71832"/>
    <w:rsid w:val="00C72415"/>
    <w:rsid w:val="00C76EE7"/>
    <w:rsid w:val="00C77E82"/>
    <w:rsid w:val="00C8468C"/>
    <w:rsid w:val="00C9289E"/>
    <w:rsid w:val="00C92F51"/>
    <w:rsid w:val="00C93D1B"/>
    <w:rsid w:val="00C93ED0"/>
    <w:rsid w:val="00CA0EE5"/>
    <w:rsid w:val="00CA0F95"/>
    <w:rsid w:val="00CA6FF1"/>
    <w:rsid w:val="00CB10F9"/>
    <w:rsid w:val="00CB3DF8"/>
    <w:rsid w:val="00CB413B"/>
    <w:rsid w:val="00CB53FF"/>
    <w:rsid w:val="00CC092B"/>
    <w:rsid w:val="00CD44F1"/>
    <w:rsid w:val="00CE2AAD"/>
    <w:rsid w:val="00CE78E2"/>
    <w:rsid w:val="00CF76A5"/>
    <w:rsid w:val="00D00129"/>
    <w:rsid w:val="00D0131F"/>
    <w:rsid w:val="00D02837"/>
    <w:rsid w:val="00D11769"/>
    <w:rsid w:val="00D123DC"/>
    <w:rsid w:val="00D14987"/>
    <w:rsid w:val="00D14E3A"/>
    <w:rsid w:val="00D204F5"/>
    <w:rsid w:val="00D32F66"/>
    <w:rsid w:val="00D40D7F"/>
    <w:rsid w:val="00D44A40"/>
    <w:rsid w:val="00D5042D"/>
    <w:rsid w:val="00D64AB9"/>
    <w:rsid w:val="00D7177A"/>
    <w:rsid w:val="00D90694"/>
    <w:rsid w:val="00D9318A"/>
    <w:rsid w:val="00D94CD4"/>
    <w:rsid w:val="00DA4143"/>
    <w:rsid w:val="00DB00B6"/>
    <w:rsid w:val="00DB3C8A"/>
    <w:rsid w:val="00DB6F5B"/>
    <w:rsid w:val="00DC4938"/>
    <w:rsid w:val="00DD6657"/>
    <w:rsid w:val="00DE4A9E"/>
    <w:rsid w:val="00E02B75"/>
    <w:rsid w:val="00E05B42"/>
    <w:rsid w:val="00E0726C"/>
    <w:rsid w:val="00E14D3C"/>
    <w:rsid w:val="00E15A50"/>
    <w:rsid w:val="00E22388"/>
    <w:rsid w:val="00E2369D"/>
    <w:rsid w:val="00E258CD"/>
    <w:rsid w:val="00E32C21"/>
    <w:rsid w:val="00E34D2C"/>
    <w:rsid w:val="00E3763E"/>
    <w:rsid w:val="00E41743"/>
    <w:rsid w:val="00E4316C"/>
    <w:rsid w:val="00E46441"/>
    <w:rsid w:val="00E54453"/>
    <w:rsid w:val="00E54FFA"/>
    <w:rsid w:val="00E71EB0"/>
    <w:rsid w:val="00E73CD1"/>
    <w:rsid w:val="00E80AF7"/>
    <w:rsid w:val="00E9571D"/>
    <w:rsid w:val="00E971BC"/>
    <w:rsid w:val="00EA0C6D"/>
    <w:rsid w:val="00EA6699"/>
    <w:rsid w:val="00EA75A5"/>
    <w:rsid w:val="00EB1E3A"/>
    <w:rsid w:val="00EB4033"/>
    <w:rsid w:val="00EB73C3"/>
    <w:rsid w:val="00EC2D57"/>
    <w:rsid w:val="00ED0545"/>
    <w:rsid w:val="00EE3C83"/>
    <w:rsid w:val="00EE715C"/>
    <w:rsid w:val="00F04B4C"/>
    <w:rsid w:val="00F05FC4"/>
    <w:rsid w:val="00F152FA"/>
    <w:rsid w:val="00F17360"/>
    <w:rsid w:val="00F23D05"/>
    <w:rsid w:val="00F242DA"/>
    <w:rsid w:val="00F24BF3"/>
    <w:rsid w:val="00F30B5D"/>
    <w:rsid w:val="00F3360F"/>
    <w:rsid w:val="00F42684"/>
    <w:rsid w:val="00F47226"/>
    <w:rsid w:val="00F5567D"/>
    <w:rsid w:val="00F57280"/>
    <w:rsid w:val="00F61E63"/>
    <w:rsid w:val="00F62FB3"/>
    <w:rsid w:val="00F63420"/>
    <w:rsid w:val="00F64C40"/>
    <w:rsid w:val="00F71A8D"/>
    <w:rsid w:val="00F71D83"/>
    <w:rsid w:val="00F7221A"/>
    <w:rsid w:val="00F81609"/>
    <w:rsid w:val="00F94995"/>
    <w:rsid w:val="00FB2B31"/>
    <w:rsid w:val="00FC2E73"/>
    <w:rsid w:val="00FC6E6C"/>
    <w:rsid w:val="00FD44A8"/>
    <w:rsid w:val="00FE2024"/>
    <w:rsid w:val="00FE508B"/>
    <w:rsid w:val="00FE51C1"/>
    <w:rsid w:val="00FE6556"/>
    <w:rsid w:val="00FE72EE"/>
    <w:rsid w:val="00FF4FBA"/>
    <w:rsid w:val="00FF6E00"/>
    <w:rsid w:val="07F17D59"/>
    <w:rsid w:val="0DF113EA"/>
    <w:rsid w:val="11923040"/>
    <w:rsid w:val="159A33B0"/>
    <w:rsid w:val="242B47D1"/>
    <w:rsid w:val="26F855C1"/>
    <w:rsid w:val="2B79296C"/>
    <w:rsid w:val="31614F93"/>
    <w:rsid w:val="398E785E"/>
    <w:rsid w:val="3E987F7C"/>
    <w:rsid w:val="407C6AB8"/>
    <w:rsid w:val="41C32F69"/>
    <w:rsid w:val="50657BC5"/>
    <w:rsid w:val="524205F6"/>
    <w:rsid w:val="547776C1"/>
    <w:rsid w:val="5D7431ED"/>
    <w:rsid w:val="5D7D3AE9"/>
    <w:rsid w:val="5F01496B"/>
    <w:rsid w:val="5FE1587C"/>
    <w:rsid w:val="61B72149"/>
    <w:rsid w:val="626A0D3A"/>
    <w:rsid w:val="6D1E19C3"/>
    <w:rsid w:val="764A4885"/>
    <w:rsid w:val="7AAF30D6"/>
    <w:rsid w:val="7D883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Normal Indent"/>
    <w:basedOn w:val="1"/>
    <w:link w:val="36"/>
    <w:qFormat/>
    <w:uiPriority w:val="0"/>
    <w:pPr>
      <w:ind w:firstLine="420"/>
    </w:pPr>
  </w:style>
  <w:style w:type="paragraph" w:styleId="5">
    <w:name w:val="annotation text"/>
    <w:basedOn w:val="1"/>
    <w:link w:val="30"/>
    <w:unhideWhenUsed/>
    <w:qFormat/>
    <w:uiPriority w:val="99"/>
    <w:pPr>
      <w:jc w:val="left"/>
    </w:pPr>
  </w:style>
  <w:style w:type="paragraph" w:styleId="6">
    <w:name w:val="Body Text"/>
    <w:basedOn w:val="1"/>
    <w:link w:val="42"/>
    <w:semiHidden/>
    <w:unhideWhenUsed/>
    <w:uiPriority w:val="99"/>
    <w:pPr>
      <w:spacing w:after="120"/>
    </w:pPr>
  </w:style>
  <w:style w:type="paragraph" w:styleId="7">
    <w:name w:val="toc 3"/>
    <w:basedOn w:val="1"/>
    <w:next w:val="1"/>
    <w:unhideWhenUsed/>
    <w:qFormat/>
    <w:uiPriority w:val="39"/>
    <w:pPr>
      <w:widowControl/>
      <w:spacing w:after="100" w:line="276" w:lineRule="auto"/>
      <w:ind w:left="440"/>
      <w:jc w:val="left"/>
    </w:pPr>
    <w:rPr>
      <w:kern w:val="0"/>
      <w:sz w:val="22"/>
    </w:rPr>
  </w:style>
  <w:style w:type="paragraph" w:styleId="8">
    <w:name w:val="Plain Text"/>
    <w:basedOn w:val="1"/>
    <w:link w:val="33"/>
    <w:qFormat/>
    <w:uiPriority w:val="0"/>
    <w:rPr>
      <w:rFonts w:ascii="宋体" w:hAnsi="Courier New" w:cs="Courier New"/>
      <w:szCs w:val="21"/>
    </w:rPr>
  </w:style>
  <w:style w:type="paragraph" w:styleId="9">
    <w:name w:val="Body Text Indent 2"/>
    <w:basedOn w:val="1"/>
    <w:link w:val="41"/>
    <w:uiPriority w:val="0"/>
    <w:pPr>
      <w:adjustRightInd w:val="0"/>
      <w:spacing w:line="312" w:lineRule="atLeast"/>
      <w:ind w:firstLine="454"/>
      <w:textAlignment w:val="baseline"/>
    </w:pPr>
    <w:rPr>
      <w:rFonts w:ascii="宋体" w:hAnsi="宋体" w:eastAsia="宋体" w:cs="Times New Roman"/>
      <w:kern w:val="0"/>
      <w:sz w:val="28"/>
      <w:szCs w:val="20"/>
    </w:rPr>
  </w:style>
  <w:style w:type="paragraph" w:styleId="10">
    <w:name w:val="endnote text"/>
    <w:basedOn w:val="1"/>
    <w:link w:val="32"/>
    <w:unhideWhenUsed/>
    <w:qFormat/>
    <w:uiPriority w:val="99"/>
    <w:pPr>
      <w:snapToGrid w:val="0"/>
      <w:jc w:val="left"/>
    </w:pPr>
  </w:style>
  <w:style w:type="paragraph" w:styleId="11">
    <w:name w:val="Balloon Text"/>
    <w:basedOn w:val="1"/>
    <w:link w:val="26"/>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5"/>
    <w:next w:val="2"/>
    <w:unhideWhenUsed/>
    <w:qFormat/>
    <w:uiPriority w:val="39"/>
    <w:pPr>
      <w:widowControl/>
      <w:spacing w:line="440" w:lineRule="exact"/>
      <w:jc w:val="left"/>
    </w:pPr>
    <w:rPr>
      <w:rFonts w:eastAsia="黑体"/>
      <w:b/>
      <w:i w:val="0"/>
      <w:kern w:val="0"/>
      <w:sz w:val="28"/>
    </w:rPr>
  </w:style>
  <w:style w:type="paragraph" w:customStyle="1" w:styleId="15">
    <w:name w:val="引用1"/>
    <w:basedOn w:val="1"/>
    <w:next w:val="1"/>
    <w:link w:val="35"/>
    <w:qFormat/>
    <w:uiPriority w:val="29"/>
    <w:rPr>
      <w:i/>
      <w:iCs/>
      <w:color w:val="000000" w:themeColor="text1"/>
    </w:rPr>
  </w:style>
  <w:style w:type="paragraph" w:styleId="16">
    <w:name w:val="toc 2"/>
    <w:basedOn w:val="15"/>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7">
    <w:name w:val="annotation subject"/>
    <w:basedOn w:val="5"/>
    <w:next w:val="5"/>
    <w:link w:val="37"/>
    <w:unhideWhenUsed/>
    <w:qFormat/>
    <w:uiPriority w:val="99"/>
    <w:rPr>
      <w:b/>
      <w:bCs/>
    </w:rPr>
  </w:style>
  <w:style w:type="character" w:styleId="20">
    <w:name w:val="Strong"/>
    <w:qFormat/>
    <w:uiPriority w:val="22"/>
    <w:rPr>
      <w:b/>
    </w:rPr>
  </w:style>
  <w:style w:type="character" w:styleId="21">
    <w:name w:val="endnote reference"/>
    <w:basedOn w:val="19"/>
    <w:unhideWhenUsed/>
    <w:qFormat/>
    <w:uiPriority w:val="99"/>
    <w:rPr>
      <w:vertAlign w:val="superscript"/>
    </w:rPr>
  </w:style>
  <w:style w:type="character" w:styleId="22">
    <w:name w:val="Hyperlink"/>
    <w:basedOn w:val="19"/>
    <w:unhideWhenUsed/>
    <w:qFormat/>
    <w:uiPriority w:val="99"/>
    <w:rPr>
      <w:color w:val="0000FF" w:themeColor="hyperlink"/>
      <w:u w:val="single"/>
    </w:rPr>
  </w:style>
  <w:style w:type="character" w:styleId="23">
    <w:name w:val="annotation reference"/>
    <w:qFormat/>
    <w:uiPriority w:val="99"/>
    <w:rPr>
      <w:sz w:val="21"/>
    </w:rPr>
  </w:style>
  <w:style w:type="character" w:customStyle="1" w:styleId="24">
    <w:name w:val="页眉 Char"/>
    <w:basedOn w:val="19"/>
    <w:link w:val="13"/>
    <w:qFormat/>
    <w:uiPriority w:val="99"/>
    <w:rPr>
      <w:sz w:val="18"/>
      <w:szCs w:val="18"/>
    </w:rPr>
  </w:style>
  <w:style w:type="character" w:customStyle="1" w:styleId="25">
    <w:name w:val="页脚 Char"/>
    <w:basedOn w:val="19"/>
    <w:link w:val="12"/>
    <w:qFormat/>
    <w:uiPriority w:val="99"/>
    <w:rPr>
      <w:sz w:val="18"/>
      <w:szCs w:val="18"/>
    </w:rPr>
  </w:style>
  <w:style w:type="character" w:customStyle="1" w:styleId="26">
    <w:name w:val="批注框文本 Char"/>
    <w:basedOn w:val="19"/>
    <w:link w:val="11"/>
    <w:semiHidden/>
    <w:qFormat/>
    <w:uiPriority w:val="99"/>
    <w:rPr>
      <w:sz w:val="18"/>
      <w:szCs w:val="18"/>
    </w:rPr>
  </w:style>
  <w:style w:type="paragraph" w:customStyle="1" w:styleId="27">
    <w:name w:val="列出段落1"/>
    <w:basedOn w:val="1"/>
    <w:qFormat/>
    <w:uiPriority w:val="34"/>
    <w:pPr>
      <w:ind w:firstLine="420" w:firstLineChars="200"/>
    </w:pPr>
  </w:style>
  <w:style w:type="character" w:customStyle="1" w:styleId="28">
    <w:name w:val="标题 1 Char"/>
    <w:basedOn w:val="19"/>
    <w:link w:val="2"/>
    <w:qFormat/>
    <w:uiPriority w:val="9"/>
    <w:rPr>
      <w:b/>
      <w:bCs/>
      <w:kern w:val="44"/>
      <w:sz w:val="44"/>
      <w:szCs w:val="44"/>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文字 Char"/>
    <w:basedOn w:val="19"/>
    <w:link w:val="5"/>
    <w:qFormat/>
    <w:uiPriority w:val="99"/>
  </w:style>
  <w:style w:type="character" w:customStyle="1" w:styleId="31">
    <w:name w:val="标题 2 Char"/>
    <w:basedOn w:val="19"/>
    <w:link w:val="3"/>
    <w:qFormat/>
    <w:uiPriority w:val="9"/>
    <w:rPr>
      <w:rFonts w:asciiTheme="majorHAnsi" w:hAnsiTheme="majorHAnsi" w:eastAsiaTheme="majorEastAsia" w:cstheme="majorBidi"/>
      <w:b/>
      <w:bCs/>
      <w:sz w:val="32"/>
      <w:szCs w:val="32"/>
    </w:rPr>
  </w:style>
  <w:style w:type="character" w:customStyle="1" w:styleId="32">
    <w:name w:val="尾注文本 Char"/>
    <w:basedOn w:val="19"/>
    <w:link w:val="10"/>
    <w:semiHidden/>
    <w:qFormat/>
    <w:uiPriority w:val="99"/>
  </w:style>
  <w:style w:type="character" w:customStyle="1" w:styleId="33">
    <w:name w:val="纯文本 Char"/>
    <w:link w:val="8"/>
    <w:qFormat/>
    <w:uiPriority w:val="0"/>
    <w:rPr>
      <w:rFonts w:ascii="宋体" w:hAnsi="Courier New" w:cs="Courier New"/>
      <w:szCs w:val="21"/>
    </w:rPr>
  </w:style>
  <w:style w:type="character" w:customStyle="1" w:styleId="34">
    <w:name w:val="纯文本 Char1"/>
    <w:basedOn w:val="19"/>
    <w:semiHidden/>
    <w:uiPriority w:val="99"/>
    <w:rPr>
      <w:rFonts w:ascii="宋体" w:hAnsi="Courier New" w:eastAsia="宋体" w:cs="Courier New"/>
      <w:szCs w:val="21"/>
    </w:rPr>
  </w:style>
  <w:style w:type="character" w:customStyle="1" w:styleId="35">
    <w:name w:val="引用 Char"/>
    <w:basedOn w:val="19"/>
    <w:link w:val="15"/>
    <w:qFormat/>
    <w:uiPriority w:val="29"/>
    <w:rPr>
      <w:i/>
      <w:iCs/>
      <w:color w:val="000000" w:themeColor="text1"/>
    </w:rPr>
  </w:style>
  <w:style w:type="character" w:customStyle="1" w:styleId="36">
    <w:name w:val="正文缩进 Char"/>
    <w:link w:val="4"/>
    <w:qFormat/>
    <w:uiPriority w:val="0"/>
  </w:style>
  <w:style w:type="character" w:customStyle="1" w:styleId="37">
    <w:name w:val="批注主题 Char"/>
    <w:basedOn w:val="30"/>
    <w:link w:val="17"/>
    <w:semiHidden/>
    <w:qFormat/>
    <w:uiPriority w:val="99"/>
    <w:rPr>
      <w:b/>
      <w:bCs/>
    </w:rPr>
  </w:style>
  <w:style w:type="paragraph" w:styleId="38">
    <w:name w:val="List Paragraph"/>
    <w:basedOn w:val="1"/>
    <w:unhideWhenUsed/>
    <w:qFormat/>
    <w:uiPriority w:val="34"/>
    <w:pPr>
      <w:ind w:firstLine="420" w:firstLineChars="200"/>
    </w:pPr>
  </w:style>
  <w:style w:type="paragraph" w:customStyle="1" w:styleId="39">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0">
    <w:name w:val="Table Paragraph"/>
    <w:basedOn w:val="1"/>
    <w:qFormat/>
    <w:uiPriority w:val="1"/>
    <w:pPr>
      <w:spacing w:line="360" w:lineRule="auto"/>
      <w:jc w:val="left"/>
    </w:pPr>
    <w:rPr>
      <w:rFonts w:ascii="Calibri" w:hAnsi="Calibri" w:eastAsia="宋体" w:cs="Times New Roman"/>
      <w:kern w:val="0"/>
      <w:lang w:eastAsia="en-US"/>
    </w:rPr>
  </w:style>
  <w:style w:type="character" w:customStyle="1" w:styleId="41">
    <w:name w:val="正文文本缩进 2 Char"/>
    <w:basedOn w:val="19"/>
    <w:link w:val="9"/>
    <w:qFormat/>
    <w:uiPriority w:val="0"/>
    <w:rPr>
      <w:rFonts w:ascii="宋体" w:hAnsi="宋体"/>
      <w:sz w:val="28"/>
    </w:rPr>
  </w:style>
  <w:style w:type="character" w:customStyle="1" w:styleId="42">
    <w:name w:val="正文文本 Char"/>
    <w:basedOn w:val="19"/>
    <w:link w:val="6"/>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12A72F-71C1-4403-A017-EFA28B4820D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71</Pages>
  <Words>33331</Words>
  <Characters>34286</Characters>
  <Lines>314</Lines>
  <Paragraphs>88</Paragraphs>
  <TotalTime>233</TotalTime>
  <ScaleCrop>false</ScaleCrop>
  <LinksUpToDate>false</LinksUpToDate>
  <CharactersWithSpaces>38560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502-2</dc:creator>
  <cp:lastModifiedBy>周玉洁</cp:lastModifiedBy>
  <cp:lastPrinted>2018-12-28T06:05:00Z</cp:lastPrinted>
  <dcterms:modified xsi:type="dcterms:W3CDTF">2024-02-02T09:20:55Z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F8E15069A2854273B71DE51E97E183EC</vt:lpwstr>
  </property>
</Properties>
</file>