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72"/>
          <w:szCs w:val="72"/>
        </w:rPr>
      </w:pPr>
      <w:r>
        <w:rPr>
          <w:rFonts w:hint="eastAsia" w:ascii="黑体" w:hAnsi="黑体" w:eastAsia="黑体"/>
          <w:b/>
          <w:sz w:val="72"/>
          <w:szCs w:val="72"/>
        </w:rPr>
        <w:t xml:space="preserve"> </w:t>
      </w:r>
    </w:p>
    <w:p>
      <w:pPr>
        <w:spacing w:afterLines="300"/>
        <w:jc w:val="center"/>
        <w:rPr>
          <w:rFonts w:ascii="黑体" w:hAnsi="黑体" w:eastAsia="黑体"/>
          <w:b/>
          <w:sz w:val="96"/>
          <w:szCs w:val="96"/>
        </w:rPr>
      </w:pPr>
      <w:r>
        <w:rPr>
          <w:rFonts w:hint="eastAsia" w:ascii="黑体" w:hAnsi="黑体" w:eastAsia="黑体"/>
          <w:b/>
          <w:sz w:val="72"/>
          <w:szCs w:val="72"/>
        </w:rPr>
        <w:t>阳新县政府采购项目</w:t>
      </w:r>
    </w:p>
    <w:p>
      <w:pPr>
        <w:spacing w:afterLines="300"/>
        <w:jc w:val="center"/>
        <w:rPr>
          <w:rFonts w:ascii="黑体" w:hAnsi="黑体" w:eastAsia="黑体"/>
          <w:b/>
          <w:sz w:val="72"/>
          <w:szCs w:val="72"/>
        </w:rPr>
      </w:pPr>
      <w:r>
        <w:rPr>
          <w:rFonts w:hint="eastAsia" w:ascii="黑体" w:hAnsi="黑体" w:eastAsia="黑体"/>
          <w:b/>
          <w:sz w:val="72"/>
          <w:szCs w:val="72"/>
        </w:rPr>
        <w:t>招 标 文 件</w:t>
      </w:r>
    </w:p>
    <w:p>
      <w:pPr>
        <w:spacing w:line="360" w:lineRule="auto"/>
        <w:ind w:left="2051" w:leftChars="619" w:right="1306" w:rightChars="622" w:hanging="752" w:hangingChars="209"/>
        <w:rPr>
          <w:rFonts w:ascii="宋体" w:hAnsi="宋体" w:eastAsia="宋体" w:cs="Times New Roman"/>
          <w:sz w:val="36"/>
          <w:szCs w:val="36"/>
        </w:rPr>
      </w:pPr>
      <w:r>
        <w:rPr>
          <w:rFonts w:hint="eastAsia" w:ascii="黑体" w:hAnsi="黑体" w:eastAsia="黑体" w:cs="Times New Roman"/>
          <w:b/>
          <w:bCs/>
          <w:sz w:val="36"/>
          <w:szCs w:val="24"/>
        </w:rPr>
        <w:t>项目编号：</w:t>
      </w:r>
      <w:r>
        <w:rPr>
          <w:rFonts w:hint="eastAsia" w:ascii="宋体" w:hAnsi="宋体" w:eastAsia="宋体" w:cs="Times New Roman"/>
          <w:sz w:val="36"/>
          <w:szCs w:val="36"/>
        </w:rPr>
        <w:t>131－Zcg·2019－</w:t>
      </w:r>
      <w:r>
        <w:rPr>
          <w:rFonts w:hint="eastAsia" w:ascii="宋体" w:hAnsi="宋体" w:eastAsia="宋体" w:cs="Times New Roman"/>
          <w:sz w:val="36"/>
          <w:szCs w:val="36"/>
          <w:lang w:val="en-US" w:eastAsia="zh-CN"/>
        </w:rPr>
        <w:t>51</w:t>
      </w:r>
    </w:p>
    <w:p>
      <w:pPr>
        <w:spacing w:line="360" w:lineRule="auto"/>
        <w:ind w:left="3131" w:leftChars="619" w:right="703" w:rightChars="335" w:hanging="1832" w:hangingChars="509"/>
        <w:rPr>
          <w:rFonts w:ascii="华文中宋" w:hAnsi="华文中宋" w:eastAsia="华文中宋" w:cs="Times New Roman"/>
          <w:sz w:val="32"/>
          <w:szCs w:val="20"/>
        </w:rPr>
      </w:pPr>
      <w:r>
        <w:rPr>
          <w:rFonts w:hint="eastAsia" w:ascii="黑体" w:hAnsi="黑体" w:eastAsia="黑体" w:cs="Times New Roman"/>
          <w:b/>
          <w:bCs/>
          <w:sz w:val="36"/>
          <w:szCs w:val="24"/>
        </w:rPr>
        <w:t>项目名称：</w:t>
      </w:r>
      <w:r>
        <w:rPr>
          <w:rFonts w:hint="eastAsia" w:ascii="宋体" w:hAnsi="宋体" w:eastAsia="宋体" w:cs="Times New Roman"/>
          <w:bCs/>
          <w:sz w:val="24"/>
          <w:szCs w:val="24"/>
        </w:rPr>
        <w:t>阳新县农产品销售服务类企业供应商选择</w:t>
      </w:r>
    </w:p>
    <w:p>
      <w:pPr>
        <w:pStyle w:val="15"/>
        <w:spacing w:line="525" w:lineRule="atLeast"/>
        <w:jc w:val="both"/>
      </w:pPr>
      <w:r>
        <w:rPr>
          <w:rFonts w:hint="eastAsia" w:ascii="黑体" w:hAnsi="黑体" w:eastAsia="黑体" w:cs="Times New Roman"/>
          <w:b/>
          <w:bCs/>
          <w:sz w:val="36"/>
        </w:rPr>
        <w:t xml:space="preserve">       招标内容：</w:t>
      </w:r>
      <w:r>
        <w:rPr>
          <w:rFonts w:hint="eastAsia" w:ascii="宋体" w:hAnsi="宋体" w:eastAsia="宋体" w:cs="Times New Roman"/>
          <w:bCs/>
          <w:sz w:val="24"/>
          <w:szCs w:val="24"/>
        </w:rPr>
        <w:t>农产品销售服务类企业供应商选择</w:t>
      </w:r>
    </w:p>
    <w:p>
      <w:pPr>
        <w:spacing w:line="360" w:lineRule="auto"/>
        <w:ind w:left="2051" w:leftChars="619" w:right="1306" w:rightChars="622" w:hanging="752" w:hangingChars="209"/>
        <w:rPr>
          <w:rFonts w:ascii="宋体" w:hAnsi="宋体" w:eastAsia="宋体" w:cs="Times New Roman"/>
          <w:sz w:val="36"/>
          <w:szCs w:val="36"/>
        </w:rPr>
      </w:pPr>
    </w:p>
    <w:p>
      <w:pPr>
        <w:spacing w:afterLines="600" w:line="360" w:lineRule="auto"/>
        <w:ind w:right="569" w:rightChars="271"/>
        <w:rPr>
          <w:rFonts w:ascii="宋体" w:hAnsi="宋体" w:eastAsia="宋体" w:cs="Times New Roman"/>
          <w:sz w:val="36"/>
          <w:szCs w:val="36"/>
        </w:rPr>
      </w:pPr>
    </w:p>
    <w:p>
      <w:pPr>
        <w:tabs>
          <w:tab w:val="left" w:pos="7939"/>
        </w:tabs>
        <w:spacing w:line="360" w:lineRule="auto"/>
        <w:jc w:val="center"/>
        <w:rPr>
          <w:rFonts w:ascii="黑体" w:hAnsi="黑体" w:eastAsia="黑体"/>
          <w:b/>
          <w:sz w:val="44"/>
        </w:rPr>
      </w:pPr>
      <w:r>
        <w:rPr>
          <w:rFonts w:hint="eastAsia" w:ascii="黑体" w:hAnsi="黑体" w:eastAsia="黑体"/>
          <w:b/>
          <w:sz w:val="44"/>
        </w:rPr>
        <w:t>阳新县公共资源交易中心</w:t>
      </w:r>
    </w:p>
    <w:p>
      <w:pPr>
        <w:jc w:val="center"/>
        <w:rPr>
          <w:rFonts w:ascii="黑体" w:hAnsi="黑体" w:eastAsia="黑体"/>
          <w:b/>
          <w:color w:val="FF0000"/>
          <w:sz w:val="44"/>
        </w:rPr>
      </w:pPr>
      <w:r>
        <w:rPr>
          <w:rFonts w:hint="eastAsia" w:ascii="黑体" w:hAnsi="黑体" w:eastAsia="黑体"/>
          <w:b/>
          <w:sz w:val="44"/>
        </w:rPr>
        <w:t>二0一九年四月</w:t>
      </w:r>
    </w:p>
    <w:p/>
    <w:p>
      <w:pPr>
        <w:widowControl/>
        <w:jc w:val="left"/>
        <w:sectPr>
          <w:headerReference r:id="rId3" w:type="default"/>
          <w:footerReference r:id="rId4" w:type="default"/>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sectPr>
          <w:footerReference r:id="rId5" w:type="default"/>
          <w:pgSz w:w="11906" w:h="16838"/>
          <w:pgMar w:top="1134" w:right="1191" w:bottom="1134" w:left="1191" w:header="851" w:footer="851" w:gutter="0"/>
          <w:cols w:space="425" w:num="1"/>
          <w:docGrid w:type="linesAndChar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2"/>
            <w:tabs>
              <w:tab w:val="left" w:pos="1260"/>
              <w:tab w:val="right" w:leader="dot" w:pos="9514"/>
            </w:tabs>
            <w:rPr>
              <w:rFonts w:eastAsia="黑体" w:asciiTheme="minorHAnsi" w:hAnsiTheme="minorHAnsi" w:cstheme="minorBidi"/>
              <w:b/>
              <w:i w:val="0"/>
              <w:iCs/>
              <w:color w:val="000000" w:themeColor="text1"/>
              <w:kern w:val="0"/>
              <w:sz w:val="28"/>
              <w:szCs w:val="22"/>
              <w:lang w:val="en-US" w:eastAsia="zh-CN" w:bidi="ar-SA"/>
              <w14:textFill>
                <w14:solidFill>
                  <w14:schemeClr w14:val="tx1"/>
                </w14:solidFill>
              </w14:textFill>
            </w:rPr>
          </w:pPr>
          <w:r>
            <w:fldChar w:fldCharType="begin"/>
          </w:r>
          <w:r>
            <w:instrText xml:space="preserve"> TOC \o "1-2" \h \z \u </w:instrText>
          </w:r>
          <w:r>
            <w:fldChar w:fldCharType="separate"/>
          </w:r>
        </w:p>
        <w:p>
          <w:pPr>
            <w:pStyle w:val="12"/>
            <w:tabs>
              <w:tab w:val="right" w:leader="dot" w:pos="9524"/>
            </w:tabs>
          </w:pPr>
          <w:r>
            <w:fldChar w:fldCharType="begin"/>
          </w:r>
          <w:r>
            <w:instrText xml:space="preserve"> HYPERLINK \l _Toc28071 </w:instrText>
          </w:r>
          <w:r>
            <w:fldChar w:fldCharType="separate"/>
          </w:r>
          <w:r>
            <w:rPr>
              <w:rFonts w:hint="eastAsia" w:ascii="黑体" w:hAnsi="黑体" w:eastAsia="黑体"/>
            </w:rPr>
            <w:t>第一章 投标邀请书</w:t>
          </w:r>
          <w:r>
            <w:tab/>
          </w:r>
          <w:r>
            <w:fldChar w:fldCharType="begin"/>
          </w:r>
          <w:r>
            <w:instrText xml:space="preserve"> PAGEREF _Toc28071 </w:instrText>
          </w:r>
          <w:r>
            <w:fldChar w:fldCharType="separate"/>
          </w:r>
          <w:r>
            <w:t>5</w:t>
          </w:r>
          <w:r>
            <w:fldChar w:fldCharType="end"/>
          </w:r>
          <w:r>
            <w:fldChar w:fldCharType="end"/>
          </w:r>
        </w:p>
        <w:p>
          <w:pPr>
            <w:pStyle w:val="12"/>
            <w:tabs>
              <w:tab w:val="right" w:leader="dot" w:pos="9524"/>
            </w:tabs>
          </w:pPr>
          <w:r>
            <w:fldChar w:fldCharType="begin"/>
          </w:r>
          <w:r>
            <w:instrText xml:space="preserve"> HYPERLINK \l _Toc16325 </w:instrText>
          </w:r>
          <w:r>
            <w:fldChar w:fldCharType="separate"/>
          </w:r>
          <w:r>
            <w:rPr>
              <w:rFonts w:hint="eastAsia" w:ascii="黑体" w:hAnsi="黑体" w:eastAsia="黑体"/>
            </w:rPr>
            <w:t>第二章 投标人须知</w:t>
          </w:r>
          <w:r>
            <w:tab/>
          </w:r>
          <w:r>
            <w:fldChar w:fldCharType="begin"/>
          </w:r>
          <w:r>
            <w:instrText xml:space="preserve"> PAGEREF _Toc16325 </w:instrText>
          </w:r>
          <w:r>
            <w:fldChar w:fldCharType="separate"/>
          </w:r>
          <w:r>
            <w:t>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_Toc11548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_Toc11548 </w:instrText>
          </w:r>
          <w:r>
            <w:fldChar w:fldCharType="separate"/>
          </w:r>
          <w:r>
            <w:t>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_Toc17905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_Toc17905 </w:instrText>
          </w:r>
          <w:r>
            <w:fldChar w:fldCharType="separate"/>
          </w:r>
          <w:r>
            <w:t>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_Toc29975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_Toc29975 </w:instrText>
          </w:r>
          <w:r>
            <w:fldChar w:fldCharType="separate"/>
          </w:r>
          <w:r>
            <w:t>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_Toc26151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_Toc26151 </w:instrText>
          </w:r>
          <w:r>
            <w:fldChar w:fldCharType="separate"/>
          </w:r>
          <w:r>
            <w:t>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_Toc5404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_Toc5404 </w:instrText>
          </w:r>
          <w:r>
            <w:fldChar w:fldCharType="separate"/>
          </w:r>
          <w:r>
            <w:t>10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_Toc18622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_Toc18622 </w:instrText>
          </w:r>
          <w:r>
            <w:fldChar w:fldCharType="separate"/>
          </w:r>
          <w:r>
            <w:t>13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_Toc22406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_Toc22406 </w:instrText>
          </w:r>
          <w:r>
            <w:fldChar w:fldCharType="separate"/>
          </w:r>
          <w:r>
            <w:t>15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_Toc11414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_Toc11414 </w:instrText>
          </w:r>
          <w:r>
            <w:fldChar w:fldCharType="separate"/>
          </w:r>
          <w:r>
            <w:t>16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_Toc28123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_Toc28123 </w:instrText>
          </w:r>
          <w:r>
            <w:fldChar w:fldCharType="separate"/>
          </w:r>
          <w:r>
            <w:t>17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_Toc23201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_Toc23201 </w:instrText>
          </w:r>
          <w:r>
            <w:fldChar w:fldCharType="separate"/>
          </w:r>
          <w:r>
            <w:t>17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_Toc27839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_Toc27839 </w:instrText>
          </w:r>
          <w:r>
            <w:fldChar w:fldCharType="separate"/>
          </w:r>
          <w:r>
            <w:t>18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_Toc11906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_Toc11906 </w:instrText>
          </w:r>
          <w:r>
            <w:fldChar w:fldCharType="separate"/>
          </w:r>
          <w:r>
            <w:t>18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_Toc15509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_Toc15509 </w:instrText>
          </w:r>
          <w:r>
            <w:fldChar w:fldCharType="separate"/>
          </w:r>
          <w:r>
            <w:t>18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_Toc9522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_Toc9522 </w:instrText>
          </w:r>
          <w:r>
            <w:fldChar w:fldCharType="separate"/>
          </w:r>
          <w:r>
            <w:t>19</w:t>
          </w:r>
          <w:r>
            <w:fldChar w:fldCharType="end"/>
          </w:r>
          <w:r>
            <w:fldChar w:fldCharType="end"/>
          </w:r>
        </w:p>
        <w:p>
          <w:pPr>
            <w:pStyle w:val="12"/>
            <w:tabs>
              <w:tab w:val="right" w:leader="dot" w:pos="9524"/>
            </w:tabs>
          </w:pPr>
          <w:r>
            <w:fldChar w:fldCharType="begin"/>
          </w:r>
          <w:r>
            <w:instrText xml:space="preserve"> HYPERLINK \l _Toc19471 </w:instrText>
          </w:r>
          <w:r>
            <w:fldChar w:fldCharType="separate"/>
          </w:r>
          <w:r>
            <w:rPr>
              <w:rFonts w:hint="eastAsia" w:ascii="黑体" w:hAnsi="黑体" w:eastAsia="黑体"/>
            </w:rPr>
            <w:t>第三章 项目技术、服务及商务要求</w:t>
          </w:r>
          <w:r>
            <w:tab/>
          </w:r>
          <w:r>
            <w:fldChar w:fldCharType="begin"/>
          </w:r>
          <w:r>
            <w:instrText xml:space="preserve"> PAGEREF _Toc19471 </w:instrText>
          </w:r>
          <w:r>
            <w:fldChar w:fldCharType="separate"/>
          </w:r>
          <w:r>
            <w:t>20</w:t>
          </w:r>
          <w:r>
            <w:fldChar w:fldCharType="end"/>
          </w:r>
          <w:r>
            <w:fldChar w:fldCharType="end"/>
          </w:r>
        </w:p>
        <w:p>
          <w:pPr>
            <w:pStyle w:val="12"/>
            <w:tabs>
              <w:tab w:val="right" w:leader="dot" w:pos="9524"/>
            </w:tabs>
          </w:pPr>
          <w:r>
            <w:fldChar w:fldCharType="begin"/>
          </w:r>
          <w:r>
            <w:instrText xml:space="preserve"> HYPERLINK \l _Toc10704 </w:instrText>
          </w:r>
          <w:r>
            <w:fldChar w:fldCharType="separate"/>
          </w:r>
          <w:r>
            <w:rPr>
              <w:rFonts w:hint="eastAsia" w:ascii="黑体" w:hAnsi="黑体" w:eastAsia="黑体"/>
            </w:rPr>
            <w:t>第四章 资格审查方法及标准</w:t>
          </w:r>
          <w:r>
            <w:tab/>
          </w:r>
          <w:r>
            <w:fldChar w:fldCharType="begin"/>
          </w:r>
          <w:r>
            <w:instrText xml:space="preserve"> PAGEREF _Toc10704 </w:instrText>
          </w:r>
          <w:r>
            <w:fldChar w:fldCharType="separate"/>
          </w:r>
          <w:r>
            <w:t>22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_Toc31792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_Toc31792 </w:instrText>
          </w:r>
          <w:r>
            <w:fldChar w:fldCharType="separate"/>
          </w:r>
          <w:r>
            <w:t>22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_Toc23057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_Toc23057 </w:instrText>
          </w:r>
          <w:r>
            <w:fldChar w:fldCharType="separate"/>
          </w:r>
          <w:r>
            <w:t>22</w:t>
          </w:r>
          <w:r>
            <w:fldChar w:fldCharType="end"/>
          </w:r>
          <w:r>
            <w:fldChar w:fldCharType="end"/>
          </w:r>
        </w:p>
        <w:p>
          <w:pPr>
            <w:pStyle w:val="12"/>
            <w:tabs>
              <w:tab w:val="right" w:leader="dot" w:pos="9524"/>
            </w:tabs>
          </w:pPr>
          <w:r>
            <w:fldChar w:fldCharType="begin"/>
          </w:r>
          <w:r>
            <w:instrText xml:space="preserve"> HYPERLINK \l _Toc14750 </w:instrText>
          </w:r>
          <w:r>
            <w:fldChar w:fldCharType="separate"/>
          </w:r>
          <w:r>
            <w:rPr>
              <w:rFonts w:hint="eastAsia" w:ascii="黑体" w:hAnsi="黑体" w:eastAsia="黑体"/>
            </w:rPr>
            <w:t>第五章 评标方法、程序及标准</w:t>
          </w:r>
          <w:r>
            <w:tab/>
          </w:r>
          <w:r>
            <w:fldChar w:fldCharType="begin"/>
          </w:r>
          <w:r>
            <w:instrText xml:space="preserve"> PAGEREF _Toc14750 </w:instrText>
          </w:r>
          <w:r>
            <w:fldChar w:fldCharType="separate"/>
          </w:r>
          <w:r>
            <w:t>24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_Toc1755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_Toc1755 </w:instrText>
          </w:r>
          <w:r>
            <w:fldChar w:fldCharType="separate"/>
          </w:r>
          <w:r>
            <w:t>24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_Toc5418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_Toc5418 </w:instrText>
          </w:r>
          <w:r>
            <w:fldChar w:fldCharType="separate"/>
          </w:r>
          <w:r>
            <w:t>24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_Toc6932 </w:instrText>
          </w:r>
          <w:r>
            <w:fldChar w:fldCharType="separate"/>
          </w:r>
          <w:r>
            <w:rPr>
              <w:rFonts w:hint="eastAsia" w:cs="Times New Roman" w:asciiTheme="majorEastAsia" w:hAnsiTheme="majorEastAsia"/>
              <w:bCs w:val="0"/>
              <w:szCs w:val="30"/>
              <w:lang w:val="zh-CN"/>
            </w:rPr>
            <w:t>三、 评审因素及评分标准</w:t>
          </w:r>
          <w:r>
            <w:tab/>
          </w:r>
          <w:r>
            <w:fldChar w:fldCharType="begin"/>
          </w:r>
          <w:r>
            <w:instrText xml:space="preserve"> PAGEREF _Toc6932 </w:instrText>
          </w:r>
          <w:r>
            <w:fldChar w:fldCharType="separate"/>
          </w:r>
          <w:r>
            <w:t>26</w:t>
          </w:r>
          <w:r>
            <w:fldChar w:fldCharType="end"/>
          </w:r>
          <w:r>
            <w:fldChar w:fldCharType="end"/>
          </w:r>
        </w:p>
        <w:p>
          <w:pPr>
            <w:pStyle w:val="12"/>
            <w:tabs>
              <w:tab w:val="right" w:leader="dot" w:pos="9524"/>
            </w:tabs>
          </w:pPr>
          <w:r>
            <w:fldChar w:fldCharType="begin"/>
          </w:r>
          <w:r>
            <w:instrText xml:space="preserve"> HYPERLINK \l _Toc32254 </w:instrText>
          </w:r>
          <w:r>
            <w:fldChar w:fldCharType="separate"/>
          </w:r>
          <w:r>
            <w:rPr>
              <w:rFonts w:hint="eastAsia" w:ascii="黑体" w:hAnsi="黑体" w:eastAsia="黑体"/>
            </w:rPr>
            <w:t>第六章 合同书格式（参考）</w:t>
          </w:r>
          <w:r>
            <w:tab/>
          </w:r>
          <w:r>
            <w:fldChar w:fldCharType="begin"/>
          </w:r>
          <w:r>
            <w:instrText xml:space="preserve"> PAGEREF _Toc32254 </w:instrText>
          </w:r>
          <w:r>
            <w:fldChar w:fldCharType="separate"/>
          </w:r>
          <w:r>
            <w:t>28</w:t>
          </w:r>
          <w:r>
            <w:fldChar w:fldCharType="end"/>
          </w:r>
          <w:r>
            <w:fldChar w:fldCharType="end"/>
          </w:r>
        </w:p>
        <w:p>
          <w:pPr>
            <w:pStyle w:val="12"/>
            <w:tabs>
              <w:tab w:val="right" w:leader="dot" w:pos="9524"/>
            </w:tabs>
          </w:pPr>
          <w:r>
            <w:fldChar w:fldCharType="begin"/>
          </w:r>
          <w:r>
            <w:instrText xml:space="preserve"> HYPERLINK \l _Toc8633 </w:instrText>
          </w:r>
          <w:r>
            <w:fldChar w:fldCharType="separate"/>
          </w:r>
          <w:r>
            <w:rPr>
              <w:rFonts w:hint="eastAsia" w:ascii="黑体" w:hAnsi="黑体" w:eastAsia="黑体"/>
            </w:rPr>
            <w:t>第七章 投标文件格式（参考）</w:t>
          </w:r>
          <w:r>
            <w:tab/>
          </w:r>
          <w:r>
            <w:fldChar w:fldCharType="begin"/>
          </w:r>
          <w:r>
            <w:instrText xml:space="preserve"> PAGEREF _Toc8633 </w:instrText>
          </w:r>
          <w:r>
            <w:fldChar w:fldCharType="separate"/>
          </w:r>
          <w:r>
            <w:t>30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_Toc4561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_Toc4561 </w:instrText>
          </w:r>
          <w:r>
            <w:fldChar w:fldCharType="separate"/>
          </w:r>
          <w:r>
            <w:t>30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_Toc11685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_Toc11685 </w:instrText>
          </w:r>
          <w:r>
            <w:fldChar w:fldCharType="separate"/>
          </w:r>
          <w:r>
            <w:t>32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_Toc23557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_Toc23557 </w:instrText>
          </w:r>
          <w:r>
            <w:fldChar w:fldCharType="separate"/>
          </w:r>
          <w:r>
            <w:t>34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_Toc14527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_Toc14527 </w:instrText>
          </w:r>
          <w:r>
            <w:fldChar w:fldCharType="separate"/>
          </w:r>
          <w:r>
            <w:t>36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_Toc25266 </w:instrText>
          </w:r>
          <w:r>
            <w:fldChar w:fldCharType="separate"/>
          </w:r>
          <w:r>
            <w:rPr>
              <w:rFonts w:hint="eastAsia" w:ascii="宋体" w:hAnsi="宋体" w:eastAsia="宋体"/>
              <w:i w:val="0"/>
            </w:rPr>
            <w:t xml:space="preserve">附件二、 </w:t>
          </w:r>
          <w:r>
            <w:rPr>
              <w:rFonts w:hint="eastAsia" w:ascii="宋体" w:hAnsi="宋体" w:eastAsia="宋体"/>
            </w:rPr>
            <w:t>开标一览表（本项目不适用）</w:t>
          </w:r>
          <w:r>
            <w:tab/>
          </w:r>
          <w:r>
            <w:fldChar w:fldCharType="begin"/>
          </w:r>
          <w:r>
            <w:instrText xml:space="preserve"> PAGEREF _Toc25266 </w:instrText>
          </w:r>
          <w:r>
            <w:fldChar w:fldCharType="separate"/>
          </w:r>
          <w:r>
            <w:t>37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_Toc32101 </w:instrText>
          </w:r>
          <w:r>
            <w:fldChar w:fldCharType="separate"/>
          </w:r>
          <w:r>
            <w:rPr>
              <w:rFonts w:hint="eastAsia" w:ascii="宋体" w:hAnsi="宋体" w:eastAsia="宋体"/>
              <w:i w:val="0"/>
            </w:rPr>
            <w:t xml:space="preserve">附件三、 </w:t>
          </w:r>
          <w:r>
            <w:rPr>
              <w:rFonts w:hint="eastAsia" w:ascii="宋体" w:hAnsi="宋体" w:eastAsia="宋体"/>
            </w:rPr>
            <w:t>投标货物（工程或服务）清单</w:t>
          </w:r>
          <w:r>
            <w:tab/>
          </w:r>
          <w:r>
            <w:fldChar w:fldCharType="begin"/>
          </w:r>
          <w:r>
            <w:instrText xml:space="preserve"> PAGEREF _Toc32101 </w:instrText>
          </w:r>
          <w:r>
            <w:fldChar w:fldCharType="separate"/>
          </w:r>
          <w:r>
            <w:t>38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_Toc6360 </w:instrText>
          </w:r>
          <w:r>
            <w:fldChar w:fldCharType="separate"/>
          </w:r>
          <w:r>
            <w:rPr>
              <w:rFonts w:hint="eastAsia" w:ascii="宋体" w:hAnsi="宋体" w:eastAsia="宋体"/>
              <w:i w:val="0"/>
            </w:rPr>
            <w:t xml:space="preserve">附件四、 </w:t>
          </w:r>
          <w:r>
            <w:rPr>
              <w:rFonts w:hint="eastAsia" w:ascii="宋体" w:hAnsi="宋体" w:eastAsia="宋体"/>
            </w:rPr>
            <w:t>交纳投标保证金的银行凭证</w:t>
          </w:r>
          <w:r>
            <w:tab/>
          </w:r>
          <w:r>
            <w:fldChar w:fldCharType="begin"/>
          </w:r>
          <w:r>
            <w:instrText xml:space="preserve"> PAGEREF _Toc6360 </w:instrText>
          </w:r>
          <w:r>
            <w:fldChar w:fldCharType="separate"/>
          </w:r>
          <w:r>
            <w:t>39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_Toc9287 </w:instrText>
          </w:r>
          <w:r>
            <w:fldChar w:fldCharType="separate"/>
          </w:r>
          <w:r>
            <w:rPr>
              <w:rFonts w:hint="eastAsia" w:ascii="宋体" w:hAnsi="宋体" w:eastAsia="宋体"/>
              <w:i w:val="0"/>
            </w:rPr>
            <w:t xml:space="preserve">附件五、 </w:t>
          </w:r>
          <w:r>
            <w:rPr>
              <w:rFonts w:hint="eastAsia" w:ascii="宋体" w:hAnsi="宋体" w:eastAsia="宋体"/>
            </w:rPr>
            <w:t>法定代表人授权书</w:t>
          </w:r>
          <w:r>
            <w:tab/>
          </w:r>
          <w:r>
            <w:fldChar w:fldCharType="begin"/>
          </w:r>
          <w:r>
            <w:instrText xml:space="preserve"> PAGEREF _Toc9287 </w:instrText>
          </w:r>
          <w:r>
            <w:fldChar w:fldCharType="separate"/>
          </w:r>
          <w:r>
            <w:t>40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_Toc18259 </w:instrText>
          </w:r>
          <w:r>
            <w:fldChar w:fldCharType="separate"/>
          </w:r>
          <w:r>
            <w:rPr>
              <w:rFonts w:hint="eastAsia" w:ascii="宋体" w:hAnsi="宋体" w:eastAsia="宋体"/>
              <w:i w:val="0"/>
            </w:rPr>
            <w:t xml:space="preserve">附件六、 </w:t>
          </w:r>
          <w:r>
            <w:rPr>
              <w:rFonts w:hint="eastAsia" w:ascii="宋体" w:hAnsi="宋体" w:eastAsia="宋体"/>
            </w:rPr>
            <w:t>投标人的资格声明</w:t>
          </w:r>
          <w:r>
            <w:tab/>
          </w:r>
          <w:r>
            <w:fldChar w:fldCharType="begin"/>
          </w:r>
          <w:r>
            <w:instrText xml:space="preserve"> PAGEREF _Toc18259 </w:instrText>
          </w:r>
          <w:r>
            <w:fldChar w:fldCharType="separate"/>
          </w:r>
          <w:r>
            <w:t>41</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_Toc12822 </w:instrText>
          </w:r>
          <w:r>
            <w:fldChar w:fldCharType="separate"/>
          </w:r>
          <w:r>
            <w:rPr>
              <w:rFonts w:hint="eastAsia" w:ascii="宋体" w:hAnsi="宋体" w:eastAsia="宋体"/>
              <w:i w:val="0"/>
            </w:rPr>
            <w:t xml:space="preserve">附件七、 </w:t>
          </w:r>
          <w:r>
            <w:rPr>
              <w:rFonts w:hint="eastAsia" w:ascii="宋体" w:hAnsi="宋体" w:eastAsia="宋体"/>
            </w:rPr>
            <w:t>项目负责人、技术负责人简历表</w:t>
          </w:r>
          <w:r>
            <w:tab/>
          </w:r>
          <w:r>
            <w:fldChar w:fldCharType="begin"/>
          </w:r>
          <w:r>
            <w:instrText xml:space="preserve"> PAGEREF _Toc12822 </w:instrText>
          </w:r>
          <w:r>
            <w:fldChar w:fldCharType="separate"/>
          </w:r>
          <w:r>
            <w:t>42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_Toc19017 </w:instrText>
          </w:r>
          <w:r>
            <w:fldChar w:fldCharType="separate"/>
          </w:r>
          <w:r>
            <w:rPr>
              <w:rFonts w:hint="eastAsia" w:ascii="宋体" w:hAnsi="宋体" w:eastAsia="宋体"/>
              <w:i w:val="0"/>
            </w:rPr>
            <w:t xml:space="preserve">附件八、 </w:t>
          </w:r>
          <w:r>
            <w:rPr>
              <w:rFonts w:hint="eastAsia" w:ascii="宋体" w:hAnsi="宋体" w:eastAsia="宋体"/>
            </w:rPr>
            <w:t>项目班子成员情况表</w:t>
          </w:r>
          <w:r>
            <w:tab/>
          </w:r>
          <w:r>
            <w:fldChar w:fldCharType="begin"/>
          </w:r>
          <w:r>
            <w:instrText xml:space="preserve"> PAGEREF _Toc19017 </w:instrText>
          </w:r>
          <w:r>
            <w:fldChar w:fldCharType="separate"/>
          </w:r>
          <w:r>
            <w:t>43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_Toc15280 </w:instrText>
          </w:r>
          <w:r>
            <w:fldChar w:fldCharType="separate"/>
          </w:r>
          <w:r>
            <w:rPr>
              <w:rFonts w:hint="eastAsia" w:ascii="宋体" w:hAnsi="宋体" w:eastAsia="宋体"/>
              <w:i w:val="0"/>
            </w:rPr>
            <w:t xml:space="preserve">附件九、 </w:t>
          </w:r>
          <w:r>
            <w:rPr>
              <w:rFonts w:hint="eastAsia" w:ascii="宋体" w:hAnsi="宋体" w:eastAsia="宋体"/>
            </w:rPr>
            <w:t>投标人类似项目业绩表</w:t>
          </w:r>
          <w:r>
            <w:tab/>
          </w:r>
          <w:r>
            <w:fldChar w:fldCharType="begin"/>
          </w:r>
          <w:r>
            <w:instrText xml:space="preserve"> PAGEREF _Toc15280 </w:instrText>
          </w:r>
          <w:r>
            <w:fldChar w:fldCharType="separate"/>
          </w:r>
          <w:r>
            <w:t>44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_Toc12069 </w:instrText>
          </w:r>
          <w:r>
            <w:fldChar w:fldCharType="separate"/>
          </w:r>
          <w:r>
            <w:rPr>
              <w:rFonts w:hint="eastAsia" w:ascii="宋体" w:hAnsi="宋体" w:eastAsia="宋体"/>
              <w:i w:val="0"/>
            </w:rPr>
            <w:t xml:space="preserve">附件十、 </w:t>
          </w:r>
          <w:r>
            <w:rPr>
              <w:rFonts w:hint="eastAsia" w:ascii="宋体" w:hAnsi="宋体" w:eastAsia="宋体"/>
            </w:rPr>
            <w:t>符合性审查对照表</w:t>
          </w:r>
          <w:r>
            <w:tab/>
          </w:r>
          <w:r>
            <w:fldChar w:fldCharType="begin"/>
          </w:r>
          <w:r>
            <w:instrText xml:space="preserve"> PAGEREF _Toc12069 </w:instrText>
          </w:r>
          <w:r>
            <w:fldChar w:fldCharType="separate"/>
          </w:r>
          <w:r>
            <w:t>45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_Toc23735 </w:instrText>
          </w:r>
          <w:r>
            <w:fldChar w:fldCharType="separate"/>
          </w:r>
          <w:r>
            <w:rPr>
              <w:rFonts w:hint="eastAsia" w:ascii="宋体" w:hAnsi="宋体" w:eastAsia="宋体"/>
              <w:i w:val="0"/>
            </w:rPr>
            <w:t xml:space="preserve">附件十一、 </w:t>
          </w:r>
          <w:r>
            <w:rPr>
              <w:rFonts w:hint="eastAsia" w:ascii="宋体" w:hAnsi="宋体" w:eastAsia="宋体"/>
            </w:rPr>
            <w:t>商务要求响应、偏离说明表</w:t>
          </w:r>
          <w:r>
            <w:tab/>
          </w:r>
          <w:r>
            <w:fldChar w:fldCharType="begin"/>
          </w:r>
          <w:r>
            <w:instrText xml:space="preserve"> PAGEREF _Toc23735 </w:instrText>
          </w:r>
          <w:r>
            <w:fldChar w:fldCharType="separate"/>
          </w:r>
          <w:r>
            <w:t>46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_Toc24419 </w:instrText>
          </w:r>
          <w:r>
            <w:fldChar w:fldCharType="separate"/>
          </w:r>
          <w:r>
            <w:rPr>
              <w:rFonts w:hint="eastAsia" w:ascii="宋体" w:hAnsi="宋体" w:eastAsia="宋体"/>
              <w:i w:val="0"/>
            </w:rPr>
            <w:t xml:space="preserve">附件十二、 </w:t>
          </w:r>
          <w:r>
            <w:rPr>
              <w:rFonts w:hint="eastAsia" w:ascii="宋体" w:hAnsi="宋体" w:eastAsia="宋体"/>
            </w:rPr>
            <w:t>商务要求“★”号条款响应、偏离说明表</w:t>
          </w:r>
          <w:r>
            <w:tab/>
          </w:r>
          <w:r>
            <w:fldChar w:fldCharType="begin"/>
          </w:r>
          <w:r>
            <w:instrText xml:space="preserve"> PAGEREF _Toc24419 </w:instrText>
          </w:r>
          <w:r>
            <w:fldChar w:fldCharType="separate"/>
          </w:r>
          <w:r>
            <w:t>47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_Toc2983 </w:instrText>
          </w:r>
          <w:r>
            <w:fldChar w:fldCharType="separate"/>
          </w:r>
          <w:r>
            <w:rPr>
              <w:rFonts w:hint="eastAsia" w:ascii="宋体" w:hAnsi="宋体" w:eastAsia="宋体"/>
              <w:i w:val="0"/>
            </w:rPr>
            <w:t xml:space="preserve">附件十三、 </w:t>
          </w:r>
          <w:r>
            <w:rPr>
              <w:rFonts w:hint="eastAsia" w:ascii="宋体" w:hAnsi="宋体" w:eastAsia="宋体"/>
            </w:rPr>
            <w:t>商务评议对照表</w:t>
          </w:r>
          <w:r>
            <w:tab/>
          </w:r>
          <w:r>
            <w:fldChar w:fldCharType="begin"/>
          </w:r>
          <w:r>
            <w:instrText xml:space="preserve"> PAGEREF _Toc2983 </w:instrText>
          </w:r>
          <w:r>
            <w:fldChar w:fldCharType="separate"/>
          </w:r>
          <w:r>
            <w:t>48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_Toc9908 </w:instrText>
          </w:r>
          <w:r>
            <w:fldChar w:fldCharType="separate"/>
          </w:r>
          <w:r>
            <w:rPr>
              <w:rFonts w:hint="eastAsia" w:ascii="宋体" w:hAnsi="宋体" w:eastAsia="宋体"/>
              <w:i w:val="0"/>
            </w:rPr>
            <w:t xml:space="preserve">附件十四、 </w:t>
          </w:r>
          <w:r>
            <w:rPr>
              <w:rFonts w:hint="eastAsia" w:ascii="宋体" w:hAnsi="宋体" w:eastAsia="宋体"/>
            </w:rPr>
            <w:t>技术、服务要求响应、偏离说明表</w:t>
          </w:r>
          <w:r>
            <w:tab/>
          </w:r>
          <w:r>
            <w:fldChar w:fldCharType="begin"/>
          </w:r>
          <w:r>
            <w:instrText xml:space="preserve"> PAGEREF _Toc9908 </w:instrText>
          </w:r>
          <w:r>
            <w:fldChar w:fldCharType="separate"/>
          </w:r>
          <w:r>
            <w:t>49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_Toc32752 </w:instrText>
          </w:r>
          <w:r>
            <w:fldChar w:fldCharType="separate"/>
          </w:r>
          <w:r>
            <w:rPr>
              <w:rFonts w:hint="eastAsia" w:ascii="宋体" w:hAnsi="宋体" w:eastAsia="宋体"/>
              <w:i w:val="0"/>
            </w:rPr>
            <w:t xml:space="preserve">附件十五、 </w:t>
          </w:r>
          <w:r>
            <w:rPr>
              <w:rFonts w:hint="eastAsia" w:ascii="宋体" w:hAnsi="宋体" w:eastAsia="宋体"/>
            </w:rPr>
            <w:t>技术、服务要求“★”号条款响应、偏离说明表</w:t>
          </w:r>
          <w:r>
            <w:tab/>
          </w:r>
          <w:r>
            <w:fldChar w:fldCharType="begin"/>
          </w:r>
          <w:r>
            <w:instrText xml:space="preserve"> PAGEREF _Toc32752 </w:instrText>
          </w:r>
          <w:r>
            <w:fldChar w:fldCharType="separate"/>
          </w:r>
          <w:r>
            <w:t>50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_Toc5954 </w:instrText>
          </w:r>
          <w:r>
            <w:fldChar w:fldCharType="separate"/>
          </w:r>
          <w:r>
            <w:rPr>
              <w:rFonts w:hint="eastAsia" w:ascii="宋体" w:hAnsi="宋体" w:eastAsia="宋体"/>
              <w:i w:val="0"/>
            </w:rPr>
            <w:t xml:space="preserve">附件十六、 </w:t>
          </w:r>
          <w:r>
            <w:rPr>
              <w:rFonts w:hint="eastAsia" w:ascii="宋体" w:hAnsi="宋体" w:eastAsia="宋体"/>
            </w:rPr>
            <w:t>技术、服务评议对照表</w:t>
          </w:r>
          <w:r>
            <w:tab/>
          </w:r>
          <w:r>
            <w:fldChar w:fldCharType="begin"/>
          </w:r>
          <w:r>
            <w:instrText xml:space="preserve"> PAGEREF _Toc5954 </w:instrText>
          </w:r>
          <w:r>
            <w:fldChar w:fldCharType="separate"/>
          </w:r>
          <w:r>
            <w:t>51</w:t>
          </w:r>
          <w:r>
            <w:fldChar w:fldCharType="end"/>
          </w:r>
          <w:r>
            <w:fldChar w:fldCharType="end"/>
          </w:r>
        </w:p>
        <w:p>
          <w:pPr>
            <w:pStyle w:val="12"/>
            <w:tabs>
              <w:tab w:val="left" w:pos="1260"/>
              <w:tab w:val="right" w:leader="dot" w:pos="9514"/>
            </w:tabs>
          </w:pPr>
          <w:r>
            <w:fldChar w:fldCharType="end"/>
          </w:r>
          <w:r>
            <w:rPr>
              <w:b w:val="0"/>
              <w:bCs/>
              <w:lang w:val="zh-CN"/>
            </w:rPr>
            <w:tab/>
          </w:r>
        </w:p>
      </w:sdtContent>
    </w:sdt>
    <w:p>
      <w:pPr>
        <w:pStyle w:val="2"/>
        <w:numPr>
          <w:ilvl w:val="0"/>
          <w:numId w:val="2"/>
        </w:numPr>
        <w:spacing w:before="240" w:after="120"/>
        <w:ind w:left="883" w:hanging="880" w:hangingChars="200"/>
        <w:jc w:val="center"/>
        <w:rPr>
          <w:rFonts w:ascii="黑体" w:hAnsi="黑体" w:eastAsia="黑体"/>
        </w:rPr>
        <w:sectPr>
          <w:footerReference r:id="rId6" w:type="default"/>
          <w:pgSz w:w="11906" w:h="16838"/>
          <w:pgMar w:top="1134" w:right="1191" w:bottom="1134" w:left="1191" w:header="851" w:footer="851" w:gutter="0"/>
          <w:cols w:space="425" w:num="1"/>
          <w:docGrid w:type="linesAndChars" w:linePitch="312" w:charSpace="0"/>
        </w:sectPr>
      </w:pPr>
    </w:p>
    <w:p>
      <w:pPr>
        <w:pStyle w:val="2"/>
        <w:numPr>
          <w:ilvl w:val="0"/>
          <w:numId w:val="2"/>
        </w:numPr>
        <w:spacing w:before="240" w:after="120"/>
        <w:ind w:left="885" w:hanging="880" w:hangingChars="200"/>
        <w:jc w:val="center"/>
        <w:rPr>
          <w:rFonts w:ascii="黑体" w:hAnsi="黑体" w:eastAsia="黑体"/>
        </w:rPr>
      </w:pPr>
      <w:bookmarkStart w:id="0" w:name="_Toc28071"/>
      <w:r>
        <w:rPr>
          <w:rFonts w:hint="eastAsia" w:ascii="黑体" w:hAnsi="黑体" w:eastAsia="黑体"/>
        </w:rPr>
        <w:t>投标邀请书</w:t>
      </w:r>
      <w:bookmarkEnd w:id="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依据阳财采计备[2019]</w:t>
      </w:r>
      <w:r>
        <w:rPr>
          <w:rFonts w:hint="eastAsia" w:ascii="宋体" w:hAnsi="宋体" w:eastAsia="宋体" w:cs="Times New Roman"/>
          <w:sz w:val="24"/>
          <w:szCs w:val="24"/>
          <w:lang w:val="en-US" w:eastAsia="zh-CN"/>
        </w:rPr>
        <w:t>A36</w:t>
      </w:r>
      <w:r>
        <w:rPr>
          <w:rFonts w:hint="eastAsia" w:ascii="宋体" w:hAnsi="宋体" w:eastAsia="宋体" w:cs="Times New Roman"/>
          <w:sz w:val="24"/>
          <w:szCs w:val="24"/>
        </w:rPr>
        <w:t>号备案表的要求，阳新县公共资源交易中心就</w:t>
      </w:r>
      <w:r>
        <w:rPr>
          <w:rFonts w:hint="eastAsia" w:ascii="宋体" w:hAnsi="宋体" w:eastAsia="宋体" w:cs="Times New Roman"/>
          <w:bCs/>
          <w:sz w:val="24"/>
          <w:szCs w:val="24"/>
        </w:rPr>
        <w:t>阳新县农产品销售服务类企业供应商选择项目</w:t>
      </w:r>
      <w:r>
        <w:rPr>
          <w:rFonts w:hint="eastAsia" w:ascii="宋体" w:hAnsi="宋体" w:eastAsia="宋体" w:cs="Times New Roman"/>
          <w:sz w:val="24"/>
          <w:szCs w:val="24"/>
        </w:rPr>
        <w:t>进行公开招标采购，欢迎符合条件的供应商投标。</w:t>
      </w:r>
    </w:p>
    <w:p>
      <w:pPr>
        <w:numPr>
          <w:ilvl w:val="0"/>
          <w:numId w:val="3"/>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项目编号：</w:t>
      </w:r>
      <w:r>
        <w:rPr>
          <w:rFonts w:hint="eastAsia" w:ascii="宋体" w:hAnsi="宋体" w:eastAsia="宋体" w:cs="Times New Roman"/>
          <w:sz w:val="24"/>
          <w:szCs w:val="24"/>
        </w:rPr>
        <w:t>131－Zcg.2019－</w:t>
      </w:r>
      <w:r>
        <w:rPr>
          <w:rFonts w:hint="eastAsia" w:ascii="宋体" w:hAnsi="宋体" w:eastAsia="宋体" w:cs="Times New Roman"/>
          <w:sz w:val="24"/>
          <w:szCs w:val="24"/>
          <w:lang w:val="en-US" w:eastAsia="zh-CN"/>
        </w:rPr>
        <w:t>51</w:t>
      </w:r>
    </w:p>
    <w:p>
      <w:pPr>
        <w:numPr>
          <w:ilvl w:val="0"/>
          <w:numId w:val="3"/>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bCs/>
          <w:sz w:val="24"/>
          <w:szCs w:val="24"/>
        </w:rPr>
        <w:t>阳新县农产品销售服务类企业供应商选择项目</w:t>
      </w:r>
    </w:p>
    <w:p>
      <w:pPr>
        <w:numPr>
          <w:ilvl w:val="0"/>
          <w:numId w:val="3"/>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招标内容：</w:t>
      </w:r>
      <w:r>
        <w:rPr>
          <w:rFonts w:hint="eastAsia" w:ascii="宋体" w:hAnsi="宋体" w:eastAsia="宋体" w:cs="Times New Roman"/>
          <w:bCs/>
          <w:sz w:val="24"/>
          <w:szCs w:val="24"/>
        </w:rPr>
        <w:t>农产品销售服务类企业供应商选择</w:t>
      </w:r>
    </w:p>
    <w:p>
      <w:pPr>
        <w:numPr>
          <w:ilvl w:val="0"/>
          <w:numId w:val="3"/>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采购预算：</w:t>
      </w:r>
      <w:r>
        <w:rPr>
          <w:rFonts w:hint="eastAsia" w:ascii="宋体" w:hAnsi="宋体" w:eastAsia="宋体" w:cs="Times New Roman"/>
          <w:bCs/>
          <w:sz w:val="24"/>
          <w:szCs w:val="24"/>
        </w:rPr>
        <w:t>人民币0万元</w:t>
      </w:r>
    </w:p>
    <w:p>
      <w:pPr>
        <w:numPr>
          <w:ilvl w:val="0"/>
          <w:numId w:val="3"/>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投标人资格要求：</w:t>
      </w:r>
    </w:p>
    <w:p>
      <w:pPr>
        <w:numPr>
          <w:ilvl w:val="0"/>
          <w:numId w:val="4"/>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应具备《政府采购法》第二十二条第一款规定的条件；</w:t>
      </w:r>
    </w:p>
    <w:p>
      <w:pPr>
        <w:numPr>
          <w:ilvl w:val="0"/>
          <w:numId w:val="4"/>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未被“信用中国”网站(www.creditchina.gov.cn)列入失信被执行人、重大税收违法案件当事人名单、政府采购严重违法失信行为记录名单；</w:t>
      </w:r>
    </w:p>
    <w:p>
      <w:pPr>
        <w:numPr>
          <w:ilvl w:val="0"/>
          <w:numId w:val="5"/>
        </w:numPr>
        <w:ind w:firstLine="470" w:firstLineChars="196"/>
        <w:rPr>
          <w:rFonts w:ascii="宋体" w:hAnsi="宋体" w:eastAsia="宋体" w:cs="Times New Roman"/>
          <w:b/>
          <w:bCs/>
          <w:color w:val="auto"/>
          <w:sz w:val="24"/>
          <w:szCs w:val="24"/>
        </w:rPr>
      </w:pPr>
      <w:r>
        <w:rPr>
          <w:rFonts w:hint="eastAsia" w:ascii="宋体" w:hAnsi="宋体" w:eastAsia="宋体" w:cs="Times New Roman"/>
          <w:b/>
          <w:bCs/>
          <w:color w:val="auto"/>
          <w:sz w:val="24"/>
          <w:szCs w:val="24"/>
        </w:rPr>
        <w:t>特殊要求：</w:t>
      </w:r>
    </w:p>
    <w:p>
      <w:pPr>
        <w:ind w:left="411" w:leftChars="196"/>
        <w:rPr>
          <w:rFonts w:ascii="宋体" w:hAnsi="宋体" w:eastAsia="宋体" w:cs="宋体"/>
          <w:bCs/>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rPr>
        <w:sym w:font="Wingdings" w:char="F081"/>
      </w:r>
      <w:r>
        <w:rPr>
          <w:rFonts w:hint="eastAsia" w:ascii="宋体" w:hAnsi="宋体" w:eastAsia="宋体" w:cs="Times New Roman"/>
          <w:color w:val="auto"/>
          <w:sz w:val="24"/>
          <w:szCs w:val="24"/>
        </w:rPr>
        <w:t>供应商为阳新县域</w:t>
      </w:r>
      <w:r>
        <w:rPr>
          <w:rFonts w:hint="eastAsia" w:ascii="宋体" w:hAnsi="宋体" w:eastAsia="宋体" w:cs="宋体"/>
          <w:bCs/>
          <w:color w:val="auto"/>
          <w:sz w:val="24"/>
          <w:szCs w:val="24"/>
        </w:rPr>
        <w:t>内农业服务类企业，主要为广大农户，尤其是贫困户提供农产品销售或加工的农业服务类企业或合作社。</w:t>
      </w:r>
    </w:p>
    <w:p>
      <w:pPr>
        <w:ind w:left="411" w:leftChars="196"/>
        <w:rPr>
          <w:rFonts w:ascii="宋体" w:hAnsi="宋体" w:eastAsia="宋体" w:cs="Times New Roman"/>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rPr>
        <w:sym w:font="Wingdings" w:char="F082"/>
      </w:r>
      <w:r>
        <w:rPr>
          <w:rFonts w:hint="eastAsia" w:ascii="宋体" w:hAnsi="宋体" w:eastAsia="宋体" w:cs="宋体"/>
          <w:bCs/>
          <w:color w:val="auto"/>
          <w:sz w:val="24"/>
          <w:szCs w:val="24"/>
        </w:rPr>
        <w:t>熟悉阳新农产品种类及分布，并能够在短时间内组织向外发货。</w:t>
      </w:r>
    </w:p>
    <w:p>
      <w:pPr>
        <w:tabs>
          <w:tab w:val="left" w:pos="896"/>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4、不接受联合体形式的投标。</w:t>
      </w:r>
    </w:p>
    <w:p>
      <w:pPr>
        <w:numPr>
          <w:ilvl w:val="0"/>
          <w:numId w:val="3"/>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w:t>
      </w:r>
      <w:r>
        <w:rPr>
          <w:rFonts w:hint="eastAsia"/>
          <w:sz w:val="24"/>
          <w:szCs w:val="24"/>
        </w:rPr>
        <w:t>在“湖北省政府采购网”、“黄石公共资源交易信息网”及“阳新县人民政府网”</w:t>
      </w:r>
      <w:r>
        <w:rPr>
          <w:rFonts w:hint="eastAsia" w:ascii="宋体" w:hAnsi="宋体" w:eastAsia="宋体" w:cs="Times New Roman"/>
          <w:sz w:val="24"/>
          <w:szCs w:val="24"/>
        </w:rPr>
        <w:t>发布（见招标文件下载），凡自愿参加本项目投标者，请于2019年4月4日至2019年 4 月12日17时30分前点击项目招标公告中的链接下载招标文件，并在投标截止时间前递交投标文件。</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投标文件递交截止时间：2019年4月24日</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时00分（提前半小时开始接收投标文件，拒收逾期送达或者未按招标文件要求密封的投标文件）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投标文件递交地点：阳新县公共资源交易中心二楼开标大厅（阳新县熊家垴安置小区东侧）</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开标信息：</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开标时间：2019年4月24 日</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时00分</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开标地点：阳新县公共资源交易中心二楼开标大厅（阳新县熊家垴安置小区东侧）</w:t>
      </w:r>
    </w:p>
    <w:p>
      <w:pPr>
        <w:numPr>
          <w:ilvl w:val="0"/>
          <w:numId w:val="3"/>
        </w:numPr>
        <w:spacing w:line="360" w:lineRule="auto"/>
        <w:ind w:left="728" w:hanging="728"/>
        <w:rPr>
          <w:rFonts w:ascii="宋体" w:hAnsi="宋体" w:eastAsia="宋体" w:cs="Times New Roman"/>
          <w:sz w:val="24"/>
          <w:szCs w:val="24"/>
        </w:rPr>
      </w:pP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质疑：</w:t>
      </w:r>
    </w:p>
    <w:p>
      <w:pPr>
        <w:pStyle w:val="15"/>
      </w:pPr>
      <w:r>
        <w:rPr>
          <w:rFonts w:hint="eastAsia" w:cs="Times New Roman"/>
          <w:szCs w:val="20"/>
          <w:lang w:val="en-US" w:eastAsia="zh-CN"/>
        </w:rPr>
        <w:t xml:space="preserve">   </w:t>
      </w:r>
      <w:r>
        <w:rPr>
          <w:rFonts w:hint="eastAsia" w:cs="Times New Roman"/>
          <w:szCs w:val="20"/>
          <w:lang w:val="zh-CN"/>
        </w:rPr>
        <w:t>投标人认为招标文件、招标过程和中标结果使自己的权益受到损害的，可以在知道或者应知其权益受到损害之日起7个工作日内，</w:t>
      </w:r>
      <w:r>
        <w:rPr>
          <w:rFonts w:cs="Times New Roman"/>
          <w:szCs w:val="20"/>
          <w:lang w:val="zh-CN"/>
        </w:rPr>
        <w:t>向</w:t>
      </w:r>
      <w:r>
        <w:rPr>
          <w:rFonts w:hint="eastAsia" w:cs="Times New Roman"/>
          <w:szCs w:val="20"/>
          <w:lang w:val="zh-CN"/>
        </w:rPr>
        <w:t>阳新县公共资源交易中心</w:t>
      </w:r>
      <w:r>
        <w:rPr>
          <w:rFonts w:cs="Times New Roman"/>
          <w:szCs w:val="20"/>
          <w:lang w:val="zh-CN"/>
        </w:rPr>
        <w:t>提出质疑</w:t>
      </w:r>
      <w:r>
        <w:rPr>
          <w:rFonts w:hint="eastAsia" w:cs="Times New Roman"/>
          <w:szCs w:val="20"/>
          <w:lang w:val="zh-CN"/>
        </w:rPr>
        <w:t>。</w:t>
      </w:r>
      <w:r>
        <w:t>质疑时请提交书面质疑函一份（法人代表签字、加盖单位公章。具体要求详见本招标文件“第二章 投标人须知”中的第</w:t>
      </w:r>
      <w:r>
        <w:rPr>
          <w:rFonts w:hint="eastAsia"/>
        </w:rPr>
        <w:t>八</w:t>
      </w:r>
      <w:r>
        <w:t>条之规定），并附相关证据材料</w:t>
      </w:r>
      <w:r>
        <w:rPr>
          <w:rFonts w:hint="eastAsia"/>
        </w:rPr>
        <w:t>。</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联系方式：</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集中采购机构：阳新县公共资源交易中心</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联系人：孙章佳</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联系电话：0714-7319783</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地址：阳新大道熊家垴安置小区东侧</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采购人：阳新县财政局</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程晓</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w:t>
      </w:r>
      <w:r>
        <w:rPr>
          <w:rFonts w:hint="eastAsia" w:ascii="宋体" w:hAnsi="宋体" w:eastAsia="宋体" w:cs="宋体"/>
          <w:bCs/>
          <w:kern w:val="0"/>
          <w:sz w:val="24"/>
          <w:szCs w:val="24"/>
          <w:lang w:val="en-US" w:eastAsia="zh-CN"/>
        </w:rPr>
        <w:t>22246</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地址：阳新大道</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right"/>
        <w:rPr>
          <w:rFonts w:ascii="宋体" w:hAnsi="宋体" w:eastAsia="宋体" w:cs="宋体"/>
          <w:bCs/>
          <w:kern w:val="0"/>
          <w:sz w:val="24"/>
          <w:szCs w:val="24"/>
        </w:rPr>
      </w:pPr>
      <w:r>
        <w:rPr>
          <w:rFonts w:hint="eastAsia" w:ascii="宋体" w:hAnsi="宋体" w:eastAsia="宋体" w:cs="宋体"/>
          <w:bCs/>
          <w:kern w:val="0"/>
          <w:sz w:val="24"/>
          <w:szCs w:val="24"/>
        </w:rPr>
        <w:t>阳新县公共资源交易中心</w:t>
      </w:r>
    </w:p>
    <w:p>
      <w:pPr>
        <w:widowControl/>
        <w:spacing w:line="360" w:lineRule="auto"/>
        <w:ind w:firstLine="480"/>
        <w:jc w:val="center"/>
        <w:rPr>
          <w:rFonts w:ascii="宋体" w:hAnsi="宋体" w:eastAsia="宋体" w:cs="宋体"/>
          <w:kern w:val="0"/>
          <w:sz w:val="24"/>
          <w:szCs w:val="24"/>
        </w:rPr>
      </w:pPr>
      <w:r>
        <w:rPr>
          <w:rFonts w:hint="eastAsia" w:ascii="宋体" w:hAnsi="宋体" w:eastAsia="宋体" w:cs="宋体"/>
          <w:kern w:val="0"/>
          <w:sz w:val="24"/>
          <w:szCs w:val="24"/>
        </w:rPr>
        <w:t xml:space="preserve">                                                      2019年4月4日</w:t>
      </w:r>
    </w:p>
    <w:p>
      <w:pPr>
        <w:widowControl/>
        <w:spacing w:line="360" w:lineRule="auto"/>
        <w:ind w:firstLine="480"/>
        <w:jc w:val="left"/>
      </w:pPr>
      <w:r>
        <w:rPr>
          <w:rFonts w:hint="eastAsia" w:ascii="宋体" w:hAnsi="宋体" w:eastAsia="宋体" w:cs="Times New Roman"/>
          <w:b/>
          <w:sz w:val="28"/>
          <w:szCs w:val="28"/>
          <w:lang w:val="zh-CN"/>
        </w:rPr>
        <w:br w:type="page"/>
      </w:r>
    </w:p>
    <w:p>
      <w:pPr>
        <w:pStyle w:val="2"/>
        <w:numPr>
          <w:ilvl w:val="0"/>
          <w:numId w:val="2"/>
        </w:numPr>
        <w:spacing w:before="240" w:after="120"/>
        <w:ind w:left="885" w:hanging="880" w:hangingChars="200"/>
        <w:jc w:val="center"/>
        <w:rPr>
          <w:rFonts w:ascii="黑体" w:hAnsi="黑体" w:eastAsia="黑体"/>
        </w:rPr>
      </w:pPr>
      <w:bookmarkStart w:id="1" w:name="_Toc16325"/>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11548"/>
      <w:r>
        <w:rPr>
          <w:rFonts w:cs="Times New Roman" w:asciiTheme="majorEastAsia" w:hAnsiTheme="majorEastAsia" w:eastAsiaTheme="majorEastAsia"/>
          <w:b/>
          <w:bCs/>
          <w:sz w:val="32"/>
          <w:szCs w:val="32"/>
          <w:lang w:val="zh-CN"/>
        </w:rPr>
        <w:t>投标须知前附表</w:t>
      </w:r>
      <w:bookmarkEnd w:id="2"/>
      <w:bookmarkEnd w:id="3"/>
    </w:p>
    <w:tbl>
      <w:tblPr>
        <w:tblStyle w:val="17"/>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s="Times New Roman"/>
                <w:color w:val="FF0000"/>
                <w:sz w:val="24"/>
                <w:szCs w:val="24"/>
              </w:rPr>
            </w:pPr>
            <w:r>
              <w:rPr>
                <w:rFonts w:hint="eastAsia" w:ascii="宋体" w:hAnsi="宋体" w:cs="仿宋_GB2312"/>
                <w:szCs w:val="28"/>
              </w:rPr>
              <w:t>131－Zcg.2019－</w:t>
            </w:r>
            <w:r>
              <w:rPr>
                <w:rFonts w:hint="eastAsia" w:ascii="宋体" w:hAnsi="宋体" w:cs="仿宋_GB2312"/>
                <w:szCs w:val="28"/>
                <w:lang w:val="en-US" w:eastAsia="zh-CN"/>
              </w:rPr>
              <w:t>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Times New Roman"/>
                <w:bCs/>
                <w:sz w:val="24"/>
                <w:szCs w:val="24"/>
              </w:rPr>
              <w:t>阳新县农产品销售服务类企业供应商选择项目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0D0D0D"/>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color w:val="auto"/>
                <w:kern w:val="0"/>
                <w:sz w:val="24"/>
                <w:szCs w:val="24"/>
              </w:rPr>
              <w:t>阳新县财政局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FF0000"/>
                <w:sz w:val="24"/>
                <w:szCs w:val="24"/>
              </w:rPr>
              <w:t>壹</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FF0000"/>
                <w:sz w:val="24"/>
                <w:szCs w:val="24"/>
              </w:rPr>
              <w:t>肆</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color w:val="FF0000"/>
                <w:sz w:val="24"/>
                <w:szCs w:val="24"/>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7"/>
        </w:numPr>
        <w:spacing w:before="100" w:beforeAutospacing="1" w:after="100" w:afterAutospacing="1" w:line="360" w:lineRule="auto"/>
        <w:ind w:left="483"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4639"/>
      <w:bookmarkEnd w:id="5"/>
      <w:bookmarkStart w:id="6" w:name="_Toc14562"/>
      <w:bookmarkEnd w:id="6"/>
      <w:bookmarkStart w:id="7" w:name="_Toc18790"/>
      <w:bookmarkEnd w:id="7"/>
      <w:bookmarkStart w:id="8" w:name="_Toc25924"/>
      <w:bookmarkEnd w:id="8"/>
      <w:bookmarkStart w:id="9" w:name="_Toc31043"/>
      <w:bookmarkEnd w:id="9"/>
      <w:bookmarkStart w:id="10" w:name="_Toc16751"/>
      <w:bookmarkEnd w:id="10"/>
      <w:bookmarkStart w:id="11" w:name="_Toc3628"/>
      <w:bookmarkEnd w:id="11"/>
      <w:bookmarkStart w:id="12" w:name="_Toc17905"/>
      <w:bookmarkEnd w:id="12"/>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13" w:name="_Toc10261"/>
      <w:bookmarkStart w:id="14" w:name="_Toc29975"/>
      <w:r>
        <w:rPr>
          <w:rFonts w:hint="eastAsia" w:cs="Times New Roman" w:asciiTheme="majorEastAsia" w:hAnsiTheme="majorEastAsia"/>
          <w:bCs w:val="0"/>
          <w:lang w:val="zh-CN"/>
        </w:rPr>
        <w:t>说  明</w:t>
      </w:r>
      <w:bookmarkEnd w:id="4"/>
      <w:bookmarkEnd w:id="13"/>
      <w:bookmarkEnd w:id="14"/>
    </w:p>
    <w:p>
      <w:pPr>
        <w:numPr>
          <w:ilvl w:val="0"/>
          <w:numId w:val="9"/>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9"/>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zh-CN"/>
        </w:rPr>
        <w:t>阳新县公共资源交易中心。</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10"/>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9"/>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2"/>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2"/>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11"/>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11"/>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9"/>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3"/>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pPr>
        <w:numPr>
          <w:ilvl w:val="0"/>
          <w:numId w:val="13"/>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集中采购机构不向中标人收取中标服务费。 </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15" w:name="_Toc2347"/>
      <w:bookmarkStart w:id="16" w:name="_Toc278891592"/>
      <w:bookmarkStart w:id="17" w:name="_Toc494561939"/>
      <w:bookmarkStart w:id="18" w:name="_Toc272247695"/>
      <w:bookmarkStart w:id="19" w:name="_Toc26151"/>
      <w:r>
        <w:rPr>
          <w:rFonts w:hint="eastAsia" w:cs="Times New Roman" w:asciiTheme="majorEastAsia" w:hAnsiTheme="majorEastAsia"/>
          <w:bCs w:val="0"/>
          <w:lang w:val="zh-CN"/>
        </w:rPr>
        <w:t>招标文件</w:t>
      </w:r>
      <w:bookmarkEnd w:id="15"/>
      <w:bookmarkEnd w:id="16"/>
      <w:bookmarkEnd w:id="17"/>
      <w:bookmarkEnd w:id="18"/>
      <w:bookmarkEnd w:id="19"/>
    </w:p>
    <w:p>
      <w:pPr>
        <w:numPr>
          <w:ilvl w:val="0"/>
          <w:numId w:val="9"/>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9"/>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潜在投标人对招标文件有疑问的，可以向集中采购机构提出询问，或在6.2规定的时间前以书面的形式向集中采购机构提交疑问函。</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9"/>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5"/>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日前，以书面形式通知所有获取招标文件的潜在投标人。</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9"/>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6"/>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6"/>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6"/>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20" w:name="_Toc6603"/>
      <w:bookmarkStart w:id="21" w:name="_Toc278891593"/>
      <w:bookmarkStart w:id="22" w:name="_Toc272247696"/>
      <w:bookmarkStart w:id="23" w:name="_Toc494561940"/>
      <w:bookmarkStart w:id="24" w:name="_Toc5404"/>
      <w:r>
        <w:rPr>
          <w:rFonts w:hint="eastAsia" w:cs="Times New Roman" w:asciiTheme="majorEastAsia" w:hAnsiTheme="majorEastAsia"/>
          <w:bCs w:val="0"/>
          <w:lang w:val="zh-CN"/>
        </w:rPr>
        <w:t>投标文件</w:t>
      </w:r>
      <w:bookmarkEnd w:id="20"/>
      <w:bookmarkEnd w:id="21"/>
      <w:bookmarkEnd w:id="22"/>
      <w:bookmarkEnd w:id="23"/>
      <w:bookmarkEnd w:id="24"/>
    </w:p>
    <w:p>
      <w:pPr>
        <w:numPr>
          <w:ilvl w:val="0"/>
          <w:numId w:val="9"/>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9"/>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7"/>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投标人应对投标文件中所提供资料的真实性负责，如有虚假，将依法承担相应责任。投标人应自觉接受集中采购机构对其中任何资料进一步核实的要求。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7"/>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投标报价（该项目不适用）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9"/>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20"/>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9"/>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w:t>
      </w:r>
      <w:r>
        <w:rPr>
          <w:rFonts w:hint="eastAsia" w:cs="Times New Roman" w:asciiTheme="minorEastAsia" w:hAnsiTheme="minorEastAsia"/>
          <w:sz w:val="24"/>
          <w:szCs w:val="24"/>
          <w:lang w:val="zh-CN"/>
        </w:rPr>
        <w:t>本项目不收取投标保证金，详见本章“投标须知前附表”中的说明）。</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9"/>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b/>
          <w:sz w:val="24"/>
          <w:szCs w:val="20"/>
          <w:lang w:val="zh-CN"/>
        </w:rPr>
        <w:t>投标人应将投标文件第一部分资格证明文件、第二部分商务文件、第三部分技术、服务文件一起合并装订成一本投标文件进行封装。</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sz w:val="24"/>
          <w:szCs w:val="20"/>
          <w:lang w:val="zh-CN"/>
        </w:rPr>
        <w:t>正本壹本和副本肆本</w:t>
      </w:r>
      <w:r>
        <w:rPr>
          <w:rFonts w:hint="eastAsia" w:ascii="宋体" w:hAnsi="宋体" w:eastAsia="宋体" w:cs="Times New Roman"/>
          <w:sz w:val="24"/>
          <w:szCs w:val="20"/>
          <w:lang w:val="zh-CN"/>
        </w:rPr>
        <w:t>分开密封装在单独的封包中，并在封包上标明“正本”、“副本”字样。</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如果未按要求加写密封、标记或存在错误，集中采购机构对其误投或提前启封概不负责。</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投标人应在不迟于投标邀请书中规定的投标截止日期和时间将投标文件密封递交至集中采购机构规定的投标地点。</w:t>
      </w:r>
    </w:p>
    <w:p>
      <w:pPr>
        <w:numPr>
          <w:ilvl w:val="0"/>
          <w:numId w:val="24"/>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集中采购机构拒收逾期送达或者未按招标文件要求密封的投标文件。</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采购机构收到投标文件后，应当如实记载投标文件的送达时间和密封情况，签收保存。</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5"/>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25" w:name="_Toc19572"/>
      <w:bookmarkStart w:id="26" w:name="_Toc494561942"/>
      <w:bookmarkStart w:id="27" w:name="_Toc272247698"/>
      <w:bookmarkStart w:id="28" w:name="_Toc278891595"/>
      <w:bookmarkStart w:id="29" w:name="_Toc18622"/>
      <w:r>
        <w:rPr>
          <w:rFonts w:hint="eastAsia" w:cs="Times New Roman" w:asciiTheme="majorEastAsia" w:hAnsiTheme="majorEastAsia"/>
          <w:bCs w:val="0"/>
          <w:lang w:val="zh-CN"/>
        </w:rPr>
        <w:t>开标与评标</w:t>
      </w:r>
      <w:bookmarkEnd w:id="25"/>
      <w:bookmarkEnd w:id="26"/>
      <w:bookmarkEnd w:id="27"/>
      <w:bookmarkEnd w:id="28"/>
      <w:bookmarkEnd w:id="29"/>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开标时，由投标人或其推选的代表检查投标文件的密封情况，经确认无误后由集中采购机构工作人员当众拆封，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相关工作人员有需要回避的情形的，应当场提出询问或者回避申请。采购人、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9"/>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9"/>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30"/>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30" w:name="_Toc494561943"/>
      <w:bookmarkStart w:id="31" w:name="_Toc17997"/>
      <w:bookmarkStart w:id="32" w:name="_Toc22406"/>
      <w:r>
        <w:rPr>
          <w:rFonts w:hint="eastAsia" w:cs="Times New Roman" w:asciiTheme="majorEastAsia" w:hAnsiTheme="majorEastAsia"/>
          <w:bCs w:val="0"/>
          <w:lang w:val="zh-CN"/>
        </w:rPr>
        <w:t>投标人信用信息及查询</w:t>
      </w:r>
      <w:bookmarkEnd w:id="30"/>
      <w:bookmarkEnd w:id="31"/>
      <w:bookmarkEnd w:id="32"/>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33" w:name="_Toc9460"/>
      <w:bookmarkStart w:id="34" w:name="_Toc494561944"/>
      <w:bookmarkStart w:id="35" w:name="_Toc1141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33"/>
      <w:bookmarkEnd w:id="34"/>
      <w:bookmarkEnd w:id="35"/>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3"/>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3"/>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4"/>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4"/>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3"/>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5"/>
        </w:numPr>
        <w:spacing w:line="360" w:lineRule="auto"/>
        <w:ind w:left="616" w:hanging="616"/>
        <w:rPr>
          <w:rFonts w:ascii="宋体" w:hAnsi="宋体" w:eastAsia="宋体" w:cs="Times New Roman"/>
          <w:sz w:val="24"/>
          <w:szCs w:val="20"/>
          <w:lang w:val="zh-CN"/>
        </w:rPr>
      </w:pPr>
      <w:bookmarkStart w:id="36" w:name="_Toc278891597"/>
      <w:bookmarkStart w:id="37"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38" w:name="_Toc494561945"/>
      <w:bookmarkStart w:id="39" w:name="_Toc24409"/>
      <w:bookmarkStart w:id="40" w:name="_Toc28123"/>
      <w:r>
        <w:rPr>
          <w:rFonts w:hint="eastAsia" w:cs="Times New Roman" w:asciiTheme="majorEastAsia" w:hAnsiTheme="majorEastAsia"/>
          <w:bCs w:val="0"/>
          <w:lang w:val="zh-CN"/>
        </w:rPr>
        <w:t>采购信息公告</w:t>
      </w:r>
      <w:bookmarkEnd w:id="38"/>
      <w:bookmarkEnd w:id="39"/>
      <w:bookmarkEnd w:id="40"/>
    </w:p>
    <w:p>
      <w:pPr>
        <w:numPr>
          <w:ilvl w:val="0"/>
          <w:numId w:val="9"/>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41" w:name="_Toc494561946"/>
      <w:bookmarkStart w:id="42" w:name="_Toc15435"/>
      <w:bookmarkStart w:id="43" w:name="_Toc23201"/>
      <w:r>
        <w:rPr>
          <w:rFonts w:hint="eastAsia" w:cs="Times New Roman" w:asciiTheme="majorEastAsia" w:hAnsiTheme="majorEastAsia"/>
          <w:bCs w:val="0"/>
          <w:lang w:val="zh-CN"/>
        </w:rPr>
        <w:t>质疑</w:t>
      </w:r>
      <w:bookmarkEnd w:id="36"/>
      <w:bookmarkEnd w:id="37"/>
      <w:r>
        <w:rPr>
          <w:rFonts w:hint="eastAsia" w:cs="Times New Roman" w:asciiTheme="majorEastAsia" w:hAnsiTheme="majorEastAsia"/>
          <w:bCs w:val="0"/>
          <w:lang w:val="zh-CN"/>
        </w:rPr>
        <w:t>及提交</w:t>
      </w:r>
      <w:bookmarkEnd w:id="41"/>
      <w:bookmarkEnd w:id="42"/>
      <w:bookmarkEnd w:id="43"/>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阳新县公共资源交易中心</w:t>
      </w:r>
      <w:r>
        <w:rPr>
          <w:rFonts w:ascii="宋体" w:hAnsi="宋体" w:eastAsia="宋体" w:cs="Times New Roman"/>
          <w:sz w:val="24"/>
          <w:szCs w:val="20"/>
          <w:lang w:val="zh-CN"/>
        </w:rPr>
        <w:t>提出质疑</w:t>
      </w:r>
      <w:r>
        <w:rPr>
          <w:rFonts w:hint="eastAsia" w:ascii="宋体" w:hAnsi="宋体" w:eastAsia="宋体" w:cs="Times New Roman"/>
          <w:sz w:val="24"/>
          <w:szCs w:val="20"/>
          <w:lang w:val="zh-CN"/>
        </w:rPr>
        <w:t>，质疑提出时间以收到之日为准。</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pStyle w:val="7"/>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9"/>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44" w:name="_Toc494561947"/>
      <w:bookmarkStart w:id="45" w:name="_Toc4993"/>
      <w:bookmarkStart w:id="46" w:name="_Toc27839"/>
      <w:r>
        <w:rPr>
          <w:rFonts w:hint="eastAsia" w:cs="Times New Roman" w:asciiTheme="majorEastAsia" w:hAnsiTheme="majorEastAsia"/>
          <w:bCs w:val="0"/>
          <w:lang w:val="zh-CN"/>
        </w:rPr>
        <w:t>相关条文解读</w:t>
      </w:r>
      <w:bookmarkEnd w:id="44"/>
      <w:bookmarkEnd w:id="45"/>
      <w:bookmarkEnd w:id="46"/>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8"/>
        </w:numPr>
        <w:spacing w:before="40" w:after="40" w:line="360" w:lineRule="auto"/>
        <w:ind w:left="658" w:hanging="658"/>
        <w:jc w:val="left"/>
        <w:rPr>
          <w:rFonts w:cs="Times New Roman" w:asciiTheme="majorEastAsia" w:hAnsiTheme="majorEastAsia"/>
          <w:bCs w:val="0"/>
          <w:lang w:val="zh-CN"/>
        </w:rPr>
      </w:pPr>
      <w:bookmarkStart w:id="47" w:name="_Toc494561948"/>
      <w:bookmarkStart w:id="48" w:name="_Toc19566"/>
      <w:bookmarkStart w:id="49" w:name="_Toc11906"/>
      <w:r>
        <w:rPr>
          <w:rFonts w:hint="eastAsia" w:cs="Times New Roman" w:asciiTheme="majorEastAsia" w:hAnsiTheme="majorEastAsia"/>
          <w:bCs w:val="0"/>
          <w:lang w:val="zh-CN"/>
        </w:rPr>
        <w:t>其他注意事项</w:t>
      </w:r>
      <w:bookmarkEnd w:id="47"/>
      <w:bookmarkEnd w:id="48"/>
      <w:bookmarkEnd w:id="49"/>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8"/>
        </w:numPr>
        <w:spacing w:before="40" w:after="40" w:line="360" w:lineRule="auto"/>
        <w:ind w:left="966" w:hanging="966"/>
        <w:jc w:val="left"/>
        <w:rPr>
          <w:rFonts w:cs="Times New Roman" w:asciiTheme="majorEastAsia" w:hAnsiTheme="majorEastAsia"/>
          <w:bCs w:val="0"/>
          <w:lang w:val="zh-CN"/>
        </w:rPr>
      </w:pPr>
      <w:bookmarkStart w:id="50" w:name="_Toc278891598"/>
      <w:bookmarkStart w:id="51" w:name="_Toc272247701"/>
      <w:bookmarkStart w:id="52" w:name="_Toc3045"/>
      <w:bookmarkStart w:id="53" w:name="_Toc494561949"/>
      <w:bookmarkStart w:id="54" w:name="_Toc15509"/>
      <w:r>
        <w:rPr>
          <w:rFonts w:hint="eastAsia" w:cs="Times New Roman" w:asciiTheme="majorEastAsia" w:hAnsiTheme="majorEastAsia"/>
          <w:bCs w:val="0"/>
          <w:lang w:val="zh-CN"/>
        </w:rPr>
        <w:t>适用法律</w:t>
      </w:r>
      <w:bookmarkEnd w:id="50"/>
      <w:bookmarkEnd w:id="51"/>
      <w:bookmarkEnd w:id="52"/>
      <w:bookmarkEnd w:id="53"/>
      <w:bookmarkEnd w:id="54"/>
    </w:p>
    <w:p>
      <w:pPr>
        <w:numPr>
          <w:ilvl w:val="0"/>
          <w:numId w:val="9"/>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9"/>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8"/>
        </w:numPr>
        <w:spacing w:before="40" w:after="40" w:line="360" w:lineRule="auto"/>
        <w:ind w:left="966" w:hanging="966"/>
        <w:jc w:val="left"/>
        <w:rPr>
          <w:rFonts w:cs="Times New Roman" w:asciiTheme="majorEastAsia" w:hAnsiTheme="majorEastAsia"/>
          <w:bCs w:val="0"/>
          <w:lang w:val="zh-CN"/>
        </w:rPr>
      </w:pPr>
      <w:bookmarkStart w:id="55" w:name="_Toc23799"/>
      <w:bookmarkStart w:id="56" w:name="_Toc278891599"/>
      <w:bookmarkStart w:id="57" w:name="_Toc272247702"/>
      <w:bookmarkStart w:id="58" w:name="_Toc494561950"/>
      <w:bookmarkStart w:id="59" w:name="_Toc9522"/>
      <w:r>
        <w:rPr>
          <w:rFonts w:hint="eastAsia" w:cs="Times New Roman" w:asciiTheme="majorEastAsia" w:hAnsiTheme="majorEastAsia"/>
          <w:bCs w:val="0"/>
          <w:lang w:val="zh-CN"/>
        </w:rPr>
        <w:t>招标文件的解释权</w:t>
      </w:r>
      <w:bookmarkEnd w:id="55"/>
      <w:bookmarkEnd w:id="56"/>
      <w:bookmarkEnd w:id="57"/>
      <w:bookmarkEnd w:id="58"/>
      <w:bookmarkEnd w:id="59"/>
    </w:p>
    <w:p>
      <w:pPr>
        <w:numPr>
          <w:ilvl w:val="0"/>
          <w:numId w:val="9"/>
        </w:numPr>
        <w:spacing w:line="360" w:lineRule="auto"/>
        <w:ind w:left="560" w:hanging="560"/>
        <w:sectPr>
          <w:footerReference r:id="rId7" w:type="default"/>
          <w:pgSz w:w="11906" w:h="16838"/>
          <w:pgMar w:top="1134" w:right="1191" w:bottom="1134" w:left="1191" w:header="851" w:footer="850" w:gutter="0"/>
          <w:cols w:space="0" w:num="1"/>
          <w:docGrid w:type="linesAndChars" w:linePitch="317" w:charSpace="204"/>
        </w:sectPr>
      </w:pPr>
      <w:r>
        <w:rPr>
          <w:rFonts w:hint="eastAsia" w:ascii="宋体" w:hAnsi="宋体" w:eastAsia="宋体" w:cs="Times New Roman"/>
          <w:sz w:val="24"/>
          <w:szCs w:val="20"/>
          <w:lang w:val="zh-CN"/>
        </w:rPr>
        <w:t>招标文件的最终解释权为采购人、集中采购机构所有。</w:t>
      </w:r>
    </w:p>
    <w:p>
      <w:pPr>
        <w:pStyle w:val="2"/>
        <w:numPr>
          <w:ilvl w:val="0"/>
          <w:numId w:val="2"/>
        </w:numPr>
        <w:jc w:val="center"/>
        <w:rPr>
          <w:rFonts w:ascii="黑体" w:hAnsi="黑体" w:eastAsia="黑体"/>
        </w:rPr>
      </w:pPr>
      <w:bookmarkStart w:id="60" w:name="_Toc19471"/>
      <w:r>
        <w:rPr>
          <w:rFonts w:hint="eastAsia" w:ascii="黑体" w:hAnsi="黑体" w:eastAsia="黑体"/>
        </w:rPr>
        <w:t>项目技术、服务及商务要求</w:t>
      </w:r>
      <w:bookmarkEnd w:id="60"/>
    </w:p>
    <w:p>
      <w:pPr>
        <w:spacing w:line="560" w:lineRule="exact"/>
        <w:ind w:firstLine="412" w:firstLineChars="147"/>
        <w:rPr>
          <w:b/>
          <w:color w:val="auto"/>
          <w:sz w:val="28"/>
          <w:szCs w:val="28"/>
        </w:rPr>
      </w:pPr>
      <w:r>
        <w:rPr>
          <w:rFonts w:hint="eastAsia" w:ascii="Times New Roman" w:hAnsi="Times New Roman" w:eastAsia="宋体" w:cs="宋体"/>
          <w:b/>
          <w:color w:val="auto"/>
          <w:sz w:val="28"/>
          <w:szCs w:val="28"/>
        </w:rPr>
        <w:t>一、项目概要</w:t>
      </w:r>
    </w:p>
    <w:p>
      <w:pPr>
        <w:ind w:firstLine="642" w:firstLineChars="200"/>
        <w:jc w:val="left"/>
        <w:rPr>
          <w:rFonts w:ascii="仿宋" w:hAnsi="仿宋" w:eastAsia="仿宋"/>
          <w:color w:val="auto"/>
          <w:sz w:val="32"/>
          <w:szCs w:val="32"/>
        </w:rPr>
      </w:pPr>
      <w:r>
        <w:rPr>
          <w:rFonts w:hint="eastAsia" w:ascii="仿宋" w:hAnsi="仿宋" w:eastAsia="仿宋"/>
          <w:color w:val="auto"/>
          <w:sz w:val="32"/>
          <w:szCs w:val="32"/>
        </w:rPr>
        <w:t>阳新县是中铝集团的定点帮扶县，近20年来，中铝集团在持续选派干部的同时，投入扶贫资金帮助阳新县发展农业产业，改善基础设施。2018年以来，中铝集团在加大扶贫力度的同时，创新扶贫方式，强化了消费扶贫带动作用，经过两次试验性组织，效果良好，在职工满意的同时，带动了大量贫困户发展产业，增收致富，有力地推动了精准扶贫工作。为了进一步规范消费扶贫工作流程，改善服务质量，提升服务效率，特开展本次招标。</w:t>
      </w:r>
    </w:p>
    <w:p>
      <w:pPr>
        <w:ind w:firstLine="642" w:firstLineChars="200"/>
        <w:jc w:val="left"/>
        <w:rPr>
          <w:rFonts w:ascii="仿宋" w:hAnsi="仿宋" w:eastAsia="仿宋"/>
          <w:color w:val="auto"/>
          <w:sz w:val="32"/>
          <w:szCs w:val="32"/>
        </w:rPr>
      </w:pPr>
      <w:r>
        <w:rPr>
          <w:rFonts w:hint="eastAsia" w:ascii="仿宋" w:hAnsi="仿宋" w:eastAsia="仿宋"/>
          <w:color w:val="auto"/>
          <w:sz w:val="32"/>
          <w:szCs w:val="32"/>
        </w:rPr>
        <w:t>选择一家农产品销售服务类企业供应商，负责组织2019年5月1日----2020年12月31日期间中铝集团对阳新实施消费扶贫购买的阳新农产品。</w:t>
      </w:r>
    </w:p>
    <w:p>
      <w:pPr>
        <w:pStyle w:val="15"/>
        <w:widowControl w:val="0"/>
        <w:numPr>
          <w:ilvl w:val="0"/>
          <w:numId w:val="39"/>
        </w:numPr>
        <w:adjustRightInd w:val="0"/>
        <w:snapToGrid w:val="0"/>
        <w:spacing w:before="0" w:beforeAutospacing="0" w:after="0" w:afterAutospacing="0" w:line="560" w:lineRule="exact"/>
        <w:ind w:firstLine="562" w:firstLineChars="200"/>
        <w:jc w:val="both"/>
        <w:rPr>
          <w:rFonts w:eastAsia="Times New Roman" w:cs="Times New Roman"/>
          <w:b/>
          <w:color w:val="auto"/>
          <w:kern w:val="2"/>
          <w:sz w:val="28"/>
          <w:szCs w:val="28"/>
        </w:rPr>
      </w:pPr>
      <w:r>
        <w:rPr>
          <w:rFonts w:hint="eastAsia" w:eastAsia="Times New Roman" w:cs="Times New Roman"/>
          <w:b/>
          <w:color w:val="auto"/>
          <w:kern w:val="2"/>
          <w:sz w:val="28"/>
          <w:szCs w:val="28"/>
        </w:rPr>
        <w:t>服务基本要求</w:t>
      </w:r>
    </w:p>
    <w:p>
      <w:pPr>
        <w:pStyle w:val="15"/>
        <w:widowControl w:val="0"/>
        <w:adjustRightInd w:val="0"/>
        <w:snapToGrid w:val="0"/>
        <w:spacing w:before="0" w:beforeAutospacing="0" w:after="0" w:afterAutospacing="0" w:line="560" w:lineRule="exact"/>
        <w:ind w:firstLine="640"/>
        <w:jc w:val="both"/>
        <w:rPr>
          <w:rFonts w:hint="eastAsia" w:ascii="仿宋" w:hAnsi="仿宋" w:eastAsia="仿宋"/>
          <w:color w:val="auto"/>
          <w:sz w:val="32"/>
          <w:szCs w:val="32"/>
        </w:rPr>
      </w:pPr>
      <w:r>
        <w:rPr>
          <w:rFonts w:hint="eastAsia" w:ascii="仿宋" w:hAnsi="仿宋" w:eastAsia="仿宋"/>
          <w:color w:val="auto"/>
          <w:sz w:val="32"/>
          <w:szCs w:val="32"/>
        </w:rPr>
        <w:t>1、中铝集团一般在端午、中秋和春季，三个节日会有购买农产品需求，数额和数量在节前一个月左右确定并告知农业服务类企业。</w:t>
      </w:r>
    </w:p>
    <w:p>
      <w:pPr>
        <w:pStyle w:val="15"/>
        <w:widowControl w:val="0"/>
        <w:adjustRightInd w:val="0"/>
        <w:snapToGrid w:val="0"/>
        <w:spacing w:before="0" w:beforeAutospacing="0" w:after="0" w:afterAutospacing="0" w:line="560" w:lineRule="exact"/>
        <w:ind w:firstLine="640"/>
        <w:jc w:val="both"/>
        <w:rPr>
          <w:rFonts w:hint="eastAsia" w:ascii="仿宋" w:hAnsi="仿宋" w:eastAsia="仿宋"/>
          <w:color w:val="auto"/>
          <w:sz w:val="32"/>
          <w:szCs w:val="32"/>
        </w:rPr>
      </w:pPr>
      <w:r>
        <w:rPr>
          <w:rFonts w:hint="eastAsia" w:ascii="仿宋" w:hAnsi="仿宋" w:eastAsia="仿宋"/>
          <w:color w:val="auto"/>
          <w:sz w:val="32"/>
          <w:szCs w:val="32"/>
        </w:rPr>
        <w:t>2、中铝总部职工分布较广，一般采取由职工在农业服务类企业的电商平台填写住址和联系电话，再有农业类服务企业向每个职工邮寄的形式（即邮寄到职工家中）；也会存在部分企业集中采购的情况。</w:t>
      </w:r>
    </w:p>
    <w:p>
      <w:pPr>
        <w:pStyle w:val="15"/>
        <w:widowControl w:val="0"/>
        <w:adjustRightInd w:val="0"/>
        <w:snapToGrid w:val="0"/>
        <w:spacing w:before="0" w:beforeAutospacing="0" w:after="0" w:afterAutospacing="0" w:line="560" w:lineRule="exact"/>
        <w:ind w:firstLine="562" w:firstLineChars="200"/>
        <w:jc w:val="both"/>
        <w:rPr>
          <w:rFonts w:eastAsia="Times New Roman" w:cs="Times New Roman"/>
          <w:b/>
          <w:color w:val="auto"/>
          <w:kern w:val="2"/>
          <w:sz w:val="28"/>
          <w:szCs w:val="28"/>
        </w:rPr>
      </w:pPr>
      <w:r>
        <w:rPr>
          <w:rFonts w:hint="eastAsia" w:eastAsia="Times New Roman" w:cs="Times New Roman"/>
          <w:b/>
          <w:color w:val="auto"/>
          <w:kern w:val="2"/>
          <w:sz w:val="28"/>
          <w:szCs w:val="28"/>
        </w:rPr>
        <w:t>三、其他服务要求</w:t>
      </w:r>
    </w:p>
    <w:p>
      <w:pPr>
        <w:pStyle w:val="15"/>
        <w:widowControl w:val="0"/>
        <w:adjustRightInd w:val="0"/>
        <w:snapToGrid w:val="0"/>
        <w:spacing w:before="0" w:beforeAutospacing="0" w:after="0" w:afterAutospacing="0" w:line="560" w:lineRule="exact"/>
        <w:ind w:firstLine="642" w:firstLineChars="200"/>
        <w:jc w:val="both"/>
        <w:rPr>
          <w:rFonts w:ascii="仿宋" w:hAnsi="仿宋" w:eastAsia="仿宋"/>
          <w:color w:val="auto"/>
          <w:sz w:val="32"/>
          <w:szCs w:val="32"/>
        </w:rPr>
      </w:pPr>
      <w:r>
        <w:rPr>
          <w:rFonts w:hint="eastAsia" w:ascii="仿宋" w:hAnsi="仿宋" w:eastAsia="仿宋"/>
          <w:color w:val="auto"/>
          <w:sz w:val="32"/>
          <w:szCs w:val="32"/>
        </w:rPr>
        <w:t>1、农业服务类企业要保证农产品质量、安全并有承担相应赔偿风险的能力。</w:t>
      </w:r>
    </w:p>
    <w:p>
      <w:pPr>
        <w:pStyle w:val="15"/>
        <w:widowControl w:val="0"/>
        <w:adjustRightInd w:val="0"/>
        <w:snapToGrid w:val="0"/>
        <w:spacing w:before="0" w:beforeAutospacing="0" w:after="0" w:afterAutospacing="0" w:line="560" w:lineRule="exact"/>
        <w:ind w:firstLine="642" w:firstLineChars="200"/>
        <w:jc w:val="both"/>
        <w:rPr>
          <w:rFonts w:ascii="仿宋" w:hAnsi="仿宋" w:eastAsia="仿宋"/>
          <w:color w:val="auto"/>
          <w:sz w:val="32"/>
          <w:szCs w:val="32"/>
        </w:rPr>
      </w:pPr>
      <w:r>
        <w:rPr>
          <w:rFonts w:hint="eastAsia" w:ascii="仿宋" w:hAnsi="仿宋" w:eastAsia="仿宋"/>
          <w:color w:val="auto"/>
          <w:sz w:val="32"/>
          <w:szCs w:val="32"/>
        </w:rPr>
        <w:t>2、能够出具本单位的增值税发票。</w:t>
      </w:r>
    </w:p>
    <w:p>
      <w:pPr>
        <w:pStyle w:val="15"/>
        <w:widowControl w:val="0"/>
        <w:adjustRightInd w:val="0"/>
        <w:snapToGrid w:val="0"/>
        <w:spacing w:before="0" w:beforeAutospacing="0" w:after="0" w:afterAutospacing="0" w:line="560" w:lineRule="exact"/>
        <w:ind w:firstLine="642" w:firstLineChars="200"/>
        <w:jc w:val="both"/>
        <w:rPr>
          <w:rFonts w:ascii="仿宋" w:hAnsi="仿宋" w:eastAsia="仿宋"/>
          <w:color w:val="auto"/>
          <w:sz w:val="32"/>
          <w:szCs w:val="32"/>
        </w:rPr>
      </w:pPr>
      <w:r>
        <w:rPr>
          <w:rFonts w:hint="eastAsia" w:ascii="仿宋" w:hAnsi="仿宋" w:eastAsia="仿宋"/>
          <w:color w:val="auto"/>
          <w:sz w:val="32"/>
          <w:szCs w:val="32"/>
        </w:rPr>
        <w:t>3、熟悉阳新农产品种类及分布，并能够在短时间内组织向外发货。</w:t>
      </w:r>
    </w:p>
    <w:p>
      <w:pPr>
        <w:pStyle w:val="15"/>
        <w:widowControl w:val="0"/>
        <w:adjustRightInd w:val="0"/>
        <w:snapToGrid w:val="0"/>
        <w:spacing w:before="0" w:beforeAutospacing="0" w:after="0" w:afterAutospacing="0" w:line="560" w:lineRule="exact"/>
        <w:ind w:firstLine="642" w:firstLineChars="200"/>
        <w:jc w:val="both"/>
        <w:rPr>
          <w:rFonts w:ascii="仿宋" w:hAnsi="仿宋" w:eastAsia="仿宋"/>
          <w:color w:val="auto"/>
          <w:sz w:val="32"/>
          <w:szCs w:val="32"/>
        </w:rPr>
      </w:pPr>
      <w:r>
        <w:rPr>
          <w:rFonts w:hint="eastAsia" w:ascii="仿宋" w:hAnsi="仿宋" w:eastAsia="仿宋"/>
          <w:color w:val="auto"/>
          <w:sz w:val="32"/>
          <w:szCs w:val="32"/>
        </w:rPr>
        <w:t>4、服务时间：2019年5月1日----2020年12月31日。</w:t>
      </w:r>
    </w:p>
    <w:p>
      <w:pPr>
        <w:pStyle w:val="15"/>
        <w:widowControl w:val="0"/>
        <w:adjustRightInd w:val="0"/>
        <w:snapToGrid w:val="0"/>
        <w:spacing w:before="0" w:beforeAutospacing="0" w:after="0" w:afterAutospacing="0" w:line="560" w:lineRule="exact"/>
        <w:ind w:firstLine="642" w:firstLineChars="200"/>
        <w:jc w:val="both"/>
        <w:rPr>
          <w:rFonts w:hint="eastAsia" w:ascii="仿宋" w:hAnsi="仿宋" w:eastAsia="仿宋"/>
          <w:color w:val="auto"/>
          <w:sz w:val="32"/>
          <w:szCs w:val="32"/>
        </w:rPr>
      </w:pPr>
      <w:r>
        <w:rPr>
          <w:rFonts w:hint="eastAsia" w:ascii="仿宋" w:hAnsi="仿宋" w:eastAsia="仿宋"/>
          <w:color w:val="auto"/>
          <w:sz w:val="32"/>
          <w:szCs w:val="32"/>
        </w:rPr>
        <w:t>5、服务人员：中铝集团总部职工及部分集团下属企业。</w:t>
      </w:r>
    </w:p>
    <w:p>
      <w:pPr>
        <w:pStyle w:val="15"/>
        <w:widowControl w:val="0"/>
        <w:adjustRightInd w:val="0"/>
        <w:snapToGrid w:val="0"/>
        <w:spacing w:before="0" w:beforeAutospacing="0" w:after="0" w:afterAutospacing="0" w:line="560" w:lineRule="exact"/>
        <w:ind w:firstLine="562" w:firstLineChars="200"/>
        <w:jc w:val="both"/>
        <w:rPr>
          <w:color w:val="auto"/>
          <w:sz w:val="28"/>
          <w:szCs w:val="28"/>
        </w:rPr>
      </w:pPr>
      <w:r>
        <w:rPr>
          <w:rFonts w:hint="eastAsia"/>
          <w:color w:val="auto"/>
          <w:sz w:val="28"/>
          <w:szCs w:val="28"/>
        </w:rPr>
        <w:t xml:space="preserve"> 6、付款方式：</w:t>
      </w:r>
      <w:r>
        <w:rPr>
          <w:rFonts w:hint="eastAsia" w:ascii="仿宋" w:hAnsi="仿宋" w:eastAsia="仿宋"/>
          <w:color w:val="auto"/>
          <w:sz w:val="32"/>
          <w:szCs w:val="32"/>
        </w:rPr>
        <w:t>货到验收合格后一个月左右付清销售货款。</w:t>
      </w:r>
    </w:p>
    <w:p>
      <w:pPr>
        <w:rPr>
          <w:color w:val="FF0000"/>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spacing w:line="360" w:lineRule="auto"/>
        <w:rPr>
          <w:rFonts w:ascii="宋体" w:hAnsi="宋体" w:cs="仿宋_GB2312"/>
          <w:sz w:val="24"/>
          <w:szCs w:val="24"/>
        </w:rPr>
      </w:pPr>
    </w:p>
    <w:p>
      <w:pPr>
        <w:pStyle w:val="2"/>
        <w:numPr>
          <w:ilvl w:val="0"/>
          <w:numId w:val="2"/>
        </w:numPr>
        <w:jc w:val="center"/>
        <w:rPr>
          <w:rFonts w:ascii="黑体" w:hAnsi="黑体" w:eastAsia="黑体"/>
        </w:rPr>
      </w:pPr>
      <w:bookmarkStart w:id="61" w:name="_Toc10704"/>
      <w:r>
        <w:rPr>
          <w:rFonts w:hint="eastAsia" w:ascii="黑体" w:hAnsi="黑体" w:eastAsia="黑体"/>
        </w:rPr>
        <w:t>资格审查方法及标准</w:t>
      </w:r>
      <w:bookmarkEnd w:id="6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62" w:name="_Toc494561958"/>
      <w:bookmarkStart w:id="63" w:name="_Toc31792"/>
      <w:r>
        <w:rPr>
          <w:rFonts w:hint="eastAsia" w:cs="Times New Roman" w:asciiTheme="majorEastAsia" w:hAnsiTheme="majorEastAsia"/>
          <w:bCs w:val="0"/>
          <w:sz w:val="30"/>
          <w:szCs w:val="30"/>
          <w:lang w:val="zh-CN"/>
        </w:rPr>
        <w:t>资格审查方法</w:t>
      </w:r>
      <w:bookmarkEnd w:id="62"/>
      <w:bookmarkEnd w:id="6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3"/>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64" w:name="_Toc494561959"/>
      <w:bookmarkStart w:id="65" w:name="_Toc23057"/>
      <w:r>
        <w:rPr>
          <w:rFonts w:hint="eastAsia" w:cs="Times New Roman" w:asciiTheme="majorEastAsia" w:hAnsiTheme="majorEastAsia"/>
          <w:bCs w:val="0"/>
          <w:sz w:val="30"/>
          <w:szCs w:val="30"/>
          <w:lang w:val="zh-CN"/>
        </w:rPr>
        <w:t>资格审查标准</w:t>
      </w:r>
      <w:bookmarkEnd w:id="64"/>
      <w:bookmarkEnd w:id="65"/>
    </w:p>
    <w:p>
      <w:pPr>
        <w:numPr>
          <w:ilvl w:val="0"/>
          <w:numId w:val="41"/>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3"/>
        <w:numPr>
          <w:ilvl w:val="0"/>
          <w:numId w:val="43"/>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法人或者其他组织的营业执照等证明文件，自然人的身份证明；</w:t>
      </w:r>
    </w:p>
    <w:p>
      <w:pPr>
        <w:pStyle w:val="33"/>
        <w:numPr>
          <w:ilvl w:val="0"/>
          <w:numId w:val="43"/>
        </w:numPr>
        <w:tabs>
          <w:tab w:val="left" w:pos="1036"/>
        </w:tabs>
        <w:spacing w:line="360" w:lineRule="auto"/>
        <w:ind w:left="1036" w:hanging="616" w:firstLineChars="0"/>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财务状况报告，依法缴纳税收和社会保障资金的相关材料；</w:t>
      </w:r>
    </w:p>
    <w:p>
      <w:pPr>
        <w:pStyle w:val="33"/>
        <w:numPr>
          <w:ilvl w:val="0"/>
          <w:numId w:val="43"/>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具备履行合同所必需的设备和专业技术能力的证明材料；</w:t>
      </w:r>
    </w:p>
    <w:p>
      <w:pPr>
        <w:pStyle w:val="33"/>
        <w:numPr>
          <w:ilvl w:val="0"/>
          <w:numId w:val="43"/>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参加政府采购活动前3年内在经营活动中没有重大违法记录的书面声明；</w:t>
      </w:r>
    </w:p>
    <w:p>
      <w:pPr>
        <w:pStyle w:val="33"/>
        <w:numPr>
          <w:ilvl w:val="0"/>
          <w:numId w:val="43"/>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具备法律、行政法规规定的其他条件的证明材料。</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1"/>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3"/>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3"/>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3"/>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3"/>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2"/>
        </w:numPr>
        <w:jc w:val="center"/>
        <w:rPr>
          <w:rFonts w:ascii="黑体" w:hAnsi="黑体" w:eastAsia="黑体"/>
        </w:rPr>
      </w:pPr>
      <w:bookmarkStart w:id="66" w:name="_Toc14750"/>
      <w:r>
        <w:rPr>
          <w:rFonts w:hint="eastAsia" w:ascii="黑体" w:hAnsi="黑体" w:eastAsia="黑体"/>
        </w:rPr>
        <w:t>评标方法、程序及标准</w:t>
      </w:r>
      <w:bookmarkEnd w:id="66"/>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67" w:name="_Toc278891605"/>
      <w:bookmarkStart w:id="68" w:name="_Toc272247708"/>
      <w:bookmarkStart w:id="69" w:name="_Toc494561961"/>
      <w:bookmarkStart w:id="70" w:name="_Toc1755"/>
      <w:r>
        <w:rPr>
          <w:rFonts w:hint="eastAsia" w:cs="Times New Roman" w:asciiTheme="majorEastAsia" w:hAnsiTheme="majorEastAsia"/>
          <w:bCs w:val="0"/>
          <w:sz w:val="30"/>
          <w:szCs w:val="30"/>
          <w:lang w:val="zh-CN"/>
        </w:rPr>
        <w:t>评标</w:t>
      </w:r>
      <w:bookmarkEnd w:id="67"/>
      <w:bookmarkEnd w:id="68"/>
      <w:r>
        <w:rPr>
          <w:rFonts w:hint="eastAsia" w:cs="Times New Roman" w:asciiTheme="majorEastAsia" w:hAnsiTheme="majorEastAsia"/>
          <w:bCs w:val="0"/>
          <w:sz w:val="30"/>
          <w:szCs w:val="30"/>
          <w:lang w:val="zh-CN"/>
        </w:rPr>
        <w:t>方法</w:t>
      </w:r>
      <w:bookmarkEnd w:id="69"/>
      <w:bookmarkEnd w:id="70"/>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71" w:name="_Toc272247709"/>
      <w:bookmarkStart w:id="72" w:name="_Toc278891606"/>
      <w:bookmarkStart w:id="73" w:name="_Toc494561962"/>
      <w:bookmarkStart w:id="74" w:name="_Toc5418"/>
      <w:r>
        <w:rPr>
          <w:rFonts w:hint="eastAsia" w:cs="Times New Roman" w:asciiTheme="majorEastAsia" w:hAnsiTheme="majorEastAsia"/>
          <w:bCs w:val="0"/>
          <w:sz w:val="30"/>
          <w:szCs w:val="30"/>
          <w:lang w:val="zh-CN"/>
        </w:rPr>
        <w:t>评标程序</w:t>
      </w:r>
      <w:bookmarkEnd w:id="71"/>
      <w:bookmarkEnd w:id="72"/>
      <w:r>
        <w:rPr>
          <w:rFonts w:hint="eastAsia" w:cs="Times New Roman" w:asciiTheme="majorEastAsia" w:hAnsiTheme="majorEastAsia"/>
          <w:bCs w:val="0"/>
          <w:sz w:val="30"/>
          <w:szCs w:val="30"/>
          <w:lang w:val="zh-CN"/>
        </w:rPr>
        <w:t>及标准</w:t>
      </w:r>
      <w:bookmarkEnd w:id="73"/>
      <w:bookmarkEnd w:id="74"/>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6"/>
        </w:numPr>
        <w:ind w:left="1315" w:leftChars="154" w:hanging="991"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1" w:firstLineChars="196"/>
        <w:rPr>
          <w:rFonts w:ascii="Times New Roman" w:hAnsi="宋体" w:eastAsia="宋体" w:cs="Times New Roman"/>
          <w:sz w:val="24"/>
          <w:szCs w:val="24"/>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《投标书》、《法定代表人授权书》、《开标一览表》未提供或不符合招标文件要求的；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服务期限不符合招标文件要求的；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未按要求提供招标文件第二章“十、其他注意事项”中规定的书面声明的；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6"/>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8"/>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8"/>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6"/>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2"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2"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adjustRightInd w:val="0"/>
        <w:spacing w:line="360" w:lineRule="auto"/>
        <w:ind w:left="249"/>
        <w:rPr>
          <w:rFonts w:ascii="Helvetica" w:hAnsi="Helvetica" w:eastAsia="宋体" w:cs="Helvetica"/>
          <w:kern w:val="0"/>
          <w:sz w:val="24"/>
          <w:szCs w:val="24"/>
          <w:lang w:val="zh-CN"/>
        </w:rPr>
      </w:pPr>
      <w:r>
        <w:rPr>
          <w:rFonts w:hint="eastAsia" w:ascii="Helvetica" w:hAnsi="Helvetica" w:eastAsia="宋体" w:cs="Helvetica"/>
          <w:kern w:val="0"/>
          <w:sz w:val="24"/>
          <w:szCs w:val="24"/>
        </w:rPr>
        <w:t>3.1</w:t>
      </w:r>
      <w:r>
        <w:rPr>
          <w:rFonts w:hint="eastAsia" w:ascii="Helvetica" w:hAnsi="Helvetica" w:eastAsia="宋体" w:cs="Helvetica"/>
          <w:kern w:val="0"/>
          <w:sz w:val="24"/>
          <w:szCs w:val="24"/>
          <w:lang w:val="zh-CN"/>
        </w:rPr>
        <w:t>集中采购机构对各评委的总分进行复核。各项统计结果均精确到小数点后两位。</w:t>
      </w:r>
    </w:p>
    <w:p>
      <w:pPr>
        <w:adjustRightInd w:val="0"/>
        <w:spacing w:line="360" w:lineRule="auto"/>
        <w:ind w:left="249"/>
        <w:rPr>
          <w:rFonts w:ascii="Helvetica" w:hAnsi="Helvetica" w:eastAsia="宋体" w:cs="Helvetica"/>
          <w:kern w:val="0"/>
          <w:sz w:val="24"/>
          <w:szCs w:val="24"/>
          <w:lang w:val="zh-CN"/>
        </w:rPr>
      </w:pPr>
      <w:r>
        <w:rPr>
          <w:rFonts w:hint="eastAsia" w:ascii="Helvetica" w:hAnsi="Helvetica" w:eastAsia="宋体" w:cs="Helvetica"/>
          <w:kern w:val="0"/>
          <w:sz w:val="24"/>
          <w:szCs w:val="24"/>
        </w:rPr>
        <w:t>3.2</w:t>
      </w:r>
      <w:r>
        <w:rPr>
          <w:rFonts w:hint="eastAsia" w:ascii="Helvetica" w:hAnsi="Helvetica" w:eastAsia="宋体" w:cs="Helvetica"/>
          <w:kern w:val="0"/>
          <w:sz w:val="24"/>
          <w:szCs w:val="24"/>
          <w:lang w:val="zh-CN"/>
        </w:rPr>
        <w:t>各投标人的最终得分为评委所评定分数的算术平均值。</w:t>
      </w:r>
    </w:p>
    <w:p>
      <w:pPr>
        <w:numPr>
          <w:ilvl w:val="0"/>
          <w:numId w:val="46"/>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kern w:val="0"/>
          <w:sz w:val="24"/>
          <w:szCs w:val="24"/>
          <w:lang w:val="zh-CN"/>
        </w:rPr>
      </w:pPr>
    </w:p>
    <w:p>
      <w:pPr>
        <w:rPr>
          <w:rFonts w:ascii="Helvetica" w:hAnsi="Helvetica" w:eastAsia="宋体" w:cs="Helvetica"/>
          <w:kern w:val="0"/>
          <w:sz w:val="24"/>
          <w:szCs w:val="24"/>
          <w:lang w:val="zh-CN"/>
        </w:rPr>
      </w:pPr>
      <w:r>
        <w:rPr>
          <w:rFonts w:ascii="Helvetica" w:hAnsi="Helvetica" w:eastAsia="宋体" w:cs="Helvetica"/>
          <w:kern w:val="0"/>
          <w:sz w:val="24"/>
          <w:szCs w:val="24"/>
          <w:lang w:val="zh-CN"/>
        </w:rPr>
        <w:br w:type="page"/>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75" w:name="_Toc494561963"/>
      <w:bookmarkStart w:id="76" w:name="_Toc6932"/>
      <w:r>
        <w:rPr>
          <w:rFonts w:hint="eastAsia" w:cs="Times New Roman" w:asciiTheme="majorEastAsia" w:hAnsiTheme="majorEastAsia"/>
          <w:bCs w:val="0"/>
          <w:sz w:val="30"/>
          <w:szCs w:val="30"/>
          <w:lang w:val="zh-CN"/>
        </w:rPr>
        <w:t>评审因素及评分标准</w:t>
      </w:r>
      <w:bookmarkEnd w:id="75"/>
      <w:bookmarkEnd w:id="76"/>
    </w:p>
    <w:tbl>
      <w:tblPr>
        <w:tblStyle w:val="17"/>
        <w:tblpPr w:leftFromText="180" w:rightFromText="180" w:vertAnchor="text" w:horzAnchor="page" w:tblpX="838" w:tblpY="613"/>
        <w:tblOverlap w:val="never"/>
        <w:tblW w:w="9820" w:type="dxa"/>
        <w:tblInd w:w="0" w:type="dxa"/>
        <w:tblLayout w:type="fixed"/>
        <w:tblCellMar>
          <w:top w:w="0" w:type="dxa"/>
          <w:left w:w="108" w:type="dxa"/>
          <w:bottom w:w="0" w:type="dxa"/>
          <w:right w:w="108" w:type="dxa"/>
        </w:tblCellMar>
      </w:tblPr>
      <w:tblGrid>
        <w:gridCol w:w="1118"/>
        <w:gridCol w:w="611"/>
        <w:gridCol w:w="8091"/>
      </w:tblGrid>
      <w:tr>
        <w:tblPrEx>
          <w:tblLayout w:type="fixed"/>
          <w:tblCellMar>
            <w:top w:w="0" w:type="dxa"/>
            <w:left w:w="108" w:type="dxa"/>
            <w:bottom w:w="0" w:type="dxa"/>
            <w:right w:w="108" w:type="dxa"/>
          </w:tblCellMar>
        </w:tblPrEx>
        <w:trPr>
          <w:trHeight w:val="1260" w:hRule="atLeast"/>
        </w:trPr>
        <w:tc>
          <w:tcPr>
            <w:tcW w:w="1118"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项目</w:t>
            </w:r>
          </w:p>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评审</w:t>
            </w:r>
          </w:p>
        </w:tc>
        <w:tc>
          <w:tcPr>
            <w:tcW w:w="61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分值</w:t>
            </w:r>
          </w:p>
        </w:tc>
        <w:tc>
          <w:tcPr>
            <w:tcW w:w="809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jc w:val="center"/>
              <w:rPr>
                <w:color w:val="auto"/>
                <w:szCs w:val="21"/>
              </w:rPr>
            </w:pPr>
            <w:r>
              <w:rPr>
                <w:rFonts w:hint="eastAsia"/>
                <w:color w:val="auto"/>
                <w:szCs w:val="21"/>
              </w:rPr>
              <w:t>评分标准</w:t>
            </w:r>
          </w:p>
        </w:tc>
      </w:tr>
      <w:tr>
        <w:tblPrEx>
          <w:tblLayout w:type="fixed"/>
          <w:tblCellMar>
            <w:top w:w="0" w:type="dxa"/>
            <w:left w:w="108" w:type="dxa"/>
            <w:bottom w:w="0" w:type="dxa"/>
            <w:right w:w="108" w:type="dxa"/>
          </w:tblCellMar>
        </w:tblPrEx>
        <w:trPr>
          <w:trHeight w:val="957" w:hRule="atLeast"/>
        </w:trPr>
        <w:tc>
          <w:tcPr>
            <w:tcW w:w="111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平台运行情况</w:t>
            </w:r>
          </w:p>
        </w:tc>
        <w:tc>
          <w:tcPr>
            <w:tcW w:w="61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lang w:val="zh-CN"/>
              </w:rPr>
            </w:pPr>
            <w:r>
              <w:rPr>
                <w:rFonts w:hint="eastAsia" w:ascii="宋体"/>
                <w:color w:val="auto"/>
                <w:sz w:val="24"/>
                <w:szCs w:val="24"/>
              </w:rPr>
              <w:t>30</w:t>
            </w:r>
          </w:p>
        </w:tc>
        <w:tc>
          <w:tcPr>
            <w:tcW w:w="809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rPr>
            </w:pPr>
            <w:r>
              <w:rPr>
                <w:rFonts w:hint="eastAsia"/>
                <w:color w:val="auto"/>
                <w:szCs w:val="21"/>
                <w:lang w:val="zh-CN"/>
              </w:rPr>
              <w:t>具有专业的农产品电商线上平台，已运行半年以上，根据运行状况进行横向比较，第一名得</w:t>
            </w:r>
            <w:r>
              <w:rPr>
                <w:rFonts w:hint="eastAsia"/>
                <w:color w:val="auto"/>
                <w:szCs w:val="21"/>
              </w:rPr>
              <w:t>30</w:t>
            </w:r>
            <w:r>
              <w:rPr>
                <w:rFonts w:hint="eastAsia"/>
                <w:color w:val="auto"/>
                <w:szCs w:val="21"/>
                <w:lang w:val="zh-CN"/>
              </w:rPr>
              <w:t>分，第二名得20分，第三名得10分，以此类推。提供有效证明材料。</w:t>
            </w:r>
          </w:p>
        </w:tc>
      </w:tr>
      <w:tr>
        <w:tblPrEx>
          <w:tblLayout w:type="fixed"/>
          <w:tblCellMar>
            <w:top w:w="0" w:type="dxa"/>
            <w:left w:w="108" w:type="dxa"/>
            <w:bottom w:w="0" w:type="dxa"/>
            <w:right w:w="108" w:type="dxa"/>
          </w:tblCellMar>
        </w:tblPrEx>
        <w:trPr>
          <w:trHeight w:val="1506" w:hRule="atLeast"/>
        </w:trPr>
        <w:tc>
          <w:tcPr>
            <w:tcW w:w="111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程序</w:t>
            </w:r>
          </w:p>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操作</w:t>
            </w:r>
          </w:p>
        </w:tc>
        <w:tc>
          <w:tcPr>
            <w:tcW w:w="61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rPr>
            </w:pPr>
            <w:r>
              <w:rPr>
                <w:rFonts w:hint="eastAsia" w:ascii="宋体"/>
                <w:color w:val="auto"/>
                <w:sz w:val="24"/>
                <w:szCs w:val="24"/>
              </w:rPr>
              <w:t>10</w:t>
            </w:r>
          </w:p>
        </w:tc>
        <w:tc>
          <w:tcPr>
            <w:tcW w:w="809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rPr>
            </w:pPr>
            <w:r>
              <w:rPr>
                <w:rFonts w:hint="eastAsia"/>
                <w:color w:val="auto"/>
                <w:szCs w:val="21"/>
                <w:lang w:val="zh-CN"/>
              </w:rPr>
              <w:t>提供网页、微信、小程序等多种方式供用户提货、兑换产品,操作简单，用户有良好体验，横向比较，第一名得</w:t>
            </w:r>
            <w:r>
              <w:rPr>
                <w:rFonts w:hint="eastAsia"/>
                <w:color w:val="auto"/>
                <w:szCs w:val="21"/>
              </w:rPr>
              <w:t>10</w:t>
            </w:r>
            <w:r>
              <w:rPr>
                <w:rFonts w:hint="eastAsia"/>
                <w:color w:val="auto"/>
                <w:szCs w:val="21"/>
                <w:lang w:val="zh-CN"/>
              </w:rPr>
              <w:t>分，第二名得</w:t>
            </w:r>
            <w:r>
              <w:rPr>
                <w:rFonts w:hint="eastAsia"/>
                <w:color w:val="auto"/>
                <w:szCs w:val="21"/>
              </w:rPr>
              <w:t>8</w:t>
            </w:r>
            <w:r>
              <w:rPr>
                <w:rFonts w:hint="eastAsia"/>
                <w:color w:val="auto"/>
                <w:szCs w:val="21"/>
                <w:lang w:val="zh-CN"/>
              </w:rPr>
              <w:t>分，第三名得</w:t>
            </w:r>
            <w:r>
              <w:rPr>
                <w:rFonts w:hint="eastAsia"/>
                <w:color w:val="auto"/>
                <w:szCs w:val="21"/>
              </w:rPr>
              <w:t>6</w:t>
            </w:r>
            <w:r>
              <w:rPr>
                <w:rFonts w:hint="eastAsia"/>
                <w:color w:val="auto"/>
                <w:szCs w:val="21"/>
                <w:lang w:val="zh-CN"/>
              </w:rPr>
              <w:t>分，以此类推，提供相关证明材料。</w:t>
            </w:r>
          </w:p>
        </w:tc>
      </w:tr>
      <w:tr>
        <w:tblPrEx>
          <w:tblLayout w:type="fixed"/>
          <w:tblCellMar>
            <w:top w:w="0" w:type="dxa"/>
            <w:left w:w="108" w:type="dxa"/>
            <w:bottom w:w="0" w:type="dxa"/>
            <w:right w:w="108" w:type="dxa"/>
          </w:tblCellMar>
        </w:tblPrEx>
        <w:trPr>
          <w:trHeight w:val="1252" w:hRule="atLeast"/>
        </w:trPr>
        <w:tc>
          <w:tcPr>
            <w:tcW w:w="1118" w:type="dxa"/>
            <w:tcBorders>
              <w:top w:val="single" w:color="auto" w:sz="4" w:space="0"/>
              <w:left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平台</w:t>
            </w:r>
          </w:p>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登录</w:t>
            </w:r>
          </w:p>
        </w:tc>
        <w:tc>
          <w:tcPr>
            <w:tcW w:w="61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rPr>
            </w:pPr>
            <w:r>
              <w:rPr>
                <w:rFonts w:hint="eastAsia" w:ascii="宋体"/>
                <w:color w:val="auto"/>
                <w:sz w:val="24"/>
                <w:szCs w:val="24"/>
              </w:rPr>
              <w:t>10</w:t>
            </w:r>
          </w:p>
        </w:tc>
        <w:tc>
          <w:tcPr>
            <w:tcW w:w="809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rPr>
            </w:pPr>
            <w:r>
              <w:rPr>
                <w:rFonts w:hint="eastAsia"/>
                <w:color w:val="auto"/>
                <w:szCs w:val="21"/>
                <w:lang w:val="zh-CN"/>
              </w:rPr>
              <w:t>具有专业网络工程师负责平台维护服务、数据处理，运行的农产品平台满足1000人及以上同时登录，同时顺畅输入数据得10分；</w:t>
            </w:r>
            <w:r>
              <w:rPr>
                <w:rFonts w:hint="eastAsia"/>
                <w:color w:val="auto"/>
                <w:szCs w:val="21"/>
                <w:lang w:val="zh-CN" w:eastAsia="zh-CN"/>
              </w:rPr>
              <w:t>具有</w:t>
            </w:r>
            <w:r>
              <w:rPr>
                <w:rFonts w:hint="eastAsia"/>
                <w:color w:val="auto"/>
                <w:szCs w:val="21"/>
                <w:lang w:val="zh-CN"/>
              </w:rPr>
              <w:t>专业网络工程师及满足500至1000人同时登录，同时顺畅输入数据得7分；具有专业网络工程师及满足500人以下同时登录，同时顺畅输入数据得4分；无专业网络工程师或不满足人员登录条件不得分。提供相关证明材料。</w:t>
            </w:r>
          </w:p>
        </w:tc>
      </w:tr>
      <w:tr>
        <w:tblPrEx>
          <w:tblLayout w:type="fixed"/>
          <w:tblCellMar>
            <w:top w:w="0" w:type="dxa"/>
            <w:left w:w="108" w:type="dxa"/>
            <w:bottom w:w="0" w:type="dxa"/>
            <w:right w:w="108" w:type="dxa"/>
          </w:tblCellMar>
        </w:tblPrEx>
        <w:trPr>
          <w:trHeight w:val="1149" w:hRule="atLeast"/>
        </w:trPr>
        <w:tc>
          <w:tcPr>
            <w:tcW w:w="111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工作</w:t>
            </w:r>
          </w:p>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人员</w:t>
            </w:r>
          </w:p>
        </w:tc>
        <w:tc>
          <w:tcPr>
            <w:tcW w:w="61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rPr>
            </w:pPr>
            <w:r>
              <w:rPr>
                <w:rFonts w:hint="eastAsia" w:ascii="宋体"/>
                <w:color w:val="auto"/>
                <w:sz w:val="24"/>
                <w:szCs w:val="24"/>
              </w:rPr>
              <w:t>5</w:t>
            </w:r>
          </w:p>
        </w:tc>
        <w:tc>
          <w:tcPr>
            <w:tcW w:w="809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rPr>
            </w:pPr>
            <w:r>
              <w:rPr>
                <w:rFonts w:hint="eastAsia"/>
                <w:color w:val="auto"/>
                <w:szCs w:val="21"/>
              </w:rPr>
              <w:t>要有稳定的日常工作人员。根据投标提供的证明材料横向比较，</w:t>
            </w:r>
            <w:r>
              <w:rPr>
                <w:rFonts w:hint="eastAsia"/>
                <w:color w:val="auto"/>
                <w:szCs w:val="21"/>
                <w:lang w:val="zh-CN"/>
              </w:rPr>
              <w:t>第一名得</w:t>
            </w:r>
            <w:r>
              <w:rPr>
                <w:rFonts w:hint="eastAsia"/>
                <w:color w:val="auto"/>
                <w:szCs w:val="21"/>
              </w:rPr>
              <w:t>5</w:t>
            </w:r>
            <w:r>
              <w:rPr>
                <w:rFonts w:hint="eastAsia"/>
                <w:color w:val="auto"/>
                <w:szCs w:val="21"/>
                <w:lang w:val="zh-CN"/>
              </w:rPr>
              <w:t>分，第二名得</w:t>
            </w:r>
            <w:r>
              <w:rPr>
                <w:rFonts w:hint="eastAsia"/>
                <w:color w:val="auto"/>
                <w:szCs w:val="21"/>
              </w:rPr>
              <w:t>3</w:t>
            </w:r>
            <w:r>
              <w:rPr>
                <w:rFonts w:hint="eastAsia"/>
                <w:color w:val="auto"/>
                <w:szCs w:val="21"/>
                <w:lang w:val="zh-CN"/>
              </w:rPr>
              <w:t>分，第三名得</w:t>
            </w:r>
            <w:r>
              <w:rPr>
                <w:rFonts w:hint="eastAsia"/>
                <w:color w:val="auto"/>
                <w:szCs w:val="21"/>
              </w:rPr>
              <w:t>1</w:t>
            </w:r>
            <w:r>
              <w:rPr>
                <w:rFonts w:hint="eastAsia"/>
                <w:color w:val="auto"/>
                <w:szCs w:val="21"/>
                <w:lang w:val="zh-CN"/>
              </w:rPr>
              <w:t>分</w:t>
            </w:r>
            <w:r>
              <w:rPr>
                <w:rFonts w:hint="eastAsia"/>
                <w:color w:val="auto"/>
                <w:szCs w:val="21"/>
              </w:rPr>
              <w:t>。</w:t>
            </w:r>
          </w:p>
        </w:tc>
      </w:tr>
      <w:tr>
        <w:tblPrEx>
          <w:tblLayout w:type="fixed"/>
          <w:tblCellMar>
            <w:top w:w="0" w:type="dxa"/>
            <w:left w:w="108" w:type="dxa"/>
            <w:bottom w:w="0" w:type="dxa"/>
            <w:right w:w="108" w:type="dxa"/>
          </w:tblCellMar>
        </w:tblPrEx>
        <w:trPr>
          <w:trHeight w:val="957" w:hRule="atLeast"/>
        </w:trPr>
        <w:tc>
          <w:tcPr>
            <w:tcW w:w="111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产品熟悉度</w:t>
            </w:r>
          </w:p>
        </w:tc>
        <w:tc>
          <w:tcPr>
            <w:tcW w:w="61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rPr>
            </w:pPr>
            <w:r>
              <w:rPr>
                <w:rFonts w:hint="eastAsia" w:ascii="宋体"/>
                <w:color w:val="auto"/>
                <w:sz w:val="24"/>
                <w:szCs w:val="24"/>
              </w:rPr>
              <w:t>10</w:t>
            </w:r>
          </w:p>
        </w:tc>
        <w:tc>
          <w:tcPr>
            <w:tcW w:w="809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lang w:val="zh-CN"/>
              </w:rPr>
            </w:pPr>
            <w:r>
              <w:rPr>
                <w:rFonts w:hint="eastAsia"/>
                <w:color w:val="auto"/>
                <w:szCs w:val="21"/>
              </w:rPr>
              <w:t>对阳新县农产品种类分布、数量、价格熟悉，有相关的数据库及更新机制。根据投标提供的证明材料横向比较，</w:t>
            </w:r>
            <w:r>
              <w:rPr>
                <w:rFonts w:hint="eastAsia"/>
                <w:color w:val="auto"/>
                <w:szCs w:val="21"/>
                <w:lang w:val="zh-CN"/>
              </w:rPr>
              <w:t>第一名得</w:t>
            </w:r>
            <w:r>
              <w:rPr>
                <w:rFonts w:hint="eastAsia"/>
                <w:color w:val="auto"/>
                <w:szCs w:val="21"/>
              </w:rPr>
              <w:t>10</w:t>
            </w:r>
            <w:r>
              <w:rPr>
                <w:rFonts w:hint="eastAsia"/>
                <w:color w:val="auto"/>
                <w:szCs w:val="21"/>
                <w:lang w:val="zh-CN"/>
              </w:rPr>
              <w:t>分，第二名得</w:t>
            </w:r>
            <w:r>
              <w:rPr>
                <w:rFonts w:hint="eastAsia"/>
                <w:color w:val="auto"/>
                <w:szCs w:val="21"/>
              </w:rPr>
              <w:t>8</w:t>
            </w:r>
            <w:r>
              <w:rPr>
                <w:rFonts w:hint="eastAsia"/>
                <w:color w:val="auto"/>
                <w:szCs w:val="21"/>
                <w:lang w:val="zh-CN"/>
              </w:rPr>
              <w:t>分，第三名得</w:t>
            </w:r>
            <w:r>
              <w:rPr>
                <w:rFonts w:hint="eastAsia"/>
                <w:color w:val="auto"/>
                <w:szCs w:val="21"/>
              </w:rPr>
              <w:t>6</w:t>
            </w:r>
            <w:r>
              <w:rPr>
                <w:rFonts w:hint="eastAsia"/>
                <w:color w:val="auto"/>
                <w:szCs w:val="21"/>
                <w:lang w:val="zh-CN"/>
              </w:rPr>
              <w:t>分</w:t>
            </w:r>
            <w:r>
              <w:rPr>
                <w:rFonts w:hint="eastAsia"/>
                <w:color w:val="auto"/>
                <w:szCs w:val="21"/>
              </w:rPr>
              <w:t>，</w:t>
            </w:r>
            <w:r>
              <w:rPr>
                <w:rFonts w:hint="eastAsia"/>
                <w:color w:val="auto"/>
                <w:szCs w:val="21"/>
                <w:lang w:val="zh-CN"/>
              </w:rPr>
              <w:t>以此类推。</w:t>
            </w:r>
          </w:p>
        </w:tc>
      </w:tr>
      <w:tr>
        <w:tblPrEx>
          <w:tblLayout w:type="fixed"/>
          <w:tblCellMar>
            <w:top w:w="0" w:type="dxa"/>
            <w:left w:w="108" w:type="dxa"/>
            <w:bottom w:w="0" w:type="dxa"/>
            <w:right w:w="108" w:type="dxa"/>
          </w:tblCellMar>
        </w:tblPrEx>
        <w:trPr>
          <w:trHeight w:val="957" w:hRule="atLeast"/>
        </w:trPr>
        <w:tc>
          <w:tcPr>
            <w:tcW w:w="111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设施</w:t>
            </w:r>
          </w:p>
          <w:p>
            <w:pPr>
              <w:autoSpaceDE w:val="0"/>
              <w:autoSpaceDN w:val="0"/>
              <w:adjustRightInd w:val="0"/>
              <w:snapToGrid w:val="0"/>
              <w:jc w:val="center"/>
              <w:rPr>
                <w:rFonts w:ascii="宋体"/>
                <w:color w:val="auto"/>
                <w:sz w:val="24"/>
                <w:szCs w:val="24"/>
                <w:lang w:val="zh-CN"/>
              </w:rPr>
            </w:pPr>
            <w:r>
              <w:rPr>
                <w:rFonts w:hint="eastAsia" w:ascii="宋体"/>
                <w:color w:val="auto"/>
                <w:sz w:val="24"/>
                <w:szCs w:val="24"/>
                <w:lang w:val="zh-CN"/>
              </w:rPr>
              <w:t>设备</w:t>
            </w:r>
          </w:p>
        </w:tc>
        <w:tc>
          <w:tcPr>
            <w:tcW w:w="61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宋体"/>
                <w:color w:val="auto"/>
                <w:sz w:val="24"/>
                <w:szCs w:val="24"/>
              </w:rPr>
            </w:pPr>
            <w:r>
              <w:rPr>
                <w:rFonts w:hint="eastAsia" w:ascii="宋体"/>
                <w:color w:val="auto"/>
                <w:sz w:val="24"/>
                <w:szCs w:val="24"/>
              </w:rPr>
              <w:t>10</w:t>
            </w:r>
          </w:p>
        </w:tc>
        <w:tc>
          <w:tcPr>
            <w:tcW w:w="809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napToGrid w:val="0"/>
              <w:rPr>
                <w:color w:val="auto"/>
                <w:szCs w:val="21"/>
                <w:lang w:val="zh-CN"/>
              </w:rPr>
            </w:pPr>
            <w:r>
              <w:rPr>
                <w:rFonts w:hint="eastAsia"/>
                <w:color w:val="auto"/>
                <w:szCs w:val="21"/>
              </w:rPr>
              <w:t>具有一定的硬件设施设备、运输车辆、农产品储存场地。根据投标提供的证明材料横向比较，</w:t>
            </w:r>
            <w:r>
              <w:rPr>
                <w:rFonts w:hint="eastAsia"/>
                <w:color w:val="auto"/>
                <w:szCs w:val="21"/>
                <w:lang w:val="zh-CN"/>
              </w:rPr>
              <w:t>第一名得</w:t>
            </w:r>
            <w:r>
              <w:rPr>
                <w:rFonts w:hint="eastAsia"/>
                <w:color w:val="auto"/>
                <w:szCs w:val="21"/>
              </w:rPr>
              <w:t>10</w:t>
            </w:r>
            <w:r>
              <w:rPr>
                <w:rFonts w:hint="eastAsia"/>
                <w:color w:val="auto"/>
                <w:szCs w:val="21"/>
                <w:lang w:val="zh-CN"/>
              </w:rPr>
              <w:t>分，第二名得</w:t>
            </w:r>
            <w:r>
              <w:rPr>
                <w:rFonts w:hint="eastAsia"/>
                <w:color w:val="auto"/>
                <w:szCs w:val="21"/>
              </w:rPr>
              <w:t>8</w:t>
            </w:r>
            <w:r>
              <w:rPr>
                <w:rFonts w:hint="eastAsia"/>
                <w:color w:val="auto"/>
                <w:szCs w:val="21"/>
                <w:lang w:val="zh-CN"/>
              </w:rPr>
              <w:t>分，第三名得</w:t>
            </w:r>
            <w:r>
              <w:rPr>
                <w:rFonts w:hint="eastAsia"/>
                <w:color w:val="auto"/>
                <w:szCs w:val="21"/>
              </w:rPr>
              <w:t>6</w:t>
            </w:r>
            <w:r>
              <w:rPr>
                <w:rFonts w:hint="eastAsia"/>
                <w:color w:val="auto"/>
                <w:szCs w:val="21"/>
                <w:lang w:val="zh-CN"/>
              </w:rPr>
              <w:t>分</w:t>
            </w:r>
            <w:r>
              <w:rPr>
                <w:rFonts w:hint="eastAsia"/>
                <w:color w:val="auto"/>
                <w:szCs w:val="21"/>
              </w:rPr>
              <w:t>，</w:t>
            </w:r>
            <w:r>
              <w:rPr>
                <w:rFonts w:hint="eastAsia"/>
                <w:color w:val="auto"/>
                <w:szCs w:val="21"/>
                <w:lang w:val="zh-CN"/>
              </w:rPr>
              <w:t>以此类推。</w:t>
            </w:r>
          </w:p>
        </w:tc>
      </w:tr>
      <w:tr>
        <w:tblPrEx>
          <w:tblLayout w:type="fixed"/>
          <w:tblCellMar>
            <w:top w:w="0" w:type="dxa"/>
            <w:left w:w="108" w:type="dxa"/>
            <w:bottom w:w="0" w:type="dxa"/>
            <w:right w:w="108" w:type="dxa"/>
          </w:tblCellMar>
        </w:tblPrEx>
        <w:trPr>
          <w:trHeight w:val="957" w:hRule="atLeast"/>
        </w:trPr>
        <w:tc>
          <w:tcPr>
            <w:tcW w:w="1118"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color w:val="auto"/>
                <w:sz w:val="24"/>
                <w:szCs w:val="24"/>
                <w:lang w:val="zh-CN"/>
              </w:rPr>
            </w:pPr>
            <w:r>
              <w:rPr>
                <w:rFonts w:hint="eastAsia" w:ascii="宋体" w:hAnsi="宋体"/>
                <w:color w:val="auto"/>
                <w:sz w:val="24"/>
                <w:szCs w:val="24"/>
                <w:lang w:val="zh-CN"/>
              </w:rPr>
              <w:t>产品</w:t>
            </w:r>
          </w:p>
          <w:p>
            <w:pPr>
              <w:autoSpaceDE w:val="0"/>
              <w:autoSpaceDN w:val="0"/>
              <w:adjustRightInd w:val="0"/>
              <w:snapToGrid w:val="0"/>
              <w:jc w:val="center"/>
              <w:rPr>
                <w:rFonts w:ascii="宋体"/>
                <w:color w:val="auto"/>
                <w:sz w:val="24"/>
                <w:szCs w:val="24"/>
                <w:lang w:val="zh-CN"/>
              </w:rPr>
            </w:pPr>
            <w:r>
              <w:rPr>
                <w:rFonts w:hint="eastAsia" w:ascii="宋体" w:hAnsi="宋体"/>
                <w:color w:val="auto"/>
                <w:sz w:val="24"/>
                <w:szCs w:val="24"/>
                <w:lang w:val="zh-CN"/>
              </w:rPr>
              <w:t>包装</w:t>
            </w:r>
          </w:p>
        </w:tc>
        <w:tc>
          <w:tcPr>
            <w:tcW w:w="61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hAnsi="宋体"/>
                <w:color w:val="auto"/>
                <w:sz w:val="24"/>
                <w:szCs w:val="24"/>
              </w:rPr>
              <w:t>5</w:t>
            </w:r>
          </w:p>
        </w:tc>
        <w:tc>
          <w:tcPr>
            <w:tcW w:w="809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rPr>
                <w:color w:val="auto"/>
                <w:szCs w:val="21"/>
                <w:lang w:val="zh-CN"/>
              </w:rPr>
            </w:pPr>
            <w:r>
              <w:rPr>
                <w:rFonts w:hint="eastAsia"/>
                <w:color w:val="auto"/>
                <w:szCs w:val="21"/>
                <w:lang w:val="zh-CN"/>
              </w:rPr>
              <w:t>根据各投标人提供完善的产品分拣及打包标准横向比较排名，第一名得</w:t>
            </w:r>
            <w:r>
              <w:rPr>
                <w:rFonts w:hint="eastAsia"/>
                <w:color w:val="auto"/>
                <w:szCs w:val="21"/>
              </w:rPr>
              <w:t>5</w:t>
            </w:r>
            <w:r>
              <w:rPr>
                <w:rFonts w:hint="eastAsia"/>
                <w:color w:val="auto"/>
                <w:szCs w:val="21"/>
                <w:lang w:val="zh-CN"/>
              </w:rPr>
              <w:t>分，第二名得</w:t>
            </w:r>
            <w:r>
              <w:rPr>
                <w:rFonts w:hint="eastAsia"/>
                <w:color w:val="auto"/>
                <w:szCs w:val="21"/>
              </w:rPr>
              <w:t>3</w:t>
            </w:r>
            <w:r>
              <w:rPr>
                <w:rFonts w:hint="eastAsia"/>
                <w:color w:val="auto"/>
                <w:szCs w:val="21"/>
                <w:lang w:val="zh-CN"/>
              </w:rPr>
              <w:t>分，第三名得1分，并提供证明材料。</w:t>
            </w:r>
          </w:p>
        </w:tc>
      </w:tr>
      <w:tr>
        <w:tblPrEx>
          <w:tblLayout w:type="fixed"/>
          <w:tblCellMar>
            <w:top w:w="0" w:type="dxa"/>
            <w:left w:w="108" w:type="dxa"/>
            <w:bottom w:w="0" w:type="dxa"/>
            <w:right w:w="108" w:type="dxa"/>
          </w:tblCellMar>
        </w:tblPrEx>
        <w:trPr>
          <w:trHeight w:val="957" w:hRule="atLeast"/>
        </w:trPr>
        <w:tc>
          <w:tcPr>
            <w:tcW w:w="1118"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color w:val="auto"/>
                <w:sz w:val="24"/>
                <w:szCs w:val="24"/>
                <w:lang w:val="zh-CN"/>
              </w:rPr>
            </w:pPr>
            <w:r>
              <w:rPr>
                <w:rFonts w:hint="eastAsia" w:ascii="宋体" w:hAnsi="宋体"/>
                <w:color w:val="auto"/>
                <w:sz w:val="24"/>
                <w:szCs w:val="24"/>
                <w:lang w:val="zh-CN"/>
              </w:rPr>
              <w:t>售后</w:t>
            </w:r>
          </w:p>
          <w:p>
            <w:pPr>
              <w:autoSpaceDE w:val="0"/>
              <w:autoSpaceDN w:val="0"/>
              <w:adjustRightInd w:val="0"/>
              <w:snapToGrid w:val="0"/>
              <w:jc w:val="center"/>
              <w:rPr>
                <w:rFonts w:ascii="宋体" w:hAnsi="宋体"/>
                <w:color w:val="auto"/>
                <w:sz w:val="24"/>
                <w:szCs w:val="24"/>
                <w:lang w:val="zh-CN"/>
              </w:rPr>
            </w:pPr>
            <w:r>
              <w:rPr>
                <w:rFonts w:hint="eastAsia" w:ascii="宋体" w:hAnsi="宋体"/>
                <w:color w:val="auto"/>
                <w:sz w:val="24"/>
                <w:szCs w:val="24"/>
                <w:lang w:val="zh-CN"/>
              </w:rPr>
              <w:t>服务</w:t>
            </w:r>
          </w:p>
        </w:tc>
        <w:tc>
          <w:tcPr>
            <w:tcW w:w="61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olor w:val="auto"/>
                <w:sz w:val="24"/>
                <w:szCs w:val="24"/>
              </w:rPr>
            </w:pPr>
            <w:r>
              <w:rPr>
                <w:rFonts w:hint="eastAsia" w:ascii="宋体" w:hAnsi="宋体"/>
                <w:color w:val="auto"/>
                <w:sz w:val="24"/>
                <w:szCs w:val="24"/>
              </w:rPr>
              <w:t>5</w:t>
            </w:r>
          </w:p>
        </w:tc>
        <w:tc>
          <w:tcPr>
            <w:tcW w:w="809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rPr>
                <w:color w:val="auto"/>
                <w:szCs w:val="21"/>
                <w:lang w:val="zh-CN"/>
              </w:rPr>
            </w:pPr>
            <w:r>
              <w:rPr>
                <w:rFonts w:hint="eastAsia"/>
                <w:color w:val="auto"/>
                <w:szCs w:val="21"/>
                <w:lang w:val="zh-CN"/>
              </w:rPr>
              <w:t>根据各投标人提供的售后服务方案进行横向比较排名，第一名得</w:t>
            </w:r>
            <w:r>
              <w:rPr>
                <w:rFonts w:hint="eastAsia"/>
                <w:color w:val="auto"/>
                <w:szCs w:val="21"/>
              </w:rPr>
              <w:t>5</w:t>
            </w:r>
            <w:r>
              <w:rPr>
                <w:rFonts w:hint="eastAsia"/>
                <w:color w:val="auto"/>
                <w:szCs w:val="21"/>
                <w:lang w:val="zh-CN"/>
              </w:rPr>
              <w:t>分，第二名得</w:t>
            </w:r>
            <w:r>
              <w:rPr>
                <w:rFonts w:hint="eastAsia"/>
                <w:color w:val="auto"/>
                <w:szCs w:val="21"/>
              </w:rPr>
              <w:t>3</w:t>
            </w:r>
            <w:r>
              <w:rPr>
                <w:rFonts w:hint="eastAsia"/>
                <w:color w:val="auto"/>
                <w:szCs w:val="21"/>
                <w:lang w:val="zh-CN"/>
              </w:rPr>
              <w:t>分，第三名得1分。</w:t>
            </w:r>
          </w:p>
        </w:tc>
      </w:tr>
      <w:tr>
        <w:tblPrEx>
          <w:tblLayout w:type="fixed"/>
          <w:tblCellMar>
            <w:top w:w="0" w:type="dxa"/>
            <w:left w:w="108" w:type="dxa"/>
            <w:bottom w:w="0" w:type="dxa"/>
            <w:right w:w="108" w:type="dxa"/>
          </w:tblCellMar>
        </w:tblPrEx>
        <w:trPr>
          <w:trHeight w:val="964" w:hRule="atLeast"/>
        </w:trPr>
        <w:tc>
          <w:tcPr>
            <w:tcW w:w="1118"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24"/>
                <w:szCs w:val="24"/>
              </w:rPr>
            </w:pPr>
            <w:r>
              <w:rPr>
                <w:rFonts w:hint="eastAsia" w:ascii="宋体" w:hAnsi="宋体"/>
                <w:color w:val="auto"/>
                <w:sz w:val="24"/>
                <w:szCs w:val="24"/>
              </w:rPr>
              <w:t>类似</w:t>
            </w:r>
          </w:p>
          <w:p>
            <w:pPr>
              <w:adjustRightInd w:val="0"/>
              <w:snapToGrid w:val="0"/>
              <w:jc w:val="center"/>
              <w:rPr>
                <w:rFonts w:ascii="宋体"/>
                <w:color w:val="auto"/>
                <w:sz w:val="24"/>
                <w:szCs w:val="24"/>
              </w:rPr>
            </w:pPr>
            <w:r>
              <w:rPr>
                <w:rFonts w:hint="eastAsia" w:ascii="宋体" w:hAnsi="宋体"/>
                <w:color w:val="auto"/>
                <w:sz w:val="24"/>
                <w:szCs w:val="24"/>
              </w:rPr>
              <w:t>业绩</w:t>
            </w:r>
          </w:p>
        </w:tc>
        <w:tc>
          <w:tcPr>
            <w:tcW w:w="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color w:val="auto"/>
                <w:sz w:val="24"/>
                <w:szCs w:val="24"/>
                <w:lang w:val="zh-CN"/>
              </w:rPr>
            </w:pPr>
            <w:r>
              <w:rPr>
                <w:rFonts w:hint="eastAsia" w:ascii="宋体" w:hAnsi="宋体"/>
                <w:color w:val="auto"/>
                <w:sz w:val="24"/>
                <w:szCs w:val="24"/>
              </w:rPr>
              <w:t>10</w:t>
            </w:r>
          </w:p>
        </w:tc>
        <w:tc>
          <w:tcPr>
            <w:tcW w:w="8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color w:val="auto"/>
                <w:szCs w:val="21"/>
                <w:lang w:val="zh-CN"/>
              </w:rPr>
            </w:pPr>
            <w:r>
              <w:rPr>
                <w:rFonts w:hint="eastAsia"/>
                <w:color w:val="auto"/>
                <w:szCs w:val="21"/>
              </w:rPr>
              <w:t>提供近三年（2016年至今）同类项目业绩，每个业绩得2分，最高得10分；需提供有效证明材料。</w:t>
            </w:r>
            <w:bookmarkStart w:id="202" w:name="_GoBack"/>
            <w:bookmarkEnd w:id="202"/>
          </w:p>
        </w:tc>
      </w:tr>
      <w:tr>
        <w:tblPrEx>
          <w:tblLayout w:type="fixed"/>
          <w:tblCellMar>
            <w:top w:w="0" w:type="dxa"/>
            <w:left w:w="108" w:type="dxa"/>
            <w:bottom w:w="0" w:type="dxa"/>
            <w:right w:w="108" w:type="dxa"/>
          </w:tblCellMar>
        </w:tblPrEx>
        <w:trPr>
          <w:trHeight w:val="1282" w:hRule="atLeast"/>
        </w:trPr>
        <w:tc>
          <w:tcPr>
            <w:tcW w:w="111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宋体" w:hAnsi="宋体"/>
                <w:color w:val="auto"/>
                <w:sz w:val="24"/>
                <w:szCs w:val="24"/>
                <w:lang w:val="zh-CN"/>
              </w:rPr>
            </w:pPr>
            <w:r>
              <w:rPr>
                <w:rFonts w:hint="eastAsia" w:ascii="宋体" w:hAnsi="宋体"/>
                <w:color w:val="auto"/>
                <w:sz w:val="24"/>
                <w:szCs w:val="24"/>
                <w:lang w:val="zh-CN"/>
              </w:rPr>
              <w:t>投标文件编制</w:t>
            </w:r>
          </w:p>
        </w:tc>
        <w:tc>
          <w:tcPr>
            <w:tcW w:w="6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olor w:val="auto"/>
                <w:sz w:val="24"/>
                <w:szCs w:val="24"/>
                <w:lang w:val="zh-CN"/>
              </w:rPr>
            </w:pPr>
            <w:r>
              <w:rPr>
                <w:rFonts w:hint="eastAsia" w:ascii="宋体" w:hAnsi="宋体"/>
                <w:color w:val="auto"/>
                <w:sz w:val="24"/>
                <w:szCs w:val="24"/>
              </w:rPr>
              <w:t>5</w:t>
            </w:r>
          </w:p>
        </w:tc>
        <w:tc>
          <w:tcPr>
            <w:tcW w:w="8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color w:val="auto"/>
                <w:szCs w:val="21"/>
                <w:lang w:val="zh-CN"/>
              </w:rPr>
            </w:pPr>
            <w:r>
              <w:rPr>
                <w:rFonts w:hint="eastAsia"/>
                <w:color w:val="auto"/>
                <w:szCs w:val="21"/>
                <w:lang w:val="zh-CN"/>
              </w:rPr>
              <w:t>投标文件全面响应招标文件要求，编制完整、美观，非活页装订，且有详细目录、连续页码、目录与有关材料装订顺序对应清晰、查阅方便。不符合要求的，每处扣0.5分，</w:t>
            </w:r>
          </w:p>
          <w:p>
            <w:pPr>
              <w:autoSpaceDE w:val="0"/>
              <w:autoSpaceDN w:val="0"/>
              <w:adjustRightInd w:val="0"/>
              <w:snapToGrid w:val="0"/>
              <w:rPr>
                <w:rFonts w:ascii="宋体" w:hAnsi="宋体"/>
                <w:color w:val="auto"/>
                <w:sz w:val="24"/>
                <w:szCs w:val="24"/>
                <w:lang w:val="zh-CN"/>
              </w:rPr>
            </w:pPr>
            <w:r>
              <w:rPr>
                <w:rFonts w:hint="eastAsia"/>
                <w:color w:val="auto"/>
                <w:szCs w:val="21"/>
                <w:lang w:val="zh-CN"/>
              </w:rPr>
              <w:t>扣完为止。</w:t>
            </w:r>
          </w:p>
        </w:tc>
      </w:tr>
    </w:tbl>
    <w:p>
      <w:r>
        <w:br w:type="page"/>
      </w:r>
    </w:p>
    <w:p>
      <w:pPr>
        <w:pStyle w:val="2"/>
        <w:numPr>
          <w:ilvl w:val="0"/>
          <w:numId w:val="2"/>
        </w:numPr>
        <w:jc w:val="center"/>
        <w:rPr>
          <w:rFonts w:ascii="黑体" w:hAnsi="黑体" w:eastAsia="黑体"/>
        </w:rPr>
      </w:pPr>
      <w:bookmarkStart w:id="77" w:name="_Toc6765"/>
      <w:bookmarkStart w:id="78" w:name="_Toc32254"/>
      <w:bookmarkStart w:id="79" w:name="_Toc494721093"/>
      <w:bookmarkStart w:id="80" w:name="_Toc494665546"/>
      <w:bookmarkStart w:id="81" w:name="_Toc494745310"/>
      <w:bookmarkStart w:id="82" w:name="_Toc494665943"/>
      <w:bookmarkStart w:id="83" w:name="_Toc494664993"/>
      <w:bookmarkStart w:id="84" w:name="_Toc494702263"/>
      <w:r>
        <w:rPr>
          <w:rFonts w:hint="eastAsia" w:ascii="黑体" w:hAnsi="黑体" w:eastAsia="黑体"/>
        </w:rPr>
        <w:t>合同书格式（参考）</w:t>
      </w:r>
      <w:bookmarkEnd w:id="77"/>
      <w:bookmarkEnd w:id="78"/>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2"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91"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2"/>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2"/>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2"/>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2"/>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2"/>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52"/>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3"/>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3"/>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3"/>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3"/>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1"/>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1"/>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1"/>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1"/>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2"/>
        </w:numPr>
        <w:jc w:val="center"/>
        <w:rPr>
          <w:rFonts w:ascii="黑体" w:hAnsi="黑体" w:eastAsia="黑体"/>
        </w:rPr>
      </w:pPr>
      <w:bookmarkStart w:id="85" w:name="_Toc14186"/>
      <w:bookmarkStart w:id="86" w:name="_Toc8633"/>
      <w:r>
        <w:rPr>
          <w:rFonts w:hint="eastAsia" w:ascii="黑体" w:hAnsi="黑体" w:eastAsia="黑体"/>
        </w:rPr>
        <w:t>投标文件格式（参考）</w:t>
      </w:r>
      <w:bookmarkEnd w:id="85"/>
      <w:bookmarkEnd w:id="86"/>
    </w:p>
    <w:p>
      <w:pPr>
        <w:spacing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87" w:name="_Toc29369"/>
      <w:bookmarkStart w:id="88" w:name="_Toc4561"/>
      <w:r>
        <w:rPr>
          <w:rFonts w:hint="eastAsia" w:cs="Times New Roman" w:asciiTheme="majorEastAsia" w:hAnsiTheme="majorEastAsia"/>
          <w:bCs w:val="0"/>
          <w:sz w:val="44"/>
          <w:szCs w:val="44"/>
          <w:lang w:val="zh-CN"/>
        </w:rPr>
        <w:t>第一部分 资格证明文件</w:t>
      </w:r>
      <w:bookmarkEnd w:id="87"/>
      <w:bookmarkEnd w:id="88"/>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r>
        <w:rPr>
          <w:rFonts w:hint="eastAsia" w:ascii="黑体" w:hAnsi="黑体" w:eastAsia="黑体" w:cs="Times New Roman"/>
          <w:b/>
          <w:sz w:val="36"/>
          <w:szCs w:val="36"/>
        </w:rPr>
        <w:t>资格证明文件组成</w:t>
      </w:r>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4"/>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3"/>
        <w:numPr>
          <w:ilvl w:val="0"/>
          <w:numId w:val="5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3"/>
        <w:numPr>
          <w:ilvl w:val="0"/>
          <w:numId w:val="5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3"/>
        <w:numPr>
          <w:ilvl w:val="0"/>
          <w:numId w:val="5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3"/>
        <w:numPr>
          <w:ilvl w:val="0"/>
          <w:numId w:val="5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3"/>
        <w:numPr>
          <w:ilvl w:val="0"/>
          <w:numId w:val="55"/>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4"/>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89" w:name="_Toc15401"/>
      <w:bookmarkStart w:id="90" w:name="_Toc11685"/>
      <w:r>
        <w:rPr>
          <w:rFonts w:hint="eastAsia" w:cs="Times New Roman" w:asciiTheme="majorEastAsia" w:hAnsiTheme="majorEastAsia"/>
          <w:bCs w:val="0"/>
          <w:sz w:val="44"/>
          <w:szCs w:val="44"/>
          <w:lang w:val="zh-CN"/>
        </w:rPr>
        <w:t>第二部分 商务文件</w:t>
      </w:r>
      <w:bookmarkEnd w:id="89"/>
      <w:bookmarkEnd w:id="90"/>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r>
        <w:rPr>
          <w:rFonts w:hint="eastAsia" w:ascii="黑体" w:hAnsi="黑体" w:eastAsia="黑体" w:cs="Times New Roman"/>
          <w:b/>
          <w:sz w:val="36"/>
          <w:szCs w:val="36"/>
        </w:rPr>
        <w:t>商务文件组成</w:t>
      </w:r>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开标一览表（附件二）</w:t>
      </w:r>
      <w:r>
        <w:rPr>
          <w:rFonts w:hint="eastAsia" w:ascii="宋体" w:hAnsi="宋体" w:eastAsia="宋体" w:cs="Courier New"/>
          <w:b/>
          <w:bCs/>
          <w:color w:val="0D0D0D"/>
          <w:sz w:val="24"/>
          <w:szCs w:val="24"/>
        </w:rPr>
        <w:t>（本项目不适用）；</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投标货物、服务清单（附件三）；</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交纳投标保证金的银行凭证（附件四，</w:t>
      </w:r>
      <w:r>
        <w:rPr>
          <w:rFonts w:hint="eastAsia" w:ascii="宋体" w:hAnsi="宋体" w:eastAsia="宋体" w:cs="Courier New"/>
          <w:b/>
          <w:bCs/>
          <w:color w:val="0D0D0D"/>
          <w:sz w:val="24"/>
          <w:szCs w:val="24"/>
        </w:rPr>
        <w:t>本项目不适用</w:t>
      </w:r>
      <w:r>
        <w:rPr>
          <w:rFonts w:hint="eastAsia" w:ascii="宋体" w:hAnsi="宋体" w:eastAsia="宋体" w:cs="Courier New"/>
          <w:color w:val="0D0D0D"/>
          <w:sz w:val="24"/>
          <w:szCs w:val="24"/>
        </w:rPr>
        <w:t>）；</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法定代表人授权书（附件五）；</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投标人的资格声明（附件六）；</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项目负责人、技术负责人简历表（附件七）；</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项目班子成员情况表（附件八）；</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投标人类似项目业绩表（附件九）；</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商务要求响应、偏离说明表（附件十一）；</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商务要求“★”号条款响应、偏离说明表（附件十二）</w:t>
      </w:r>
    </w:p>
    <w:p>
      <w:pPr>
        <w:numPr>
          <w:ilvl w:val="0"/>
          <w:numId w:val="56"/>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1" w:name="_Toc5942"/>
      <w:bookmarkStart w:id="92" w:name="_Toc23557"/>
      <w:r>
        <w:rPr>
          <w:rFonts w:hint="eastAsia" w:cs="Times New Roman" w:asciiTheme="majorEastAsia" w:hAnsiTheme="majorEastAsia"/>
          <w:bCs w:val="0"/>
          <w:sz w:val="44"/>
          <w:szCs w:val="44"/>
          <w:lang w:val="zh-CN"/>
        </w:rPr>
        <w:t>第三部分 技术、服务文件</w:t>
      </w:r>
      <w:bookmarkEnd w:id="91"/>
      <w:bookmarkEnd w:id="92"/>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57"/>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技术、服务要求响应、偏离说明表（附件十五）；</w:t>
      </w:r>
    </w:p>
    <w:p>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技术、服务要求“★”号条款响应、偏离说明表（附件十六）；</w:t>
      </w:r>
    </w:p>
    <w:p>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技术、服务评议对照表（附件十七）；</w:t>
      </w:r>
    </w:p>
    <w:p>
      <w:pPr>
        <w:numPr>
          <w:ilvl w:val="0"/>
          <w:numId w:val="5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58"/>
        </w:numPr>
        <w:spacing w:before="100" w:beforeAutospacing="1" w:afterLines="50" w:line="360" w:lineRule="auto"/>
        <w:ind w:left="1288" w:hanging="1288"/>
        <w:rPr>
          <w:rFonts w:ascii="宋体" w:hAnsi="宋体" w:eastAsia="宋体"/>
        </w:rPr>
      </w:pPr>
      <w:bookmarkStart w:id="93" w:name="_Toc9127"/>
      <w:bookmarkStart w:id="94" w:name="_Toc14527"/>
      <w:r>
        <w:rPr>
          <w:rFonts w:hint="eastAsia" w:ascii="宋体" w:hAnsi="宋体" w:eastAsia="宋体"/>
        </w:rPr>
        <w:t>投标书</w:t>
      </w:r>
      <w:bookmarkEnd w:id="93"/>
      <w:bookmarkEnd w:id="94"/>
    </w:p>
    <w:p>
      <w:pPr>
        <w:spacing w:line="360" w:lineRule="auto"/>
        <w:rPr>
          <w:b/>
          <w:sz w:val="28"/>
          <w:szCs w:val="28"/>
        </w:rPr>
      </w:pPr>
      <w:r>
        <w:rPr>
          <w:rFonts w:hint="eastAsia"/>
          <w:b/>
          <w:sz w:val="28"/>
          <w:szCs w:val="28"/>
        </w:rPr>
        <w:t>阳新县政府采购中心：</w:t>
      </w:r>
    </w:p>
    <w:p>
      <w:pPr>
        <w:spacing w:line="360" w:lineRule="auto"/>
        <w:ind w:firstLine="482"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1．按招标文件的约定履行合同责任和义务；</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4．提供按照贵方可能要求的与投标有关的一切数据或资料；</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5．与投标有关的一切正式往来信函请寄：。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kern w:val="0"/>
          <w:sz w:val="24"/>
          <w:szCs w:val="24"/>
        </w:rPr>
      </w:pP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58"/>
        </w:numPr>
        <w:spacing w:before="100" w:beforeAutospacing="1" w:afterLines="50" w:line="360" w:lineRule="auto"/>
        <w:ind w:left="1288" w:hanging="1288"/>
        <w:rPr>
          <w:rFonts w:ascii="宋体" w:hAnsi="宋体" w:eastAsia="宋体"/>
        </w:rPr>
      </w:pPr>
      <w:bookmarkStart w:id="95" w:name="_Toc6779"/>
      <w:bookmarkStart w:id="96" w:name="_Toc25266"/>
      <w:r>
        <w:rPr>
          <w:rFonts w:hint="eastAsia" w:ascii="宋体" w:hAnsi="宋体" w:eastAsia="宋体"/>
        </w:rPr>
        <w:t>开标一览表</w:t>
      </w:r>
      <w:bookmarkEnd w:id="95"/>
      <w:r>
        <w:rPr>
          <w:rFonts w:hint="eastAsia" w:ascii="宋体" w:hAnsi="宋体" w:eastAsia="宋体"/>
        </w:rPr>
        <w:t>（本项目不适用）</w:t>
      </w:r>
      <w:bookmarkEnd w:id="96"/>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万元整</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kern w:val="0"/>
                <w:sz w:val="24"/>
                <w:szCs w:val="24"/>
                <w:lang w:val="zh-CN"/>
              </w:rPr>
            </w:pPr>
          </w:p>
        </w:tc>
      </w:tr>
    </w:tbl>
    <w:p>
      <w:pPr>
        <w:spacing w:line="360" w:lineRule="auto"/>
        <w:ind w:left="1056" w:hanging="1052" w:hangingChars="437"/>
        <w:jc w:val="left"/>
        <w:rPr>
          <w:rFonts w:ascii="宋体" w:hAnsi="宋体"/>
          <w:sz w:val="24"/>
        </w:rPr>
      </w:pPr>
      <w:r>
        <w:rPr>
          <w:rFonts w:hint="eastAsia" w:ascii="宋体" w:hAnsi="宋体"/>
          <w:sz w:val="24"/>
        </w:rPr>
        <w:t>说明：1．所有价格均用人民币表示，单位为元。</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58"/>
        </w:numPr>
        <w:spacing w:before="100" w:beforeAutospacing="1" w:afterLines="50" w:line="360" w:lineRule="auto"/>
        <w:ind w:left="1288" w:hanging="1288"/>
        <w:rPr>
          <w:rFonts w:ascii="宋体" w:hAnsi="宋体" w:eastAsia="宋体"/>
        </w:rPr>
      </w:pPr>
      <w:bookmarkStart w:id="97" w:name="_Toc494665008"/>
      <w:bookmarkStart w:id="98" w:name="_Toc17083"/>
      <w:bookmarkStart w:id="99" w:name="_Toc494665958"/>
      <w:bookmarkStart w:id="100" w:name="_Toc494665561"/>
      <w:bookmarkStart w:id="101" w:name="_Toc494721108"/>
      <w:bookmarkStart w:id="102" w:name="_Toc494745325"/>
      <w:bookmarkStart w:id="103" w:name="_Toc494702278"/>
      <w:bookmarkStart w:id="104" w:name="_Toc32101"/>
      <w:r>
        <w:rPr>
          <w:rFonts w:hint="eastAsia" w:ascii="宋体" w:hAnsi="宋体" w:eastAsia="宋体"/>
        </w:rPr>
        <w:t>投标货物（工程或服务）清单</w:t>
      </w:r>
      <w:bookmarkEnd w:id="97"/>
      <w:bookmarkEnd w:id="98"/>
      <w:bookmarkEnd w:id="99"/>
      <w:bookmarkEnd w:id="100"/>
      <w:bookmarkEnd w:id="101"/>
      <w:bookmarkEnd w:id="102"/>
      <w:bookmarkEnd w:id="103"/>
      <w:bookmarkEnd w:id="104"/>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BCE1C0"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BCE1C0"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85"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288" w:hanging="1288"/>
        <w:rPr>
          <w:rFonts w:ascii="宋体" w:hAnsi="宋体" w:eastAsia="宋体"/>
        </w:rPr>
      </w:pPr>
      <w:bookmarkStart w:id="105" w:name="_Toc16436"/>
      <w:bookmarkStart w:id="106" w:name="_Toc494665562"/>
      <w:bookmarkStart w:id="107" w:name="_Toc494721109"/>
      <w:bookmarkStart w:id="108" w:name="_Toc494745326"/>
      <w:bookmarkStart w:id="109" w:name="_Toc494665959"/>
      <w:bookmarkStart w:id="110" w:name="_Toc494702279"/>
      <w:bookmarkStart w:id="111" w:name="_Toc494665009"/>
      <w:bookmarkStart w:id="112" w:name="_Toc6360"/>
      <w:r>
        <w:rPr>
          <w:rFonts w:hint="eastAsia" w:ascii="宋体" w:hAnsi="宋体" w:eastAsia="宋体"/>
        </w:rPr>
        <w:t>交纳投标保证金的银行凭证</w:t>
      </w:r>
      <w:bookmarkEnd w:id="105"/>
      <w:bookmarkEnd w:id="106"/>
      <w:bookmarkEnd w:id="107"/>
      <w:bookmarkEnd w:id="108"/>
      <w:bookmarkEnd w:id="109"/>
      <w:bookmarkEnd w:id="110"/>
      <w:bookmarkEnd w:id="111"/>
      <w:bookmarkEnd w:id="112"/>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
      <w:pPr>
        <w:spacing w:line="480" w:lineRule="auto"/>
        <w:rPr>
          <w:rFonts w:ascii="宋体" w:hAnsi="宋体" w:cs="Courier New"/>
          <w:b/>
          <w:sz w:val="28"/>
          <w:szCs w:val="28"/>
        </w:rPr>
      </w:pPr>
      <w:r>
        <w:rPr>
          <w:rFonts w:hint="eastAsia" w:ascii="宋体" w:hAnsi="宋体" w:cs="Courier New"/>
          <w:b/>
          <w:sz w:val="28"/>
          <w:szCs w:val="28"/>
        </w:rPr>
        <w:t>阳新县政府采购中心：</w:t>
      </w:r>
    </w:p>
    <w:p>
      <w:pPr>
        <w:spacing w:line="360" w:lineRule="auto"/>
        <w:ind w:firstLine="491"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    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_）的政府采购活动。按招标文件的规定，已递交人民币（大写）万元的投标保证金。</w:t>
      </w:r>
    </w:p>
    <w:tbl>
      <w:tblPr>
        <w:tblStyle w:val="17"/>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7"/>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1"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58"/>
        </w:numPr>
        <w:spacing w:before="100" w:beforeAutospacing="1" w:afterLines="50" w:line="360" w:lineRule="auto"/>
        <w:ind w:left="1288" w:hanging="1288"/>
        <w:rPr>
          <w:rFonts w:ascii="宋体" w:hAnsi="宋体" w:eastAsia="宋体"/>
        </w:rPr>
      </w:pPr>
      <w:bookmarkStart w:id="113" w:name="_Toc20424"/>
      <w:bookmarkStart w:id="114" w:name="_Toc9287"/>
      <w:r>
        <w:rPr>
          <w:rFonts w:hint="eastAsia" w:ascii="宋体" w:hAnsi="宋体" w:eastAsia="宋体"/>
        </w:rPr>
        <w:t>法定代表人授权书</w:t>
      </w:r>
      <w:bookmarkEnd w:id="113"/>
      <w:bookmarkEnd w:id="114"/>
    </w:p>
    <w:p>
      <w:pPr>
        <w:spacing w:line="480" w:lineRule="auto"/>
        <w:rPr>
          <w:rFonts w:ascii="宋体" w:hAnsi="宋体" w:eastAsia="宋体" w:cs="Times New Roman"/>
          <w:b/>
          <w:sz w:val="24"/>
          <w:szCs w:val="24"/>
        </w:rPr>
      </w:pPr>
      <w:r>
        <w:rPr>
          <w:rFonts w:hint="eastAsia" w:ascii="宋体" w:hAnsi="宋体" w:cs="Courier New"/>
          <w:b/>
          <w:sz w:val="28"/>
          <w:szCs w:val="28"/>
        </w:rPr>
        <w:t>阳新县政府采购中心：</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2" w:firstLineChars="225"/>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lang w:val="zh-CN"/>
        </w:rPr>
        <w:t>签发日期：年月日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7"/>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58"/>
        </w:numPr>
        <w:spacing w:before="100" w:beforeAutospacing="1" w:afterLines="50" w:line="360" w:lineRule="auto"/>
        <w:ind w:left="1610" w:hanging="1610"/>
        <w:rPr>
          <w:rFonts w:ascii="宋体" w:hAnsi="宋体" w:eastAsia="宋体"/>
        </w:rPr>
      </w:pPr>
      <w:bookmarkStart w:id="115" w:name="_Toc2303"/>
      <w:bookmarkStart w:id="116" w:name="_Toc18259"/>
      <w:r>
        <w:rPr>
          <w:rFonts w:hint="eastAsia" w:ascii="宋体" w:hAnsi="宋体" w:eastAsia="宋体"/>
        </w:rPr>
        <w:t>投标人的资格声明</w:t>
      </w:r>
      <w:bookmarkEnd w:id="115"/>
      <w:bookmarkEnd w:id="116"/>
    </w:p>
    <w:p>
      <w:pPr>
        <w:spacing w:line="360" w:lineRule="auto"/>
        <w:ind w:left="1085"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58"/>
        </w:numPr>
        <w:spacing w:before="100" w:beforeAutospacing="1" w:afterLines="50" w:line="360" w:lineRule="auto"/>
        <w:ind w:left="1610" w:hanging="1610"/>
        <w:rPr>
          <w:rFonts w:ascii="宋体" w:hAnsi="宋体" w:eastAsia="宋体"/>
        </w:rPr>
      </w:pPr>
      <w:bookmarkStart w:id="117" w:name="_Toc494702282"/>
      <w:bookmarkStart w:id="118" w:name="_Toc494665012"/>
      <w:bookmarkStart w:id="119" w:name="_Toc494665565"/>
      <w:bookmarkStart w:id="120" w:name="_Toc494721112"/>
      <w:bookmarkStart w:id="121" w:name="_Toc494665962"/>
      <w:bookmarkStart w:id="122" w:name="_Toc26036"/>
      <w:bookmarkStart w:id="123" w:name="_Toc494745329"/>
      <w:bookmarkStart w:id="124" w:name="_Toc12822"/>
      <w:r>
        <w:rPr>
          <w:rFonts w:hint="eastAsia" w:ascii="宋体" w:hAnsi="宋体" w:eastAsia="宋体"/>
        </w:rPr>
        <w:t>项目负责人、技术负责人简历表</w:t>
      </w:r>
      <w:bookmarkEnd w:id="117"/>
      <w:bookmarkEnd w:id="118"/>
      <w:bookmarkEnd w:id="119"/>
      <w:bookmarkEnd w:id="120"/>
      <w:bookmarkEnd w:id="121"/>
      <w:bookmarkEnd w:id="122"/>
      <w:bookmarkEnd w:id="123"/>
      <w:bookmarkEnd w:id="12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25" w:name="_Toc13817"/>
      <w:bookmarkStart w:id="126" w:name="_Toc494665963"/>
      <w:bookmarkStart w:id="127" w:name="_Toc494745330"/>
      <w:bookmarkStart w:id="128" w:name="_Toc494665566"/>
      <w:bookmarkStart w:id="129" w:name="_Toc238276251"/>
      <w:bookmarkStart w:id="130" w:name="_Toc494665013"/>
      <w:bookmarkStart w:id="131" w:name="_Toc236473307"/>
      <w:bookmarkStart w:id="132" w:name="_Toc494721113"/>
      <w:bookmarkStart w:id="133" w:name="_Toc494702283"/>
      <w:bookmarkStart w:id="134" w:name="_Toc19017"/>
      <w:r>
        <w:rPr>
          <w:rFonts w:hint="eastAsia" w:ascii="宋体" w:hAnsi="宋体" w:eastAsia="宋体"/>
        </w:rPr>
        <w:t>项目班子成员情况表</w:t>
      </w:r>
      <w:bookmarkEnd w:id="125"/>
      <w:bookmarkEnd w:id="126"/>
      <w:bookmarkEnd w:id="127"/>
      <w:bookmarkEnd w:id="128"/>
      <w:bookmarkEnd w:id="129"/>
      <w:bookmarkEnd w:id="130"/>
      <w:bookmarkEnd w:id="131"/>
      <w:bookmarkEnd w:id="132"/>
      <w:bookmarkEnd w:id="133"/>
      <w:bookmarkEnd w:id="13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BCE1C0"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35" w:name="_Toc494745331"/>
      <w:bookmarkStart w:id="136" w:name="_Toc494665964"/>
      <w:bookmarkStart w:id="137" w:name="_Toc494721114"/>
      <w:bookmarkStart w:id="138" w:name="_Toc21419"/>
      <w:bookmarkStart w:id="139" w:name="_Toc494702284"/>
      <w:bookmarkStart w:id="140" w:name="_Toc494665014"/>
      <w:bookmarkStart w:id="141" w:name="_Toc238276256"/>
      <w:bookmarkStart w:id="142" w:name="_Toc236473312"/>
      <w:bookmarkStart w:id="143" w:name="_Toc494665567"/>
      <w:bookmarkStart w:id="144" w:name="_Toc15280"/>
      <w:r>
        <w:rPr>
          <w:rFonts w:hint="eastAsia" w:ascii="宋体" w:hAnsi="宋体" w:eastAsia="宋体"/>
        </w:rPr>
        <w:t>投标人类似项目业绩表</w:t>
      </w:r>
      <w:bookmarkEnd w:id="135"/>
      <w:bookmarkEnd w:id="136"/>
      <w:bookmarkEnd w:id="137"/>
      <w:bookmarkEnd w:id="138"/>
      <w:bookmarkEnd w:id="139"/>
      <w:bookmarkEnd w:id="140"/>
      <w:bookmarkEnd w:id="141"/>
      <w:bookmarkEnd w:id="142"/>
      <w:bookmarkEnd w:id="143"/>
      <w:bookmarkEnd w:id="14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3" w:firstLineChars="300"/>
        <w:rPr>
          <w:rFonts w:ascii="宋体" w:hAnsi="宋体" w:eastAsia="宋体" w:cs="Times New Roman"/>
          <w:sz w:val="24"/>
          <w:szCs w:val="24"/>
        </w:rPr>
      </w:pPr>
    </w:p>
    <w:p>
      <w:pPr>
        <w:spacing w:line="360" w:lineRule="auto"/>
        <w:ind w:firstLine="723" w:firstLineChars="300"/>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45" w:name="_Toc494721115"/>
      <w:bookmarkStart w:id="146" w:name="_Toc494665015"/>
      <w:bookmarkStart w:id="147" w:name="_Toc494665568"/>
      <w:bookmarkStart w:id="148" w:name="_Toc18944"/>
      <w:bookmarkStart w:id="149" w:name="_Toc494665965"/>
      <w:bookmarkStart w:id="150" w:name="_Toc494745332"/>
      <w:bookmarkStart w:id="151" w:name="_Toc494702285"/>
      <w:bookmarkStart w:id="152" w:name="_Toc12069"/>
      <w:r>
        <w:rPr>
          <w:rFonts w:hint="eastAsia" w:ascii="宋体" w:hAnsi="宋体" w:eastAsia="宋体"/>
        </w:rPr>
        <w:t>符合性审查对照表</w:t>
      </w:r>
      <w:bookmarkEnd w:id="145"/>
      <w:bookmarkEnd w:id="146"/>
      <w:bookmarkEnd w:id="147"/>
      <w:bookmarkEnd w:id="148"/>
      <w:bookmarkEnd w:id="149"/>
      <w:bookmarkEnd w:id="150"/>
      <w:bookmarkEnd w:id="151"/>
      <w:bookmarkEnd w:id="152"/>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53" w:name="_Toc494665016"/>
      <w:bookmarkStart w:id="154" w:name="_Toc494702286"/>
      <w:bookmarkStart w:id="155" w:name="_Toc494665966"/>
      <w:bookmarkStart w:id="156" w:name="_Toc494745333"/>
      <w:bookmarkStart w:id="157" w:name="_Toc494721116"/>
      <w:bookmarkStart w:id="158" w:name="_Toc18420"/>
      <w:bookmarkStart w:id="159" w:name="_Toc494665569"/>
      <w:bookmarkStart w:id="160" w:name="_Toc23735"/>
      <w:r>
        <w:rPr>
          <w:rFonts w:hint="eastAsia" w:ascii="宋体" w:hAnsi="宋体" w:eastAsia="宋体"/>
        </w:rPr>
        <w:t>商务要求响应、偏离说明表</w:t>
      </w:r>
      <w:bookmarkEnd w:id="153"/>
      <w:bookmarkEnd w:id="154"/>
      <w:bookmarkEnd w:id="155"/>
      <w:bookmarkEnd w:id="156"/>
      <w:bookmarkEnd w:id="157"/>
      <w:bookmarkEnd w:id="158"/>
      <w:bookmarkEnd w:id="159"/>
      <w:bookmarkEnd w:id="16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sz w:val="24"/>
          <w:szCs w:val="24"/>
        </w:rPr>
      </w:pPr>
    </w:p>
    <w:p>
      <w:pPr>
        <w:adjustRightInd w:val="0"/>
        <w:snapToGrid w:val="0"/>
        <w:spacing w:line="360" w:lineRule="auto"/>
        <w:ind w:left="785" w:leftChars="258" w:hanging="241" w:hangingChars="1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61" w:name="_Toc494665017"/>
      <w:bookmarkStart w:id="162" w:name="_Toc494665967"/>
      <w:bookmarkStart w:id="163" w:name="_Toc32177"/>
      <w:bookmarkStart w:id="164" w:name="_Toc494665570"/>
      <w:bookmarkStart w:id="165" w:name="_Toc494745334"/>
      <w:bookmarkStart w:id="166" w:name="_Toc494702287"/>
      <w:bookmarkStart w:id="167" w:name="_Toc494721117"/>
      <w:bookmarkStart w:id="168" w:name="_Toc24419"/>
      <w:r>
        <w:rPr>
          <w:rFonts w:hint="eastAsia" w:ascii="宋体" w:hAnsi="宋体" w:eastAsia="宋体"/>
        </w:rPr>
        <w:t>商务要求“★”号条款响应、偏离说明表</w:t>
      </w:r>
      <w:bookmarkEnd w:id="161"/>
      <w:bookmarkEnd w:id="162"/>
      <w:bookmarkEnd w:id="163"/>
      <w:bookmarkEnd w:id="164"/>
      <w:bookmarkEnd w:id="165"/>
      <w:bookmarkEnd w:id="166"/>
      <w:bookmarkEnd w:id="167"/>
      <w:bookmarkEnd w:id="168"/>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69" w:name="_Toc494702288"/>
      <w:bookmarkStart w:id="170" w:name="_Toc494721118"/>
      <w:bookmarkStart w:id="171" w:name="_Toc494745335"/>
      <w:bookmarkStart w:id="172" w:name="_Toc5723"/>
      <w:bookmarkStart w:id="173" w:name="_Toc494665018"/>
      <w:bookmarkStart w:id="174" w:name="_Toc494665968"/>
      <w:bookmarkStart w:id="175" w:name="_Toc494665571"/>
      <w:bookmarkStart w:id="176" w:name="_Toc2983"/>
      <w:r>
        <w:rPr>
          <w:rFonts w:hint="eastAsia" w:ascii="宋体" w:hAnsi="宋体" w:eastAsia="宋体"/>
        </w:rPr>
        <w:t>商务评议对照表</w:t>
      </w:r>
      <w:bookmarkEnd w:id="169"/>
      <w:bookmarkEnd w:id="170"/>
      <w:bookmarkEnd w:id="171"/>
      <w:bookmarkEnd w:id="172"/>
      <w:bookmarkEnd w:id="173"/>
      <w:bookmarkEnd w:id="174"/>
      <w:bookmarkEnd w:id="175"/>
      <w:bookmarkEnd w:id="17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BCE1C0"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5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5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5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5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5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5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77" w:name="_Toc494665969"/>
      <w:bookmarkStart w:id="178" w:name="_Toc494721119"/>
      <w:bookmarkStart w:id="179" w:name="_Toc494745336"/>
      <w:bookmarkStart w:id="180" w:name="_Toc1197"/>
      <w:bookmarkStart w:id="181" w:name="_Toc494665572"/>
      <w:bookmarkStart w:id="182" w:name="_Toc494665019"/>
      <w:bookmarkStart w:id="183" w:name="_Toc494702289"/>
      <w:bookmarkStart w:id="184" w:name="_Toc9908"/>
      <w:r>
        <w:rPr>
          <w:rFonts w:hint="eastAsia" w:ascii="宋体" w:hAnsi="宋体" w:eastAsia="宋体"/>
        </w:rPr>
        <w:t>技术、服务要求响应、偏离说明表</w:t>
      </w:r>
      <w:bookmarkEnd w:id="177"/>
      <w:bookmarkEnd w:id="178"/>
      <w:bookmarkEnd w:id="179"/>
      <w:bookmarkEnd w:id="180"/>
      <w:bookmarkEnd w:id="181"/>
      <w:bookmarkEnd w:id="182"/>
      <w:bookmarkEnd w:id="183"/>
      <w:bookmarkEnd w:id="18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85" w:name="_Toc494665573"/>
      <w:bookmarkStart w:id="186" w:name="_Toc494702290"/>
      <w:bookmarkStart w:id="187" w:name="_Toc494665970"/>
      <w:bookmarkStart w:id="188" w:name="_Toc494745337"/>
      <w:bookmarkStart w:id="189" w:name="_Toc7933"/>
      <w:bookmarkStart w:id="190" w:name="_Toc494665020"/>
      <w:bookmarkStart w:id="191" w:name="_Toc494721120"/>
      <w:bookmarkStart w:id="192" w:name="_Toc32752"/>
      <w:bookmarkStart w:id="193" w:name="_Toc329859066"/>
      <w:r>
        <w:rPr>
          <w:rFonts w:hint="eastAsia" w:ascii="宋体" w:hAnsi="宋体" w:eastAsia="宋体"/>
        </w:rPr>
        <w:t>技术、服务要求“★”号条款响应、偏离说明表</w:t>
      </w:r>
      <w:bookmarkEnd w:id="185"/>
      <w:bookmarkEnd w:id="186"/>
      <w:bookmarkEnd w:id="187"/>
      <w:bookmarkEnd w:id="188"/>
      <w:bookmarkEnd w:id="189"/>
      <w:bookmarkEnd w:id="190"/>
      <w:bookmarkEnd w:id="191"/>
      <w:bookmarkEnd w:id="192"/>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42"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193"/>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58"/>
        </w:numPr>
        <w:spacing w:before="100" w:beforeAutospacing="1" w:afterLines="50" w:line="360" w:lineRule="auto"/>
        <w:ind w:left="1610" w:hanging="1610"/>
        <w:rPr>
          <w:rFonts w:ascii="宋体" w:hAnsi="宋体" w:eastAsia="宋体"/>
        </w:rPr>
      </w:pPr>
      <w:bookmarkStart w:id="194" w:name="_Toc494665021"/>
      <w:bookmarkStart w:id="195" w:name="_Toc494745338"/>
      <w:bookmarkStart w:id="196" w:name="_Toc13736"/>
      <w:bookmarkStart w:id="197" w:name="_Toc494702291"/>
      <w:bookmarkStart w:id="198" w:name="_Toc494665574"/>
      <w:bookmarkStart w:id="199" w:name="_Toc494665971"/>
      <w:bookmarkStart w:id="200" w:name="_Toc494721121"/>
      <w:bookmarkStart w:id="201" w:name="_Toc5954"/>
      <w:r>
        <w:rPr>
          <w:rFonts w:hint="eastAsia" w:ascii="宋体" w:hAnsi="宋体" w:eastAsia="宋体"/>
        </w:rPr>
        <w:t>技术、服务评议对照表</w:t>
      </w:r>
      <w:bookmarkEnd w:id="194"/>
      <w:bookmarkEnd w:id="195"/>
      <w:bookmarkEnd w:id="196"/>
      <w:bookmarkEnd w:id="197"/>
      <w:bookmarkEnd w:id="198"/>
      <w:bookmarkEnd w:id="199"/>
      <w:bookmarkEnd w:id="200"/>
      <w:bookmarkEnd w:id="20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BCE1C0"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BCE1C0"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BCE1C0"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5" w:hanging="723" w:hangingChars="3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p/>
    <w:bookmarkEnd w:id="79"/>
    <w:bookmarkEnd w:id="80"/>
    <w:bookmarkEnd w:id="81"/>
    <w:bookmarkEnd w:id="82"/>
    <w:bookmarkEnd w:id="83"/>
    <w:bookmarkEnd w:id="84"/>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Helvetica">
    <w:altName w:val="Arial"/>
    <w:panose1 w:val="020B0604020202020204"/>
    <w:charset w:val="00"/>
    <w:family w:val="decorative"/>
    <w:pitch w:val="default"/>
    <w:sig w:usb0="00000000" w:usb1="00000000" w:usb2="00000000" w:usb3="00000000" w:csb0="00000001" w:csb1="00000000"/>
  </w:font>
  <w:font w:name="楷体">
    <w:panose1 w:val="02010609060101010101"/>
    <w:charset w:val="86"/>
    <w:family w:val="swiss"/>
    <w:pitch w:val="default"/>
    <w:sig w:usb0="800002BF" w:usb1="38CF7CFA" w:usb2="00000016" w:usb3="00000000" w:csb0="00040001" w:csb1="00000000"/>
  </w:font>
  <w:font w:name="Corbel">
    <w:panose1 w:val="020B0503020204020204"/>
    <w:charset w:val="00"/>
    <w:family w:val="decorative"/>
    <w:pitch w:val="default"/>
    <w:sig w:usb0="A00002EF" w:usb1="4000A4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r>
      <w:rPr>
        <w:rFonts w:hint="eastAsia" w:asciiTheme="minorEastAsia" w:hAnsiTheme="minorEastAsia"/>
      </w:rPr>
      <w:t>阳新县公共资源交易中心编制</w:t>
    </w:r>
    <w:r>
      <w:rPr>
        <w:rFonts w:asciiTheme="minorEastAsia" w:hAnsiTheme="minorEastAsia"/>
      </w:rPr>
      <w:t xml:space="preserve">                                                                V3.0.2017.0930</w:t>
    </w:r>
  </w:p>
  <w:p>
    <w:pPr>
      <w:pStyle w:val="10"/>
      <w:pBdr>
        <w:top w:val="single" w:color="000000" w:themeColor="text1" w:sz="4" w:space="1"/>
      </w:pBdr>
      <w:tabs>
        <w:tab w:val="clear" w:pos="4153"/>
        <w:tab w:val="clear" w:pos="8306"/>
      </w:tabs>
      <w:ind w:right="-9"/>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jc w:val="both"/>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mc:Fallback>
      </mc:AlternateContent>
    </w:r>
    <w:r>
      <w:rPr>
        <w:rFonts w:hint="eastAsia" w:asciiTheme="minorEastAsia" w:hAnsiTheme="minorEastAsia"/>
        <w:sz w:val="15"/>
        <w:szCs w:val="15"/>
      </w:rPr>
      <w:t>阳新县公共资源交易中心编制</w:t>
    </w:r>
    <w:r>
      <w:rPr>
        <w:rFonts w:asciiTheme="minorEastAsia" w:hAnsiTheme="minorEastAsia"/>
      </w:rPr>
      <w:t xml:space="preserve">                                                                     V3.0.2017.0930</w:t>
    </w:r>
  </w:p>
  <w:p>
    <w:pPr>
      <w:pStyle w:val="10"/>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w:t>
                    </w:r>
                  </w:p>
                </w:txbxContent>
              </v:textbox>
            </v:shape>
          </w:pict>
        </mc:Fallback>
      </mc:AlternateContent>
    </w:r>
    <w:r>
      <w:rPr>
        <w:rFonts w:hint="eastAsia" w:asciiTheme="minorEastAsia" w:hAnsiTheme="minorEastAsia"/>
      </w:rPr>
      <w:t>阳新县公共资源交易中心编制</w:t>
    </w:r>
    <w:r>
      <w:rPr>
        <w:rFonts w:asciiTheme="minorEastAsia" w:hAnsiTheme="minorEastAsia"/>
      </w:rPr>
      <w:t xml:space="preserve">                                                                V3.0.2017.0930</w:t>
    </w:r>
  </w:p>
  <w:p>
    <w:pPr>
      <w:pStyle w:val="10"/>
      <w:pBdr>
        <w:top w:val="single" w:color="000000" w:themeColor="text1" w:sz="4" w:space="1"/>
      </w:pBdr>
      <w:tabs>
        <w:tab w:val="clear" w:pos="4153"/>
        <w:tab w:val="clear" w:pos="8306"/>
      </w:tabs>
      <w:ind w:right="-9"/>
      <w:rPr>
        <w:rFonts w:ascii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jc w:val="both"/>
      <w:rPr>
        <w:rFonts w:asciiTheme="minorEastAsia" w:hAnsiTheme="minorEastAsia"/>
        <w:b/>
      </w:rPr>
    </w:pPr>
    <w:r>
      <w:rPr>
        <w:sz w:val="1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w:t>
                    </w:r>
                  </w:p>
                </w:txbxContent>
              </v:textbox>
            </v:shape>
          </w:pict>
        </mc:Fallback>
      </mc:AlternateContent>
    </w:r>
    <w:r>
      <w:rPr>
        <w:sz w:val="15"/>
        <w:szCs w:val="15"/>
      </w:rPr>
      <mc:AlternateContent>
        <mc:Choice Requires="wps">
          <w:drawing>
            <wp:anchor distT="0" distB="0" distL="114300" distR="114300" simplePos="0" relativeHeight="251663360" behindDoc="0" locked="0" layoutInCell="1" allowOverlap="1">
              <wp:simplePos x="0" y="0"/>
              <wp:positionH relativeFrom="margin">
                <wp:posOffset>2620010</wp:posOffset>
              </wp:positionH>
              <wp:positionV relativeFrom="paragraph">
                <wp:posOffset>635</wp:posOffset>
              </wp:positionV>
              <wp:extent cx="494665" cy="154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4665" cy="154305"/>
                      </a:xfrm>
                      <a:prstGeom prst="rect">
                        <a:avLst/>
                      </a:prstGeom>
                      <a:noFill/>
                      <a:ln w="6350">
                        <a:noFill/>
                      </a:ln>
                      <a:effectLst/>
                    </wps:spPr>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3pt;margin-top:0.05pt;height:12.15pt;width:38.95pt;mso-position-horizontal-relative:margin;z-index:251663360;mso-width-relative:page;mso-height-relative:page;" filled="f" stroked="f" coordsize="21600,21600" o:gfxdata="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Bu61dUA&#10;AAAHAQAADwAAAAAAAAABACAAAAAiAAAAZHJzL2Rvd25yZXYueG1sUEsBAhQAFAAAAAgAh07iQJ+z&#10;8AIiAgAAIQQAAA4AAAAAAAAAAQAgAAAAJAEAAGRycy9lMm9Eb2MueG1sUEsFBgAAAAAGAAYAWQEA&#10;ALgFAAAAAA==&#10;">
              <v:fill on="f" focussize="0,0"/>
              <v:stroke on="f" weight="0.5pt"/>
              <v:imagedata o:title=""/>
              <o:lock v:ext="edit" aspectratio="f"/>
              <v:textbox inset="0mm,0mm,0mm,0mm">
                <w:txbxContent>
                  <w:p>
                    <w:pPr>
                      <w:pStyle w:val="10"/>
                    </w:pPr>
                  </w:p>
                </w:txbxContent>
              </v:textbox>
            </v:shape>
          </w:pict>
        </mc:Fallback>
      </mc:AlternateContent>
    </w:r>
    <w:r>
      <w:rPr>
        <w:rFonts w:hint="eastAsia" w:asciiTheme="minorEastAsia" w:hAnsiTheme="minorEastAsia"/>
        <w:sz w:val="15"/>
        <w:szCs w:val="15"/>
      </w:rPr>
      <w:t>阳新县公共资源交易中心编</w:t>
    </w:r>
    <w:r>
      <w:rPr>
        <w:rFonts w:hint="eastAsia" w:asciiTheme="minorEastAsia" w:hAnsiTheme="minorEastAsia"/>
      </w:rPr>
      <w:t>制</w:t>
    </w:r>
    <w:r>
      <w:rPr>
        <w:rFonts w:asciiTheme="minorEastAsia" w:hAnsiTheme="minorEastAsia"/>
      </w:rPr>
      <w:t xml:space="preserve">                                                                  V3.0.2017.0930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w:t>
    </w:r>
    <w:r>
      <w:rPr>
        <w:rFonts w:hint="eastAsia" w:ascii="宋体" w:hAnsi="宋体" w:eastAsia="宋体" w:cs="Times New Roman"/>
        <w:bCs/>
        <w:sz w:val="24"/>
        <w:szCs w:val="24"/>
      </w:rPr>
      <w:t>阳新县农产品销售服务类企业供应商选择项目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0">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3">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6">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17">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4">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5442C9F"/>
    <w:multiLevelType w:val="multilevel"/>
    <w:tmpl w:val="35442C9F"/>
    <w:lvl w:ilvl="0" w:tentative="0">
      <w:start w:val="1"/>
      <w:numFmt w:val="decimal"/>
      <w:lvlText w:val="（%1）"/>
      <w:lvlJc w:val="left"/>
      <w:pPr>
        <w:ind w:left="1271"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0">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1">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2">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5">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2">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3">
    <w:nsid w:val="5C078115"/>
    <w:multiLevelType w:val="multilevel"/>
    <w:tmpl w:val="5C078115"/>
    <w:lvl w:ilvl="0" w:tentative="0">
      <w:start w:val="1"/>
      <w:numFmt w:val="japaneseCounting"/>
      <w:pStyle w:val="46"/>
      <w:lvlText w:val="第%1章"/>
      <w:lvlJc w:val="left"/>
      <w:pPr>
        <w:tabs>
          <w:tab w:val="left" w:pos="2712"/>
        </w:tabs>
        <w:ind w:left="2712" w:hanging="1272"/>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5CA48327"/>
    <w:multiLevelType w:val="singleLevel"/>
    <w:tmpl w:val="5CA48327"/>
    <w:lvl w:ilvl="0" w:tentative="0">
      <w:start w:val="2"/>
      <w:numFmt w:val="chineseCounting"/>
      <w:suff w:val="nothing"/>
      <w:lvlText w:val="%1、"/>
      <w:lvlJc w:val="left"/>
    </w:lvl>
  </w:abstractNum>
  <w:abstractNum w:abstractNumId="45">
    <w:nsid w:val="5CA492B8"/>
    <w:multiLevelType w:val="singleLevel"/>
    <w:tmpl w:val="5CA492B8"/>
    <w:lvl w:ilvl="0" w:tentative="0">
      <w:start w:val="3"/>
      <w:numFmt w:val="decimal"/>
      <w:suff w:val="nothing"/>
      <w:lvlText w:val="%1、"/>
      <w:lvlJc w:val="left"/>
    </w:lvl>
  </w:abstractNum>
  <w:abstractNum w:abstractNumId="46">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8">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1">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4">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5">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8">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3"/>
  </w:num>
  <w:num w:numId="2">
    <w:abstractNumId w:val="35"/>
  </w:num>
  <w:num w:numId="3">
    <w:abstractNumId w:val="1"/>
  </w:num>
  <w:num w:numId="4">
    <w:abstractNumId w:val="14"/>
  </w:num>
  <w:num w:numId="5">
    <w:abstractNumId w:val="45"/>
  </w:num>
  <w:num w:numId="6">
    <w:abstractNumId w:val="24"/>
  </w:num>
  <w:num w:numId="7">
    <w:abstractNumId w:val="38"/>
  </w:num>
  <w:num w:numId="8">
    <w:abstractNumId w:val="2"/>
  </w:num>
  <w:num w:numId="9">
    <w:abstractNumId w:val="32"/>
  </w:num>
  <w:num w:numId="10">
    <w:abstractNumId w:val="11"/>
  </w:num>
  <w:num w:numId="11">
    <w:abstractNumId w:val="4"/>
  </w:num>
  <w:num w:numId="12">
    <w:abstractNumId w:val="47"/>
  </w:num>
  <w:num w:numId="13">
    <w:abstractNumId w:val="26"/>
  </w:num>
  <w:num w:numId="14">
    <w:abstractNumId w:val="41"/>
  </w:num>
  <w:num w:numId="15">
    <w:abstractNumId w:val="23"/>
  </w:num>
  <w:num w:numId="16">
    <w:abstractNumId w:val="3"/>
  </w:num>
  <w:num w:numId="17">
    <w:abstractNumId w:val="17"/>
  </w:num>
  <w:num w:numId="18">
    <w:abstractNumId w:val="18"/>
  </w:num>
  <w:num w:numId="19">
    <w:abstractNumId w:val="6"/>
  </w:num>
  <w:num w:numId="20">
    <w:abstractNumId w:val="55"/>
  </w:num>
  <w:num w:numId="21">
    <w:abstractNumId w:val="7"/>
  </w:num>
  <w:num w:numId="22">
    <w:abstractNumId w:val="22"/>
  </w:num>
  <w:num w:numId="23">
    <w:abstractNumId w:val="28"/>
  </w:num>
  <w:num w:numId="24">
    <w:abstractNumId w:val="31"/>
  </w:num>
  <w:num w:numId="25">
    <w:abstractNumId w:val="58"/>
  </w:num>
  <w:num w:numId="26">
    <w:abstractNumId w:val="39"/>
  </w:num>
  <w:num w:numId="27">
    <w:abstractNumId w:val="51"/>
  </w:num>
  <w:num w:numId="28">
    <w:abstractNumId w:val="56"/>
  </w:num>
  <w:num w:numId="29">
    <w:abstractNumId w:val="37"/>
  </w:num>
  <w:num w:numId="30">
    <w:abstractNumId w:val="5"/>
  </w:num>
  <w:num w:numId="31">
    <w:abstractNumId w:val="15"/>
  </w:num>
  <w:num w:numId="32">
    <w:abstractNumId w:val="52"/>
  </w:num>
  <w:num w:numId="33">
    <w:abstractNumId w:val="48"/>
  </w:num>
  <w:num w:numId="34">
    <w:abstractNumId w:val="30"/>
  </w:num>
  <w:num w:numId="35">
    <w:abstractNumId w:val="46"/>
  </w:num>
  <w:num w:numId="36">
    <w:abstractNumId w:val="19"/>
  </w:num>
  <w:num w:numId="37">
    <w:abstractNumId w:val="49"/>
  </w:num>
  <w:num w:numId="38">
    <w:abstractNumId w:val="0"/>
  </w:num>
  <w:num w:numId="39">
    <w:abstractNumId w:val="44"/>
  </w:num>
  <w:num w:numId="40">
    <w:abstractNumId w:val="40"/>
  </w:num>
  <w:num w:numId="41">
    <w:abstractNumId w:val="20"/>
  </w:num>
  <w:num w:numId="42">
    <w:abstractNumId w:val="36"/>
  </w:num>
  <w:num w:numId="43">
    <w:abstractNumId w:val="25"/>
  </w:num>
  <w:num w:numId="44">
    <w:abstractNumId w:val="33"/>
  </w:num>
  <w:num w:numId="45">
    <w:abstractNumId w:val="27"/>
  </w:num>
  <w:num w:numId="46">
    <w:abstractNumId w:val="13"/>
  </w:num>
  <w:num w:numId="47">
    <w:abstractNumId w:val="42"/>
  </w:num>
  <w:num w:numId="48">
    <w:abstractNumId w:val="59"/>
  </w:num>
  <w:num w:numId="49">
    <w:abstractNumId w:val="12"/>
  </w:num>
  <w:num w:numId="50">
    <w:abstractNumId w:val="57"/>
  </w:num>
  <w:num w:numId="51">
    <w:abstractNumId w:val="50"/>
  </w:num>
  <w:num w:numId="52">
    <w:abstractNumId w:val="34"/>
  </w:num>
  <w:num w:numId="53">
    <w:abstractNumId w:val="9"/>
  </w:num>
  <w:num w:numId="54">
    <w:abstractNumId w:val="16"/>
  </w:num>
  <w:num w:numId="55">
    <w:abstractNumId w:val="53"/>
  </w:num>
  <w:num w:numId="56">
    <w:abstractNumId w:val="29"/>
  </w:num>
  <w:num w:numId="57">
    <w:abstractNumId w:val="54"/>
  </w:num>
  <w:num w:numId="58">
    <w:abstractNumId w:val="8"/>
  </w:num>
  <w:num w:numId="59">
    <w:abstractNumId w:val="10"/>
  </w:num>
  <w:num w:numId="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B5"/>
    <w:rsid w:val="00036C10"/>
    <w:rsid w:val="00092B59"/>
    <w:rsid w:val="00092DD6"/>
    <w:rsid w:val="000E7AB4"/>
    <w:rsid w:val="001739D0"/>
    <w:rsid w:val="001B0E70"/>
    <w:rsid w:val="001C79D5"/>
    <w:rsid w:val="00266F12"/>
    <w:rsid w:val="00273AE4"/>
    <w:rsid w:val="002B07B4"/>
    <w:rsid w:val="002D0D60"/>
    <w:rsid w:val="002E0358"/>
    <w:rsid w:val="002E3734"/>
    <w:rsid w:val="00320FBB"/>
    <w:rsid w:val="00335DB8"/>
    <w:rsid w:val="00350567"/>
    <w:rsid w:val="003A4F80"/>
    <w:rsid w:val="003D7A78"/>
    <w:rsid w:val="003F1C36"/>
    <w:rsid w:val="003F2BB8"/>
    <w:rsid w:val="003F4EB1"/>
    <w:rsid w:val="00412746"/>
    <w:rsid w:val="00436B52"/>
    <w:rsid w:val="0044204B"/>
    <w:rsid w:val="00442D6D"/>
    <w:rsid w:val="00452BF5"/>
    <w:rsid w:val="0045431C"/>
    <w:rsid w:val="00494078"/>
    <w:rsid w:val="004A3A0F"/>
    <w:rsid w:val="004D2AB2"/>
    <w:rsid w:val="004D7CFC"/>
    <w:rsid w:val="004F3AEE"/>
    <w:rsid w:val="0050349F"/>
    <w:rsid w:val="005232AE"/>
    <w:rsid w:val="00531CA5"/>
    <w:rsid w:val="00552802"/>
    <w:rsid w:val="005B384E"/>
    <w:rsid w:val="005B75DC"/>
    <w:rsid w:val="005D0115"/>
    <w:rsid w:val="005D1DA1"/>
    <w:rsid w:val="005E5226"/>
    <w:rsid w:val="005F4064"/>
    <w:rsid w:val="00606BCE"/>
    <w:rsid w:val="0061741B"/>
    <w:rsid w:val="0062035B"/>
    <w:rsid w:val="00643811"/>
    <w:rsid w:val="006538F6"/>
    <w:rsid w:val="00672A78"/>
    <w:rsid w:val="00677B81"/>
    <w:rsid w:val="00691536"/>
    <w:rsid w:val="006B0913"/>
    <w:rsid w:val="006D5B6D"/>
    <w:rsid w:val="006E24CD"/>
    <w:rsid w:val="006E6D50"/>
    <w:rsid w:val="007470B7"/>
    <w:rsid w:val="00791667"/>
    <w:rsid w:val="007C2B45"/>
    <w:rsid w:val="007F3D64"/>
    <w:rsid w:val="008214CE"/>
    <w:rsid w:val="008443DC"/>
    <w:rsid w:val="00866E9D"/>
    <w:rsid w:val="00871048"/>
    <w:rsid w:val="008A7168"/>
    <w:rsid w:val="008C2ECD"/>
    <w:rsid w:val="008F33F2"/>
    <w:rsid w:val="009344DC"/>
    <w:rsid w:val="00942A08"/>
    <w:rsid w:val="00977A03"/>
    <w:rsid w:val="009B1D30"/>
    <w:rsid w:val="009C4DA5"/>
    <w:rsid w:val="009D39D5"/>
    <w:rsid w:val="009F796C"/>
    <w:rsid w:val="00A00DB5"/>
    <w:rsid w:val="00A41F61"/>
    <w:rsid w:val="00A53E88"/>
    <w:rsid w:val="00AB4D1D"/>
    <w:rsid w:val="00AD3129"/>
    <w:rsid w:val="00B04B26"/>
    <w:rsid w:val="00B0626C"/>
    <w:rsid w:val="00B433C9"/>
    <w:rsid w:val="00BB4BAE"/>
    <w:rsid w:val="00BB6E09"/>
    <w:rsid w:val="00BD1DDF"/>
    <w:rsid w:val="00BD4445"/>
    <w:rsid w:val="00BE6B28"/>
    <w:rsid w:val="00C0119B"/>
    <w:rsid w:val="00C275D7"/>
    <w:rsid w:val="00C75B62"/>
    <w:rsid w:val="00C96F19"/>
    <w:rsid w:val="00CF72FC"/>
    <w:rsid w:val="00D25A91"/>
    <w:rsid w:val="00D35C8D"/>
    <w:rsid w:val="00D937EE"/>
    <w:rsid w:val="00DE66D9"/>
    <w:rsid w:val="00DF60AE"/>
    <w:rsid w:val="00E101E8"/>
    <w:rsid w:val="00E16C71"/>
    <w:rsid w:val="00E35388"/>
    <w:rsid w:val="00E4165A"/>
    <w:rsid w:val="00E72726"/>
    <w:rsid w:val="00E92827"/>
    <w:rsid w:val="00ED322B"/>
    <w:rsid w:val="00ED7F1B"/>
    <w:rsid w:val="00F216C5"/>
    <w:rsid w:val="00F370C1"/>
    <w:rsid w:val="00F54A0A"/>
    <w:rsid w:val="00F62CEC"/>
    <w:rsid w:val="00F64DD1"/>
    <w:rsid w:val="00F65677"/>
    <w:rsid w:val="00F81076"/>
    <w:rsid w:val="00FC598F"/>
    <w:rsid w:val="00FF44D8"/>
    <w:rsid w:val="03A64B69"/>
    <w:rsid w:val="03C255BA"/>
    <w:rsid w:val="03D9195C"/>
    <w:rsid w:val="04421458"/>
    <w:rsid w:val="0491498E"/>
    <w:rsid w:val="049C2D1F"/>
    <w:rsid w:val="05ED35C6"/>
    <w:rsid w:val="06952610"/>
    <w:rsid w:val="08C57871"/>
    <w:rsid w:val="0966617B"/>
    <w:rsid w:val="09F62C91"/>
    <w:rsid w:val="0B6B1F0B"/>
    <w:rsid w:val="0B7D148B"/>
    <w:rsid w:val="0BAA4A73"/>
    <w:rsid w:val="0C457F28"/>
    <w:rsid w:val="0DD065F4"/>
    <w:rsid w:val="0FCD487B"/>
    <w:rsid w:val="0FD30983"/>
    <w:rsid w:val="11DF1E58"/>
    <w:rsid w:val="11F3145E"/>
    <w:rsid w:val="12134C2C"/>
    <w:rsid w:val="12B02035"/>
    <w:rsid w:val="12E60311"/>
    <w:rsid w:val="13D42198"/>
    <w:rsid w:val="13E46216"/>
    <w:rsid w:val="146C3610"/>
    <w:rsid w:val="14D01A84"/>
    <w:rsid w:val="14EA1CE0"/>
    <w:rsid w:val="16421F11"/>
    <w:rsid w:val="16C76622"/>
    <w:rsid w:val="178F63E3"/>
    <w:rsid w:val="179675A0"/>
    <w:rsid w:val="18381870"/>
    <w:rsid w:val="19322AE7"/>
    <w:rsid w:val="1C050AF3"/>
    <w:rsid w:val="1C0E1A98"/>
    <w:rsid w:val="1C7A6BC9"/>
    <w:rsid w:val="1CDE1C97"/>
    <w:rsid w:val="1CE600AE"/>
    <w:rsid w:val="1DA32D45"/>
    <w:rsid w:val="1DEC1F22"/>
    <w:rsid w:val="1E1016B7"/>
    <w:rsid w:val="1E9B0A3A"/>
    <w:rsid w:val="1F3C63CC"/>
    <w:rsid w:val="1F5A702D"/>
    <w:rsid w:val="201845EB"/>
    <w:rsid w:val="20264D57"/>
    <w:rsid w:val="20320ABD"/>
    <w:rsid w:val="212328BD"/>
    <w:rsid w:val="21452025"/>
    <w:rsid w:val="21B5210B"/>
    <w:rsid w:val="22F2096C"/>
    <w:rsid w:val="231C5618"/>
    <w:rsid w:val="236E03B0"/>
    <w:rsid w:val="24C41630"/>
    <w:rsid w:val="252E5011"/>
    <w:rsid w:val="25EF096B"/>
    <w:rsid w:val="263B17C8"/>
    <w:rsid w:val="269221D6"/>
    <w:rsid w:val="273B4398"/>
    <w:rsid w:val="27CD66DB"/>
    <w:rsid w:val="28450459"/>
    <w:rsid w:val="288E2F16"/>
    <w:rsid w:val="291701C8"/>
    <w:rsid w:val="297A06D4"/>
    <w:rsid w:val="2A2C74BF"/>
    <w:rsid w:val="2BE64AE3"/>
    <w:rsid w:val="2BFB3963"/>
    <w:rsid w:val="2CDF1F2B"/>
    <w:rsid w:val="2D9B3963"/>
    <w:rsid w:val="2E3E316C"/>
    <w:rsid w:val="2F536A98"/>
    <w:rsid w:val="2FB91465"/>
    <w:rsid w:val="302C7240"/>
    <w:rsid w:val="31713F39"/>
    <w:rsid w:val="32B1206F"/>
    <w:rsid w:val="33540C46"/>
    <w:rsid w:val="357953FE"/>
    <w:rsid w:val="36160449"/>
    <w:rsid w:val="36173CCD"/>
    <w:rsid w:val="36AB150F"/>
    <w:rsid w:val="36D55EF9"/>
    <w:rsid w:val="37051ACD"/>
    <w:rsid w:val="37253E8A"/>
    <w:rsid w:val="37534178"/>
    <w:rsid w:val="375F32CB"/>
    <w:rsid w:val="37D416A4"/>
    <w:rsid w:val="39340367"/>
    <w:rsid w:val="396C508C"/>
    <w:rsid w:val="3A59064C"/>
    <w:rsid w:val="3B3F60E8"/>
    <w:rsid w:val="3C3104DF"/>
    <w:rsid w:val="3CDF116D"/>
    <w:rsid w:val="3DE822B5"/>
    <w:rsid w:val="3DF02BFD"/>
    <w:rsid w:val="3E487E67"/>
    <w:rsid w:val="3EB01EEA"/>
    <w:rsid w:val="403F2B47"/>
    <w:rsid w:val="40DF302C"/>
    <w:rsid w:val="40E46C28"/>
    <w:rsid w:val="424E4B6A"/>
    <w:rsid w:val="427A663F"/>
    <w:rsid w:val="42D9273C"/>
    <w:rsid w:val="4330314B"/>
    <w:rsid w:val="44BC6155"/>
    <w:rsid w:val="458E0E3B"/>
    <w:rsid w:val="46E64CBA"/>
    <w:rsid w:val="47210E42"/>
    <w:rsid w:val="477A7BE8"/>
    <w:rsid w:val="47C502CB"/>
    <w:rsid w:val="48066B51"/>
    <w:rsid w:val="48180C2B"/>
    <w:rsid w:val="49400E3C"/>
    <w:rsid w:val="49AA7CAD"/>
    <w:rsid w:val="49AD5BED"/>
    <w:rsid w:val="4AA21989"/>
    <w:rsid w:val="4AB16169"/>
    <w:rsid w:val="4AE333C7"/>
    <w:rsid w:val="4CC51A03"/>
    <w:rsid w:val="4CDB5DA5"/>
    <w:rsid w:val="4D280422"/>
    <w:rsid w:val="4D9E38E4"/>
    <w:rsid w:val="4E0C3F18"/>
    <w:rsid w:val="4E474A4B"/>
    <w:rsid w:val="4E5E3137"/>
    <w:rsid w:val="4E5F34D8"/>
    <w:rsid w:val="4F252466"/>
    <w:rsid w:val="4F3E25D9"/>
    <w:rsid w:val="50E336C1"/>
    <w:rsid w:val="51086382"/>
    <w:rsid w:val="52922686"/>
    <w:rsid w:val="52F61E27"/>
    <w:rsid w:val="53820B12"/>
    <w:rsid w:val="53F2217D"/>
    <w:rsid w:val="55ED318A"/>
    <w:rsid w:val="57680125"/>
    <w:rsid w:val="5A836F46"/>
    <w:rsid w:val="5B333A82"/>
    <w:rsid w:val="5B792034"/>
    <w:rsid w:val="5C1F35AE"/>
    <w:rsid w:val="5C5D7C48"/>
    <w:rsid w:val="5CAB2299"/>
    <w:rsid w:val="5D8579FD"/>
    <w:rsid w:val="5E325597"/>
    <w:rsid w:val="5E7E7C15"/>
    <w:rsid w:val="5EC90ABC"/>
    <w:rsid w:val="5F01496B"/>
    <w:rsid w:val="5F2330F5"/>
    <w:rsid w:val="5F276DA9"/>
    <w:rsid w:val="5FC1205A"/>
    <w:rsid w:val="601C2B39"/>
    <w:rsid w:val="60CD64BE"/>
    <w:rsid w:val="612B2CF7"/>
    <w:rsid w:val="61554288"/>
    <w:rsid w:val="629D7D44"/>
    <w:rsid w:val="63CE3478"/>
    <w:rsid w:val="64176BC2"/>
    <w:rsid w:val="642C6B67"/>
    <w:rsid w:val="64A92CF8"/>
    <w:rsid w:val="66281EC1"/>
    <w:rsid w:val="66AD7384"/>
    <w:rsid w:val="674525FC"/>
    <w:rsid w:val="67647408"/>
    <w:rsid w:val="682A60F2"/>
    <w:rsid w:val="68A52399"/>
    <w:rsid w:val="68EE1602"/>
    <w:rsid w:val="69010354"/>
    <w:rsid w:val="69A63060"/>
    <w:rsid w:val="69BC1740"/>
    <w:rsid w:val="69DC5D71"/>
    <w:rsid w:val="6BAE6CB9"/>
    <w:rsid w:val="6C8266AE"/>
    <w:rsid w:val="6C9E6AFF"/>
    <w:rsid w:val="6D10317E"/>
    <w:rsid w:val="6D400349"/>
    <w:rsid w:val="6D60667F"/>
    <w:rsid w:val="6E2D5DD3"/>
    <w:rsid w:val="6E815393"/>
    <w:rsid w:val="6ED16417"/>
    <w:rsid w:val="6F53712D"/>
    <w:rsid w:val="705339F7"/>
    <w:rsid w:val="706E0500"/>
    <w:rsid w:val="71326D93"/>
    <w:rsid w:val="716236AE"/>
    <w:rsid w:val="7193658F"/>
    <w:rsid w:val="72DA7291"/>
    <w:rsid w:val="73C94B85"/>
    <w:rsid w:val="73F310C6"/>
    <w:rsid w:val="742665A0"/>
    <w:rsid w:val="74FC4AA9"/>
    <w:rsid w:val="759252EF"/>
    <w:rsid w:val="75D43EBC"/>
    <w:rsid w:val="75D4469A"/>
    <w:rsid w:val="76F44F37"/>
    <w:rsid w:val="770A4EDC"/>
    <w:rsid w:val="777138F3"/>
    <w:rsid w:val="789833E9"/>
    <w:rsid w:val="78B125B1"/>
    <w:rsid w:val="78D244C8"/>
    <w:rsid w:val="79094B82"/>
    <w:rsid w:val="794376E8"/>
    <w:rsid w:val="7A5429A6"/>
    <w:rsid w:val="7A5D6AD3"/>
    <w:rsid w:val="7AE06308"/>
    <w:rsid w:val="7AE76131"/>
    <w:rsid w:val="7C8C7D58"/>
    <w:rsid w:val="7E424DCC"/>
    <w:rsid w:val="7F347064"/>
    <w:rsid w:val="7F7052A0"/>
    <w:rsid w:val="7FB05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37"/>
    <w:qFormat/>
    <w:uiPriority w:val="0"/>
    <w:pPr>
      <w:ind w:firstLine="420"/>
    </w:p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0"/>
    <w:qFormat/>
    <w:uiPriority w:val="0"/>
    <w:rPr>
      <w:rFonts w:ascii="宋体" w:hAnsi="Courier New" w:cs="Courier New"/>
      <w:szCs w:val="21"/>
    </w:rPr>
  </w:style>
  <w:style w:type="paragraph" w:styleId="8">
    <w:name w:val="endnote text"/>
    <w:basedOn w:val="1"/>
    <w:link w:val="31"/>
    <w:unhideWhenUsed/>
    <w:qFormat/>
    <w:uiPriority w:val="99"/>
    <w:pPr>
      <w:snapToGrid w:val="0"/>
      <w:jc w:val="left"/>
    </w:pPr>
  </w:style>
  <w:style w:type="paragraph" w:styleId="9">
    <w:name w:val="Balloon Text"/>
    <w:basedOn w:val="1"/>
    <w:link w:val="32"/>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6"/>
    <w:qFormat/>
    <w:uiPriority w:val="29"/>
    <w:rPr>
      <w:i/>
      <w:iCs/>
      <w:color w:val="000000" w:themeColor="text1"/>
      <w14:textFill>
        <w14:solidFill>
          <w14:schemeClr w14:val="tx1"/>
        </w14:solidFill>
      </w14:textFill>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5"/>
    <w:next w:val="5"/>
    <w:link w:val="29"/>
    <w:unhideWhenUsed/>
    <w:qFormat/>
    <w:uiPriority w:val="99"/>
    <w:rPr>
      <w:b/>
      <w:bCs/>
    </w:rPr>
  </w:style>
  <w:style w:type="character" w:styleId="19">
    <w:name w:val="Strong"/>
    <w:qFormat/>
    <w:uiPriority w:val="22"/>
    <w:rPr>
      <w:b/>
    </w:rPr>
  </w:style>
  <w:style w:type="character" w:styleId="20">
    <w:name w:val="endnote reference"/>
    <w:basedOn w:val="18"/>
    <w:unhideWhenUsed/>
    <w:qFormat/>
    <w:uiPriority w:val="99"/>
    <w:rPr>
      <w:vertAlign w:val="superscript"/>
    </w:rPr>
  </w:style>
  <w:style w:type="character" w:styleId="21">
    <w:name w:val="FollowedHyperlink"/>
    <w:basedOn w:val="18"/>
    <w:unhideWhenUsed/>
    <w:uiPriority w:val="99"/>
    <w:rPr>
      <w:color w:val="2A2A2A"/>
      <w:sz w:val="18"/>
      <w:szCs w:val="18"/>
      <w:u w:val="none"/>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annotation reference"/>
    <w:qFormat/>
    <w:uiPriority w:val="99"/>
    <w:rPr>
      <w:sz w:val="21"/>
    </w:rPr>
  </w:style>
  <w:style w:type="character" w:customStyle="1" w:styleId="24">
    <w:name w:val="页眉 Char"/>
    <w:basedOn w:val="18"/>
    <w:link w:val="11"/>
    <w:qFormat/>
    <w:uiPriority w:val="99"/>
    <w:rPr>
      <w:sz w:val="18"/>
      <w:szCs w:val="18"/>
    </w:rPr>
  </w:style>
  <w:style w:type="character" w:customStyle="1" w:styleId="25">
    <w:name w:val="页脚 Char"/>
    <w:basedOn w:val="18"/>
    <w:link w:val="10"/>
    <w:qFormat/>
    <w:uiPriority w:val="99"/>
    <w:rPr>
      <w:sz w:val="18"/>
      <w:szCs w:val="18"/>
    </w:rPr>
  </w:style>
  <w:style w:type="character" w:customStyle="1" w:styleId="26">
    <w:name w:val="标题 1 Char"/>
    <w:basedOn w:val="18"/>
    <w:link w:val="2"/>
    <w:qFormat/>
    <w:uiPriority w:val="9"/>
    <w:rPr>
      <w:b/>
      <w:bCs/>
      <w:kern w:val="44"/>
      <w:sz w:val="44"/>
      <w:szCs w:val="44"/>
    </w:rPr>
  </w:style>
  <w:style w:type="character" w:customStyle="1" w:styleId="27">
    <w:name w:val="标题 2 Char"/>
    <w:basedOn w:val="18"/>
    <w:link w:val="3"/>
    <w:qFormat/>
    <w:uiPriority w:val="9"/>
    <w:rPr>
      <w:rFonts w:asciiTheme="majorHAnsi" w:hAnsiTheme="majorHAnsi" w:eastAsiaTheme="majorEastAsia" w:cstheme="majorBidi"/>
      <w:b/>
      <w:bCs/>
      <w:sz w:val="32"/>
      <w:szCs w:val="32"/>
    </w:rPr>
  </w:style>
  <w:style w:type="character" w:customStyle="1" w:styleId="28">
    <w:name w:val="批注文字 Char"/>
    <w:basedOn w:val="18"/>
    <w:link w:val="5"/>
    <w:qFormat/>
    <w:uiPriority w:val="99"/>
  </w:style>
  <w:style w:type="character" w:customStyle="1" w:styleId="29">
    <w:name w:val="批注主题 Char"/>
    <w:basedOn w:val="28"/>
    <w:link w:val="16"/>
    <w:qFormat/>
    <w:uiPriority w:val="99"/>
    <w:rPr>
      <w:b/>
      <w:bCs/>
    </w:rPr>
  </w:style>
  <w:style w:type="character" w:customStyle="1" w:styleId="30">
    <w:name w:val="纯文本 Char"/>
    <w:basedOn w:val="18"/>
    <w:link w:val="7"/>
    <w:qFormat/>
    <w:uiPriority w:val="0"/>
    <w:rPr>
      <w:rFonts w:ascii="宋体" w:hAnsi="Courier New" w:cs="Courier New"/>
      <w:szCs w:val="21"/>
    </w:rPr>
  </w:style>
  <w:style w:type="character" w:customStyle="1" w:styleId="31">
    <w:name w:val="尾注文本 Char"/>
    <w:basedOn w:val="18"/>
    <w:link w:val="8"/>
    <w:qFormat/>
    <w:uiPriority w:val="99"/>
  </w:style>
  <w:style w:type="character" w:customStyle="1" w:styleId="32">
    <w:name w:val="批注框文本 Char"/>
    <w:basedOn w:val="18"/>
    <w:link w:val="9"/>
    <w:qFormat/>
    <w:uiPriority w:val="99"/>
    <w:rPr>
      <w:sz w:val="18"/>
      <w:szCs w:val="18"/>
    </w:rPr>
  </w:style>
  <w:style w:type="paragraph" w:customStyle="1" w:styleId="33">
    <w:name w:val="列出段落1"/>
    <w:basedOn w:val="1"/>
    <w:qFormat/>
    <w:uiPriority w:val="34"/>
    <w:pPr>
      <w:ind w:firstLine="420" w:firstLineChars="200"/>
    </w:p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纯文本 Char1"/>
    <w:basedOn w:val="18"/>
    <w:semiHidden/>
    <w:qFormat/>
    <w:uiPriority w:val="99"/>
    <w:rPr>
      <w:rFonts w:ascii="宋体" w:hAnsi="Courier New" w:eastAsia="宋体" w:cs="Courier New"/>
      <w:szCs w:val="21"/>
    </w:rPr>
  </w:style>
  <w:style w:type="character" w:customStyle="1" w:styleId="36">
    <w:name w:val="引用 Char"/>
    <w:basedOn w:val="18"/>
    <w:link w:val="13"/>
    <w:qFormat/>
    <w:uiPriority w:val="29"/>
    <w:rPr>
      <w:i/>
      <w:iCs/>
      <w:color w:val="000000" w:themeColor="text1"/>
      <w14:textFill>
        <w14:solidFill>
          <w14:schemeClr w14:val="tx1"/>
        </w14:solidFill>
      </w14:textFill>
    </w:rPr>
  </w:style>
  <w:style w:type="character" w:customStyle="1" w:styleId="37">
    <w:name w:val="正文缩进 Char"/>
    <w:link w:val="4"/>
    <w:qFormat/>
    <w:uiPriority w:val="0"/>
  </w:style>
  <w:style w:type="paragraph" w:customStyle="1" w:styleId="38">
    <w:name w:val="列出段落2"/>
    <w:basedOn w:val="1"/>
    <w:qFormat/>
    <w:uiPriority w:val="34"/>
    <w:pPr>
      <w:ind w:firstLine="420" w:firstLineChars="200"/>
    </w:pPr>
  </w:style>
  <w:style w:type="character" w:customStyle="1" w:styleId="39">
    <w:name w:val="纯文本 Char2"/>
    <w:qFormat/>
    <w:locked/>
    <w:uiPriority w:val="0"/>
    <w:rPr>
      <w:rFonts w:ascii="宋体" w:hAnsi="Courier New" w:eastAsia="宋体" w:cs="Courier New"/>
      <w:szCs w:val="21"/>
    </w:rPr>
  </w:style>
  <w:style w:type="paragraph" w:customStyle="1" w:styleId="40">
    <w:name w:val="Char Char"/>
    <w:basedOn w:val="1"/>
    <w:qFormat/>
    <w:uiPriority w:val="0"/>
    <w:rPr>
      <w:rFonts w:ascii="Tahoma" w:hAnsi="Tahoma" w:eastAsia="宋体" w:cs="Times New Roman"/>
      <w:sz w:val="24"/>
      <w:szCs w:val="20"/>
    </w:rPr>
  </w:style>
  <w:style w:type="paragraph" w:customStyle="1" w:styleId="4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3">
    <w:name w:val="标题2"/>
    <w:basedOn w:val="2"/>
    <w:qFormat/>
    <w:uiPriority w:val="0"/>
    <w:pPr>
      <w:spacing w:before="100" w:beforeAutospacing="1" w:after="100" w:afterAutospacing="1"/>
      <w:jc w:val="left"/>
    </w:pPr>
    <w:rPr>
      <w:rFonts w:ascii="宋体" w:hAnsi="宋体" w:eastAsia="黑体"/>
      <w:sz w:val="24"/>
      <w:szCs w:val="24"/>
    </w:rPr>
  </w:style>
  <w:style w:type="paragraph" w:customStyle="1" w:styleId="44">
    <w:name w:val="Crp正文"/>
    <w:basedOn w:val="1"/>
    <w:qFormat/>
    <w:uiPriority w:val="0"/>
    <w:pPr>
      <w:spacing w:after="120"/>
      <w:ind w:left="420" w:leftChars="200" w:firstLine="560" w:firstLineChars="200"/>
      <w:jc w:val="left"/>
    </w:pPr>
    <w:rPr>
      <w:rFonts w:ascii="仿宋_GB2312" w:eastAsia="仿宋_GB2312"/>
      <w:sz w:val="28"/>
      <w:szCs w:val="28"/>
    </w:rPr>
  </w:style>
  <w:style w:type="character" w:customStyle="1" w:styleId="45">
    <w:name w:val="样式1 Char"/>
    <w:basedOn w:val="18"/>
    <w:link w:val="46"/>
    <w:uiPriority w:val="0"/>
    <w:rPr>
      <w:rFonts w:hint="eastAsia" w:ascii="宋体" w:hAnsi="宋体" w:eastAsia="宋体" w:cs="宋体"/>
      <w:sz w:val="21"/>
      <w:szCs w:val="21"/>
      <w:lang w:val="en-US" w:eastAsia="zh-CN"/>
    </w:rPr>
  </w:style>
  <w:style w:type="paragraph" w:customStyle="1" w:styleId="46">
    <w:name w:val="样式1"/>
    <w:basedOn w:val="1"/>
    <w:link w:val="45"/>
    <w:qFormat/>
    <w:uiPriority w:val="0"/>
    <w:pPr>
      <w:numPr>
        <w:ilvl w:val="0"/>
        <w:numId w:val="1"/>
      </w:numPr>
      <w:adjustRightInd w:val="0"/>
    </w:pPr>
    <w:rPr>
      <w:rFonts w:hint="eastAsia" w:ascii="宋体" w:hAnsi="宋体" w:eastAsia="宋体" w:cs="Times New Roman"/>
      <w:kern w:val="0"/>
      <w:szCs w:val="21"/>
    </w:rPr>
  </w:style>
  <w:style w:type="paragraph" w:customStyle="1" w:styleId="47">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0112-387F-42CD-8370-FD94AF4B7ADF}">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51</Pages>
  <Words>3526</Words>
  <Characters>20103</Characters>
  <Lines>167</Lines>
  <Paragraphs>47</Paragraphs>
  <TotalTime>21</TotalTime>
  <ScaleCrop>false</ScaleCrop>
  <LinksUpToDate>false</LinksUpToDate>
  <CharactersWithSpaces>23582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2019-04-03T12:20:00Z</dcterms:created>
  <dc:creator>UQi.me</dc:creator>
  <cp:lastModifiedBy>Administrator</cp:lastModifiedBy>
  <cp:lastPrinted>2019-04-04T00:35:00Z</cp:lastPrinted>
  <dcterms:modified xsi:type="dcterms:W3CDTF">2019-04-04T03:09:54Z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