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Lines="300"/>
        <w:jc w:val="center"/>
        <w:rPr>
          <w:rFonts w:ascii="黑体" w:hAnsi="黑体" w:eastAsia="黑体"/>
          <w:b/>
          <w:sz w:val="72"/>
          <w:szCs w:val="72"/>
        </w:rPr>
      </w:pPr>
    </w:p>
    <w:p>
      <w:pPr>
        <w:spacing w:afterLines="300"/>
        <w:jc w:val="center"/>
        <w:rPr>
          <w:rFonts w:ascii="黑体" w:hAnsi="黑体" w:eastAsia="黑体"/>
          <w:b/>
          <w:sz w:val="96"/>
          <w:szCs w:val="96"/>
        </w:rPr>
      </w:pPr>
      <w:r>
        <w:rPr>
          <w:rFonts w:hint="eastAsia" w:ascii="黑体" w:hAnsi="黑体" w:eastAsia="黑体"/>
          <w:b/>
          <w:sz w:val="72"/>
          <w:szCs w:val="72"/>
        </w:rPr>
        <w:t>阳新县县政府采购项目</w:t>
      </w:r>
    </w:p>
    <w:p>
      <w:pPr>
        <w:spacing w:afterLines="300"/>
        <w:jc w:val="center"/>
        <w:rPr>
          <w:rFonts w:ascii="黑体" w:hAnsi="黑体" w:eastAsia="黑体"/>
          <w:b/>
          <w:sz w:val="72"/>
          <w:szCs w:val="72"/>
        </w:rPr>
      </w:pPr>
      <w:r>
        <w:rPr>
          <w:rFonts w:hint="eastAsia" w:ascii="黑体" w:hAnsi="黑体" w:eastAsia="黑体"/>
          <w:b/>
          <w:sz w:val="72"/>
          <w:szCs w:val="72"/>
        </w:rPr>
        <w:t>招 标 文 件</w:t>
      </w:r>
    </w:p>
    <w:p>
      <w:pPr>
        <w:spacing w:line="360" w:lineRule="auto"/>
        <w:ind w:left="2051" w:leftChars="619" w:right="1306" w:rightChars="622" w:hanging="752" w:hangingChars="209"/>
        <w:rPr>
          <w:rFonts w:hint="default" w:ascii="宋体" w:hAnsi="宋体" w:eastAsia="宋体" w:cs="Times New Roman"/>
          <w:sz w:val="36"/>
          <w:szCs w:val="36"/>
          <w:lang w:val="en-US" w:eastAsia="zh-CN"/>
        </w:rPr>
      </w:pPr>
      <w:r>
        <w:rPr>
          <w:rFonts w:hint="eastAsia" w:ascii="黑体" w:hAnsi="黑体" w:eastAsia="黑体" w:cs="Times New Roman"/>
          <w:b/>
          <w:bCs/>
          <w:sz w:val="36"/>
          <w:szCs w:val="24"/>
        </w:rPr>
        <w:t>项目编号：</w:t>
      </w:r>
      <w:r>
        <w:rPr>
          <w:rFonts w:hint="eastAsia" w:ascii="宋体" w:hAnsi="宋体" w:eastAsia="宋体" w:cs="Times New Roman"/>
          <w:sz w:val="36"/>
          <w:szCs w:val="36"/>
        </w:rPr>
        <w:t>131－Zcg·201</w:t>
      </w:r>
      <w:r>
        <w:rPr>
          <w:rFonts w:hint="eastAsia" w:ascii="宋体" w:hAnsi="宋体" w:eastAsia="宋体" w:cs="Times New Roman"/>
          <w:sz w:val="36"/>
          <w:szCs w:val="36"/>
          <w:lang w:val="en-US" w:eastAsia="zh-CN"/>
        </w:rPr>
        <w:t>9</w:t>
      </w:r>
      <w:r>
        <w:rPr>
          <w:rFonts w:hint="eastAsia" w:ascii="宋体" w:hAnsi="宋体" w:eastAsia="宋体" w:cs="Times New Roman"/>
          <w:sz w:val="36"/>
          <w:szCs w:val="36"/>
        </w:rPr>
        <w:t>－</w:t>
      </w:r>
      <w:r>
        <w:rPr>
          <w:rFonts w:hint="eastAsia" w:ascii="宋体" w:hAnsi="宋体" w:eastAsia="宋体" w:cs="Times New Roman"/>
          <w:sz w:val="36"/>
          <w:szCs w:val="36"/>
          <w:lang w:val="en-US" w:eastAsia="zh-CN"/>
        </w:rPr>
        <w:t>69</w:t>
      </w:r>
    </w:p>
    <w:p>
      <w:pPr>
        <w:spacing w:line="360" w:lineRule="auto"/>
        <w:ind w:left="3131" w:leftChars="619" w:right="703" w:rightChars="335" w:hanging="1832" w:hangingChars="509"/>
        <w:rPr>
          <w:rFonts w:hint="eastAsia" w:ascii="宋体" w:hAnsi="宋体" w:eastAsia="黑体" w:cs="Times New Roman"/>
          <w:bCs/>
          <w:sz w:val="36"/>
          <w:szCs w:val="24"/>
          <w:lang w:val="en-US" w:eastAsia="zh-CN"/>
        </w:rPr>
      </w:pPr>
      <w:r>
        <w:rPr>
          <w:rFonts w:hint="eastAsia" w:ascii="黑体" w:hAnsi="黑体" w:eastAsia="黑体" w:cs="Times New Roman"/>
          <w:b/>
          <w:bCs/>
          <w:sz w:val="36"/>
          <w:szCs w:val="24"/>
        </w:rPr>
        <w:t>项目名称：</w:t>
      </w:r>
      <w:r>
        <w:rPr>
          <w:rFonts w:hint="eastAsia" w:ascii="宋体" w:hAnsi="宋体" w:eastAsia="宋体" w:cs="Times New Roman"/>
          <w:sz w:val="36"/>
          <w:szCs w:val="36"/>
          <w:lang w:eastAsia="zh-CN"/>
        </w:rPr>
        <w:t>阳新县人民法院物业管理服务</w:t>
      </w:r>
    </w:p>
    <w:p>
      <w:pPr>
        <w:spacing w:line="360" w:lineRule="auto"/>
        <w:ind w:left="2051" w:leftChars="619" w:right="1306" w:rightChars="622" w:hanging="752" w:hangingChars="209"/>
        <w:rPr>
          <w:rFonts w:hint="eastAsia" w:ascii="宋体" w:hAnsi="宋体" w:eastAsia="黑体" w:cs="Times New Roman"/>
          <w:sz w:val="36"/>
          <w:szCs w:val="36"/>
          <w:lang w:eastAsia="zh-CN"/>
        </w:rPr>
      </w:pPr>
      <w:r>
        <w:rPr>
          <w:rFonts w:hint="eastAsia" w:ascii="黑体" w:hAnsi="黑体" w:eastAsia="黑体" w:cs="Times New Roman"/>
          <w:b/>
          <w:bCs/>
          <w:sz w:val="36"/>
          <w:szCs w:val="24"/>
        </w:rPr>
        <w:t>招标内容：</w:t>
      </w:r>
      <w:r>
        <w:rPr>
          <w:rFonts w:hint="eastAsia" w:ascii="宋体" w:hAnsi="宋体" w:eastAsia="宋体" w:cs="Times New Roman"/>
          <w:sz w:val="36"/>
          <w:szCs w:val="36"/>
          <w:lang w:eastAsia="zh-CN"/>
        </w:rPr>
        <w:t>物业管理服务</w:t>
      </w:r>
    </w:p>
    <w:p>
      <w:pPr>
        <w:spacing w:afterLines="600" w:line="360" w:lineRule="auto"/>
        <w:ind w:left="2347" w:leftChars="271" w:right="569" w:rightChars="271" w:hanging="1778" w:hangingChars="494"/>
        <w:jc w:val="center"/>
        <w:rPr>
          <w:rFonts w:ascii="宋体" w:hAnsi="宋体" w:eastAsia="宋体" w:cs="Times New Roman"/>
          <w:sz w:val="36"/>
          <w:szCs w:val="36"/>
        </w:rPr>
      </w:pPr>
    </w:p>
    <w:p>
      <w:pPr>
        <w:spacing w:afterLines="600" w:line="360" w:lineRule="auto"/>
        <w:ind w:left="2347" w:leftChars="271" w:right="569" w:rightChars="271" w:hanging="1778" w:hangingChars="494"/>
        <w:jc w:val="center"/>
        <w:rPr>
          <w:rFonts w:ascii="宋体" w:hAnsi="宋体" w:eastAsia="宋体" w:cs="Times New Roman"/>
          <w:sz w:val="36"/>
          <w:szCs w:val="36"/>
        </w:rPr>
      </w:pPr>
    </w:p>
    <w:p>
      <w:pPr>
        <w:tabs>
          <w:tab w:val="left" w:pos="7939"/>
        </w:tabs>
        <w:spacing w:line="360" w:lineRule="auto"/>
        <w:jc w:val="center"/>
        <w:rPr>
          <w:rFonts w:hint="eastAsia" w:ascii="黑体" w:hAnsi="黑体" w:eastAsia="黑体"/>
          <w:b/>
          <w:sz w:val="44"/>
          <w:lang w:eastAsia="zh-CN"/>
        </w:rPr>
      </w:pPr>
      <w:r>
        <w:rPr>
          <w:rFonts w:hint="eastAsia" w:ascii="黑体" w:hAnsi="黑体" w:eastAsia="黑体"/>
          <w:b/>
          <w:sz w:val="44"/>
          <w:lang w:eastAsia="zh-CN"/>
        </w:rPr>
        <w:t>阳新县公共资源交易中心</w:t>
      </w:r>
    </w:p>
    <w:p>
      <w:pPr>
        <w:jc w:val="center"/>
        <w:rPr>
          <w:rFonts w:ascii="黑体" w:hAnsi="黑体" w:eastAsia="黑体"/>
          <w:b/>
          <w:color w:val="FF0000"/>
          <w:sz w:val="44"/>
        </w:rPr>
      </w:pPr>
      <w:r>
        <w:rPr>
          <w:rFonts w:hint="eastAsia" w:ascii="黑体" w:hAnsi="黑体" w:eastAsia="黑体"/>
          <w:b/>
          <w:sz w:val="44"/>
        </w:rPr>
        <w:t>二0一</w:t>
      </w:r>
      <w:r>
        <w:rPr>
          <w:rFonts w:hint="eastAsia" w:ascii="黑体" w:hAnsi="黑体" w:eastAsia="黑体"/>
          <w:b/>
          <w:sz w:val="44"/>
          <w:lang w:eastAsia="zh-CN"/>
        </w:rPr>
        <w:t>九</w:t>
      </w:r>
      <w:r>
        <w:rPr>
          <w:rFonts w:hint="eastAsia" w:ascii="黑体" w:hAnsi="黑体" w:eastAsia="黑体"/>
          <w:b/>
          <w:sz w:val="44"/>
        </w:rPr>
        <w:t>年</w:t>
      </w:r>
      <w:r>
        <w:rPr>
          <w:rFonts w:hint="eastAsia" w:ascii="黑体" w:hAnsi="黑体" w:eastAsia="黑体"/>
          <w:b/>
          <w:sz w:val="44"/>
          <w:lang w:eastAsia="zh-CN"/>
        </w:rPr>
        <w:t>五</w:t>
      </w:r>
      <w:r>
        <w:rPr>
          <w:rFonts w:hint="eastAsia" w:ascii="黑体" w:hAnsi="黑体" w:eastAsia="黑体"/>
          <w:b/>
          <w:sz w:val="44"/>
        </w:rPr>
        <w:t>月</w:t>
      </w:r>
    </w:p>
    <w:p>
      <w:pPr>
        <w:widowControl/>
        <w:jc w:val="left"/>
        <w:sectPr>
          <w:headerReference r:id="rId3" w:type="default"/>
          <w:footerReference r:id="rId4" w:type="default"/>
          <w:pgSz w:w="11906" w:h="16838"/>
          <w:pgMar w:top="1134" w:right="1191" w:bottom="1134" w:left="1191" w:header="851" w:footer="851" w:gutter="0"/>
          <w:pgNumType w:start="1"/>
          <w:cols w:space="425" w:num="1"/>
          <w:docGrid w:type="linesAndChars" w:linePitch="312" w:charSpace="0"/>
        </w:sectPr>
      </w:pPr>
    </w:p>
    <w:p>
      <w:pPr>
        <w:spacing w:beforeLines="100"/>
        <w:jc w:val="both"/>
        <w:rPr>
          <w:rFonts w:ascii="黑体" w:hAnsi="黑体" w:eastAsia="黑体"/>
          <w:sz w:val="44"/>
          <w:szCs w:val="44"/>
        </w:rPr>
        <w:sectPr>
          <w:footerReference r:id="rId5" w:type="default"/>
          <w:pgSz w:w="11906" w:h="16838"/>
          <w:pgMar w:top="1134" w:right="1191" w:bottom="1134" w:left="1191" w:header="851" w:footer="851" w:gutter="0"/>
          <w:pgNumType w:start="1"/>
          <w:cols w:space="425" w:num="1"/>
          <w:docGrid w:type="linesAndChars" w:linePitch="312" w:charSpace="0"/>
        </w:sectPr>
      </w:pPr>
    </w:p>
    <w:p>
      <w:pPr>
        <w:spacing w:beforeLines="100"/>
        <w:jc w:val="center"/>
        <w:rPr>
          <w:rFonts w:ascii="黑体" w:hAnsi="黑体" w:eastAsia="黑体"/>
          <w:sz w:val="44"/>
          <w:szCs w:val="44"/>
        </w:rPr>
      </w:pPr>
      <w:r>
        <w:rPr>
          <w:rFonts w:hint="eastAsia" w:ascii="黑体" w:hAnsi="黑体" w:eastAsia="黑体"/>
          <w:sz w:val="44"/>
          <w:szCs w:val="44"/>
        </w:rPr>
        <w:t>目   录</w:t>
      </w:r>
    </w:p>
    <w:sdt>
      <w:sdtPr>
        <w:rPr>
          <w:lang w:val="zh-CN"/>
        </w:rPr>
        <w:id w:val="1482579200"/>
      </w:sdtPr>
      <w:sdtEndPr>
        <w:rPr>
          <w:b w:val="0"/>
          <w:bCs/>
          <w:lang w:val="zh-CN"/>
        </w:rPr>
      </w:sdtEndPr>
      <w:sdtContent>
        <w:p>
          <w:pPr>
            <w:pStyle w:val="14"/>
            <w:tabs>
              <w:tab w:val="left" w:pos="1260"/>
              <w:tab w:val="right" w:leader="dot" w:pos="9514"/>
            </w:tabs>
            <w:rPr>
              <w:rFonts w:eastAsia="黑体" w:asciiTheme="minorHAnsi" w:hAnsiTheme="minorHAnsi" w:cstheme="minorBidi"/>
              <w:b/>
              <w:i w:val="0"/>
              <w:iCs/>
              <w:color w:val="000000" w:themeColor="text1"/>
              <w:kern w:val="0"/>
              <w:sz w:val="28"/>
              <w:szCs w:val="22"/>
              <w:lang w:val="en-US" w:eastAsia="zh-CN" w:bidi="ar-SA"/>
            </w:rPr>
          </w:pPr>
          <w:r>
            <w:fldChar w:fldCharType="begin"/>
          </w:r>
          <w:r>
            <w:instrText xml:space="preserve"> TOC \o "1-2" \h \z \u </w:instrText>
          </w:r>
          <w:r>
            <w:fldChar w:fldCharType="separate"/>
          </w:r>
        </w:p>
        <w:p>
          <w:pPr>
            <w:pStyle w:val="14"/>
            <w:tabs>
              <w:tab w:val="right" w:leader="dot" w:pos="9524"/>
            </w:tabs>
          </w:pPr>
          <w:r>
            <w:fldChar w:fldCharType="begin"/>
          </w:r>
          <w:r>
            <w:instrText xml:space="preserve"> HYPERLINK \l _Toc25590 </w:instrText>
          </w:r>
          <w:r>
            <w:fldChar w:fldCharType="separate"/>
          </w:r>
          <w:r>
            <w:rPr>
              <w:rFonts w:hint="eastAsia" w:ascii="黑体" w:hAnsi="黑体" w:eastAsia="黑体"/>
            </w:rPr>
            <w:t>第一章 投标邀请书</w:t>
          </w:r>
          <w:r>
            <w:tab/>
          </w:r>
          <w:r>
            <w:fldChar w:fldCharType="begin"/>
          </w:r>
          <w:r>
            <w:instrText xml:space="preserve"> PAGEREF _Toc25590 </w:instrText>
          </w:r>
          <w:r>
            <w:fldChar w:fldCharType="separate"/>
          </w:r>
          <w:r>
            <w:t>1</w:t>
          </w:r>
          <w:r>
            <w:fldChar w:fldCharType="end"/>
          </w:r>
          <w:r>
            <w:fldChar w:fldCharType="end"/>
          </w:r>
        </w:p>
        <w:p>
          <w:pPr>
            <w:pStyle w:val="14"/>
            <w:tabs>
              <w:tab w:val="right" w:leader="dot" w:pos="9524"/>
            </w:tabs>
          </w:pPr>
          <w:r>
            <w:fldChar w:fldCharType="begin"/>
          </w:r>
          <w:r>
            <w:instrText xml:space="preserve"> HYPERLINK \l _Toc2457 </w:instrText>
          </w:r>
          <w:r>
            <w:fldChar w:fldCharType="separate"/>
          </w:r>
          <w:r>
            <w:rPr>
              <w:rFonts w:hint="eastAsia" w:ascii="黑体" w:hAnsi="黑体" w:eastAsia="黑体"/>
            </w:rPr>
            <w:t>第二章 投标人须知</w:t>
          </w:r>
          <w:r>
            <w:tab/>
          </w:r>
          <w:r>
            <w:fldChar w:fldCharType="begin"/>
          </w:r>
          <w:r>
            <w:instrText xml:space="preserve"> PAGEREF _Toc2457 </w:instrText>
          </w:r>
          <w:r>
            <w:fldChar w:fldCharType="separate"/>
          </w:r>
          <w:r>
            <w:t>3</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_Toc25514 </w:instrText>
          </w:r>
          <w:r>
            <w:fldChar w:fldCharType="separate"/>
          </w:r>
          <w:r>
            <w:rPr>
              <w:rFonts w:cs="Times New Roman" w:asciiTheme="majorEastAsia" w:hAnsiTheme="majorEastAsia" w:eastAsiaTheme="majorEastAsia"/>
              <w:bCs/>
              <w:szCs w:val="32"/>
              <w:lang w:val="zh-CN"/>
            </w:rPr>
            <w:t>投标须知前附表</w:t>
          </w:r>
          <w:r>
            <w:tab/>
          </w:r>
          <w:r>
            <w:fldChar w:fldCharType="begin"/>
          </w:r>
          <w:r>
            <w:instrText xml:space="preserve"> PAGEREF _Toc25514 </w:instrText>
          </w:r>
          <w:r>
            <w:fldChar w:fldCharType="separate"/>
          </w:r>
          <w:r>
            <w:t>3</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_Toc22332 </w:instrText>
          </w:r>
          <w:r>
            <w:fldChar w:fldCharType="separate"/>
          </w:r>
          <w:r>
            <w:rPr>
              <w:rFonts w:hint="default" w:ascii="黑体" w:hAnsi="黑体" w:eastAsia="黑体" w:cs="Times New Roman"/>
              <w:bCs/>
              <w:strike w:val="0"/>
              <w:szCs w:val="32"/>
              <w:lang w:val="zh-CN"/>
            </w:rPr>
            <w:t xml:space="preserve">一、 </w:t>
          </w:r>
          <w:r>
            <w:tab/>
          </w:r>
          <w:r>
            <w:fldChar w:fldCharType="begin"/>
          </w:r>
          <w:r>
            <w:instrText xml:space="preserve"> PAGEREF _Toc22332 </w:instrText>
          </w:r>
          <w:r>
            <w:fldChar w:fldCharType="separate"/>
          </w:r>
          <w:r>
            <w:t>3</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_Toc3877 </w:instrText>
          </w:r>
          <w:r>
            <w:fldChar w:fldCharType="separate"/>
          </w:r>
          <w:r>
            <w:rPr>
              <w:rFonts w:hint="eastAsia" w:cs="Times New Roman" w:asciiTheme="majorEastAsia" w:hAnsiTheme="majorEastAsia"/>
              <w:bCs w:val="0"/>
              <w:szCs w:val="30"/>
              <w:lang w:val="zh-CN"/>
            </w:rPr>
            <w:t xml:space="preserve">一、 </w:t>
          </w:r>
          <w:r>
            <w:rPr>
              <w:rFonts w:hint="eastAsia" w:cs="Times New Roman" w:asciiTheme="majorEastAsia" w:hAnsiTheme="majorEastAsia"/>
              <w:bCs w:val="0"/>
              <w:lang w:val="zh-CN"/>
            </w:rPr>
            <w:t>说  明</w:t>
          </w:r>
          <w:r>
            <w:tab/>
          </w:r>
          <w:r>
            <w:fldChar w:fldCharType="begin"/>
          </w:r>
          <w:r>
            <w:instrText xml:space="preserve"> PAGEREF _Toc3877 </w:instrText>
          </w:r>
          <w:r>
            <w:fldChar w:fldCharType="separate"/>
          </w:r>
          <w:r>
            <w:t>4</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_Toc10171 </w:instrText>
          </w:r>
          <w:r>
            <w:fldChar w:fldCharType="separate"/>
          </w:r>
          <w:r>
            <w:rPr>
              <w:rFonts w:hint="eastAsia" w:cs="Times New Roman" w:asciiTheme="majorEastAsia" w:hAnsiTheme="majorEastAsia"/>
              <w:bCs w:val="0"/>
              <w:szCs w:val="30"/>
              <w:lang w:val="zh-CN"/>
            </w:rPr>
            <w:t xml:space="preserve">二、 </w:t>
          </w:r>
          <w:r>
            <w:rPr>
              <w:rFonts w:hint="eastAsia" w:cs="Times New Roman" w:asciiTheme="majorEastAsia" w:hAnsiTheme="majorEastAsia"/>
              <w:bCs w:val="0"/>
              <w:lang w:val="zh-CN"/>
            </w:rPr>
            <w:t>招标文件</w:t>
          </w:r>
          <w:r>
            <w:tab/>
          </w:r>
          <w:r>
            <w:fldChar w:fldCharType="begin"/>
          </w:r>
          <w:r>
            <w:instrText xml:space="preserve"> PAGEREF _Toc10171 </w:instrText>
          </w:r>
          <w:r>
            <w:fldChar w:fldCharType="separate"/>
          </w:r>
          <w:r>
            <w:t>4</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_Toc29818 </w:instrText>
          </w:r>
          <w:r>
            <w:fldChar w:fldCharType="separate"/>
          </w:r>
          <w:r>
            <w:rPr>
              <w:rFonts w:hint="eastAsia" w:cs="Times New Roman" w:asciiTheme="majorEastAsia" w:hAnsiTheme="majorEastAsia"/>
              <w:bCs w:val="0"/>
              <w:szCs w:val="30"/>
              <w:lang w:val="zh-CN"/>
            </w:rPr>
            <w:t xml:space="preserve">三、 </w:t>
          </w:r>
          <w:r>
            <w:rPr>
              <w:rFonts w:hint="eastAsia" w:cs="Times New Roman" w:asciiTheme="majorEastAsia" w:hAnsiTheme="majorEastAsia"/>
              <w:bCs w:val="0"/>
              <w:lang w:val="zh-CN"/>
            </w:rPr>
            <w:t>投标文件</w:t>
          </w:r>
          <w:r>
            <w:tab/>
          </w:r>
          <w:r>
            <w:fldChar w:fldCharType="begin"/>
          </w:r>
          <w:r>
            <w:instrText xml:space="preserve"> PAGEREF _Toc29818 </w:instrText>
          </w:r>
          <w:r>
            <w:fldChar w:fldCharType="separate"/>
          </w:r>
          <w:r>
            <w:t>6</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_Toc1125 </w:instrText>
          </w:r>
          <w:r>
            <w:fldChar w:fldCharType="separate"/>
          </w:r>
          <w:r>
            <w:rPr>
              <w:rFonts w:hint="eastAsia" w:cs="Times New Roman" w:asciiTheme="majorEastAsia" w:hAnsiTheme="majorEastAsia"/>
              <w:bCs w:val="0"/>
              <w:szCs w:val="30"/>
              <w:lang w:val="zh-CN"/>
            </w:rPr>
            <w:t xml:space="preserve">四、 </w:t>
          </w:r>
          <w:r>
            <w:rPr>
              <w:rFonts w:hint="eastAsia" w:cs="Times New Roman" w:asciiTheme="majorEastAsia" w:hAnsiTheme="majorEastAsia"/>
              <w:bCs w:val="0"/>
              <w:lang w:val="zh-CN"/>
            </w:rPr>
            <w:t>开标与评标</w:t>
          </w:r>
          <w:r>
            <w:tab/>
          </w:r>
          <w:r>
            <w:fldChar w:fldCharType="begin"/>
          </w:r>
          <w:r>
            <w:instrText xml:space="preserve"> PAGEREF _Toc1125 </w:instrText>
          </w:r>
          <w:r>
            <w:fldChar w:fldCharType="separate"/>
          </w:r>
          <w:r>
            <w:t>10</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_Toc1309 </w:instrText>
          </w:r>
          <w:r>
            <w:fldChar w:fldCharType="separate"/>
          </w:r>
          <w:r>
            <w:rPr>
              <w:rFonts w:hint="eastAsia" w:cs="Times New Roman" w:asciiTheme="majorEastAsia" w:hAnsiTheme="majorEastAsia"/>
              <w:bCs w:val="0"/>
              <w:szCs w:val="30"/>
              <w:lang w:val="zh-CN"/>
            </w:rPr>
            <w:t xml:space="preserve">五、 </w:t>
          </w:r>
          <w:r>
            <w:rPr>
              <w:rFonts w:hint="eastAsia" w:cs="Times New Roman" w:asciiTheme="majorEastAsia" w:hAnsiTheme="majorEastAsia"/>
              <w:bCs w:val="0"/>
              <w:lang w:val="zh-CN"/>
            </w:rPr>
            <w:t>投标人信用信息及查询</w:t>
          </w:r>
          <w:r>
            <w:tab/>
          </w:r>
          <w:r>
            <w:fldChar w:fldCharType="begin"/>
          </w:r>
          <w:r>
            <w:instrText xml:space="preserve"> PAGEREF _Toc1309 </w:instrText>
          </w:r>
          <w:r>
            <w:fldChar w:fldCharType="separate"/>
          </w:r>
          <w:r>
            <w:t>11</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_Toc30909 </w:instrText>
          </w:r>
          <w:r>
            <w:fldChar w:fldCharType="separate"/>
          </w:r>
          <w:r>
            <w:rPr>
              <w:rFonts w:hint="eastAsia" w:cs="Times New Roman" w:asciiTheme="majorEastAsia" w:hAnsiTheme="majorEastAsia"/>
              <w:bCs w:val="0"/>
              <w:szCs w:val="30"/>
              <w:lang w:val="zh-CN"/>
            </w:rPr>
            <w:t xml:space="preserve">六、 </w:t>
          </w:r>
          <w:r>
            <w:rPr>
              <w:rFonts w:cs="Times New Roman" w:asciiTheme="majorEastAsia" w:hAnsiTheme="majorEastAsia"/>
              <w:bCs w:val="0"/>
              <w:lang w:val="zh-CN"/>
            </w:rPr>
            <w:t>中标</w:t>
          </w:r>
          <w:r>
            <w:rPr>
              <w:rFonts w:hint="eastAsia" w:cs="Times New Roman" w:asciiTheme="majorEastAsia" w:hAnsiTheme="majorEastAsia"/>
              <w:bCs w:val="0"/>
              <w:lang w:val="zh-CN"/>
            </w:rPr>
            <w:t>与</w:t>
          </w:r>
          <w:r>
            <w:rPr>
              <w:rFonts w:cs="Times New Roman" w:asciiTheme="majorEastAsia" w:hAnsiTheme="majorEastAsia"/>
              <w:bCs w:val="0"/>
              <w:lang w:val="zh-CN"/>
            </w:rPr>
            <w:t>合同</w:t>
          </w:r>
          <w:r>
            <w:tab/>
          </w:r>
          <w:r>
            <w:fldChar w:fldCharType="begin"/>
          </w:r>
          <w:r>
            <w:instrText xml:space="preserve"> PAGEREF _Toc30909 </w:instrText>
          </w:r>
          <w:r>
            <w:fldChar w:fldCharType="separate"/>
          </w:r>
          <w:r>
            <w:t>12</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_Toc26356 </w:instrText>
          </w:r>
          <w:r>
            <w:fldChar w:fldCharType="separate"/>
          </w:r>
          <w:r>
            <w:rPr>
              <w:rFonts w:hint="eastAsia" w:cs="Times New Roman" w:asciiTheme="majorEastAsia" w:hAnsiTheme="majorEastAsia"/>
              <w:bCs w:val="0"/>
              <w:szCs w:val="30"/>
              <w:lang w:val="zh-CN"/>
            </w:rPr>
            <w:t xml:space="preserve">七、 </w:t>
          </w:r>
          <w:r>
            <w:rPr>
              <w:rFonts w:hint="eastAsia" w:cs="Times New Roman" w:asciiTheme="majorEastAsia" w:hAnsiTheme="majorEastAsia"/>
              <w:bCs w:val="0"/>
              <w:lang w:val="zh-CN"/>
            </w:rPr>
            <w:t>采购信息公告</w:t>
          </w:r>
          <w:r>
            <w:tab/>
          </w:r>
          <w:r>
            <w:fldChar w:fldCharType="begin"/>
          </w:r>
          <w:r>
            <w:instrText xml:space="preserve"> PAGEREF _Toc26356 </w:instrText>
          </w:r>
          <w:r>
            <w:fldChar w:fldCharType="separate"/>
          </w:r>
          <w:r>
            <w:t>13</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_Toc440 </w:instrText>
          </w:r>
          <w:r>
            <w:fldChar w:fldCharType="separate"/>
          </w:r>
          <w:r>
            <w:rPr>
              <w:rFonts w:hint="eastAsia" w:cs="Times New Roman" w:asciiTheme="majorEastAsia" w:hAnsiTheme="majorEastAsia"/>
              <w:bCs w:val="0"/>
              <w:szCs w:val="30"/>
              <w:lang w:val="zh-CN"/>
            </w:rPr>
            <w:t xml:space="preserve">八、 </w:t>
          </w:r>
          <w:r>
            <w:rPr>
              <w:rFonts w:hint="eastAsia" w:cs="Times New Roman" w:asciiTheme="majorEastAsia" w:hAnsiTheme="majorEastAsia"/>
              <w:bCs w:val="0"/>
              <w:lang w:val="zh-CN"/>
            </w:rPr>
            <w:t>质疑及提交</w:t>
          </w:r>
          <w:r>
            <w:tab/>
          </w:r>
          <w:r>
            <w:fldChar w:fldCharType="begin"/>
          </w:r>
          <w:r>
            <w:instrText xml:space="preserve"> PAGEREF _Toc440 </w:instrText>
          </w:r>
          <w:r>
            <w:fldChar w:fldCharType="separate"/>
          </w:r>
          <w:r>
            <w:t>13</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_Toc32552 </w:instrText>
          </w:r>
          <w:r>
            <w:fldChar w:fldCharType="separate"/>
          </w:r>
          <w:r>
            <w:rPr>
              <w:rFonts w:hint="eastAsia" w:cs="Times New Roman" w:asciiTheme="majorEastAsia" w:hAnsiTheme="majorEastAsia"/>
              <w:bCs w:val="0"/>
              <w:szCs w:val="30"/>
              <w:lang w:val="zh-CN"/>
            </w:rPr>
            <w:t xml:space="preserve">九、 </w:t>
          </w:r>
          <w:r>
            <w:rPr>
              <w:rFonts w:hint="eastAsia" w:cs="Times New Roman" w:asciiTheme="majorEastAsia" w:hAnsiTheme="majorEastAsia"/>
              <w:bCs w:val="0"/>
              <w:lang w:val="zh-CN"/>
            </w:rPr>
            <w:t>相关条文解读</w:t>
          </w:r>
          <w:r>
            <w:tab/>
          </w:r>
          <w:r>
            <w:fldChar w:fldCharType="begin"/>
          </w:r>
          <w:r>
            <w:instrText xml:space="preserve"> PAGEREF _Toc32552 </w:instrText>
          </w:r>
          <w:r>
            <w:fldChar w:fldCharType="separate"/>
          </w:r>
          <w:r>
            <w:t>14</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_Toc25555 </w:instrText>
          </w:r>
          <w:r>
            <w:fldChar w:fldCharType="separate"/>
          </w:r>
          <w:r>
            <w:rPr>
              <w:rFonts w:hint="eastAsia" w:cs="Times New Roman" w:asciiTheme="majorEastAsia" w:hAnsiTheme="majorEastAsia"/>
              <w:bCs w:val="0"/>
              <w:szCs w:val="30"/>
              <w:lang w:val="zh-CN"/>
            </w:rPr>
            <w:t xml:space="preserve">十、 </w:t>
          </w:r>
          <w:r>
            <w:rPr>
              <w:rFonts w:hint="eastAsia" w:cs="Times New Roman" w:asciiTheme="majorEastAsia" w:hAnsiTheme="majorEastAsia"/>
              <w:bCs w:val="0"/>
              <w:lang w:val="zh-CN"/>
            </w:rPr>
            <w:t>其他注意事项</w:t>
          </w:r>
          <w:r>
            <w:tab/>
          </w:r>
          <w:r>
            <w:fldChar w:fldCharType="begin"/>
          </w:r>
          <w:r>
            <w:instrText xml:space="preserve"> PAGEREF _Toc25555 </w:instrText>
          </w:r>
          <w:r>
            <w:fldChar w:fldCharType="separate"/>
          </w:r>
          <w:r>
            <w:t>15</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_Toc3148 </w:instrText>
          </w:r>
          <w:r>
            <w:fldChar w:fldCharType="separate"/>
          </w:r>
          <w:r>
            <w:rPr>
              <w:rFonts w:hint="eastAsia" w:cs="Times New Roman" w:asciiTheme="majorEastAsia" w:hAnsiTheme="majorEastAsia"/>
              <w:bCs w:val="0"/>
              <w:szCs w:val="30"/>
              <w:lang w:val="zh-CN"/>
            </w:rPr>
            <w:t xml:space="preserve">十一、 </w:t>
          </w:r>
          <w:r>
            <w:rPr>
              <w:rFonts w:hint="eastAsia" w:cs="Times New Roman" w:asciiTheme="majorEastAsia" w:hAnsiTheme="majorEastAsia"/>
              <w:bCs w:val="0"/>
              <w:lang w:val="zh-CN"/>
            </w:rPr>
            <w:t>适用法律</w:t>
          </w:r>
          <w:r>
            <w:tab/>
          </w:r>
          <w:r>
            <w:fldChar w:fldCharType="begin"/>
          </w:r>
          <w:r>
            <w:instrText xml:space="preserve"> PAGEREF _Toc3148 </w:instrText>
          </w:r>
          <w:r>
            <w:fldChar w:fldCharType="separate"/>
          </w:r>
          <w:r>
            <w:t>15</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_Toc1827 </w:instrText>
          </w:r>
          <w:r>
            <w:fldChar w:fldCharType="separate"/>
          </w:r>
          <w:r>
            <w:rPr>
              <w:rFonts w:hint="eastAsia" w:cs="Times New Roman" w:asciiTheme="majorEastAsia" w:hAnsiTheme="majorEastAsia"/>
              <w:bCs w:val="0"/>
              <w:szCs w:val="30"/>
              <w:lang w:val="zh-CN"/>
            </w:rPr>
            <w:t xml:space="preserve">十二、 </w:t>
          </w:r>
          <w:r>
            <w:rPr>
              <w:rFonts w:hint="eastAsia" w:cs="Times New Roman" w:asciiTheme="majorEastAsia" w:hAnsiTheme="majorEastAsia"/>
              <w:bCs w:val="0"/>
              <w:lang w:val="zh-CN"/>
            </w:rPr>
            <w:t>招标文件的解释权</w:t>
          </w:r>
          <w:r>
            <w:tab/>
          </w:r>
          <w:r>
            <w:fldChar w:fldCharType="begin"/>
          </w:r>
          <w:r>
            <w:instrText xml:space="preserve"> PAGEREF _Toc1827 </w:instrText>
          </w:r>
          <w:r>
            <w:fldChar w:fldCharType="separate"/>
          </w:r>
          <w:r>
            <w:t>15</w:t>
          </w:r>
          <w:r>
            <w:fldChar w:fldCharType="end"/>
          </w:r>
          <w:r>
            <w:fldChar w:fldCharType="end"/>
          </w:r>
        </w:p>
        <w:p>
          <w:pPr>
            <w:pStyle w:val="14"/>
            <w:tabs>
              <w:tab w:val="right" w:leader="dot" w:pos="9524"/>
            </w:tabs>
          </w:pPr>
          <w:r>
            <w:fldChar w:fldCharType="begin"/>
          </w:r>
          <w:r>
            <w:instrText xml:space="preserve"> HYPERLINK \l _Toc4809 </w:instrText>
          </w:r>
          <w:r>
            <w:fldChar w:fldCharType="separate"/>
          </w:r>
          <w:r>
            <w:rPr>
              <w:rFonts w:hint="eastAsia" w:ascii="黑体" w:hAnsi="黑体" w:eastAsia="黑体"/>
            </w:rPr>
            <w:t>第三章 项目技术、服务及商务要求</w:t>
          </w:r>
          <w:r>
            <w:tab/>
          </w:r>
          <w:r>
            <w:fldChar w:fldCharType="begin"/>
          </w:r>
          <w:r>
            <w:instrText xml:space="preserve"> PAGEREF _Toc4809 </w:instrText>
          </w:r>
          <w:r>
            <w:fldChar w:fldCharType="separate"/>
          </w:r>
          <w:r>
            <w:t>16</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_Toc12420 </w:instrText>
          </w:r>
          <w:r>
            <w:fldChar w:fldCharType="separate"/>
          </w:r>
          <w:r>
            <w:rPr>
              <w:rFonts w:hint="eastAsia" w:ascii="宋体" w:hAnsi="宋体" w:eastAsia="宋体"/>
              <w:bCs/>
              <w:szCs w:val="28"/>
            </w:rPr>
            <w:t xml:space="preserve">一、 </w:t>
          </w:r>
          <w:r>
            <w:rPr>
              <w:rFonts w:hint="eastAsia" w:ascii="宋体" w:hAnsi="宋体"/>
              <w:bCs/>
              <w:szCs w:val="28"/>
            </w:rPr>
            <w:t>项目采购清单</w:t>
          </w:r>
          <w:r>
            <w:tab/>
          </w:r>
          <w:r>
            <w:fldChar w:fldCharType="begin"/>
          </w:r>
          <w:r>
            <w:instrText xml:space="preserve"> PAGEREF _Toc12420 </w:instrText>
          </w:r>
          <w:r>
            <w:fldChar w:fldCharType="separate"/>
          </w:r>
          <w:r>
            <w:t>16</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_Toc13756 </w:instrText>
          </w:r>
          <w:r>
            <w:fldChar w:fldCharType="separate"/>
          </w:r>
          <w:r>
            <w:rPr>
              <w:rFonts w:hint="eastAsia" w:ascii="宋体" w:hAnsi="宋体" w:eastAsia="宋体"/>
              <w:bCs/>
              <w:szCs w:val="28"/>
            </w:rPr>
            <w:t xml:space="preserve">二、 </w:t>
          </w:r>
          <w:r>
            <w:rPr>
              <w:rFonts w:hint="eastAsia" w:ascii="宋体" w:hAnsi="宋体"/>
              <w:bCs/>
              <w:szCs w:val="28"/>
            </w:rPr>
            <w:t>项目概述及简介</w:t>
          </w:r>
          <w:r>
            <w:tab/>
          </w:r>
          <w:r>
            <w:fldChar w:fldCharType="begin"/>
          </w:r>
          <w:r>
            <w:instrText xml:space="preserve"> PAGEREF _Toc13756 </w:instrText>
          </w:r>
          <w:r>
            <w:fldChar w:fldCharType="separate"/>
          </w:r>
          <w:r>
            <w:t>16</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_Toc27021 </w:instrText>
          </w:r>
          <w:r>
            <w:fldChar w:fldCharType="separate"/>
          </w:r>
          <w:r>
            <w:rPr>
              <w:rFonts w:hint="eastAsia" w:ascii="宋体" w:hAnsi="宋体" w:eastAsia="宋体"/>
              <w:bCs/>
              <w:szCs w:val="28"/>
            </w:rPr>
            <w:t xml:space="preserve">三、 </w:t>
          </w:r>
          <w:r>
            <w:rPr>
              <w:rFonts w:hint="eastAsia" w:ascii="宋体" w:hAnsi="宋体"/>
              <w:bCs/>
              <w:szCs w:val="28"/>
            </w:rPr>
            <w:t>国家相关行政主管部门颁布的强制标准、规范</w:t>
          </w:r>
          <w:r>
            <w:tab/>
          </w:r>
          <w:r>
            <w:fldChar w:fldCharType="begin"/>
          </w:r>
          <w:r>
            <w:instrText xml:space="preserve"> PAGEREF _Toc27021 </w:instrText>
          </w:r>
          <w:r>
            <w:fldChar w:fldCharType="separate"/>
          </w:r>
          <w:r>
            <w:t>16</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_Toc10144 </w:instrText>
          </w:r>
          <w:r>
            <w:fldChar w:fldCharType="separate"/>
          </w:r>
          <w:r>
            <w:rPr>
              <w:rFonts w:hint="eastAsia" w:ascii="宋体" w:hAnsi="宋体" w:eastAsia="宋体"/>
              <w:bCs/>
              <w:szCs w:val="28"/>
            </w:rPr>
            <w:t xml:space="preserve">四、 </w:t>
          </w:r>
          <w:r>
            <w:rPr>
              <w:rFonts w:hint="eastAsia" w:ascii="宋体" w:hAnsi="宋体"/>
              <w:bCs/>
              <w:szCs w:val="28"/>
            </w:rPr>
            <w:t>技术、服务要求</w:t>
          </w:r>
          <w:r>
            <w:tab/>
          </w:r>
          <w:r>
            <w:fldChar w:fldCharType="begin"/>
          </w:r>
          <w:r>
            <w:instrText xml:space="preserve"> PAGEREF _Toc10144 </w:instrText>
          </w:r>
          <w:r>
            <w:fldChar w:fldCharType="separate"/>
          </w:r>
          <w:r>
            <w:t>16</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_Toc13568 </w:instrText>
          </w:r>
          <w:r>
            <w:fldChar w:fldCharType="separate"/>
          </w:r>
          <w:r>
            <w:rPr>
              <w:rFonts w:hint="eastAsia" w:ascii="宋体" w:hAnsi="宋体" w:eastAsia="宋体"/>
              <w:bCs/>
              <w:szCs w:val="28"/>
            </w:rPr>
            <w:t xml:space="preserve">五、 </w:t>
          </w:r>
          <w:r>
            <w:rPr>
              <w:rFonts w:hint="eastAsia" w:ascii="宋体" w:hAnsi="宋体"/>
              <w:bCs/>
              <w:szCs w:val="28"/>
            </w:rPr>
            <w:t>商务要求</w:t>
          </w:r>
          <w:r>
            <w:tab/>
          </w:r>
          <w:r>
            <w:fldChar w:fldCharType="begin"/>
          </w:r>
          <w:r>
            <w:instrText xml:space="preserve"> PAGEREF _Toc13568 </w:instrText>
          </w:r>
          <w:r>
            <w:fldChar w:fldCharType="separate"/>
          </w:r>
          <w:r>
            <w:t>21</w:t>
          </w:r>
          <w:r>
            <w:fldChar w:fldCharType="end"/>
          </w:r>
          <w:r>
            <w:fldChar w:fldCharType="end"/>
          </w:r>
        </w:p>
        <w:p>
          <w:pPr>
            <w:pStyle w:val="14"/>
            <w:tabs>
              <w:tab w:val="right" w:leader="dot" w:pos="9524"/>
            </w:tabs>
          </w:pPr>
          <w:r>
            <w:fldChar w:fldCharType="begin"/>
          </w:r>
          <w:r>
            <w:instrText xml:space="preserve"> HYPERLINK \l _Toc31107 </w:instrText>
          </w:r>
          <w:r>
            <w:fldChar w:fldCharType="separate"/>
          </w:r>
          <w:r>
            <w:rPr>
              <w:rFonts w:hint="eastAsia" w:ascii="黑体" w:hAnsi="黑体" w:eastAsia="黑体"/>
            </w:rPr>
            <w:t>第四章 资格审查方法及标准</w:t>
          </w:r>
          <w:r>
            <w:tab/>
          </w:r>
          <w:r>
            <w:fldChar w:fldCharType="begin"/>
          </w:r>
          <w:r>
            <w:instrText xml:space="preserve"> PAGEREF _Toc31107 </w:instrText>
          </w:r>
          <w:r>
            <w:fldChar w:fldCharType="separate"/>
          </w:r>
          <w:r>
            <w:t>23</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_Toc23493 </w:instrText>
          </w:r>
          <w:r>
            <w:fldChar w:fldCharType="separate"/>
          </w:r>
          <w:r>
            <w:rPr>
              <w:rFonts w:hint="eastAsia" w:cs="Times New Roman" w:asciiTheme="majorEastAsia" w:hAnsiTheme="majorEastAsia"/>
              <w:bCs w:val="0"/>
              <w:szCs w:val="30"/>
              <w:lang w:val="zh-CN"/>
            </w:rPr>
            <w:t>一、 资格审查方法</w:t>
          </w:r>
          <w:r>
            <w:tab/>
          </w:r>
          <w:r>
            <w:fldChar w:fldCharType="begin"/>
          </w:r>
          <w:r>
            <w:instrText xml:space="preserve"> PAGEREF _Toc23493 </w:instrText>
          </w:r>
          <w:r>
            <w:fldChar w:fldCharType="separate"/>
          </w:r>
          <w:r>
            <w:t>23</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_Toc1167 </w:instrText>
          </w:r>
          <w:r>
            <w:fldChar w:fldCharType="separate"/>
          </w:r>
          <w:r>
            <w:rPr>
              <w:rFonts w:hint="eastAsia" w:cs="Times New Roman" w:asciiTheme="majorEastAsia" w:hAnsiTheme="majorEastAsia"/>
              <w:bCs w:val="0"/>
              <w:szCs w:val="30"/>
              <w:lang w:val="zh-CN"/>
            </w:rPr>
            <w:t>二、 资格审查标准</w:t>
          </w:r>
          <w:r>
            <w:tab/>
          </w:r>
          <w:r>
            <w:fldChar w:fldCharType="begin"/>
          </w:r>
          <w:r>
            <w:instrText xml:space="preserve"> PAGEREF _Toc1167 </w:instrText>
          </w:r>
          <w:r>
            <w:fldChar w:fldCharType="separate"/>
          </w:r>
          <w:r>
            <w:t>23</w:t>
          </w:r>
          <w:r>
            <w:fldChar w:fldCharType="end"/>
          </w:r>
          <w:r>
            <w:fldChar w:fldCharType="end"/>
          </w:r>
        </w:p>
        <w:p>
          <w:pPr>
            <w:pStyle w:val="14"/>
            <w:tabs>
              <w:tab w:val="right" w:leader="dot" w:pos="9524"/>
            </w:tabs>
          </w:pPr>
          <w:r>
            <w:fldChar w:fldCharType="begin"/>
          </w:r>
          <w:r>
            <w:instrText xml:space="preserve"> HYPERLINK \l _Toc16051 </w:instrText>
          </w:r>
          <w:r>
            <w:fldChar w:fldCharType="separate"/>
          </w:r>
          <w:r>
            <w:rPr>
              <w:rFonts w:hint="eastAsia" w:ascii="黑体" w:hAnsi="黑体" w:eastAsia="黑体"/>
            </w:rPr>
            <w:t>第五章 评标方法、程序及标准</w:t>
          </w:r>
          <w:r>
            <w:tab/>
          </w:r>
          <w:r>
            <w:fldChar w:fldCharType="begin"/>
          </w:r>
          <w:r>
            <w:instrText xml:space="preserve"> PAGEREF _Toc16051 </w:instrText>
          </w:r>
          <w:r>
            <w:fldChar w:fldCharType="separate"/>
          </w:r>
          <w:r>
            <w:t>25</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_Toc18734 </w:instrText>
          </w:r>
          <w:r>
            <w:fldChar w:fldCharType="separate"/>
          </w:r>
          <w:r>
            <w:rPr>
              <w:rFonts w:hint="eastAsia" w:cs="Times New Roman" w:asciiTheme="majorEastAsia" w:hAnsiTheme="majorEastAsia"/>
              <w:bCs w:val="0"/>
              <w:szCs w:val="30"/>
              <w:lang w:val="zh-CN"/>
            </w:rPr>
            <w:t>一、 评标方法</w:t>
          </w:r>
          <w:r>
            <w:tab/>
          </w:r>
          <w:r>
            <w:fldChar w:fldCharType="begin"/>
          </w:r>
          <w:r>
            <w:instrText xml:space="preserve"> PAGEREF _Toc18734 </w:instrText>
          </w:r>
          <w:r>
            <w:fldChar w:fldCharType="separate"/>
          </w:r>
          <w:r>
            <w:t>25</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_Toc15288 </w:instrText>
          </w:r>
          <w:r>
            <w:fldChar w:fldCharType="separate"/>
          </w:r>
          <w:r>
            <w:rPr>
              <w:rFonts w:hint="eastAsia" w:cs="Times New Roman" w:asciiTheme="majorEastAsia" w:hAnsiTheme="majorEastAsia"/>
              <w:bCs w:val="0"/>
              <w:szCs w:val="30"/>
              <w:lang w:val="zh-CN"/>
            </w:rPr>
            <w:t>二、 评标程序及标准</w:t>
          </w:r>
          <w:r>
            <w:tab/>
          </w:r>
          <w:r>
            <w:fldChar w:fldCharType="begin"/>
          </w:r>
          <w:r>
            <w:instrText xml:space="preserve"> PAGEREF _Toc15288 </w:instrText>
          </w:r>
          <w:r>
            <w:fldChar w:fldCharType="separate"/>
          </w:r>
          <w:r>
            <w:t>25</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_Toc14363 </w:instrText>
          </w:r>
          <w:r>
            <w:fldChar w:fldCharType="separate"/>
          </w:r>
          <w:r>
            <w:rPr>
              <w:rFonts w:hint="eastAsia" w:cs="Times New Roman" w:asciiTheme="majorEastAsia" w:hAnsiTheme="majorEastAsia"/>
              <w:bCs w:val="0"/>
              <w:szCs w:val="30"/>
              <w:lang w:val="zh-CN"/>
            </w:rPr>
            <w:t>三、 评审因素及评分标准</w:t>
          </w:r>
          <w:r>
            <w:tab/>
          </w:r>
          <w:r>
            <w:fldChar w:fldCharType="begin"/>
          </w:r>
          <w:r>
            <w:instrText xml:space="preserve"> PAGEREF _Toc14363 </w:instrText>
          </w:r>
          <w:r>
            <w:fldChar w:fldCharType="separate"/>
          </w:r>
          <w:r>
            <w:t>29</w:t>
          </w:r>
          <w:r>
            <w:fldChar w:fldCharType="end"/>
          </w:r>
          <w:r>
            <w:fldChar w:fldCharType="end"/>
          </w:r>
        </w:p>
        <w:p>
          <w:pPr>
            <w:pStyle w:val="14"/>
            <w:tabs>
              <w:tab w:val="right" w:leader="dot" w:pos="9524"/>
            </w:tabs>
          </w:pPr>
          <w:r>
            <w:fldChar w:fldCharType="begin"/>
          </w:r>
          <w:r>
            <w:instrText xml:space="preserve"> HYPERLINK \l _Toc26906 </w:instrText>
          </w:r>
          <w:r>
            <w:fldChar w:fldCharType="separate"/>
          </w:r>
          <w:r>
            <w:rPr>
              <w:rFonts w:hint="eastAsia" w:ascii="黑体" w:hAnsi="黑体" w:eastAsia="黑体"/>
            </w:rPr>
            <w:t>第六章 合同书格式（参考）</w:t>
          </w:r>
          <w:r>
            <w:tab/>
          </w:r>
          <w:r>
            <w:fldChar w:fldCharType="begin"/>
          </w:r>
          <w:r>
            <w:instrText xml:space="preserve"> PAGEREF _Toc26906 </w:instrText>
          </w:r>
          <w:r>
            <w:fldChar w:fldCharType="separate"/>
          </w:r>
          <w:r>
            <w:t>31</w:t>
          </w:r>
          <w:r>
            <w:fldChar w:fldCharType="end"/>
          </w:r>
          <w:r>
            <w:fldChar w:fldCharType="end"/>
          </w:r>
        </w:p>
        <w:p>
          <w:pPr>
            <w:pStyle w:val="14"/>
            <w:tabs>
              <w:tab w:val="right" w:leader="dot" w:pos="9524"/>
            </w:tabs>
          </w:pPr>
          <w:r>
            <w:fldChar w:fldCharType="begin"/>
          </w:r>
          <w:r>
            <w:instrText xml:space="preserve"> HYPERLINK \l _Toc15638 </w:instrText>
          </w:r>
          <w:r>
            <w:fldChar w:fldCharType="separate"/>
          </w:r>
          <w:r>
            <w:rPr>
              <w:rFonts w:hint="eastAsia" w:ascii="黑体" w:hAnsi="黑体" w:eastAsia="黑体"/>
            </w:rPr>
            <w:t>第七章 投标文件格式（参考）</w:t>
          </w:r>
          <w:r>
            <w:tab/>
          </w:r>
          <w:r>
            <w:fldChar w:fldCharType="begin"/>
          </w:r>
          <w:r>
            <w:instrText xml:space="preserve"> PAGEREF _Toc15638 </w:instrText>
          </w:r>
          <w:r>
            <w:fldChar w:fldCharType="separate"/>
          </w:r>
          <w:r>
            <w:t>33</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_Toc16360 </w:instrText>
          </w:r>
          <w:r>
            <w:fldChar w:fldCharType="separate"/>
          </w:r>
          <w:r>
            <w:rPr>
              <w:rFonts w:hint="eastAsia" w:cs="Times New Roman" w:asciiTheme="majorEastAsia" w:hAnsiTheme="majorEastAsia"/>
              <w:bCs w:val="0"/>
              <w:szCs w:val="44"/>
              <w:lang w:val="zh-CN"/>
            </w:rPr>
            <w:t>第一部分 资格证明文件</w:t>
          </w:r>
          <w:r>
            <w:tab/>
          </w:r>
          <w:r>
            <w:fldChar w:fldCharType="begin"/>
          </w:r>
          <w:r>
            <w:instrText xml:space="preserve"> PAGEREF _Toc16360 </w:instrText>
          </w:r>
          <w:r>
            <w:fldChar w:fldCharType="separate"/>
          </w:r>
          <w:r>
            <w:t>33</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_Toc24597 </w:instrText>
          </w:r>
          <w:r>
            <w:fldChar w:fldCharType="separate"/>
          </w:r>
          <w:r>
            <w:rPr>
              <w:rFonts w:hint="eastAsia" w:cs="Times New Roman" w:asciiTheme="majorEastAsia" w:hAnsiTheme="majorEastAsia"/>
              <w:bCs w:val="0"/>
              <w:szCs w:val="44"/>
              <w:lang w:val="zh-CN"/>
            </w:rPr>
            <w:t>第二部分 商务文件</w:t>
          </w:r>
          <w:r>
            <w:tab/>
          </w:r>
          <w:r>
            <w:fldChar w:fldCharType="begin"/>
          </w:r>
          <w:r>
            <w:instrText xml:space="preserve"> PAGEREF _Toc24597 </w:instrText>
          </w:r>
          <w:r>
            <w:fldChar w:fldCharType="separate"/>
          </w:r>
          <w:r>
            <w:t>35</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_Toc22230 </w:instrText>
          </w:r>
          <w:r>
            <w:fldChar w:fldCharType="separate"/>
          </w:r>
          <w:r>
            <w:rPr>
              <w:rFonts w:hint="eastAsia" w:cs="Times New Roman" w:asciiTheme="majorEastAsia" w:hAnsiTheme="majorEastAsia"/>
              <w:bCs w:val="0"/>
              <w:szCs w:val="44"/>
              <w:lang w:val="zh-CN"/>
            </w:rPr>
            <w:t>第三部分 技术、服务文件</w:t>
          </w:r>
          <w:r>
            <w:tab/>
          </w:r>
          <w:r>
            <w:fldChar w:fldCharType="begin"/>
          </w:r>
          <w:r>
            <w:instrText xml:space="preserve"> PAGEREF _Toc22230 </w:instrText>
          </w:r>
          <w:r>
            <w:fldChar w:fldCharType="separate"/>
          </w:r>
          <w:r>
            <w:t>37</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_Toc14634 </w:instrText>
          </w:r>
          <w:r>
            <w:fldChar w:fldCharType="separate"/>
          </w:r>
          <w:r>
            <w:rPr>
              <w:rFonts w:hint="eastAsia" w:ascii="宋体" w:hAnsi="宋体" w:eastAsia="宋体"/>
              <w:i w:val="0"/>
            </w:rPr>
            <w:t xml:space="preserve">附件一、 </w:t>
          </w:r>
          <w:r>
            <w:rPr>
              <w:rFonts w:hint="eastAsia" w:ascii="宋体" w:hAnsi="宋体" w:eastAsia="宋体"/>
            </w:rPr>
            <w:t>投标书</w:t>
          </w:r>
          <w:r>
            <w:tab/>
          </w:r>
          <w:r>
            <w:fldChar w:fldCharType="begin"/>
          </w:r>
          <w:r>
            <w:instrText xml:space="preserve"> PAGEREF _Toc14634 </w:instrText>
          </w:r>
          <w:r>
            <w:fldChar w:fldCharType="separate"/>
          </w:r>
          <w:r>
            <w:t>39</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_Toc6425 </w:instrText>
          </w:r>
          <w:r>
            <w:fldChar w:fldCharType="separate"/>
          </w:r>
          <w:r>
            <w:rPr>
              <w:rFonts w:hint="eastAsia" w:ascii="宋体" w:hAnsi="宋体" w:eastAsia="宋体"/>
              <w:i w:val="0"/>
            </w:rPr>
            <w:t xml:space="preserve">附件二、 </w:t>
          </w:r>
          <w:r>
            <w:rPr>
              <w:rFonts w:hint="eastAsia" w:ascii="宋体" w:hAnsi="宋体" w:eastAsia="宋体"/>
            </w:rPr>
            <w:t>开标一览表</w:t>
          </w:r>
          <w:r>
            <w:tab/>
          </w:r>
          <w:r>
            <w:fldChar w:fldCharType="begin"/>
          </w:r>
          <w:r>
            <w:instrText xml:space="preserve"> PAGEREF _Toc6425 </w:instrText>
          </w:r>
          <w:r>
            <w:fldChar w:fldCharType="separate"/>
          </w:r>
          <w:r>
            <w:t>40</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_Toc5241 </w:instrText>
          </w:r>
          <w:r>
            <w:fldChar w:fldCharType="separate"/>
          </w:r>
          <w:r>
            <w:rPr>
              <w:rFonts w:hint="eastAsia" w:ascii="宋体" w:hAnsi="宋体" w:eastAsia="宋体"/>
              <w:i w:val="0"/>
            </w:rPr>
            <w:t xml:space="preserve">附件三、 </w:t>
          </w:r>
          <w:r>
            <w:rPr>
              <w:rFonts w:hint="eastAsia" w:ascii="宋体" w:hAnsi="宋体" w:eastAsia="宋体"/>
            </w:rPr>
            <w:t>投标货物（工程或服务）清单</w:t>
          </w:r>
          <w:r>
            <w:tab/>
          </w:r>
          <w:r>
            <w:fldChar w:fldCharType="begin"/>
          </w:r>
          <w:r>
            <w:instrText xml:space="preserve"> PAGEREF _Toc5241 </w:instrText>
          </w:r>
          <w:r>
            <w:fldChar w:fldCharType="separate"/>
          </w:r>
          <w:r>
            <w:t>41</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_Toc255 </w:instrText>
          </w:r>
          <w:r>
            <w:fldChar w:fldCharType="separate"/>
          </w:r>
          <w:r>
            <w:rPr>
              <w:rFonts w:hint="eastAsia" w:ascii="宋体" w:hAnsi="宋体" w:eastAsia="宋体"/>
              <w:i w:val="0"/>
            </w:rPr>
            <w:t xml:space="preserve">附件四、 </w:t>
          </w:r>
          <w:r>
            <w:rPr>
              <w:rFonts w:hint="eastAsia" w:ascii="宋体" w:hAnsi="宋体" w:eastAsia="宋体"/>
            </w:rPr>
            <w:t>交纳投标保证金的银行凭证</w:t>
          </w:r>
          <w:r>
            <w:tab/>
          </w:r>
          <w:r>
            <w:fldChar w:fldCharType="begin"/>
          </w:r>
          <w:r>
            <w:instrText xml:space="preserve"> PAGEREF _Toc255 </w:instrText>
          </w:r>
          <w:r>
            <w:fldChar w:fldCharType="separate"/>
          </w:r>
          <w:r>
            <w:t>42</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_Toc20206 </w:instrText>
          </w:r>
          <w:r>
            <w:fldChar w:fldCharType="separate"/>
          </w:r>
          <w:r>
            <w:rPr>
              <w:rFonts w:hint="eastAsia" w:ascii="宋体" w:hAnsi="宋体" w:eastAsia="宋体"/>
              <w:i w:val="0"/>
            </w:rPr>
            <w:t xml:space="preserve">附件五、 </w:t>
          </w:r>
          <w:r>
            <w:rPr>
              <w:rFonts w:hint="eastAsia" w:ascii="宋体" w:hAnsi="宋体" w:eastAsia="宋体"/>
            </w:rPr>
            <w:t>法定代表人授权书</w:t>
          </w:r>
          <w:r>
            <w:tab/>
          </w:r>
          <w:r>
            <w:fldChar w:fldCharType="begin"/>
          </w:r>
          <w:r>
            <w:instrText xml:space="preserve"> PAGEREF _Toc20206 </w:instrText>
          </w:r>
          <w:r>
            <w:fldChar w:fldCharType="separate"/>
          </w:r>
          <w:r>
            <w:t>43</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_Toc23629 </w:instrText>
          </w:r>
          <w:r>
            <w:fldChar w:fldCharType="separate"/>
          </w:r>
          <w:r>
            <w:rPr>
              <w:rFonts w:hint="eastAsia" w:ascii="宋体" w:hAnsi="宋体" w:eastAsia="宋体"/>
              <w:i w:val="0"/>
            </w:rPr>
            <w:t xml:space="preserve">附件六、 </w:t>
          </w:r>
          <w:r>
            <w:rPr>
              <w:rFonts w:hint="eastAsia" w:ascii="宋体" w:hAnsi="宋体" w:eastAsia="宋体"/>
            </w:rPr>
            <w:t>投标人的资格声明</w:t>
          </w:r>
          <w:r>
            <w:tab/>
          </w:r>
          <w:r>
            <w:fldChar w:fldCharType="begin"/>
          </w:r>
          <w:r>
            <w:instrText xml:space="preserve"> PAGEREF _Toc23629 </w:instrText>
          </w:r>
          <w:r>
            <w:fldChar w:fldCharType="separate"/>
          </w:r>
          <w:r>
            <w:t>44</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_Toc31126 </w:instrText>
          </w:r>
          <w:r>
            <w:fldChar w:fldCharType="separate"/>
          </w:r>
          <w:r>
            <w:rPr>
              <w:rFonts w:hint="eastAsia" w:ascii="宋体" w:hAnsi="宋体" w:eastAsia="宋体"/>
              <w:i w:val="0"/>
            </w:rPr>
            <w:t xml:space="preserve">附件七、 </w:t>
          </w:r>
          <w:r>
            <w:rPr>
              <w:rFonts w:hint="eastAsia" w:ascii="宋体" w:hAnsi="宋体" w:eastAsia="宋体"/>
            </w:rPr>
            <w:t>项目负责人、技术负责人简历表</w:t>
          </w:r>
          <w:r>
            <w:tab/>
          </w:r>
          <w:r>
            <w:fldChar w:fldCharType="begin"/>
          </w:r>
          <w:r>
            <w:instrText xml:space="preserve"> PAGEREF _Toc31126 </w:instrText>
          </w:r>
          <w:r>
            <w:fldChar w:fldCharType="separate"/>
          </w:r>
          <w:r>
            <w:t>45</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_Toc4282 </w:instrText>
          </w:r>
          <w:r>
            <w:fldChar w:fldCharType="separate"/>
          </w:r>
          <w:r>
            <w:rPr>
              <w:rFonts w:hint="eastAsia" w:ascii="宋体" w:hAnsi="宋体" w:eastAsia="宋体"/>
              <w:i w:val="0"/>
            </w:rPr>
            <w:t xml:space="preserve">附件八、 </w:t>
          </w:r>
          <w:r>
            <w:rPr>
              <w:rFonts w:hint="eastAsia" w:ascii="宋体" w:hAnsi="宋体" w:eastAsia="宋体"/>
            </w:rPr>
            <w:t>项目班子成员情况表</w:t>
          </w:r>
          <w:r>
            <w:tab/>
          </w:r>
          <w:r>
            <w:fldChar w:fldCharType="begin"/>
          </w:r>
          <w:r>
            <w:instrText xml:space="preserve"> PAGEREF _Toc4282 </w:instrText>
          </w:r>
          <w:r>
            <w:fldChar w:fldCharType="separate"/>
          </w:r>
          <w:r>
            <w:t>46</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_Toc196 </w:instrText>
          </w:r>
          <w:r>
            <w:fldChar w:fldCharType="separate"/>
          </w:r>
          <w:r>
            <w:rPr>
              <w:rFonts w:hint="eastAsia" w:ascii="宋体" w:hAnsi="宋体" w:eastAsia="宋体"/>
              <w:i w:val="0"/>
            </w:rPr>
            <w:t xml:space="preserve">附件九、 </w:t>
          </w:r>
          <w:r>
            <w:rPr>
              <w:rFonts w:hint="eastAsia" w:ascii="宋体" w:hAnsi="宋体" w:eastAsia="宋体"/>
            </w:rPr>
            <w:t>投标人类似项目业绩表</w:t>
          </w:r>
          <w:r>
            <w:tab/>
          </w:r>
          <w:r>
            <w:fldChar w:fldCharType="begin"/>
          </w:r>
          <w:r>
            <w:instrText xml:space="preserve"> PAGEREF _Toc196 </w:instrText>
          </w:r>
          <w:r>
            <w:fldChar w:fldCharType="separate"/>
          </w:r>
          <w:r>
            <w:t>47</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_Toc18675 </w:instrText>
          </w:r>
          <w:r>
            <w:fldChar w:fldCharType="separate"/>
          </w:r>
          <w:r>
            <w:rPr>
              <w:rFonts w:hint="eastAsia" w:ascii="宋体" w:hAnsi="宋体" w:eastAsia="宋体"/>
              <w:i w:val="0"/>
            </w:rPr>
            <w:t xml:space="preserve">附件十、 </w:t>
          </w:r>
          <w:r>
            <w:rPr>
              <w:rFonts w:hint="eastAsia" w:ascii="宋体" w:hAnsi="宋体" w:eastAsia="宋体"/>
            </w:rPr>
            <w:t>符合性审查对照表</w:t>
          </w:r>
          <w:r>
            <w:tab/>
          </w:r>
          <w:r>
            <w:fldChar w:fldCharType="begin"/>
          </w:r>
          <w:r>
            <w:instrText xml:space="preserve"> PAGEREF _Toc18675 </w:instrText>
          </w:r>
          <w:r>
            <w:fldChar w:fldCharType="separate"/>
          </w:r>
          <w:r>
            <w:t>48</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_Toc15727 </w:instrText>
          </w:r>
          <w:r>
            <w:fldChar w:fldCharType="separate"/>
          </w:r>
          <w:r>
            <w:rPr>
              <w:rFonts w:hint="eastAsia" w:ascii="宋体" w:hAnsi="宋体" w:eastAsia="宋体"/>
              <w:i w:val="0"/>
            </w:rPr>
            <w:t xml:space="preserve">附件十一、 </w:t>
          </w:r>
          <w:r>
            <w:rPr>
              <w:rFonts w:hint="eastAsia" w:ascii="宋体" w:hAnsi="宋体" w:eastAsia="宋体"/>
            </w:rPr>
            <w:t>商务要求响应、偏离说明表</w:t>
          </w:r>
          <w:r>
            <w:tab/>
          </w:r>
          <w:r>
            <w:fldChar w:fldCharType="begin"/>
          </w:r>
          <w:r>
            <w:instrText xml:space="preserve"> PAGEREF _Toc15727 </w:instrText>
          </w:r>
          <w:r>
            <w:fldChar w:fldCharType="separate"/>
          </w:r>
          <w:r>
            <w:t>49</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_Toc30478 </w:instrText>
          </w:r>
          <w:r>
            <w:fldChar w:fldCharType="separate"/>
          </w:r>
          <w:r>
            <w:rPr>
              <w:rFonts w:hint="eastAsia" w:ascii="宋体" w:hAnsi="宋体" w:eastAsia="宋体"/>
              <w:i w:val="0"/>
            </w:rPr>
            <w:t xml:space="preserve">附件十二、 </w:t>
          </w:r>
          <w:r>
            <w:rPr>
              <w:rFonts w:hint="eastAsia" w:ascii="宋体" w:hAnsi="宋体" w:eastAsia="宋体"/>
            </w:rPr>
            <w:t>商务要求“★”号条款响应、偏离说明表</w:t>
          </w:r>
          <w:r>
            <w:tab/>
          </w:r>
          <w:r>
            <w:fldChar w:fldCharType="begin"/>
          </w:r>
          <w:r>
            <w:instrText xml:space="preserve"> PAGEREF _Toc30478 </w:instrText>
          </w:r>
          <w:r>
            <w:fldChar w:fldCharType="separate"/>
          </w:r>
          <w:r>
            <w:t>50</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_Toc19051 </w:instrText>
          </w:r>
          <w:r>
            <w:fldChar w:fldCharType="separate"/>
          </w:r>
          <w:r>
            <w:rPr>
              <w:rFonts w:hint="eastAsia" w:ascii="宋体" w:hAnsi="宋体" w:eastAsia="宋体"/>
              <w:i w:val="0"/>
            </w:rPr>
            <w:t xml:space="preserve">附件十三、 </w:t>
          </w:r>
          <w:r>
            <w:rPr>
              <w:rFonts w:hint="eastAsia" w:ascii="宋体" w:hAnsi="宋体" w:eastAsia="宋体"/>
            </w:rPr>
            <w:t>商务评议对照表</w:t>
          </w:r>
          <w:r>
            <w:tab/>
          </w:r>
          <w:r>
            <w:fldChar w:fldCharType="begin"/>
          </w:r>
          <w:r>
            <w:instrText xml:space="preserve"> PAGEREF _Toc19051 </w:instrText>
          </w:r>
          <w:r>
            <w:fldChar w:fldCharType="separate"/>
          </w:r>
          <w:r>
            <w:t>51</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_Toc16220 </w:instrText>
          </w:r>
          <w:r>
            <w:fldChar w:fldCharType="separate"/>
          </w:r>
          <w:r>
            <w:rPr>
              <w:rFonts w:hint="eastAsia" w:ascii="宋体" w:hAnsi="宋体" w:eastAsia="宋体"/>
              <w:i w:val="0"/>
            </w:rPr>
            <w:t xml:space="preserve">附件十四、 </w:t>
          </w:r>
          <w:r>
            <w:rPr>
              <w:rFonts w:hint="eastAsia" w:ascii="宋体" w:hAnsi="宋体" w:eastAsia="宋体"/>
            </w:rPr>
            <w:t>技术、服务要求响应、偏离说明表</w:t>
          </w:r>
          <w:r>
            <w:tab/>
          </w:r>
          <w:r>
            <w:fldChar w:fldCharType="begin"/>
          </w:r>
          <w:r>
            <w:instrText xml:space="preserve"> PAGEREF _Toc16220 </w:instrText>
          </w:r>
          <w:r>
            <w:fldChar w:fldCharType="separate"/>
          </w:r>
          <w:r>
            <w:t>52</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_Toc1122 </w:instrText>
          </w:r>
          <w:r>
            <w:fldChar w:fldCharType="separate"/>
          </w:r>
          <w:r>
            <w:rPr>
              <w:rFonts w:hint="eastAsia" w:ascii="宋体" w:hAnsi="宋体" w:eastAsia="宋体"/>
              <w:i w:val="0"/>
            </w:rPr>
            <w:t xml:space="preserve">附件十五、 </w:t>
          </w:r>
          <w:r>
            <w:rPr>
              <w:rFonts w:hint="eastAsia" w:ascii="宋体" w:hAnsi="宋体" w:eastAsia="宋体"/>
            </w:rPr>
            <w:t>技术、服务要求“★”号条款响应、偏离说明表</w:t>
          </w:r>
          <w:r>
            <w:tab/>
          </w:r>
          <w:r>
            <w:fldChar w:fldCharType="begin"/>
          </w:r>
          <w:r>
            <w:instrText xml:space="preserve"> PAGEREF _Toc1122 </w:instrText>
          </w:r>
          <w:r>
            <w:fldChar w:fldCharType="separate"/>
          </w:r>
          <w:r>
            <w:t>53</w:t>
          </w:r>
          <w:r>
            <w:fldChar w:fldCharType="end"/>
          </w:r>
          <w:r>
            <w:fldChar w:fldCharType="end"/>
          </w:r>
        </w:p>
        <w:p>
          <w:pPr>
            <w:pStyle w:val="16"/>
            <w:tabs>
              <w:tab w:val="right" w:leader="dot" w:pos="9524"/>
              <w:tab w:val="clear" w:pos="756"/>
              <w:tab w:val="clear" w:pos="966"/>
              <w:tab w:val="clear" w:pos="1204"/>
              <w:tab w:val="clear" w:pos="1442"/>
              <w:tab w:val="clear" w:pos="9514"/>
            </w:tabs>
          </w:pPr>
          <w:r>
            <w:fldChar w:fldCharType="begin"/>
          </w:r>
          <w:r>
            <w:instrText xml:space="preserve"> HYPERLINK \l _Toc14067 </w:instrText>
          </w:r>
          <w:r>
            <w:fldChar w:fldCharType="separate"/>
          </w:r>
          <w:r>
            <w:rPr>
              <w:rFonts w:hint="eastAsia" w:ascii="宋体" w:hAnsi="宋体" w:eastAsia="宋体"/>
              <w:i w:val="0"/>
            </w:rPr>
            <w:t xml:space="preserve">附件十六、 </w:t>
          </w:r>
          <w:r>
            <w:rPr>
              <w:rFonts w:hint="eastAsia" w:ascii="宋体" w:hAnsi="宋体" w:eastAsia="宋体"/>
            </w:rPr>
            <w:t>技术、服务评议对照表</w:t>
          </w:r>
          <w:r>
            <w:tab/>
          </w:r>
          <w:r>
            <w:fldChar w:fldCharType="begin"/>
          </w:r>
          <w:r>
            <w:instrText xml:space="preserve"> PAGEREF _Toc14067 </w:instrText>
          </w:r>
          <w:r>
            <w:fldChar w:fldCharType="separate"/>
          </w:r>
          <w:r>
            <w:t>54</w:t>
          </w:r>
          <w:r>
            <w:fldChar w:fldCharType="end"/>
          </w:r>
          <w:r>
            <w:fldChar w:fldCharType="end"/>
          </w:r>
        </w:p>
        <w:p>
          <w:pPr>
            <w:pStyle w:val="14"/>
            <w:tabs>
              <w:tab w:val="left" w:pos="1260"/>
              <w:tab w:val="right" w:leader="dot" w:pos="9514"/>
            </w:tabs>
          </w:pPr>
          <w:r>
            <w:fldChar w:fldCharType="end"/>
          </w:r>
          <w:r>
            <w:rPr>
              <w:b w:val="0"/>
              <w:bCs/>
              <w:lang w:val="zh-CN"/>
            </w:rPr>
            <w:tab/>
          </w:r>
        </w:p>
      </w:sdtContent>
    </w:sdt>
    <w:p>
      <w:pPr>
        <w:pStyle w:val="4"/>
        <w:numPr>
          <w:ilvl w:val="0"/>
          <w:numId w:val="1"/>
        </w:numPr>
        <w:spacing w:before="240" w:after="120"/>
        <w:ind w:left="883" w:hanging="880" w:hangingChars="200"/>
        <w:jc w:val="center"/>
        <w:rPr>
          <w:rFonts w:ascii="黑体" w:hAnsi="黑体" w:eastAsia="黑体"/>
        </w:rPr>
        <w:sectPr>
          <w:footerReference r:id="rId6" w:type="default"/>
          <w:pgSz w:w="11906" w:h="16838"/>
          <w:pgMar w:top="1134" w:right="1191" w:bottom="1134" w:left="1191" w:header="851" w:footer="851" w:gutter="0"/>
          <w:pgNumType w:start="1"/>
          <w:cols w:space="425" w:num="1"/>
          <w:docGrid w:type="linesAndChars" w:linePitch="312" w:charSpace="0"/>
        </w:sectPr>
      </w:pPr>
    </w:p>
    <w:p>
      <w:pPr>
        <w:pStyle w:val="4"/>
        <w:numPr>
          <w:ilvl w:val="0"/>
          <w:numId w:val="1"/>
        </w:numPr>
        <w:spacing w:before="240" w:after="120"/>
        <w:ind w:left="885" w:hanging="880" w:hangingChars="200"/>
        <w:jc w:val="center"/>
        <w:rPr>
          <w:rFonts w:ascii="黑体" w:hAnsi="黑体" w:eastAsia="黑体"/>
        </w:rPr>
      </w:pPr>
      <w:bookmarkStart w:id="0" w:name="_Toc25590"/>
      <w:r>
        <w:rPr>
          <w:rFonts w:hint="eastAsia" w:ascii="黑体" w:hAnsi="黑体" w:eastAsia="黑体"/>
        </w:rPr>
        <w:t>投标邀请书</w:t>
      </w:r>
      <w:bookmarkEnd w:id="0"/>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依据</w:t>
      </w:r>
      <w:r>
        <w:rPr>
          <w:rFonts w:hint="eastAsia" w:ascii="宋体" w:hAnsi="宋体" w:eastAsia="宋体" w:cs="Times New Roman"/>
          <w:sz w:val="24"/>
          <w:szCs w:val="24"/>
          <w:lang w:eastAsia="zh-CN"/>
        </w:rPr>
        <w:t>鄂采计【</w:t>
      </w:r>
      <w:r>
        <w:rPr>
          <w:rFonts w:hint="eastAsia" w:ascii="宋体" w:hAnsi="宋体" w:eastAsia="宋体" w:cs="Times New Roman"/>
          <w:sz w:val="24"/>
          <w:szCs w:val="24"/>
          <w:lang w:val="en-US" w:eastAsia="zh-CN"/>
        </w:rPr>
        <w:t>2019</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-10116</w:t>
      </w:r>
      <w:r>
        <w:rPr>
          <w:rFonts w:hint="eastAsia" w:ascii="宋体" w:hAnsi="宋体" w:eastAsia="宋体" w:cs="Times New Roman"/>
          <w:sz w:val="24"/>
          <w:szCs w:val="24"/>
        </w:rPr>
        <w:t>号备案表的要求，</w:t>
      </w:r>
      <w:r>
        <w:rPr>
          <w:rFonts w:hint="eastAsia" w:ascii="宋体" w:hAnsi="宋体" w:eastAsia="宋体" w:cs="Times New Roman"/>
          <w:sz w:val="24"/>
          <w:szCs w:val="24"/>
          <w:lang w:eastAsia="zh-CN"/>
        </w:rPr>
        <w:t>阳新县公共资源交易中心</w:t>
      </w:r>
      <w:r>
        <w:rPr>
          <w:rFonts w:hint="eastAsia" w:ascii="宋体" w:hAnsi="宋体" w:eastAsia="宋体" w:cs="Times New Roman"/>
          <w:sz w:val="24"/>
          <w:szCs w:val="24"/>
        </w:rPr>
        <w:t>就</w:t>
      </w:r>
      <w:r>
        <w:rPr>
          <w:rFonts w:hint="eastAsia" w:ascii="宋体" w:hAnsi="宋体" w:eastAsia="宋体" w:cs="Times New Roman"/>
          <w:sz w:val="24"/>
          <w:szCs w:val="24"/>
          <w:lang w:eastAsia="zh-CN"/>
        </w:rPr>
        <w:t>阳新县人民法院物业管理服务</w:t>
      </w:r>
      <w:r>
        <w:rPr>
          <w:rFonts w:hint="eastAsia" w:ascii="宋体" w:hAnsi="宋体" w:eastAsia="宋体" w:cs="Times New Roman"/>
          <w:sz w:val="24"/>
          <w:szCs w:val="24"/>
        </w:rPr>
        <w:t>进行公开招标采购，欢迎符合条件的供应商投标。</w:t>
      </w:r>
    </w:p>
    <w:p>
      <w:pPr>
        <w:numPr>
          <w:ilvl w:val="0"/>
          <w:numId w:val="2"/>
        </w:numPr>
        <w:spacing w:line="360" w:lineRule="auto"/>
        <w:ind w:left="490" w:hanging="490"/>
        <w:rPr>
          <w:rFonts w:ascii="宋体" w:hAnsi="宋体" w:eastAsia="宋体" w:cs="Times New Roman"/>
          <w:b/>
          <w:sz w:val="24"/>
          <w:szCs w:val="24"/>
        </w:rPr>
      </w:pPr>
      <w:r>
        <w:rPr>
          <w:rFonts w:hint="eastAsia" w:ascii="宋体" w:hAnsi="宋体" w:eastAsia="宋体" w:cs="Times New Roman"/>
          <w:b/>
          <w:sz w:val="24"/>
          <w:szCs w:val="24"/>
        </w:rPr>
        <w:t>项目编号：</w:t>
      </w:r>
      <w:r>
        <w:rPr>
          <w:rFonts w:hint="eastAsia" w:ascii="宋体" w:hAnsi="宋体" w:cs="仿宋_GB2312"/>
          <w:szCs w:val="28"/>
        </w:rPr>
        <w:t>131－Zcg.201</w:t>
      </w:r>
      <w:r>
        <w:rPr>
          <w:rFonts w:hint="eastAsia" w:ascii="宋体" w:hAnsi="宋体" w:cs="仿宋_GB2312"/>
          <w:szCs w:val="28"/>
          <w:lang w:val="en-US" w:eastAsia="zh-CN"/>
        </w:rPr>
        <w:t>9-69</w:t>
      </w:r>
    </w:p>
    <w:p>
      <w:pPr>
        <w:numPr>
          <w:ilvl w:val="0"/>
          <w:numId w:val="2"/>
        </w:numPr>
        <w:spacing w:line="360" w:lineRule="auto"/>
        <w:ind w:left="490" w:hanging="490"/>
        <w:rPr>
          <w:rFonts w:ascii="宋体" w:hAnsi="宋体" w:eastAsia="宋体" w:cs="Times New Roman"/>
          <w:sz w:val="24"/>
          <w:szCs w:val="24"/>
        </w:rPr>
      </w:pPr>
      <w:r>
        <w:rPr>
          <w:rFonts w:hint="eastAsia" w:ascii="宋体" w:hAnsi="宋体" w:eastAsia="宋体" w:cs="Times New Roman"/>
          <w:b/>
          <w:sz w:val="24"/>
          <w:szCs w:val="24"/>
        </w:rPr>
        <w:t>项目名称：</w:t>
      </w:r>
      <w:r>
        <w:rPr>
          <w:rFonts w:hint="eastAsia" w:ascii="宋体" w:hAnsi="宋体" w:eastAsia="宋体" w:cs="Times New Roman"/>
          <w:sz w:val="24"/>
          <w:szCs w:val="24"/>
          <w:lang w:eastAsia="zh-CN"/>
        </w:rPr>
        <w:t>阳新县人民法院物业管理服务</w:t>
      </w:r>
    </w:p>
    <w:p>
      <w:pPr>
        <w:numPr>
          <w:ilvl w:val="0"/>
          <w:numId w:val="2"/>
        </w:numPr>
        <w:spacing w:line="360" w:lineRule="auto"/>
        <w:ind w:left="490" w:hanging="490"/>
        <w:rPr>
          <w:rFonts w:ascii="宋体" w:hAnsi="宋体" w:eastAsia="宋体" w:cs="Times New Roman"/>
          <w:sz w:val="24"/>
          <w:szCs w:val="24"/>
        </w:rPr>
      </w:pPr>
      <w:r>
        <w:rPr>
          <w:rFonts w:hint="eastAsia" w:ascii="宋体" w:hAnsi="宋体" w:eastAsia="宋体" w:cs="Times New Roman"/>
          <w:b/>
          <w:sz w:val="24"/>
          <w:szCs w:val="24"/>
        </w:rPr>
        <w:t>招标内容：</w:t>
      </w:r>
      <w:r>
        <w:rPr>
          <w:rFonts w:hint="eastAsia" w:ascii="宋体" w:hAnsi="宋体" w:eastAsia="宋体" w:cs="Times New Roman"/>
          <w:sz w:val="24"/>
          <w:szCs w:val="24"/>
          <w:lang w:eastAsia="zh-CN"/>
        </w:rPr>
        <w:t>物业管理服务</w:t>
      </w:r>
      <w:r>
        <w:rPr>
          <w:rFonts w:hint="eastAsia" w:ascii="宋体" w:hAnsi="宋体" w:eastAsia="宋体" w:cs="Times New Roman"/>
          <w:sz w:val="24"/>
          <w:szCs w:val="24"/>
        </w:rPr>
        <w:t>或详见招标文件《采购清单》</w:t>
      </w:r>
    </w:p>
    <w:p>
      <w:pPr>
        <w:numPr>
          <w:ilvl w:val="0"/>
          <w:numId w:val="2"/>
        </w:numPr>
        <w:spacing w:line="360" w:lineRule="auto"/>
        <w:ind w:left="490" w:hanging="490"/>
        <w:rPr>
          <w:rFonts w:ascii="宋体" w:hAnsi="宋体" w:eastAsia="宋体" w:cs="Times New Roman"/>
          <w:sz w:val="24"/>
          <w:szCs w:val="24"/>
        </w:rPr>
      </w:pPr>
      <w:r>
        <w:rPr>
          <w:rFonts w:hint="eastAsia" w:ascii="宋体" w:hAnsi="宋体" w:eastAsia="宋体" w:cs="Times New Roman"/>
          <w:b/>
          <w:sz w:val="24"/>
          <w:szCs w:val="24"/>
        </w:rPr>
        <w:t>采购预算：</w:t>
      </w:r>
      <w:r>
        <w:rPr>
          <w:rFonts w:hint="eastAsia" w:ascii="宋体" w:hAnsi="宋体" w:eastAsia="宋体" w:cs="Times New Roman"/>
          <w:sz w:val="24"/>
          <w:szCs w:val="24"/>
        </w:rPr>
        <w:t>人民币</w:t>
      </w:r>
      <w:r>
        <w:rPr>
          <w:rFonts w:hint="eastAsia" w:ascii="宋体" w:hAnsi="宋体" w:eastAsia="宋体" w:cs="Times New Roman"/>
          <w:sz w:val="24"/>
          <w:szCs w:val="24"/>
          <w:lang w:val="en-US" w:eastAsia="zh-CN"/>
        </w:rPr>
        <w:t>48</w:t>
      </w:r>
      <w:r>
        <w:rPr>
          <w:rFonts w:hint="eastAsia" w:ascii="宋体" w:hAnsi="宋体" w:eastAsia="宋体" w:cs="Times New Roman"/>
          <w:sz w:val="24"/>
          <w:szCs w:val="24"/>
        </w:rPr>
        <w:t>万元整。</w:t>
      </w:r>
    </w:p>
    <w:p>
      <w:pPr>
        <w:numPr>
          <w:ilvl w:val="0"/>
          <w:numId w:val="2"/>
        </w:numPr>
        <w:spacing w:line="360" w:lineRule="auto"/>
        <w:ind w:left="490" w:hanging="490"/>
        <w:rPr>
          <w:rFonts w:ascii="宋体" w:hAnsi="宋体" w:eastAsia="宋体" w:cs="Times New Roman"/>
          <w:sz w:val="24"/>
          <w:szCs w:val="24"/>
        </w:rPr>
      </w:pPr>
      <w:r>
        <w:rPr>
          <w:rFonts w:hint="eastAsia" w:ascii="宋体" w:hAnsi="宋体" w:eastAsia="宋体" w:cs="Times New Roman"/>
          <w:b/>
          <w:sz w:val="24"/>
          <w:szCs w:val="24"/>
        </w:rPr>
        <w:t>资金来源：</w:t>
      </w:r>
      <w:r>
        <w:rPr>
          <w:rFonts w:hint="eastAsia" w:ascii="宋体" w:hAnsi="宋体" w:eastAsia="宋体" w:cs="Times New Roman"/>
          <w:sz w:val="24"/>
          <w:szCs w:val="24"/>
        </w:rPr>
        <w:t>财政性资金</w:t>
      </w:r>
    </w:p>
    <w:p>
      <w:pPr>
        <w:numPr>
          <w:ilvl w:val="0"/>
          <w:numId w:val="2"/>
        </w:numPr>
        <w:spacing w:line="360" w:lineRule="auto"/>
        <w:ind w:left="490" w:hanging="490"/>
        <w:rPr>
          <w:rFonts w:ascii="宋体" w:hAnsi="宋体" w:eastAsia="宋体" w:cs="Times New Roman"/>
          <w:b/>
          <w:sz w:val="24"/>
          <w:szCs w:val="24"/>
        </w:rPr>
      </w:pPr>
      <w:r>
        <w:rPr>
          <w:rFonts w:hint="eastAsia" w:ascii="宋体" w:hAnsi="宋体" w:eastAsia="宋体" w:cs="Times New Roman"/>
          <w:b/>
          <w:sz w:val="24"/>
          <w:szCs w:val="24"/>
        </w:rPr>
        <w:t>政府集中采购项目：是</w:t>
      </w:r>
    </w:p>
    <w:p>
      <w:pPr>
        <w:numPr>
          <w:ilvl w:val="0"/>
          <w:numId w:val="2"/>
        </w:numPr>
        <w:spacing w:line="360" w:lineRule="auto"/>
        <w:ind w:left="490" w:hanging="490"/>
        <w:rPr>
          <w:rFonts w:ascii="宋体" w:hAnsi="宋体" w:eastAsia="宋体" w:cs="Times New Roman"/>
          <w:b/>
          <w:sz w:val="24"/>
          <w:szCs w:val="24"/>
        </w:rPr>
      </w:pPr>
      <w:r>
        <w:rPr>
          <w:rFonts w:hint="eastAsia" w:ascii="宋体" w:hAnsi="宋体" w:eastAsia="宋体" w:cs="Times New Roman"/>
          <w:b/>
          <w:sz w:val="24"/>
          <w:szCs w:val="24"/>
        </w:rPr>
        <w:t>投标人资格要求：</w:t>
      </w:r>
    </w:p>
    <w:p>
      <w:pPr>
        <w:numPr>
          <w:ilvl w:val="0"/>
          <w:numId w:val="3"/>
        </w:numPr>
        <w:tabs>
          <w:tab w:val="left" w:pos="896"/>
        </w:tabs>
        <w:spacing w:line="360" w:lineRule="auto"/>
        <w:rPr>
          <w:rFonts w:ascii="宋体" w:hAnsi="宋体" w:eastAsia="宋体" w:cs="Times New Roman"/>
          <w:sz w:val="24"/>
          <w:szCs w:val="24"/>
        </w:rPr>
      </w:pPr>
      <w:r>
        <w:rPr>
          <w:rFonts w:hint="eastAsia" w:ascii="宋体" w:hAnsi="宋体" w:eastAsia="宋体" w:cs="Times New Roman"/>
          <w:sz w:val="24"/>
          <w:szCs w:val="24"/>
        </w:rPr>
        <w:t>应具备《政府采购法》第二十二条第一款规定的条件；</w:t>
      </w:r>
    </w:p>
    <w:p>
      <w:pPr>
        <w:numPr>
          <w:ilvl w:val="0"/>
          <w:numId w:val="3"/>
        </w:numPr>
        <w:tabs>
          <w:tab w:val="left" w:pos="896"/>
        </w:tabs>
        <w:spacing w:line="360" w:lineRule="auto"/>
        <w:rPr>
          <w:rFonts w:ascii="宋体" w:hAnsi="宋体" w:eastAsia="宋体" w:cs="Times New Roman"/>
          <w:color w:val="0D0D0D"/>
          <w:sz w:val="24"/>
          <w:szCs w:val="24"/>
        </w:rPr>
      </w:pPr>
      <w:r>
        <w:rPr>
          <w:rFonts w:hint="eastAsia" w:ascii="宋体" w:hAnsi="宋体" w:eastAsia="宋体" w:cs="Times New Roman"/>
          <w:sz w:val="24"/>
          <w:szCs w:val="24"/>
        </w:rPr>
        <w:t>未被“信用中国”网站(www.creditchina.gov.cn)列入失信被执行人、重大税收</w:t>
      </w:r>
      <w:r>
        <w:rPr>
          <w:rFonts w:hint="eastAsia" w:ascii="宋体" w:hAnsi="宋体" w:eastAsia="宋体" w:cs="Times New Roman"/>
          <w:color w:val="0D0D0D"/>
          <w:sz w:val="24"/>
          <w:szCs w:val="24"/>
        </w:rPr>
        <w:t>违法案件当事人名单、政府采购严重违法失信行为记录名单；</w:t>
      </w:r>
    </w:p>
    <w:p>
      <w:pPr>
        <w:numPr>
          <w:ilvl w:val="0"/>
          <w:numId w:val="3"/>
        </w:numPr>
        <w:tabs>
          <w:tab w:val="left" w:pos="896"/>
        </w:tabs>
        <w:spacing w:line="360" w:lineRule="auto"/>
        <w:rPr>
          <w:rFonts w:ascii="宋体" w:hAnsi="宋体" w:eastAsia="宋体" w:cs="Times New Roman"/>
          <w:sz w:val="24"/>
          <w:szCs w:val="24"/>
        </w:rPr>
      </w:pPr>
      <w:r>
        <w:rPr>
          <w:rFonts w:hint="eastAsia" w:ascii="宋体" w:hAnsi="宋体" w:eastAsia="宋体" w:cs="Times New Roman"/>
          <w:color w:val="0D0D0D"/>
          <w:sz w:val="24"/>
          <w:szCs w:val="24"/>
        </w:rPr>
        <w:t>不接</w:t>
      </w:r>
      <w:r>
        <w:rPr>
          <w:rFonts w:hint="eastAsia" w:ascii="宋体" w:hAnsi="宋体" w:eastAsia="宋体" w:cs="Times New Roman"/>
          <w:sz w:val="24"/>
          <w:szCs w:val="24"/>
        </w:rPr>
        <w:t>受联合体形式的投标。</w:t>
      </w:r>
    </w:p>
    <w:p>
      <w:pPr>
        <w:numPr>
          <w:ilvl w:val="0"/>
          <w:numId w:val="0"/>
        </w:numPr>
        <w:tabs>
          <w:tab w:val="left" w:pos="896"/>
        </w:tabs>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 xml:space="preserve">  4.特定条件:</w:t>
      </w:r>
    </w:p>
    <w:p>
      <w:pPr>
        <w:numPr>
          <w:ilvl w:val="0"/>
          <w:numId w:val="0"/>
        </w:numPr>
        <w:tabs>
          <w:tab w:val="left" w:pos="896"/>
        </w:tabs>
        <w:spacing w:line="360" w:lineRule="auto"/>
        <w:ind w:left="482" w:leftChars="0"/>
        <w:rPr>
          <w:rFonts w:hint="eastAsia" w:ascii="宋体" w:hAnsi="宋体" w:eastAsia="宋体" w:cs="Times New Roman"/>
          <w:sz w:val="24"/>
          <w:szCs w:val="24"/>
        </w:rPr>
      </w:pPr>
      <w:r>
        <w:rPr>
          <w:rFonts w:hint="eastAsia" w:ascii="宋体" w:hAnsi="宋体" w:eastAsia="宋体" w:cs="Times New Roman"/>
          <w:sz w:val="24"/>
          <w:szCs w:val="24"/>
        </w:rPr>
        <w:t>(1) 投标人具有主管部门颁发的《劳务派遣经营许可证》、《保安服务许可证》。</w:t>
      </w:r>
    </w:p>
    <w:p>
      <w:pPr>
        <w:numPr>
          <w:ilvl w:val="0"/>
          <w:numId w:val="0"/>
        </w:numPr>
        <w:tabs>
          <w:tab w:val="left" w:pos="896"/>
        </w:tabs>
        <w:spacing w:line="360" w:lineRule="auto"/>
        <w:ind w:left="482" w:leftChars="0"/>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 投标人应提供由劳动监察部门开具的无拖欠员工工资证明。</w:t>
      </w:r>
    </w:p>
    <w:p>
      <w:pPr>
        <w:numPr>
          <w:ilvl w:val="0"/>
          <w:numId w:val="2"/>
        </w:numPr>
        <w:spacing w:line="360" w:lineRule="auto"/>
        <w:ind w:left="490" w:hanging="490"/>
        <w:rPr>
          <w:rFonts w:ascii="宋体" w:hAnsi="宋体" w:eastAsia="宋体" w:cs="宋体"/>
          <w:b/>
          <w:kern w:val="0"/>
          <w:sz w:val="24"/>
          <w:szCs w:val="24"/>
        </w:rPr>
      </w:pPr>
      <w:r>
        <w:rPr>
          <w:rFonts w:hint="eastAsia" w:ascii="宋体" w:hAnsi="宋体" w:eastAsia="宋体" w:cs="宋体"/>
          <w:b/>
          <w:kern w:val="0"/>
          <w:sz w:val="24"/>
          <w:szCs w:val="24"/>
          <w:lang w:val="zh-CN"/>
        </w:rPr>
        <w:t>招标文件获取</w:t>
      </w:r>
      <w:r>
        <w:rPr>
          <w:rFonts w:hint="eastAsia" w:ascii="宋体" w:hAnsi="宋体" w:eastAsia="宋体" w:cs="宋体"/>
          <w:b/>
          <w:kern w:val="0"/>
          <w:sz w:val="24"/>
          <w:szCs w:val="24"/>
        </w:rPr>
        <w:t>：</w:t>
      </w:r>
    </w:p>
    <w:p>
      <w:pPr>
        <w:widowControl/>
        <w:adjustRightInd w:val="0"/>
        <w:snapToGrid w:val="0"/>
        <w:spacing w:line="360" w:lineRule="auto"/>
        <w:ind w:firstLine="360" w:firstLineChars="150"/>
        <w:jc w:val="left"/>
        <w:rPr>
          <w:rFonts w:ascii="宋体" w:hAnsi="宋体" w:eastAsia="宋体" w:cs="Times New Roman"/>
          <w:sz w:val="24"/>
          <w:szCs w:val="24"/>
        </w:rPr>
      </w:pPr>
      <w:r>
        <w:rPr>
          <w:rFonts w:hint="eastAsia" w:ascii="宋体" w:hAnsi="宋体" w:eastAsia="宋体" w:cs="Times New Roman"/>
          <w:sz w:val="24"/>
          <w:szCs w:val="24"/>
        </w:rPr>
        <w:t>本项目实行网上下载标书，招标文件与本招标公告同时</w:t>
      </w:r>
      <w:r>
        <w:rPr>
          <w:rFonts w:hint="eastAsia"/>
          <w:color w:val="FF0000"/>
          <w:sz w:val="24"/>
          <w:szCs w:val="24"/>
        </w:rPr>
        <w:t>在“湖北省政府采购网”、“黄石市公共资源交易信息网”及“阳新县人民政府网”</w:t>
      </w:r>
      <w:r>
        <w:rPr>
          <w:rFonts w:hint="eastAsia" w:ascii="宋体" w:hAnsi="宋体" w:eastAsia="宋体" w:cs="Times New Roman"/>
          <w:sz w:val="24"/>
          <w:szCs w:val="24"/>
        </w:rPr>
        <w:t>发布（见招标文件下载），凡自愿参加本项目投标者，请于201</w:t>
      </w:r>
      <w:r>
        <w:rPr>
          <w:rFonts w:hint="eastAsia" w:ascii="宋体" w:hAnsi="宋体" w:eastAsia="宋体" w:cs="Times New Roman"/>
          <w:sz w:val="24"/>
          <w:szCs w:val="24"/>
          <w:lang w:val="en-US" w:eastAsia="zh-CN"/>
        </w:rPr>
        <w:t>9</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27</w:t>
      </w:r>
      <w:r>
        <w:rPr>
          <w:rFonts w:hint="eastAsia" w:ascii="宋体" w:hAnsi="宋体" w:eastAsia="宋体" w:cs="Times New Roman"/>
          <w:sz w:val="24"/>
          <w:szCs w:val="24"/>
        </w:rPr>
        <w:t>日至201</w:t>
      </w:r>
      <w:r>
        <w:rPr>
          <w:rFonts w:hint="eastAsia" w:ascii="宋体" w:hAnsi="宋体" w:eastAsia="宋体" w:cs="Times New Roman"/>
          <w:sz w:val="24"/>
          <w:szCs w:val="24"/>
          <w:lang w:val="en-US" w:eastAsia="zh-CN"/>
        </w:rPr>
        <w:t>9</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日17时前点击项目招标公告中的链接下载招标文件，并在投标截止时间前递交投标文件。</w:t>
      </w:r>
    </w:p>
    <w:p>
      <w:pPr>
        <w:numPr>
          <w:ilvl w:val="0"/>
          <w:numId w:val="2"/>
        </w:numPr>
        <w:spacing w:line="360" w:lineRule="auto"/>
        <w:ind w:left="728" w:hanging="728"/>
        <w:rPr>
          <w:rFonts w:ascii="宋体" w:hAnsi="宋体" w:eastAsia="宋体" w:cs="宋体"/>
          <w:b/>
          <w:kern w:val="0"/>
          <w:sz w:val="24"/>
          <w:szCs w:val="24"/>
          <w:lang w:val="zh-CN"/>
        </w:rPr>
      </w:pPr>
      <w:r>
        <w:rPr>
          <w:rFonts w:hint="eastAsia" w:ascii="宋体" w:hAnsi="宋体" w:eastAsia="宋体" w:cs="宋体"/>
          <w:b/>
          <w:kern w:val="0"/>
          <w:sz w:val="24"/>
          <w:szCs w:val="24"/>
          <w:lang w:val="zh-CN"/>
        </w:rPr>
        <w:t>投标信息：</w:t>
      </w:r>
    </w:p>
    <w:p>
      <w:pPr>
        <w:spacing w:line="360" w:lineRule="auto"/>
        <w:ind w:firstLine="470" w:firstLineChars="196"/>
        <w:rPr>
          <w:rFonts w:ascii="宋体" w:hAnsi="宋体" w:eastAsia="宋体" w:cs="宋体"/>
          <w:b/>
          <w:kern w:val="0"/>
          <w:sz w:val="24"/>
          <w:szCs w:val="24"/>
        </w:rPr>
      </w:pPr>
      <w:r>
        <w:rPr>
          <w:rFonts w:hint="eastAsia" w:ascii="宋体" w:hAnsi="宋体" w:eastAsia="宋体" w:cs="宋体"/>
          <w:kern w:val="0"/>
          <w:sz w:val="24"/>
          <w:szCs w:val="24"/>
        </w:rPr>
        <w:t>投标文件递交截止时间：201</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19</w:t>
      </w:r>
      <w:r>
        <w:rPr>
          <w:rFonts w:hint="eastAsia" w:ascii="宋体" w:hAnsi="宋体" w:eastAsia="宋体" w:cs="宋体"/>
          <w:kern w:val="0"/>
          <w:sz w:val="24"/>
          <w:szCs w:val="24"/>
        </w:rPr>
        <w:t>日9时00分（提前半小时开始接收投标文件，拒收逾期送达或者未按招标文件要求密封的投标文件）</w:t>
      </w:r>
    </w:p>
    <w:p>
      <w:pPr>
        <w:widowControl/>
        <w:spacing w:line="360" w:lineRule="auto"/>
        <w:ind w:firstLine="470" w:firstLineChars="196"/>
        <w:jc w:val="left"/>
        <w:rPr>
          <w:rFonts w:ascii="宋体" w:hAnsi="宋体" w:eastAsia="宋体" w:cs="宋体"/>
          <w:kern w:val="0"/>
          <w:sz w:val="24"/>
          <w:szCs w:val="24"/>
        </w:rPr>
      </w:pPr>
      <w:r>
        <w:rPr>
          <w:rFonts w:hint="eastAsia" w:ascii="宋体" w:hAnsi="宋体" w:eastAsia="宋体" w:cs="宋体"/>
          <w:kern w:val="0"/>
          <w:sz w:val="24"/>
          <w:szCs w:val="24"/>
        </w:rPr>
        <w:t>投标文件递交地点：阳新县公共资源交易中心</w:t>
      </w:r>
      <w:r>
        <w:rPr>
          <w:rFonts w:hint="eastAsia" w:ascii="宋体" w:hAnsi="宋体" w:eastAsia="宋体" w:cs="宋体"/>
          <w:kern w:val="0"/>
          <w:sz w:val="24"/>
          <w:szCs w:val="24"/>
          <w:lang w:eastAsia="zh-CN"/>
        </w:rPr>
        <w:t>一</w:t>
      </w:r>
      <w:r>
        <w:rPr>
          <w:rFonts w:hint="eastAsia" w:ascii="宋体" w:hAnsi="宋体" w:eastAsia="宋体" w:cs="宋体"/>
          <w:kern w:val="0"/>
          <w:sz w:val="24"/>
          <w:szCs w:val="24"/>
        </w:rPr>
        <w:t>楼开标大厅（阳新县熊家垴安置小区东侧）</w:t>
      </w:r>
    </w:p>
    <w:p>
      <w:pPr>
        <w:numPr>
          <w:ilvl w:val="0"/>
          <w:numId w:val="2"/>
        </w:numPr>
        <w:spacing w:line="360" w:lineRule="auto"/>
        <w:ind w:left="728" w:hanging="728"/>
        <w:rPr>
          <w:rFonts w:ascii="宋体" w:hAnsi="宋体" w:eastAsia="宋体" w:cs="宋体"/>
          <w:b/>
          <w:kern w:val="0"/>
          <w:sz w:val="24"/>
          <w:szCs w:val="24"/>
          <w:lang w:val="zh-CN"/>
        </w:rPr>
      </w:pPr>
      <w:r>
        <w:rPr>
          <w:rFonts w:hint="eastAsia" w:ascii="宋体" w:hAnsi="宋体" w:eastAsia="宋体" w:cs="宋体"/>
          <w:b/>
          <w:kern w:val="0"/>
          <w:sz w:val="24"/>
          <w:szCs w:val="24"/>
          <w:lang w:val="zh-CN"/>
        </w:rPr>
        <w:t>开标信息：</w:t>
      </w:r>
    </w:p>
    <w:p>
      <w:pPr>
        <w:spacing w:line="360" w:lineRule="auto"/>
        <w:ind w:firstLine="470" w:firstLineChars="196"/>
        <w:rPr>
          <w:rFonts w:ascii="宋体" w:hAnsi="宋体" w:eastAsia="宋体" w:cs="宋体"/>
          <w:kern w:val="0"/>
          <w:sz w:val="24"/>
          <w:szCs w:val="24"/>
        </w:rPr>
      </w:pPr>
      <w:r>
        <w:rPr>
          <w:rFonts w:hint="eastAsia" w:ascii="宋体" w:hAnsi="宋体" w:eastAsia="宋体" w:cs="宋体"/>
          <w:kern w:val="0"/>
          <w:sz w:val="24"/>
          <w:szCs w:val="24"/>
        </w:rPr>
        <w:t>开标时间：201</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19</w:t>
      </w:r>
      <w:r>
        <w:rPr>
          <w:rFonts w:hint="eastAsia" w:ascii="宋体" w:hAnsi="宋体" w:eastAsia="宋体" w:cs="宋体"/>
          <w:kern w:val="0"/>
          <w:sz w:val="24"/>
          <w:szCs w:val="24"/>
        </w:rPr>
        <w:t>日9时00分</w:t>
      </w:r>
    </w:p>
    <w:p>
      <w:pPr>
        <w:widowControl/>
        <w:spacing w:line="360" w:lineRule="auto"/>
        <w:ind w:firstLine="470" w:firstLineChars="196"/>
        <w:jc w:val="left"/>
        <w:rPr>
          <w:rFonts w:ascii="宋体" w:hAnsi="宋体" w:eastAsia="宋体" w:cs="宋体"/>
          <w:kern w:val="0"/>
          <w:sz w:val="24"/>
          <w:szCs w:val="24"/>
        </w:rPr>
      </w:pPr>
      <w:r>
        <w:rPr>
          <w:rFonts w:hint="eastAsia" w:ascii="宋体" w:hAnsi="宋体" w:eastAsia="宋体" w:cs="宋体"/>
          <w:kern w:val="0"/>
          <w:sz w:val="24"/>
          <w:szCs w:val="24"/>
        </w:rPr>
        <w:t>开标地点：阳新县公共资源交易中心</w:t>
      </w:r>
      <w:r>
        <w:rPr>
          <w:rFonts w:hint="eastAsia" w:ascii="宋体" w:hAnsi="宋体" w:eastAsia="宋体" w:cs="宋体"/>
          <w:kern w:val="0"/>
          <w:sz w:val="24"/>
          <w:szCs w:val="24"/>
          <w:lang w:eastAsia="zh-CN"/>
        </w:rPr>
        <w:t>一</w:t>
      </w:r>
      <w:r>
        <w:rPr>
          <w:rFonts w:hint="eastAsia" w:ascii="宋体" w:hAnsi="宋体" w:eastAsia="宋体" w:cs="宋体"/>
          <w:kern w:val="0"/>
          <w:sz w:val="24"/>
          <w:szCs w:val="24"/>
        </w:rPr>
        <w:t>楼开标大厅（阳新县熊家垴安置小区东侧）</w:t>
      </w:r>
    </w:p>
    <w:p>
      <w:pPr>
        <w:numPr>
          <w:ilvl w:val="0"/>
          <w:numId w:val="2"/>
        </w:numPr>
        <w:spacing w:line="360" w:lineRule="auto"/>
        <w:ind w:left="728" w:hanging="728"/>
        <w:rPr>
          <w:rFonts w:ascii="宋体" w:hAnsi="宋体" w:eastAsia="宋体" w:cs="Times New Roman"/>
          <w:sz w:val="24"/>
          <w:szCs w:val="24"/>
        </w:rPr>
      </w:pPr>
      <w:r>
        <w:rPr>
          <w:rFonts w:hint="eastAsia" w:ascii="宋体" w:hAnsi="宋体" w:eastAsia="宋体" w:cs="宋体"/>
          <w:b/>
          <w:kern w:val="0"/>
          <w:sz w:val="24"/>
          <w:szCs w:val="24"/>
          <w:lang w:val="zh-CN"/>
        </w:rPr>
        <w:t>公告期限：</w:t>
      </w:r>
      <w:r>
        <w:rPr>
          <w:rFonts w:hint="eastAsia" w:ascii="宋体" w:hAnsi="宋体" w:eastAsia="宋体" w:cs="Times New Roman"/>
          <w:sz w:val="24"/>
          <w:szCs w:val="24"/>
        </w:rPr>
        <w:t>自公告发布之日起5个工作日。</w:t>
      </w:r>
    </w:p>
    <w:p>
      <w:pPr>
        <w:numPr>
          <w:ilvl w:val="0"/>
          <w:numId w:val="2"/>
        </w:numPr>
        <w:spacing w:line="360" w:lineRule="auto"/>
        <w:ind w:left="728" w:hanging="728"/>
        <w:rPr>
          <w:rFonts w:ascii="宋体" w:hAnsi="宋体" w:eastAsia="宋体" w:cs="宋体"/>
          <w:b/>
          <w:kern w:val="0"/>
          <w:sz w:val="24"/>
          <w:szCs w:val="24"/>
          <w:lang w:val="zh-CN"/>
        </w:rPr>
      </w:pPr>
      <w:r>
        <w:rPr>
          <w:rFonts w:hint="eastAsia" w:ascii="宋体" w:hAnsi="宋体" w:eastAsia="宋体" w:cs="宋体"/>
          <w:b/>
          <w:kern w:val="0"/>
          <w:sz w:val="24"/>
          <w:szCs w:val="24"/>
          <w:lang w:val="zh-CN"/>
        </w:rPr>
        <w:t>质疑：</w:t>
      </w:r>
    </w:p>
    <w:p>
      <w:pPr>
        <w:pStyle w:val="17"/>
        <w:ind w:firstLine="480" w:firstLineChars="200"/>
      </w:pPr>
      <w:r>
        <w:rPr>
          <w:rFonts w:hint="eastAsia" w:cs="Times New Roman"/>
          <w:szCs w:val="20"/>
          <w:lang w:val="zh-CN"/>
        </w:rPr>
        <w:t>投标人认为招标文件、招标过程和中标结果使自己的权益受到损害的，可以在知道或者应知其权益受到损害之日起7个工作日内，</w:t>
      </w:r>
      <w:r>
        <w:rPr>
          <w:rFonts w:cs="Times New Roman"/>
          <w:szCs w:val="20"/>
          <w:lang w:val="zh-CN"/>
        </w:rPr>
        <w:t>向</w:t>
      </w:r>
      <w:r>
        <w:rPr>
          <w:rFonts w:hint="eastAsia" w:cs="Times New Roman"/>
          <w:szCs w:val="20"/>
          <w:lang w:val="zh-CN"/>
        </w:rPr>
        <w:t>阳新县公共资源交易中心</w:t>
      </w:r>
      <w:r>
        <w:rPr>
          <w:rFonts w:cs="Times New Roman"/>
          <w:szCs w:val="20"/>
          <w:lang w:val="zh-CN"/>
        </w:rPr>
        <w:t>提出质疑</w:t>
      </w:r>
      <w:r>
        <w:rPr>
          <w:rFonts w:hint="eastAsia" w:cs="Times New Roman"/>
          <w:szCs w:val="20"/>
          <w:lang w:val="zh-CN"/>
        </w:rPr>
        <w:t>。</w:t>
      </w:r>
      <w:r>
        <w:t>质疑时请提交书面质疑函一份（法人代表签字、加盖单位公章。具体要求详见本招标文件“第二章 投标人须知”中的第</w:t>
      </w:r>
      <w:r>
        <w:rPr>
          <w:rFonts w:hint="eastAsia"/>
        </w:rPr>
        <w:t>八</w:t>
      </w:r>
      <w:r>
        <w:t>条之规定），并附相关证据材料</w:t>
      </w:r>
      <w:r>
        <w:rPr>
          <w:rFonts w:hint="eastAsia"/>
        </w:rPr>
        <w:t>。</w:t>
      </w:r>
    </w:p>
    <w:p>
      <w:pPr>
        <w:numPr>
          <w:ilvl w:val="0"/>
          <w:numId w:val="2"/>
        </w:numPr>
        <w:spacing w:line="360" w:lineRule="auto"/>
        <w:ind w:left="728" w:hanging="728"/>
        <w:rPr>
          <w:rFonts w:ascii="宋体" w:hAnsi="宋体" w:eastAsia="宋体" w:cs="宋体"/>
          <w:b/>
          <w:kern w:val="0"/>
          <w:sz w:val="24"/>
          <w:szCs w:val="24"/>
          <w:lang w:val="zh-CN"/>
        </w:rPr>
      </w:pPr>
      <w:r>
        <w:rPr>
          <w:rFonts w:hint="eastAsia" w:ascii="宋体" w:hAnsi="宋体" w:eastAsia="宋体" w:cs="宋体"/>
          <w:b/>
          <w:kern w:val="0"/>
          <w:sz w:val="24"/>
          <w:szCs w:val="24"/>
          <w:lang w:val="zh-CN"/>
        </w:rPr>
        <w:t>联系方式：</w:t>
      </w:r>
    </w:p>
    <w:p>
      <w:pPr>
        <w:widowControl/>
        <w:spacing w:line="360" w:lineRule="auto"/>
        <w:ind w:firstLine="480"/>
        <w:jc w:val="left"/>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集中采购机构：</w:t>
      </w:r>
      <w:r>
        <w:rPr>
          <w:rFonts w:hint="eastAsia" w:ascii="宋体" w:hAnsi="宋体" w:eastAsia="宋体" w:cs="宋体"/>
          <w:bCs/>
          <w:kern w:val="0"/>
          <w:sz w:val="24"/>
          <w:szCs w:val="24"/>
          <w:lang w:eastAsia="zh-CN"/>
        </w:rPr>
        <w:t>阳新县公共资源交易中心</w:t>
      </w:r>
    </w:p>
    <w:p>
      <w:pPr>
        <w:widowControl/>
        <w:spacing w:line="360" w:lineRule="auto"/>
        <w:ind w:firstLine="480"/>
        <w:jc w:val="left"/>
        <w:rPr>
          <w:rFonts w:ascii="宋体" w:hAnsi="宋体" w:eastAsia="宋体" w:cs="宋体"/>
          <w:bCs/>
          <w:kern w:val="0"/>
          <w:sz w:val="24"/>
          <w:szCs w:val="24"/>
        </w:rPr>
      </w:pPr>
      <w:r>
        <w:rPr>
          <w:rFonts w:hint="eastAsia" w:ascii="宋体" w:hAnsi="宋体" w:eastAsia="宋体" w:cs="宋体"/>
          <w:bCs/>
          <w:kern w:val="0"/>
          <w:sz w:val="24"/>
          <w:szCs w:val="24"/>
        </w:rPr>
        <w:t>联系人：</w:t>
      </w:r>
      <w:r>
        <w:rPr>
          <w:rFonts w:hint="eastAsia" w:ascii="宋体" w:hAnsi="宋体" w:eastAsia="宋体" w:cs="宋体"/>
          <w:bCs/>
          <w:kern w:val="0"/>
          <w:sz w:val="24"/>
          <w:szCs w:val="24"/>
          <w:lang w:eastAsia="zh-CN"/>
        </w:rPr>
        <w:t>姜清华</w:t>
      </w:r>
    </w:p>
    <w:p>
      <w:pPr>
        <w:widowControl/>
        <w:spacing w:line="360" w:lineRule="auto"/>
        <w:ind w:firstLine="480"/>
        <w:jc w:val="left"/>
        <w:rPr>
          <w:rFonts w:ascii="宋体" w:hAnsi="宋体" w:eastAsia="宋体" w:cs="宋体"/>
          <w:bCs/>
          <w:kern w:val="0"/>
          <w:sz w:val="24"/>
          <w:szCs w:val="24"/>
        </w:rPr>
      </w:pPr>
      <w:r>
        <w:rPr>
          <w:rFonts w:hint="eastAsia" w:ascii="宋体" w:hAnsi="宋体" w:eastAsia="宋体" w:cs="宋体"/>
          <w:bCs/>
          <w:kern w:val="0"/>
          <w:sz w:val="24"/>
          <w:szCs w:val="24"/>
        </w:rPr>
        <w:t>联系电话：0714-7319791</w:t>
      </w:r>
    </w:p>
    <w:p>
      <w:pPr>
        <w:widowControl/>
        <w:spacing w:line="360" w:lineRule="auto"/>
        <w:ind w:firstLine="480"/>
        <w:jc w:val="left"/>
        <w:rPr>
          <w:rFonts w:ascii="宋体" w:hAnsi="宋体" w:eastAsia="宋体" w:cs="宋体"/>
          <w:bCs/>
          <w:kern w:val="0"/>
          <w:sz w:val="24"/>
          <w:szCs w:val="24"/>
        </w:rPr>
      </w:pPr>
      <w:r>
        <w:rPr>
          <w:rFonts w:hint="eastAsia" w:ascii="宋体" w:hAnsi="宋体" w:eastAsia="宋体" w:cs="宋体"/>
          <w:bCs/>
          <w:kern w:val="0"/>
          <w:sz w:val="24"/>
          <w:szCs w:val="24"/>
        </w:rPr>
        <w:t>地址：阳新大道熊家垴安置小区东侧</w:t>
      </w:r>
    </w:p>
    <w:p>
      <w:pPr>
        <w:widowControl/>
        <w:spacing w:line="360" w:lineRule="auto"/>
        <w:ind w:firstLine="480"/>
        <w:jc w:val="left"/>
        <w:rPr>
          <w:rFonts w:ascii="宋体" w:hAnsi="宋体" w:eastAsia="宋体" w:cs="宋体"/>
          <w:bCs/>
          <w:kern w:val="0"/>
          <w:sz w:val="24"/>
          <w:szCs w:val="24"/>
        </w:rPr>
      </w:pPr>
    </w:p>
    <w:p>
      <w:pPr>
        <w:widowControl/>
        <w:spacing w:line="360" w:lineRule="auto"/>
        <w:ind w:firstLine="480"/>
        <w:jc w:val="left"/>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采购人：</w:t>
      </w:r>
      <w:r>
        <w:rPr>
          <w:rFonts w:hint="eastAsia" w:ascii="宋体" w:hAnsi="宋体" w:eastAsia="宋体" w:cs="宋体"/>
          <w:bCs/>
          <w:kern w:val="0"/>
          <w:sz w:val="24"/>
          <w:szCs w:val="24"/>
          <w:lang w:eastAsia="zh-CN"/>
        </w:rPr>
        <w:t>阳新县人民法院</w:t>
      </w:r>
    </w:p>
    <w:p>
      <w:pPr>
        <w:widowControl/>
        <w:spacing w:line="360" w:lineRule="auto"/>
        <w:ind w:firstLine="480"/>
        <w:jc w:val="left"/>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联系人：</w:t>
      </w:r>
      <w:r>
        <w:rPr>
          <w:rFonts w:hint="eastAsia" w:ascii="宋体" w:hAnsi="宋体" w:eastAsia="宋体" w:cs="宋体"/>
          <w:bCs/>
          <w:kern w:val="0"/>
          <w:sz w:val="24"/>
          <w:szCs w:val="24"/>
          <w:lang w:eastAsia="zh-CN"/>
        </w:rPr>
        <w:t>孙豪乾</w:t>
      </w:r>
    </w:p>
    <w:p>
      <w:pPr>
        <w:widowControl/>
        <w:spacing w:line="360" w:lineRule="auto"/>
        <w:ind w:firstLine="480"/>
        <w:jc w:val="left"/>
        <w:rPr>
          <w:rFonts w:hint="default" w:ascii="宋体" w:hAnsi="宋体" w:eastAsia="宋体" w:cs="宋体"/>
          <w:bCs/>
          <w:kern w:val="0"/>
          <w:sz w:val="24"/>
          <w:szCs w:val="24"/>
          <w:lang w:val="en-US" w:eastAsia="zh-CN"/>
        </w:rPr>
      </w:pPr>
      <w:r>
        <w:rPr>
          <w:rFonts w:hint="eastAsia" w:ascii="宋体" w:hAnsi="宋体" w:eastAsia="宋体" w:cs="宋体"/>
          <w:bCs/>
          <w:kern w:val="0"/>
          <w:sz w:val="24"/>
          <w:szCs w:val="24"/>
        </w:rPr>
        <w:t>联系电话：</w:t>
      </w:r>
      <w:r>
        <w:rPr>
          <w:rFonts w:hint="eastAsia" w:ascii="宋体" w:hAnsi="宋体" w:eastAsia="宋体" w:cs="宋体"/>
          <w:bCs/>
          <w:kern w:val="0"/>
          <w:sz w:val="24"/>
          <w:szCs w:val="24"/>
          <w:lang w:val="en-US" w:eastAsia="zh-CN"/>
        </w:rPr>
        <w:t>0714-7354300</w:t>
      </w:r>
    </w:p>
    <w:p>
      <w:pPr>
        <w:widowControl/>
        <w:spacing w:line="360" w:lineRule="auto"/>
        <w:ind w:firstLine="480"/>
        <w:jc w:val="left"/>
        <w:rPr>
          <w:rFonts w:ascii="宋体" w:hAnsi="宋体" w:eastAsia="宋体" w:cs="宋体"/>
          <w:bCs/>
          <w:kern w:val="0"/>
          <w:sz w:val="24"/>
          <w:szCs w:val="24"/>
        </w:rPr>
      </w:pPr>
      <w:r>
        <w:rPr>
          <w:rFonts w:hint="eastAsia" w:ascii="宋体" w:hAnsi="宋体" w:eastAsia="宋体" w:cs="宋体"/>
          <w:bCs/>
          <w:kern w:val="0"/>
          <w:sz w:val="24"/>
          <w:szCs w:val="24"/>
        </w:rPr>
        <w:t>地址：</w:t>
      </w:r>
      <w:r>
        <w:rPr>
          <w:rFonts w:hint="eastAsia"/>
          <w:sz w:val="24"/>
          <w:lang w:eastAsia="zh-CN"/>
        </w:rPr>
        <w:t>阳新县兴国大道</w:t>
      </w:r>
      <w:r>
        <w:rPr>
          <w:rFonts w:hint="eastAsia"/>
          <w:sz w:val="24"/>
          <w:lang w:val="en-US" w:eastAsia="zh-CN"/>
        </w:rPr>
        <w:t>7号</w:t>
      </w:r>
    </w:p>
    <w:p>
      <w:pPr>
        <w:widowControl/>
        <w:spacing w:line="360" w:lineRule="auto"/>
        <w:ind w:firstLine="480"/>
        <w:jc w:val="left"/>
        <w:rPr>
          <w:rFonts w:ascii="宋体" w:hAnsi="宋体" w:eastAsia="宋体" w:cs="宋体"/>
          <w:bCs/>
          <w:kern w:val="0"/>
          <w:sz w:val="24"/>
          <w:szCs w:val="24"/>
        </w:rPr>
      </w:pPr>
    </w:p>
    <w:p>
      <w:pPr>
        <w:widowControl/>
        <w:spacing w:line="360" w:lineRule="auto"/>
        <w:ind w:firstLine="480"/>
        <w:jc w:val="left"/>
        <w:rPr>
          <w:rFonts w:ascii="宋体" w:hAnsi="宋体" w:eastAsia="宋体" w:cs="宋体"/>
          <w:bCs/>
          <w:kern w:val="0"/>
          <w:sz w:val="24"/>
          <w:szCs w:val="24"/>
        </w:rPr>
      </w:pPr>
    </w:p>
    <w:p>
      <w:pPr>
        <w:widowControl/>
        <w:spacing w:line="360" w:lineRule="auto"/>
        <w:ind w:firstLine="480"/>
        <w:jc w:val="left"/>
        <w:rPr>
          <w:rFonts w:ascii="宋体" w:hAnsi="宋体" w:eastAsia="宋体" w:cs="宋体"/>
          <w:bCs/>
          <w:kern w:val="0"/>
          <w:sz w:val="24"/>
          <w:szCs w:val="24"/>
        </w:rPr>
      </w:pPr>
    </w:p>
    <w:p>
      <w:pPr>
        <w:widowControl/>
        <w:spacing w:line="360" w:lineRule="auto"/>
        <w:ind w:firstLine="480"/>
        <w:jc w:val="righ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阳新县公共资源交易中心</w:t>
      </w:r>
    </w:p>
    <w:p>
      <w:pPr>
        <w:widowControl/>
        <w:spacing w:line="360" w:lineRule="auto"/>
        <w:ind w:firstLine="480"/>
        <w:jc w:val="right"/>
        <w:rPr>
          <w:rFonts w:ascii="宋体" w:hAnsi="宋体" w:eastAsia="宋体" w:cs="宋体"/>
          <w:kern w:val="0"/>
          <w:sz w:val="24"/>
          <w:szCs w:val="24"/>
        </w:rPr>
      </w:pPr>
      <w:r>
        <w:rPr>
          <w:rFonts w:hint="eastAsia" w:ascii="宋体" w:hAnsi="宋体" w:eastAsia="宋体" w:cs="宋体"/>
          <w:kern w:val="0"/>
          <w:sz w:val="24"/>
          <w:szCs w:val="24"/>
        </w:rPr>
        <w:t>201</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27</w:t>
      </w:r>
      <w:r>
        <w:rPr>
          <w:rFonts w:hint="eastAsia" w:ascii="宋体" w:hAnsi="宋体" w:eastAsia="宋体" w:cs="宋体"/>
          <w:kern w:val="0"/>
          <w:sz w:val="24"/>
          <w:szCs w:val="24"/>
        </w:rPr>
        <w:t>日</w:t>
      </w:r>
    </w:p>
    <w:p>
      <w:pPr>
        <w:widowControl/>
        <w:spacing w:line="360" w:lineRule="auto"/>
        <w:ind w:firstLine="480"/>
        <w:jc w:val="left"/>
      </w:pPr>
      <w:r>
        <w:rPr>
          <w:rFonts w:hint="eastAsia" w:ascii="宋体" w:hAnsi="宋体" w:eastAsia="宋体" w:cs="Times New Roman"/>
          <w:b/>
          <w:sz w:val="28"/>
          <w:szCs w:val="28"/>
          <w:lang w:val="zh-CN"/>
        </w:rPr>
        <w:br w:type="page"/>
      </w:r>
    </w:p>
    <w:p>
      <w:pPr>
        <w:pStyle w:val="4"/>
        <w:numPr>
          <w:ilvl w:val="0"/>
          <w:numId w:val="1"/>
        </w:numPr>
        <w:spacing w:before="240" w:after="120"/>
        <w:ind w:left="885" w:hanging="880" w:hangingChars="200"/>
        <w:jc w:val="center"/>
        <w:rPr>
          <w:rFonts w:ascii="黑体" w:hAnsi="黑体" w:eastAsia="黑体"/>
        </w:rPr>
      </w:pPr>
      <w:bookmarkStart w:id="1" w:name="_Toc2457"/>
      <w:r>
        <w:rPr>
          <w:rFonts w:hint="eastAsia" w:ascii="黑体" w:hAnsi="黑体" w:eastAsia="黑体"/>
        </w:rPr>
        <w:t>投标人须知</w:t>
      </w:r>
      <w:bookmarkEnd w:id="1"/>
    </w:p>
    <w:p>
      <w:pPr>
        <w:keepNext/>
        <w:keepLines/>
        <w:spacing w:line="360" w:lineRule="auto"/>
        <w:jc w:val="center"/>
        <w:outlineLvl w:val="1"/>
        <w:rPr>
          <w:rFonts w:cs="Times New Roman" w:asciiTheme="majorEastAsia" w:hAnsiTheme="majorEastAsia" w:eastAsiaTheme="majorEastAsia"/>
          <w:b/>
          <w:bCs/>
          <w:sz w:val="32"/>
          <w:szCs w:val="32"/>
          <w:lang w:val="zh-CN"/>
        </w:rPr>
      </w:pPr>
      <w:bookmarkStart w:id="2" w:name="_Toc494561937"/>
      <w:bookmarkStart w:id="3" w:name="_Toc25514"/>
      <w:r>
        <w:rPr>
          <w:rFonts w:cs="Times New Roman" w:asciiTheme="majorEastAsia" w:hAnsiTheme="majorEastAsia" w:eastAsiaTheme="majorEastAsia"/>
          <w:b/>
          <w:bCs/>
          <w:sz w:val="32"/>
          <w:szCs w:val="32"/>
          <w:lang w:val="zh-CN"/>
        </w:rPr>
        <w:t>投标须知前附表</w:t>
      </w:r>
      <w:bookmarkEnd w:id="2"/>
      <w:bookmarkEnd w:id="3"/>
    </w:p>
    <w:tbl>
      <w:tblPr>
        <w:tblStyle w:val="19"/>
        <w:tblW w:w="9354" w:type="dxa"/>
        <w:tblInd w:w="12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2208"/>
        <w:gridCol w:w="64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spacing w:line="276" w:lineRule="auto"/>
              <w:ind w:left="-52" w:leftChars="-25" w:right="-27" w:rightChars="-13"/>
              <w:jc w:val="center"/>
              <w:rPr>
                <w:rFonts w:ascii="宋体" w:hAnsi="宋体" w:eastAsia="宋体" w:cs="Times New Roman"/>
                <w:b/>
                <w:sz w:val="24"/>
                <w:szCs w:val="24"/>
              </w:rPr>
            </w:pPr>
            <w:r>
              <w:rPr>
                <w:rFonts w:ascii="宋体" w:hAnsi="宋体" w:eastAsia="宋体" w:cs="Times New Roman"/>
                <w:b/>
                <w:sz w:val="24"/>
                <w:szCs w:val="24"/>
              </w:rPr>
              <w:t>序号</w:t>
            </w:r>
          </w:p>
        </w:tc>
        <w:tc>
          <w:tcPr>
            <w:tcW w:w="2208"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Times New Roman" w:hAnsi="Times New Roman" w:eastAsia="宋体" w:cs="Times New Roman"/>
                <w:b/>
                <w:sz w:val="24"/>
                <w:szCs w:val="24"/>
              </w:rPr>
            </w:pPr>
            <w:r>
              <w:rPr>
                <w:rFonts w:hint="eastAsia" w:ascii="Times New Roman" w:hAnsi="宋体" w:eastAsia="宋体" w:cs="Times New Roman"/>
                <w:b/>
                <w:sz w:val="24"/>
                <w:szCs w:val="24"/>
              </w:rPr>
              <w:t>名称</w:t>
            </w:r>
          </w:p>
        </w:tc>
        <w:tc>
          <w:tcPr>
            <w:tcW w:w="6470" w:type="dxa"/>
            <w:tcBorders>
              <w:top w:val="single" w:color="auto" w:sz="4" w:space="0"/>
              <w:left w:val="single" w:color="auto" w:sz="4" w:space="0"/>
              <w:bottom w:val="single" w:color="auto" w:sz="4" w:space="0"/>
            </w:tcBorders>
            <w:vAlign w:val="center"/>
          </w:tcPr>
          <w:p>
            <w:pPr>
              <w:spacing w:line="276" w:lineRule="auto"/>
              <w:ind w:left="57" w:right="57" w:firstLine="482" w:firstLineChars="201"/>
              <w:jc w:val="center"/>
              <w:rPr>
                <w:rFonts w:ascii="Times New Roman" w:hAnsi="Times New Roman" w:eastAsia="宋体" w:cs="Times New Roman"/>
                <w:b/>
                <w:sz w:val="24"/>
                <w:szCs w:val="24"/>
              </w:rPr>
            </w:pPr>
            <w:r>
              <w:rPr>
                <w:rFonts w:ascii="Times New Roman" w:hAnsi="宋体" w:eastAsia="宋体" w:cs="Times New Roman"/>
                <w:b/>
                <w:sz w:val="24"/>
                <w:szCs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项目编号</w:t>
            </w:r>
          </w:p>
        </w:tc>
        <w:tc>
          <w:tcPr>
            <w:tcW w:w="6470" w:type="dxa"/>
            <w:tcBorders>
              <w:top w:val="single" w:color="auto" w:sz="4" w:space="0"/>
              <w:left w:val="single" w:color="auto" w:sz="4" w:space="0"/>
              <w:bottom w:val="single" w:color="auto" w:sz="4" w:space="0"/>
            </w:tcBorders>
            <w:vAlign w:val="center"/>
          </w:tcPr>
          <w:p>
            <w:pPr>
              <w:rPr>
                <w:rFonts w:hint="default" w:ascii="Times New Roman" w:hAnsi="Times New Roman" w:cs="Times New Roman" w:eastAsiaTheme="minorEastAsia"/>
                <w:color w:val="FF0000"/>
                <w:sz w:val="24"/>
                <w:szCs w:val="24"/>
                <w:lang w:val="en-US" w:eastAsia="zh-CN"/>
              </w:rPr>
            </w:pPr>
            <w:r>
              <w:rPr>
                <w:rFonts w:hint="eastAsia" w:ascii="宋体" w:hAnsi="宋体" w:cs="仿宋_GB2312"/>
                <w:szCs w:val="28"/>
              </w:rPr>
              <w:t>131－Zcg.201</w:t>
            </w:r>
            <w:r>
              <w:rPr>
                <w:rFonts w:hint="eastAsia" w:ascii="宋体" w:hAnsi="宋体" w:cs="仿宋_GB2312"/>
                <w:szCs w:val="28"/>
                <w:lang w:val="en-US" w:eastAsia="zh-CN"/>
              </w:rPr>
              <w:t>9</w:t>
            </w:r>
            <w:r>
              <w:rPr>
                <w:rFonts w:hint="eastAsia" w:ascii="宋体" w:hAnsi="宋体" w:cs="仿宋_GB2312"/>
                <w:szCs w:val="28"/>
              </w:rPr>
              <w:t>－</w:t>
            </w:r>
            <w:r>
              <w:rPr>
                <w:rFonts w:hint="eastAsia" w:ascii="宋体" w:hAnsi="宋体" w:cs="仿宋_GB2312"/>
                <w:szCs w:val="28"/>
                <w:lang w:val="en-US" w:eastAsia="zh-CN"/>
              </w:rPr>
              <w:t>69</w:t>
            </w:r>
            <w:bookmarkStart w:id="258" w:name="_GoBack"/>
            <w:bookmarkEnd w:id="25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项目名称</w:t>
            </w:r>
          </w:p>
        </w:tc>
        <w:tc>
          <w:tcPr>
            <w:tcW w:w="6470" w:type="dxa"/>
            <w:tcBorders>
              <w:top w:val="single" w:color="auto" w:sz="4" w:space="0"/>
              <w:left w:val="single" w:color="auto" w:sz="4" w:space="0"/>
              <w:bottom w:val="single" w:color="auto" w:sz="4" w:space="0"/>
            </w:tcBorders>
            <w:vAlign w:val="center"/>
          </w:tcPr>
          <w:p>
            <w:pPr>
              <w:rPr>
                <w:rFonts w:hint="eastAsia" w:ascii="宋体" w:hAnsi="宋体" w:eastAsia="宋体" w:cs="Times New Roman"/>
                <w:color w:val="0C0C0C" w:themeColor="text1" w:themeTint="F2"/>
                <w:sz w:val="24"/>
                <w:szCs w:val="24"/>
                <w:lang w:eastAsia="zh-CN"/>
              </w:rPr>
            </w:pPr>
            <w:r>
              <w:rPr>
                <w:rFonts w:hint="eastAsia" w:ascii="宋体" w:hAnsi="宋体" w:eastAsia="宋体" w:cs="Times New Roman"/>
                <w:sz w:val="24"/>
                <w:szCs w:val="24"/>
                <w:lang w:eastAsia="zh-CN"/>
              </w:rPr>
              <w:t>阳新县人民法院物业管理服务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D0D0D"/>
                <w:sz w:val="24"/>
                <w:szCs w:val="24"/>
              </w:rPr>
            </w:pPr>
            <w:r>
              <w:rPr>
                <w:rFonts w:hint="eastAsia" w:ascii="Times New Roman" w:hAnsi="宋体" w:eastAsia="宋体" w:cs="Times New Roman"/>
                <w:color w:val="0D0D0D"/>
                <w:sz w:val="24"/>
                <w:szCs w:val="24"/>
              </w:rPr>
              <w:t>项目属性</w:t>
            </w:r>
          </w:p>
        </w:tc>
        <w:tc>
          <w:tcPr>
            <w:tcW w:w="6470"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D0D0D"/>
                <w:kern w:val="0"/>
                <w:sz w:val="24"/>
                <w:szCs w:val="24"/>
                <w:lang w:val="en-US" w:eastAsia="zh-CN"/>
              </w:rPr>
            </w:pPr>
            <w:r>
              <w:rPr>
                <w:rFonts w:hint="eastAsia" w:ascii="宋体" w:hAnsi="宋体" w:eastAsia="宋体" w:cs="宋体"/>
                <w:color w:val="0D0D0D"/>
                <w:kern w:val="0"/>
                <w:sz w:val="24"/>
                <w:szCs w:val="24"/>
                <w:lang w:val="en-US" w:eastAsia="zh-CN"/>
              </w:rPr>
              <w:t>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采购人</w:t>
            </w:r>
          </w:p>
        </w:tc>
        <w:tc>
          <w:tcPr>
            <w:tcW w:w="6470" w:type="dxa"/>
            <w:tcBorders>
              <w:top w:val="single" w:color="auto" w:sz="4" w:space="0"/>
              <w:left w:val="single" w:color="auto" w:sz="4" w:space="0"/>
              <w:bottom w:val="single" w:color="auto" w:sz="4" w:space="0"/>
            </w:tcBorders>
            <w:vAlign w:val="center"/>
          </w:tcPr>
          <w:p>
            <w:pPr>
              <w:rPr>
                <w:rFonts w:hint="eastAsia" w:ascii="宋体" w:hAnsi="宋体" w:eastAsia="宋体" w:cs="宋体"/>
                <w:color w:val="FF0000"/>
                <w:kern w:val="0"/>
                <w:sz w:val="24"/>
                <w:szCs w:val="24"/>
                <w:lang w:eastAsia="zh-CN"/>
              </w:rPr>
            </w:pPr>
            <w:r>
              <w:rPr>
                <w:rFonts w:hint="eastAsia" w:ascii="宋体" w:hAnsi="宋体" w:eastAsia="宋体" w:cs="宋体"/>
                <w:bCs/>
                <w:kern w:val="0"/>
                <w:sz w:val="24"/>
                <w:szCs w:val="24"/>
                <w:lang w:eastAsia="zh-CN"/>
              </w:rPr>
              <w:t>阳新县人民法院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投标文件份数</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ascii="Times New Roman" w:hAnsi="Times New Roman" w:eastAsia="宋体" w:cs="Times New Roman"/>
                <w:color w:val="0D0D0D"/>
                <w:sz w:val="24"/>
                <w:szCs w:val="24"/>
              </w:rPr>
              <w:t>正本</w:t>
            </w:r>
            <w:r>
              <w:rPr>
                <w:rFonts w:hint="eastAsia" w:ascii="Times New Roman" w:hAnsi="Times New Roman" w:eastAsia="宋体" w:cs="Times New Roman"/>
                <w:color w:val="FF0000"/>
                <w:sz w:val="24"/>
                <w:szCs w:val="24"/>
              </w:rPr>
              <w:t>壹</w:t>
            </w:r>
            <w:r>
              <w:rPr>
                <w:rFonts w:ascii="Times New Roman" w:hAnsi="Times New Roman" w:eastAsia="宋体" w:cs="Times New Roman"/>
                <w:color w:val="0D0D0D"/>
                <w:sz w:val="24"/>
                <w:szCs w:val="24"/>
              </w:rPr>
              <w:t>份</w:t>
            </w:r>
            <w:r>
              <w:rPr>
                <w:rFonts w:hint="eastAsia" w:ascii="Times New Roman" w:hAnsi="Times New Roman" w:eastAsia="宋体" w:cs="Times New Roman"/>
                <w:color w:val="0D0D0D"/>
                <w:sz w:val="24"/>
                <w:szCs w:val="24"/>
              </w:rPr>
              <w:t>，</w:t>
            </w:r>
            <w:r>
              <w:rPr>
                <w:rFonts w:ascii="Times New Roman" w:hAnsi="Times New Roman" w:eastAsia="宋体" w:cs="Times New Roman"/>
                <w:color w:val="0D0D0D"/>
                <w:sz w:val="24"/>
                <w:szCs w:val="24"/>
              </w:rPr>
              <w:t>副本</w:t>
            </w:r>
            <w:r>
              <w:rPr>
                <w:rFonts w:hint="eastAsia" w:ascii="Times New Roman" w:hAnsi="Times New Roman" w:eastAsia="宋体" w:cs="Times New Roman"/>
                <w:color w:val="FF0000"/>
                <w:sz w:val="24"/>
                <w:szCs w:val="24"/>
              </w:rPr>
              <w:t>肆</w:t>
            </w:r>
            <w:r>
              <w:rPr>
                <w:rFonts w:ascii="Times New Roman" w:hAnsi="Times New Roman" w:eastAsia="宋体" w:cs="Times New Roman"/>
                <w:color w:val="0D0D0D"/>
                <w:sz w:val="24"/>
                <w:szCs w:val="24"/>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投标有效期</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宋体" w:hAnsi="宋体" w:eastAsia="宋体" w:cs="宋体"/>
                <w:color w:val="0D0D0D"/>
                <w:kern w:val="0"/>
                <w:sz w:val="24"/>
                <w:szCs w:val="24"/>
              </w:rPr>
              <w:t>提交投标文件截止之日起90日历日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资格预审</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sz w:val="24"/>
                <w:szCs w:val="24"/>
                <w:highlight w:val="yellow"/>
              </w:rPr>
            </w:pPr>
            <w:r>
              <w:rPr>
                <w:rFonts w:hint="eastAsia" w:ascii="Times New Roman" w:hAnsi="Times New Roman" w:eastAsia="宋体" w:cs="Times New Roman"/>
                <w:sz w:val="24"/>
                <w:szCs w:val="24"/>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投标文件递交时间</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开标时间</w:t>
            </w:r>
            <w:r>
              <w:rPr>
                <w:rFonts w:hint="eastAsia" w:ascii="Times New Roman" w:hAnsi="宋体" w:eastAsia="宋体" w:cs="Times New Roman"/>
                <w:sz w:val="24"/>
                <w:szCs w:val="24"/>
              </w:rPr>
              <w:t>、地点</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备选方案</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实物样品</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rPr>
            </w:pPr>
            <w:r>
              <w:rPr>
                <w:rFonts w:hint="eastAsia" w:ascii="Times New Roman" w:hAnsi="Times New Roman" w:eastAsia="宋体" w:cs="Times New Roman"/>
                <w:color w:val="FF0000"/>
                <w:sz w:val="24"/>
                <w:szCs w:val="24"/>
              </w:rPr>
              <w:t>不提交</w:t>
            </w:r>
          </w:p>
          <w:p>
            <w:pPr>
              <w:rPr>
                <w:rFonts w:ascii="Times New Roman" w:hAnsi="Times New Roman" w:eastAsia="宋体" w:cs="Times New Roman"/>
                <w:sz w:val="24"/>
                <w:szCs w:val="24"/>
              </w:rPr>
            </w:pPr>
            <w:r>
              <w:rPr>
                <w:rFonts w:hint="eastAsia" w:ascii="Times New Roman" w:hAnsi="Times New Roman" w:eastAsia="宋体" w:cs="Times New Roman"/>
                <w:sz w:val="24"/>
                <w:szCs w:val="24"/>
              </w:rPr>
              <w:t>详见第三章“</w:t>
            </w:r>
            <w:r>
              <w:rPr>
                <w:rFonts w:hint="eastAsia" w:ascii="宋体" w:hAnsi="宋体" w:eastAsia="宋体" w:cs="Times New Roman"/>
                <w:sz w:val="24"/>
                <w:szCs w:val="24"/>
              </w:rPr>
              <w:t>项目技术、服务及商务要求</w:t>
            </w:r>
            <w:r>
              <w:rPr>
                <w:rFonts w:hint="eastAsia" w:ascii="Times New Roman" w:hAnsi="Times New Roman" w:eastAsia="宋体" w:cs="Times New Roman"/>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宋体" w:hAnsi="宋体" w:eastAsia="宋体" w:cs="宋体"/>
                <w:color w:val="000000"/>
                <w:sz w:val="24"/>
                <w:szCs w:val="24"/>
              </w:rPr>
              <w:t>现</w:t>
            </w:r>
            <w:r>
              <w:rPr>
                <w:rFonts w:hint="eastAsia" w:ascii="宋体" w:hAnsi="宋体" w:eastAsia="宋体" w:cs="宋体"/>
                <w:sz w:val="24"/>
                <w:szCs w:val="24"/>
              </w:rPr>
              <w:t>场考察</w:t>
            </w:r>
          </w:p>
        </w:tc>
        <w:tc>
          <w:tcPr>
            <w:tcW w:w="6470" w:type="dxa"/>
            <w:tcBorders>
              <w:top w:val="single" w:color="auto" w:sz="4" w:space="0"/>
              <w:left w:val="single" w:color="auto" w:sz="4" w:space="0"/>
              <w:bottom w:val="single" w:color="auto" w:sz="4" w:space="0"/>
            </w:tcBorders>
            <w:vAlign w:val="center"/>
          </w:tcPr>
          <w:p>
            <w:pPr>
              <w:ind w:right="-105" w:rightChars="-50"/>
              <w:rPr>
                <w:rFonts w:ascii="Times New Roman" w:hAnsi="Times New Roman" w:eastAsia="宋体" w:cs="Times New Roman"/>
                <w:sz w:val="24"/>
                <w:szCs w:val="24"/>
              </w:rPr>
            </w:pPr>
            <w:r>
              <w:rPr>
                <w:rFonts w:hint="eastAsia" w:ascii="Times New Roman" w:hAnsi="Times New Roman" w:eastAsia="宋体" w:cs="Times New Roman"/>
                <w:sz w:val="24"/>
                <w:szCs w:val="24"/>
              </w:rPr>
              <w:t>不组织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D0D0D"/>
                <w:sz w:val="24"/>
                <w:szCs w:val="24"/>
              </w:rPr>
            </w:pPr>
            <w:r>
              <w:rPr>
                <w:rFonts w:hint="eastAsia" w:ascii="Times New Roman" w:hAnsi="宋体" w:eastAsia="宋体" w:cs="Times New Roman"/>
                <w:color w:val="0D0D0D"/>
                <w:sz w:val="24"/>
                <w:szCs w:val="24"/>
              </w:rPr>
              <w:t>中标后分包</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评标办法</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ascii="Times New Roman" w:hAnsi="Times New Roman" w:eastAsia="宋体" w:cs="Times New Roman"/>
                <w:color w:val="0D0D0D"/>
                <w:sz w:val="24"/>
                <w:szCs w:val="24"/>
              </w:rPr>
              <w:t>综合评分法</w:t>
            </w:r>
          </w:p>
          <w:p>
            <w:pPr>
              <w:rPr>
                <w:rFonts w:ascii="Times New Roman" w:hAnsi="Times New Roman" w:eastAsia="宋体" w:cs="Times New Roman"/>
                <w:color w:val="0D0D0D"/>
                <w:sz w:val="24"/>
                <w:szCs w:val="24"/>
                <w:lang w:val="zh-CN"/>
              </w:rPr>
            </w:pPr>
            <w:r>
              <w:rPr>
                <w:rFonts w:hint="eastAsia" w:ascii="Times New Roman" w:hAnsi="Times New Roman" w:eastAsia="宋体" w:cs="Times New Roman"/>
                <w:color w:val="0D0D0D"/>
                <w:sz w:val="24"/>
                <w:szCs w:val="24"/>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质疑及提交</w:t>
            </w:r>
          </w:p>
        </w:tc>
        <w:tc>
          <w:tcPr>
            <w:tcW w:w="6470" w:type="dxa"/>
            <w:tcBorders>
              <w:top w:val="single" w:color="auto" w:sz="4" w:space="0"/>
              <w:left w:val="single" w:color="auto" w:sz="4" w:space="0"/>
              <w:bottom w:val="single" w:color="auto" w:sz="4" w:space="0"/>
            </w:tcBorders>
            <w:vAlign w:val="center"/>
          </w:tcPr>
          <w:p>
            <w:pPr>
              <w:rPr>
                <w:rFonts w:cs="Times New Roman" w:asciiTheme="minorEastAsia" w:hAnsiTheme="minorEastAsia"/>
                <w:color w:val="0D0D0D"/>
                <w:sz w:val="24"/>
                <w:szCs w:val="24"/>
              </w:rPr>
            </w:pPr>
            <w:r>
              <w:rPr>
                <w:rFonts w:hint="eastAsia" w:cs="Times New Roman" w:asciiTheme="minorEastAsia" w:hAnsiTheme="minorEastAsia"/>
                <w:color w:val="0D0D0D"/>
                <w:sz w:val="24"/>
                <w:szCs w:val="24"/>
              </w:rPr>
              <w:t>详见本章“质疑及提交”要求</w:t>
            </w:r>
          </w:p>
        </w:tc>
      </w:tr>
    </w:tbl>
    <w:p>
      <w:pPr>
        <w:keepNext/>
        <w:keepLines/>
        <w:numPr>
          <w:ilvl w:val="0"/>
          <w:numId w:val="5"/>
        </w:numPr>
        <w:spacing w:before="100" w:beforeAutospacing="1" w:after="100" w:afterAutospacing="1" w:line="360" w:lineRule="auto"/>
        <w:ind w:left="483" w:hanging="480" w:hangingChars="150"/>
        <w:outlineLvl w:val="1"/>
        <w:rPr>
          <w:rFonts w:ascii="黑体" w:hAnsi="黑体" w:eastAsia="黑体" w:cs="Times New Roman"/>
          <w:b/>
          <w:bCs/>
          <w:sz w:val="32"/>
          <w:szCs w:val="32"/>
          <w:lang w:val="zh-CN"/>
        </w:rPr>
      </w:pPr>
      <w:bookmarkStart w:id="4" w:name="_Toc494561938"/>
      <w:r>
        <w:rPr>
          <w:rFonts w:ascii="黑体" w:hAnsi="黑体" w:eastAsia="黑体" w:cs="Times New Roman"/>
          <w:b/>
          <w:bCs/>
          <w:sz w:val="32"/>
          <w:szCs w:val="32"/>
          <w:lang w:val="zh-CN"/>
        </w:rPr>
        <w:br w:type="page"/>
      </w:r>
      <w:bookmarkStart w:id="5" w:name="_Toc22332"/>
      <w:bookmarkEnd w:id="5"/>
      <w:bookmarkStart w:id="6" w:name="_Toc16751"/>
      <w:bookmarkEnd w:id="6"/>
      <w:bookmarkStart w:id="7" w:name="_Toc18790"/>
      <w:bookmarkEnd w:id="7"/>
      <w:bookmarkStart w:id="8" w:name="_Toc25924"/>
      <w:bookmarkEnd w:id="8"/>
      <w:bookmarkStart w:id="9" w:name="_Toc31043"/>
      <w:bookmarkEnd w:id="9"/>
      <w:bookmarkStart w:id="10" w:name="_Toc3628"/>
      <w:bookmarkEnd w:id="10"/>
      <w:bookmarkStart w:id="11" w:name="_Toc4639"/>
      <w:bookmarkEnd w:id="11"/>
    </w:p>
    <w:p>
      <w:pPr>
        <w:pStyle w:val="5"/>
        <w:numPr>
          <w:ilvl w:val="0"/>
          <w:numId w:val="6"/>
        </w:numPr>
        <w:spacing w:before="40" w:after="40" w:line="360" w:lineRule="auto"/>
        <w:ind w:left="658" w:hanging="658"/>
        <w:jc w:val="left"/>
        <w:rPr>
          <w:rFonts w:cs="Times New Roman" w:asciiTheme="majorEastAsia" w:hAnsiTheme="majorEastAsia"/>
          <w:bCs w:val="0"/>
          <w:lang w:val="zh-CN"/>
        </w:rPr>
      </w:pPr>
      <w:bookmarkStart w:id="12" w:name="_Toc3877"/>
      <w:r>
        <w:rPr>
          <w:rFonts w:hint="eastAsia" w:cs="Times New Roman" w:asciiTheme="majorEastAsia" w:hAnsiTheme="majorEastAsia"/>
          <w:bCs w:val="0"/>
          <w:lang w:val="zh-CN"/>
        </w:rPr>
        <w:t>说  明</w:t>
      </w:r>
      <w:bookmarkEnd w:id="4"/>
      <w:bookmarkEnd w:id="12"/>
    </w:p>
    <w:p>
      <w:pPr>
        <w:numPr>
          <w:ilvl w:val="0"/>
          <w:numId w:val="7"/>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适用范围</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招标文件仅适用于第一章“投标邀请书”中所述项目的货物、工程及服务的采购。</w:t>
      </w:r>
    </w:p>
    <w:p>
      <w:pPr>
        <w:numPr>
          <w:ilvl w:val="0"/>
          <w:numId w:val="7"/>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当事人定义</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“采购人”是指：</w:t>
      </w:r>
      <w:r>
        <w:rPr>
          <w:rFonts w:hint="eastAsia" w:cs="Times New Roman" w:asciiTheme="minorEastAsia" w:hAnsiTheme="minorEastAsia"/>
          <w:sz w:val="24"/>
          <w:szCs w:val="24"/>
          <w:lang w:val="zh-CN"/>
        </w:rPr>
        <w:t>详见第一章“投标邀请书”。</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“监管部门”是指：</w:t>
      </w:r>
      <w:r>
        <w:rPr>
          <w:rFonts w:hint="eastAsia" w:cs="Times New Roman" w:asciiTheme="minorEastAsia" w:hAnsiTheme="minorEastAsia"/>
          <w:sz w:val="24"/>
          <w:szCs w:val="24"/>
          <w:lang w:val="zh-CN"/>
        </w:rPr>
        <w:t>阳新县政府采购办公室、阳新县公共资源交易监督管理局。</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“集中采购机构”是指：</w:t>
      </w:r>
      <w:r>
        <w:rPr>
          <w:rFonts w:hint="eastAsia" w:cs="Times New Roman" w:asciiTheme="minorEastAsia" w:hAnsiTheme="minorEastAsia"/>
          <w:sz w:val="24"/>
          <w:szCs w:val="24"/>
          <w:lang w:val="zh-CN"/>
        </w:rPr>
        <w:t>阳新县公共资源交易中心。</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“投标人”是指：</w:t>
      </w:r>
      <w:r>
        <w:rPr>
          <w:rFonts w:cs="Helvetica" w:asciiTheme="minorEastAsia" w:hAnsiTheme="minorEastAsia"/>
          <w:kern w:val="0"/>
          <w:sz w:val="24"/>
          <w:szCs w:val="24"/>
          <w:lang w:val="zh-CN"/>
        </w:rPr>
        <w:t>响应招标、参加投标竞争的法人、其他组织或者自然人。</w:t>
      </w:r>
    </w:p>
    <w:p>
      <w:pPr>
        <w:numPr>
          <w:ilvl w:val="0"/>
          <w:numId w:val="8"/>
        </w:numPr>
        <w:spacing w:line="360" w:lineRule="auto"/>
        <w:ind w:left="476" w:hanging="476"/>
        <w:rPr>
          <w:rFonts w:cs="Helvetica" w:asciiTheme="minorEastAsia" w:hAnsiTheme="minorEastAsia"/>
          <w:kern w:val="0"/>
          <w:sz w:val="24"/>
          <w:szCs w:val="24"/>
          <w:lang w:val="zh-CN"/>
        </w:rPr>
      </w:pPr>
      <w:r>
        <w:rPr>
          <w:rFonts w:hint="eastAsia" w:cs="Times New Roman" w:asciiTheme="minorEastAsia" w:hAnsiTheme="minorEastAsia"/>
          <w:b/>
          <w:sz w:val="24"/>
          <w:szCs w:val="24"/>
          <w:lang w:val="zh-CN"/>
        </w:rPr>
        <w:t>“合格的投标人”是指：</w:t>
      </w:r>
      <w:r>
        <w:rPr>
          <w:rFonts w:hint="eastAsia" w:cs="Helvetica" w:asciiTheme="minorEastAsia" w:hAnsiTheme="minorEastAsia"/>
          <w:kern w:val="0"/>
          <w:sz w:val="24"/>
          <w:szCs w:val="24"/>
          <w:lang w:val="zh-CN"/>
        </w:rPr>
        <w:t>资格审查和符合性审查合格的投标人。</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“中标人”是指：</w:t>
      </w:r>
      <w:r>
        <w:rPr>
          <w:rFonts w:hint="eastAsia" w:cs="Times New Roman" w:asciiTheme="minorEastAsia" w:hAnsiTheme="minorEastAsia"/>
          <w:sz w:val="24"/>
          <w:szCs w:val="24"/>
          <w:lang w:val="zh-CN"/>
        </w:rPr>
        <w:t>经评标委员会评审，授予合同的投标人。</w:t>
      </w:r>
    </w:p>
    <w:p>
      <w:pPr>
        <w:numPr>
          <w:ilvl w:val="0"/>
          <w:numId w:val="7"/>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项目属性及定义</w:t>
      </w:r>
    </w:p>
    <w:p>
      <w:pPr>
        <w:numPr>
          <w:ilvl w:val="0"/>
          <w:numId w:val="9"/>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“货物”是指</w:t>
      </w:r>
      <w:r>
        <w:rPr>
          <w:rFonts w:hint="eastAsia" w:cs="Times New Roman" w:asciiTheme="minorEastAsia" w:hAnsiTheme="minorEastAsia"/>
          <w:sz w:val="24"/>
          <w:szCs w:val="24"/>
          <w:lang w:val="zh-CN"/>
        </w:rPr>
        <w:t>：各种形态和种类的物品，包括原材料、燃料、设备、产品等。</w:t>
      </w:r>
    </w:p>
    <w:p>
      <w:pPr>
        <w:numPr>
          <w:ilvl w:val="0"/>
          <w:numId w:val="10"/>
        </w:numPr>
        <w:spacing w:line="360" w:lineRule="auto"/>
        <w:ind w:left="854"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招标文件中没有提及招标货物来源地的，根据《政府采购法》及相关规定均应是本国货物，另有规定的除外。</w:t>
      </w:r>
    </w:p>
    <w:p>
      <w:pPr>
        <w:numPr>
          <w:ilvl w:val="0"/>
          <w:numId w:val="10"/>
        </w:numPr>
        <w:spacing w:line="360" w:lineRule="auto"/>
        <w:ind w:left="854"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投标的货物应是合法生产的符合国家有关标准要求的货物，并能够按照合同规定的品牌、产地、质量、价格和有效期等履约。</w:t>
      </w:r>
    </w:p>
    <w:p>
      <w:pPr>
        <w:numPr>
          <w:ilvl w:val="0"/>
          <w:numId w:val="9"/>
        </w:numPr>
        <w:spacing w:line="360" w:lineRule="auto"/>
        <w:ind w:left="476" w:hanging="476"/>
        <w:rPr>
          <w:rFonts w:cs="Times New Roman" w:asciiTheme="minorEastAsia" w:hAnsiTheme="minorEastAsia"/>
          <w:b/>
          <w:color w:val="0D0D0D"/>
          <w:sz w:val="24"/>
          <w:szCs w:val="24"/>
          <w:lang w:val="zh-CN"/>
        </w:rPr>
      </w:pPr>
      <w:r>
        <w:rPr>
          <w:rFonts w:hint="eastAsia" w:cs="Times New Roman" w:asciiTheme="minorEastAsia" w:hAnsiTheme="minorEastAsia"/>
          <w:b/>
          <w:color w:val="0D0D0D"/>
          <w:sz w:val="24"/>
          <w:szCs w:val="24"/>
          <w:lang w:val="zh-CN"/>
        </w:rPr>
        <w:t>“工程”是指</w:t>
      </w:r>
      <w:r>
        <w:rPr>
          <w:rFonts w:hint="eastAsia" w:cs="Times New Roman" w:asciiTheme="minorEastAsia" w:hAnsiTheme="minorEastAsia"/>
          <w:color w:val="0D0D0D"/>
          <w:sz w:val="24"/>
          <w:szCs w:val="24"/>
          <w:lang w:val="zh-CN"/>
        </w:rPr>
        <w:t>：与建筑物和构筑物的新建、改建、扩建及其相关的装修、拆除、修缮无关的工程。</w:t>
      </w:r>
    </w:p>
    <w:p>
      <w:pPr>
        <w:numPr>
          <w:ilvl w:val="0"/>
          <w:numId w:val="9"/>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“服务”</w:t>
      </w:r>
      <w:r>
        <w:rPr>
          <w:rFonts w:hint="eastAsia" w:cs="Times New Roman" w:asciiTheme="minorEastAsia" w:hAnsiTheme="minorEastAsia"/>
          <w:b/>
          <w:color w:val="0C0C0C" w:themeColor="text1" w:themeTint="F2"/>
          <w:sz w:val="24"/>
          <w:szCs w:val="24"/>
          <w:lang w:val="zh-CN"/>
        </w:rPr>
        <w:t>是指：</w:t>
      </w:r>
      <w:r>
        <w:rPr>
          <w:rFonts w:hint="eastAsia" w:cs="Times New Roman" w:asciiTheme="minorEastAsia" w:hAnsiTheme="minorEastAsia"/>
          <w:color w:val="0C0C0C" w:themeColor="text1" w:themeTint="F2"/>
          <w:sz w:val="24"/>
          <w:szCs w:val="24"/>
          <w:lang w:val="zh-CN"/>
        </w:rPr>
        <w:t>除货物和工程（含本章3.2条所述工程及《招标投标法》所定义工程）以外的其他政府采购对象,包括政府自身需要的服务和政府向社会公众提供的公共服务。</w:t>
      </w:r>
    </w:p>
    <w:p>
      <w:pPr>
        <w:numPr>
          <w:ilvl w:val="0"/>
          <w:numId w:val="9"/>
        </w:numPr>
        <w:spacing w:line="360" w:lineRule="auto"/>
        <w:ind w:left="476" w:hanging="476"/>
        <w:rPr>
          <w:rFonts w:cs="Times New Roman" w:asciiTheme="minorEastAsia" w:hAnsiTheme="minorEastAsia"/>
          <w:sz w:val="24"/>
          <w:szCs w:val="24"/>
          <w:lang w:val="zh-CN"/>
        </w:rPr>
      </w:pPr>
      <w:r>
        <w:rPr>
          <w:rFonts w:cs="Times New Roman" w:asciiTheme="minorEastAsia" w:hAnsiTheme="minorEastAsia"/>
          <w:sz w:val="24"/>
          <w:szCs w:val="24"/>
          <w:lang w:val="zh-CN"/>
        </w:rPr>
        <w:t>采购人应当按照财政部制定的《政府采购品目分类目录》确定采购项目属性</w:t>
      </w:r>
      <w:r>
        <w:rPr>
          <w:rFonts w:hint="eastAsia" w:cs="Times New Roman" w:asciiTheme="minorEastAsia" w:hAnsiTheme="minorEastAsia"/>
          <w:sz w:val="24"/>
          <w:szCs w:val="24"/>
          <w:lang w:val="zh-CN"/>
        </w:rPr>
        <w:t>。</w:t>
      </w:r>
      <w:r>
        <w:rPr>
          <w:rFonts w:cs="Times New Roman" w:asciiTheme="minorEastAsia" w:hAnsiTheme="minorEastAsia"/>
          <w:sz w:val="24"/>
          <w:szCs w:val="24"/>
          <w:lang w:val="zh-CN"/>
        </w:rPr>
        <w:t>按照《政府采购品目分类目录》无法确定的，按照有利于采购项目实施的原则确定。</w:t>
      </w:r>
    </w:p>
    <w:p>
      <w:pPr>
        <w:numPr>
          <w:ilvl w:val="0"/>
          <w:numId w:val="7"/>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投标费用</w:t>
      </w:r>
    </w:p>
    <w:p>
      <w:pPr>
        <w:numPr>
          <w:ilvl w:val="0"/>
          <w:numId w:val="11"/>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投标人应承担所有与准备和参加投标有关的费用。不论投标的结果如何，集中采购机构和采购人均无义务和责任承担这些费用。</w:t>
      </w:r>
    </w:p>
    <w:p>
      <w:pPr>
        <w:numPr>
          <w:ilvl w:val="0"/>
          <w:numId w:val="11"/>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sz w:val="24"/>
          <w:szCs w:val="24"/>
          <w:lang w:val="zh-CN"/>
        </w:rPr>
        <w:t xml:space="preserve">集中采购机构不向中标人收取中标服务费。 </w:t>
      </w:r>
    </w:p>
    <w:p>
      <w:pPr>
        <w:pStyle w:val="5"/>
        <w:numPr>
          <w:ilvl w:val="0"/>
          <w:numId w:val="6"/>
        </w:numPr>
        <w:spacing w:before="40" w:after="40" w:line="360" w:lineRule="auto"/>
        <w:ind w:left="658" w:hanging="658"/>
        <w:jc w:val="left"/>
        <w:rPr>
          <w:rFonts w:cs="Times New Roman" w:asciiTheme="majorEastAsia" w:hAnsiTheme="majorEastAsia"/>
          <w:bCs w:val="0"/>
          <w:lang w:val="zh-CN"/>
        </w:rPr>
      </w:pPr>
      <w:bookmarkStart w:id="13" w:name="_Toc278891592"/>
      <w:bookmarkStart w:id="14" w:name="_Toc272247695"/>
      <w:bookmarkStart w:id="15" w:name="_Toc494561939"/>
      <w:bookmarkStart w:id="16" w:name="_Toc10171"/>
      <w:r>
        <w:rPr>
          <w:rFonts w:hint="eastAsia" w:cs="Times New Roman" w:asciiTheme="majorEastAsia" w:hAnsiTheme="majorEastAsia"/>
          <w:bCs w:val="0"/>
          <w:lang w:val="zh-CN"/>
        </w:rPr>
        <w:t>招标文件</w:t>
      </w:r>
      <w:bookmarkEnd w:id="13"/>
      <w:bookmarkEnd w:id="14"/>
      <w:bookmarkEnd w:id="15"/>
      <w:bookmarkEnd w:id="16"/>
    </w:p>
    <w:p>
      <w:pPr>
        <w:numPr>
          <w:ilvl w:val="0"/>
          <w:numId w:val="7"/>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招标文件的构成</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第一章 投标邀请书</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第二章 投标人须知</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第三章 项目技术、服务及商务要求</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第四章 资格审查方法及标准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第五章 评标方法、程序及标准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第六章 合同书格式（参考）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第七章 投标文件格式（参考）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其 他  在招标过程中由集中采购机构发出的修正和补充文件等</w:t>
      </w:r>
    </w:p>
    <w:p>
      <w:pPr>
        <w:numPr>
          <w:ilvl w:val="0"/>
          <w:numId w:val="7"/>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招标文件疑问的提交</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潜在投标人对招标文件有疑问的，可以向集中采购机构提出询问，或在6.2规定的时间前以书面的形式向集中采购机构提交疑问函。</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潜在投标人在项目招标公告期限届满之日起7个工作日内未对招标文件提出疑问的，集中采购机构将视其认同招标文件，在规定的时间后就招标文件内容提出的疑问将不予受理。</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集中采购机构将组织采购人对潜在投标人所提交疑问以书面（或网上公告）的形式予以答复。必要时，集中采购机构将组织相关专家召开答疑会，并将会议内容以书面的形式发给每个领取招标文件的潜在投标人（答复中不包括问题的来源）。</w:t>
      </w:r>
    </w:p>
    <w:p>
      <w:pPr>
        <w:numPr>
          <w:ilvl w:val="0"/>
          <w:numId w:val="7"/>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招标文件的澄清、修改</w:t>
      </w:r>
    </w:p>
    <w:p>
      <w:pPr>
        <w:numPr>
          <w:ilvl w:val="0"/>
          <w:numId w:val="13"/>
        </w:numPr>
        <w:spacing w:line="360" w:lineRule="auto"/>
        <w:ind w:left="476" w:hanging="476"/>
        <w:rPr>
          <w:rFonts w:ascii="Helvetica" w:hAnsi="Helvetica" w:eastAsia="宋体" w:cs="Helvetica"/>
          <w:kern w:val="0"/>
          <w:sz w:val="24"/>
          <w:szCs w:val="24"/>
          <w:lang w:val="zh-CN"/>
        </w:rPr>
      </w:pPr>
      <w:r>
        <w:rPr>
          <w:rFonts w:hint="eastAsia" w:ascii="宋体" w:hAnsi="宋体" w:eastAsia="宋体" w:cs="Times New Roman"/>
          <w:sz w:val="24"/>
          <w:szCs w:val="20"/>
          <w:lang w:val="zh-CN"/>
        </w:rPr>
        <w:t>集中采购机构和采购人可以对已发出的招标文件进行必要的澄清或者修改，</w:t>
      </w:r>
      <w:r>
        <w:rPr>
          <w:rFonts w:hint="eastAsia" w:ascii="Helvetica" w:hAnsi="Helvetica" w:eastAsia="宋体" w:cs="Helvetica"/>
          <w:kern w:val="0"/>
          <w:sz w:val="24"/>
          <w:szCs w:val="24"/>
          <w:lang w:val="zh-CN"/>
        </w:rPr>
        <w:t>但不得改变采购标的和资格条件</w:t>
      </w:r>
      <w:r>
        <w:rPr>
          <w:rFonts w:hint="eastAsia" w:ascii="宋体" w:hAnsi="宋体" w:eastAsia="宋体" w:cs="Times New Roman"/>
          <w:sz w:val="24"/>
          <w:szCs w:val="20"/>
          <w:lang w:val="zh-CN"/>
        </w:rPr>
        <w:t>。</w:t>
      </w:r>
      <w:r>
        <w:rPr>
          <w:rFonts w:hint="eastAsia" w:ascii="Helvetica" w:hAnsi="Helvetica" w:eastAsia="宋体" w:cs="Helvetica"/>
          <w:kern w:val="0"/>
          <w:sz w:val="24"/>
          <w:szCs w:val="24"/>
          <w:lang w:val="zh-CN"/>
        </w:rPr>
        <w:t>澄清或者修改将在原公告发布媒体上发布澄清公告。澄清或者修改的内容可能影响投标文件编制的，集中采购机构和采购人将在投标截止时间至少</w:t>
      </w:r>
      <w:r>
        <w:rPr>
          <w:rFonts w:hint="eastAsia" w:ascii="宋体" w:hAnsi="宋体" w:eastAsia="宋体" w:cs="Times New Roman"/>
          <w:sz w:val="24"/>
          <w:szCs w:val="20"/>
          <w:lang w:val="zh-CN"/>
        </w:rPr>
        <w:t>15</w:t>
      </w:r>
      <w:r>
        <w:rPr>
          <w:rFonts w:hint="eastAsia" w:ascii="Helvetica" w:hAnsi="Helvetica" w:eastAsia="宋体" w:cs="Helvetica"/>
          <w:kern w:val="0"/>
          <w:sz w:val="24"/>
          <w:szCs w:val="24"/>
          <w:lang w:val="zh-CN"/>
        </w:rPr>
        <w:t>日前，以书面形式通知所有获取招标文件的潜在投标人。</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为使潜在投标人有充足时间对招标文件的澄清或者修改的内容进行研究和响应，集中采购机构和采购人可适当顺延提交投标文件的截止时间，并以书面（或网上公告）的形式通知所有领取招标文件的潜在投标人。</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澄清或者修改的内容为招标文件的组成部分，并对潜在投标人具有约束力。潜在投标人在收到上述通知后，应立即以书面（或邮件）形式向集中采购机构确认收悉。</w:t>
      </w:r>
    </w:p>
    <w:p>
      <w:pPr>
        <w:numPr>
          <w:ilvl w:val="0"/>
          <w:numId w:val="7"/>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现场考察</w:t>
      </w:r>
    </w:p>
    <w:p>
      <w:pPr>
        <w:numPr>
          <w:ilvl w:val="0"/>
          <w:numId w:val="14"/>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4"/>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采购人向潜在投标人提供有关现场的数据和资料。是采购人现有的能被潜在投标人利用的客观资料，采购人对潜在投标人依此作出的任何推论、理解和结论均不负责任。</w:t>
      </w:r>
    </w:p>
    <w:p>
      <w:pPr>
        <w:numPr>
          <w:ilvl w:val="0"/>
          <w:numId w:val="14"/>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经采购人允许，潜在投标人可进入项目现场进行考察，但潜在投标人不得因此使采购人承担有关责任和蒙受损失。潜在投标人应自行承担现场考察的全部费用、责任和风险。</w:t>
      </w:r>
    </w:p>
    <w:p>
      <w:pPr>
        <w:pStyle w:val="5"/>
        <w:numPr>
          <w:ilvl w:val="0"/>
          <w:numId w:val="6"/>
        </w:numPr>
        <w:spacing w:before="40" w:after="40" w:line="360" w:lineRule="auto"/>
        <w:ind w:left="658" w:hanging="658"/>
        <w:jc w:val="left"/>
        <w:rPr>
          <w:rFonts w:cs="Times New Roman" w:asciiTheme="majorEastAsia" w:hAnsiTheme="majorEastAsia"/>
          <w:bCs w:val="0"/>
          <w:lang w:val="zh-CN"/>
        </w:rPr>
      </w:pPr>
      <w:bookmarkStart w:id="17" w:name="_Toc494561940"/>
      <w:bookmarkStart w:id="18" w:name="_Toc278891593"/>
      <w:bookmarkStart w:id="19" w:name="_Toc272247696"/>
      <w:bookmarkStart w:id="20" w:name="_Toc29818"/>
      <w:r>
        <w:rPr>
          <w:rFonts w:hint="eastAsia" w:cs="Times New Roman" w:asciiTheme="majorEastAsia" w:hAnsiTheme="majorEastAsia"/>
          <w:bCs w:val="0"/>
          <w:lang w:val="zh-CN"/>
        </w:rPr>
        <w:t>投标文件</w:t>
      </w:r>
      <w:bookmarkEnd w:id="17"/>
      <w:bookmarkEnd w:id="18"/>
      <w:bookmarkEnd w:id="19"/>
      <w:bookmarkEnd w:id="20"/>
    </w:p>
    <w:p>
      <w:pPr>
        <w:numPr>
          <w:ilvl w:val="0"/>
          <w:numId w:val="7"/>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投标的语言</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提交的投标文件以及投标人与集中采购机构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7"/>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投标人编制的投标文件应包括但不限于下列内容：</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第一部分  资格证明文件（详见第七章“投标文件格式”中资格证明文件组成）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第二部分  商务文件（详见第七章“投标文件格式”中商务文件组成）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第三部分  技术、服务文件（详见第七章“投标文件格式”中技术、服务文件组成）</w:t>
      </w:r>
    </w:p>
    <w:p>
      <w:pPr>
        <w:numPr>
          <w:ilvl w:val="0"/>
          <w:numId w:val="7"/>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投标文件编制</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如招标文件有分包要求，投标人对招标文件中多个包进行投标的，其投标文件的编制应按每包要求分别装订和封装，并注明对应包号。</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投标人应当对投标文件进行装订，对未经装订的投标书可能发生的文件散落或缺损，由此产生的后果及责任由投标人自行承担。</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投标人应按照招标文件第七章“投标文件格式”提供的《投标书》、《开标一览表》、《投标报价明细表》、《法定代表人授权书》等格式、要求、规定来编制投标文件。</w:t>
      </w:r>
    </w:p>
    <w:p>
      <w:pPr>
        <w:numPr>
          <w:ilvl w:val="0"/>
          <w:numId w:val="15"/>
        </w:numPr>
        <w:spacing w:line="360" w:lineRule="auto"/>
        <w:ind w:left="616" w:hanging="616"/>
        <w:rPr>
          <w:rFonts w:cs="Times New Roman" w:asciiTheme="minorEastAsia" w:hAnsiTheme="minorEastAsia"/>
          <w:color w:val="0C0C0C" w:themeColor="text1" w:themeTint="F2"/>
          <w:sz w:val="24"/>
          <w:szCs w:val="24"/>
          <w:lang w:val="zh-CN"/>
        </w:rPr>
      </w:pPr>
      <w:r>
        <w:rPr>
          <w:rFonts w:hint="eastAsia" w:cs="Times New Roman" w:asciiTheme="minorEastAsia" w:hAnsiTheme="minorEastAsia"/>
          <w:color w:val="0C0C0C" w:themeColor="text1" w:themeTint="F2"/>
          <w:sz w:val="24"/>
          <w:szCs w:val="24"/>
          <w:lang w:val="zh-CN"/>
        </w:rPr>
        <w:t>投标人应对投标文件中所提供资料的真实性负责，如有虚假，将依法承担相应责任。投标人应自觉接受集中采购机构对其中任何资料进一步核实的要求。</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因投标人投标文件填报的内容不详，或没有提供招标文件中所要求的全部资料及数据等，由此产生的后果及责任由投标人自行承担。</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投标文件用纸应统一为A4规格（图纸除外）。</w:t>
      </w:r>
    </w:p>
    <w:p>
      <w:pPr>
        <w:numPr>
          <w:ilvl w:val="0"/>
          <w:numId w:val="15"/>
        </w:numPr>
        <w:spacing w:line="360" w:lineRule="auto"/>
        <w:ind w:left="616" w:hanging="616"/>
        <w:rPr>
          <w:rFonts w:cs="Times New Roman" w:asciiTheme="minorEastAsia" w:hAnsiTheme="minorEastAsia"/>
          <w:b/>
          <w:color w:val="FF0000"/>
          <w:sz w:val="24"/>
          <w:szCs w:val="24"/>
          <w:lang w:val="zh-CN"/>
        </w:rPr>
      </w:pPr>
      <w:r>
        <w:rPr>
          <w:rFonts w:hint="eastAsia" w:cs="Times New Roman" w:asciiTheme="minorEastAsia" w:hAnsiTheme="minorEastAsia"/>
          <w:b/>
          <w:color w:val="FF0000"/>
          <w:sz w:val="24"/>
          <w:szCs w:val="24"/>
          <w:lang w:val="zh-CN"/>
        </w:rPr>
        <w:t>投标文件共分为：第一部分资格证明文件、第二部分商务文件和第三部分技术、服务文件。投标人应将投标文件第一部分资格证明文件、第二部分商务文件、第三部分技术、服务文件分别用显著文字说明，统一编制合订成一本投标文件，统一逐页连续标注页码，建立目录索引。</w:t>
      </w:r>
      <w:r>
        <w:rPr>
          <w:rFonts w:hint="eastAsia" w:ascii="宋体" w:hAnsi="宋体" w:eastAsia="宋体" w:cs="Times New Roman"/>
          <w:b/>
          <w:color w:val="FF0000"/>
          <w:sz w:val="24"/>
          <w:szCs w:val="20"/>
          <w:lang w:val="zh-CN"/>
        </w:rPr>
        <w:t>各部分文件及内容详见第七章“投标文件格式”要求。</w:t>
      </w:r>
    </w:p>
    <w:p>
      <w:pPr>
        <w:numPr>
          <w:ilvl w:val="0"/>
          <w:numId w:val="15"/>
        </w:numPr>
        <w:spacing w:line="360" w:lineRule="auto"/>
        <w:ind w:left="616" w:hanging="616"/>
        <w:rPr>
          <w:rFonts w:cs="Times New Roman" w:asciiTheme="minorEastAsia" w:hAnsiTheme="minorEastAsia"/>
          <w:b/>
          <w:sz w:val="24"/>
          <w:szCs w:val="24"/>
          <w:lang w:val="zh-CN"/>
        </w:rPr>
      </w:pPr>
      <w:r>
        <w:rPr>
          <w:rFonts w:hint="eastAsia" w:cs="Times New Roman" w:asciiTheme="minorEastAsia" w:hAnsiTheme="minorEastAsia"/>
          <w:b/>
          <w:color w:val="FF0000"/>
          <w:sz w:val="24"/>
          <w:szCs w:val="24"/>
          <w:lang w:val="zh-CN"/>
        </w:rPr>
        <w:t>为方便开标时唱标，投标人应将《开标一览表》一份单独密封提交，并在信封上标明"开标一览表"字样。投标人应将投标文件正本和所有的副本一起密封装在文件袋（或封装袋）中，并在封面上标明"正本"、"副本"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r>
        <w:rPr>
          <w:rFonts w:hint="eastAsia" w:cs="Times New Roman" w:asciiTheme="minorEastAsia" w:hAnsiTheme="minorEastAsia"/>
          <w:b/>
          <w:sz w:val="24"/>
          <w:szCs w:val="24"/>
          <w:lang w:val="zh-CN"/>
        </w:rPr>
        <w:t>。</w:t>
      </w:r>
    </w:p>
    <w:p>
      <w:pPr>
        <w:numPr>
          <w:ilvl w:val="0"/>
          <w:numId w:val="7"/>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投标报价</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投标人所提供的货物（工程或服务）均以人民币计价。</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投标人应按照“第三章 项目技术、服务及商务要求”规定的货物（工程或服务）内容、责任范围以及合同条款进行报价。并按照《开标一览表》的格式进行报价。投标总价应为优惠后的最终报价。投标总价中不得包含招标文件要求以外的内容，否则，在评标时不予核减。</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每一种规格的货物（工程或服务）只允许有一个报价，否则按照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投标人应对项目招标范围内的全部内容进行报价，不得缺、漏项或只投其中的部分内容的，否则按照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7"/>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备选方案</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只允许投标人提供一个投标方案（招标文件中要求提供备选方案的除外），否则按照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7"/>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中标后分包</w:t>
      </w:r>
    </w:p>
    <w:p>
      <w:pPr>
        <w:spacing w:line="360" w:lineRule="auto"/>
        <w:ind w:firstLine="480" w:firstLineChars="200"/>
        <w:rPr>
          <w:rFonts w:cs="Times New Roman" w:asciiTheme="minorEastAsia" w:hAnsiTheme="minorEastAsia"/>
          <w:sz w:val="24"/>
          <w:szCs w:val="24"/>
          <w:lang w:val="zh-CN"/>
        </w:rPr>
      </w:pPr>
      <w:r>
        <w:rPr>
          <w:rFonts w:cs="Times New Roman" w:asciiTheme="minorEastAsia" w:hAnsiTheme="minorEastAsia"/>
          <w:sz w:val="24"/>
          <w:szCs w:val="24"/>
          <w:lang w:val="zh-CN"/>
        </w:rPr>
        <w:t>招标文件规定</w:t>
      </w:r>
      <w:r>
        <w:rPr>
          <w:rFonts w:hint="eastAsia" w:cs="Times New Roman" w:asciiTheme="minorEastAsia" w:hAnsiTheme="minorEastAsia"/>
          <w:sz w:val="24"/>
          <w:szCs w:val="24"/>
          <w:lang w:val="zh-CN"/>
        </w:rPr>
        <w:t>项目非主体、非关键性工作中标后可以分包</w:t>
      </w:r>
      <w:r>
        <w:rPr>
          <w:rFonts w:cs="Times New Roman" w:asciiTheme="minorEastAsia" w:hAnsiTheme="minorEastAsia"/>
          <w:sz w:val="24"/>
          <w:szCs w:val="24"/>
          <w:lang w:val="zh-CN"/>
        </w:rPr>
        <w:t>的，投标人拟在中标后将项目的非主体、非关键性工作分包，应当在投标文件中载明</w:t>
      </w:r>
      <w:r>
        <w:rPr>
          <w:rFonts w:hint="eastAsia" w:cs="Times New Roman" w:asciiTheme="minorEastAsia" w:hAnsiTheme="minorEastAsia"/>
          <w:sz w:val="24"/>
          <w:szCs w:val="24"/>
          <w:lang w:val="zh-CN"/>
        </w:rPr>
        <w:t>具备相应资质条件的</w:t>
      </w:r>
      <w:r>
        <w:rPr>
          <w:rFonts w:cs="Times New Roman" w:asciiTheme="minorEastAsia" w:hAnsiTheme="minorEastAsia"/>
          <w:sz w:val="24"/>
          <w:szCs w:val="24"/>
          <w:lang w:val="zh-CN"/>
        </w:rPr>
        <w:t>分包承担主体，分包承担主体不得再次分包。</w:t>
      </w:r>
    </w:p>
    <w:p>
      <w:pPr>
        <w:numPr>
          <w:ilvl w:val="0"/>
          <w:numId w:val="7"/>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联合体投标</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两个及以上供应商可以组成一个联合体，以一个投标人的身份共同参与投标。</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采取联合体形式投标的，联合体各方均应当符合政府采购法第二十二条第一款规定的条件。联合体的主体应完全满足项目投标人资格要求。</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联合体各方之间应签订联合投标协议，明确约定联合体主体及各方承担的工作和相应的责任，其投标文件中应提供联合投标协议。</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以联合体形式参加政府采购活动的，联合体各方不得再单独参加或者与其他供应商另外组成联合体参加同一合同项下的政府采购活动。</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采取联合体形式投标的，项目评审时只对联合体主体进行评议。</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联合体中标的，联合体各方应当共同与采购人</w:t>
      </w:r>
      <w:r>
        <w:rPr>
          <w:rFonts w:hint="eastAsia" w:cs="Times New Roman" w:asciiTheme="minorEastAsia" w:hAnsiTheme="minorEastAsia"/>
          <w:color w:val="0C0C0C" w:themeColor="text1" w:themeTint="F2"/>
          <w:sz w:val="24"/>
          <w:szCs w:val="24"/>
          <w:lang w:val="zh-CN"/>
        </w:rPr>
        <w:t>签订采购合同，</w:t>
      </w:r>
      <w:r>
        <w:rPr>
          <w:rFonts w:hint="eastAsia" w:ascii="宋体" w:hAnsi="宋体"/>
          <w:color w:val="0C0C0C" w:themeColor="text1" w:themeTint="F2"/>
          <w:sz w:val="24"/>
        </w:rPr>
        <w:t>就采购合同约定的事项对采购人承担连带责任，</w:t>
      </w:r>
      <w:r>
        <w:rPr>
          <w:rFonts w:hint="eastAsia" w:cs="Times New Roman" w:asciiTheme="minorEastAsia" w:hAnsiTheme="minorEastAsia"/>
          <w:color w:val="0C0C0C" w:themeColor="text1" w:themeTint="F2"/>
          <w:sz w:val="24"/>
          <w:szCs w:val="24"/>
          <w:lang w:val="zh-CN"/>
        </w:rPr>
        <w:t>联合体主体单位负主要</w:t>
      </w:r>
      <w:r>
        <w:rPr>
          <w:rFonts w:hint="eastAsia" w:cs="Times New Roman" w:asciiTheme="minorEastAsia" w:hAnsiTheme="minorEastAsia"/>
          <w:sz w:val="24"/>
          <w:szCs w:val="24"/>
          <w:lang w:val="zh-CN"/>
        </w:rPr>
        <w:t>责任。</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联合体中有同类资质的供应商按照联合体分工承担相同工作的，应当按照资质等级较低的供应商确定资质等级。</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招标文件第一章“投标人资格要求”中</w:t>
      </w:r>
      <w:r>
        <w:rPr>
          <w:rFonts w:cs="Times New Roman" w:asciiTheme="minorEastAsia" w:hAnsiTheme="minorEastAsia"/>
          <w:sz w:val="24"/>
          <w:szCs w:val="24"/>
          <w:lang w:val="zh-CN"/>
        </w:rPr>
        <w:t>未载明</w:t>
      </w:r>
      <w:r>
        <w:rPr>
          <w:rFonts w:hint="eastAsia" w:cs="Times New Roman" w:asciiTheme="minorEastAsia" w:hAnsiTheme="minorEastAsia"/>
          <w:sz w:val="24"/>
          <w:szCs w:val="24"/>
          <w:lang w:val="zh-CN"/>
        </w:rPr>
        <w:t>是否接受联合体投标的</w:t>
      </w:r>
      <w:r>
        <w:rPr>
          <w:rFonts w:cs="Times New Roman" w:asciiTheme="minorEastAsia" w:hAnsiTheme="minorEastAsia"/>
          <w:sz w:val="24"/>
          <w:szCs w:val="24"/>
          <w:lang w:val="zh-CN"/>
        </w:rPr>
        <w:t>，</w:t>
      </w:r>
      <w:r>
        <w:rPr>
          <w:rFonts w:hint="eastAsia" w:cs="Times New Roman" w:asciiTheme="minorEastAsia" w:hAnsiTheme="minorEastAsia"/>
          <w:sz w:val="24"/>
          <w:szCs w:val="24"/>
          <w:lang w:val="zh-CN"/>
        </w:rPr>
        <w:t>视同接受</w:t>
      </w:r>
      <w:r>
        <w:rPr>
          <w:rFonts w:cs="Times New Roman" w:asciiTheme="minorEastAsia" w:hAnsiTheme="minorEastAsia"/>
          <w:sz w:val="24"/>
          <w:szCs w:val="24"/>
          <w:lang w:val="zh-CN"/>
        </w:rPr>
        <w:t>。</w:t>
      </w:r>
    </w:p>
    <w:p>
      <w:pPr>
        <w:numPr>
          <w:ilvl w:val="0"/>
          <w:numId w:val="17"/>
        </w:numPr>
        <w:spacing w:line="360" w:lineRule="auto"/>
        <w:ind w:left="728"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以联合体形式参与投标的，其价格扣除相关规定详见第五章“评标方法、程序及标准”。</w:t>
      </w:r>
    </w:p>
    <w:p>
      <w:pPr>
        <w:numPr>
          <w:ilvl w:val="0"/>
          <w:numId w:val="7"/>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资格证明文件</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投标人应按本节及第四章“资格审查方法及标准”的要求，提供足以证明其符合项目“投标人资格要求”且中标后有能力履行合同的文件，并作为其投标文件的组成部分。</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资格证明文件应真实、合法，并就此承担相应法律责任。</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资格证明文件正本应为清晰彩色影印件且加盖单位公章，否则按照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。副本可为正本的复印件,但应在副本封面加盖单位公章。</w:t>
      </w:r>
    </w:p>
    <w:p>
      <w:pPr>
        <w:numPr>
          <w:ilvl w:val="0"/>
          <w:numId w:val="18"/>
        </w:numPr>
        <w:spacing w:line="360" w:lineRule="auto"/>
        <w:ind w:left="616" w:hanging="616"/>
        <w:rPr>
          <w:rFonts w:cs="Times New Roman" w:asciiTheme="minorEastAsia" w:hAnsiTheme="minorEastAsia"/>
          <w:sz w:val="24"/>
          <w:szCs w:val="24"/>
          <w:lang w:val="zh-CN"/>
        </w:rPr>
      </w:pPr>
      <w:r>
        <w:rPr>
          <w:rFonts w:hint="eastAsia" w:cs="Helvetica" w:asciiTheme="minorEastAsia" w:hAnsiTheme="minorEastAsia"/>
          <w:kern w:val="0"/>
          <w:sz w:val="24"/>
          <w:szCs w:val="24"/>
          <w:lang w:val="zh-CN"/>
        </w:rPr>
        <w:t>资格证明文件内容详见</w:t>
      </w:r>
      <w:r>
        <w:rPr>
          <w:rFonts w:hint="eastAsia" w:cs="Times New Roman" w:asciiTheme="minorEastAsia" w:hAnsiTheme="minorEastAsia"/>
          <w:sz w:val="24"/>
          <w:szCs w:val="24"/>
          <w:lang w:val="zh-CN"/>
        </w:rPr>
        <w:t>第四章“资格审查方法及标准”中资格审查内容</w:t>
      </w:r>
      <w:r>
        <w:rPr>
          <w:rFonts w:hint="eastAsia" w:cs="Helvetica" w:asciiTheme="minorEastAsia" w:hAnsiTheme="minorEastAsia"/>
          <w:kern w:val="0"/>
          <w:sz w:val="24"/>
          <w:szCs w:val="24"/>
          <w:lang w:val="zh-CN"/>
        </w:rPr>
        <w:t>。</w:t>
      </w:r>
    </w:p>
    <w:p>
      <w:pPr>
        <w:numPr>
          <w:ilvl w:val="0"/>
          <w:numId w:val="7"/>
        </w:numPr>
        <w:spacing w:line="360" w:lineRule="auto"/>
        <w:ind w:left="560" w:hanging="560"/>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投标保证金</w:t>
      </w:r>
      <w:r>
        <w:rPr>
          <w:rFonts w:hint="eastAsia" w:cs="Times New Roman" w:asciiTheme="minorEastAsia" w:hAnsiTheme="minorEastAsia"/>
          <w:bCs/>
          <w:sz w:val="24"/>
          <w:szCs w:val="24"/>
          <w:lang w:val="zh-CN"/>
        </w:rPr>
        <w:t>（</w:t>
      </w:r>
      <w:r>
        <w:rPr>
          <w:rFonts w:hint="eastAsia" w:cs="Times New Roman" w:asciiTheme="minorEastAsia" w:hAnsiTheme="minorEastAsia"/>
          <w:sz w:val="24"/>
          <w:szCs w:val="24"/>
          <w:lang w:val="zh-CN"/>
        </w:rPr>
        <w:t>本项目不收取投标保证金，详见本章“投标须知前附表”中的说明）。</w:t>
      </w:r>
    </w:p>
    <w:p>
      <w:pPr>
        <w:numPr>
          <w:ilvl w:val="0"/>
          <w:numId w:val="7"/>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投标有效期</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投标有效期详见本章“投标须知前附表”中规定。</w:t>
      </w:r>
      <w:r>
        <w:rPr>
          <w:rFonts w:cs="Helvetica" w:asciiTheme="minorEastAsia" w:hAnsiTheme="minorEastAsia"/>
          <w:kern w:val="0"/>
          <w:sz w:val="24"/>
          <w:szCs w:val="24"/>
          <w:lang w:val="zh-CN"/>
        </w:rPr>
        <w:t>投标文件中承诺的投标有效期应当不少于招标文件中载明的投标有效期</w:t>
      </w:r>
      <w:r>
        <w:rPr>
          <w:rFonts w:hint="eastAsia" w:cs="Helvetica" w:asciiTheme="minorEastAsia" w:hAnsiTheme="minorEastAsia"/>
          <w:kern w:val="0"/>
          <w:sz w:val="24"/>
          <w:szCs w:val="24"/>
          <w:lang w:val="zh-CN"/>
        </w:rPr>
        <w:t>。投标有效期不足的，</w:t>
      </w:r>
      <w:r>
        <w:rPr>
          <w:rFonts w:hint="eastAsia" w:cs="Times New Roman" w:asciiTheme="minorEastAsia" w:hAnsiTheme="minorEastAsia"/>
          <w:sz w:val="24"/>
          <w:szCs w:val="24"/>
          <w:lang w:val="zh-CN"/>
        </w:rPr>
        <w:t>按照</w:t>
      </w:r>
      <w:r>
        <w:rPr>
          <w:rFonts w:hint="eastAsia" w:cs="Times New Roman" w:asciiTheme="minorEastAsia" w:hAnsiTheme="minorEastAsia"/>
          <w:b/>
          <w:sz w:val="24"/>
          <w:szCs w:val="24"/>
          <w:lang w:val="zh-CN"/>
        </w:rPr>
        <w:t>无效投标处理。</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特殊情况下，在原投标有效期截止之前，集中采购机构或采购人可要求投标人延长投标有效期。这种要求与答复均应以书面形式提交。投标人可拒绝集中采购机构或采购人的这种要求，但其投标在原投标有效期期满后将不再有效。同意延长投标有效期的投标人不会被要求和允许修正其投标内容。</w:t>
      </w:r>
    </w:p>
    <w:p>
      <w:pPr>
        <w:numPr>
          <w:ilvl w:val="0"/>
          <w:numId w:val="7"/>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投标文件的数量和签署</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投标文件中任何涂改和增删，应由法定代表人或经其正式授权的代表在旁边签字后方为有效。</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招标文件中要求加盖公章及签字（签章）之处，投标文件正本中应按要求提供加盖公章及签字（签章）的原件，否则按照</w:t>
      </w:r>
      <w:r>
        <w:rPr>
          <w:rFonts w:hint="eastAsia" w:cs="Times New Roman" w:asciiTheme="minorEastAsia" w:hAnsiTheme="minorEastAsia"/>
          <w:b/>
          <w:sz w:val="24"/>
          <w:szCs w:val="24"/>
          <w:lang w:val="zh-CN"/>
        </w:rPr>
        <w:t>无效投标处理。</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投标文件的密封和标记</w:t>
      </w:r>
    </w:p>
    <w:p>
      <w:pPr>
        <w:numPr>
          <w:ilvl w:val="0"/>
          <w:numId w:val="21"/>
        </w:numPr>
        <w:spacing w:line="360" w:lineRule="auto"/>
        <w:ind w:left="616" w:hanging="616"/>
        <w:rPr>
          <w:rFonts w:ascii="宋体" w:hAnsi="宋体" w:eastAsia="宋体" w:cs="Times New Roman"/>
          <w:color w:val="FF0000"/>
          <w:sz w:val="24"/>
          <w:szCs w:val="20"/>
          <w:lang w:val="zh-CN"/>
        </w:rPr>
      </w:pPr>
      <w:r>
        <w:rPr>
          <w:rFonts w:hint="eastAsia" w:ascii="宋体" w:hAnsi="宋体" w:eastAsia="宋体" w:cs="Times New Roman"/>
          <w:b/>
          <w:color w:val="FF0000"/>
          <w:sz w:val="24"/>
          <w:szCs w:val="20"/>
          <w:lang w:val="zh-CN"/>
        </w:rPr>
        <w:t>投标人应将投标文件第一部分资格证明文件、第二部分商务文件、第三部分技术、服务文件一起合并装订成一本投标文件进行封装。</w:t>
      </w:r>
    </w:p>
    <w:p>
      <w:pPr>
        <w:numPr>
          <w:ilvl w:val="0"/>
          <w:numId w:val="21"/>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投标人应将投标文件</w:t>
      </w:r>
      <w:r>
        <w:rPr>
          <w:rFonts w:hint="eastAsia" w:ascii="宋体" w:hAnsi="宋体" w:eastAsia="宋体" w:cs="Times New Roman"/>
          <w:b/>
          <w:color w:val="FF0000"/>
          <w:sz w:val="24"/>
          <w:szCs w:val="20"/>
          <w:lang w:val="zh-CN"/>
        </w:rPr>
        <w:t>正本壹本和副本肆本</w:t>
      </w:r>
      <w:r>
        <w:rPr>
          <w:rFonts w:hint="eastAsia" w:ascii="宋体" w:hAnsi="宋体" w:eastAsia="宋体" w:cs="Times New Roman"/>
          <w:sz w:val="24"/>
          <w:szCs w:val="20"/>
          <w:lang w:val="zh-CN"/>
        </w:rPr>
        <w:t>密封装在单独的封包中，并在封包上标明“正本”、“副本”字样。</w:t>
      </w:r>
    </w:p>
    <w:p>
      <w:pPr>
        <w:numPr>
          <w:ilvl w:val="0"/>
          <w:numId w:val="21"/>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如果未按要求加写密封、标记或存在错误，集中采购机构对其误投或提前启封概不负责。</w:t>
      </w:r>
    </w:p>
    <w:p>
      <w:pPr>
        <w:numPr>
          <w:ilvl w:val="0"/>
          <w:numId w:val="21"/>
        </w:numPr>
        <w:spacing w:line="360" w:lineRule="auto"/>
        <w:ind w:left="616" w:hanging="616"/>
        <w:rPr>
          <w:rFonts w:ascii="宋体" w:hAnsi="宋体" w:eastAsia="宋体" w:cs="Times New Roman"/>
          <w:b/>
          <w:color w:val="FF0000"/>
          <w:sz w:val="24"/>
          <w:szCs w:val="20"/>
          <w:lang w:val="zh-CN"/>
        </w:rPr>
      </w:pPr>
      <w:r>
        <w:rPr>
          <w:rFonts w:hint="eastAsia" w:ascii="宋体" w:hAnsi="宋体" w:eastAsia="宋体" w:cs="Times New Roman"/>
          <w:color w:val="FF0000"/>
          <w:sz w:val="24"/>
          <w:szCs w:val="20"/>
          <w:lang w:val="zh-CN"/>
        </w:rPr>
        <w:t>为方便开标时唱标，投标人应将《开标一览表》原件一份</w:t>
      </w:r>
      <w:r>
        <w:rPr>
          <w:rFonts w:hint="eastAsia" w:ascii="宋体" w:hAnsi="宋体" w:eastAsia="宋体" w:cs="Times New Roman"/>
          <w:color w:val="FF0000"/>
          <w:spacing w:val="-6"/>
          <w:kern w:val="0"/>
          <w:sz w:val="24"/>
          <w:szCs w:val="20"/>
          <w:lang w:val="zh-CN"/>
        </w:rPr>
        <w:t>装入一个信封，单独密封提交</w:t>
      </w:r>
      <w:r>
        <w:rPr>
          <w:rFonts w:hint="eastAsia" w:ascii="宋体" w:hAnsi="宋体" w:eastAsia="宋体" w:cs="Times New Roman"/>
          <w:color w:val="FF0000"/>
          <w:sz w:val="24"/>
          <w:szCs w:val="20"/>
          <w:lang w:val="zh-CN"/>
        </w:rPr>
        <w:t>，并在信封上标明“开标一览表”字样。未单独提交或单独提交的上述资料未按照招标文件规定的格式填写完整并签字、盖章的集中采购机构</w:t>
      </w:r>
      <w:r>
        <w:rPr>
          <w:rFonts w:hint="eastAsia" w:ascii="宋体" w:hAnsi="宋体" w:eastAsia="宋体" w:cs="Times New Roman"/>
          <w:b/>
          <w:color w:val="FF0000"/>
          <w:sz w:val="24"/>
          <w:szCs w:val="20"/>
          <w:lang w:val="zh-CN"/>
        </w:rPr>
        <w:t>拒绝</w:t>
      </w:r>
      <w:r>
        <w:rPr>
          <w:rFonts w:hint="eastAsia" w:ascii="宋体" w:hAnsi="宋体" w:eastAsia="宋体" w:cs="Times New Roman"/>
          <w:color w:val="FF0000"/>
          <w:sz w:val="24"/>
          <w:szCs w:val="20"/>
          <w:lang w:val="zh-CN"/>
        </w:rPr>
        <w:t>其投标。</w:t>
      </w:r>
    </w:p>
    <w:p>
      <w:pPr>
        <w:numPr>
          <w:ilvl w:val="0"/>
          <w:numId w:val="21"/>
        </w:numPr>
        <w:spacing w:line="360" w:lineRule="auto"/>
        <w:ind w:left="616" w:hanging="616"/>
        <w:rPr>
          <w:rFonts w:ascii="宋体" w:hAnsi="宋体" w:eastAsia="宋体" w:cs="Times New Roman"/>
          <w:color w:val="FF0000"/>
          <w:sz w:val="24"/>
          <w:szCs w:val="20"/>
          <w:lang w:val="zh-CN"/>
        </w:rPr>
      </w:pPr>
      <w:r>
        <w:rPr>
          <w:rFonts w:hint="eastAsia" w:ascii="宋体" w:hAnsi="宋体" w:eastAsia="宋体" w:cs="Times New Roman"/>
          <w:color w:val="FF0000"/>
          <w:sz w:val="24"/>
          <w:szCs w:val="20"/>
          <w:lang w:val="zh-CN"/>
        </w:rPr>
        <w:t>“开标一览表”信封和投标文件的封包上应注明采购项目编号、项目名称、投标内容和有“在（招标文件中规定的开标日期和时间）之前不得启封”的字样，封口处加盖投标人公章。</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投标文件递交</w:t>
      </w:r>
    </w:p>
    <w:p>
      <w:pPr>
        <w:numPr>
          <w:ilvl w:val="0"/>
          <w:numId w:val="22"/>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投标人应在不迟于投标邀请书中规定的投标截止日期和时间将投标文件密封递交至集中采购机构规定的投标地点。</w:t>
      </w:r>
    </w:p>
    <w:p>
      <w:pPr>
        <w:numPr>
          <w:ilvl w:val="0"/>
          <w:numId w:val="22"/>
        </w:numPr>
        <w:spacing w:line="360" w:lineRule="auto"/>
        <w:ind w:left="616" w:hanging="616"/>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集中采购机构拒收逾期送达或者未按招标文件要求密封的投标文件。</w:t>
      </w:r>
    </w:p>
    <w:p>
      <w:pPr>
        <w:numPr>
          <w:ilvl w:val="0"/>
          <w:numId w:val="22"/>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集中</w:t>
      </w:r>
      <w:r>
        <w:rPr>
          <w:rFonts w:ascii="Helvetica" w:hAnsi="Helvetica" w:eastAsia="宋体" w:cs="Helvetica"/>
          <w:kern w:val="0"/>
          <w:sz w:val="24"/>
          <w:szCs w:val="24"/>
          <w:lang w:val="zh-CN"/>
        </w:rPr>
        <w:t>采购机构收到投标文件后，应当如实记载投标文件的送达时间和密封情况，签收保存。</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投标文件的修改和撤回</w:t>
      </w:r>
    </w:p>
    <w:p>
      <w:pPr>
        <w:numPr>
          <w:ilvl w:val="0"/>
          <w:numId w:val="23"/>
        </w:numPr>
        <w:spacing w:line="360" w:lineRule="auto"/>
        <w:ind w:left="616" w:hanging="616"/>
        <w:rPr>
          <w:rFonts w:ascii="宋体" w:hAnsi="宋体" w:eastAsia="宋体" w:cs="Times New Roman"/>
          <w:strike/>
          <w:sz w:val="24"/>
          <w:szCs w:val="20"/>
          <w:lang w:val="zh-CN"/>
        </w:rPr>
      </w:pPr>
      <w:r>
        <w:rPr>
          <w:rFonts w:ascii="宋体" w:hAnsi="宋体" w:eastAsia="宋体" w:cs="Times New Roman"/>
          <w:sz w:val="24"/>
          <w:szCs w:val="20"/>
          <w:lang w:val="zh-CN"/>
        </w:rPr>
        <w:t>投标人在投标截止时间前，可以对所递交的投标文件进行补充、修改或者撤回，并书面通知</w:t>
      </w:r>
      <w:r>
        <w:rPr>
          <w:rFonts w:hint="eastAsia" w:ascii="宋体" w:hAnsi="宋体" w:eastAsia="宋体" w:cs="Times New Roman"/>
          <w:sz w:val="24"/>
          <w:szCs w:val="20"/>
          <w:lang w:val="zh-CN"/>
        </w:rPr>
        <w:t>集中采购机构</w:t>
      </w:r>
      <w:r>
        <w:rPr>
          <w:rFonts w:ascii="宋体" w:hAnsi="宋体" w:eastAsia="宋体" w:cs="Times New Roman"/>
          <w:sz w:val="24"/>
          <w:szCs w:val="20"/>
          <w:lang w:val="zh-CN"/>
        </w:rPr>
        <w:t>。补充、修改的内容应当按照招标文件要求签署、盖章、密封后，作为投标文件的组成部分。</w:t>
      </w:r>
    </w:p>
    <w:p>
      <w:pPr>
        <w:numPr>
          <w:ilvl w:val="0"/>
          <w:numId w:val="23"/>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投标有效期内投标人不得撤销其投标文件。</w:t>
      </w:r>
    </w:p>
    <w:p>
      <w:pPr>
        <w:numPr>
          <w:ilvl w:val="0"/>
          <w:numId w:val="23"/>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投标人所递交的投标文件无论中标与否不予退还。</w:t>
      </w:r>
    </w:p>
    <w:p>
      <w:pPr>
        <w:pStyle w:val="5"/>
        <w:numPr>
          <w:ilvl w:val="0"/>
          <w:numId w:val="6"/>
        </w:numPr>
        <w:spacing w:before="40" w:after="40" w:line="360" w:lineRule="auto"/>
        <w:ind w:left="658" w:hanging="658"/>
        <w:jc w:val="left"/>
        <w:rPr>
          <w:rFonts w:cs="Times New Roman" w:asciiTheme="majorEastAsia" w:hAnsiTheme="majorEastAsia"/>
          <w:bCs w:val="0"/>
          <w:lang w:val="zh-CN"/>
        </w:rPr>
      </w:pPr>
      <w:bookmarkStart w:id="21" w:name="_Toc272247698"/>
      <w:bookmarkStart w:id="22" w:name="_Toc278891595"/>
      <w:bookmarkStart w:id="23" w:name="_Toc494561942"/>
      <w:bookmarkStart w:id="24" w:name="_Toc1125"/>
      <w:r>
        <w:rPr>
          <w:rFonts w:hint="eastAsia" w:cs="Times New Roman" w:asciiTheme="majorEastAsia" w:hAnsiTheme="majorEastAsia"/>
          <w:bCs w:val="0"/>
          <w:lang w:val="zh-CN"/>
        </w:rPr>
        <w:t>开标与评标</w:t>
      </w:r>
      <w:bookmarkEnd w:id="21"/>
      <w:bookmarkEnd w:id="22"/>
      <w:bookmarkEnd w:id="23"/>
      <w:bookmarkEnd w:id="24"/>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开标</w:t>
      </w:r>
    </w:p>
    <w:p>
      <w:pPr>
        <w:numPr>
          <w:ilvl w:val="0"/>
          <w:numId w:val="2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集中采购机构在第一章“投标邀请书”中约定的日期、时间和地点组织公开开标。开标时采购人和投标人代表（投标人法定代表人或其授权代表）参加,参加开标的代表应签到以证明其出席。</w:t>
      </w:r>
    </w:p>
    <w:p>
      <w:pPr>
        <w:numPr>
          <w:ilvl w:val="0"/>
          <w:numId w:val="2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投标人法定代表人或其授权代表应携带有效身份证明参加项目开标会，</w:t>
      </w:r>
      <w:r>
        <w:rPr>
          <w:rFonts w:ascii="宋体" w:hAnsi="宋体" w:eastAsia="宋体" w:cs="Times New Roman"/>
          <w:sz w:val="24"/>
          <w:szCs w:val="20"/>
          <w:lang w:val="zh-CN"/>
        </w:rPr>
        <w:t>投标人未参加开标的，视同认可开标结果。</w:t>
      </w:r>
      <w:r>
        <w:rPr>
          <w:rFonts w:hint="eastAsia" w:ascii="宋体" w:hAnsi="宋体" w:eastAsia="宋体" w:cs="Times New Roman"/>
          <w:sz w:val="24"/>
          <w:szCs w:val="20"/>
          <w:lang w:val="zh-CN"/>
        </w:rPr>
        <w:t>截止</w:t>
      </w:r>
      <w:r>
        <w:rPr>
          <w:rFonts w:hint="eastAsia" w:ascii="宋体" w:hAnsi="宋体" w:eastAsia="宋体" w:cs="宋体"/>
          <w:kern w:val="0"/>
          <w:sz w:val="24"/>
          <w:szCs w:val="24"/>
        </w:rPr>
        <w:t>投标文件</w:t>
      </w:r>
      <w:r>
        <w:rPr>
          <w:rFonts w:hint="eastAsia" w:ascii="宋体" w:hAnsi="宋体" w:eastAsia="宋体" w:cs="Times New Roman"/>
          <w:sz w:val="24"/>
          <w:szCs w:val="20"/>
          <w:lang w:val="zh-CN"/>
        </w:rPr>
        <w:t>递交时间，投标人不足3家的，不进行开标</w:t>
      </w:r>
      <w:r>
        <w:rPr>
          <w:rFonts w:hint="eastAsia" w:ascii="Helvetica" w:hAnsi="Helvetica" w:eastAsia="宋体" w:cs="Helvetica"/>
          <w:kern w:val="0"/>
          <w:sz w:val="24"/>
          <w:szCs w:val="24"/>
          <w:lang w:val="zh-CN"/>
        </w:rPr>
        <w:t>。</w:t>
      </w:r>
    </w:p>
    <w:p>
      <w:pPr>
        <w:numPr>
          <w:ilvl w:val="0"/>
          <w:numId w:val="2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开标时，由投标人或其推选的代表检查投标文件的密封情况，经确认无误后由集中采购机构工作人员当众拆封，</w:t>
      </w:r>
      <w:r>
        <w:rPr>
          <w:rFonts w:ascii="宋体" w:hAnsi="宋体" w:eastAsia="宋体" w:cs="Times New Roman"/>
          <w:sz w:val="24"/>
          <w:szCs w:val="20"/>
          <w:lang w:val="zh-CN"/>
        </w:rPr>
        <w:t>宣布投标人名称、投标价格和招标文件规定的需要宣布的其他内容。</w:t>
      </w:r>
    </w:p>
    <w:p>
      <w:pPr>
        <w:numPr>
          <w:ilvl w:val="0"/>
          <w:numId w:val="24"/>
        </w:numPr>
        <w:spacing w:line="360" w:lineRule="auto"/>
        <w:ind w:left="616" w:hanging="616"/>
        <w:rPr>
          <w:rFonts w:ascii="宋体" w:hAnsi="宋体" w:eastAsia="宋体" w:cs="Times New Roman"/>
          <w:sz w:val="24"/>
          <w:szCs w:val="20"/>
          <w:lang w:val="zh-CN"/>
        </w:rPr>
      </w:pPr>
      <w:r>
        <w:rPr>
          <w:rFonts w:hint="eastAsia" w:ascii="宋体" w:hAnsi="宋体"/>
          <w:sz w:val="24"/>
        </w:rPr>
        <w:t>开标时，投标文件中《开标一览表》内容与投标文件中明细表内容不一致的，以《开标一览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numPr>
          <w:ilvl w:val="0"/>
          <w:numId w:val="2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集中采购机构</w:t>
      </w:r>
      <w:r>
        <w:rPr>
          <w:rFonts w:ascii="宋体" w:hAnsi="宋体" w:eastAsia="宋体" w:cs="Times New Roman"/>
          <w:sz w:val="24"/>
          <w:szCs w:val="20"/>
          <w:lang w:val="zh-CN"/>
        </w:rPr>
        <w:t>负责</w:t>
      </w:r>
      <w:r>
        <w:rPr>
          <w:rFonts w:hint="eastAsia" w:ascii="宋体" w:hAnsi="宋体" w:eastAsia="宋体" w:cs="Times New Roman"/>
          <w:sz w:val="24"/>
          <w:szCs w:val="20"/>
          <w:lang w:val="zh-CN"/>
        </w:rPr>
        <w:t>对</w:t>
      </w:r>
      <w:r>
        <w:rPr>
          <w:rFonts w:ascii="宋体" w:hAnsi="宋体" w:eastAsia="宋体" w:cs="Times New Roman"/>
          <w:sz w:val="24"/>
          <w:szCs w:val="20"/>
          <w:lang w:val="zh-CN"/>
        </w:rPr>
        <w:t>开标过程</w:t>
      </w:r>
      <w:r>
        <w:rPr>
          <w:rFonts w:hint="eastAsia" w:ascii="宋体" w:hAnsi="宋体" w:eastAsia="宋体" w:cs="Times New Roman"/>
          <w:sz w:val="24"/>
          <w:szCs w:val="20"/>
          <w:lang w:val="zh-CN"/>
        </w:rPr>
        <w:t>进行</w:t>
      </w:r>
      <w:r>
        <w:rPr>
          <w:rFonts w:ascii="宋体" w:hAnsi="宋体" w:eastAsia="宋体" w:cs="Times New Roman"/>
          <w:sz w:val="24"/>
          <w:szCs w:val="20"/>
          <w:lang w:val="zh-CN"/>
        </w:rPr>
        <w:t>记录，由参加开标的各投标人代表和相关工作人员</w:t>
      </w:r>
      <w:r>
        <w:rPr>
          <w:rFonts w:hint="eastAsia" w:ascii="宋体" w:hAnsi="宋体" w:eastAsia="宋体" w:cs="Times New Roman"/>
          <w:sz w:val="24"/>
          <w:szCs w:val="20"/>
          <w:lang w:val="zh-CN"/>
        </w:rPr>
        <w:t>对开标记录进行</w:t>
      </w:r>
      <w:r>
        <w:rPr>
          <w:rFonts w:ascii="宋体" w:hAnsi="宋体" w:eastAsia="宋体" w:cs="Times New Roman"/>
          <w:sz w:val="24"/>
          <w:szCs w:val="20"/>
          <w:lang w:val="zh-CN"/>
        </w:rPr>
        <w:t>签字确认。</w:t>
      </w:r>
    </w:p>
    <w:p>
      <w:pPr>
        <w:numPr>
          <w:ilvl w:val="0"/>
          <w:numId w:val="24"/>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投标人代表对开标过程和开标记录有疑义，以及认为采购人、</w:t>
      </w:r>
      <w:r>
        <w:rPr>
          <w:rFonts w:hint="eastAsia" w:ascii="宋体" w:hAnsi="宋体" w:eastAsia="宋体" w:cs="Times New Roman"/>
          <w:sz w:val="24"/>
          <w:szCs w:val="20"/>
          <w:lang w:val="zh-CN"/>
        </w:rPr>
        <w:t>集中采购机构</w:t>
      </w:r>
      <w:r>
        <w:rPr>
          <w:rFonts w:ascii="宋体" w:hAnsi="宋体" w:eastAsia="宋体" w:cs="Times New Roman"/>
          <w:sz w:val="24"/>
          <w:szCs w:val="20"/>
          <w:lang w:val="zh-CN"/>
        </w:rPr>
        <w:t>相关工作人员有需要回避的情形的，应当场提出询问或者回避申请。采购人、</w:t>
      </w:r>
      <w:r>
        <w:rPr>
          <w:rFonts w:hint="eastAsia" w:ascii="宋体" w:hAnsi="宋体" w:eastAsia="宋体" w:cs="Times New Roman"/>
          <w:sz w:val="24"/>
          <w:szCs w:val="20"/>
          <w:lang w:val="zh-CN"/>
        </w:rPr>
        <w:t>集中采购机构将</w:t>
      </w:r>
      <w:r>
        <w:rPr>
          <w:rFonts w:ascii="宋体" w:hAnsi="宋体" w:eastAsia="宋体" w:cs="Times New Roman"/>
          <w:sz w:val="24"/>
          <w:szCs w:val="20"/>
          <w:lang w:val="zh-CN"/>
        </w:rPr>
        <w:t>及时处理投标人代表提出的询问或者回避申请。</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资格审查</w:t>
      </w:r>
    </w:p>
    <w:p>
      <w:pPr>
        <w:numPr>
          <w:ilvl w:val="0"/>
          <w:numId w:val="25"/>
        </w:numPr>
        <w:spacing w:line="360" w:lineRule="auto"/>
        <w:ind w:left="616" w:hanging="616"/>
        <w:rPr>
          <w:rFonts w:ascii="Helvetica" w:hAnsi="Helvetica" w:eastAsia="宋体" w:cs="Helvetica"/>
          <w:color w:val="FF0000"/>
          <w:kern w:val="0"/>
          <w:sz w:val="24"/>
          <w:szCs w:val="24"/>
          <w:lang w:val="zh-CN"/>
        </w:rPr>
      </w:pPr>
      <w:r>
        <w:rPr>
          <w:rFonts w:hint="eastAsia" w:ascii="宋体" w:hAnsi="宋体" w:eastAsia="宋体" w:cs="Times New Roman"/>
          <w:bCs/>
          <w:color w:val="FF0000"/>
          <w:sz w:val="24"/>
          <w:szCs w:val="20"/>
          <w:lang w:val="zh-CN"/>
        </w:rPr>
        <w:t>公开招标采购项目开标结束后，采购人依据法律、法规及招标文件的规定，对投标人的资格进行审查，以确定投标人资格是否合格。</w:t>
      </w:r>
      <w:r>
        <w:rPr>
          <w:rFonts w:ascii="Helvetica" w:hAnsi="Helvetica" w:eastAsia="宋体" w:cs="Helvetica"/>
          <w:color w:val="FF0000"/>
          <w:kern w:val="0"/>
          <w:sz w:val="24"/>
          <w:szCs w:val="24"/>
          <w:lang w:val="zh-CN"/>
        </w:rPr>
        <w:t>合格投标人不足</w:t>
      </w:r>
      <w:r>
        <w:rPr>
          <w:rFonts w:ascii="宋体" w:hAnsi="宋体" w:eastAsia="宋体" w:cs="Helvetica"/>
          <w:color w:val="FF0000"/>
          <w:kern w:val="0"/>
          <w:sz w:val="24"/>
          <w:szCs w:val="24"/>
          <w:lang w:val="zh-CN"/>
        </w:rPr>
        <w:t>3</w:t>
      </w:r>
      <w:r>
        <w:rPr>
          <w:rFonts w:ascii="Helvetica" w:hAnsi="Helvetica" w:eastAsia="宋体" w:cs="Helvetica"/>
          <w:color w:val="FF0000"/>
          <w:kern w:val="0"/>
          <w:sz w:val="24"/>
          <w:szCs w:val="24"/>
          <w:lang w:val="zh-CN"/>
        </w:rPr>
        <w:t>家的，不</w:t>
      </w:r>
      <w:r>
        <w:rPr>
          <w:rFonts w:hint="eastAsia" w:ascii="Helvetica" w:hAnsi="Helvetica" w:eastAsia="宋体" w:cs="Helvetica"/>
          <w:color w:val="FF0000"/>
          <w:kern w:val="0"/>
          <w:sz w:val="24"/>
          <w:szCs w:val="24"/>
          <w:lang w:val="zh-CN"/>
        </w:rPr>
        <w:t>进行</w:t>
      </w:r>
      <w:r>
        <w:rPr>
          <w:rFonts w:ascii="Helvetica" w:hAnsi="Helvetica" w:eastAsia="宋体" w:cs="Helvetica"/>
          <w:color w:val="FF0000"/>
          <w:kern w:val="0"/>
          <w:sz w:val="24"/>
          <w:szCs w:val="24"/>
          <w:lang w:val="zh-CN"/>
        </w:rPr>
        <w:t>评标</w:t>
      </w:r>
      <w:r>
        <w:rPr>
          <w:rFonts w:hint="eastAsia" w:ascii="Helvetica" w:hAnsi="Helvetica" w:eastAsia="宋体" w:cs="Helvetica"/>
          <w:color w:val="FF0000"/>
          <w:kern w:val="0"/>
          <w:sz w:val="24"/>
          <w:szCs w:val="24"/>
          <w:lang w:val="zh-CN"/>
        </w:rPr>
        <w:t>。</w:t>
      </w:r>
    </w:p>
    <w:p>
      <w:pPr>
        <w:numPr>
          <w:ilvl w:val="0"/>
          <w:numId w:val="25"/>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资格审查详见第四章“资格审查方法及标准”。</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评标方法</w:t>
      </w:r>
    </w:p>
    <w:p>
      <w:pPr>
        <w:numPr>
          <w:ilvl w:val="0"/>
          <w:numId w:val="26"/>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最低评标价法。最低评标价法是指投标文件满足招标文件全部实质性要求，且投标报价最低的投标人为中标候选人的评标方法。</w:t>
      </w:r>
    </w:p>
    <w:p>
      <w:pPr>
        <w:numPr>
          <w:ilvl w:val="0"/>
          <w:numId w:val="26"/>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综合评分法。</w:t>
      </w:r>
      <w:r>
        <w:rPr>
          <w:rFonts w:ascii="宋体" w:hAnsi="宋体" w:eastAsia="宋体" w:cs="Times New Roman"/>
          <w:bCs/>
          <w:sz w:val="24"/>
          <w:szCs w:val="20"/>
          <w:lang w:val="zh-CN"/>
        </w:rPr>
        <w:t>综合评分法是指投标文件满足招标文件全部实质性要求，且按照评审因素的量化指标评审得分最高的投标人为中标候选人的评标方法。</w:t>
      </w:r>
    </w:p>
    <w:p>
      <w:pPr>
        <w:numPr>
          <w:ilvl w:val="0"/>
          <w:numId w:val="26"/>
        </w:numPr>
        <w:spacing w:line="360" w:lineRule="auto"/>
        <w:ind w:left="616" w:hanging="616"/>
        <w:rPr>
          <w:rFonts w:ascii="宋体" w:hAnsi="宋体" w:eastAsia="宋体" w:cs="Times New Roman"/>
          <w:bCs/>
          <w:sz w:val="24"/>
          <w:szCs w:val="20"/>
          <w:lang w:val="zh-CN"/>
        </w:rPr>
      </w:pPr>
      <w:r>
        <w:rPr>
          <w:rFonts w:hint="eastAsia" w:ascii="Helvetica" w:hAnsi="Helvetica" w:eastAsia="宋体" w:cs="Helvetica"/>
          <w:kern w:val="0"/>
          <w:sz w:val="24"/>
          <w:szCs w:val="24"/>
          <w:lang w:val="zh-CN"/>
        </w:rPr>
        <w:t>评标方法详见第五章“评标方法、程序及标准”</w:t>
      </w:r>
      <w:r>
        <w:rPr>
          <w:rFonts w:hint="eastAsia" w:ascii="宋体" w:hAnsi="宋体" w:eastAsia="宋体" w:cs="Times New Roman"/>
          <w:bCs/>
          <w:sz w:val="24"/>
          <w:szCs w:val="20"/>
          <w:lang w:val="zh-CN"/>
        </w:rPr>
        <w:t>。</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评标委员会的组成</w:t>
      </w:r>
    </w:p>
    <w:p>
      <w:pPr>
        <w:numPr>
          <w:ilvl w:val="0"/>
          <w:numId w:val="27"/>
        </w:numPr>
        <w:spacing w:line="360" w:lineRule="auto"/>
        <w:ind w:left="616" w:hanging="616"/>
        <w:rPr>
          <w:rFonts w:ascii="宋体" w:hAnsi="宋体" w:eastAsia="宋体" w:cs="Times New Roman"/>
          <w:sz w:val="24"/>
          <w:szCs w:val="20"/>
          <w:lang w:val="zh-CN"/>
        </w:rPr>
      </w:pPr>
      <w:r>
        <w:rPr>
          <w:rFonts w:ascii="宋体" w:hAnsi="宋体" w:eastAsia="宋体" w:cs="Helvetica"/>
          <w:kern w:val="0"/>
          <w:sz w:val="24"/>
          <w:szCs w:val="24"/>
          <w:lang w:val="zh-CN"/>
        </w:rPr>
        <w:t>评标委员会由采购人代表和评审专家组成，成员人数应当为5人</w:t>
      </w:r>
      <w:r>
        <w:rPr>
          <w:rFonts w:hint="eastAsia" w:ascii="宋体" w:hAnsi="宋体" w:eastAsia="宋体" w:cs="Helvetica"/>
          <w:kern w:val="0"/>
          <w:sz w:val="24"/>
          <w:szCs w:val="24"/>
          <w:lang w:val="zh-CN"/>
        </w:rPr>
        <w:t>及</w:t>
      </w:r>
      <w:r>
        <w:rPr>
          <w:rFonts w:ascii="宋体" w:hAnsi="宋体" w:eastAsia="宋体" w:cs="Helvetica"/>
          <w:kern w:val="0"/>
          <w:sz w:val="24"/>
          <w:szCs w:val="24"/>
          <w:lang w:val="zh-CN"/>
        </w:rPr>
        <w:t>以上单数，其中评审专家不得少于成员总数的三分之二</w:t>
      </w:r>
      <w:r>
        <w:rPr>
          <w:rFonts w:hint="eastAsia" w:ascii="宋体" w:hAnsi="宋体" w:eastAsia="宋体" w:cs="Helvetica"/>
          <w:kern w:val="0"/>
          <w:sz w:val="24"/>
          <w:szCs w:val="24"/>
          <w:lang w:val="zh-CN"/>
        </w:rPr>
        <w:t>；</w:t>
      </w:r>
      <w:r>
        <w:rPr>
          <w:rFonts w:ascii="宋体" w:hAnsi="宋体" w:eastAsia="宋体" w:cs="Times New Roman"/>
          <w:sz w:val="24"/>
          <w:szCs w:val="20"/>
          <w:lang w:val="zh-CN"/>
        </w:rPr>
        <w:t>采购预算金额在1000万元</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w:t>
      </w:r>
      <w:r>
        <w:rPr>
          <w:rFonts w:hint="eastAsia" w:ascii="宋体" w:hAnsi="宋体" w:eastAsia="宋体" w:cs="Times New Roman"/>
          <w:sz w:val="24"/>
          <w:szCs w:val="20"/>
          <w:lang w:val="zh-CN"/>
        </w:rPr>
        <w:t>、</w:t>
      </w:r>
      <w:r>
        <w:rPr>
          <w:rFonts w:ascii="宋体" w:hAnsi="宋体" w:eastAsia="宋体" w:cs="Times New Roman"/>
          <w:sz w:val="24"/>
          <w:szCs w:val="20"/>
          <w:lang w:val="zh-CN"/>
        </w:rPr>
        <w:t>技术复杂</w:t>
      </w:r>
      <w:r>
        <w:rPr>
          <w:rFonts w:hint="eastAsia" w:ascii="宋体" w:hAnsi="宋体" w:eastAsia="宋体" w:cs="Times New Roman"/>
          <w:sz w:val="24"/>
          <w:szCs w:val="20"/>
          <w:lang w:val="zh-CN"/>
        </w:rPr>
        <w:t>或</w:t>
      </w:r>
      <w:r>
        <w:rPr>
          <w:rFonts w:ascii="宋体" w:hAnsi="宋体" w:eastAsia="宋体" w:cs="Times New Roman"/>
          <w:sz w:val="24"/>
          <w:szCs w:val="20"/>
          <w:lang w:val="zh-CN"/>
        </w:rPr>
        <w:t>社会影响较大</w:t>
      </w:r>
      <w:r>
        <w:rPr>
          <w:rFonts w:hint="eastAsia" w:ascii="宋体" w:hAnsi="宋体" w:eastAsia="宋体" w:cs="Times New Roman"/>
          <w:sz w:val="24"/>
          <w:szCs w:val="20"/>
          <w:lang w:val="zh-CN"/>
        </w:rPr>
        <w:t>的项目，</w:t>
      </w:r>
      <w:r>
        <w:rPr>
          <w:rFonts w:ascii="宋体" w:hAnsi="宋体" w:eastAsia="宋体" w:cs="Times New Roman"/>
          <w:sz w:val="24"/>
          <w:szCs w:val="20"/>
          <w:lang w:val="zh-CN"/>
        </w:rPr>
        <w:t>评标委员会成员人数应当为7人</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以上单数</w:t>
      </w:r>
      <w:r>
        <w:rPr>
          <w:rFonts w:hint="eastAsia" w:ascii="宋体" w:hAnsi="宋体" w:eastAsia="宋体" w:cs="Times New Roman"/>
          <w:sz w:val="24"/>
          <w:szCs w:val="20"/>
          <w:lang w:val="zh-CN"/>
        </w:rPr>
        <w:t>。</w:t>
      </w:r>
    </w:p>
    <w:p>
      <w:pPr>
        <w:numPr>
          <w:ilvl w:val="0"/>
          <w:numId w:val="2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评标委员会成员依法从政府采购专家库中随机抽取。</w:t>
      </w:r>
      <w:r>
        <w:rPr>
          <w:rFonts w:ascii="宋体" w:hAnsi="宋体" w:eastAsia="宋体" w:cs="Times New Roman"/>
          <w:sz w:val="24"/>
          <w:szCs w:val="20"/>
          <w:lang w:val="zh-CN"/>
        </w:rPr>
        <w:t>对技术复杂、专业性强的采购项目，通过随机方式难以确定合适评审专家的，经主管预算单位同意，采购人可以自行选定相应专业领域的评审专家。</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评标程序</w:t>
      </w:r>
    </w:p>
    <w:p>
      <w:pPr>
        <w:numPr>
          <w:ilvl w:val="0"/>
          <w:numId w:val="28"/>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评标委员会负责具体评标事务，并独立履行下列职责：</w:t>
      </w:r>
    </w:p>
    <w:p>
      <w:pPr>
        <w:numPr>
          <w:ilvl w:val="0"/>
          <w:numId w:val="29"/>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审查、评价投标文件是否符合招标文件的商务、技术等实质性要求；</w:t>
      </w:r>
    </w:p>
    <w:p>
      <w:pPr>
        <w:numPr>
          <w:ilvl w:val="0"/>
          <w:numId w:val="29"/>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要求投标人对投标文件有关事项作出澄清或者说明；</w:t>
      </w:r>
    </w:p>
    <w:p>
      <w:pPr>
        <w:numPr>
          <w:ilvl w:val="0"/>
          <w:numId w:val="29"/>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对投标文件进行</w:t>
      </w:r>
      <w:r>
        <w:rPr>
          <w:rFonts w:hint="eastAsia" w:ascii="宋体" w:hAnsi="宋体" w:eastAsia="宋体" w:cs="Times New Roman"/>
          <w:sz w:val="24"/>
          <w:szCs w:val="20"/>
          <w:lang w:val="zh-CN"/>
        </w:rPr>
        <w:t>综合</w:t>
      </w:r>
      <w:r>
        <w:rPr>
          <w:rFonts w:ascii="宋体" w:hAnsi="宋体" w:eastAsia="宋体" w:cs="Times New Roman"/>
          <w:sz w:val="24"/>
          <w:szCs w:val="20"/>
          <w:lang w:val="zh-CN"/>
        </w:rPr>
        <w:t>比较和评价；</w:t>
      </w:r>
    </w:p>
    <w:p>
      <w:pPr>
        <w:numPr>
          <w:ilvl w:val="0"/>
          <w:numId w:val="29"/>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确定中标候选人名单或中标人；</w:t>
      </w:r>
    </w:p>
    <w:p>
      <w:pPr>
        <w:numPr>
          <w:ilvl w:val="0"/>
          <w:numId w:val="29"/>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向采购人、</w:t>
      </w:r>
      <w:r>
        <w:rPr>
          <w:rFonts w:hint="eastAsia" w:ascii="宋体" w:hAnsi="宋体" w:eastAsia="宋体" w:cs="Times New Roman"/>
          <w:sz w:val="24"/>
          <w:szCs w:val="20"/>
          <w:lang w:val="zh-CN"/>
        </w:rPr>
        <w:t>集中采购</w:t>
      </w:r>
      <w:r>
        <w:rPr>
          <w:rFonts w:ascii="宋体" w:hAnsi="宋体" w:eastAsia="宋体" w:cs="Times New Roman"/>
          <w:sz w:val="24"/>
          <w:szCs w:val="20"/>
          <w:lang w:val="zh-CN"/>
        </w:rPr>
        <w:t>机构或者有关部门报告评标中发现的违法行为。</w:t>
      </w:r>
    </w:p>
    <w:p>
      <w:pPr>
        <w:numPr>
          <w:ilvl w:val="0"/>
          <w:numId w:val="28"/>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评标程序详见第五章“评标方法、程序及标准”。</w:t>
      </w:r>
    </w:p>
    <w:p>
      <w:pPr>
        <w:pStyle w:val="5"/>
        <w:numPr>
          <w:ilvl w:val="0"/>
          <w:numId w:val="6"/>
        </w:numPr>
        <w:spacing w:before="40" w:after="40" w:line="360" w:lineRule="auto"/>
        <w:ind w:left="658" w:hanging="658"/>
        <w:jc w:val="left"/>
        <w:rPr>
          <w:rFonts w:cs="Times New Roman" w:asciiTheme="majorEastAsia" w:hAnsiTheme="majorEastAsia"/>
          <w:bCs w:val="0"/>
          <w:lang w:val="zh-CN"/>
        </w:rPr>
      </w:pPr>
      <w:bookmarkStart w:id="25" w:name="_Toc494561943"/>
      <w:bookmarkStart w:id="26" w:name="_Toc1309"/>
      <w:r>
        <w:rPr>
          <w:rFonts w:hint="eastAsia" w:cs="Times New Roman" w:asciiTheme="majorEastAsia" w:hAnsiTheme="majorEastAsia"/>
          <w:bCs w:val="0"/>
          <w:lang w:val="zh-CN"/>
        </w:rPr>
        <w:t>投标人信用信息及查询</w:t>
      </w:r>
      <w:bookmarkEnd w:id="25"/>
      <w:bookmarkEnd w:id="26"/>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信用信息查询渠道及使用规则</w:t>
      </w:r>
    </w:p>
    <w:p>
      <w:pPr>
        <w:numPr>
          <w:ilvl w:val="0"/>
          <w:numId w:val="30"/>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按照《关于在政府采购活动中查询及使用信用记录有关问题的通知》的要求，参与政府采购的投标人，信用记录的查询渠道为“信用中国”网站(www.creditchina.gov.cn)、中国政府采购网(</w:t>
      </w:r>
      <w:r>
        <w:fldChar w:fldCharType="begin"/>
      </w:r>
      <w:r>
        <w:instrText xml:space="preserve"> HYPERLINK "http://www.ccgp.gov.cn" </w:instrText>
      </w:r>
      <w:r>
        <w:fldChar w:fldCharType="separate"/>
      </w:r>
      <w:r>
        <w:rPr>
          <w:rFonts w:hint="eastAsia" w:cs="Helvetica" w:asciiTheme="minorEastAsia" w:hAnsiTheme="minorEastAsia"/>
          <w:kern w:val="0"/>
          <w:sz w:val="24"/>
          <w:szCs w:val="24"/>
          <w:lang w:val="zh-CN"/>
        </w:rPr>
        <w:t>www.ccgp.gov.cn</w:t>
      </w:r>
      <w:r>
        <w:rPr>
          <w:rFonts w:hint="eastAsia" w:cs="Helvetica" w:asciiTheme="minorEastAsia" w:hAnsiTheme="minorEastAsia"/>
          <w:kern w:val="0"/>
          <w:sz w:val="24"/>
          <w:szCs w:val="24"/>
          <w:lang w:val="zh-CN"/>
        </w:rPr>
        <w:fldChar w:fldCharType="end"/>
      </w:r>
      <w:r>
        <w:rPr>
          <w:rFonts w:hint="eastAsia" w:cs="Helvetica" w:asciiTheme="minorEastAsia" w:hAnsiTheme="minorEastAsia"/>
          <w:kern w:val="0"/>
          <w:sz w:val="24"/>
          <w:szCs w:val="24"/>
          <w:lang w:val="zh-CN"/>
        </w:rPr>
        <w:t>)。</w:t>
      </w:r>
    </w:p>
    <w:p>
      <w:pPr>
        <w:numPr>
          <w:ilvl w:val="0"/>
          <w:numId w:val="30"/>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列入失信被执行人、重大税收违法案件当事人名单、政府采购严重违法失信行为记录名单的供应商，集中采购机构</w:t>
      </w:r>
      <w:r>
        <w:rPr>
          <w:rFonts w:hint="eastAsia" w:cs="Helvetica" w:asciiTheme="minorEastAsia" w:hAnsiTheme="minorEastAsia"/>
          <w:b/>
          <w:kern w:val="0"/>
          <w:sz w:val="24"/>
          <w:szCs w:val="24"/>
          <w:lang w:val="zh-CN"/>
        </w:rPr>
        <w:t>拒绝</w:t>
      </w:r>
      <w:r>
        <w:rPr>
          <w:rFonts w:hint="eastAsia" w:cs="Helvetica" w:asciiTheme="minorEastAsia" w:hAnsiTheme="minorEastAsia"/>
          <w:kern w:val="0"/>
          <w:sz w:val="24"/>
          <w:szCs w:val="24"/>
          <w:lang w:val="zh-CN"/>
        </w:rPr>
        <w:t>其参与政府采购活动。</w:t>
      </w:r>
    </w:p>
    <w:p>
      <w:pPr>
        <w:numPr>
          <w:ilvl w:val="0"/>
          <w:numId w:val="30"/>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pPr>
        <w:numPr>
          <w:ilvl w:val="0"/>
          <w:numId w:val="30"/>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投标人的信用记录，最终以评标时的“信用中国”网站发布的信息为准。</w:t>
      </w:r>
    </w:p>
    <w:p>
      <w:pPr>
        <w:numPr>
          <w:ilvl w:val="0"/>
          <w:numId w:val="30"/>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在资格审查与评标工作未同日进行的特殊情形下，集中采购机构工作人员在评标时对投标人的信用信息进行复核，发现评标当日存在不良信用信息的，由评标委员会按照符合性审查不合格作</w:t>
      </w:r>
      <w:r>
        <w:rPr>
          <w:rFonts w:hint="eastAsia" w:cs="Helvetica" w:asciiTheme="minorEastAsia" w:hAnsiTheme="minorEastAsia"/>
          <w:b/>
          <w:kern w:val="0"/>
          <w:sz w:val="24"/>
          <w:szCs w:val="24"/>
          <w:lang w:val="zh-CN"/>
        </w:rPr>
        <w:t>无效投标处理</w:t>
      </w:r>
      <w:r>
        <w:rPr>
          <w:rFonts w:hint="eastAsia" w:cs="Helvetica" w:asciiTheme="minorEastAsia" w:hAnsiTheme="minorEastAsia"/>
          <w:kern w:val="0"/>
          <w:sz w:val="24"/>
          <w:szCs w:val="24"/>
          <w:lang w:val="zh-CN"/>
        </w:rPr>
        <w:t>。</w:t>
      </w:r>
    </w:p>
    <w:p>
      <w:pPr>
        <w:pStyle w:val="5"/>
        <w:numPr>
          <w:ilvl w:val="0"/>
          <w:numId w:val="6"/>
        </w:numPr>
        <w:spacing w:before="40" w:after="40" w:line="360" w:lineRule="auto"/>
        <w:ind w:left="658" w:hanging="658"/>
        <w:jc w:val="left"/>
        <w:rPr>
          <w:rFonts w:cs="Times New Roman" w:asciiTheme="majorEastAsia" w:hAnsiTheme="majorEastAsia"/>
          <w:bCs w:val="0"/>
          <w:lang w:val="zh-CN"/>
        </w:rPr>
      </w:pPr>
      <w:bookmarkStart w:id="27" w:name="_Toc494561944"/>
      <w:bookmarkStart w:id="28" w:name="_Toc30909"/>
      <w:r>
        <w:rPr>
          <w:rFonts w:cs="Times New Roman" w:asciiTheme="majorEastAsia" w:hAnsiTheme="majorEastAsia"/>
          <w:bCs w:val="0"/>
          <w:lang w:val="zh-CN"/>
        </w:rPr>
        <w:t>中标</w:t>
      </w:r>
      <w:r>
        <w:rPr>
          <w:rFonts w:hint="eastAsia" w:cs="Times New Roman" w:asciiTheme="majorEastAsia" w:hAnsiTheme="majorEastAsia"/>
          <w:bCs w:val="0"/>
          <w:lang w:val="zh-CN"/>
        </w:rPr>
        <w:t>与</w:t>
      </w:r>
      <w:r>
        <w:rPr>
          <w:rFonts w:cs="Times New Roman" w:asciiTheme="majorEastAsia" w:hAnsiTheme="majorEastAsia"/>
          <w:bCs w:val="0"/>
          <w:lang w:val="zh-CN"/>
        </w:rPr>
        <w:t>合同</w:t>
      </w:r>
      <w:bookmarkEnd w:id="27"/>
      <w:bookmarkEnd w:id="28"/>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确定中标人</w:t>
      </w:r>
    </w:p>
    <w:p>
      <w:pPr>
        <w:numPr>
          <w:ilvl w:val="0"/>
          <w:numId w:val="31"/>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采购人收到评标报告</w:t>
      </w:r>
      <w:r>
        <w:rPr>
          <w:rFonts w:ascii="宋体" w:hAnsi="宋体" w:eastAsia="宋体" w:cs="Helvetica"/>
          <w:kern w:val="0"/>
          <w:sz w:val="24"/>
          <w:szCs w:val="24"/>
          <w:lang w:val="zh-CN"/>
        </w:rPr>
        <w:t>5个工作日内，</w:t>
      </w:r>
      <w:r>
        <w:rPr>
          <w:rFonts w:hint="eastAsia" w:ascii="宋体" w:hAnsi="宋体" w:eastAsia="宋体" w:cs="Helvetica"/>
          <w:kern w:val="0"/>
          <w:sz w:val="24"/>
          <w:szCs w:val="24"/>
          <w:lang w:val="zh-CN"/>
        </w:rPr>
        <w:t>按</w:t>
      </w:r>
      <w:r>
        <w:rPr>
          <w:rFonts w:ascii="宋体" w:hAnsi="宋体" w:eastAsia="宋体" w:cs="Helvetica"/>
          <w:kern w:val="0"/>
          <w:sz w:val="24"/>
          <w:szCs w:val="24"/>
          <w:lang w:val="zh-CN"/>
        </w:rPr>
        <w:t>评标报告推荐的中标候选人顺序确定中标人。</w:t>
      </w:r>
    </w:p>
    <w:p>
      <w:pPr>
        <w:numPr>
          <w:ilvl w:val="0"/>
          <w:numId w:val="31"/>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中标候选人并列的</w:t>
      </w:r>
      <w:r>
        <w:rPr>
          <w:rFonts w:hint="eastAsia" w:ascii="Helvetica" w:hAnsi="Helvetica" w:eastAsia="宋体" w:cs="Helvetica"/>
          <w:kern w:val="0"/>
          <w:sz w:val="24"/>
          <w:szCs w:val="24"/>
          <w:lang w:val="zh-CN"/>
        </w:rPr>
        <w:t>：</w:t>
      </w:r>
    </w:p>
    <w:p>
      <w:pPr>
        <w:numPr>
          <w:ilvl w:val="0"/>
          <w:numId w:val="32"/>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采用最低评标价法的，评标结果按投标报价由低到高顺序排列。投标报价相同 的并列，</w:t>
      </w:r>
      <w:r>
        <w:rPr>
          <w:rFonts w:ascii="宋体" w:hAnsi="宋体" w:eastAsia="宋体" w:cs="Times New Roman"/>
          <w:sz w:val="24"/>
          <w:szCs w:val="20"/>
          <w:lang w:val="zh-CN"/>
        </w:rPr>
        <w:t>由采购人</w:t>
      </w:r>
      <w:r>
        <w:rPr>
          <w:rFonts w:hint="eastAsia" w:ascii="宋体" w:hAnsi="宋体" w:eastAsia="宋体" w:cs="Times New Roman"/>
          <w:sz w:val="24"/>
          <w:szCs w:val="20"/>
          <w:lang w:val="zh-CN"/>
        </w:rPr>
        <w:t>确定</w:t>
      </w:r>
      <w:r>
        <w:rPr>
          <w:rFonts w:ascii="宋体" w:hAnsi="宋体" w:eastAsia="宋体" w:cs="Times New Roman"/>
          <w:sz w:val="24"/>
          <w:szCs w:val="20"/>
          <w:lang w:val="zh-CN"/>
        </w:rPr>
        <w:t>或者采购人委托评标委员会</w:t>
      </w:r>
      <w:r>
        <w:rPr>
          <w:rFonts w:hint="eastAsia" w:ascii="宋体" w:hAnsi="宋体" w:eastAsia="宋体" w:cs="Times New Roman"/>
          <w:sz w:val="24"/>
          <w:szCs w:val="20"/>
          <w:lang w:val="zh-CN"/>
        </w:rPr>
        <w:t>以投票方式</w:t>
      </w:r>
      <w:r>
        <w:rPr>
          <w:rFonts w:ascii="宋体" w:hAnsi="宋体" w:eastAsia="宋体" w:cs="Times New Roman"/>
          <w:sz w:val="24"/>
          <w:szCs w:val="20"/>
          <w:lang w:val="zh-CN"/>
        </w:rPr>
        <w:t>确定中标人。</w:t>
      </w:r>
    </w:p>
    <w:p>
      <w:pPr>
        <w:numPr>
          <w:ilvl w:val="0"/>
          <w:numId w:val="32"/>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采用综合评分法的，评标结果按评审后得分由高到低顺序排列。得分相同的，按投标报价由低到高顺序排列。得分且投标报价相同的并列，</w:t>
      </w:r>
      <w:r>
        <w:rPr>
          <w:rFonts w:ascii="宋体" w:hAnsi="宋体" w:eastAsia="宋体" w:cs="Times New Roman"/>
          <w:sz w:val="24"/>
          <w:szCs w:val="20"/>
          <w:lang w:val="zh-CN"/>
        </w:rPr>
        <w:t>由采购人</w:t>
      </w:r>
      <w:r>
        <w:rPr>
          <w:rFonts w:hint="eastAsia" w:ascii="宋体" w:hAnsi="宋体" w:eastAsia="宋体" w:cs="Times New Roman"/>
          <w:sz w:val="24"/>
          <w:szCs w:val="20"/>
          <w:lang w:val="zh-CN"/>
        </w:rPr>
        <w:t>确定</w:t>
      </w:r>
      <w:r>
        <w:rPr>
          <w:rFonts w:ascii="宋体" w:hAnsi="宋体" w:eastAsia="宋体" w:cs="Times New Roman"/>
          <w:sz w:val="24"/>
          <w:szCs w:val="20"/>
          <w:lang w:val="zh-CN"/>
        </w:rPr>
        <w:t>或者采购人委托评标委员会</w:t>
      </w:r>
      <w:r>
        <w:rPr>
          <w:rFonts w:hint="eastAsia" w:ascii="宋体" w:hAnsi="宋体" w:eastAsia="宋体" w:cs="Times New Roman"/>
          <w:sz w:val="24"/>
          <w:szCs w:val="20"/>
          <w:lang w:val="zh-CN"/>
        </w:rPr>
        <w:t>以投票方式</w:t>
      </w:r>
      <w:r>
        <w:rPr>
          <w:rFonts w:ascii="宋体" w:hAnsi="宋体" w:eastAsia="宋体" w:cs="Times New Roman"/>
          <w:sz w:val="24"/>
          <w:szCs w:val="20"/>
          <w:lang w:val="zh-CN"/>
        </w:rPr>
        <w:t>确定中标人。</w:t>
      </w:r>
    </w:p>
    <w:p>
      <w:pPr>
        <w:numPr>
          <w:ilvl w:val="0"/>
          <w:numId w:val="31"/>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中标人的数量有其他规定的，按招标文件相关规定执行。</w:t>
      </w:r>
    </w:p>
    <w:p>
      <w:pPr>
        <w:numPr>
          <w:ilvl w:val="0"/>
          <w:numId w:val="31"/>
        </w:numPr>
        <w:spacing w:line="360" w:lineRule="auto"/>
        <w:ind w:left="616" w:hanging="616"/>
        <w:rPr>
          <w:rFonts w:ascii="宋体" w:hAnsi="宋体" w:eastAsia="宋体" w:cs="Times New Roman"/>
          <w:strike/>
          <w:sz w:val="24"/>
          <w:szCs w:val="20"/>
          <w:lang w:val="zh-CN"/>
        </w:rPr>
      </w:pPr>
      <w:r>
        <w:rPr>
          <w:rFonts w:hint="eastAsia" w:ascii="宋体" w:hAnsi="宋体" w:eastAsia="宋体" w:cs="Times New Roman"/>
          <w:sz w:val="24"/>
          <w:szCs w:val="20"/>
          <w:lang w:val="zh-CN"/>
        </w:rPr>
        <w:t>中标人确定后，集中采购机构在政府采购监管部门指定的媒体上发布中标公告，同时向中标人和采购人发出《中标通知书》。《中标通知书》是政府采购合同的组成部分,对中标人和采购人具有同等法律效力。</w:t>
      </w:r>
    </w:p>
    <w:p>
      <w:pPr>
        <w:numPr>
          <w:ilvl w:val="0"/>
          <w:numId w:val="31"/>
        </w:numPr>
        <w:spacing w:line="360" w:lineRule="auto"/>
        <w:ind w:left="616" w:hanging="616"/>
        <w:rPr>
          <w:rFonts w:ascii="宋体" w:hAnsi="宋体" w:eastAsia="宋体" w:cs="Times New Roman"/>
          <w:strike/>
          <w:sz w:val="24"/>
          <w:szCs w:val="20"/>
          <w:lang w:val="zh-CN"/>
        </w:rPr>
      </w:pPr>
      <w:r>
        <w:rPr>
          <w:rFonts w:ascii="Helvetica" w:hAnsi="Helvetica" w:eastAsia="宋体" w:cs="Helvetica"/>
          <w:kern w:val="0"/>
          <w:sz w:val="24"/>
          <w:szCs w:val="24"/>
          <w:lang w:val="zh-CN"/>
        </w:rPr>
        <w:t>中标通知书发出后，采购人不得违法改变中标结果，中标人无正当理由不得放弃中标。</w:t>
      </w:r>
    </w:p>
    <w:p>
      <w:pPr>
        <w:numPr>
          <w:ilvl w:val="0"/>
          <w:numId w:val="31"/>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中标人拒绝与采购人签订合同的，采购人可以按照评标报告推荐的中标候选人名单排序，确定下一候选人为中标人，也可以重新开展政府采购活动。</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合同授予</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除本章“确定中标人”规定及其他法律规定的情形外，采购人把合同授予被确定为实质上响应招标文件要求且排名第一的中标人。</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合同签订</w:t>
      </w:r>
    </w:p>
    <w:p>
      <w:pPr>
        <w:numPr>
          <w:ilvl w:val="0"/>
          <w:numId w:val="33"/>
        </w:numPr>
        <w:spacing w:line="360" w:lineRule="auto"/>
        <w:ind w:left="616" w:hanging="616"/>
        <w:rPr>
          <w:rFonts w:ascii="宋体" w:hAnsi="宋体" w:eastAsia="宋体" w:cs="Times New Roman"/>
          <w:sz w:val="24"/>
          <w:szCs w:val="20"/>
          <w:lang w:val="zh-CN"/>
        </w:rPr>
      </w:pPr>
      <w:bookmarkStart w:id="29" w:name="_Toc272247700"/>
      <w:bookmarkStart w:id="30" w:name="_Toc278891597"/>
      <w:r>
        <w:rPr>
          <w:rFonts w:ascii="宋体" w:hAnsi="宋体" w:eastAsia="宋体" w:cs="Times New Roman"/>
          <w:sz w:val="24"/>
          <w:szCs w:val="20"/>
          <w:lang w:val="zh-CN"/>
        </w:rPr>
        <w:t>采购人应当自中标通知书发出之日起30日内，按照招标文件</w:t>
      </w:r>
      <w:r>
        <w:rPr>
          <w:rFonts w:hint="eastAsia" w:ascii="宋体" w:hAnsi="宋体" w:eastAsia="宋体" w:cs="Times New Roman"/>
          <w:sz w:val="24"/>
          <w:szCs w:val="20"/>
          <w:lang w:val="zh-CN"/>
        </w:rPr>
        <w:t>规定</w:t>
      </w:r>
      <w:r>
        <w:rPr>
          <w:rFonts w:ascii="宋体" w:hAnsi="宋体" w:eastAsia="宋体" w:cs="Times New Roman"/>
          <w:sz w:val="24"/>
          <w:szCs w:val="20"/>
          <w:lang w:val="zh-CN"/>
        </w:rPr>
        <w:t>和中标人投标文件的</w:t>
      </w:r>
      <w:r>
        <w:rPr>
          <w:rFonts w:hint="eastAsia" w:ascii="宋体" w:hAnsi="宋体" w:eastAsia="宋体" w:cs="Times New Roman"/>
          <w:sz w:val="24"/>
          <w:szCs w:val="20"/>
          <w:lang w:val="zh-CN"/>
        </w:rPr>
        <w:t>承诺</w:t>
      </w:r>
      <w:r>
        <w:rPr>
          <w:rFonts w:ascii="宋体" w:hAnsi="宋体" w:eastAsia="宋体" w:cs="Times New Roman"/>
          <w:sz w:val="24"/>
          <w:szCs w:val="20"/>
          <w:lang w:val="zh-CN"/>
        </w:rPr>
        <w:t>，与中标人签订书面合同。所签订的合同不得对招标文件确定的事项和中标人投标文件作实质性修改。</w:t>
      </w:r>
    </w:p>
    <w:p>
      <w:pPr>
        <w:numPr>
          <w:ilvl w:val="0"/>
          <w:numId w:val="33"/>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采购人不得向中标人提出任何不合理的要求作为签订合同的条件。</w:t>
      </w:r>
    </w:p>
    <w:p>
      <w:pPr>
        <w:numPr>
          <w:ilvl w:val="0"/>
          <w:numId w:val="33"/>
        </w:numPr>
        <w:tabs>
          <w:tab w:val="left" w:pos="616"/>
        </w:tabs>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政府采购合同应当包括采购人与中标人的名称和住所、标的、数量、质量、价款或者报酬、履行期限及地点和方式、验收要求、违约责任、解决争议的方法等内容。</w:t>
      </w:r>
    </w:p>
    <w:p>
      <w:pPr>
        <w:numPr>
          <w:ilvl w:val="0"/>
          <w:numId w:val="33"/>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采购人与中标人应当根据合同的约定依法履行合同义务。政府采购合同的履行、违约责任和解决争议的方法等适用《中华人民共和国合同法》。</w:t>
      </w:r>
    </w:p>
    <w:p>
      <w:pPr>
        <w:numPr>
          <w:ilvl w:val="0"/>
          <w:numId w:val="33"/>
        </w:numPr>
        <w:tabs>
          <w:tab w:val="left" w:pos="616"/>
        </w:tabs>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rPr>
        <w:t>采购人应当自政府采购合同签订之日起2个工作日内，将政府采购合同在省级以上人民政府财政部门指定的媒体上公告，但政府采购合同中涉及国家秘密、商业秘密的内容除外。</w:t>
      </w:r>
    </w:p>
    <w:p>
      <w:pPr>
        <w:numPr>
          <w:ilvl w:val="0"/>
          <w:numId w:val="33"/>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pPr>
        <w:pStyle w:val="5"/>
        <w:numPr>
          <w:ilvl w:val="0"/>
          <w:numId w:val="6"/>
        </w:numPr>
        <w:spacing w:before="40" w:after="40" w:line="360" w:lineRule="auto"/>
        <w:ind w:left="658" w:hanging="658"/>
        <w:jc w:val="left"/>
        <w:rPr>
          <w:rFonts w:cs="Times New Roman" w:asciiTheme="majorEastAsia" w:hAnsiTheme="majorEastAsia"/>
          <w:bCs w:val="0"/>
          <w:lang w:val="zh-CN"/>
        </w:rPr>
      </w:pPr>
      <w:bookmarkStart w:id="31" w:name="_Toc494561945"/>
      <w:bookmarkStart w:id="32" w:name="_Toc26356"/>
      <w:r>
        <w:rPr>
          <w:rFonts w:hint="eastAsia" w:cs="Times New Roman" w:asciiTheme="majorEastAsia" w:hAnsiTheme="majorEastAsia"/>
          <w:bCs w:val="0"/>
          <w:lang w:val="zh-CN"/>
        </w:rPr>
        <w:t>采购信息公告</w:t>
      </w:r>
      <w:bookmarkEnd w:id="31"/>
      <w:bookmarkEnd w:id="32"/>
    </w:p>
    <w:p>
      <w:pPr>
        <w:numPr>
          <w:ilvl w:val="0"/>
          <w:numId w:val="7"/>
        </w:numPr>
        <w:spacing w:line="360" w:lineRule="auto"/>
        <w:ind w:left="560" w:hanging="560"/>
        <w:rPr>
          <w:rFonts w:ascii="宋体" w:hAnsi="宋体" w:eastAsia="宋体" w:cs="Helvetica"/>
          <w:b/>
          <w:color w:val="0D0D0D"/>
          <w:kern w:val="0"/>
          <w:sz w:val="24"/>
          <w:szCs w:val="24"/>
          <w:lang w:val="zh-CN"/>
        </w:rPr>
      </w:pPr>
      <w:r>
        <w:rPr>
          <w:rFonts w:hint="eastAsia" w:ascii="宋体" w:hAnsi="宋体" w:eastAsia="宋体" w:cs="Helvetica"/>
          <w:b/>
          <w:color w:val="0D0D0D"/>
          <w:kern w:val="0"/>
          <w:sz w:val="24"/>
          <w:szCs w:val="24"/>
          <w:lang w:val="zh-CN"/>
        </w:rPr>
        <w:t>公告的媒体及规定</w:t>
      </w:r>
    </w:p>
    <w:p>
      <w:pPr>
        <w:numPr>
          <w:ilvl w:val="0"/>
          <w:numId w:val="34"/>
        </w:numPr>
        <w:tabs>
          <w:tab w:val="left" w:pos="616"/>
        </w:tabs>
        <w:spacing w:line="360" w:lineRule="auto"/>
        <w:ind w:left="616" w:hanging="616"/>
        <w:rPr>
          <w:rFonts w:cs="Helvetica" w:asciiTheme="minorEastAsia" w:hAnsiTheme="minorEastAsia"/>
          <w:color w:val="FF0000"/>
          <w:kern w:val="0"/>
          <w:sz w:val="24"/>
          <w:szCs w:val="24"/>
          <w:lang w:val="zh-CN"/>
        </w:rPr>
      </w:pPr>
      <w:r>
        <w:rPr>
          <w:rFonts w:hint="eastAsia" w:cs="Helvetica" w:asciiTheme="minorEastAsia" w:hAnsiTheme="minorEastAsia"/>
          <w:color w:val="FF0000"/>
          <w:kern w:val="0"/>
          <w:sz w:val="24"/>
          <w:szCs w:val="24"/>
          <w:lang w:val="zh-CN"/>
        </w:rPr>
        <w:t>集中采购机构在招标活动中的公告、补充、更正、结果等采购信息均依法在政府采购监管部门指定媒体上（中国湖北政府采购网http://www.ccgp-hubei.gov.cn/）发布。</w:t>
      </w:r>
    </w:p>
    <w:p>
      <w:pPr>
        <w:numPr>
          <w:ilvl w:val="0"/>
          <w:numId w:val="34"/>
        </w:numPr>
        <w:tabs>
          <w:tab w:val="left" w:pos="616"/>
        </w:tabs>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集中采购机构在自</w:t>
      </w:r>
      <w:r>
        <w:rPr>
          <w:rFonts w:cs="Helvetica" w:asciiTheme="minorEastAsia" w:hAnsiTheme="minorEastAsia"/>
          <w:kern w:val="0"/>
          <w:sz w:val="24"/>
          <w:szCs w:val="24"/>
          <w:lang w:val="zh-CN"/>
        </w:rPr>
        <w:t>中标人确定之日起2个工作日内，</w:t>
      </w:r>
      <w:r>
        <w:rPr>
          <w:rFonts w:hint="eastAsia" w:cs="Helvetica" w:asciiTheme="minorEastAsia" w:hAnsiTheme="minorEastAsia"/>
          <w:kern w:val="0"/>
          <w:sz w:val="24"/>
          <w:szCs w:val="24"/>
          <w:lang w:val="zh-CN"/>
        </w:rPr>
        <w:t>在政府采购监管部门指定媒体上</w:t>
      </w:r>
      <w:r>
        <w:rPr>
          <w:rFonts w:cs="Helvetica" w:asciiTheme="minorEastAsia" w:hAnsiTheme="minorEastAsia"/>
          <w:kern w:val="0"/>
          <w:sz w:val="24"/>
          <w:szCs w:val="24"/>
          <w:lang w:val="zh-CN"/>
        </w:rPr>
        <w:t>公告中标结果</w:t>
      </w:r>
      <w:r>
        <w:rPr>
          <w:rFonts w:hint="eastAsia" w:cs="Helvetica" w:asciiTheme="minorEastAsia" w:hAnsiTheme="minorEastAsia"/>
          <w:kern w:val="0"/>
          <w:sz w:val="24"/>
          <w:szCs w:val="24"/>
          <w:lang w:val="zh-CN"/>
        </w:rPr>
        <w:t>，中标公告的公示期为1个工作日。</w:t>
      </w:r>
    </w:p>
    <w:p>
      <w:pPr>
        <w:numPr>
          <w:ilvl w:val="0"/>
          <w:numId w:val="34"/>
        </w:numPr>
        <w:tabs>
          <w:tab w:val="left" w:pos="616"/>
        </w:tabs>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资格审查未通过的投标人可在结果公告质疑有效期内按公告中的联系方式获知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w:t>
      </w:r>
      <w:r>
        <w:rPr>
          <w:rFonts w:hint="eastAsia" w:cs="Helvetica" w:asciiTheme="minorEastAsia" w:hAnsiTheme="minorEastAsia"/>
          <w:kern w:val="0"/>
          <w:sz w:val="24"/>
          <w:szCs w:val="24"/>
          <w:lang w:val="zh-CN"/>
        </w:rPr>
        <w:t>资格审查情况</w:t>
      </w:r>
      <w:r>
        <w:rPr>
          <w:rFonts w:cs="Helvetica" w:asciiTheme="minorEastAsia" w:hAnsiTheme="minorEastAsia"/>
          <w:kern w:val="0"/>
          <w:sz w:val="24"/>
          <w:szCs w:val="24"/>
          <w:lang w:val="zh-CN"/>
        </w:rPr>
        <w:t>。</w:t>
      </w:r>
    </w:p>
    <w:p>
      <w:pPr>
        <w:numPr>
          <w:ilvl w:val="0"/>
          <w:numId w:val="34"/>
        </w:numPr>
        <w:tabs>
          <w:tab w:val="left" w:pos="616"/>
        </w:tabs>
        <w:spacing w:line="360" w:lineRule="auto"/>
        <w:ind w:left="616" w:hanging="616"/>
        <w:rPr>
          <w:rFonts w:cs="Helvetica" w:asciiTheme="minorEastAsia" w:hAnsiTheme="minorEastAsia"/>
          <w:kern w:val="0"/>
          <w:sz w:val="24"/>
          <w:szCs w:val="24"/>
          <w:lang w:val="zh-CN"/>
        </w:rPr>
      </w:pPr>
      <w:r>
        <w:rPr>
          <w:rFonts w:cs="Helvetica" w:asciiTheme="minorEastAsia" w:hAnsiTheme="minorEastAsia"/>
          <w:kern w:val="0"/>
          <w:sz w:val="24"/>
          <w:szCs w:val="24"/>
          <w:lang w:val="zh-CN"/>
        </w:rPr>
        <w:t>采用综合评分法评审的</w:t>
      </w:r>
      <w:r>
        <w:rPr>
          <w:rFonts w:hint="eastAsia" w:cs="Helvetica" w:asciiTheme="minorEastAsia" w:hAnsiTheme="minorEastAsia"/>
          <w:kern w:val="0"/>
          <w:sz w:val="24"/>
          <w:szCs w:val="24"/>
          <w:lang w:val="zh-CN"/>
        </w:rPr>
        <w:t>项目</w:t>
      </w:r>
      <w:r>
        <w:rPr>
          <w:rFonts w:cs="Helvetica" w:asciiTheme="minorEastAsia" w:hAnsiTheme="minorEastAsia"/>
          <w:kern w:val="0"/>
          <w:sz w:val="24"/>
          <w:szCs w:val="24"/>
          <w:lang w:val="zh-CN"/>
        </w:rPr>
        <w:t>，</w:t>
      </w:r>
      <w:r>
        <w:rPr>
          <w:rFonts w:hint="eastAsia" w:cs="Helvetica" w:asciiTheme="minorEastAsia" w:hAnsiTheme="minorEastAsia"/>
          <w:kern w:val="0"/>
          <w:sz w:val="24"/>
          <w:szCs w:val="24"/>
          <w:lang w:val="zh-CN"/>
        </w:rPr>
        <w:t>未中标人可在结果公告质疑有效期内按公告中的联系方式获知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的评审得分与排序。</w:t>
      </w:r>
    </w:p>
    <w:p>
      <w:pPr>
        <w:pStyle w:val="5"/>
        <w:numPr>
          <w:ilvl w:val="0"/>
          <w:numId w:val="6"/>
        </w:numPr>
        <w:spacing w:before="40" w:after="40" w:line="360" w:lineRule="auto"/>
        <w:ind w:left="658" w:hanging="658"/>
        <w:jc w:val="left"/>
        <w:rPr>
          <w:rFonts w:cs="Times New Roman" w:asciiTheme="majorEastAsia" w:hAnsiTheme="majorEastAsia"/>
          <w:bCs w:val="0"/>
          <w:lang w:val="zh-CN"/>
        </w:rPr>
      </w:pPr>
      <w:bookmarkStart w:id="33" w:name="_Toc494561946"/>
      <w:bookmarkStart w:id="34" w:name="_Toc440"/>
      <w:r>
        <w:rPr>
          <w:rFonts w:hint="eastAsia" w:cs="Times New Roman" w:asciiTheme="majorEastAsia" w:hAnsiTheme="majorEastAsia"/>
          <w:bCs w:val="0"/>
          <w:lang w:val="zh-CN"/>
        </w:rPr>
        <w:t>质疑</w:t>
      </w:r>
      <w:bookmarkEnd w:id="29"/>
      <w:bookmarkEnd w:id="30"/>
      <w:r>
        <w:rPr>
          <w:rFonts w:hint="eastAsia" w:cs="Times New Roman" w:asciiTheme="majorEastAsia" w:hAnsiTheme="majorEastAsia"/>
          <w:bCs w:val="0"/>
          <w:lang w:val="zh-CN"/>
        </w:rPr>
        <w:t>及提交</w:t>
      </w:r>
      <w:bookmarkEnd w:id="33"/>
      <w:bookmarkEnd w:id="34"/>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质疑提交</w:t>
      </w:r>
    </w:p>
    <w:p>
      <w:pPr>
        <w:autoSpaceDE w:val="0"/>
        <w:autoSpaceDN w:val="0"/>
        <w:adjustRightInd w:val="0"/>
        <w:snapToGrid w:val="0"/>
        <w:spacing w:line="300" w:lineRule="auto"/>
        <w:ind w:left="420" w:right="32" w:firstLine="6"/>
        <w:rPr>
          <w:rFonts w:ascii="宋体" w:hAnsi="宋体" w:eastAsia="宋体" w:cs="Times New Roman"/>
          <w:sz w:val="24"/>
          <w:szCs w:val="20"/>
          <w:lang w:val="zh-CN"/>
        </w:rPr>
      </w:pPr>
      <w:r>
        <w:rPr>
          <w:rFonts w:hint="eastAsia" w:ascii="宋体" w:hAnsi="宋体" w:eastAsia="宋体" w:cs="Times New Roman"/>
          <w:sz w:val="24"/>
          <w:szCs w:val="20"/>
          <w:lang w:val="zh-CN"/>
        </w:rPr>
        <w:t>投标人认为招标文件、招标过程和中标结果使自己的权益受到损害的，可以在知道或者应知其权益受到损害之日起7个工作日内，</w:t>
      </w:r>
      <w:r>
        <w:rPr>
          <w:rFonts w:ascii="宋体" w:hAnsi="宋体" w:eastAsia="宋体" w:cs="Times New Roman"/>
          <w:sz w:val="24"/>
          <w:szCs w:val="20"/>
          <w:lang w:val="zh-CN"/>
        </w:rPr>
        <w:t>向</w:t>
      </w:r>
      <w:r>
        <w:rPr>
          <w:rFonts w:hint="eastAsia" w:ascii="宋体" w:hAnsi="宋体" w:eastAsia="宋体" w:cs="Times New Roman"/>
          <w:sz w:val="24"/>
          <w:szCs w:val="20"/>
          <w:lang w:val="zh-CN"/>
        </w:rPr>
        <w:t>阳新县公共资源交易中心</w:t>
      </w:r>
      <w:r>
        <w:rPr>
          <w:rFonts w:ascii="宋体" w:hAnsi="宋体" w:eastAsia="宋体" w:cs="Times New Roman"/>
          <w:sz w:val="24"/>
          <w:szCs w:val="20"/>
          <w:lang w:val="zh-CN"/>
        </w:rPr>
        <w:t>提出质疑</w:t>
      </w:r>
      <w:r>
        <w:rPr>
          <w:rFonts w:hint="eastAsia" w:ascii="宋体" w:hAnsi="宋体" w:eastAsia="宋体" w:cs="Times New Roman"/>
          <w:sz w:val="24"/>
          <w:szCs w:val="20"/>
          <w:lang w:val="zh-CN"/>
        </w:rPr>
        <w:t>，质疑提出时间以收到之日为准。</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投标人</w:t>
      </w:r>
      <w:r>
        <w:rPr>
          <w:rFonts w:ascii="宋体" w:hAnsi="宋体" w:eastAsia="宋体" w:cs="Times New Roman"/>
          <w:b/>
          <w:sz w:val="24"/>
          <w:szCs w:val="20"/>
          <w:lang w:val="zh-CN"/>
        </w:rPr>
        <w:t>应知其权益受到损害之日是指：</w:t>
      </w:r>
    </w:p>
    <w:p>
      <w:pPr>
        <w:numPr>
          <w:ilvl w:val="0"/>
          <w:numId w:val="35"/>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对可以质疑的</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文件提出质疑的，为收到</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文件之日或者</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文件公告期限届满之日</w:t>
      </w:r>
      <w:r>
        <w:rPr>
          <w:rFonts w:hint="eastAsia" w:ascii="宋体" w:hAnsi="宋体" w:eastAsia="宋体" w:cs="Times New Roman"/>
          <w:sz w:val="24"/>
          <w:szCs w:val="20"/>
          <w:lang w:val="zh-CN"/>
        </w:rPr>
        <w:t>；</w:t>
      </w:r>
    </w:p>
    <w:p>
      <w:pPr>
        <w:numPr>
          <w:ilvl w:val="0"/>
          <w:numId w:val="35"/>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w:t>
      </w:r>
      <w:r>
        <w:rPr>
          <w:rFonts w:hint="eastAsia" w:ascii="宋体" w:hAnsi="宋体" w:eastAsia="宋体" w:cs="Times New Roman"/>
          <w:sz w:val="24"/>
          <w:szCs w:val="20"/>
          <w:lang w:val="zh-CN"/>
        </w:rPr>
        <w:t>招标</w:t>
      </w:r>
      <w:r>
        <w:rPr>
          <w:rFonts w:ascii="宋体" w:hAnsi="宋体" w:eastAsia="宋体" w:cs="Times New Roman"/>
          <w:sz w:val="24"/>
          <w:szCs w:val="20"/>
          <w:lang w:val="zh-CN"/>
        </w:rPr>
        <w:t>过程提出质疑的，为各</w:t>
      </w:r>
      <w:r>
        <w:rPr>
          <w:rFonts w:hint="eastAsia" w:ascii="宋体" w:hAnsi="宋体" w:eastAsia="宋体" w:cs="Times New Roman"/>
          <w:sz w:val="24"/>
          <w:szCs w:val="20"/>
          <w:lang w:val="zh-CN"/>
        </w:rPr>
        <w:t>招标</w:t>
      </w:r>
      <w:r>
        <w:rPr>
          <w:rFonts w:ascii="宋体" w:hAnsi="宋体" w:eastAsia="宋体" w:cs="Times New Roman"/>
          <w:sz w:val="24"/>
          <w:szCs w:val="20"/>
          <w:lang w:val="zh-CN"/>
        </w:rPr>
        <w:t>程序环节结束之日</w:t>
      </w:r>
      <w:r>
        <w:rPr>
          <w:rFonts w:hint="eastAsia" w:ascii="宋体" w:hAnsi="宋体" w:eastAsia="宋体" w:cs="Times New Roman"/>
          <w:sz w:val="24"/>
          <w:szCs w:val="20"/>
          <w:lang w:val="zh-CN"/>
        </w:rPr>
        <w:t>；</w:t>
      </w:r>
    </w:p>
    <w:p>
      <w:pPr>
        <w:numPr>
          <w:ilvl w:val="0"/>
          <w:numId w:val="35"/>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对中标结果提出质疑的，为中标公告期限届满之日。</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质疑书应当包括下列主要内容：</w:t>
      </w:r>
    </w:p>
    <w:p>
      <w:pPr>
        <w:numPr>
          <w:ilvl w:val="0"/>
          <w:numId w:val="36"/>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质疑人的名称、地址、联系人及联系电话等；</w:t>
      </w:r>
    </w:p>
    <w:p>
      <w:pPr>
        <w:numPr>
          <w:ilvl w:val="0"/>
          <w:numId w:val="36"/>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被质疑人的名称、地址、联系人及联系电话等；</w:t>
      </w:r>
    </w:p>
    <w:p>
      <w:pPr>
        <w:numPr>
          <w:ilvl w:val="0"/>
          <w:numId w:val="36"/>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质疑项目名称及编号、质疑事项和明确的请求；</w:t>
      </w:r>
    </w:p>
    <w:p>
      <w:pPr>
        <w:numPr>
          <w:ilvl w:val="0"/>
          <w:numId w:val="36"/>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质疑事项的事实根据、法律依据及其他必要的证明材料；</w:t>
      </w:r>
    </w:p>
    <w:p>
      <w:pPr>
        <w:numPr>
          <w:ilvl w:val="0"/>
          <w:numId w:val="36"/>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提出质疑的日期；</w:t>
      </w:r>
    </w:p>
    <w:p>
      <w:pPr>
        <w:numPr>
          <w:ilvl w:val="0"/>
          <w:numId w:val="36"/>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质疑人的署名及签章（质疑人为自然人的，应当由本人签字；质疑人为法人或者其他组织的，应当由法定代表人或者主要负责人签字盖章并加盖公章）；</w:t>
      </w:r>
    </w:p>
    <w:p>
      <w:pPr>
        <w:numPr>
          <w:ilvl w:val="0"/>
          <w:numId w:val="36"/>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法人授权委托书（质疑人或法人委托代理人办理质疑事务的，应当提供授权委托书，授权委托书应当载明委托代理的具体权限和事项）。</w:t>
      </w:r>
    </w:p>
    <w:p>
      <w:pPr>
        <w:pStyle w:val="9"/>
        <w:adjustRightInd w:val="0"/>
        <w:snapToGrid w:val="0"/>
        <w:spacing w:line="360" w:lineRule="auto"/>
        <w:ind w:left="420"/>
        <w:rPr>
          <w:rFonts w:hAnsi="宋体"/>
          <w:b/>
          <w:sz w:val="24"/>
          <w:szCs w:val="24"/>
        </w:rPr>
      </w:pPr>
      <w:r>
        <w:rPr>
          <w:rFonts w:hint="eastAsia" w:hAnsi="宋体"/>
          <w:b/>
          <w:sz w:val="24"/>
          <w:szCs w:val="24"/>
        </w:rPr>
        <w:t>质疑书不符合上述要求的，采购人或代理机构应书面告知具体事项，质疑人应当按要求进行修改或补充，并在质疑有效期限内提交。</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不予受理的情形</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投标人未按本章“质疑及提交”规定的时限、内容及方式进行质疑的，集中采购机构不予受理。</w:t>
      </w:r>
    </w:p>
    <w:p>
      <w:pPr>
        <w:pStyle w:val="5"/>
        <w:numPr>
          <w:ilvl w:val="0"/>
          <w:numId w:val="6"/>
        </w:numPr>
        <w:spacing w:before="40" w:after="40" w:line="360" w:lineRule="auto"/>
        <w:ind w:left="658" w:hanging="658"/>
        <w:jc w:val="left"/>
        <w:rPr>
          <w:rFonts w:cs="Times New Roman" w:asciiTheme="majorEastAsia" w:hAnsiTheme="majorEastAsia"/>
          <w:bCs w:val="0"/>
          <w:lang w:val="zh-CN"/>
        </w:rPr>
      </w:pPr>
      <w:bookmarkStart w:id="35" w:name="_Toc494561947"/>
      <w:bookmarkStart w:id="36" w:name="_Toc32552"/>
      <w:r>
        <w:rPr>
          <w:rFonts w:hint="eastAsia" w:cs="Times New Roman" w:asciiTheme="majorEastAsia" w:hAnsiTheme="majorEastAsia"/>
          <w:bCs w:val="0"/>
          <w:lang w:val="zh-CN"/>
        </w:rPr>
        <w:t>相关条文解读</w:t>
      </w:r>
      <w:bookmarkEnd w:id="35"/>
      <w:bookmarkEnd w:id="36"/>
    </w:p>
    <w:p>
      <w:pPr>
        <w:numPr>
          <w:ilvl w:val="0"/>
          <w:numId w:val="7"/>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政府采购法第二十二条第一款第五项所称重大违法记录，是指供应商因违法经营受到刑事处罚或者责令停产停业、吊销许可证或者执照、较大数额罚款等行政处罚。</w:t>
      </w:r>
    </w:p>
    <w:p>
      <w:pPr>
        <w:numPr>
          <w:ilvl w:val="0"/>
          <w:numId w:val="7"/>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按照财政部《关于规范政府采购行政处罚有关问题的通知》的规定，</w:t>
      </w:r>
      <w:r>
        <w:rPr>
          <w:rFonts w:ascii="宋体" w:hAnsi="宋体" w:eastAsia="宋体" w:cs="Times New Roman"/>
          <w:sz w:val="24"/>
          <w:szCs w:val="20"/>
          <w:lang w:val="zh-CN"/>
        </w:rPr>
        <w:t>各级人民政府财政部门依法对参加政府采购活动的供应商作出的禁止参加政府采购活动等行政处罚决定在全国范围内生效。</w:t>
      </w:r>
    </w:p>
    <w:p>
      <w:pPr>
        <w:numPr>
          <w:ilvl w:val="0"/>
          <w:numId w:val="7"/>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供应商在参加政府采购活动前3年内因违法经营被禁止在一定期限内参加政府采购活动，期限届满的，可以参加政府采购活动。</w:t>
      </w:r>
    </w:p>
    <w:p>
      <w:pPr>
        <w:numPr>
          <w:ilvl w:val="0"/>
          <w:numId w:val="7"/>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根据财政部《政府采购法实施条例》释义中关于供应商资格条件的解释，对于银行、保险、石油石化、电力、电信等有行业特殊情况的，采购人和集中采购机构允许其分支机构参与投标。</w:t>
      </w:r>
    </w:p>
    <w:p>
      <w:pPr>
        <w:pStyle w:val="5"/>
        <w:numPr>
          <w:ilvl w:val="0"/>
          <w:numId w:val="6"/>
        </w:numPr>
        <w:spacing w:before="40" w:after="40" w:line="360" w:lineRule="auto"/>
        <w:ind w:left="658" w:hanging="658"/>
        <w:jc w:val="left"/>
        <w:rPr>
          <w:rFonts w:cs="Times New Roman" w:asciiTheme="majorEastAsia" w:hAnsiTheme="majorEastAsia"/>
          <w:bCs w:val="0"/>
          <w:lang w:val="zh-CN"/>
        </w:rPr>
      </w:pPr>
      <w:bookmarkStart w:id="37" w:name="_Toc494561948"/>
      <w:bookmarkStart w:id="38" w:name="_Toc25555"/>
      <w:r>
        <w:rPr>
          <w:rFonts w:hint="eastAsia" w:cs="Times New Roman" w:asciiTheme="majorEastAsia" w:hAnsiTheme="majorEastAsia"/>
          <w:bCs w:val="0"/>
          <w:lang w:val="zh-CN"/>
        </w:rPr>
        <w:t>其他注意事项</w:t>
      </w:r>
      <w:bookmarkEnd w:id="37"/>
      <w:bookmarkEnd w:id="38"/>
    </w:p>
    <w:p>
      <w:pPr>
        <w:numPr>
          <w:ilvl w:val="0"/>
          <w:numId w:val="7"/>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单位负责人为同一人或者存在直接控股、管理关系的不同供应商，不得参加同一合同项下的政府采购活动。</w:t>
      </w:r>
    </w:p>
    <w:p>
      <w:pPr>
        <w:numPr>
          <w:ilvl w:val="0"/>
          <w:numId w:val="7"/>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除单一来源采购项目外，为采购项目提供整体设计、规范编制或者项目管理、监理、检测等服务的供应商，不得再参加该采购项目的其他采购活动。</w:t>
      </w:r>
    </w:p>
    <w:p>
      <w:pPr>
        <w:pStyle w:val="5"/>
        <w:numPr>
          <w:ilvl w:val="0"/>
          <w:numId w:val="6"/>
        </w:numPr>
        <w:spacing w:before="40" w:after="40" w:line="360" w:lineRule="auto"/>
        <w:ind w:left="966" w:hanging="966"/>
        <w:jc w:val="left"/>
        <w:rPr>
          <w:rFonts w:cs="Times New Roman" w:asciiTheme="majorEastAsia" w:hAnsiTheme="majorEastAsia"/>
          <w:bCs w:val="0"/>
          <w:lang w:val="zh-CN"/>
        </w:rPr>
      </w:pPr>
      <w:bookmarkStart w:id="39" w:name="_Toc278891598"/>
      <w:bookmarkStart w:id="40" w:name="_Toc3148"/>
      <w:bookmarkStart w:id="41" w:name="_Toc272247701"/>
      <w:bookmarkStart w:id="42" w:name="_Toc494561949"/>
      <w:r>
        <w:rPr>
          <w:rFonts w:hint="eastAsia" w:cs="Times New Roman" w:asciiTheme="majorEastAsia" w:hAnsiTheme="majorEastAsia"/>
          <w:bCs w:val="0"/>
          <w:lang w:val="zh-CN"/>
        </w:rPr>
        <w:t>适用法律</w:t>
      </w:r>
      <w:bookmarkEnd w:id="39"/>
      <w:bookmarkEnd w:id="40"/>
      <w:bookmarkEnd w:id="41"/>
      <w:bookmarkEnd w:id="42"/>
    </w:p>
    <w:p>
      <w:pPr>
        <w:numPr>
          <w:ilvl w:val="0"/>
          <w:numId w:val="7"/>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采购人、集中采购机构及投标人的一切招标投标活动均适用《政府采购法》、《政府采购法实施条例》、</w:t>
      </w:r>
      <w:r>
        <w:rPr>
          <w:rFonts w:ascii="宋体" w:hAnsi="宋体" w:eastAsia="宋体" w:cs="Times New Roman"/>
          <w:sz w:val="24"/>
          <w:szCs w:val="20"/>
          <w:lang w:val="zh-CN"/>
        </w:rPr>
        <w:t>《政府采购货物和服务招标投标管理办法》</w:t>
      </w:r>
      <w:r>
        <w:rPr>
          <w:rFonts w:hint="eastAsia" w:ascii="宋体" w:hAnsi="宋体" w:eastAsia="宋体" w:cs="Times New Roman"/>
          <w:sz w:val="24"/>
          <w:szCs w:val="20"/>
          <w:lang w:val="zh-CN"/>
        </w:rPr>
        <w:t>及相关法律法规。</w:t>
      </w:r>
    </w:p>
    <w:p>
      <w:pPr>
        <w:numPr>
          <w:ilvl w:val="0"/>
          <w:numId w:val="7"/>
        </w:numPr>
        <w:spacing w:line="360" w:lineRule="auto"/>
        <w:ind w:left="560" w:hanging="560"/>
        <w:rPr>
          <w:rFonts w:ascii="宋体" w:hAnsi="宋体" w:eastAsia="宋体" w:cs="Times New Roman"/>
          <w:sz w:val="24"/>
          <w:szCs w:val="20"/>
          <w:lang w:val="zh-CN"/>
        </w:rPr>
      </w:pPr>
      <w:r>
        <w:rPr>
          <w:rFonts w:ascii="Helvetica" w:hAnsi="Helvetica" w:eastAsia="宋体" w:cs="Helvetica"/>
          <w:kern w:val="0"/>
          <w:sz w:val="24"/>
          <w:szCs w:val="24"/>
          <w:lang w:val="zh-CN"/>
        </w:rPr>
        <w:t>政府采购合同的履行、违约责任和解决争议的方法等适用《合同法》。</w:t>
      </w:r>
    </w:p>
    <w:p>
      <w:pPr>
        <w:pStyle w:val="5"/>
        <w:numPr>
          <w:ilvl w:val="0"/>
          <w:numId w:val="6"/>
        </w:numPr>
        <w:spacing w:before="40" w:after="40" w:line="360" w:lineRule="auto"/>
        <w:ind w:left="966" w:hanging="966"/>
        <w:jc w:val="left"/>
        <w:rPr>
          <w:rFonts w:cs="Times New Roman" w:asciiTheme="majorEastAsia" w:hAnsiTheme="majorEastAsia"/>
          <w:bCs w:val="0"/>
          <w:lang w:val="zh-CN"/>
        </w:rPr>
      </w:pPr>
      <w:bookmarkStart w:id="43" w:name="_Toc1827"/>
      <w:bookmarkStart w:id="44" w:name="_Toc494561950"/>
      <w:bookmarkStart w:id="45" w:name="_Toc278891599"/>
      <w:bookmarkStart w:id="46" w:name="_Toc272247702"/>
      <w:r>
        <w:rPr>
          <w:rFonts w:hint="eastAsia" w:cs="Times New Roman" w:asciiTheme="majorEastAsia" w:hAnsiTheme="majorEastAsia"/>
          <w:bCs w:val="0"/>
          <w:lang w:val="zh-CN"/>
        </w:rPr>
        <w:t>招标文件的解释权</w:t>
      </w:r>
      <w:bookmarkEnd w:id="43"/>
      <w:bookmarkEnd w:id="44"/>
      <w:bookmarkEnd w:id="45"/>
      <w:bookmarkEnd w:id="46"/>
    </w:p>
    <w:p>
      <w:pPr>
        <w:numPr>
          <w:ilvl w:val="0"/>
          <w:numId w:val="7"/>
        </w:numPr>
        <w:spacing w:line="360" w:lineRule="auto"/>
        <w:ind w:left="560" w:hanging="560"/>
        <w:sectPr>
          <w:footerReference r:id="rId7" w:type="default"/>
          <w:pgSz w:w="11906" w:h="16838"/>
          <w:pgMar w:top="1134" w:right="1191" w:bottom="1134" w:left="1191" w:header="851" w:footer="850" w:gutter="0"/>
          <w:pgNumType w:start="1"/>
          <w:cols w:space="0" w:num="1"/>
          <w:docGrid w:type="linesAndChars" w:linePitch="317" w:charSpace="204"/>
        </w:sectPr>
      </w:pPr>
      <w:r>
        <w:rPr>
          <w:rFonts w:hint="eastAsia" w:ascii="宋体" w:hAnsi="宋体" w:eastAsia="宋体" w:cs="Times New Roman"/>
          <w:sz w:val="24"/>
          <w:szCs w:val="20"/>
          <w:lang w:val="zh-CN"/>
        </w:rPr>
        <w:t>招标文件的最终解释权为采购人、集中采购机构所有。</w:t>
      </w:r>
    </w:p>
    <w:p>
      <w:pPr>
        <w:pStyle w:val="4"/>
        <w:numPr>
          <w:ilvl w:val="0"/>
          <w:numId w:val="1"/>
        </w:numPr>
        <w:jc w:val="center"/>
        <w:rPr>
          <w:rFonts w:ascii="黑体" w:hAnsi="黑体" w:eastAsia="黑体"/>
        </w:rPr>
      </w:pPr>
      <w:bookmarkStart w:id="47" w:name="_Toc4809"/>
      <w:r>
        <w:rPr>
          <w:rFonts w:hint="eastAsia" w:ascii="黑体" w:hAnsi="黑体" w:eastAsia="黑体"/>
        </w:rPr>
        <w:t>项目技术、服务及商务要求</w:t>
      </w:r>
      <w:bookmarkEnd w:id="47"/>
    </w:p>
    <w:p>
      <w:pPr>
        <w:keepNext/>
        <w:keepLines/>
        <w:numPr>
          <w:ilvl w:val="0"/>
          <w:numId w:val="37"/>
        </w:numPr>
        <w:spacing w:line="360" w:lineRule="auto"/>
        <w:ind w:left="616" w:hanging="616"/>
        <w:jc w:val="left"/>
        <w:outlineLvl w:val="1"/>
        <w:rPr>
          <w:rFonts w:hint="eastAsia" w:ascii="宋体" w:hAnsi="宋体"/>
          <w:b/>
          <w:bCs/>
          <w:sz w:val="28"/>
          <w:szCs w:val="28"/>
        </w:rPr>
      </w:pPr>
      <w:bookmarkStart w:id="48" w:name="_Toc455003459"/>
      <w:bookmarkStart w:id="49" w:name="_Toc458864800"/>
      <w:bookmarkStart w:id="50" w:name="_Toc454885317"/>
      <w:r>
        <w:rPr>
          <w:rFonts w:hint="eastAsia" w:ascii="黑体" w:hAnsi="黑体" w:eastAsia="黑体"/>
        </w:rPr>
        <w:t xml:space="preserve"> </w:t>
      </w:r>
      <w:bookmarkEnd w:id="48"/>
      <w:bookmarkEnd w:id="49"/>
      <w:bookmarkEnd w:id="50"/>
      <w:bookmarkStart w:id="51" w:name="_Toc12420"/>
      <w:r>
        <w:rPr>
          <w:rFonts w:hint="eastAsia" w:ascii="宋体" w:hAnsi="宋体"/>
          <w:b/>
          <w:bCs/>
          <w:sz w:val="28"/>
          <w:szCs w:val="28"/>
        </w:rPr>
        <w:t>项目采购清单</w:t>
      </w:r>
      <w:bookmarkEnd w:id="51"/>
    </w:p>
    <w:p>
      <w:pPr>
        <w:spacing w:line="360" w:lineRule="auto"/>
        <w:ind w:firstLine="482" w:firstLineChars="200"/>
        <w:rPr>
          <w:rFonts w:hint="eastAsia" w:ascii="宋体" w:hAnsi="宋体"/>
          <w:b/>
          <w:bCs/>
          <w:color w:val="000000"/>
          <w:sz w:val="24"/>
        </w:rPr>
      </w:pPr>
      <w:bookmarkStart w:id="52" w:name="_Toc339378680"/>
      <w:bookmarkEnd w:id="52"/>
      <w:bookmarkStart w:id="53" w:name="_Toc338065594"/>
      <w:r>
        <w:rPr>
          <w:rFonts w:hint="eastAsia" w:ascii="宋体" w:hAnsi="宋体"/>
          <w:sz w:val="24"/>
        </w:rPr>
        <w:t>说明：招标文件中“★”标注的</w:t>
      </w:r>
      <w:bookmarkEnd w:id="53"/>
      <w:r>
        <w:rPr>
          <w:rFonts w:hint="eastAsia" w:ascii="宋体" w:hAnsi="宋体"/>
          <w:sz w:val="24"/>
        </w:rPr>
        <w:t>技术、服务及商务要求，应满足或优于。</w:t>
      </w:r>
    </w:p>
    <w:tbl>
      <w:tblPr>
        <w:tblStyle w:val="19"/>
        <w:tblW w:w="9324" w:type="dxa"/>
        <w:tblInd w:w="93" w:type="dxa"/>
        <w:tblLayout w:type="fixed"/>
        <w:tblCellMar>
          <w:top w:w="0" w:type="dxa"/>
          <w:left w:w="108" w:type="dxa"/>
          <w:bottom w:w="0" w:type="dxa"/>
          <w:right w:w="108" w:type="dxa"/>
        </w:tblCellMar>
      </w:tblPr>
      <w:tblGrid>
        <w:gridCol w:w="631"/>
        <w:gridCol w:w="3353"/>
        <w:gridCol w:w="2127"/>
        <w:gridCol w:w="1842"/>
        <w:gridCol w:w="1371"/>
      </w:tblGrid>
      <w:tr>
        <w:tblPrEx>
          <w:tblLayout w:type="fixed"/>
          <w:tblCellMar>
            <w:top w:w="0" w:type="dxa"/>
            <w:left w:w="108" w:type="dxa"/>
            <w:bottom w:w="0" w:type="dxa"/>
            <w:right w:w="108"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keepNext w:val="0"/>
              <w:keepLines w:val="0"/>
              <w:suppressLineNumbers w:val="0"/>
              <w:spacing w:before="0" w:beforeAutospacing="0" w:after="0" w:afterAutospacing="0" w:line="20" w:lineRule="atLeast"/>
              <w:ind w:left="-48" w:leftChars="-23" w:right="-48" w:rightChars="-23"/>
              <w:jc w:val="center"/>
              <w:rPr>
                <w:rFonts w:hint="default" w:ascii="宋体" w:hAnsi="宋体"/>
                <w:color w:val="000000"/>
                <w:sz w:val="24"/>
              </w:rPr>
            </w:pPr>
            <w:r>
              <w:rPr>
                <w:rFonts w:hint="eastAsia" w:ascii="宋体" w:hAnsi="宋体"/>
                <w:color w:val="000000"/>
                <w:sz w:val="24"/>
              </w:rPr>
              <w:t>序号</w:t>
            </w:r>
          </w:p>
        </w:tc>
        <w:tc>
          <w:tcPr>
            <w:tcW w:w="3353" w:type="dxa"/>
            <w:tcBorders>
              <w:top w:val="single" w:color="auto" w:sz="4" w:space="0"/>
              <w:left w:val="nil"/>
              <w:bottom w:val="single" w:color="auto" w:sz="4" w:space="0"/>
              <w:right w:val="single" w:color="auto" w:sz="4" w:space="0"/>
            </w:tcBorders>
            <w:shd w:val="clear" w:color="auto" w:fill="D9D9D9"/>
            <w:noWrap w:val="0"/>
            <w:vAlign w:val="center"/>
          </w:tcPr>
          <w:p>
            <w:pPr>
              <w:keepNext w:val="0"/>
              <w:keepLines w:val="0"/>
              <w:suppressLineNumbers w:val="0"/>
              <w:spacing w:before="0" w:beforeAutospacing="0" w:after="0" w:afterAutospacing="0" w:line="20" w:lineRule="atLeast"/>
              <w:ind w:left="0" w:right="0"/>
              <w:jc w:val="center"/>
              <w:rPr>
                <w:rFonts w:hint="default" w:ascii="宋体" w:hAnsi="宋体"/>
                <w:color w:val="000000"/>
                <w:sz w:val="24"/>
              </w:rPr>
            </w:pPr>
            <w:r>
              <w:rPr>
                <w:rFonts w:hint="eastAsia" w:ascii="宋体" w:hAnsi="宋体"/>
                <w:color w:val="000000"/>
                <w:sz w:val="24"/>
              </w:rPr>
              <w:t>名称</w:t>
            </w:r>
          </w:p>
        </w:tc>
        <w:tc>
          <w:tcPr>
            <w:tcW w:w="2127" w:type="dxa"/>
            <w:tcBorders>
              <w:top w:val="single" w:color="auto" w:sz="4" w:space="0"/>
              <w:left w:val="nil"/>
              <w:bottom w:val="single" w:color="auto" w:sz="4" w:space="0"/>
              <w:right w:val="single" w:color="auto" w:sz="4" w:space="0"/>
            </w:tcBorders>
            <w:shd w:val="clear" w:color="auto" w:fill="D9D9D9"/>
            <w:noWrap w:val="0"/>
            <w:vAlign w:val="center"/>
          </w:tcPr>
          <w:p>
            <w:pPr>
              <w:keepNext w:val="0"/>
              <w:keepLines w:val="0"/>
              <w:suppressLineNumbers w:val="0"/>
              <w:spacing w:before="0" w:beforeAutospacing="0" w:after="0" w:afterAutospacing="0" w:line="20" w:lineRule="atLeast"/>
              <w:ind w:left="-48" w:leftChars="-23" w:right="-48" w:rightChars="-23"/>
              <w:jc w:val="center"/>
              <w:rPr>
                <w:rFonts w:hint="default" w:ascii="宋体" w:hAnsi="宋体"/>
                <w:color w:val="000000"/>
                <w:sz w:val="24"/>
              </w:rPr>
            </w:pPr>
            <w:r>
              <w:rPr>
                <w:rFonts w:hint="eastAsia" w:ascii="宋体" w:hAnsi="宋体"/>
                <w:color w:val="000000"/>
                <w:sz w:val="24"/>
              </w:rPr>
              <w:t>数量</w:t>
            </w:r>
          </w:p>
        </w:tc>
        <w:tc>
          <w:tcPr>
            <w:tcW w:w="1842" w:type="dxa"/>
            <w:tcBorders>
              <w:top w:val="single" w:color="auto" w:sz="4" w:space="0"/>
              <w:left w:val="nil"/>
              <w:bottom w:val="single" w:color="auto" w:sz="4" w:space="0"/>
              <w:right w:val="single" w:color="auto" w:sz="4" w:space="0"/>
            </w:tcBorders>
            <w:shd w:val="clear" w:color="auto" w:fill="D9D9D9"/>
            <w:noWrap w:val="0"/>
            <w:vAlign w:val="center"/>
          </w:tcPr>
          <w:p>
            <w:pPr>
              <w:keepNext w:val="0"/>
              <w:keepLines w:val="0"/>
              <w:suppressLineNumbers w:val="0"/>
              <w:spacing w:before="0" w:beforeAutospacing="0" w:after="0" w:afterAutospacing="0" w:line="20" w:lineRule="atLeast"/>
              <w:ind w:left="0" w:right="0"/>
              <w:jc w:val="center"/>
              <w:rPr>
                <w:rFonts w:hint="default" w:ascii="宋体" w:hAnsi="宋体"/>
                <w:color w:val="000000"/>
                <w:sz w:val="24"/>
              </w:rPr>
            </w:pPr>
            <w:r>
              <w:rPr>
                <w:rFonts w:hint="eastAsia" w:ascii="宋体" w:hAnsi="宋体"/>
                <w:color w:val="000000"/>
                <w:sz w:val="24"/>
              </w:rPr>
              <w:t>单位</w:t>
            </w:r>
          </w:p>
        </w:tc>
        <w:tc>
          <w:tcPr>
            <w:tcW w:w="1371" w:type="dxa"/>
            <w:tcBorders>
              <w:top w:val="single" w:color="auto" w:sz="4" w:space="0"/>
              <w:left w:val="nil"/>
              <w:bottom w:val="single" w:color="auto" w:sz="4" w:space="0"/>
              <w:right w:val="single" w:color="auto" w:sz="4" w:space="0"/>
            </w:tcBorders>
            <w:shd w:val="clear" w:color="auto" w:fill="D9D9D9"/>
            <w:noWrap w:val="0"/>
            <w:vAlign w:val="center"/>
          </w:tcPr>
          <w:p>
            <w:pPr>
              <w:keepNext w:val="0"/>
              <w:keepLines w:val="0"/>
              <w:suppressLineNumbers w:val="0"/>
              <w:spacing w:before="0" w:beforeAutospacing="0" w:after="0" w:afterAutospacing="0" w:line="20" w:lineRule="atLeast"/>
              <w:ind w:left="-48" w:leftChars="-23" w:right="-48" w:rightChars="-23"/>
              <w:jc w:val="center"/>
              <w:rPr>
                <w:rFonts w:hint="default" w:ascii="宋体" w:hAnsi="宋体"/>
                <w:color w:val="000000"/>
                <w:sz w:val="24"/>
              </w:rPr>
            </w:pPr>
            <w:r>
              <w:rPr>
                <w:rFonts w:hint="eastAsia" w:ascii="宋体" w:hAnsi="宋体"/>
                <w:color w:val="000000"/>
                <w:sz w:val="24"/>
              </w:rPr>
              <w:t>货物/服务</w:t>
            </w:r>
          </w:p>
        </w:tc>
      </w:tr>
      <w:tr>
        <w:tblPrEx>
          <w:tblLayout w:type="fixed"/>
          <w:tblCellMar>
            <w:top w:w="0" w:type="dxa"/>
            <w:left w:w="108" w:type="dxa"/>
            <w:bottom w:w="0" w:type="dxa"/>
            <w:right w:w="108" w:type="dxa"/>
          </w:tblCellMar>
        </w:tblPrEx>
        <w:trPr>
          <w:trHeight w:val="20" w:hRule="atLeast"/>
        </w:trPr>
        <w:tc>
          <w:tcPr>
            <w:tcW w:w="631" w:type="dxa"/>
            <w:tcBorders>
              <w:top w:val="nil"/>
              <w:left w:val="single" w:color="auto" w:sz="4" w:space="0"/>
              <w:bottom w:val="single" w:color="auto" w:sz="4" w:space="0"/>
              <w:right w:val="single" w:color="auto" w:sz="4" w:space="0"/>
            </w:tcBorders>
            <w:noWrap w:val="0"/>
            <w:vAlign w:val="center"/>
          </w:tcPr>
          <w:p>
            <w:pPr>
              <w:keepNext w:val="0"/>
              <w:keepLines w:val="0"/>
              <w:numPr>
                <w:ilvl w:val="0"/>
                <w:numId w:val="38"/>
              </w:numPr>
              <w:suppressLineNumbers w:val="0"/>
              <w:spacing w:before="0" w:beforeAutospacing="0" w:after="0" w:afterAutospacing="0"/>
              <w:ind w:left="-93" w:right="-48" w:rightChars="-23" w:hanging="3"/>
              <w:jc w:val="center"/>
              <w:rPr>
                <w:rFonts w:hint="default" w:ascii="宋体" w:hAnsi="宋体"/>
                <w:sz w:val="2"/>
              </w:rPr>
            </w:pPr>
          </w:p>
        </w:tc>
        <w:tc>
          <w:tcPr>
            <w:tcW w:w="3353" w:type="dxa"/>
            <w:tcBorders>
              <w:top w:val="nil"/>
              <w:left w:val="nil"/>
              <w:bottom w:val="single" w:color="auto" w:sz="4" w:space="0"/>
              <w:right w:val="single" w:color="auto" w:sz="4" w:space="0"/>
            </w:tcBorders>
            <w:noWrap w:val="0"/>
            <w:vAlign w:val="center"/>
          </w:tcPr>
          <w:p>
            <w:pPr>
              <w:keepNext/>
              <w:keepLines w:val="0"/>
              <w:suppressLineNumbers w:val="0"/>
              <w:spacing w:before="0" w:beforeAutospacing="0" w:after="0" w:afterAutospacing="0" w:line="20" w:lineRule="atLeast"/>
              <w:ind w:left="-48" w:leftChars="-23" w:right="-48" w:rightChars="-23"/>
              <w:jc w:val="center"/>
              <w:rPr>
                <w:rFonts w:hint="default" w:ascii="宋体" w:hAnsi="宋体"/>
                <w:sz w:val="24"/>
              </w:rPr>
            </w:pPr>
            <w:r>
              <w:rPr>
                <w:rFonts w:hint="eastAsia" w:ascii="宋体" w:hAnsi="宋体"/>
                <w:sz w:val="24"/>
              </w:rPr>
              <w:t>物业管理</w:t>
            </w:r>
            <w:r>
              <w:rPr>
                <w:rFonts w:hint="eastAsia" w:ascii="宋体" w:hAnsi="宋体"/>
                <w:sz w:val="24"/>
                <w:lang w:eastAsia="zh-CN"/>
              </w:rPr>
              <w:t>（保安、保洁）</w:t>
            </w:r>
            <w:r>
              <w:rPr>
                <w:rFonts w:hint="eastAsia" w:ascii="宋体" w:hAnsi="宋体"/>
                <w:sz w:val="24"/>
              </w:rPr>
              <w:t>服务</w:t>
            </w:r>
          </w:p>
        </w:tc>
        <w:tc>
          <w:tcPr>
            <w:tcW w:w="2127" w:type="dxa"/>
            <w:tcBorders>
              <w:top w:val="nil"/>
              <w:left w:val="nil"/>
              <w:bottom w:val="single" w:color="auto" w:sz="4" w:space="0"/>
              <w:right w:val="single" w:color="auto" w:sz="4" w:space="0"/>
            </w:tcBorders>
            <w:noWrap w:val="0"/>
            <w:vAlign w:val="center"/>
          </w:tcPr>
          <w:p>
            <w:pPr>
              <w:keepNext/>
              <w:keepLines w:val="0"/>
              <w:suppressLineNumbers w:val="0"/>
              <w:spacing w:before="0" w:beforeAutospacing="0" w:after="0" w:afterAutospacing="0" w:line="20" w:lineRule="atLeast"/>
              <w:ind w:left="-48" w:leftChars="-23" w:right="-48" w:rightChars="-23"/>
              <w:jc w:val="center"/>
              <w:rPr>
                <w:rFonts w:hint="default" w:ascii="宋体" w:hAnsi="宋体"/>
                <w:sz w:val="24"/>
              </w:rPr>
            </w:pPr>
            <w:r>
              <w:rPr>
                <w:rFonts w:hint="eastAsia" w:ascii="宋体" w:hAnsi="宋体"/>
                <w:sz w:val="24"/>
              </w:rPr>
              <w:t>1</w:t>
            </w:r>
          </w:p>
        </w:tc>
        <w:tc>
          <w:tcPr>
            <w:tcW w:w="1842" w:type="dxa"/>
            <w:tcBorders>
              <w:top w:val="nil"/>
              <w:left w:val="nil"/>
              <w:bottom w:val="single" w:color="auto" w:sz="4" w:space="0"/>
              <w:right w:val="single" w:color="auto" w:sz="4" w:space="0"/>
            </w:tcBorders>
            <w:noWrap w:val="0"/>
            <w:vAlign w:val="center"/>
          </w:tcPr>
          <w:p>
            <w:pPr>
              <w:keepNext/>
              <w:keepLines w:val="0"/>
              <w:suppressLineNumbers w:val="0"/>
              <w:spacing w:before="0" w:beforeAutospacing="0" w:after="0" w:afterAutospacing="0" w:line="20" w:lineRule="atLeast"/>
              <w:ind w:left="-48" w:leftChars="-23" w:right="-48" w:rightChars="-23"/>
              <w:jc w:val="center"/>
              <w:rPr>
                <w:rFonts w:hint="default" w:ascii="宋体" w:hAnsi="宋体"/>
                <w:sz w:val="24"/>
              </w:rPr>
            </w:pPr>
            <w:r>
              <w:rPr>
                <w:rFonts w:hint="eastAsia" w:ascii="宋体" w:hAnsi="宋体"/>
                <w:sz w:val="24"/>
              </w:rPr>
              <w:t>项</w:t>
            </w:r>
          </w:p>
        </w:tc>
        <w:tc>
          <w:tcPr>
            <w:tcW w:w="137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0" w:lineRule="atLeast"/>
              <w:ind w:left="-48" w:leftChars="-23" w:right="-48" w:rightChars="-23"/>
              <w:jc w:val="center"/>
              <w:rPr>
                <w:rFonts w:hint="default" w:ascii="宋体" w:hAnsi="宋体"/>
                <w:sz w:val="24"/>
              </w:rPr>
            </w:pPr>
            <w:r>
              <w:rPr>
                <w:rFonts w:hint="eastAsia" w:ascii="宋体" w:hAnsi="宋体"/>
                <w:sz w:val="24"/>
              </w:rPr>
              <w:t>服务</w:t>
            </w:r>
          </w:p>
        </w:tc>
      </w:tr>
      <w:tr>
        <w:tblPrEx>
          <w:tblLayout w:type="fixed"/>
          <w:tblCellMar>
            <w:top w:w="0" w:type="dxa"/>
            <w:left w:w="108" w:type="dxa"/>
            <w:bottom w:w="0" w:type="dxa"/>
            <w:right w:w="108" w:type="dxa"/>
          </w:tblCellMar>
        </w:tblPrEx>
        <w:trPr>
          <w:trHeight w:val="20" w:hRule="atLeast"/>
        </w:trPr>
        <w:tc>
          <w:tcPr>
            <w:tcW w:w="3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0" w:lineRule="atLeast"/>
              <w:ind w:left="-48" w:leftChars="-23" w:right="-48" w:rightChars="-23"/>
              <w:jc w:val="center"/>
              <w:rPr>
                <w:rFonts w:hint="default" w:ascii="宋体" w:hAnsi="宋体"/>
                <w:sz w:val="24"/>
              </w:rPr>
            </w:pPr>
            <w:r>
              <w:rPr>
                <w:rFonts w:hint="eastAsia" w:ascii="宋体" w:hAnsi="宋体"/>
                <w:sz w:val="24"/>
              </w:rPr>
              <w:t>★服务期（月）</w:t>
            </w:r>
          </w:p>
        </w:tc>
        <w:tc>
          <w:tcPr>
            <w:tcW w:w="5340" w:type="dxa"/>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0" w:lineRule="atLeast"/>
              <w:ind w:left="0" w:right="-48" w:rightChars="-23"/>
              <w:jc w:val="center"/>
              <w:rPr>
                <w:rFonts w:hint="default" w:ascii="宋体" w:hAnsi="宋体"/>
                <w:sz w:val="24"/>
                <w:highlight w:val="red"/>
              </w:rPr>
            </w:pPr>
            <w:r>
              <w:rPr>
                <w:rFonts w:hint="eastAsia" w:ascii="宋体" w:hAnsi="宋体"/>
                <w:sz w:val="24"/>
              </w:rPr>
              <w:t>12</w:t>
            </w:r>
          </w:p>
        </w:tc>
      </w:tr>
      <w:tr>
        <w:tblPrEx>
          <w:tblLayout w:type="fixed"/>
          <w:tblCellMar>
            <w:top w:w="0" w:type="dxa"/>
            <w:left w:w="108" w:type="dxa"/>
            <w:bottom w:w="0" w:type="dxa"/>
            <w:right w:w="108" w:type="dxa"/>
          </w:tblCellMar>
        </w:tblPrEx>
        <w:trPr>
          <w:trHeight w:val="20" w:hRule="atLeast"/>
        </w:trPr>
        <w:tc>
          <w:tcPr>
            <w:tcW w:w="3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0" w:lineRule="atLeast"/>
              <w:ind w:left="-48" w:leftChars="-23" w:right="-48" w:rightChars="-23"/>
              <w:jc w:val="center"/>
              <w:rPr>
                <w:rFonts w:hint="eastAsia" w:ascii="宋体" w:hAnsi="宋体"/>
                <w:sz w:val="24"/>
              </w:rPr>
            </w:pPr>
          </w:p>
        </w:tc>
        <w:tc>
          <w:tcPr>
            <w:tcW w:w="5340" w:type="dxa"/>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0" w:lineRule="atLeast"/>
              <w:ind w:left="0" w:right="-48" w:rightChars="-23"/>
              <w:jc w:val="center"/>
              <w:rPr>
                <w:rFonts w:hint="eastAsia" w:ascii="宋体" w:hAnsi="宋体"/>
                <w:sz w:val="24"/>
              </w:rPr>
            </w:pPr>
          </w:p>
        </w:tc>
      </w:tr>
    </w:tbl>
    <w:p>
      <w:pPr>
        <w:keepNext/>
        <w:keepLines/>
        <w:numPr>
          <w:ilvl w:val="0"/>
          <w:numId w:val="37"/>
        </w:numPr>
        <w:spacing w:line="360" w:lineRule="auto"/>
        <w:ind w:left="616" w:hanging="616"/>
        <w:jc w:val="left"/>
        <w:outlineLvl w:val="1"/>
        <w:rPr>
          <w:rFonts w:hint="eastAsia" w:ascii="宋体" w:hAnsi="宋体"/>
          <w:b/>
          <w:bCs/>
          <w:sz w:val="28"/>
          <w:szCs w:val="28"/>
        </w:rPr>
      </w:pPr>
      <w:bookmarkStart w:id="54" w:name="_Toc13756"/>
      <w:r>
        <w:rPr>
          <w:rFonts w:hint="eastAsia" w:ascii="宋体" w:hAnsi="宋体"/>
          <w:b/>
          <w:bCs/>
          <w:sz w:val="28"/>
          <w:szCs w:val="28"/>
        </w:rPr>
        <w:t>项目概述及简介</w:t>
      </w:r>
      <w:bookmarkEnd w:id="54"/>
    </w:p>
    <w:p>
      <w:pPr>
        <w:spacing w:line="360" w:lineRule="auto"/>
        <w:ind w:firstLine="482" w:firstLineChars="200"/>
        <w:rPr>
          <w:rFonts w:hint="eastAsia" w:ascii="宋体" w:hAnsi="宋体" w:cs="Helvetica"/>
          <w:kern w:val="0"/>
          <w:sz w:val="24"/>
        </w:rPr>
      </w:pPr>
      <w:r>
        <w:rPr>
          <w:rFonts w:hint="eastAsia" w:ascii="宋体" w:hAnsi="宋体" w:cs="Helvetica"/>
          <w:kern w:val="0"/>
          <w:sz w:val="24"/>
        </w:rPr>
        <w:t>阳新县人民法院位于阳新县兴国镇阳新大道7号，占地面积14亩，总建筑面积14453平方米。物业管理范围为：审判综合楼、院墙内公共区域、绿化带、</w:t>
      </w:r>
      <w:r>
        <w:rPr>
          <w:rFonts w:hint="eastAsia" w:ascii="宋体" w:hAnsi="宋体" w:cs="仿宋_GB2312"/>
          <w:sz w:val="24"/>
        </w:rPr>
        <w:t>院墙外至阳新大道门前三包区域</w:t>
      </w:r>
      <w:r>
        <w:rPr>
          <w:rFonts w:hint="eastAsia" w:ascii="宋体" w:hAnsi="宋体" w:cs="Helvetica"/>
          <w:kern w:val="0"/>
          <w:sz w:val="24"/>
        </w:rPr>
        <w:t>。设施设备主要含：照明系统、电梯系统、消防系统、给排水系统、供配电系统。会议服务、环境管理工作等。基本情况如下：</w:t>
      </w:r>
    </w:p>
    <w:tbl>
      <w:tblPr>
        <w:tblStyle w:val="19"/>
        <w:tblW w:w="9370" w:type="dxa"/>
        <w:tblInd w:w="135" w:type="dxa"/>
        <w:tblLayout w:type="fixed"/>
        <w:tblCellMar>
          <w:top w:w="0" w:type="dxa"/>
          <w:left w:w="108" w:type="dxa"/>
          <w:bottom w:w="0" w:type="dxa"/>
          <w:right w:w="108" w:type="dxa"/>
        </w:tblCellMar>
      </w:tblPr>
      <w:tblGrid>
        <w:gridCol w:w="735"/>
        <w:gridCol w:w="1324"/>
        <w:gridCol w:w="3868"/>
        <w:gridCol w:w="2470"/>
        <w:gridCol w:w="973"/>
      </w:tblGrid>
      <w:tr>
        <w:tblPrEx>
          <w:tblLayout w:type="fixed"/>
          <w:tblCellMar>
            <w:top w:w="0" w:type="dxa"/>
            <w:left w:w="108" w:type="dxa"/>
            <w:bottom w:w="0" w:type="dxa"/>
            <w:right w:w="108" w:type="dxa"/>
          </w:tblCellMar>
        </w:tblPrEx>
        <w:trPr>
          <w:trHeight w:val="709" w:hRule="atLeast"/>
        </w:trPr>
        <w:tc>
          <w:tcPr>
            <w:tcW w:w="735" w:type="dxa"/>
            <w:tcBorders>
              <w:top w:val="single" w:color="auto" w:sz="4" w:space="0"/>
              <w:left w:val="single" w:color="auto" w:sz="4" w:space="0"/>
              <w:bottom w:val="single" w:color="auto" w:sz="4" w:space="0"/>
              <w:right w:val="single" w:color="auto" w:sz="4" w:space="0"/>
            </w:tcBorders>
            <w:shd w:val="clear" w:color="auto" w:fill="7F7F7F"/>
            <w:noWrap w:val="0"/>
            <w:vAlign w:val="center"/>
          </w:tcPr>
          <w:p>
            <w:pPr>
              <w:keepNext/>
              <w:keepLines w:val="0"/>
              <w:widowControl/>
              <w:suppressLineNumbers w:val="0"/>
              <w:spacing w:before="0" w:beforeAutospacing="0" w:after="0" w:afterAutospacing="0"/>
              <w:ind w:left="-82" w:leftChars="-39" w:right="-80" w:rightChars="-38"/>
              <w:jc w:val="center"/>
              <w:rPr>
                <w:rFonts w:hint="default" w:ascii="宋体" w:hAnsi="宋体"/>
                <w:b/>
                <w:bCs/>
                <w:kern w:val="0"/>
                <w:sz w:val="24"/>
              </w:rPr>
            </w:pPr>
            <w:r>
              <w:rPr>
                <w:rFonts w:hint="eastAsia" w:ascii="宋体" w:hAnsi="宋体"/>
                <w:b/>
                <w:bCs/>
                <w:sz w:val="24"/>
              </w:rPr>
              <w:t>1.各建筑设施情况介绍</w:t>
            </w:r>
            <w:r>
              <w:rPr>
                <w:rFonts w:hint="eastAsia" w:ascii="宋体" w:hAnsi="宋体"/>
                <w:b/>
                <w:bCs/>
                <w:kern w:val="0"/>
                <w:sz w:val="24"/>
              </w:rPr>
              <w:t>序号</w:t>
            </w:r>
          </w:p>
        </w:tc>
        <w:tc>
          <w:tcPr>
            <w:tcW w:w="1324" w:type="dxa"/>
            <w:tcBorders>
              <w:top w:val="single" w:color="auto" w:sz="4" w:space="0"/>
              <w:left w:val="nil"/>
              <w:bottom w:val="single" w:color="auto" w:sz="4" w:space="0"/>
              <w:right w:val="single" w:color="auto" w:sz="4" w:space="0"/>
            </w:tcBorders>
            <w:shd w:val="clear" w:color="auto" w:fill="7F7F7F"/>
            <w:noWrap w:val="0"/>
            <w:vAlign w:val="center"/>
          </w:tcPr>
          <w:p>
            <w:pPr>
              <w:keepNext/>
              <w:keepLines w:val="0"/>
              <w:widowControl/>
              <w:suppressLineNumbers w:val="0"/>
              <w:spacing w:before="0" w:beforeAutospacing="0" w:after="0" w:afterAutospacing="0"/>
              <w:ind w:left="-82" w:leftChars="-39" w:right="-80" w:rightChars="-38"/>
              <w:jc w:val="center"/>
              <w:rPr>
                <w:rFonts w:hint="default" w:ascii="宋体" w:hAnsi="宋体"/>
                <w:b/>
                <w:bCs/>
                <w:kern w:val="0"/>
                <w:sz w:val="24"/>
              </w:rPr>
            </w:pPr>
            <w:r>
              <w:rPr>
                <w:rFonts w:hint="eastAsia" w:ascii="宋体" w:hAnsi="宋体"/>
                <w:b/>
                <w:bCs/>
                <w:kern w:val="0"/>
                <w:sz w:val="24"/>
              </w:rPr>
              <w:t>名称</w:t>
            </w:r>
          </w:p>
        </w:tc>
        <w:tc>
          <w:tcPr>
            <w:tcW w:w="3868" w:type="dxa"/>
            <w:tcBorders>
              <w:top w:val="single" w:color="auto" w:sz="4" w:space="0"/>
              <w:left w:val="nil"/>
              <w:bottom w:val="single" w:color="auto" w:sz="4" w:space="0"/>
              <w:right w:val="single" w:color="auto" w:sz="4" w:space="0"/>
            </w:tcBorders>
            <w:shd w:val="clear" w:color="auto" w:fill="7F7F7F"/>
            <w:noWrap w:val="0"/>
            <w:vAlign w:val="center"/>
          </w:tcPr>
          <w:p>
            <w:pPr>
              <w:keepNext/>
              <w:keepLines w:val="0"/>
              <w:widowControl/>
              <w:suppressLineNumbers w:val="0"/>
              <w:spacing w:before="0" w:beforeAutospacing="0" w:after="0" w:afterAutospacing="0"/>
              <w:ind w:left="-82" w:leftChars="-39" w:right="-80" w:rightChars="-38"/>
              <w:jc w:val="center"/>
              <w:rPr>
                <w:rFonts w:hint="default" w:ascii="宋体" w:hAnsi="宋体"/>
                <w:b/>
                <w:bCs/>
                <w:kern w:val="0"/>
                <w:sz w:val="24"/>
              </w:rPr>
            </w:pPr>
            <w:r>
              <w:rPr>
                <w:rFonts w:hint="eastAsia" w:ascii="宋体" w:hAnsi="宋体"/>
                <w:b/>
                <w:bCs/>
                <w:kern w:val="0"/>
                <w:sz w:val="24"/>
              </w:rPr>
              <w:t>功能介绍</w:t>
            </w:r>
          </w:p>
        </w:tc>
        <w:tc>
          <w:tcPr>
            <w:tcW w:w="2470" w:type="dxa"/>
            <w:tcBorders>
              <w:top w:val="single" w:color="auto" w:sz="4" w:space="0"/>
              <w:left w:val="nil"/>
              <w:bottom w:val="single" w:color="auto" w:sz="4" w:space="0"/>
              <w:right w:val="single" w:color="auto" w:sz="4" w:space="0"/>
            </w:tcBorders>
            <w:shd w:val="clear" w:color="auto" w:fill="7F7F7F"/>
            <w:noWrap w:val="0"/>
            <w:vAlign w:val="center"/>
          </w:tcPr>
          <w:p>
            <w:pPr>
              <w:keepNext/>
              <w:keepLines w:val="0"/>
              <w:widowControl/>
              <w:suppressLineNumbers w:val="0"/>
              <w:spacing w:before="0" w:beforeAutospacing="0" w:after="0" w:afterAutospacing="0"/>
              <w:ind w:left="-82" w:leftChars="-39" w:right="-80" w:rightChars="-38"/>
              <w:jc w:val="center"/>
              <w:rPr>
                <w:rFonts w:hint="default" w:ascii="宋体" w:hAnsi="宋体"/>
                <w:b/>
                <w:bCs/>
                <w:kern w:val="0"/>
                <w:sz w:val="24"/>
              </w:rPr>
            </w:pPr>
            <w:r>
              <w:rPr>
                <w:rFonts w:hint="eastAsia" w:ascii="宋体" w:hAnsi="宋体"/>
                <w:b/>
                <w:bCs/>
                <w:kern w:val="0"/>
                <w:sz w:val="24"/>
              </w:rPr>
              <w:t>建筑</w:t>
            </w:r>
          </w:p>
          <w:p>
            <w:pPr>
              <w:keepNext/>
              <w:keepLines w:val="0"/>
              <w:widowControl/>
              <w:suppressLineNumbers w:val="0"/>
              <w:spacing w:before="0" w:beforeAutospacing="0" w:after="0" w:afterAutospacing="0"/>
              <w:ind w:left="-82" w:leftChars="-39" w:right="-80" w:rightChars="-38"/>
              <w:jc w:val="center"/>
              <w:rPr>
                <w:rFonts w:hint="default" w:ascii="宋体" w:hAnsi="宋体"/>
                <w:b/>
                <w:bCs/>
                <w:kern w:val="0"/>
                <w:sz w:val="24"/>
              </w:rPr>
            </w:pPr>
            <w:r>
              <w:rPr>
                <w:rFonts w:hint="eastAsia" w:ascii="宋体" w:hAnsi="宋体"/>
                <w:b/>
                <w:bCs/>
                <w:kern w:val="0"/>
                <w:sz w:val="24"/>
              </w:rPr>
              <w:t>面积(</w:t>
            </w:r>
            <w:r>
              <w:rPr>
                <w:rFonts w:hint="eastAsia" w:ascii="宋体" w:hAnsi="宋体"/>
                <w:kern w:val="0"/>
                <w:sz w:val="24"/>
              </w:rPr>
              <w:t>㎡</w:t>
            </w:r>
            <w:r>
              <w:rPr>
                <w:rFonts w:hint="eastAsia" w:ascii="宋体" w:hAnsi="宋体"/>
                <w:b/>
                <w:bCs/>
                <w:kern w:val="0"/>
                <w:sz w:val="24"/>
              </w:rPr>
              <w:t>)</w:t>
            </w:r>
          </w:p>
        </w:tc>
        <w:tc>
          <w:tcPr>
            <w:tcW w:w="973" w:type="dxa"/>
            <w:tcBorders>
              <w:top w:val="single" w:color="auto" w:sz="4" w:space="0"/>
              <w:left w:val="nil"/>
              <w:bottom w:val="single" w:color="auto" w:sz="4" w:space="0"/>
              <w:right w:val="single" w:color="auto" w:sz="4" w:space="0"/>
            </w:tcBorders>
            <w:shd w:val="clear" w:color="auto" w:fill="7F7F7F"/>
            <w:noWrap w:val="0"/>
            <w:vAlign w:val="center"/>
          </w:tcPr>
          <w:p>
            <w:pPr>
              <w:keepNext/>
              <w:keepLines w:val="0"/>
              <w:widowControl/>
              <w:suppressLineNumbers w:val="0"/>
              <w:spacing w:before="0" w:beforeAutospacing="0" w:after="0" w:afterAutospacing="0"/>
              <w:ind w:left="-82" w:leftChars="-39" w:right="-80" w:rightChars="-38"/>
              <w:jc w:val="center"/>
              <w:rPr>
                <w:rFonts w:hint="default" w:ascii="宋体" w:hAnsi="宋体"/>
                <w:b/>
                <w:bCs/>
                <w:kern w:val="0"/>
                <w:sz w:val="24"/>
              </w:rPr>
            </w:pPr>
            <w:r>
              <w:rPr>
                <w:rFonts w:hint="eastAsia" w:ascii="宋体" w:hAnsi="宋体"/>
                <w:b/>
                <w:bCs/>
                <w:kern w:val="0"/>
                <w:sz w:val="24"/>
              </w:rPr>
              <w:t>备注</w:t>
            </w:r>
          </w:p>
        </w:tc>
      </w:tr>
      <w:tr>
        <w:tblPrEx>
          <w:tblLayout w:type="fixed"/>
          <w:tblCellMar>
            <w:top w:w="0" w:type="dxa"/>
            <w:left w:w="108" w:type="dxa"/>
            <w:bottom w:w="0" w:type="dxa"/>
            <w:right w:w="108" w:type="dxa"/>
          </w:tblCellMar>
        </w:tblPrEx>
        <w:trPr>
          <w:trHeight w:val="585"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keepLines w:val="0"/>
              <w:suppressLineNumbers w:val="0"/>
              <w:autoSpaceDE w:val="0"/>
              <w:autoSpaceDN w:val="0"/>
              <w:adjustRightInd w:val="0"/>
              <w:spacing w:before="0" w:beforeAutospacing="0" w:after="0" w:afterAutospacing="0" w:line="360" w:lineRule="auto"/>
              <w:ind w:left="-54" w:leftChars="-26" w:right="-50" w:rightChars="-24"/>
              <w:jc w:val="center"/>
              <w:rPr>
                <w:rFonts w:hint="default" w:ascii="宋体" w:hAnsi="宋体"/>
                <w:sz w:val="24"/>
              </w:rPr>
            </w:pPr>
            <w:r>
              <w:rPr>
                <w:rFonts w:hint="eastAsia" w:ascii="宋体" w:hAnsi="宋体"/>
                <w:sz w:val="24"/>
              </w:rPr>
              <w:t>1</w:t>
            </w:r>
          </w:p>
        </w:tc>
        <w:tc>
          <w:tcPr>
            <w:tcW w:w="1324" w:type="dxa"/>
            <w:tcBorders>
              <w:top w:val="single" w:color="auto" w:sz="4" w:space="0"/>
              <w:left w:val="nil"/>
              <w:bottom w:val="single" w:color="auto" w:sz="4" w:space="0"/>
              <w:right w:val="single" w:color="auto" w:sz="4" w:space="0"/>
            </w:tcBorders>
            <w:noWrap w:val="0"/>
            <w:vAlign w:val="center"/>
          </w:tcPr>
          <w:p>
            <w:pPr>
              <w:keepNext/>
              <w:keepLines w:val="0"/>
              <w:widowControl/>
              <w:suppressLineNumbers w:val="0"/>
              <w:spacing w:before="0" w:beforeAutospacing="0" w:after="0" w:afterAutospacing="0"/>
              <w:ind w:left="-109" w:leftChars="-52" w:right="-107" w:rightChars="-51"/>
              <w:jc w:val="center"/>
              <w:rPr>
                <w:rFonts w:hint="default" w:ascii="宋体" w:hAnsi="宋体"/>
                <w:kern w:val="0"/>
                <w:sz w:val="24"/>
              </w:rPr>
            </w:pPr>
            <w:r>
              <w:rPr>
                <w:rFonts w:hint="eastAsia" w:ascii="宋体" w:hAnsi="宋体"/>
                <w:kern w:val="0"/>
                <w:sz w:val="24"/>
              </w:rPr>
              <w:t>审判综合楼</w:t>
            </w:r>
          </w:p>
        </w:tc>
        <w:tc>
          <w:tcPr>
            <w:tcW w:w="3868" w:type="dxa"/>
            <w:tcBorders>
              <w:top w:val="single" w:color="auto" w:sz="4" w:space="0"/>
              <w:left w:val="nil"/>
              <w:bottom w:val="single" w:color="auto" w:sz="4" w:space="0"/>
              <w:right w:val="single" w:color="auto" w:sz="4" w:space="0"/>
            </w:tcBorders>
            <w:noWrap w:val="0"/>
            <w:vAlign w:val="center"/>
          </w:tcPr>
          <w:p>
            <w:pPr>
              <w:keepNext/>
              <w:keepLines w:val="0"/>
              <w:widowControl/>
              <w:suppressLineNumbers w:val="0"/>
              <w:spacing w:before="0" w:beforeAutospacing="0" w:after="0" w:afterAutospacing="0"/>
              <w:ind w:left="0" w:right="0"/>
              <w:jc w:val="left"/>
              <w:rPr>
                <w:rFonts w:hint="default" w:ascii="宋体" w:hAnsi="宋体"/>
                <w:kern w:val="0"/>
                <w:sz w:val="24"/>
              </w:rPr>
            </w:pPr>
            <w:r>
              <w:rPr>
                <w:rFonts w:hint="eastAsia" w:ascii="宋体" w:hAnsi="宋体"/>
                <w:kern w:val="0"/>
                <w:sz w:val="24"/>
              </w:rPr>
              <w:t>办公楼、会议室、审判法庭、诉讼服务大厅、食堂</w:t>
            </w:r>
          </w:p>
        </w:tc>
        <w:tc>
          <w:tcPr>
            <w:tcW w:w="2470" w:type="dxa"/>
            <w:tcBorders>
              <w:top w:val="single" w:color="auto" w:sz="4" w:space="0"/>
              <w:left w:val="nil"/>
              <w:bottom w:val="single" w:color="auto" w:sz="4" w:space="0"/>
              <w:right w:val="single" w:color="auto" w:sz="4" w:space="0"/>
            </w:tcBorders>
            <w:noWrap w:val="0"/>
            <w:vAlign w:val="center"/>
          </w:tcPr>
          <w:p>
            <w:pPr>
              <w:keepNext/>
              <w:keepLines w:val="0"/>
              <w:widowControl/>
              <w:suppressLineNumbers w:val="0"/>
              <w:spacing w:before="0" w:beforeAutospacing="0" w:after="0" w:afterAutospacing="0"/>
              <w:ind w:left="0" w:right="0"/>
              <w:jc w:val="left"/>
              <w:rPr>
                <w:rFonts w:hint="default" w:ascii="宋体" w:hAnsi="宋体"/>
                <w:kern w:val="0"/>
                <w:sz w:val="24"/>
              </w:rPr>
            </w:pPr>
            <w:r>
              <w:rPr>
                <w:rFonts w:hint="eastAsia" w:ascii="宋体" w:hAnsi="宋体"/>
                <w:kern w:val="0"/>
                <w:sz w:val="24"/>
              </w:rPr>
              <w:t>13453</w:t>
            </w:r>
          </w:p>
        </w:tc>
        <w:tc>
          <w:tcPr>
            <w:tcW w:w="973" w:type="dxa"/>
            <w:tcBorders>
              <w:top w:val="single" w:color="auto" w:sz="4" w:space="0"/>
              <w:left w:val="nil"/>
              <w:bottom w:val="single" w:color="auto" w:sz="4" w:space="0"/>
              <w:right w:val="single" w:color="auto" w:sz="4" w:space="0"/>
            </w:tcBorders>
            <w:noWrap w:val="0"/>
            <w:vAlign w:val="top"/>
          </w:tcPr>
          <w:p>
            <w:pPr>
              <w:keepNext/>
              <w:keepLines w:val="0"/>
              <w:suppressLineNumbers w:val="0"/>
              <w:autoSpaceDE w:val="0"/>
              <w:autoSpaceDN w:val="0"/>
              <w:adjustRightInd w:val="0"/>
              <w:spacing w:before="0" w:beforeAutospacing="0" w:after="0" w:afterAutospacing="0" w:line="360" w:lineRule="auto"/>
              <w:ind w:left="-54" w:leftChars="-26" w:right="-50" w:rightChars="-24"/>
              <w:rPr>
                <w:rFonts w:hint="default" w:ascii="宋体" w:hAnsi="宋体"/>
                <w:sz w:val="24"/>
              </w:rPr>
            </w:pPr>
          </w:p>
        </w:tc>
      </w:tr>
      <w:tr>
        <w:tblPrEx>
          <w:tblLayout w:type="fixed"/>
          <w:tblCellMar>
            <w:top w:w="0" w:type="dxa"/>
            <w:left w:w="108" w:type="dxa"/>
            <w:bottom w:w="0" w:type="dxa"/>
            <w:right w:w="108" w:type="dxa"/>
          </w:tblCellMar>
        </w:tblPrEx>
        <w:trPr>
          <w:trHeight w:val="546"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keepLines w:val="0"/>
              <w:suppressLineNumbers w:val="0"/>
              <w:autoSpaceDE w:val="0"/>
              <w:autoSpaceDN w:val="0"/>
              <w:adjustRightInd w:val="0"/>
              <w:spacing w:before="0" w:beforeAutospacing="0" w:after="0" w:afterAutospacing="0" w:line="360" w:lineRule="auto"/>
              <w:ind w:left="-54" w:leftChars="-26" w:right="-50" w:rightChars="-24"/>
              <w:jc w:val="center"/>
              <w:rPr>
                <w:rFonts w:hint="default" w:ascii="宋体" w:hAnsi="宋体"/>
                <w:sz w:val="24"/>
              </w:rPr>
            </w:pPr>
            <w:r>
              <w:rPr>
                <w:rFonts w:hint="eastAsia" w:ascii="宋体" w:hAnsi="宋体"/>
                <w:sz w:val="24"/>
              </w:rPr>
              <w:t>2</w:t>
            </w:r>
          </w:p>
        </w:tc>
        <w:tc>
          <w:tcPr>
            <w:tcW w:w="1324" w:type="dxa"/>
            <w:tcBorders>
              <w:top w:val="single" w:color="auto" w:sz="4" w:space="0"/>
              <w:left w:val="nil"/>
              <w:bottom w:val="single" w:color="auto" w:sz="4" w:space="0"/>
              <w:right w:val="single" w:color="auto" w:sz="4" w:space="0"/>
            </w:tcBorders>
            <w:noWrap w:val="0"/>
            <w:vAlign w:val="center"/>
          </w:tcPr>
          <w:p>
            <w:pPr>
              <w:keepNext/>
              <w:keepLines w:val="0"/>
              <w:widowControl/>
              <w:suppressLineNumbers w:val="0"/>
              <w:spacing w:before="0" w:beforeAutospacing="0" w:after="0" w:afterAutospacing="0"/>
              <w:ind w:left="-109" w:leftChars="-52" w:right="-107" w:rightChars="-51"/>
              <w:jc w:val="center"/>
              <w:rPr>
                <w:rFonts w:hint="default" w:ascii="宋体" w:hAnsi="宋体"/>
                <w:kern w:val="0"/>
                <w:sz w:val="24"/>
              </w:rPr>
            </w:pPr>
            <w:r>
              <w:rPr>
                <w:rFonts w:hint="eastAsia" w:ascii="宋体" w:hAnsi="宋体"/>
                <w:kern w:val="0"/>
                <w:sz w:val="24"/>
              </w:rPr>
              <w:t>南附属楼</w:t>
            </w:r>
          </w:p>
        </w:tc>
        <w:tc>
          <w:tcPr>
            <w:tcW w:w="3868" w:type="dxa"/>
            <w:tcBorders>
              <w:top w:val="single" w:color="auto" w:sz="4" w:space="0"/>
              <w:left w:val="nil"/>
              <w:bottom w:val="single" w:color="auto" w:sz="4" w:space="0"/>
              <w:right w:val="single" w:color="auto" w:sz="4" w:space="0"/>
            </w:tcBorders>
            <w:noWrap w:val="0"/>
            <w:vAlign w:val="center"/>
          </w:tcPr>
          <w:p>
            <w:pPr>
              <w:keepNext/>
              <w:keepLines w:val="0"/>
              <w:widowControl/>
              <w:suppressLineNumbers w:val="0"/>
              <w:spacing w:before="0" w:beforeAutospacing="0" w:after="0" w:afterAutospacing="0"/>
              <w:ind w:left="0" w:right="0"/>
              <w:jc w:val="left"/>
              <w:rPr>
                <w:rFonts w:hint="default" w:ascii="宋体" w:hAnsi="宋体"/>
                <w:kern w:val="0"/>
                <w:sz w:val="24"/>
              </w:rPr>
            </w:pPr>
            <w:r>
              <w:rPr>
                <w:rFonts w:hint="eastAsia" w:ascii="宋体" w:hAnsi="宋体"/>
                <w:kern w:val="0"/>
                <w:sz w:val="24"/>
              </w:rPr>
              <w:t>办公楼</w:t>
            </w:r>
          </w:p>
        </w:tc>
        <w:tc>
          <w:tcPr>
            <w:tcW w:w="2470" w:type="dxa"/>
            <w:tcBorders>
              <w:top w:val="single" w:color="auto" w:sz="4" w:space="0"/>
              <w:left w:val="nil"/>
              <w:bottom w:val="single" w:color="auto" w:sz="4" w:space="0"/>
              <w:right w:val="single" w:color="auto" w:sz="4" w:space="0"/>
            </w:tcBorders>
            <w:noWrap w:val="0"/>
            <w:vAlign w:val="center"/>
          </w:tcPr>
          <w:p>
            <w:pPr>
              <w:keepNext/>
              <w:keepLines w:val="0"/>
              <w:widowControl/>
              <w:suppressLineNumbers w:val="0"/>
              <w:spacing w:before="0" w:beforeAutospacing="0" w:after="0" w:afterAutospacing="0"/>
              <w:ind w:left="0" w:right="0"/>
              <w:jc w:val="left"/>
              <w:rPr>
                <w:rFonts w:hint="default" w:ascii="宋体" w:hAnsi="宋体"/>
                <w:kern w:val="0"/>
                <w:sz w:val="24"/>
                <w:highlight w:val="red"/>
              </w:rPr>
            </w:pPr>
            <w:r>
              <w:rPr>
                <w:rFonts w:hint="eastAsia" w:ascii="宋体" w:hAnsi="宋体"/>
                <w:kern w:val="0"/>
                <w:sz w:val="24"/>
              </w:rPr>
              <w:t>500</w:t>
            </w:r>
          </w:p>
        </w:tc>
        <w:tc>
          <w:tcPr>
            <w:tcW w:w="973" w:type="dxa"/>
            <w:tcBorders>
              <w:top w:val="single" w:color="auto" w:sz="4" w:space="0"/>
              <w:left w:val="nil"/>
              <w:bottom w:val="single" w:color="auto" w:sz="4" w:space="0"/>
              <w:right w:val="single" w:color="auto" w:sz="4" w:space="0"/>
            </w:tcBorders>
            <w:noWrap w:val="0"/>
            <w:vAlign w:val="top"/>
          </w:tcPr>
          <w:p>
            <w:pPr>
              <w:keepNext/>
              <w:keepLines w:val="0"/>
              <w:suppressLineNumbers w:val="0"/>
              <w:autoSpaceDE w:val="0"/>
              <w:autoSpaceDN w:val="0"/>
              <w:adjustRightInd w:val="0"/>
              <w:spacing w:before="0" w:beforeAutospacing="0" w:after="0" w:afterAutospacing="0" w:line="360" w:lineRule="auto"/>
              <w:ind w:left="-54" w:leftChars="-26" w:right="-50" w:rightChars="-24"/>
              <w:rPr>
                <w:rFonts w:hint="default" w:ascii="宋体" w:hAnsi="宋体"/>
                <w:sz w:val="24"/>
                <w:highlight w:val="red"/>
              </w:rPr>
            </w:pPr>
          </w:p>
        </w:tc>
      </w:tr>
      <w:tr>
        <w:tblPrEx>
          <w:tblLayout w:type="fixed"/>
          <w:tblCellMar>
            <w:top w:w="0" w:type="dxa"/>
            <w:left w:w="108" w:type="dxa"/>
            <w:bottom w:w="0" w:type="dxa"/>
            <w:right w:w="108" w:type="dxa"/>
          </w:tblCellMar>
        </w:tblPrEx>
        <w:trPr>
          <w:trHeight w:val="546"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keepLines w:val="0"/>
              <w:suppressLineNumbers w:val="0"/>
              <w:autoSpaceDE w:val="0"/>
              <w:autoSpaceDN w:val="0"/>
              <w:adjustRightInd w:val="0"/>
              <w:spacing w:before="0" w:beforeAutospacing="0" w:after="0" w:afterAutospacing="0" w:line="360" w:lineRule="auto"/>
              <w:ind w:left="-54" w:leftChars="-26" w:right="-50" w:rightChars="-24"/>
              <w:jc w:val="center"/>
              <w:rPr>
                <w:rFonts w:hint="default" w:ascii="宋体" w:hAnsi="宋体"/>
                <w:sz w:val="24"/>
              </w:rPr>
            </w:pPr>
            <w:r>
              <w:rPr>
                <w:rFonts w:hint="eastAsia" w:ascii="宋体" w:hAnsi="宋体"/>
                <w:sz w:val="24"/>
              </w:rPr>
              <w:t>3</w:t>
            </w:r>
          </w:p>
        </w:tc>
        <w:tc>
          <w:tcPr>
            <w:tcW w:w="1324" w:type="dxa"/>
            <w:tcBorders>
              <w:top w:val="single" w:color="auto" w:sz="4" w:space="0"/>
              <w:left w:val="nil"/>
              <w:bottom w:val="single" w:color="auto" w:sz="4" w:space="0"/>
              <w:right w:val="single" w:color="auto" w:sz="4" w:space="0"/>
            </w:tcBorders>
            <w:noWrap w:val="0"/>
            <w:vAlign w:val="center"/>
          </w:tcPr>
          <w:p>
            <w:pPr>
              <w:keepNext/>
              <w:keepLines w:val="0"/>
              <w:widowControl/>
              <w:suppressLineNumbers w:val="0"/>
              <w:spacing w:before="0" w:beforeAutospacing="0" w:after="0" w:afterAutospacing="0"/>
              <w:ind w:left="-109" w:leftChars="-52" w:right="-107" w:rightChars="-51"/>
              <w:jc w:val="center"/>
              <w:rPr>
                <w:rFonts w:hint="default" w:ascii="宋体" w:hAnsi="宋体"/>
                <w:kern w:val="0"/>
                <w:sz w:val="24"/>
              </w:rPr>
            </w:pPr>
            <w:r>
              <w:rPr>
                <w:rFonts w:hint="eastAsia" w:ascii="宋体" w:hAnsi="宋体"/>
                <w:kern w:val="0"/>
                <w:sz w:val="24"/>
              </w:rPr>
              <w:t>北附属楼</w:t>
            </w:r>
          </w:p>
        </w:tc>
        <w:tc>
          <w:tcPr>
            <w:tcW w:w="3868" w:type="dxa"/>
            <w:tcBorders>
              <w:top w:val="single" w:color="auto" w:sz="4" w:space="0"/>
              <w:left w:val="nil"/>
              <w:bottom w:val="single" w:color="auto" w:sz="4" w:space="0"/>
              <w:right w:val="single" w:color="auto" w:sz="4" w:space="0"/>
            </w:tcBorders>
            <w:noWrap w:val="0"/>
            <w:vAlign w:val="center"/>
          </w:tcPr>
          <w:p>
            <w:pPr>
              <w:keepNext/>
              <w:keepLines w:val="0"/>
              <w:widowControl/>
              <w:suppressLineNumbers w:val="0"/>
              <w:spacing w:before="0" w:beforeAutospacing="0" w:after="0" w:afterAutospacing="0"/>
              <w:ind w:left="0" w:right="0"/>
              <w:jc w:val="left"/>
              <w:rPr>
                <w:rFonts w:hint="default" w:ascii="宋体" w:hAnsi="宋体"/>
                <w:kern w:val="0"/>
                <w:sz w:val="24"/>
              </w:rPr>
            </w:pPr>
            <w:r>
              <w:rPr>
                <w:rFonts w:hint="eastAsia" w:ascii="宋体" w:hAnsi="宋体"/>
                <w:kern w:val="0"/>
                <w:sz w:val="24"/>
              </w:rPr>
              <w:t>办公楼</w:t>
            </w:r>
          </w:p>
        </w:tc>
        <w:tc>
          <w:tcPr>
            <w:tcW w:w="2470" w:type="dxa"/>
            <w:tcBorders>
              <w:top w:val="single" w:color="auto" w:sz="4" w:space="0"/>
              <w:left w:val="nil"/>
              <w:bottom w:val="single" w:color="auto" w:sz="4" w:space="0"/>
              <w:right w:val="single" w:color="auto" w:sz="4" w:space="0"/>
            </w:tcBorders>
            <w:noWrap w:val="0"/>
            <w:vAlign w:val="center"/>
          </w:tcPr>
          <w:p>
            <w:pPr>
              <w:keepNext/>
              <w:keepLines w:val="0"/>
              <w:widowControl/>
              <w:suppressLineNumbers w:val="0"/>
              <w:spacing w:before="0" w:beforeAutospacing="0" w:after="0" w:afterAutospacing="0"/>
              <w:ind w:left="0" w:right="0"/>
              <w:jc w:val="left"/>
              <w:rPr>
                <w:rFonts w:hint="default" w:ascii="宋体" w:hAnsi="宋体"/>
                <w:kern w:val="0"/>
                <w:sz w:val="24"/>
                <w:highlight w:val="red"/>
              </w:rPr>
            </w:pPr>
            <w:r>
              <w:rPr>
                <w:rFonts w:hint="eastAsia" w:ascii="宋体" w:hAnsi="宋体"/>
                <w:kern w:val="0"/>
                <w:sz w:val="24"/>
              </w:rPr>
              <w:t>500</w:t>
            </w:r>
          </w:p>
        </w:tc>
        <w:tc>
          <w:tcPr>
            <w:tcW w:w="973" w:type="dxa"/>
            <w:tcBorders>
              <w:top w:val="single" w:color="auto" w:sz="4" w:space="0"/>
              <w:left w:val="nil"/>
              <w:bottom w:val="single" w:color="auto" w:sz="4" w:space="0"/>
              <w:right w:val="single" w:color="auto" w:sz="4" w:space="0"/>
            </w:tcBorders>
            <w:noWrap w:val="0"/>
            <w:vAlign w:val="top"/>
          </w:tcPr>
          <w:p>
            <w:pPr>
              <w:keepNext/>
              <w:keepLines w:val="0"/>
              <w:suppressLineNumbers w:val="0"/>
              <w:autoSpaceDE w:val="0"/>
              <w:autoSpaceDN w:val="0"/>
              <w:adjustRightInd w:val="0"/>
              <w:spacing w:before="0" w:beforeAutospacing="0" w:after="0" w:afterAutospacing="0" w:line="360" w:lineRule="auto"/>
              <w:ind w:left="-54" w:leftChars="-26" w:right="-50" w:rightChars="-24"/>
              <w:rPr>
                <w:rFonts w:hint="default" w:ascii="宋体" w:hAnsi="宋体"/>
                <w:sz w:val="24"/>
                <w:highlight w:val="red"/>
              </w:rPr>
            </w:pPr>
          </w:p>
        </w:tc>
      </w:tr>
    </w:tbl>
    <w:p>
      <w:pPr>
        <w:keepNext/>
        <w:spacing w:line="360" w:lineRule="auto"/>
        <w:ind w:firstLine="471" w:firstLineChars="196"/>
        <w:rPr>
          <w:rFonts w:hint="eastAsia" w:ascii="宋体" w:hAnsi="宋体"/>
          <w:b/>
          <w:bCs/>
          <w:sz w:val="24"/>
        </w:rPr>
      </w:pPr>
      <w:r>
        <w:rPr>
          <w:rFonts w:hint="eastAsia" w:ascii="宋体" w:hAnsi="宋体"/>
          <w:b/>
          <w:bCs/>
          <w:sz w:val="24"/>
        </w:rPr>
        <w:t>各公共设施设备数量</w:t>
      </w:r>
    </w:p>
    <w:p>
      <w:pPr>
        <w:spacing w:line="360" w:lineRule="auto"/>
        <w:ind w:firstLine="482" w:firstLineChars="200"/>
        <w:rPr>
          <w:rFonts w:hint="eastAsia" w:ascii="宋体" w:hAnsi="宋体" w:cs="Helvetica"/>
          <w:kern w:val="0"/>
          <w:sz w:val="24"/>
        </w:rPr>
      </w:pPr>
      <w:r>
        <w:rPr>
          <w:rFonts w:hint="eastAsia" w:ascii="宋体" w:hAnsi="宋体" w:cs="Helvetica"/>
          <w:kern w:val="0"/>
          <w:sz w:val="24"/>
        </w:rPr>
        <w:t>消火栓40个、路灯2根、消防水泵2台、低压室配电室1个、会议室10个、审判法庭14个。</w:t>
      </w:r>
    </w:p>
    <w:p>
      <w:pPr>
        <w:keepNext/>
        <w:keepLines/>
        <w:numPr>
          <w:ilvl w:val="0"/>
          <w:numId w:val="37"/>
        </w:numPr>
        <w:spacing w:line="360" w:lineRule="auto"/>
        <w:ind w:left="616" w:hanging="616"/>
        <w:jc w:val="left"/>
        <w:outlineLvl w:val="1"/>
        <w:rPr>
          <w:rFonts w:hint="eastAsia" w:ascii="宋体" w:hAnsi="宋体"/>
          <w:b/>
          <w:bCs/>
          <w:sz w:val="28"/>
          <w:szCs w:val="28"/>
        </w:rPr>
      </w:pPr>
      <w:bookmarkStart w:id="55" w:name="_Toc494721083"/>
      <w:bookmarkEnd w:id="55"/>
      <w:bookmarkStart w:id="56" w:name="_Toc494745300"/>
      <w:bookmarkEnd w:id="56"/>
      <w:bookmarkStart w:id="57" w:name="_Toc494664983"/>
      <w:bookmarkEnd w:id="57"/>
      <w:bookmarkStart w:id="58" w:name="_Toc494702253"/>
      <w:bookmarkEnd w:id="58"/>
      <w:bookmarkStart w:id="59" w:name="_Toc494665536"/>
      <w:bookmarkEnd w:id="59"/>
      <w:bookmarkStart w:id="60" w:name="_Toc494665933"/>
      <w:bookmarkStart w:id="61" w:name="_Toc27021"/>
      <w:r>
        <w:rPr>
          <w:rFonts w:hint="eastAsia" w:ascii="宋体" w:hAnsi="宋体"/>
          <w:b/>
          <w:bCs/>
          <w:sz w:val="28"/>
          <w:szCs w:val="28"/>
        </w:rPr>
        <w:t>国家相关行政主管部门颁布的强制标准、规范</w:t>
      </w:r>
      <w:bookmarkEnd w:id="60"/>
      <w:bookmarkEnd w:id="61"/>
    </w:p>
    <w:p>
      <w:pPr>
        <w:spacing w:line="360" w:lineRule="auto"/>
        <w:ind w:firstLine="482" w:firstLineChars="200"/>
        <w:rPr>
          <w:rFonts w:hint="eastAsia" w:ascii="宋体" w:hAnsi="宋体"/>
          <w:color w:val="FF0000"/>
          <w:sz w:val="24"/>
        </w:rPr>
      </w:pPr>
      <w:r>
        <w:rPr>
          <w:rFonts w:hint="eastAsia" w:ascii="Helvetica" w:hAnsi="Helvetica" w:cs="Helvetica"/>
          <w:kern w:val="0"/>
          <w:sz w:val="24"/>
        </w:rPr>
        <w:t>采购需求内容按照《政府采购法》、《政府采购货物和服务招标投标管理办法》、《湖北省省级政府采购项目实施管理规定》、《物业管理条例》、《</w:t>
      </w:r>
      <w:r>
        <w:rPr>
          <w:rFonts w:hint="eastAsia" w:ascii="宋体" w:hAnsi="宋体" w:cs="Helvetica"/>
          <w:kern w:val="0"/>
          <w:sz w:val="24"/>
        </w:rPr>
        <w:t>物业管理条例实施细则》。</w:t>
      </w:r>
    </w:p>
    <w:p>
      <w:pPr>
        <w:keepNext/>
        <w:keepLines/>
        <w:numPr>
          <w:ilvl w:val="0"/>
          <w:numId w:val="37"/>
        </w:numPr>
        <w:spacing w:line="360" w:lineRule="auto"/>
        <w:ind w:left="616" w:hanging="616"/>
        <w:jc w:val="left"/>
        <w:outlineLvl w:val="1"/>
        <w:rPr>
          <w:rFonts w:hint="eastAsia" w:ascii="宋体" w:hAnsi="宋体"/>
          <w:b/>
          <w:bCs/>
          <w:sz w:val="28"/>
          <w:szCs w:val="28"/>
        </w:rPr>
      </w:pPr>
      <w:bookmarkStart w:id="62" w:name="_Toc10144"/>
      <w:r>
        <w:rPr>
          <w:rFonts w:hint="eastAsia" w:ascii="宋体" w:hAnsi="宋体"/>
          <w:b/>
          <w:bCs/>
          <w:sz w:val="28"/>
          <w:szCs w:val="28"/>
        </w:rPr>
        <w:t>技术、服务要求</w:t>
      </w:r>
      <w:bookmarkEnd w:id="62"/>
    </w:p>
    <w:p>
      <w:pPr>
        <w:numPr>
          <w:ilvl w:val="0"/>
          <w:numId w:val="39"/>
        </w:numPr>
        <w:spacing w:line="360" w:lineRule="auto"/>
        <w:ind w:left="14" w:firstLine="264"/>
        <w:rPr>
          <w:rFonts w:hint="eastAsia" w:ascii="宋体" w:hAnsi="宋体"/>
          <w:b/>
          <w:bCs/>
          <w:color w:val="000000"/>
          <w:sz w:val="24"/>
        </w:rPr>
      </w:pPr>
      <w:r>
        <w:rPr>
          <w:rFonts w:hint="eastAsia" w:ascii="宋体" w:hAnsi="宋体"/>
          <w:b/>
          <w:bCs/>
          <w:color w:val="000000"/>
          <w:sz w:val="24"/>
        </w:rPr>
        <w:t>物业管理内容</w:t>
      </w:r>
    </w:p>
    <w:p>
      <w:pPr>
        <w:spacing w:line="360" w:lineRule="auto"/>
        <w:rPr>
          <w:rFonts w:hint="eastAsia" w:ascii="宋体" w:hAnsi="宋体"/>
          <w:b/>
          <w:bCs/>
          <w:color w:val="000000"/>
          <w:sz w:val="24"/>
        </w:rPr>
      </w:pPr>
    </w:p>
    <w:p>
      <w:pPr>
        <w:spacing w:line="360" w:lineRule="auto"/>
        <w:rPr>
          <w:rFonts w:hint="eastAsia" w:ascii="宋体" w:hAnsi="宋体"/>
          <w:b/>
          <w:bCs/>
          <w:color w:val="000000"/>
          <w:sz w:val="24"/>
        </w:rPr>
      </w:pPr>
    </w:p>
    <w:p>
      <w:pPr>
        <w:spacing w:line="360" w:lineRule="auto"/>
        <w:rPr>
          <w:rFonts w:hint="eastAsia" w:ascii="宋体" w:hAnsi="宋体"/>
          <w:b/>
          <w:bCs/>
          <w:color w:val="000000"/>
          <w:sz w:val="24"/>
        </w:rPr>
      </w:pPr>
    </w:p>
    <w:p>
      <w:pPr>
        <w:spacing w:line="360" w:lineRule="auto"/>
        <w:rPr>
          <w:rFonts w:hint="eastAsia" w:ascii="宋体" w:hAnsi="宋体"/>
          <w:b/>
          <w:bCs/>
          <w:color w:val="000000"/>
          <w:sz w:val="24"/>
        </w:rPr>
      </w:pPr>
    </w:p>
    <w:tbl>
      <w:tblPr>
        <w:tblStyle w:val="19"/>
        <w:tblW w:w="9533" w:type="dxa"/>
        <w:tblInd w:w="108" w:type="dxa"/>
        <w:tblLayout w:type="fixed"/>
        <w:tblCellMar>
          <w:top w:w="0" w:type="dxa"/>
          <w:left w:w="108" w:type="dxa"/>
          <w:bottom w:w="0" w:type="dxa"/>
          <w:right w:w="108" w:type="dxa"/>
        </w:tblCellMar>
      </w:tblPr>
      <w:tblGrid>
        <w:gridCol w:w="851"/>
        <w:gridCol w:w="1276"/>
        <w:gridCol w:w="6662"/>
        <w:gridCol w:w="744"/>
      </w:tblGrid>
      <w:tr>
        <w:tblPrEx>
          <w:tblLayout w:type="fixed"/>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shd w:val="clear" w:color="auto" w:fill="7F7F7F"/>
            <w:noWrap w:val="0"/>
            <w:vAlign w:val="center"/>
          </w:tcPr>
          <w:p>
            <w:pPr>
              <w:keepNext w:val="0"/>
              <w:keepLines w:val="0"/>
              <w:suppressLineNumbers w:val="0"/>
              <w:spacing w:before="0" w:beforeAutospacing="0" w:after="0" w:afterAutospacing="0" w:line="20" w:lineRule="atLeast"/>
              <w:ind w:left="-56" w:leftChars="-27" w:right="-78" w:rightChars="-37"/>
              <w:jc w:val="center"/>
              <w:rPr>
                <w:rFonts w:hint="default" w:ascii="宋体" w:hAnsi="宋体"/>
                <w:b/>
                <w:bCs/>
                <w:sz w:val="24"/>
              </w:rPr>
            </w:pPr>
            <w:r>
              <w:rPr>
                <w:rFonts w:hint="eastAsia" w:ascii="宋体" w:hAnsi="宋体"/>
                <w:b/>
                <w:bCs/>
                <w:sz w:val="24"/>
              </w:rPr>
              <w:t>序号</w:t>
            </w:r>
          </w:p>
        </w:tc>
        <w:tc>
          <w:tcPr>
            <w:tcW w:w="1276" w:type="dxa"/>
            <w:tcBorders>
              <w:top w:val="single" w:color="auto" w:sz="4" w:space="0"/>
              <w:left w:val="nil"/>
              <w:bottom w:val="single" w:color="auto" w:sz="4" w:space="0"/>
              <w:right w:val="single" w:color="auto" w:sz="4" w:space="0"/>
            </w:tcBorders>
            <w:shd w:val="clear" w:color="auto" w:fill="7F7F7F"/>
            <w:noWrap w:val="0"/>
            <w:vAlign w:val="center"/>
          </w:tcPr>
          <w:p>
            <w:pPr>
              <w:keepNext w:val="0"/>
              <w:keepLines w:val="0"/>
              <w:suppressLineNumbers w:val="0"/>
              <w:spacing w:before="0" w:beforeAutospacing="0" w:after="0" w:afterAutospacing="0" w:line="20" w:lineRule="atLeast"/>
              <w:ind w:left="-56" w:leftChars="-27" w:right="-78" w:rightChars="-37"/>
              <w:jc w:val="center"/>
              <w:rPr>
                <w:rFonts w:hint="default" w:ascii="宋体" w:hAnsi="宋体"/>
                <w:b/>
                <w:bCs/>
                <w:sz w:val="24"/>
              </w:rPr>
            </w:pPr>
            <w:r>
              <w:rPr>
                <w:rFonts w:hint="eastAsia" w:ascii="宋体" w:hAnsi="宋体"/>
                <w:b/>
                <w:bCs/>
                <w:sz w:val="24"/>
              </w:rPr>
              <w:t>名称</w:t>
            </w:r>
          </w:p>
        </w:tc>
        <w:tc>
          <w:tcPr>
            <w:tcW w:w="6662" w:type="dxa"/>
            <w:tcBorders>
              <w:top w:val="single" w:color="auto" w:sz="4" w:space="0"/>
              <w:left w:val="nil"/>
              <w:bottom w:val="single" w:color="auto" w:sz="4" w:space="0"/>
              <w:right w:val="single" w:color="auto" w:sz="4" w:space="0"/>
            </w:tcBorders>
            <w:shd w:val="clear" w:color="auto" w:fill="7F7F7F"/>
            <w:noWrap w:val="0"/>
            <w:vAlign w:val="center"/>
          </w:tcPr>
          <w:p>
            <w:pPr>
              <w:keepNext w:val="0"/>
              <w:keepLines w:val="0"/>
              <w:suppressLineNumbers w:val="0"/>
              <w:spacing w:before="0" w:beforeAutospacing="0" w:after="0" w:afterAutospacing="0" w:line="20" w:lineRule="atLeast"/>
              <w:ind w:left="-92" w:leftChars="-44" w:right="-78" w:rightChars="-37"/>
              <w:jc w:val="center"/>
              <w:rPr>
                <w:rFonts w:hint="default" w:ascii="宋体" w:hAnsi="宋体"/>
                <w:b/>
                <w:bCs/>
                <w:sz w:val="24"/>
              </w:rPr>
            </w:pPr>
            <w:r>
              <w:rPr>
                <w:rFonts w:hint="eastAsia" w:ascii="宋体" w:hAnsi="宋体"/>
                <w:b/>
                <w:bCs/>
                <w:sz w:val="24"/>
              </w:rPr>
              <w:t>内容</w:t>
            </w:r>
          </w:p>
        </w:tc>
        <w:tc>
          <w:tcPr>
            <w:tcW w:w="744" w:type="dxa"/>
            <w:tcBorders>
              <w:top w:val="single" w:color="auto" w:sz="4" w:space="0"/>
              <w:left w:val="nil"/>
              <w:bottom w:val="single" w:color="auto" w:sz="4" w:space="0"/>
              <w:right w:val="single" w:color="auto" w:sz="4" w:space="0"/>
            </w:tcBorders>
            <w:shd w:val="clear" w:color="auto" w:fill="7F7F7F"/>
            <w:noWrap w:val="0"/>
            <w:vAlign w:val="center"/>
          </w:tcPr>
          <w:p>
            <w:pPr>
              <w:keepNext w:val="0"/>
              <w:keepLines w:val="0"/>
              <w:suppressLineNumbers w:val="0"/>
              <w:spacing w:before="0" w:beforeAutospacing="0" w:after="0" w:afterAutospacing="0" w:line="20" w:lineRule="atLeast"/>
              <w:ind w:left="-107" w:leftChars="-51" w:right="-107" w:rightChars="-51"/>
              <w:jc w:val="center"/>
              <w:rPr>
                <w:rFonts w:hint="default" w:ascii="宋体" w:hAnsi="宋体"/>
                <w:b/>
                <w:bCs/>
                <w:sz w:val="24"/>
              </w:rPr>
            </w:pPr>
            <w:r>
              <w:rPr>
                <w:rFonts w:hint="eastAsia" w:ascii="宋体" w:hAnsi="宋体"/>
                <w:b/>
                <w:bCs/>
                <w:sz w:val="24"/>
              </w:rPr>
              <w:t>评审点※</w:t>
            </w:r>
          </w:p>
        </w:tc>
      </w:tr>
      <w:tr>
        <w:tblPrEx>
          <w:tblLayout w:type="fixed"/>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restart"/>
            <w:tcBorders>
              <w:top w:val="nil"/>
              <w:left w:val="nil"/>
              <w:bottom w:val="single" w:color="auto" w:sz="4" w:space="0"/>
              <w:right w:val="single" w:color="auto" w:sz="4" w:space="0"/>
            </w:tcBorders>
            <w:noWrap w:val="0"/>
            <w:vAlign w:val="center"/>
          </w:tcPr>
          <w:p>
            <w:pPr>
              <w:keepNext/>
              <w:keepLines w:val="0"/>
              <w:suppressLineNumbers w:val="0"/>
              <w:spacing w:before="0" w:beforeAutospacing="0" w:after="0" w:afterAutospacing="0" w:line="20" w:lineRule="atLeast"/>
              <w:ind w:left="-56" w:leftChars="-27" w:right="-78" w:rightChars="-37"/>
              <w:jc w:val="center"/>
              <w:rPr>
                <w:rFonts w:hint="default" w:ascii="宋体" w:hAnsi="宋体"/>
                <w:sz w:val="24"/>
              </w:rPr>
            </w:pPr>
            <w:r>
              <w:rPr>
                <w:rFonts w:hint="eastAsia" w:ascii="宋体" w:hAnsi="宋体"/>
                <w:sz w:val="24"/>
              </w:rPr>
              <w:t>保洁卫生</w:t>
            </w:r>
          </w:p>
        </w:tc>
        <w:tc>
          <w:tcPr>
            <w:tcW w:w="666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仿宋_GB2312"/>
                <w:sz w:val="24"/>
              </w:rPr>
            </w:pPr>
            <w:r>
              <w:rPr>
                <w:rFonts w:hint="eastAsia" w:ascii="宋体" w:hAnsi="宋体" w:cs="仿宋_GB2312"/>
                <w:sz w:val="24"/>
              </w:rPr>
              <w:t>负责整个责任区域日常的保洁：公共区域、院落、审判庭、卫生间、大厅、廊道、楼梯、会议室、接待室、领导办公室、绿化区及院墙外至阳新大道停车区域及进出车道等地面的清扫拖洗，做到杂物、废弃物、地面积水及时清理</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b/>
                <w:bCs/>
                <w:sz w:val="2"/>
              </w:rPr>
            </w:pPr>
          </w:p>
        </w:tc>
      </w:tr>
      <w:tr>
        <w:tblPrEx>
          <w:tblLayout w:type="fixed"/>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仿宋_GB2312"/>
                <w:sz w:val="24"/>
              </w:rPr>
            </w:pPr>
            <w:r>
              <w:rPr>
                <w:rFonts w:hint="eastAsia" w:ascii="宋体" w:hAnsi="宋体" w:cs="仿宋_GB2312"/>
                <w:sz w:val="24"/>
              </w:rPr>
              <w:t>制定物业管理工作制度及各专业操作规程，建立岗位责任制，明确每天必做事项，每周必做事项，每月必做事项</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0" w:lineRule="atLeast"/>
              <w:ind w:left="-56" w:leftChars="-27" w:right="-78" w:rightChars="-37"/>
              <w:jc w:val="center"/>
              <w:rPr>
                <w:rFonts w:hint="default" w:ascii="宋体" w:hAnsi="宋体"/>
                <w:b/>
                <w:bCs/>
                <w:sz w:val="24"/>
              </w:rPr>
            </w:pPr>
            <w:r>
              <w:rPr>
                <w:rFonts w:hint="eastAsia" w:ascii="宋体" w:hAnsi="宋体"/>
                <w:b/>
                <w:bCs/>
                <w:sz w:val="24"/>
              </w:rPr>
              <w:t>※</w:t>
            </w:r>
          </w:p>
        </w:tc>
      </w:tr>
      <w:tr>
        <w:tblPrEx>
          <w:tblLayout w:type="fixed"/>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line="20" w:lineRule="atLeast"/>
              <w:ind w:left="0" w:right="-50" w:rightChars="-24"/>
              <w:jc w:val="left"/>
              <w:rPr>
                <w:rFonts w:hint="default" w:ascii="宋体" w:hAnsi="宋体" w:cs="仿宋_GB2312"/>
                <w:sz w:val="24"/>
              </w:rPr>
            </w:pPr>
            <w:r>
              <w:rPr>
                <w:rFonts w:hint="eastAsia" w:ascii="宋体" w:hAnsi="宋体" w:cs="仿宋_GB2312"/>
                <w:sz w:val="24"/>
              </w:rPr>
              <w:t>擦净、抹净各楼层审判庭、会议室、接待室、休息室桌椅及办公家具立面、台面</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b/>
                <w:bCs/>
                <w:sz w:val="2"/>
              </w:rPr>
            </w:pPr>
          </w:p>
        </w:tc>
      </w:tr>
      <w:tr>
        <w:tblPrEx>
          <w:tblLayout w:type="fixed"/>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line="20" w:lineRule="atLeast"/>
              <w:ind w:left="0" w:right="-50" w:rightChars="-24"/>
              <w:jc w:val="left"/>
              <w:rPr>
                <w:rFonts w:hint="default" w:ascii="宋体" w:hAnsi="宋体" w:cs="仿宋_GB2312"/>
                <w:sz w:val="24"/>
              </w:rPr>
            </w:pPr>
            <w:r>
              <w:rPr>
                <w:rFonts w:hint="eastAsia" w:ascii="宋体" w:hAnsi="宋体" w:cs="仿宋_GB2312"/>
                <w:sz w:val="24"/>
              </w:rPr>
              <w:t>按工作程序对责任范围内的场所进行日常定期清扫，做到杂物、废弃物及时清理。执行循环保洁制度，做到按标准定人定点保洁，定时管理、巡查、监督，对人员出入频繁区域进行不间断走动保洁</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0" w:lineRule="atLeast"/>
              <w:ind w:left="-56" w:leftChars="-27" w:right="-78" w:rightChars="-37"/>
              <w:jc w:val="center"/>
              <w:rPr>
                <w:rFonts w:hint="default" w:ascii="宋体" w:hAnsi="宋体"/>
                <w:b/>
                <w:bCs/>
                <w:sz w:val="24"/>
              </w:rPr>
            </w:pPr>
            <w:r>
              <w:rPr>
                <w:rFonts w:hint="eastAsia" w:ascii="宋体" w:hAnsi="宋体"/>
                <w:b/>
                <w:bCs/>
                <w:sz w:val="24"/>
              </w:rPr>
              <w:t>※</w:t>
            </w:r>
          </w:p>
        </w:tc>
      </w:tr>
      <w:tr>
        <w:tblPrEx>
          <w:tblLayout w:type="fixed"/>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line="20" w:lineRule="atLeast"/>
              <w:ind w:left="0" w:right="-50" w:rightChars="-24"/>
              <w:jc w:val="left"/>
              <w:rPr>
                <w:rFonts w:hint="default" w:ascii="宋体" w:hAnsi="宋体" w:cs="仿宋_GB2312"/>
                <w:sz w:val="24"/>
              </w:rPr>
            </w:pPr>
            <w:r>
              <w:rPr>
                <w:rFonts w:hint="eastAsia" w:ascii="宋体" w:hAnsi="宋体" w:cs="仿宋_GB2312"/>
                <w:sz w:val="24"/>
              </w:rPr>
              <w:t>负责垃圾的收集、清运工作，垃圾实行袋装化，做到垃圾日产日清,负责和环卫部门垃圾清运衔接工作。</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b/>
                <w:bCs/>
                <w:sz w:val="2"/>
              </w:rPr>
            </w:pPr>
          </w:p>
        </w:tc>
      </w:tr>
      <w:tr>
        <w:tblPrEx>
          <w:tblLayout w:type="fixed"/>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line="20" w:lineRule="atLeast"/>
              <w:ind w:left="0" w:right="-50" w:rightChars="-24"/>
              <w:jc w:val="left"/>
              <w:rPr>
                <w:rFonts w:hint="default" w:ascii="宋体" w:hAnsi="宋体" w:cs="仿宋_GB2312"/>
                <w:sz w:val="24"/>
              </w:rPr>
            </w:pPr>
            <w:r>
              <w:rPr>
                <w:rFonts w:hint="eastAsia" w:ascii="宋体" w:hAnsi="宋体" w:cs="仿宋_GB2312"/>
                <w:sz w:val="24"/>
              </w:rPr>
              <w:t>清洗保洁各楼层洗手间，更换卫生纸、洗手液，抹净各类洁具</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b/>
                <w:bCs/>
                <w:sz w:val="2"/>
              </w:rPr>
            </w:pPr>
          </w:p>
        </w:tc>
      </w:tr>
      <w:tr>
        <w:tblPrEx>
          <w:tblLayout w:type="fixed"/>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line="20" w:lineRule="atLeast"/>
              <w:ind w:left="0" w:right="-50" w:rightChars="-24"/>
              <w:jc w:val="left"/>
              <w:rPr>
                <w:rFonts w:hint="eastAsia" w:ascii="宋体" w:hAnsi="宋体" w:cs="仿宋_GB2312"/>
                <w:sz w:val="24"/>
              </w:rPr>
            </w:pPr>
            <w:r>
              <w:rPr>
                <w:rFonts w:hint="eastAsia" w:ascii="宋体" w:hAnsi="宋体" w:cs="仿宋_GB2312"/>
                <w:sz w:val="24"/>
              </w:rPr>
              <w:t>办公室、会议室窗帘清洗、沙发套清洗</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b/>
                <w:bCs/>
                <w:sz w:val="2"/>
              </w:rPr>
            </w:pPr>
          </w:p>
        </w:tc>
      </w:tr>
      <w:tr>
        <w:tblPrEx>
          <w:tblLayout w:type="fixed"/>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line="20" w:lineRule="atLeast"/>
              <w:ind w:left="0" w:right="-50" w:rightChars="-24"/>
              <w:jc w:val="left"/>
              <w:rPr>
                <w:rFonts w:hint="eastAsia" w:ascii="宋体" w:hAnsi="宋体" w:cs="仿宋_GB2312"/>
                <w:sz w:val="24"/>
              </w:rPr>
            </w:pPr>
            <w:r>
              <w:rPr>
                <w:rFonts w:hint="eastAsia" w:ascii="宋体" w:hAnsi="宋体" w:cs="仿宋_GB2312"/>
                <w:sz w:val="24"/>
              </w:rPr>
              <w:t>每年做一次办公楼外墙、玻璃清洗</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b/>
                <w:bCs/>
                <w:sz w:val="2"/>
              </w:rPr>
            </w:pPr>
          </w:p>
        </w:tc>
      </w:tr>
      <w:tr>
        <w:tblPrEx>
          <w:tblLayout w:type="fixed"/>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line="20" w:lineRule="atLeast"/>
              <w:ind w:left="0" w:right="-50" w:rightChars="-24"/>
              <w:jc w:val="left"/>
              <w:rPr>
                <w:rFonts w:hint="default" w:ascii="宋体" w:hAnsi="宋体" w:cs="仿宋_GB2312"/>
                <w:sz w:val="24"/>
              </w:rPr>
            </w:pPr>
            <w:r>
              <w:rPr>
                <w:rFonts w:hint="eastAsia" w:ascii="宋体" w:hAnsi="宋体" w:cs="仿宋_GB2312"/>
                <w:sz w:val="24"/>
              </w:rPr>
              <w:t>污水排放通畅，定期协助清理化粪池、垃圾箱。</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b/>
                <w:bCs/>
                <w:sz w:val="2"/>
              </w:rPr>
            </w:pPr>
          </w:p>
        </w:tc>
      </w:tr>
      <w:tr>
        <w:tblPrEx>
          <w:tblLayout w:type="fixed"/>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line="20" w:lineRule="atLeast"/>
              <w:ind w:left="0" w:right="-50" w:rightChars="-24"/>
              <w:jc w:val="left"/>
              <w:rPr>
                <w:rFonts w:hint="default" w:ascii="宋体" w:hAnsi="宋体" w:cs="仿宋_GB2312"/>
                <w:sz w:val="24"/>
              </w:rPr>
            </w:pPr>
            <w:r>
              <w:rPr>
                <w:rFonts w:hint="eastAsia" w:ascii="宋体" w:hAnsi="宋体"/>
                <w:sz w:val="24"/>
              </w:rPr>
              <w:t>★</w:t>
            </w:r>
            <w:r>
              <w:rPr>
                <w:rFonts w:hint="eastAsia" w:ascii="宋体" w:hAnsi="宋体" w:cs="仿宋_GB2312"/>
                <w:sz w:val="24"/>
              </w:rPr>
              <w:t>卫生保洁用品（扫把、垃圾袋、抹布、拖把、水桶、玻璃刮、告示牌、抹水器等）、耗材，消毒及清洁药物（清洁剂、消毒液、洗手液、保养剂、空气清新剂、高效洁厕剂、卫生球等）全部含在投标报价中，不另行追加。中标人应具备常用的物业管理工具及设备。</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b/>
                <w:bCs/>
                <w:sz w:val="2"/>
              </w:rPr>
            </w:pPr>
          </w:p>
        </w:tc>
      </w:tr>
      <w:tr>
        <w:tblPrEx>
          <w:tblLayout w:type="fixed"/>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line="20" w:lineRule="atLeast"/>
              <w:ind w:left="0" w:right="-50" w:rightChars="-24"/>
              <w:jc w:val="left"/>
              <w:rPr>
                <w:rFonts w:hint="default" w:ascii="宋体" w:hAnsi="宋体" w:cs="仿宋_GB2312"/>
                <w:sz w:val="24"/>
              </w:rPr>
            </w:pPr>
            <w:r>
              <w:rPr>
                <w:rFonts w:hint="eastAsia" w:ascii="宋体" w:hAnsi="宋体" w:cs="仿宋_GB2312"/>
                <w:sz w:val="24"/>
              </w:rPr>
              <w:t>其它与环境清洁有关的事项。</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b/>
                <w:bCs/>
                <w:sz w:val="2"/>
              </w:rPr>
            </w:pPr>
          </w:p>
        </w:tc>
      </w:tr>
      <w:tr>
        <w:tblPrEx>
          <w:tblLayout w:type="fixed"/>
          <w:tblCellMar>
            <w:top w:w="0" w:type="dxa"/>
            <w:left w:w="108" w:type="dxa"/>
            <w:bottom w:w="0" w:type="dxa"/>
            <w:right w:w="108" w:type="dxa"/>
          </w:tblCellMar>
        </w:tblPrEx>
        <w:trPr>
          <w:trHeight w:val="1596" w:hRule="atLeast"/>
        </w:trPr>
        <w:tc>
          <w:tcPr>
            <w:tcW w:w="851" w:type="dxa"/>
            <w:tcBorders>
              <w:top w:val="single" w:color="auto" w:sz="4" w:space="0"/>
              <w:left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restart"/>
            <w:tcBorders>
              <w:top w:val="nil"/>
              <w:left w:val="nil"/>
              <w:bottom w:val="single" w:color="auto" w:sz="4" w:space="0"/>
              <w:right w:val="single" w:color="auto" w:sz="4" w:space="0"/>
            </w:tcBorders>
            <w:noWrap w:val="0"/>
            <w:vAlign w:val="center"/>
          </w:tcPr>
          <w:p>
            <w:pPr>
              <w:keepNext/>
              <w:keepLines w:val="0"/>
              <w:suppressLineNumbers w:val="0"/>
              <w:spacing w:before="0" w:beforeAutospacing="0" w:after="0" w:afterAutospacing="0" w:line="20" w:lineRule="atLeast"/>
              <w:ind w:left="-56" w:leftChars="-27" w:right="-78" w:rightChars="-37"/>
              <w:jc w:val="center"/>
              <w:rPr>
                <w:rFonts w:hint="default" w:ascii="宋体" w:hAnsi="宋体"/>
                <w:sz w:val="24"/>
              </w:rPr>
            </w:pPr>
            <w:r>
              <w:rPr>
                <w:rFonts w:hint="eastAsia" w:ascii="宋体" w:hAnsi="宋体"/>
                <w:sz w:val="24"/>
              </w:rPr>
              <w:t>设备管理</w:t>
            </w:r>
          </w:p>
        </w:tc>
        <w:tc>
          <w:tcPr>
            <w:tcW w:w="6662" w:type="dxa"/>
            <w:tcBorders>
              <w:top w:val="single" w:color="auto" w:sz="4" w:space="0"/>
              <w:left w:val="nil"/>
              <w:right w:val="single" w:color="auto" w:sz="4" w:space="0"/>
            </w:tcBorders>
            <w:noWrap w:val="0"/>
            <w:vAlign w:val="center"/>
          </w:tcPr>
          <w:p>
            <w:pPr>
              <w:keepNext/>
              <w:keepLines w:val="0"/>
              <w:suppressLineNumbers w:val="0"/>
              <w:spacing w:before="0" w:beforeAutospacing="0" w:after="0" w:afterAutospacing="0" w:line="20" w:lineRule="atLeast"/>
              <w:ind w:left="0" w:right="-50" w:rightChars="-24"/>
              <w:jc w:val="left"/>
              <w:rPr>
                <w:rFonts w:hint="default" w:ascii="宋体" w:hAnsi="宋体" w:cs="仿宋_GB2312"/>
                <w:sz w:val="24"/>
              </w:rPr>
            </w:pPr>
            <w:r>
              <w:rPr>
                <w:rFonts w:hint="eastAsia" w:ascii="宋体" w:hAnsi="宋体"/>
                <w:sz w:val="24"/>
              </w:rPr>
              <w:t>★</w:t>
            </w:r>
            <w:r>
              <w:rPr>
                <w:rFonts w:hint="eastAsia" w:ascii="宋体" w:hAnsi="宋体" w:cs="仿宋_GB2312"/>
                <w:sz w:val="24"/>
              </w:rPr>
              <w:t>负责责任区域设备的维护、运行和管理。包括：道路、照明、给排水系统、配电系统、电梯设备、空调设备等，负责对需要进行修理或更新的设施和设备提出方案和预算，报采购人批准后组织实施。</w:t>
            </w:r>
          </w:p>
        </w:tc>
        <w:tc>
          <w:tcPr>
            <w:tcW w:w="744" w:type="dxa"/>
            <w:tcBorders>
              <w:top w:val="single" w:color="auto" w:sz="4" w:space="0"/>
              <w:left w:val="nil"/>
              <w:right w:val="single" w:color="auto" w:sz="4" w:space="0"/>
            </w:tcBorders>
            <w:noWrap w:val="0"/>
            <w:vAlign w:val="center"/>
          </w:tcPr>
          <w:p>
            <w:pPr>
              <w:keepNext w:val="0"/>
              <w:keepLines w:val="0"/>
              <w:suppressLineNumbers w:val="0"/>
              <w:spacing w:before="0" w:beforeAutospacing="0" w:after="0" w:afterAutospacing="0" w:line="20" w:lineRule="atLeast"/>
              <w:ind w:left="-56" w:leftChars="-27" w:right="-78" w:rightChars="-37"/>
              <w:jc w:val="center"/>
              <w:rPr>
                <w:rFonts w:hint="default" w:ascii="宋体" w:hAnsi="宋体"/>
                <w:b/>
                <w:bCs/>
                <w:sz w:val="24"/>
              </w:rPr>
            </w:pPr>
          </w:p>
        </w:tc>
      </w:tr>
      <w:tr>
        <w:tblPrEx>
          <w:tblLayout w:type="fixed"/>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line="20" w:lineRule="atLeast"/>
              <w:ind w:left="0" w:right="-50" w:rightChars="-24"/>
              <w:jc w:val="left"/>
              <w:rPr>
                <w:rFonts w:hint="default" w:ascii="宋体" w:hAnsi="宋体"/>
                <w:sz w:val="24"/>
              </w:rPr>
            </w:pPr>
            <w:r>
              <w:rPr>
                <w:rFonts w:hint="eastAsia" w:ascii="宋体" w:hAnsi="宋体" w:cs="仿宋_GB2312"/>
                <w:sz w:val="24"/>
              </w:rPr>
              <w:t>中标人对日常工作制定运行管理制度：定人、定时开、关设备，及时发现设备和设施在使用过程中的隐患并进行维修、保养，杜绝安全事故发生。对突发事件，及时解决。</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0" w:lineRule="atLeast"/>
              <w:ind w:left="-56" w:leftChars="-27" w:right="-78" w:rightChars="-37"/>
              <w:jc w:val="center"/>
              <w:rPr>
                <w:rFonts w:hint="default" w:ascii="宋体" w:hAnsi="宋体"/>
                <w:b/>
                <w:bCs/>
                <w:sz w:val="24"/>
              </w:rPr>
            </w:pPr>
          </w:p>
        </w:tc>
      </w:tr>
      <w:tr>
        <w:tblPrEx>
          <w:tblLayout w:type="fixed"/>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line="20" w:lineRule="atLeast"/>
              <w:ind w:left="0" w:right="-50" w:rightChars="-24"/>
              <w:jc w:val="left"/>
              <w:rPr>
                <w:rFonts w:hint="default" w:ascii="宋体" w:hAnsi="宋体" w:cs="仿宋_GB2312"/>
                <w:sz w:val="24"/>
              </w:rPr>
            </w:pPr>
            <w:r>
              <w:rPr>
                <w:rFonts w:hint="eastAsia" w:ascii="宋体" w:hAnsi="宋体" w:cs="仿宋_GB2312"/>
                <w:sz w:val="24"/>
              </w:rPr>
              <w:t>负责与设备维护单位保持联络，监督完成维保任务。做好各设备运行、维保记录。</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0" w:lineRule="atLeast"/>
              <w:ind w:left="-56" w:leftChars="-27" w:right="-78" w:rightChars="-37"/>
              <w:jc w:val="center"/>
              <w:rPr>
                <w:rFonts w:hint="default" w:ascii="宋体" w:hAnsi="宋体"/>
                <w:b/>
                <w:bCs/>
                <w:sz w:val="24"/>
              </w:rPr>
            </w:pPr>
          </w:p>
        </w:tc>
      </w:tr>
      <w:tr>
        <w:tblPrEx>
          <w:tblLayout w:type="fixed"/>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line="20" w:lineRule="atLeast"/>
              <w:ind w:left="0" w:right="-50" w:rightChars="-24"/>
              <w:jc w:val="left"/>
              <w:rPr>
                <w:rFonts w:hint="default" w:ascii="宋体" w:hAnsi="宋体" w:cs="仿宋_GB2312"/>
                <w:sz w:val="24"/>
              </w:rPr>
            </w:pPr>
            <w:r>
              <w:rPr>
                <w:rFonts w:hint="eastAsia" w:ascii="宋体" w:hAnsi="宋体" w:cs="仿宋_GB2312"/>
                <w:sz w:val="24"/>
              </w:rPr>
              <w:t>公共设施维护和管理，包括责任区域设施设备、道路、室外排污、排雨水管道，地下管网、雨水井、污水井等。</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0" w:lineRule="atLeast"/>
              <w:ind w:left="-56" w:leftChars="-27" w:right="-78" w:rightChars="-37"/>
              <w:jc w:val="center"/>
              <w:rPr>
                <w:rFonts w:hint="default" w:ascii="宋体" w:hAnsi="宋体"/>
                <w:b/>
                <w:bCs/>
                <w:sz w:val="24"/>
              </w:rPr>
            </w:pPr>
          </w:p>
        </w:tc>
      </w:tr>
      <w:tr>
        <w:tblPrEx>
          <w:tblLayout w:type="fixed"/>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line="20" w:lineRule="atLeast"/>
              <w:ind w:left="0" w:right="-50" w:rightChars="-24"/>
              <w:jc w:val="left"/>
              <w:rPr>
                <w:rFonts w:hint="default" w:ascii="宋体" w:hAnsi="宋体" w:cs="仿宋_GB2312"/>
                <w:sz w:val="24"/>
              </w:rPr>
            </w:pPr>
            <w:r>
              <w:rPr>
                <w:rFonts w:hint="eastAsia" w:ascii="宋体" w:hAnsi="宋体" w:cs="仿宋_GB2312"/>
                <w:sz w:val="24"/>
              </w:rPr>
              <w:t>物业管理服务合同约定的其他事项。</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0" w:lineRule="atLeast"/>
              <w:ind w:left="-56" w:leftChars="-27" w:right="-78" w:rightChars="-37"/>
              <w:jc w:val="center"/>
              <w:rPr>
                <w:rFonts w:hint="default" w:ascii="宋体" w:hAnsi="宋体"/>
                <w:b/>
                <w:bCs/>
                <w:sz w:val="24"/>
              </w:rPr>
            </w:pPr>
          </w:p>
        </w:tc>
      </w:tr>
      <w:tr>
        <w:tblPrEx>
          <w:tblLayout w:type="fixed"/>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restart"/>
            <w:tcBorders>
              <w:top w:val="nil"/>
              <w:left w:val="nil"/>
              <w:bottom w:val="single" w:color="auto" w:sz="4" w:space="0"/>
              <w:right w:val="single" w:color="auto" w:sz="4" w:space="0"/>
            </w:tcBorders>
            <w:noWrap w:val="0"/>
            <w:vAlign w:val="center"/>
          </w:tcPr>
          <w:p>
            <w:pPr>
              <w:keepNext/>
              <w:keepLines w:val="0"/>
              <w:suppressLineNumbers w:val="0"/>
              <w:spacing w:before="0" w:beforeAutospacing="0" w:after="0" w:afterAutospacing="0" w:line="20" w:lineRule="atLeast"/>
              <w:ind w:left="-78" w:leftChars="-37" w:right="-78" w:rightChars="-37"/>
              <w:jc w:val="center"/>
              <w:rPr>
                <w:rFonts w:hint="default" w:ascii="宋体" w:hAnsi="宋体"/>
                <w:sz w:val="24"/>
              </w:rPr>
            </w:pPr>
            <w:r>
              <w:rPr>
                <w:rFonts w:hint="eastAsia" w:ascii="宋体" w:hAnsi="宋体"/>
                <w:sz w:val="24"/>
              </w:rPr>
              <w:t>会务接待服务</w:t>
            </w:r>
          </w:p>
        </w:tc>
        <w:tc>
          <w:tcPr>
            <w:tcW w:w="6662"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line="20" w:lineRule="atLeast"/>
              <w:ind w:left="0" w:right="-50" w:rightChars="-24"/>
              <w:jc w:val="left"/>
              <w:rPr>
                <w:rFonts w:hint="default" w:ascii="宋体" w:hAnsi="宋体" w:cs="仿宋_GB2312"/>
                <w:sz w:val="24"/>
              </w:rPr>
            </w:pPr>
            <w:r>
              <w:rPr>
                <w:rFonts w:hint="eastAsia" w:ascii="宋体" w:hAnsi="宋体" w:cs="仿宋_GB2312"/>
                <w:sz w:val="24"/>
              </w:rPr>
              <w:t>会务及礼仪接待服务人员服装整洁统一。</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b/>
                <w:bCs/>
                <w:sz w:val="2"/>
              </w:rPr>
            </w:pPr>
          </w:p>
        </w:tc>
      </w:tr>
      <w:tr>
        <w:tblPrEx>
          <w:tblLayout w:type="fixed"/>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line="20" w:lineRule="atLeast"/>
              <w:ind w:left="0" w:right="-50" w:rightChars="-24"/>
              <w:jc w:val="left"/>
              <w:rPr>
                <w:rFonts w:hint="default" w:ascii="宋体" w:hAnsi="宋体" w:cs="仿宋_GB2312"/>
                <w:sz w:val="24"/>
              </w:rPr>
            </w:pPr>
            <w:r>
              <w:rPr>
                <w:rFonts w:hint="eastAsia" w:ascii="宋体" w:hAnsi="宋体" w:cs="仿宋_GB2312"/>
                <w:sz w:val="24"/>
              </w:rPr>
              <w:t>会务服务和接待。</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b/>
                <w:bCs/>
                <w:sz w:val="2"/>
              </w:rPr>
            </w:pPr>
          </w:p>
        </w:tc>
      </w:tr>
      <w:tr>
        <w:tblPrEx>
          <w:tblLayout w:type="fixed"/>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line="20" w:lineRule="atLeast"/>
              <w:ind w:left="0" w:right="-50" w:rightChars="-24"/>
              <w:jc w:val="left"/>
              <w:rPr>
                <w:rFonts w:hint="default" w:ascii="宋体" w:hAnsi="宋体" w:cs="仿宋_GB2312"/>
                <w:sz w:val="24"/>
              </w:rPr>
            </w:pPr>
            <w:r>
              <w:rPr>
                <w:rFonts w:hint="eastAsia" w:ascii="宋体" w:hAnsi="宋体" w:cs="仿宋_GB2312"/>
                <w:sz w:val="24"/>
              </w:rPr>
              <w:t>会前会场布置、布标悬挂、会议材料复印发放、茶水放置、桌椅摆放整齐。</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b/>
                <w:bCs/>
                <w:sz w:val="2"/>
              </w:rPr>
            </w:pPr>
          </w:p>
        </w:tc>
      </w:tr>
      <w:tr>
        <w:tblPrEx>
          <w:tblLayout w:type="fixed"/>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line="20" w:lineRule="atLeast"/>
              <w:ind w:left="0" w:right="-50" w:rightChars="-24"/>
              <w:jc w:val="left"/>
              <w:rPr>
                <w:rFonts w:hint="default" w:ascii="宋体" w:hAnsi="宋体" w:cs="仿宋_GB2312"/>
                <w:sz w:val="24"/>
              </w:rPr>
            </w:pPr>
            <w:r>
              <w:rPr>
                <w:rFonts w:hint="eastAsia" w:ascii="宋体" w:hAnsi="宋体" w:cs="仿宋_GB2312"/>
                <w:sz w:val="24"/>
              </w:rPr>
              <w:t>会后会议室的清扫整理。</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b/>
                <w:bCs/>
                <w:sz w:val="2"/>
              </w:rPr>
            </w:pPr>
          </w:p>
        </w:tc>
      </w:tr>
      <w:tr>
        <w:tblPrEx>
          <w:tblLayout w:type="fixed"/>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line="20" w:lineRule="atLeast"/>
              <w:ind w:left="0" w:right="-50" w:rightChars="-24"/>
              <w:jc w:val="left"/>
              <w:rPr>
                <w:rFonts w:hint="default" w:ascii="宋体" w:hAnsi="宋体" w:cs="仿宋_GB2312"/>
                <w:sz w:val="24"/>
              </w:rPr>
            </w:pPr>
            <w:r>
              <w:rPr>
                <w:rFonts w:hint="eastAsia" w:ascii="宋体" w:hAnsi="宋体" w:cs="仿宋_GB2312"/>
                <w:sz w:val="24"/>
              </w:rPr>
              <w:t>随时观察与会人员对茶水的需求量，一般半小时添加一次。</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b/>
                <w:bCs/>
                <w:sz w:val="2"/>
              </w:rPr>
            </w:pPr>
          </w:p>
        </w:tc>
      </w:tr>
      <w:tr>
        <w:tblPrEx>
          <w:tblLayout w:type="fixed"/>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restart"/>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line="20" w:lineRule="atLeast"/>
              <w:ind w:left="-56" w:leftChars="-27" w:right="-78" w:rightChars="-37"/>
              <w:jc w:val="center"/>
              <w:rPr>
                <w:rFonts w:hint="default" w:ascii="宋体" w:hAnsi="宋体"/>
                <w:sz w:val="24"/>
              </w:rPr>
            </w:pPr>
            <w:r>
              <w:rPr>
                <w:rFonts w:hint="eastAsia" w:ascii="宋体" w:hAnsi="宋体"/>
                <w:sz w:val="24"/>
              </w:rPr>
              <w:t>维修绿化</w:t>
            </w:r>
          </w:p>
        </w:tc>
        <w:tc>
          <w:tcPr>
            <w:tcW w:w="6662"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line="20" w:lineRule="atLeast"/>
              <w:ind w:left="0" w:right="-50" w:rightChars="-24"/>
              <w:jc w:val="left"/>
              <w:rPr>
                <w:rFonts w:hint="default" w:ascii="宋体" w:hAnsi="宋体"/>
                <w:sz w:val="24"/>
              </w:rPr>
            </w:pPr>
            <w:r>
              <w:rPr>
                <w:rFonts w:hint="eastAsia" w:ascii="宋体" w:hAnsi="宋体"/>
                <w:sz w:val="24"/>
              </w:rPr>
              <w:t>房屋建筑门窗、洁具、地砖、墙砖、墙面维修养护。</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b/>
                <w:bCs/>
                <w:sz w:val="2"/>
              </w:rPr>
            </w:pPr>
          </w:p>
        </w:tc>
      </w:tr>
      <w:tr>
        <w:tblPrEx>
          <w:tblLayout w:type="fixed"/>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line="20" w:lineRule="atLeast"/>
              <w:ind w:left="0" w:right="-50" w:rightChars="-24"/>
              <w:jc w:val="left"/>
              <w:rPr>
                <w:rFonts w:hint="default" w:ascii="宋体" w:hAnsi="宋体"/>
                <w:sz w:val="24"/>
              </w:rPr>
            </w:pPr>
            <w:r>
              <w:rPr>
                <w:rFonts w:hint="eastAsia" w:ascii="宋体" w:hAnsi="宋体"/>
                <w:sz w:val="24"/>
              </w:rPr>
              <w:t>供电、供水、排水系统灯具、水暖、线路、管道等设施的使用管理和维修养护。</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b/>
                <w:bCs/>
                <w:sz w:val="2"/>
              </w:rPr>
            </w:pPr>
          </w:p>
        </w:tc>
      </w:tr>
      <w:tr>
        <w:tblPrEx>
          <w:tblLayout w:type="fixed"/>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keepLines w:val="0"/>
              <w:suppressLineNumbers w:val="0"/>
              <w:adjustRightInd w:val="0"/>
              <w:snapToGrid w:val="0"/>
              <w:spacing w:before="0" w:beforeAutospacing="0" w:after="0" w:afterAutospacing="0" w:line="20" w:lineRule="atLeast"/>
              <w:ind w:left="0" w:right="0"/>
              <w:rPr>
                <w:rFonts w:hint="default" w:ascii="宋体" w:hAnsi="宋体"/>
                <w:sz w:val="24"/>
              </w:rPr>
            </w:pPr>
            <w:r>
              <w:rPr>
                <w:rFonts w:hint="eastAsia" w:ascii="宋体" w:hAnsi="宋体"/>
                <w:sz w:val="24"/>
              </w:rPr>
              <w:t>办公家具、锁具的维护和修理</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b/>
                <w:bCs/>
                <w:sz w:val="2"/>
              </w:rPr>
            </w:pPr>
          </w:p>
        </w:tc>
      </w:tr>
      <w:tr>
        <w:tblPrEx>
          <w:tblLayout w:type="fixed"/>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sz w:val="24"/>
              </w:rPr>
            </w:pPr>
            <w:r>
              <w:rPr>
                <w:rFonts w:hint="eastAsia" w:ascii="宋体" w:hAnsi="宋体"/>
                <w:sz w:val="24"/>
              </w:rPr>
              <w:t>公用绿地、花木等的养护和管理，包括种植物的修剪、浇灌、补种，拾取绿化区域内纸屑、果皮等杂物</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b/>
                <w:bCs/>
                <w:sz w:val="2"/>
              </w:rPr>
            </w:pPr>
          </w:p>
        </w:tc>
      </w:tr>
      <w:tr>
        <w:tblPrEx>
          <w:tblLayout w:type="fixed"/>
          <w:tblCellMar>
            <w:top w:w="0" w:type="dxa"/>
            <w:left w:w="108" w:type="dxa"/>
            <w:bottom w:w="0" w:type="dxa"/>
            <w:right w:w="108" w:type="dxa"/>
          </w:tblCellMar>
        </w:tblPrEx>
        <w:trPr>
          <w:trHeight w:val="20" w:hRule="atLeast"/>
        </w:trPr>
        <w:tc>
          <w:tcPr>
            <w:tcW w:w="851" w:type="dxa"/>
            <w:vMerge w:val="restart"/>
            <w:tcBorders>
              <w:top w:val="single" w:color="auto" w:sz="4" w:space="0"/>
              <w:left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sz w:val="24"/>
                <w:lang w:eastAsia="zh-CN"/>
              </w:rPr>
            </w:pPr>
            <w:r>
              <w:rPr>
                <w:rFonts w:hint="eastAsia" w:ascii="宋体" w:hAnsi="宋体"/>
                <w:sz w:val="24"/>
                <w:lang w:eastAsia="zh-CN"/>
              </w:rPr>
              <w:t>保安服务</w:t>
            </w:r>
          </w:p>
        </w:tc>
        <w:tc>
          <w:tcPr>
            <w:tcW w:w="666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sz w:val="24"/>
                <w:lang w:val="en-US" w:eastAsia="zh-CN"/>
              </w:rPr>
            </w:pPr>
            <w:r>
              <w:rPr>
                <w:rFonts w:hint="eastAsia" w:ascii="宋体" w:hAnsi="宋体"/>
                <w:sz w:val="24"/>
                <w:lang w:val="en-US" w:eastAsia="zh-CN"/>
              </w:rPr>
              <w:t>法院南门、北门保卫日常工作。</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b/>
                <w:bCs/>
                <w:sz w:val="2"/>
              </w:rPr>
            </w:pPr>
          </w:p>
        </w:tc>
      </w:tr>
      <w:tr>
        <w:tblPrEx>
          <w:tblLayout w:type="fixed"/>
          <w:tblCellMar>
            <w:top w:w="0" w:type="dxa"/>
            <w:left w:w="108" w:type="dxa"/>
            <w:bottom w:w="0" w:type="dxa"/>
            <w:right w:w="108" w:type="dxa"/>
          </w:tblCellMar>
        </w:tblPrEx>
        <w:trPr>
          <w:trHeight w:val="20" w:hRule="atLeast"/>
        </w:trPr>
        <w:tc>
          <w:tcPr>
            <w:tcW w:w="85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sz w:val="24"/>
                <w:lang w:eastAsia="zh-CN"/>
              </w:rPr>
            </w:pPr>
            <w:r>
              <w:rPr>
                <w:rFonts w:hint="eastAsia" w:ascii="宋体" w:hAnsi="宋体"/>
                <w:sz w:val="24"/>
                <w:lang w:eastAsia="zh-CN"/>
              </w:rPr>
              <w:t>全年值班工作。</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b/>
                <w:bCs/>
                <w:sz w:val="2"/>
              </w:rPr>
            </w:pPr>
          </w:p>
        </w:tc>
      </w:tr>
      <w:tr>
        <w:tblPrEx>
          <w:tblLayout w:type="fixed"/>
          <w:tblCellMar>
            <w:top w:w="0" w:type="dxa"/>
            <w:left w:w="108" w:type="dxa"/>
            <w:bottom w:w="0" w:type="dxa"/>
            <w:right w:w="108" w:type="dxa"/>
          </w:tblCellMar>
        </w:tblPrEx>
        <w:trPr>
          <w:trHeight w:val="20" w:hRule="atLeast"/>
        </w:trPr>
        <w:tc>
          <w:tcPr>
            <w:tcW w:w="85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sz w:val="24"/>
                <w:lang w:eastAsia="zh-CN"/>
              </w:rPr>
            </w:pPr>
            <w:r>
              <w:rPr>
                <w:rFonts w:hint="eastAsia" w:ascii="宋体" w:hAnsi="宋体"/>
                <w:sz w:val="24"/>
                <w:lang w:eastAsia="zh-CN"/>
              </w:rPr>
              <w:t>立案庭保卫工作。</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b/>
                <w:bCs/>
                <w:sz w:val="2"/>
              </w:rPr>
            </w:pPr>
          </w:p>
        </w:tc>
      </w:tr>
      <w:tr>
        <w:tblPrEx>
          <w:tblLayout w:type="fixed"/>
          <w:tblCellMar>
            <w:top w:w="0" w:type="dxa"/>
            <w:left w:w="108" w:type="dxa"/>
            <w:bottom w:w="0" w:type="dxa"/>
            <w:right w:w="108" w:type="dxa"/>
          </w:tblCellMar>
        </w:tblPrEx>
        <w:trPr>
          <w:trHeight w:val="20" w:hRule="atLeast"/>
        </w:trPr>
        <w:tc>
          <w:tcPr>
            <w:tcW w:w="851"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sz w:val="24"/>
                <w:lang w:eastAsia="zh-CN"/>
              </w:rPr>
            </w:pPr>
            <w:r>
              <w:rPr>
                <w:rFonts w:hint="eastAsia" w:ascii="宋体" w:hAnsi="宋体"/>
                <w:sz w:val="24"/>
                <w:lang w:eastAsia="zh-CN"/>
              </w:rPr>
              <w:t>夜晚巡逻工作</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b/>
                <w:bCs/>
                <w:sz w:val="2"/>
              </w:rPr>
            </w:pPr>
          </w:p>
        </w:tc>
      </w:tr>
    </w:tbl>
    <w:p>
      <w:pPr>
        <w:numPr>
          <w:ilvl w:val="0"/>
          <w:numId w:val="39"/>
        </w:numPr>
        <w:spacing w:line="360" w:lineRule="auto"/>
        <w:ind w:left="14" w:firstLine="264"/>
        <w:rPr>
          <w:rFonts w:hint="eastAsia" w:ascii="宋体" w:hAnsi="宋体"/>
          <w:b/>
          <w:bCs/>
          <w:color w:val="000000"/>
          <w:sz w:val="24"/>
        </w:rPr>
      </w:pPr>
      <w:r>
        <w:rPr>
          <w:rFonts w:hint="eastAsia" w:ascii="宋体" w:hAnsi="宋体"/>
          <w:b/>
          <w:bCs/>
          <w:color w:val="000000"/>
          <w:sz w:val="24"/>
        </w:rPr>
        <w:t>物业管理标准</w:t>
      </w:r>
    </w:p>
    <w:tbl>
      <w:tblPr>
        <w:tblStyle w:val="19"/>
        <w:tblW w:w="9533" w:type="dxa"/>
        <w:tblInd w:w="108" w:type="dxa"/>
        <w:tblLayout w:type="fixed"/>
        <w:tblCellMar>
          <w:top w:w="0" w:type="dxa"/>
          <w:left w:w="108" w:type="dxa"/>
          <w:bottom w:w="0" w:type="dxa"/>
          <w:right w:w="108" w:type="dxa"/>
        </w:tblCellMar>
      </w:tblPr>
      <w:tblGrid>
        <w:gridCol w:w="851"/>
        <w:gridCol w:w="1276"/>
        <w:gridCol w:w="6662"/>
        <w:gridCol w:w="744"/>
      </w:tblGrid>
      <w:tr>
        <w:tblPrEx>
          <w:tblLayout w:type="fixed"/>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shd w:val="clear" w:color="auto" w:fill="7F7F7F"/>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b/>
                <w:bCs/>
                <w:sz w:val="24"/>
              </w:rPr>
            </w:pPr>
            <w:bookmarkStart w:id="63" w:name="_Toc432753211"/>
            <w:r>
              <w:rPr>
                <w:rFonts w:hint="eastAsia" w:ascii="宋体" w:hAnsi="宋体"/>
                <w:b/>
                <w:bCs/>
                <w:sz w:val="24"/>
              </w:rPr>
              <w:t>序号</w:t>
            </w:r>
            <w:bookmarkEnd w:id="63"/>
          </w:p>
        </w:tc>
        <w:tc>
          <w:tcPr>
            <w:tcW w:w="1276" w:type="dxa"/>
            <w:tcBorders>
              <w:top w:val="single" w:color="auto" w:sz="4" w:space="0"/>
              <w:left w:val="nil"/>
              <w:bottom w:val="single" w:color="auto" w:sz="4" w:space="0"/>
              <w:right w:val="single" w:color="auto" w:sz="4" w:space="0"/>
            </w:tcBorders>
            <w:shd w:val="clear" w:color="auto" w:fill="7F7F7F"/>
            <w:noWrap w:val="0"/>
            <w:vAlign w:val="center"/>
          </w:tcPr>
          <w:p>
            <w:pPr>
              <w:keepNext w:val="0"/>
              <w:keepLines w:val="0"/>
              <w:widowControl/>
              <w:suppressLineNumbers w:val="0"/>
              <w:spacing w:before="0" w:beforeAutospacing="0" w:after="0" w:afterAutospacing="0"/>
              <w:ind w:left="0" w:right="0"/>
              <w:jc w:val="center"/>
              <w:rPr>
                <w:rFonts w:hint="default" w:ascii="宋体" w:hAnsi="宋体"/>
                <w:b/>
                <w:bCs/>
                <w:color w:val="000000"/>
                <w:kern w:val="0"/>
                <w:sz w:val="24"/>
              </w:rPr>
            </w:pPr>
            <w:r>
              <w:rPr>
                <w:rFonts w:hint="eastAsia" w:ascii="宋体" w:hAnsi="宋体"/>
                <w:b/>
                <w:bCs/>
                <w:color w:val="000000"/>
                <w:kern w:val="0"/>
                <w:sz w:val="24"/>
              </w:rPr>
              <w:t>名称</w:t>
            </w:r>
          </w:p>
        </w:tc>
        <w:tc>
          <w:tcPr>
            <w:tcW w:w="6662" w:type="dxa"/>
            <w:tcBorders>
              <w:top w:val="single" w:color="auto" w:sz="4" w:space="0"/>
              <w:left w:val="nil"/>
              <w:bottom w:val="single" w:color="auto" w:sz="4" w:space="0"/>
              <w:right w:val="single" w:color="auto" w:sz="4" w:space="0"/>
            </w:tcBorders>
            <w:shd w:val="clear" w:color="auto" w:fill="7F7F7F"/>
            <w:noWrap w:val="0"/>
            <w:vAlign w:val="center"/>
          </w:tcPr>
          <w:p>
            <w:pPr>
              <w:keepNext w:val="0"/>
              <w:keepLines w:val="0"/>
              <w:suppressLineNumbers w:val="0"/>
              <w:spacing w:before="0" w:beforeAutospacing="0" w:after="0" w:afterAutospacing="0"/>
              <w:ind w:left="-92" w:leftChars="-44" w:right="-78" w:rightChars="-37"/>
              <w:jc w:val="center"/>
              <w:rPr>
                <w:rFonts w:hint="default" w:ascii="宋体" w:hAnsi="宋体"/>
                <w:b/>
                <w:bCs/>
                <w:sz w:val="24"/>
              </w:rPr>
            </w:pPr>
            <w:r>
              <w:rPr>
                <w:rFonts w:hint="eastAsia" w:ascii="宋体" w:hAnsi="宋体"/>
                <w:b/>
                <w:bCs/>
                <w:sz w:val="24"/>
              </w:rPr>
              <w:t>内  容</w:t>
            </w:r>
          </w:p>
        </w:tc>
        <w:tc>
          <w:tcPr>
            <w:tcW w:w="744" w:type="dxa"/>
            <w:tcBorders>
              <w:top w:val="single" w:color="auto" w:sz="4" w:space="0"/>
              <w:left w:val="nil"/>
              <w:bottom w:val="single" w:color="auto" w:sz="4" w:space="0"/>
              <w:right w:val="single" w:color="auto" w:sz="4" w:space="0"/>
            </w:tcBorders>
            <w:shd w:val="clear" w:color="auto" w:fill="7F7F7F"/>
            <w:noWrap w:val="0"/>
            <w:vAlign w:val="center"/>
          </w:tcPr>
          <w:p>
            <w:pPr>
              <w:keepNext w:val="0"/>
              <w:keepLines w:val="0"/>
              <w:suppressLineNumbers w:val="0"/>
              <w:spacing w:before="0" w:beforeAutospacing="0" w:after="0" w:afterAutospacing="0"/>
              <w:ind w:left="-107" w:leftChars="-51" w:right="-107" w:rightChars="-51"/>
              <w:jc w:val="center"/>
              <w:rPr>
                <w:rFonts w:hint="default" w:ascii="宋体" w:hAnsi="宋体"/>
                <w:b/>
                <w:bCs/>
                <w:sz w:val="24"/>
              </w:rPr>
            </w:pPr>
            <w:r>
              <w:rPr>
                <w:rFonts w:hint="eastAsia" w:ascii="宋体" w:hAnsi="宋体"/>
                <w:b/>
                <w:bCs/>
                <w:sz w:val="24"/>
              </w:rPr>
              <w:t>评审点※</w:t>
            </w:r>
          </w:p>
        </w:tc>
      </w:tr>
      <w:tr>
        <w:tblPrEx>
          <w:tblLayout w:type="fixed"/>
          <w:tblCellMar>
            <w:top w:w="0" w:type="dxa"/>
            <w:left w:w="108" w:type="dxa"/>
            <w:bottom w:w="0" w:type="dxa"/>
            <w:right w:w="108" w:type="dxa"/>
          </w:tblCellMar>
        </w:tblPrEx>
        <w:trPr>
          <w:trHeight w:val="328"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restart"/>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sz w:val="24"/>
              </w:rPr>
            </w:pPr>
            <w:r>
              <w:rPr>
                <w:rFonts w:hint="eastAsia" w:ascii="宋体" w:hAnsi="宋体"/>
                <w:sz w:val="24"/>
              </w:rPr>
              <w:t>环境保洁工作标准</w:t>
            </w:r>
          </w:p>
        </w:tc>
        <w:tc>
          <w:tcPr>
            <w:tcW w:w="666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50" w:rightChars="-24"/>
              <w:jc w:val="left"/>
              <w:rPr>
                <w:rFonts w:hint="default" w:ascii="宋体" w:hAnsi="宋体" w:cs="仿宋_GB2312"/>
                <w:b/>
                <w:bCs/>
                <w:sz w:val="24"/>
              </w:rPr>
            </w:pPr>
            <w:r>
              <w:rPr>
                <w:rFonts w:hint="eastAsia" w:ascii="宋体" w:hAnsi="宋体" w:cs="仿宋_GB2312"/>
                <w:b/>
                <w:bCs/>
                <w:sz w:val="24"/>
              </w:rPr>
              <w:t>各楼层公共区域卫生：</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1.地面：无废杂物、纸屑、无污迹、地毯平整、干净；</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2.墙面：踢脚线、消防排烟口、警铃、安全指示灯、各种标识牌表面干净，无灰尘，水迹、污迹、斑点；</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3.垃圾桶：外表干净，无积垢、臭味；</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4.玻璃窗（玻璃、窗框、窗帘、窗台）：明净、光洁、无积尘、污迹、斑点；</w:t>
            </w:r>
          </w:p>
          <w:p>
            <w:pPr>
              <w:keepNext w:val="0"/>
              <w:keepLines w:val="0"/>
              <w:suppressLineNumbers w:val="0"/>
              <w:spacing w:before="0" w:beforeAutospacing="0" w:after="0" w:afterAutospacing="0"/>
              <w:ind w:left="0" w:right="-50" w:rightChars="-24"/>
              <w:jc w:val="left"/>
              <w:rPr>
                <w:rFonts w:hint="default" w:ascii="宋体" w:hAnsi="宋体" w:cs="仿宋_GB2312"/>
                <w:sz w:val="24"/>
              </w:rPr>
            </w:pPr>
            <w:r>
              <w:rPr>
                <w:rFonts w:hint="eastAsia" w:ascii="宋体" w:hAnsi="宋体" w:cs="仿宋_GB2312"/>
                <w:sz w:val="24"/>
              </w:rPr>
              <w:t>5.各种设施外表（如接待大厅前台、灯箱、消防栓箱、楼层分布牌灯）：表面干净，无积尘、污迹、斑点。</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sz w:val="24"/>
              </w:rPr>
            </w:pPr>
            <w:r>
              <w:rPr>
                <w:rFonts w:hint="eastAsia" w:ascii="宋体" w:hAnsi="宋体"/>
                <w:b/>
                <w:bCs/>
                <w:sz w:val="24"/>
              </w:rPr>
              <w:t>※</w:t>
            </w:r>
          </w:p>
        </w:tc>
      </w:tr>
      <w:tr>
        <w:tblPrEx>
          <w:tblLayout w:type="fixed"/>
          <w:tblCellMar>
            <w:top w:w="0" w:type="dxa"/>
            <w:left w:w="108" w:type="dxa"/>
            <w:bottom w:w="0" w:type="dxa"/>
            <w:right w:w="108" w:type="dxa"/>
          </w:tblCellMar>
        </w:tblPrEx>
        <w:trPr>
          <w:trHeight w:val="328"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50" w:rightChars="-24"/>
              <w:jc w:val="left"/>
              <w:rPr>
                <w:rFonts w:hint="default" w:ascii="宋体" w:hAnsi="宋体" w:cs="仿宋_GB2312"/>
                <w:b/>
                <w:bCs/>
                <w:sz w:val="24"/>
              </w:rPr>
            </w:pPr>
            <w:r>
              <w:rPr>
                <w:rFonts w:hint="eastAsia" w:ascii="宋体" w:hAnsi="宋体" w:cs="仿宋_GB2312"/>
                <w:b/>
                <w:bCs/>
                <w:sz w:val="24"/>
              </w:rPr>
              <w:t>卫生间：</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1.大、小便池：内外光洁、无污垢、积尘。适当地方放卫生球，喷空气清新剂；</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2.洗手盆、镜台、镜面：内外光洁，无污垢、斑点、积水、积尘；</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3.地面、墙面：光洁、无污迹，无杂物、赃物，无积水、积尘，无蜘蛛网；</w:t>
            </w:r>
          </w:p>
          <w:p>
            <w:pPr>
              <w:keepNext w:val="0"/>
              <w:keepLines w:val="0"/>
              <w:suppressLineNumbers w:val="0"/>
              <w:spacing w:before="0" w:beforeAutospacing="0" w:after="0" w:afterAutospacing="0"/>
              <w:ind w:left="0" w:right="-50" w:rightChars="-24"/>
              <w:jc w:val="left"/>
              <w:rPr>
                <w:rFonts w:hint="default" w:ascii="宋体" w:hAnsi="宋体" w:cs="仿宋_GB2312"/>
                <w:sz w:val="24"/>
              </w:rPr>
            </w:pPr>
            <w:r>
              <w:rPr>
                <w:rFonts w:hint="eastAsia" w:ascii="宋体" w:hAnsi="宋体" w:cs="仿宋_GB2312"/>
                <w:sz w:val="24"/>
              </w:rPr>
              <w:t>4.厕纸篓、垃圾篓：无沉积物、无臭味，外表干净。</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sz w:val="24"/>
              </w:rPr>
            </w:pPr>
            <w:r>
              <w:rPr>
                <w:rFonts w:hint="eastAsia" w:ascii="宋体" w:hAnsi="宋体"/>
                <w:b/>
                <w:bCs/>
                <w:sz w:val="24"/>
              </w:rPr>
              <w:t>※</w:t>
            </w:r>
          </w:p>
        </w:tc>
      </w:tr>
      <w:tr>
        <w:tblPrEx>
          <w:tblLayout w:type="fixed"/>
          <w:tblCellMar>
            <w:top w:w="0" w:type="dxa"/>
            <w:left w:w="108" w:type="dxa"/>
            <w:bottom w:w="0" w:type="dxa"/>
            <w:right w:w="108" w:type="dxa"/>
          </w:tblCellMar>
        </w:tblPrEx>
        <w:trPr>
          <w:trHeight w:val="328"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50" w:rightChars="-24"/>
              <w:jc w:val="left"/>
              <w:rPr>
                <w:rFonts w:hint="default" w:ascii="宋体" w:hAnsi="宋体" w:cs="仿宋_GB2312"/>
                <w:sz w:val="24"/>
              </w:rPr>
            </w:pPr>
            <w:r>
              <w:rPr>
                <w:rFonts w:hint="eastAsia" w:ascii="宋体" w:hAnsi="宋体" w:cs="仿宋_GB2312"/>
                <w:b/>
                <w:bCs/>
                <w:sz w:val="24"/>
              </w:rPr>
              <w:t>楼梯</w:t>
            </w:r>
            <w:r>
              <w:rPr>
                <w:rFonts w:hint="eastAsia" w:ascii="宋体" w:hAnsi="宋体" w:cs="仿宋_GB2312"/>
                <w:sz w:val="24"/>
              </w:rPr>
              <w:t>：</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1.楼梯（所管理区域内的楼梯、防火梯、栏杆灯）：无灰尘，无杂物；</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2.楼梯走道、墙上各种设施（应急灯、水管、出入指示牌、凸物等）：无积尘、污迹、脏杂物。</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3.扶手、栏杆：光洁、无积尘，玻璃无污迹；</w:t>
            </w:r>
          </w:p>
          <w:p>
            <w:pPr>
              <w:keepNext w:val="0"/>
              <w:keepLines w:val="0"/>
              <w:suppressLineNumbers w:val="0"/>
              <w:spacing w:before="0" w:beforeAutospacing="0" w:after="0" w:afterAutospacing="0"/>
              <w:ind w:left="0" w:right="-50" w:rightChars="-24"/>
              <w:jc w:val="left"/>
              <w:rPr>
                <w:rFonts w:hint="default" w:ascii="宋体" w:hAnsi="宋体" w:cs="仿宋_GB2312"/>
                <w:sz w:val="24"/>
              </w:rPr>
            </w:pPr>
            <w:r>
              <w:rPr>
                <w:rFonts w:hint="eastAsia" w:ascii="宋体" w:hAnsi="宋体" w:cs="仿宋_GB2312"/>
                <w:sz w:val="24"/>
              </w:rPr>
              <w:t>4.门（各卫生区域的门）：干净，无灰尘、污迹。</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sz w:val="24"/>
              </w:rPr>
            </w:pPr>
            <w:r>
              <w:rPr>
                <w:rFonts w:hint="eastAsia" w:ascii="宋体" w:hAnsi="宋体"/>
                <w:b/>
                <w:bCs/>
                <w:sz w:val="24"/>
              </w:rPr>
              <w:t>※</w:t>
            </w:r>
          </w:p>
        </w:tc>
      </w:tr>
      <w:tr>
        <w:tblPrEx>
          <w:tblLayout w:type="fixed"/>
          <w:tblCellMar>
            <w:top w:w="0" w:type="dxa"/>
            <w:left w:w="108" w:type="dxa"/>
            <w:bottom w:w="0" w:type="dxa"/>
            <w:right w:w="108" w:type="dxa"/>
          </w:tblCellMar>
        </w:tblPrEx>
        <w:trPr>
          <w:trHeight w:val="328"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50" w:rightChars="-24"/>
              <w:jc w:val="left"/>
              <w:rPr>
                <w:rFonts w:hint="default" w:ascii="宋体" w:hAnsi="宋体" w:cs="仿宋_GB2312"/>
                <w:b/>
                <w:bCs/>
                <w:sz w:val="24"/>
              </w:rPr>
            </w:pPr>
            <w:r>
              <w:rPr>
                <w:rFonts w:hint="eastAsia" w:ascii="宋体" w:hAnsi="宋体" w:cs="仿宋_GB2312"/>
                <w:b/>
                <w:bCs/>
                <w:sz w:val="24"/>
              </w:rPr>
              <w:t>办公室、会议室：</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1.保持室内的窗、窗台、窗框干净、整洁，无破损；</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2.保持室内墙面、天花板整洁、完好、无污渍、无浮尘、无破损、无蛛网；</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3.保持地面地毯整洁、完好，无垃圾、无污渍、无破洞；</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4.保持室内各种家具光洁、无灰尘，放置整齐；</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5.保持室内各种灯具整洁、完好、无破损；</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6.保持室内空调出风口干净、整洁，无积灰、无霉斑；</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7.室内各种艺术装饰挂件挂放端正、清洁无损；</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8.定时开窗通风或喷洒空气清新剂，保持室内的空气清新；</w:t>
            </w:r>
          </w:p>
          <w:p>
            <w:pPr>
              <w:keepNext w:val="0"/>
              <w:keepLines w:val="0"/>
              <w:suppressLineNumbers w:val="0"/>
              <w:spacing w:before="0" w:beforeAutospacing="0" w:after="0" w:afterAutospacing="0"/>
              <w:ind w:left="0" w:right="-50" w:rightChars="-24"/>
              <w:jc w:val="left"/>
              <w:rPr>
                <w:rFonts w:hint="default" w:ascii="宋体" w:hAnsi="宋体" w:cs="仿宋_GB2312"/>
                <w:sz w:val="24"/>
              </w:rPr>
            </w:pPr>
            <w:r>
              <w:rPr>
                <w:rFonts w:hint="eastAsia" w:ascii="宋体" w:hAnsi="宋体" w:cs="仿宋_GB2312"/>
                <w:sz w:val="24"/>
              </w:rPr>
              <w:t>9.保持吸烟室内烟缸光洁、烟头数量不超过6个（循环保洁周期2小时）。</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sz w:val="24"/>
              </w:rPr>
            </w:pPr>
            <w:r>
              <w:rPr>
                <w:rFonts w:hint="eastAsia" w:ascii="宋体" w:hAnsi="宋体"/>
                <w:b/>
                <w:bCs/>
                <w:sz w:val="24"/>
              </w:rPr>
              <w:t>※</w:t>
            </w:r>
          </w:p>
        </w:tc>
      </w:tr>
      <w:tr>
        <w:tblPrEx>
          <w:tblLayout w:type="fixed"/>
          <w:tblCellMar>
            <w:top w:w="0" w:type="dxa"/>
            <w:left w:w="108" w:type="dxa"/>
            <w:bottom w:w="0" w:type="dxa"/>
            <w:right w:w="108" w:type="dxa"/>
          </w:tblCellMar>
        </w:tblPrEx>
        <w:trPr>
          <w:trHeight w:val="328"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50" w:rightChars="-24"/>
              <w:jc w:val="left"/>
              <w:rPr>
                <w:rFonts w:hint="default" w:ascii="宋体" w:hAnsi="宋体" w:cs="仿宋_GB2312"/>
                <w:b/>
                <w:bCs/>
                <w:sz w:val="24"/>
              </w:rPr>
            </w:pPr>
            <w:r>
              <w:rPr>
                <w:rFonts w:hint="eastAsia" w:ascii="宋体" w:hAnsi="宋体" w:cs="仿宋_GB2312"/>
                <w:b/>
                <w:bCs/>
                <w:sz w:val="24"/>
              </w:rPr>
              <w:t>楼外区域:</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1.广场区域地面和道路：路面整齐、干净，无垃圾、沙土、纸屑、油迹等，无脏物，无积水（指脏、臭水）、青苔；</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2.门前：执行政府门前“三包”规定，做到无垃圾、纸屑；</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3.大楼外墙：保持干净、明亮；</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4.停车场：保持地面无垃圾、纸屑，无积水；</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5.垃圾箱：垃圾箱无异味散播，无蚊蝇孳生；</w:t>
            </w:r>
          </w:p>
          <w:p>
            <w:pPr>
              <w:keepNext w:val="0"/>
              <w:keepLines w:val="0"/>
              <w:suppressLineNumbers w:val="0"/>
              <w:spacing w:before="0" w:beforeAutospacing="0" w:after="0" w:afterAutospacing="0"/>
              <w:ind w:left="0" w:right="-50" w:rightChars="-24"/>
              <w:jc w:val="left"/>
              <w:rPr>
                <w:rFonts w:hint="default" w:ascii="宋体" w:hAnsi="宋体" w:cs="仿宋_GB2312"/>
                <w:sz w:val="24"/>
              </w:rPr>
            </w:pPr>
            <w:r>
              <w:rPr>
                <w:rFonts w:hint="eastAsia" w:ascii="宋体" w:hAnsi="宋体" w:cs="仿宋_GB2312"/>
                <w:sz w:val="24"/>
              </w:rPr>
              <w:t>6.消杀处理：定期巡查灭鼠，消毒药水、药品投放，保持明沟、暗沟、垃圾房、绿化带、地下室、窨井及各类机房清洁卫生无蚊蝇鼠害等。</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sz w:val="24"/>
              </w:rPr>
            </w:pPr>
            <w:r>
              <w:rPr>
                <w:rFonts w:hint="eastAsia" w:ascii="宋体" w:hAnsi="宋体"/>
                <w:b/>
                <w:bCs/>
                <w:sz w:val="24"/>
              </w:rPr>
              <w:t>※</w:t>
            </w:r>
          </w:p>
        </w:tc>
      </w:tr>
      <w:tr>
        <w:tblPrEx>
          <w:tblLayout w:type="fixed"/>
          <w:tblCellMar>
            <w:top w:w="0" w:type="dxa"/>
            <w:left w:w="108" w:type="dxa"/>
            <w:bottom w:w="0" w:type="dxa"/>
            <w:right w:w="108" w:type="dxa"/>
          </w:tblCellMar>
        </w:tblPrEx>
        <w:trPr>
          <w:trHeight w:val="32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50" w:rightChars="-24"/>
              <w:jc w:val="left"/>
              <w:rPr>
                <w:rFonts w:hint="default" w:ascii="宋体" w:hAnsi="宋体" w:cs="仿宋_GB2312"/>
                <w:sz w:val="24"/>
              </w:rPr>
            </w:pPr>
            <w:r>
              <w:rPr>
                <w:rFonts w:hint="eastAsia" w:ascii="宋体" w:hAnsi="宋体" w:cs="仿宋_GB2312"/>
                <w:sz w:val="24"/>
              </w:rPr>
              <w:t>定时巡视消防设施设备。</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sz w:val="24"/>
              </w:rPr>
            </w:pPr>
            <w:r>
              <w:rPr>
                <w:rFonts w:hint="eastAsia" w:ascii="宋体" w:hAnsi="宋体"/>
                <w:b/>
                <w:bCs/>
                <w:sz w:val="24"/>
              </w:rPr>
              <w:t>※</w:t>
            </w:r>
          </w:p>
        </w:tc>
      </w:tr>
      <w:tr>
        <w:tblPrEx>
          <w:tblLayout w:type="fixed"/>
          <w:tblCellMar>
            <w:top w:w="0" w:type="dxa"/>
            <w:left w:w="108" w:type="dxa"/>
            <w:bottom w:w="0" w:type="dxa"/>
            <w:right w:w="108" w:type="dxa"/>
          </w:tblCellMar>
        </w:tblPrEx>
        <w:trPr>
          <w:trHeight w:val="32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restart"/>
            <w:tcBorders>
              <w:top w:val="nil"/>
              <w:left w:val="nil"/>
              <w:bottom w:val="single" w:color="auto" w:sz="4" w:space="0"/>
              <w:right w:val="single" w:color="auto" w:sz="4" w:space="0"/>
            </w:tcBorders>
            <w:noWrap w:val="0"/>
            <w:vAlign w:val="center"/>
          </w:tcPr>
          <w:p>
            <w:pPr>
              <w:keepNext/>
              <w:keepLines w:val="0"/>
              <w:suppressLineNumbers w:val="0"/>
              <w:spacing w:before="0" w:beforeAutospacing="0" w:after="0" w:afterAutospacing="0"/>
              <w:ind w:left="-56" w:leftChars="-27" w:right="-78" w:rightChars="-37"/>
              <w:jc w:val="center"/>
              <w:rPr>
                <w:rFonts w:hint="default" w:ascii="宋体" w:hAnsi="宋体"/>
                <w:sz w:val="24"/>
              </w:rPr>
            </w:pPr>
            <w:r>
              <w:rPr>
                <w:rFonts w:hint="eastAsia" w:ascii="宋体" w:hAnsi="宋体"/>
                <w:sz w:val="24"/>
              </w:rPr>
              <w:t>工程维护工作标准</w:t>
            </w:r>
          </w:p>
        </w:tc>
        <w:tc>
          <w:tcPr>
            <w:tcW w:w="666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50" w:rightChars="-24"/>
              <w:jc w:val="left"/>
              <w:rPr>
                <w:rFonts w:hint="default" w:ascii="宋体" w:hAnsi="宋体" w:cs="仿宋_GB2312"/>
                <w:b/>
                <w:bCs/>
                <w:sz w:val="24"/>
              </w:rPr>
            </w:pPr>
            <w:r>
              <w:rPr>
                <w:rFonts w:hint="eastAsia" w:ascii="宋体" w:hAnsi="宋体" w:cs="仿宋_GB2312"/>
                <w:b/>
                <w:bCs/>
                <w:sz w:val="24"/>
              </w:rPr>
              <w:t>供配电系统工作标准:</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1.每月一次巡查楼层配电房并负责有关设备的保养。</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2.按时间表启、停外围亮化灯饰。</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3.每天一次防火安全检查。</w:t>
            </w:r>
          </w:p>
          <w:p>
            <w:pPr>
              <w:keepNext w:val="0"/>
              <w:keepLines w:val="0"/>
              <w:suppressLineNumbers w:val="0"/>
              <w:spacing w:before="0" w:beforeAutospacing="0" w:after="0" w:afterAutospacing="0"/>
              <w:ind w:left="0" w:right="-50" w:rightChars="-24"/>
              <w:jc w:val="left"/>
              <w:rPr>
                <w:rFonts w:hint="default" w:ascii="宋体" w:hAnsi="宋体" w:cs="仿宋_GB2312"/>
                <w:sz w:val="24"/>
              </w:rPr>
            </w:pPr>
            <w:r>
              <w:rPr>
                <w:rFonts w:hint="eastAsia" w:ascii="宋体" w:hAnsi="宋体" w:cs="仿宋_GB2312"/>
                <w:sz w:val="24"/>
              </w:rPr>
              <w:t>4.熔断丝、插座插头、空气开关、漏气开关、电源插头座、各种灯头、灯座、线路的故障和更换，灯泡、灯管的维修巡查更换周期不超过2小时（接到维修通知后，维修过程不超过15分钟）。</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sz w:val="24"/>
              </w:rPr>
            </w:pPr>
            <w:r>
              <w:rPr>
                <w:rFonts w:hint="eastAsia" w:ascii="宋体" w:hAnsi="宋体"/>
                <w:b/>
                <w:bCs/>
                <w:sz w:val="24"/>
              </w:rPr>
              <w:t>※</w:t>
            </w:r>
          </w:p>
        </w:tc>
      </w:tr>
      <w:tr>
        <w:tblPrEx>
          <w:tblLayout w:type="fixed"/>
          <w:tblCellMar>
            <w:top w:w="0" w:type="dxa"/>
            <w:left w:w="108" w:type="dxa"/>
            <w:bottom w:w="0" w:type="dxa"/>
            <w:right w:w="108" w:type="dxa"/>
          </w:tblCellMar>
        </w:tblPrEx>
        <w:trPr>
          <w:trHeight w:val="32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50" w:rightChars="-24"/>
              <w:jc w:val="left"/>
              <w:rPr>
                <w:rFonts w:hint="default" w:ascii="宋体" w:hAnsi="宋体" w:cs="仿宋_GB2312"/>
                <w:b/>
                <w:bCs/>
                <w:sz w:val="24"/>
              </w:rPr>
            </w:pPr>
            <w:r>
              <w:rPr>
                <w:rFonts w:hint="eastAsia" w:ascii="宋体" w:hAnsi="宋体" w:cs="仿宋_GB2312"/>
                <w:b/>
                <w:bCs/>
                <w:sz w:val="24"/>
              </w:rPr>
              <w:t>给、排水系统工作标准:</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1.给排水设备的故障应于5小时内修复，无法解决的应马上通知采购人，并报上级领导，限期修复；</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2.水池水箱清洗时，应至少提前24小时通知采购人；</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3.污水井每年清洁、检查和保养一次，清除井除沉积物；</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4.检查各种龙头失灵故障，各种水闸渗油和损坏，上、下水道堵塞不畅，各种配件失灵和损坏，上水管漏，水表故障；</w:t>
            </w:r>
          </w:p>
          <w:p>
            <w:pPr>
              <w:keepNext w:val="0"/>
              <w:keepLines w:val="0"/>
              <w:suppressLineNumbers w:val="0"/>
              <w:spacing w:before="0" w:beforeAutospacing="0" w:after="0" w:afterAutospacing="0"/>
              <w:ind w:left="0" w:right="-50" w:rightChars="-24"/>
              <w:jc w:val="left"/>
              <w:rPr>
                <w:rFonts w:hint="default" w:ascii="宋体" w:hAnsi="宋体" w:cs="仿宋_GB2312"/>
                <w:sz w:val="24"/>
              </w:rPr>
            </w:pPr>
            <w:r>
              <w:rPr>
                <w:rFonts w:hint="eastAsia" w:ascii="宋体" w:hAnsi="宋体" w:cs="仿宋_GB2312"/>
                <w:sz w:val="24"/>
              </w:rPr>
              <w:t>5.水泵设备的使用和维修</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sz w:val="24"/>
              </w:rPr>
            </w:pPr>
            <w:r>
              <w:rPr>
                <w:rFonts w:hint="eastAsia" w:ascii="宋体" w:hAnsi="宋体"/>
                <w:b/>
                <w:bCs/>
                <w:sz w:val="24"/>
              </w:rPr>
              <w:t>※</w:t>
            </w:r>
          </w:p>
        </w:tc>
      </w:tr>
      <w:tr>
        <w:tblPrEx>
          <w:tblLayout w:type="fixed"/>
          <w:tblCellMar>
            <w:top w:w="0" w:type="dxa"/>
            <w:left w:w="108" w:type="dxa"/>
            <w:bottom w:w="0" w:type="dxa"/>
            <w:right w:w="108" w:type="dxa"/>
          </w:tblCellMar>
        </w:tblPrEx>
        <w:trPr>
          <w:trHeight w:val="32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50" w:rightChars="-24"/>
              <w:jc w:val="left"/>
              <w:rPr>
                <w:rFonts w:hint="default" w:ascii="宋体" w:hAnsi="宋体" w:cs="仿宋_GB2312"/>
                <w:b/>
                <w:bCs/>
                <w:sz w:val="24"/>
              </w:rPr>
            </w:pPr>
            <w:r>
              <w:rPr>
                <w:rFonts w:hint="eastAsia" w:ascii="宋体" w:hAnsi="宋体" w:cs="仿宋_GB2312"/>
                <w:b/>
                <w:bCs/>
                <w:sz w:val="24"/>
              </w:rPr>
              <w:t>建筑物室内、外维护工作标准:</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1.面砖、地砖、瓷砖损坏的更换，小面积的木质地板修理和更换，木质门窗和铝合金窗的修理。负责对外联系，修配和更换及开启各种门锁；</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2.消防设施修理，电表箱、电话箱、总水闸的修理；</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3.局部墙面松动有剥落现象时应及时铲除，并重新修补粉刷；</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4.屋面局部有渗漏现象应立即找出原因，并及时针对损坏情况采取防水材料嵌补；</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5.其他修理服务。</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6.为采购人室内设备提供维修服务。</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7.负责大楼公共设施的维修、整改。</w:t>
            </w:r>
          </w:p>
          <w:p>
            <w:pPr>
              <w:keepNext w:val="0"/>
              <w:keepLines w:val="0"/>
              <w:suppressLineNumbers w:val="0"/>
              <w:spacing w:before="0" w:beforeAutospacing="0" w:after="0" w:afterAutospacing="0"/>
              <w:ind w:left="0" w:right="-50" w:rightChars="-24"/>
              <w:jc w:val="left"/>
              <w:rPr>
                <w:rFonts w:hint="default" w:ascii="宋体" w:hAnsi="宋体" w:cs="仿宋_GB2312"/>
                <w:sz w:val="24"/>
              </w:rPr>
            </w:pPr>
            <w:r>
              <w:rPr>
                <w:rFonts w:hint="eastAsia" w:ascii="宋体" w:hAnsi="宋体" w:cs="仿宋_GB2312"/>
                <w:sz w:val="24"/>
              </w:rPr>
              <w:t>注：此类维修服务从开始维修到修缮完毕不超过24小时。</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sz w:val="24"/>
              </w:rPr>
            </w:pPr>
            <w:r>
              <w:rPr>
                <w:rFonts w:hint="eastAsia" w:ascii="宋体" w:hAnsi="宋体"/>
                <w:b/>
                <w:bCs/>
                <w:sz w:val="24"/>
              </w:rPr>
              <w:t>※</w:t>
            </w:r>
          </w:p>
        </w:tc>
      </w:tr>
      <w:tr>
        <w:tblPrEx>
          <w:tblLayout w:type="fixed"/>
          <w:tblCellMar>
            <w:top w:w="0" w:type="dxa"/>
            <w:left w:w="108" w:type="dxa"/>
            <w:bottom w:w="0" w:type="dxa"/>
            <w:right w:w="108" w:type="dxa"/>
          </w:tblCellMar>
        </w:tblPrEx>
        <w:trPr>
          <w:trHeight w:val="32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50" w:rightChars="-24"/>
              <w:jc w:val="left"/>
              <w:rPr>
                <w:rFonts w:hint="default" w:ascii="宋体" w:hAnsi="宋体" w:cs="仿宋_GB2312"/>
                <w:b/>
                <w:bCs/>
                <w:sz w:val="24"/>
              </w:rPr>
            </w:pPr>
            <w:r>
              <w:rPr>
                <w:rFonts w:hint="eastAsia" w:ascii="宋体" w:hAnsi="宋体" w:cs="仿宋_GB2312"/>
                <w:b/>
                <w:bCs/>
                <w:sz w:val="24"/>
              </w:rPr>
              <w:t>电梯管理运行标准:</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1.每天开电梯后检查确认一次电梯全程运行状况；</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2.检查轿箱、井道等设施有无异常情况；</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3.进行定期检查和维保时，应放置警示牌；</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4.年审标志粘贴在轿箱内的操作面板上方；</w:t>
            </w:r>
          </w:p>
          <w:p>
            <w:pPr>
              <w:keepNext w:val="0"/>
              <w:keepLines w:val="0"/>
              <w:suppressLineNumbers w:val="0"/>
              <w:spacing w:before="0" w:beforeAutospacing="0" w:after="0" w:afterAutospacing="0"/>
              <w:ind w:left="0" w:right="-50" w:rightChars="-24"/>
              <w:jc w:val="left"/>
              <w:rPr>
                <w:rFonts w:hint="default" w:ascii="宋体" w:hAnsi="宋体" w:cs="仿宋_GB2312"/>
                <w:sz w:val="24"/>
              </w:rPr>
            </w:pPr>
            <w:r>
              <w:rPr>
                <w:rFonts w:hint="eastAsia" w:ascii="宋体" w:hAnsi="宋体" w:cs="仿宋_GB2312"/>
                <w:sz w:val="24"/>
              </w:rPr>
              <w:t>5.电梯年检到期前，配合维保部门做电梯年检年审工作。</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sz w:val="24"/>
              </w:rPr>
            </w:pPr>
          </w:p>
        </w:tc>
      </w:tr>
      <w:tr>
        <w:tblPrEx>
          <w:tblLayout w:type="fixed"/>
          <w:tblCellMar>
            <w:top w:w="0" w:type="dxa"/>
            <w:left w:w="108" w:type="dxa"/>
            <w:bottom w:w="0" w:type="dxa"/>
            <w:right w:w="108" w:type="dxa"/>
          </w:tblCellMar>
        </w:tblPrEx>
        <w:trPr>
          <w:trHeight w:val="32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ind w:left="-56" w:leftChars="-27" w:right="-78" w:rightChars="-37"/>
              <w:jc w:val="center"/>
              <w:rPr>
                <w:rFonts w:hint="default" w:ascii="宋体" w:hAnsi="宋体"/>
                <w:sz w:val="24"/>
              </w:rPr>
            </w:pPr>
            <w:r>
              <w:rPr>
                <w:rFonts w:hint="eastAsia" w:ascii="宋体" w:hAnsi="宋体"/>
                <w:sz w:val="24"/>
              </w:rPr>
              <w:t>其它服务工作标准</w:t>
            </w:r>
          </w:p>
        </w:tc>
        <w:tc>
          <w:tcPr>
            <w:tcW w:w="666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50" w:rightChars="-24"/>
              <w:jc w:val="left"/>
              <w:rPr>
                <w:rFonts w:hint="default" w:ascii="宋体" w:hAnsi="宋体" w:cs="仿宋_GB2312"/>
                <w:sz w:val="24"/>
              </w:rPr>
            </w:pPr>
            <w:r>
              <w:rPr>
                <w:rFonts w:hint="eastAsia" w:ascii="宋体" w:hAnsi="宋体" w:cs="仿宋_GB2312"/>
                <w:sz w:val="24"/>
              </w:rPr>
              <w:t>会务接待服务：会前半小时应准备调试及摆放完毕，会中及时添加茶水及时更换宴会盅，会后及时整理。</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sz w:val="24"/>
              </w:rPr>
            </w:pPr>
          </w:p>
        </w:tc>
      </w:tr>
      <w:tr>
        <w:tblPrEx>
          <w:tblLayout w:type="fixed"/>
          <w:tblCellMar>
            <w:top w:w="0" w:type="dxa"/>
            <w:left w:w="108" w:type="dxa"/>
            <w:bottom w:w="0" w:type="dxa"/>
            <w:right w:w="108" w:type="dxa"/>
          </w:tblCellMar>
        </w:tblPrEx>
        <w:trPr>
          <w:trHeight w:val="2041" w:hRule="exac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restart"/>
            <w:tcBorders>
              <w:top w:val="single" w:color="auto" w:sz="4" w:space="0"/>
              <w:left w:val="nil"/>
              <w:right w:val="single" w:color="auto" w:sz="4" w:space="0"/>
            </w:tcBorders>
            <w:noWrap w:val="0"/>
            <w:vAlign w:val="center"/>
          </w:tcPr>
          <w:p>
            <w:pPr>
              <w:keepNext/>
              <w:keepLines w:val="0"/>
              <w:suppressLineNumbers w:val="0"/>
              <w:spacing w:before="0" w:beforeAutospacing="0" w:after="0" w:afterAutospacing="0"/>
              <w:ind w:left="-56" w:leftChars="-27" w:right="-78" w:rightChars="-37"/>
              <w:jc w:val="center"/>
              <w:rPr>
                <w:rFonts w:hint="eastAsia" w:ascii="宋体" w:hAnsi="宋体"/>
                <w:sz w:val="24"/>
              </w:rPr>
            </w:pPr>
            <w:r>
              <w:rPr>
                <w:rFonts w:hint="eastAsia" w:ascii="宋体" w:hAnsi="宋体"/>
                <w:sz w:val="24"/>
                <w:lang w:eastAsia="zh-CN"/>
              </w:rPr>
              <w:t>保安</w:t>
            </w:r>
            <w:r>
              <w:rPr>
                <w:rFonts w:hint="eastAsia" w:ascii="宋体" w:hAnsi="宋体"/>
                <w:sz w:val="24"/>
              </w:rPr>
              <w:t>工作标准</w:t>
            </w:r>
          </w:p>
        </w:tc>
        <w:tc>
          <w:tcPr>
            <w:tcW w:w="666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50" w:rightChars="-24"/>
              <w:jc w:val="left"/>
              <w:rPr>
                <w:rFonts w:hint="eastAsia" w:ascii="宋体" w:hAnsi="宋体" w:cs="仿宋_GB2312"/>
                <w:b/>
                <w:bCs/>
                <w:sz w:val="24"/>
                <w:lang w:eastAsia="zh-CN"/>
              </w:rPr>
            </w:pPr>
            <w:r>
              <w:rPr>
                <w:rFonts w:hint="eastAsia" w:ascii="宋体" w:hAnsi="宋体" w:cs="仿宋_GB2312"/>
                <w:b/>
                <w:bCs/>
                <w:sz w:val="24"/>
                <w:lang w:eastAsia="zh-CN"/>
              </w:rPr>
              <w:t>南北门保卫值班标准：</w:t>
            </w:r>
          </w:p>
          <w:p>
            <w:pPr>
              <w:keepNext w:val="0"/>
              <w:keepLines w:val="0"/>
              <w:suppressLineNumbers w:val="0"/>
              <w:spacing w:before="0" w:beforeAutospacing="0" w:after="0" w:afterAutospacing="0"/>
              <w:ind w:left="0" w:right="-50" w:rightChars="-24"/>
              <w:jc w:val="left"/>
              <w:rPr>
                <w:rFonts w:hint="eastAsia" w:ascii="宋体" w:hAnsi="宋体" w:cs="仿宋_GB2312"/>
                <w:sz w:val="24"/>
                <w:lang w:eastAsia="zh-CN"/>
              </w:rPr>
            </w:pPr>
            <w:r>
              <w:rPr>
                <w:rFonts w:hint="eastAsia" w:ascii="宋体" w:hAnsi="宋体" w:cs="仿宋_GB2312"/>
                <w:sz w:val="24"/>
                <w:lang w:val="en-US" w:eastAsia="zh-CN"/>
              </w:rPr>
              <w:t>1.</w:t>
            </w:r>
            <w:r>
              <w:rPr>
                <w:rFonts w:hint="eastAsia" w:ascii="宋体" w:hAnsi="宋体" w:cs="仿宋_GB2312"/>
                <w:sz w:val="24"/>
                <w:lang w:eastAsia="zh-CN"/>
              </w:rPr>
              <w:t>工作时间必须着保安制服，因私外出应着便服。</w:t>
            </w:r>
          </w:p>
          <w:p>
            <w:pPr>
              <w:keepNext w:val="0"/>
              <w:keepLines w:val="0"/>
              <w:suppressLineNumbers w:val="0"/>
              <w:spacing w:before="0" w:beforeAutospacing="0" w:after="0" w:afterAutospacing="0"/>
              <w:ind w:left="0" w:right="-50" w:rightChars="-24"/>
              <w:jc w:val="left"/>
              <w:rPr>
                <w:rFonts w:hint="default" w:ascii="宋体" w:hAnsi="宋体" w:cs="仿宋_GB2312"/>
                <w:sz w:val="24"/>
                <w:lang w:val="en-US" w:eastAsia="zh-CN"/>
              </w:rPr>
            </w:pPr>
            <w:r>
              <w:rPr>
                <w:rFonts w:hint="eastAsia" w:ascii="宋体" w:hAnsi="宋体" w:cs="仿宋_GB2312"/>
                <w:sz w:val="24"/>
                <w:lang w:val="en-US" w:eastAsia="zh-CN"/>
              </w:rPr>
              <w:t>2.</w:t>
            </w:r>
            <w:r>
              <w:rPr>
                <w:rFonts w:hint="default" w:ascii="宋体" w:hAnsi="宋体" w:cs="仿宋_GB2312"/>
                <w:sz w:val="24"/>
                <w:lang w:val="en-US" w:eastAsia="zh-CN"/>
              </w:rPr>
              <w:t>不准刁难群众</w:t>
            </w:r>
            <w:r>
              <w:rPr>
                <w:rFonts w:hint="eastAsia" w:ascii="宋体" w:hAnsi="宋体" w:cs="仿宋_GB2312"/>
                <w:sz w:val="24"/>
                <w:lang w:val="en-US" w:eastAsia="zh-CN"/>
              </w:rPr>
              <w:t>，</w:t>
            </w:r>
            <w:r>
              <w:rPr>
                <w:rFonts w:hint="default" w:ascii="宋体" w:hAnsi="宋体" w:cs="仿宋_GB2312"/>
                <w:sz w:val="24"/>
                <w:lang w:val="en-US" w:eastAsia="zh-CN"/>
              </w:rPr>
              <w:t>不准</w:t>
            </w:r>
            <w:r>
              <w:rPr>
                <w:rFonts w:hint="default" w:ascii="宋体" w:hAnsi="宋体" w:cs="仿宋_GB2312"/>
                <w:sz w:val="24"/>
                <w:lang w:val="en-US" w:eastAsia="zh-CN"/>
              </w:rPr>
              <w:fldChar w:fldCharType="begin"/>
            </w:r>
            <w:r>
              <w:rPr>
                <w:rFonts w:hint="default" w:ascii="宋体" w:hAnsi="宋体" w:cs="仿宋_GB2312"/>
                <w:sz w:val="24"/>
                <w:lang w:val="en-US" w:eastAsia="zh-CN"/>
              </w:rPr>
              <w:instrText xml:space="preserve"> HYPERLINK "https://baike.baidu.com/item/%E8%84%B1%E5%B2%97" \t "https://baike.baidu.com/item/%E4%BF%9D%E5%AE%89/_blank" </w:instrText>
            </w:r>
            <w:r>
              <w:rPr>
                <w:rFonts w:hint="default" w:ascii="宋体" w:hAnsi="宋体" w:cs="仿宋_GB2312"/>
                <w:sz w:val="24"/>
                <w:lang w:val="en-US" w:eastAsia="zh-CN"/>
              </w:rPr>
              <w:fldChar w:fldCharType="separate"/>
            </w:r>
            <w:r>
              <w:rPr>
                <w:rFonts w:hint="default" w:ascii="宋体" w:hAnsi="宋体" w:cs="仿宋_GB2312"/>
                <w:sz w:val="24"/>
                <w:lang w:eastAsia="zh-CN"/>
              </w:rPr>
              <w:t>脱岗</w:t>
            </w:r>
            <w:r>
              <w:rPr>
                <w:rFonts w:hint="default" w:ascii="宋体" w:hAnsi="宋体" w:cs="仿宋_GB2312"/>
                <w:sz w:val="24"/>
                <w:lang w:val="en-US" w:eastAsia="zh-CN"/>
              </w:rPr>
              <w:fldChar w:fldCharType="end"/>
            </w:r>
            <w:r>
              <w:rPr>
                <w:rFonts w:hint="default" w:ascii="宋体" w:hAnsi="宋体" w:cs="仿宋_GB2312"/>
                <w:sz w:val="24"/>
                <w:lang w:val="en-US" w:eastAsia="zh-CN"/>
              </w:rPr>
              <w:t>、空岗、睡岗，不准迟到、早退。</w:t>
            </w:r>
            <w:r>
              <w:rPr>
                <w:rFonts w:hint="eastAsia" w:ascii="宋体" w:hAnsi="宋体" w:cs="仿宋_GB2312"/>
                <w:sz w:val="24"/>
                <w:lang w:val="en-US" w:eastAsia="zh-CN"/>
              </w:rPr>
              <w:t>3.</w:t>
            </w:r>
            <w:r>
              <w:rPr>
                <w:rFonts w:hint="default" w:ascii="宋体" w:hAnsi="宋体" w:cs="仿宋_GB2312"/>
                <w:sz w:val="24"/>
                <w:lang w:val="en-US" w:eastAsia="zh-CN"/>
              </w:rPr>
              <w:t>遵守客户单位内部的各项规章制度，对客户单位内部机密，不准随意打听、记录、传播。</w:t>
            </w:r>
          </w:p>
          <w:p>
            <w:pPr>
              <w:keepNext w:val="0"/>
              <w:keepLines w:val="0"/>
              <w:suppressLineNumbers w:val="0"/>
              <w:spacing w:before="0" w:beforeAutospacing="0" w:after="0" w:afterAutospacing="0"/>
              <w:ind w:left="0" w:right="-50" w:rightChars="-24"/>
              <w:jc w:val="left"/>
              <w:rPr>
                <w:rFonts w:hint="default" w:ascii="宋体" w:hAnsi="宋体" w:cs="仿宋_GB2312"/>
                <w:sz w:val="24"/>
                <w:lang w:val="en-US" w:eastAsia="zh-CN"/>
              </w:rPr>
            </w:pPr>
            <w:r>
              <w:rPr>
                <w:rFonts w:hint="eastAsia" w:ascii="宋体" w:hAnsi="宋体" w:cs="仿宋_GB2312"/>
                <w:sz w:val="24"/>
                <w:lang w:val="en-US" w:eastAsia="zh-CN"/>
              </w:rPr>
              <w:t>4.</w:t>
            </w:r>
            <w:r>
              <w:rPr>
                <w:rFonts w:hint="eastAsia" w:ascii="Arial" w:hAnsi="Arial" w:eastAsia="宋体" w:cs="Arial"/>
                <w:i w:val="0"/>
                <w:caps w:val="0"/>
                <w:color w:val="333333"/>
                <w:spacing w:val="0"/>
                <w:sz w:val="21"/>
                <w:szCs w:val="21"/>
                <w:shd w:val="clear" w:color="auto" w:fill="FFFFFF"/>
              </w:rPr>
              <w:t>保安人员对客户单位出入口进行把守、验证、检查，保卫客户安全</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sz w:val="24"/>
              </w:rPr>
            </w:pPr>
          </w:p>
        </w:tc>
      </w:tr>
      <w:tr>
        <w:tblPrEx>
          <w:tblLayout w:type="fixed"/>
          <w:tblCellMar>
            <w:top w:w="0" w:type="dxa"/>
            <w:left w:w="108" w:type="dxa"/>
            <w:bottom w:w="0" w:type="dxa"/>
            <w:right w:w="108" w:type="dxa"/>
          </w:tblCellMar>
        </w:tblPrEx>
        <w:trPr>
          <w:trHeight w:val="2268" w:hRule="exac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left w:val="nil"/>
              <w:bottom w:val="single" w:color="auto" w:sz="4" w:space="0"/>
              <w:right w:val="single" w:color="auto" w:sz="4" w:space="0"/>
            </w:tcBorders>
            <w:noWrap w:val="0"/>
            <w:vAlign w:val="center"/>
          </w:tcPr>
          <w:p>
            <w:pPr>
              <w:keepNext/>
              <w:keepLines w:val="0"/>
              <w:suppressLineNumbers w:val="0"/>
              <w:spacing w:before="0" w:beforeAutospacing="0" w:after="0" w:afterAutospacing="0"/>
              <w:ind w:left="-56" w:leftChars="-27" w:right="-78" w:rightChars="-37"/>
              <w:jc w:val="center"/>
              <w:rPr>
                <w:rFonts w:hint="eastAsia"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50" w:rightChars="-24"/>
              <w:jc w:val="left"/>
              <w:rPr>
                <w:rFonts w:hint="eastAsia" w:ascii="宋体" w:hAnsi="宋体" w:cs="仿宋_GB2312"/>
                <w:b/>
                <w:bCs/>
                <w:sz w:val="24"/>
                <w:lang w:eastAsia="zh-CN"/>
              </w:rPr>
            </w:pPr>
            <w:r>
              <w:rPr>
                <w:rFonts w:hint="eastAsia" w:ascii="宋体" w:hAnsi="宋体" w:cs="仿宋_GB2312"/>
                <w:b/>
                <w:bCs/>
                <w:sz w:val="24"/>
                <w:lang w:eastAsia="zh-CN"/>
              </w:rPr>
              <w:t>巡逻服务标准：</w:t>
            </w:r>
          </w:p>
          <w:p>
            <w:pPr>
              <w:keepNext w:val="0"/>
              <w:keepLines w:val="0"/>
              <w:suppressLineNumbers w:val="0"/>
              <w:spacing w:before="0" w:beforeAutospacing="0" w:after="0" w:afterAutospacing="0"/>
              <w:ind w:left="0" w:right="-50" w:rightChars="-24"/>
              <w:jc w:val="left"/>
              <w:rPr>
                <w:rFonts w:hint="eastAsia" w:ascii="宋体" w:hAnsi="宋体" w:cs="仿宋_GB2312"/>
                <w:sz w:val="24"/>
                <w:lang w:val="en-US" w:eastAsia="zh-CN"/>
              </w:rPr>
            </w:pPr>
            <w:r>
              <w:rPr>
                <w:rFonts w:hint="eastAsia" w:ascii="宋体" w:hAnsi="宋体" w:cs="仿宋_GB2312"/>
                <w:sz w:val="24"/>
                <w:lang w:val="en-US" w:eastAsia="zh-CN"/>
              </w:rPr>
              <w:t>1.保安人员对特定区域、地段和目标进行的巡查、警戒，保卫客户安全。</w:t>
            </w:r>
          </w:p>
          <w:p>
            <w:pPr>
              <w:keepNext w:val="0"/>
              <w:keepLines w:val="0"/>
              <w:suppressLineNumbers w:val="0"/>
              <w:spacing w:before="0" w:beforeAutospacing="0" w:after="0" w:afterAutospacing="0"/>
              <w:ind w:left="0" w:right="-50" w:rightChars="-24"/>
              <w:jc w:val="left"/>
              <w:rPr>
                <w:rFonts w:hint="default" w:ascii="宋体" w:hAnsi="宋体" w:cs="仿宋_GB2312"/>
                <w:sz w:val="24"/>
                <w:lang w:val="en-US" w:eastAsia="zh-CN"/>
              </w:rPr>
            </w:pPr>
            <w:r>
              <w:rPr>
                <w:rFonts w:hint="eastAsia" w:ascii="宋体" w:hAnsi="宋体" w:cs="仿宋_GB2312"/>
                <w:sz w:val="24"/>
                <w:lang w:val="en-US" w:eastAsia="zh-CN"/>
              </w:rPr>
              <w:t>2.检查、发现、报告并及时消除各种不安全</w:t>
            </w:r>
            <w:r>
              <w:rPr>
                <w:rFonts w:hint="default" w:ascii="宋体" w:hAnsi="宋体" w:cs="仿宋_GB2312"/>
                <w:sz w:val="24"/>
                <w:lang w:val="en-US" w:eastAsia="zh-CN"/>
              </w:rPr>
              <w:fldChar w:fldCharType="begin"/>
            </w:r>
            <w:r>
              <w:rPr>
                <w:rFonts w:hint="default" w:ascii="宋体" w:hAnsi="宋体" w:cs="仿宋_GB2312"/>
                <w:sz w:val="24"/>
                <w:lang w:val="en-US" w:eastAsia="zh-CN"/>
              </w:rPr>
              <w:instrText xml:space="preserve"> HYPERLINK "https://baike.baidu.com/item/%E9%9A%90%E6%82%A3" \t "https://baike.baidu.com/item/%E4%BF%9D%E5%AE%89/_blank" </w:instrText>
            </w:r>
            <w:r>
              <w:rPr>
                <w:rFonts w:hint="default" w:ascii="宋体" w:hAnsi="宋体" w:cs="仿宋_GB2312"/>
                <w:sz w:val="24"/>
                <w:lang w:val="en-US" w:eastAsia="zh-CN"/>
              </w:rPr>
              <w:fldChar w:fldCharType="separate"/>
            </w:r>
            <w:r>
              <w:rPr>
                <w:rFonts w:hint="default" w:ascii="宋体" w:hAnsi="宋体" w:cs="仿宋_GB2312"/>
                <w:sz w:val="24"/>
                <w:lang w:val="en-US" w:eastAsia="zh-CN"/>
              </w:rPr>
              <w:t>隐患</w:t>
            </w:r>
            <w:r>
              <w:rPr>
                <w:rFonts w:hint="default" w:ascii="宋体" w:hAnsi="宋体" w:cs="仿宋_GB2312"/>
                <w:sz w:val="24"/>
                <w:lang w:val="en-US" w:eastAsia="zh-CN"/>
              </w:rPr>
              <w:fldChar w:fldCharType="end"/>
            </w:r>
            <w:r>
              <w:rPr>
                <w:rFonts w:hint="default" w:ascii="宋体" w:hAnsi="宋体" w:cs="仿宋_GB2312"/>
                <w:sz w:val="24"/>
                <w:lang w:val="en-US" w:eastAsia="zh-CN"/>
              </w:rPr>
              <w:t>，防止火灾、爆炸等事故或</w:t>
            </w:r>
            <w:r>
              <w:rPr>
                <w:rFonts w:hint="default" w:ascii="宋体" w:hAnsi="宋体" w:cs="仿宋_GB2312"/>
                <w:sz w:val="24"/>
                <w:lang w:val="en-US" w:eastAsia="zh-CN"/>
              </w:rPr>
              <w:fldChar w:fldCharType="begin"/>
            </w:r>
            <w:r>
              <w:rPr>
                <w:rFonts w:hint="default" w:ascii="宋体" w:hAnsi="宋体" w:cs="仿宋_GB2312"/>
                <w:sz w:val="24"/>
                <w:lang w:val="en-US" w:eastAsia="zh-CN"/>
              </w:rPr>
              <w:instrText xml:space="preserve"> HYPERLINK "https://baike.baidu.com/item/%E6%8A%A2%E5%8A%AB" \t "https://baike.baidu.com/item/%E4%BF%9D%E5%AE%89/_blank" </w:instrText>
            </w:r>
            <w:r>
              <w:rPr>
                <w:rFonts w:hint="default" w:ascii="宋体" w:hAnsi="宋体" w:cs="仿宋_GB2312"/>
                <w:sz w:val="24"/>
                <w:lang w:val="en-US" w:eastAsia="zh-CN"/>
              </w:rPr>
              <w:fldChar w:fldCharType="separate"/>
            </w:r>
            <w:r>
              <w:rPr>
                <w:rFonts w:hint="default" w:ascii="宋体" w:hAnsi="宋体" w:cs="仿宋_GB2312"/>
                <w:sz w:val="24"/>
                <w:lang w:val="en-US" w:eastAsia="zh-CN"/>
              </w:rPr>
              <w:t>抢劫</w:t>
            </w:r>
            <w:r>
              <w:rPr>
                <w:rFonts w:hint="default" w:ascii="宋体" w:hAnsi="宋体" w:cs="仿宋_GB2312"/>
                <w:sz w:val="24"/>
                <w:lang w:val="en-US" w:eastAsia="zh-CN"/>
              </w:rPr>
              <w:fldChar w:fldCharType="end"/>
            </w:r>
            <w:r>
              <w:rPr>
                <w:rFonts w:hint="default" w:ascii="宋体" w:hAnsi="宋体" w:cs="仿宋_GB2312"/>
                <w:sz w:val="24"/>
                <w:lang w:val="en-US" w:eastAsia="zh-CN"/>
              </w:rPr>
              <w:t>盗窃等不法侵害案件的发生。</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lang w:val="en-US" w:eastAsia="zh-CN"/>
              </w:rPr>
              <w:t>3.在巡逻过程中，对已经发生的不法侵害案件或灾害事故，应及时报告公安机关或有关部门并保护现场。</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sz w:val="24"/>
              </w:rPr>
            </w:pPr>
          </w:p>
        </w:tc>
      </w:tr>
      <w:tr>
        <w:tblPrEx>
          <w:tblLayout w:type="fixed"/>
          <w:tblCellMar>
            <w:top w:w="0" w:type="dxa"/>
            <w:left w:w="108" w:type="dxa"/>
            <w:bottom w:w="0" w:type="dxa"/>
            <w:right w:w="108" w:type="dxa"/>
          </w:tblCellMar>
        </w:tblPrEx>
        <w:trPr>
          <w:trHeight w:val="362" w:hRule="atLeast"/>
        </w:trPr>
        <w:tc>
          <w:tcPr>
            <w:tcW w:w="851" w:type="dxa"/>
            <w:tcBorders>
              <w:top w:val="single" w:color="auto" w:sz="4" w:space="0"/>
              <w:left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restart"/>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ind w:left="-56" w:leftChars="-27" w:right="-78" w:rightChars="-37"/>
              <w:jc w:val="center"/>
              <w:rPr>
                <w:rFonts w:hint="default" w:ascii="宋体" w:hAnsi="宋体"/>
                <w:sz w:val="24"/>
              </w:rPr>
            </w:pPr>
            <w:r>
              <w:rPr>
                <w:rFonts w:hint="eastAsia" w:ascii="宋体" w:hAnsi="宋体"/>
                <w:sz w:val="24"/>
              </w:rPr>
              <w:t>人员任职要求</w:t>
            </w:r>
          </w:p>
        </w:tc>
        <w:tc>
          <w:tcPr>
            <w:tcW w:w="6662" w:type="dxa"/>
            <w:tcBorders>
              <w:top w:val="single" w:color="auto" w:sz="4" w:space="0"/>
              <w:left w:val="nil"/>
              <w:right w:val="single" w:color="auto" w:sz="4" w:space="0"/>
            </w:tcBorders>
            <w:noWrap w:val="0"/>
            <w:vAlign w:val="center"/>
          </w:tcPr>
          <w:p>
            <w:pPr>
              <w:keepNext w:val="0"/>
              <w:keepLines w:val="0"/>
              <w:suppressLineNumbers w:val="0"/>
              <w:spacing w:before="0" w:beforeAutospacing="0" w:after="0" w:afterAutospacing="0"/>
              <w:ind w:left="0" w:right="-50" w:rightChars="-24"/>
              <w:jc w:val="left"/>
              <w:rPr>
                <w:rFonts w:hint="default" w:ascii="宋体" w:hAnsi="宋体" w:cs="仿宋_GB2312"/>
                <w:sz w:val="24"/>
              </w:rPr>
            </w:pPr>
            <w:r>
              <w:rPr>
                <w:rFonts w:hint="eastAsia" w:ascii="宋体" w:hAnsi="宋体" w:cs="仿宋_GB2312"/>
                <w:sz w:val="24"/>
              </w:rPr>
              <w:t>会务方面：年龄不得超过35岁</w:t>
            </w:r>
          </w:p>
        </w:tc>
        <w:tc>
          <w:tcPr>
            <w:tcW w:w="744" w:type="dxa"/>
            <w:tcBorders>
              <w:top w:val="single" w:color="auto" w:sz="4" w:space="0"/>
              <w:left w:val="nil"/>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sz w:val="24"/>
              </w:rPr>
            </w:pPr>
          </w:p>
        </w:tc>
      </w:tr>
      <w:tr>
        <w:tblPrEx>
          <w:tblLayout w:type="fixed"/>
          <w:tblCellMar>
            <w:top w:w="0" w:type="dxa"/>
            <w:left w:w="108" w:type="dxa"/>
            <w:bottom w:w="0" w:type="dxa"/>
            <w:right w:w="108" w:type="dxa"/>
          </w:tblCellMar>
        </w:tblPrEx>
        <w:trPr>
          <w:trHeight w:val="32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50" w:rightChars="-24"/>
              <w:jc w:val="left"/>
              <w:rPr>
                <w:rFonts w:hint="default" w:ascii="宋体" w:hAnsi="宋体" w:cs="仿宋_GB2312"/>
                <w:sz w:val="24"/>
              </w:rPr>
            </w:pPr>
            <w:r>
              <w:rPr>
                <w:rFonts w:hint="eastAsia" w:ascii="宋体" w:hAnsi="宋体" w:cs="仿宋_GB2312"/>
                <w:sz w:val="24"/>
              </w:rPr>
              <w:t>保洁方面：年龄不得超过50岁</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sz w:val="24"/>
              </w:rPr>
            </w:pPr>
          </w:p>
        </w:tc>
      </w:tr>
      <w:tr>
        <w:tblPrEx>
          <w:tblLayout w:type="fixed"/>
          <w:tblCellMar>
            <w:top w:w="0" w:type="dxa"/>
            <w:left w:w="108" w:type="dxa"/>
            <w:bottom w:w="0" w:type="dxa"/>
            <w:right w:w="108" w:type="dxa"/>
          </w:tblCellMar>
        </w:tblPrEx>
        <w:trPr>
          <w:trHeight w:val="32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50" w:rightChars="-24"/>
              <w:jc w:val="left"/>
              <w:rPr>
                <w:rFonts w:hint="default" w:ascii="宋体" w:hAnsi="宋体" w:cs="仿宋_GB2312"/>
                <w:sz w:val="24"/>
              </w:rPr>
            </w:pPr>
            <w:r>
              <w:rPr>
                <w:rFonts w:hint="eastAsia" w:ascii="宋体" w:hAnsi="宋体" w:cs="仿宋_GB2312"/>
                <w:sz w:val="24"/>
              </w:rPr>
              <w:t>服务人员必须着统一服装上岗</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sz w:val="24"/>
              </w:rPr>
            </w:pPr>
          </w:p>
        </w:tc>
      </w:tr>
      <w:tr>
        <w:tblPrEx>
          <w:tblLayout w:type="fixed"/>
          <w:tblCellMar>
            <w:top w:w="0" w:type="dxa"/>
            <w:left w:w="108" w:type="dxa"/>
            <w:bottom w:w="0" w:type="dxa"/>
            <w:right w:w="108" w:type="dxa"/>
          </w:tblCellMar>
        </w:tblPrEx>
        <w:trPr>
          <w:trHeight w:val="32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50" w:rightChars="-24"/>
              <w:jc w:val="left"/>
              <w:rPr>
                <w:rFonts w:hint="default" w:ascii="宋体" w:hAnsi="宋体" w:cs="仿宋_GB2312"/>
                <w:sz w:val="24"/>
              </w:rPr>
            </w:pPr>
            <w:r>
              <w:rPr>
                <w:rFonts w:hint="eastAsia" w:ascii="宋体" w:hAnsi="宋体" w:cs="仿宋_GB2312"/>
                <w:sz w:val="24"/>
              </w:rPr>
              <w:t>项目服务人员总人数要求不少于</w:t>
            </w:r>
            <w:r>
              <w:rPr>
                <w:rFonts w:hint="eastAsia" w:ascii="宋体" w:hAnsi="宋体" w:cs="仿宋_GB2312"/>
                <w:sz w:val="24"/>
                <w:lang w:val="en-US" w:eastAsia="zh-CN"/>
              </w:rPr>
              <w:t>14</w:t>
            </w:r>
            <w:r>
              <w:rPr>
                <w:rFonts w:hint="eastAsia" w:ascii="宋体" w:hAnsi="宋体" w:cs="仿宋_GB2312"/>
                <w:sz w:val="24"/>
              </w:rPr>
              <w:t>人，其中：</w:t>
            </w:r>
          </w:p>
          <w:p>
            <w:pPr>
              <w:keepNext w:val="0"/>
              <w:keepLines w:val="0"/>
              <w:suppressLineNumbers w:val="0"/>
              <w:spacing w:before="0" w:beforeAutospacing="0" w:after="0" w:afterAutospacing="0"/>
              <w:ind w:left="0" w:right="-50" w:rightChars="-24"/>
              <w:jc w:val="left"/>
              <w:rPr>
                <w:rFonts w:hint="eastAsia" w:ascii="宋体" w:hAnsi="宋体" w:cs="仿宋_GB2312"/>
                <w:sz w:val="24"/>
              </w:rPr>
            </w:pPr>
            <w:r>
              <w:rPr>
                <w:rFonts w:hint="eastAsia" w:ascii="宋体" w:hAnsi="宋体" w:cs="仿宋_GB2312"/>
                <w:sz w:val="24"/>
              </w:rPr>
              <w:t>1.会务人员不少于1人；</w:t>
            </w:r>
          </w:p>
          <w:p>
            <w:pPr>
              <w:keepNext w:val="0"/>
              <w:keepLines w:val="0"/>
              <w:suppressLineNumbers w:val="0"/>
              <w:spacing w:before="0" w:beforeAutospacing="0" w:after="0" w:afterAutospacing="0"/>
              <w:ind w:left="240" w:right="-50" w:rightChars="-24" w:hanging="241" w:hangingChars="100"/>
              <w:jc w:val="left"/>
              <w:rPr>
                <w:rFonts w:hint="eastAsia" w:ascii="宋体" w:hAnsi="宋体" w:cs="仿宋_GB2312"/>
                <w:sz w:val="24"/>
              </w:rPr>
            </w:pPr>
            <w:r>
              <w:rPr>
                <w:rFonts w:hint="eastAsia" w:ascii="宋体" w:hAnsi="宋体" w:cs="仿宋_GB2312"/>
                <w:sz w:val="24"/>
              </w:rPr>
              <w:t>2.环境保洁人员不少于6人；</w:t>
            </w:r>
          </w:p>
          <w:p>
            <w:pPr>
              <w:keepNext w:val="0"/>
              <w:keepLines w:val="0"/>
              <w:suppressLineNumbers w:val="0"/>
              <w:spacing w:before="0" w:beforeAutospacing="0" w:after="0" w:afterAutospacing="0"/>
              <w:ind w:left="240" w:right="-50" w:rightChars="-24" w:hanging="241" w:hangingChars="100"/>
              <w:jc w:val="left"/>
              <w:rPr>
                <w:rFonts w:hint="eastAsia" w:ascii="宋体" w:hAnsi="宋体" w:cs="仿宋_GB2312"/>
                <w:sz w:val="24"/>
              </w:rPr>
            </w:pPr>
            <w:r>
              <w:rPr>
                <w:rFonts w:hint="eastAsia" w:ascii="宋体" w:hAnsi="宋体" w:cs="仿宋_GB2312"/>
                <w:sz w:val="24"/>
              </w:rPr>
              <w:t>3.</w:t>
            </w:r>
            <w:r>
              <w:rPr>
                <w:rFonts w:hint="eastAsia" w:ascii="宋体" w:hAnsi="宋体" w:cs="仿宋_GB2312"/>
                <w:sz w:val="24"/>
                <w:lang w:val="en-US" w:eastAsia="zh-CN"/>
              </w:rPr>
              <w:t>保安人数6人</w:t>
            </w:r>
            <w:r>
              <w:rPr>
                <w:rFonts w:hint="eastAsia" w:ascii="宋体" w:hAnsi="宋体" w:cs="仿宋_GB2312"/>
                <w:sz w:val="24"/>
              </w:rPr>
              <w:t>。</w:t>
            </w:r>
          </w:p>
          <w:p>
            <w:pPr>
              <w:keepNext w:val="0"/>
              <w:keepLines w:val="0"/>
              <w:suppressLineNumbers w:val="0"/>
              <w:spacing w:before="0" w:beforeAutospacing="0" w:after="0" w:afterAutospacing="0"/>
              <w:ind w:left="240" w:right="-50" w:rightChars="-24" w:hanging="241" w:hangingChars="100"/>
              <w:jc w:val="left"/>
              <w:rPr>
                <w:rFonts w:hint="eastAsia" w:ascii="宋体" w:hAnsi="宋体" w:eastAsia="宋体" w:cs="仿宋_GB2312"/>
                <w:sz w:val="24"/>
                <w:lang w:val="en-US" w:eastAsia="zh-CN"/>
              </w:rPr>
            </w:pPr>
            <w:r>
              <w:rPr>
                <w:rFonts w:hint="eastAsia" w:ascii="宋体" w:hAnsi="宋体" w:cs="仿宋_GB2312"/>
                <w:sz w:val="24"/>
                <w:lang w:val="en-US" w:eastAsia="zh-CN"/>
              </w:rPr>
              <w:t>4.</w:t>
            </w:r>
            <w:r>
              <w:rPr>
                <w:rFonts w:hint="eastAsia" w:ascii="宋体" w:hAnsi="宋体" w:cs="仿宋_GB2312"/>
                <w:sz w:val="24"/>
              </w:rPr>
              <w:t>其他人员1人</w:t>
            </w:r>
            <w:r>
              <w:rPr>
                <w:rFonts w:hint="eastAsia" w:ascii="宋体" w:hAnsi="宋体" w:cs="仿宋_GB2312"/>
                <w:sz w:val="24"/>
                <w:lang w:val="en-US" w:eastAsia="zh-CN"/>
              </w:rPr>
              <w:t>。</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sz w:val="24"/>
              </w:rPr>
            </w:pPr>
            <w:r>
              <w:rPr>
                <w:rFonts w:hint="eastAsia" w:ascii="宋体" w:hAnsi="宋体"/>
                <w:b/>
                <w:bCs/>
                <w:sz w:val="24"/>
              </w:rPr>
              <w:t>※</w:t>
            </w:r>
          </w:p>
        </w:tc>
      </w:tr>
      <w:tr>
        <w:tblPrEx>
          <w:tblLayout w:type="fixed"/>
          <w:tblCellMar>
            <w:top w:w="0" w:type="dxa"/>
            <w:left w:w="108" w:type="dxa"/>
            <w:bottom w:w="0" w:type="dxa"/>
            <w:right w:w="108" w:type="dxa"/>
          </w:tblCellMar>
        </w:tblPrEx>
        <w:trPr>
          <w:trHeight w:val="32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50" w:rightChars="-24"/>
              <w:jc w:val="left"/>
              <w:rPr>
                <w:rFonts w:hint="default" w:ascii="宋体" w:hAnsi="宋体" w:cs="仿宋_GB2312"/>
                <w:sz w:val="24"/>
              </w:rPr>
            </w:pPr>
            <w:r>
              <w:rPr>
                <w:rFonts w:hint="eastAsia" w:ascii="宋体" w:hAnsi="宋体" w:cs="仿宋_GB2312"/>
                <w:sz w:val="24"/>
              </w:rPr>
              <w:t>采购人将不定期对中标人项目服务人员到岗情况进行抽查，如发现缺岗由招标方根据用工费用明细表中所列对应薪资福利项目、标准从物业管理费中扣减。</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sz w:val="24"/>
              </w:rPr>
            </w:pPr>
          </w:p>
        </w:tc>
      </w:tr>
      <w:tr>
        <w:tblPrEx>
          <w:tblLayout w:type="fixed"/>
          <w:tblCellMar>
            <w:top w:w="0" w:type="dxa"/>
            <w:left w:w="108" w:type="dxa"/>
            <w:bottom w:w="0" w:type="dxa"/>
            <w:right w:w="108" w:type="dxa"/>
          </w:tblCellMar>
        </w:tblPrEx>
        <w:trPr>
          <w:trHeight w:val="32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50" w:rightChars="-24"/>
              <w:jc w:val="left"/>
              <w:rPr>
                <w:rFonts w:hint="default" w:ascii="宋体" w:hAnsi="宋体" w:cs="仿宋_GB2312"/>
                <w:sz w:val="24"/>
              </w:rPr>
            </w:pPr>
            <w:r>
              <w:rPr>
                <w:rFonts w:hint="eastAsia" w:ascii="宋体" w:hAnsi="宋体" w:cs="仿宋_GB2312"/>
                <w:sz w:val="24"/>
              </w:rPr>
              <w:t>中标人须对项目服务人员进行日常考勤和业绩考核，需有相应的考勤考核文件台帐备采购人查阅。采购人将对项目服务人员进行同步的日常考勤和业绩考核，对于发现未按要求作息、未遵守工作纪律、未达工作标准的情况对中标物业公司进行相应的惩处、罚款。</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sz w:val="24"/>
              </w:rPr>
            </w:pPr>
          </w:p>
        </w:tc>
      </w:tr>
      <w:tr>
        <w:tblPrEx>
          <w:tblLayout w:type="fixed"/>
          <w:tblCellMar>
            <w:top w:w="0" w:type="dxa"/>
            <w:left w:w="108" w:type="dxa"/>
            <w:bottom w:w="0" w:type="dxa"/>
            <w:right w:w="108" w:type="dxa"/>
          </w:tblCellMar>
        </w:tblPrEx>
        <w:trPr>
          <w:trHeight w:val="32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restart"/>
            <w:tcBorders>
              <w:top w:val="nil"/>
              <w:left w:val="nil"/>
              <w:bottom w:val="single" w:color="auto" w:sz="4" w:space="0"/>
              <w:right w:val="single" w:color="auto" w:sz="4" w:space="0"/>
            </w:tcBorders>
            <w:noWrap w:val="0"/>
            <w:vAlign w:val="center"/>
          </w:tcPr>
          <w:p>
            <w:pPr>
              <w:keepNext/>
              <w:keepLines w:val="0"/>
              <w:suppressLineNumbers w:val="0"/>
              <w:spacing w:before="0" w:beforeAutospacing="0" w:after="0" w:afterAutospacing="0"/>
              <w:ind w:left="-56" w:leftChars="-27" w:right="-78" w:rightChars="-37"/>
              <w:jc w:val="center"/>
              <w:rPr>
                <w:rFonts w:hint="default" w:ascii="宋体" w:hAnsi="宋体"/>
                <w:sz w:val="24"/>
              </w:rPr>
            </w:pPr>
            <w:r>
              <w:rPr>
                <w:rFonts w:hint="eastAsia" w:ascii="宋体" w:hAnsi="宋体"/>
                <w:sz w:val="24"/>
              </w:rPr>
              <w:t>其他要求</w:t>
            </w:r>
          </w:p>
        </w:tc>
        <w:tc>
          <w:tcPr>
            <w:tcW w:w="666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50" w:rightChars="-24"/>
              <w:jc w:val="left"/>
              <w:rPr>
                <w:rFonts w:hint="default" w:ascii="宋体" w:hAnsi="宋体" w:cs="仿宋_GB2312"/>
                <w:sz w:val="24"/>
              </w:rPr>
            </w:pPr>
            <w:r>
              <w:rPr>
                <w:rFonts w:hint="eastAsia" w:ascii="宋体" w:hAnsi="宋体" w:cs="仿宋_GB2312"/>
                <w:sz w:val="24"/>
              </w:rPr>
              <w:t>工程维修服务从开始维修到修缮完毕不得超过24小时。</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sz w:val="24"/>
              </w:rPr>
            </w:pPr>
          </w:p>
        </w:tc>
      </w:tr>
      <w:tr>
        <w:tblPrEx>
          <w:tblLayout w:type="fixed"/>
          <w:tblCellMar>
            <w:top w:w="0" w:type="dxa"/>
            <w:left w:w="108" w:type="dxa"/>
            <w:bottom w:w="0" w:type="dxa"/>
            <w:right w:w="108" w:type="dxa"/>
          </w:tblCellMar>
        </w:tblPrEx>
        <w:trPr>
          <w:trHeight w:val="32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50" w:rightChars="-24"/>
              <w:jc w:val="left"/>
              <w:rPr>
                <w:rFonts w:hint="default" w:ascii="宋体" w:hAnsi="宋体" w:cs="仿宋_GB2312"/>
                <w:sz w:val="24"/>
              </w:rPr>
            </w:pPr>
            <w:r>
              <w:rPr>
                <w:rFonts w:hint="eastAsia" w:ascii="宋体" w:hAnsi="宋体" w:cs="仿宋_GB2312"/>
                <w:sz w:val="24"/>
              </w:rPr>
              <w:t>必须提供物业管理质量要求和相应措施的说明。</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sz w:val="24"/>
              </w:rPr>
            </w:pPr>
          </w:p>
        </w:tc>
      </w:tr>
      <w:tr>
        <w:tblPrEx>
          <w:tblLayout w:type="fixed"/>
          <w:tblCellMar>
            <w:top w:w="0" w:type="dxa"/>
            <w:left w:w="108" w:type="dxa"/>
            <w:bottom w:w="0" w:type="dxa"/>
            <w:right w:w="108" w:type="dxa"/>
          </w:tblCellMar>
        </w:tblPrEx>
        <w:trPr>
          <w:trHeight w:val="32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50" w:rightChars="-24"/>
              <w:jc w:val="left"/>
              <w:rPr>
                <w:rFonts w:hint="default" w:ascii="宋体" w:hAnsi="宋体" w:cs="仿宋_GB2312"/>
                <w:sz w:val="24"/>
              </w:rPr>
            </w:pPr>
            <w:r>
              <w:rPr>
                <w:rFonts w:hint="eastAsia" w:ascii="宋体" w:hAnsi="宋体" w:cs="仿宋_GB2312"/>
                <w:sz w:val="24"/>
              </w:rPr>
              <w:t>投标人可针对采购人的特点提出合理、可行的特约服务条款。</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sz w:val="24"/>
              </w:rPr>
            </w:pPr>
          </w:p>
        </w:tc>
      </w:tr>
      <w:tr>
        <w:tblPrEx>
          <w:tblLayout w:type="fixed"/>
          <w:tblCellMar>
            <w:top w:w="0" w:type="dxa"/>
            <w:left w:w="108" w:type="dxa"/>
            <w:bottom w:w="0" w:type="dxa"/>
            <w:right w:w="108" w:type="dxa"/>
          </w:tblCellMar>
        </w:tblPrEx>
        <w:trPr>
          <w:trHeight w:val="32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50" w:rightChars="-24"/>
              <w:jc w:val="left"/>
              <w:rPr>
                <w:rFonts w:hint="default" w:ascii="宋体" w:hAnsi="宋体" w:cs="仿宋_GB2312"/>
                <w:sz w:val="24"/>
              </w:rPr>
            </w:pPr>
            <w:r>
              <w:rPr>
                <w:rFonts w:hint="eastAsia" w:ascii="宋体" w:hAnsi="宋体" w:cs="仿宋_GB2312"/>
                <w:sz w:val="24"/>
              </w:rPr>
              <w:t>大楼、设备及各项物业管理档案资料是物业管理的重要资源，档案资料要保证完整，各项运行记录、故障记录、统计分析等都应纳入档案管理，以便应用于指导实际工作。合同期满后，应将物业管理的全部档案资料无条件移交委托人。</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sz w:val="24"/>
              </w:rPr>
            </w:pPr>
          </w:p>
        </w:tc>
      </w:tr>
      <w:tr>
        <w:tblPrEx>
          <w:tblLayout w:type="fixed"/>
          <w:tblCellMar>
            <w:top w:w="0" w:type="dxa"/>
            <w:left w:w="108" w:type="dxa"/>
            <w:bottom w:w="0" w:type="dxa"/>
            <w:right w:w="108" w:type="dxa"/>
          </w:tblCellMar>
        </w:tblPrEx>
        <w:trPr>
          <w:trHeight w:val="32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50" w:rightChars="-24"/>
              <w:jc w:val="left"/>
              <w:rPr>
                <w:rFonts w:hint="default" w:ascii="宋体" w:hAnsi="宋体" w:cs="仿宋_GB2312"/>
                <w:sz w:val="24"/>
              </w:rPr>
            </w:pPr>
            <w:r>
              <w:rPr>
                <w:rFonts w:hint="eastAsia" w:ascii="宋体" w:hAnsi="宋体" w:cs="仿宋_GB2312"/>
                <w:sz w:val="24"/>
              </w:rPr>
              <w:t>招标文件描述未尽内容，由双方在签订合同时补充完善。</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sz w:val="24"/>
              </w:rPr>
            </w:pPr>
          </w:p>
        </w:tc>
      </w:tr>
      <w:tr>
        <w:tblPrEx>
          <w:tblLayout w:type="fixed"/>
          <w:tblCellMar>
            <w:top w:w="0" w:type="dxa"/>
            <w:left w:w="108" w:type="dxa"/>
            <w:bottom w:w="0" w:type="dxa"/>
            <w:right w:w="108" w:type="dxa"/>
          </w:tblCellMar>
        </w:tblPrEx>
        <w:trPr>
          <w:trHeight w:val="32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restart"/>
            <w:tcBorders>
              <w:top w:val="nil"/>
              <w:left w:val="nil"/>
              <w:bottom w:val="single" w:color="auto" w:sz="4" w:space="0"/>
              <w:right w:val="single" w:color="auto" w:sz="4" w:space="0"/>
            </w:tcBorders>
            <w:noWrap w:val="0"/>
            <w:vAlign w:val="center"/>
          </w:tcPr>
          <w:p>
            <w:pPr>
              <w:keepNext/>
              <w:keepLines w:val="0"/>
              <w:suppressLineNumbers w:val="0"/>
              <w:spacing w:before="0" w:beforeAutospacing="0" w:after="0" w:afterAutospacing="0"/>
              <w:ind w:left="-56" w:leftChars="-27" w:right="-78" w:rightChars="-37"/>
              <w:jc w:val="center"/>
              <w:rPr>
                <w:rFonts w:hint="default" w:ascii="宋体" w:hAnsi="宋体"/>
                <w:sz w:val="24"/>
              </w:rPr>
            </w:pPr>
            <w:r>
              <w:rPr>
                <w:rFonts w:hint="eastAsia" w:ascii="宋体" w:hAnsi="宋体"/>
                <w:sz w:val="24"/>
              </w:rPr>
              <w:t>物业管理总体要求</w:t>
            </w:r>
          </w:p>
        </w:tc>
        <w:tc>
          <w:tcPr>
            <w:tcW w:w="666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50" w:rightChars="-24"/>
              <w:jc w:val="left"/>
              <w:rPr>
                <w:rFonts w:hint="default" w:ascii="宋体" w:hAnsi="宋体" w:cs="仿宋_GB2312"/>
                <w:sz w:val="24"/>
              </w:rPr>
            </w:pPr>
            <w:r>
              <w:rPr>
                <w:rFonts w:hint="eastAsia" w:ascii="宋体" w:hAnsi="宋体" w:cs="仿宋_GB2312"/>
                <w:sz w:val="24"/>
              </w:rPr>
              <w:t>中标人根据有关物业管理法规与阳新县人民法院签订物业服务合同。</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sz w:val="24"/>
              </w:rPr>
            </w:pPr>
          </w:p>
        </w:tc>
      </w:tr>
      <w:tr>
        <w:tblPrEx>
          <w:tblLayout w:type="fixed"/>
          <w:tblCellMar>
            <w:top w:w="0" w:type="dxa"/>
            <w:left w:w="108" w:type="dxa"/>
            <w:bottom w:w="0" w:type="dxa"/>
            <w:right w:w="108" w:type="dxa"/>
          </w:tblCellMar>
        </w:tblPrEx>
        <w:trPr>
          <w:trHeight w:val="32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50" w:rightChars="-24"/>
              <w:jc w:val="left"/>
              <w:rPr>
                <w:rFonts w:hint="default" w:ascii="宋体" w:hAnsi="宋体" w:cs="仿宋_GB2312"/>
                <w:sz w:val="24"/>
              </w:rPr>
            </w:pPr>
            <w:r>
              <w:rPr>
                <w:rFonts w:hint="eastAsia" w:ascii="宋体" w:hAnsi="宋体" w:cs="仿宋_GB2312"/>
                <w:sz w:val="24"/>
              </w:rPr>
              <w:t>中标人物业管理服务标准按照国家物业管理相关标准执行，要求达到招标文件、物业服务合同的有关约定要求。并以此作为物业公司续约条件之一。</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sz w:val="24"/>
              </w:rPr>
            </w:pPr>
          </w:p>
        </w:tc>
      </w:tr>
      <w:tr>
        <w:tblPrEx>
          <w:tblLayout w:type="fixed"/>
          <w:tblCellMar>
            <w:top w:w="0" w:type="dxa"/>
            <w:left w:w="108" w:type="dxa"/>
            <w:bottom w:w="0" w:type="dxa"/>
            <w:right w:w="108" w:type="dxa"/>
          </w:tblCellMar>
        </w:tblPrEx>
        <w:trPr>
          <w:trHeight w:val="32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50" w:rightChars="-24"/>
              <w:jc w:val="left"/>
              <w:rPr>
                <w:rFonts w:hint="default" w:ascii="宋体" w:hAnsi="宋体" w:cs="仿宋_GB2312"/>
                <w:sz w:val="24"/>
              </w:rPr>
            </w:pPr>
            <w:r>
              <w:rPr>
                <w:rFonts w:hint="eastAsia" w:ascii="宋体" w:hAnsi="宋体" w:cs="仿宋_GB2312"/>
                <w:sz w:val="24"/>
              </w:rPr>
              <w:t>如果中标人没有履行合同中规定的物业管理服务承诺，经整改后仍未达到；或严重偏离招标文件的条款造成采购人的损失或负面影响较坏；或不按合同规定的人数及人员布局到位到岗的，阳新县人民法院有权提前终止合同，如因中标人的错误对阳新县人民法院造成损失的还应对此作出赔偿。</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sz w:val="24"/>
              </w:rPr>
            </w:pPr>
          </w:p>
        </w:tc>
      </w:tr>
      <w:tr>
        <w:tblPrEx>
          <w:tblLayout w:type="fixed"/>
          <w:tblCellMar>
            <w:top w:w="0" w:type="dxa"/>
            <w:left w:w="108" w:type="dxa"/>
            <w:bottom w:w="0" w:type="dxa"/>
            <w:right w:w="108" w:type="dxa"/>
          </w:tblCellMar>
        </w:tblPrEx>
        <w:trPr>
          <w:trHeight w:val="326" w:hRule="atLeast"/>
        </w:trPr>
        <w:tc>
          <w:tcPr>
            <w:tcW w:w="851" w:type="dxa"/>
            <w:vMerge w:val="restart"/>
            <w:tcBorders>
              <w:top w:val="single" w:color="auto" w:sz="4" w:space="0"/>
              <w:left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vMerge w:val="restart"/>
            <w:tcBorders>
              <w:top w:val="single" w:color="auto" w:sz="4" w:space="0"/>
              <w:left w:val="nil"/>
              <w:right w:val="single" w:color="auto" w:sz="4" w:space="0"/>
            </w:tcBorders>
            <w:noWrap w:val="0"/>
            <w:vAlign w:val="center"/>
          </w:tcPr>
          <w:p>
            <w:pPr>
              <w:keepNext w:val="0"/>
              <w:keepLines w:val="0"/>
              <w:suppressLineNumbers w:val="0"/>
              <w:spacing w:before="0" w:beforeAutospacing="0" w:after="0" w:afterAutospacing="0"/>
              <w:ind w:left="0" w:right="-50" w:rightChars="-24"/>
              <w:jc w:val="left"/>
              <w:rPr>
                <w:rFonts w:hint="default" w:ascii="宋体" w:hAnsi="宋体" w:cs="仿宋_GB2312"/>
                <w:sz w:val="24"/>
              </w:rPr>
            </w:pPr>
            <w:r>
              <w:rPr>
                <w:rFonts w:hint="eastAsia" w:ascii="宋体" w:hAnsi="宋体" w:cs="仿宋_GB2312"/>
                <w:sz w:val="24"/>
              </w:rPr>
              <w:t>★日常物业服务工作时间段会应需较8小时工作制度调整或延长。中标人在招聘、设置和安排服务人员时要考虑其岗位的特殊性以确定薪资、待遇，不能因超出8小时工作制导致人员缺岗、服务缺位，并且采购人不承担由此产生的劳务费、加班费等其它任何费用。</w:t>
            </w: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sz w:val="24"/>
              </w:rPr>
            </w:pPr>
          </w:p>
        </w:tc>
      </w:tr>
      <w:tr>
        <w:tblPrEx>
          <w:tblLayout w:type="fixed"/>
          <w:tblCellMar>
            <w:top w:w="0" w:type="dxa"/>
            <w:left w:w="108" w:type="dxa"/>
            <w:bottom w:w="0" w:type="dxa"/>
            <w:right w:w="108" w:type="dxa"/>
          </w:tblCellMar>
        </w:tblPrEx>
        <w:trPr>
          <w:trHeight w:val="326" w:hRule="atLeast"/>
        </w:trPr>
        <w:tc>
          <w:tcPr>
            <w:tcW w:w="851" w:type="dxa"/>
            <w:vMerge w:val="continue"/>
            <w:tcBorders>
              <w:left w:val="single" w:color="auto" w:sz="4" w:space="0"/>
              <w:bottom w:val="single" w:color="auto" w:sz="4" w:space="0"/>
              <w:right w:val="single" w:color="auto" w:sz="4" w:space="0"/>
            </w:tcBorders>
            <w:noWrap w:val="0"/>
            <w:vAlign w:val="center"/>
          </w:tcPr>
          <w:p>
            <w:pPr>
              <w:keepNext w:val="0"/>
              <w:keepLines w:val="0"/>
              <w:numPr>
                <w:ilvl w:val="0"/>
                <w:numId w:val="40"/>
              </w:numPr>
              <w:suppressLineNumbers w:val="0"/>
              <w:spacing w:before="0" w:beforeAutospacing="0" w:after="0" w:afterAutospacing="0"/>
              <w:ind w:left="420" w:right="0"/>
              <w:jc w:val="center"/>
              <w:rPr>
                <w:rFonts w:hint="default" w:ascii="宋体" w:hAnsi="宋体"/>
                <w:sz w:val="24"/>
              </w:rPr>
            </w:pPr>
          </w:p>
        </w:tc>
        <w:tc>
          <w:tcPr>
            <w:tcW w:w="1276"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662" w:type="dxa"/>
            <w:vMerge w:val="continue"/>
            <w:tcBorders>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50" w:rightChars="-24"/>
              <w:jc w:val="left"/>
              <w:rPr>
                <w:rFonts w:hint="default" w:ascii="宋体" w:hAnsi="宋体" w:cs="仿宋_GB2312"/>
                <w:sz w:val="24"/>
              </w:rPr>
            </w:pPr>
          </w:p>
        </w:tc>
        <w:tc>
          <w:tcPr>
            <w:tcW w:w="74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56" w:leftChars="-27" w:right="-78" w:rightChars="-37"/>
              <w:jc w:val="center"/>
              <w:rPr>
                <w:rFonts w:hint="default" w:ascii="宋体" w:hAnsi="宋体"/>
                <w:sz w:val="24"/>
              </w:rPr>
            </w:pPr>
          </w:p>
        </w:tc>
      </w:tr>
    </w:tbl>
    <w:p>
      <w:pPr>
        <w:keepNext/>
        <w:keepLines/>
        <w:numPr>
          <w:ilvl w:val="0"/>
          <w:numId w:val="37"/>
        </w:numPr>
        <w:spacing w:line="360" w:lineRule="auto"/>
        <w:ind w:left="616" w:hanging="616"/>
        <w:jc w:val="left"/>
        <w:outlineLvl w:val="1"/>
        <w:rPr>
          <w:rFonts w:hint="eastAsia" w:ascii="宋体" w:hAnsi="宋体"/>
          <w:b/>
          <w:bCs/>
          <w:sz w:val="28"/>
          <w:szCs w:val="28"/>
        </w:rPr>
      </w:pPr>
      <w:bookmarkStart w:id="64" w:name="_Toc13568"/>
      <w:r>
        <w:rPr>
          <w:rFonts w:hint="eastAsia" w:ascii="宋体" w:hAnsi="宋体"/>
          <w:b/>
          <w:bCs/>
          <w:sz w:val="28"/>
          <w:szCs w:val="28"/>
        </w:rPr>
        <w:t>商务要求</w:t>
      </w:r>
      <w:bookmarkEnd w:id="64"/>
    </w:p>
    <w:tbl>
      <w:tblPr>
        <w:tblStyle w:val="19"/>
        <w:tblW w:w="9533" w:type="dxa"/>
        <w:tblInd w:w="108" w:type="dxa"/>
        <w:tblLayout w:type="fixed"/>
        <w:tblCellMar>
          <w:top w:w="0" w:type="dxa"/>
          <w:left w:w="108" w:type="dxa"/>
          <w:bottom w:w="0" w:type="dxa"/>
          <w:right w:w="108" w:type="dxa"/>
        </w:tblCellMar>
      </w:tblPr>
      <w:tblGrid>
        <w:gridCol w:w="851"/>
        <w:gridCol w:w="1559"/>
        <w:gridCol w:w="6379"/>
        <w:gridCol w:w="744"/>
      </w:tblGrid>
      <w:tr>
        <w:tblPrEx>
          <w:tblLayout w:type="fixed"/>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shd w:val="clear" w:color="auto" w:fill="7F7F7F"/>
            <w:noWrap w:val="0"/>
            <w:vAlign w:val="center"/>
          </w:tcPr>
          <w:p>
            <w:pPr>
              <w:keepNext/>
              <w:keepLines w:val="0"/>
              <w:suppressLineNumbers w:val="0"/>
              <w:spacing w:before="0" w:beforeAutospacing="0" w:after="0" w:afterAutospacing="0"/>
              <w:ind w:left="-56" w:leftChars="-27" w:right="-78" w:rightChars="-37"/>
              <w:jc w:val="center"/>
              <w:rPr>
                <w:rFonts w:hint="default" w:ascii="宋体" w:hAnsi="宋体"/>
                <w:b/>
                <w:bCs/>
                <w:sz w:val="24"/>
              </w:rPr>
            </w:pPr>
            <w:r>
              <w:rPr>
                <w:rFonts w:hint="eastAsia" w:ascii="宋体" w:hAnsi="宋体"/>
                <w:b/>
                <w:bCs/>
                <w:sz w:val="24"/>
              </w:rPr>
              <w:t>序号</w:t>
            </w:r>
          </w:p>
        </w:tc>
        <w:tc>
          <w:tcPr>
            <w:tcW w:w="1559" w:type="dxa"/>
            <w:tcBorders>
              <w:top w:val="single" w:color="auto" w:sz="4" w:space="0"/>
              <w:left w:val="nil"/>
              <w:bottom w:val="single" w:color="auto" w:sz="4" w:space="0"/>
              <w:right w:val="single" w:color="auto" w:sz="4" w:space="0"/>
            </w:tcBorders>
            <w:shd w:val="clear" w:color="auto" w:fill="7F7F7F"/>
            <w:noWrap w:val="0"/>
            <w:vAlign w:val="center"/>
          </w:tcPr>
          <w:p>
            <w:pPr>
              <w:keepNext/>
              <w:keepLines w:val="0"/>
              <w:widowControl/>
              <w:suppressLineNumbers w:val="0"/>
              <w:spacing w:before="0" w:beforeAutospacing="0" w:after="0" w:afterAutospacing="0"/>
              <w:ind w:left="0" w:right="0"/>
              <w:jc w:val="center"/>
              <w:rPr>
                <w:rFonts w:hint="default" w:ascii="宋体" w:hAnsi="宋体"/>
                <w:b/>
                <w:bCs/>
                <w:kern w:val="0"/>
                <w:sz w:val="24"/>
              </w:rPr>
            </w:pPr>
            <w:r>
              <w:rPr>
                <w:rFonts w:hint="eastAsia" w:ascii="宋体" w:hAnsi="宋体"/>
                <w:b/>
                <w:bCs/>
                <w:kern w:val="0"/>
                <w:sz w:val="24"/>
              </w:rPr>
              <w:t>商务条款</w:t>
            </w:r>
          </w:p>
        </w:tc>
        <w:tc>
          <w:tcPr>
            <w:tcW w:w="6379" w:type="dxa"/>
            <w:tcBorders>
              <w:top w:val="single" w:color="auto" w:sz="4" w:space="0"/>
              <w:left w:val="nil"/>
              <w:bottom w:val="single" w:color="auto" w:sz="4" w:space="0"/>
              <w:right w:val="single" w:color="auto" w:sz="4" w:space="0"/>
            </w:tcBorders>
            <w:shd w:val="clear" w:color="auto" w:fill="7F7F7F"/>
            <w:noWrap w:val="0"/>
            <w:vAlign w:val="center"/>
          </w:tcPr>
          <w:p>
            <w:pPr>
              <w:keepNext/>
              <w:keepLines w:val="0"/>
              <w:suppressLineNumbers w:val="0"/>
              <w:spacing w:before="0" w:beforeAutospacing="0" w:after="0" w:afterAutospacing="0"/>
              <w:ind w:left="-92" w:leftChars="-44" w:right="-78" w:rightChars="-37"/>
              <w:jc w:val="center"/>
              <w:rPr>
                <w:rFonts w:hint="default" w:ascii="宋体" w:hAnsi="宋体"/>
                <w:b/>
                <w:bCs/>
                <w:sz w:val="24"/>
              </w:rPr>
            </w:pPr>
            <w:r>
              <w:rPr>
                <w:rFonts w:hint="eastAsia" w:ascii="宋体" w:hAnsi="宋体"/>
                <w:b/>
                <w:bCs/>
                <w:sz w:val="24"/>
              </w:rPr>
              <w:t>内  容</w:t>
            </w:r>
          </w:p>
        </w:tc>
        <w:tc>
          <w:tcPr>
            <w:tcW w:w="744" w:type="dxa"/>
            <w:tcBorders>
              <w:top w:val="single" w:color="auto" w:sz="4" w:space="0"/>
              <w:left w:val="nil"/>
              <w:bottom w:val="single" w:color="auto" w:sz="4" w:space="0"/>
              <w:right w:val="single" w:color="auto" w:sz="4" w:space="0"/>
            </w:tcBorders>
            <w:shd w:val="clear" w:color="auto" w:fill="7F7F7F"/>
            <w:noWrap w:val="0"/>
            <w:vAlign w:val="center"/>
          </w:tcPr>
          <w:p>
            <w:pPr>
              <w:keepNext/>
              <w:keepLines w:val="0"/>
              <w:suppressLineNumbers w:val="0"/>
              <w:spacing w:before="0" w:beforeAutospacing="0" w:after="0" w:afterAutospacing="0"/>
              <w:ind w:left="-107" w:leftChars="-51" w:right="-107" w:rightChars="-51"/>
              <w:jc w:val="center"/>
              <w:rPr>
                <w:rFonts w:hint="default" w:ascii="宋体" w:hAnsi="宋体"/>
                <w:b/>
                <w:bCs/>
                <w:sz w:val="24"/>
              </w:rPr>
            </w:pPr>
            <w:r>
              <w:rPr>
                <w:rFonts w:hint="eastAsia" w:ascii="宋体" w:hAnsi="宋体"/>
                <w:b/>
                <w:bCs/>
                <w:sz w:val="24"/>
              </w:rPr>
              <w:t>评审点※</w:t>
            </w:r>
          </w:p>
        </w:tc>
      </w:tr>
      <w:tr>
        <w:tblPrEx>
          <w:tblLayout w:type="fixed"/>
          <w:tblCellMar>
            <w:top w:w="0" w:type="dxa"/>
            <w:left w:w="108" w:type="dxa"/>
            <w:bottom w:w="0" w:type="dxa"/>
            <w:right w:w="108" w:type="dxa"/>
          </w:tblCellMar>
        </w:tblPrEx>
        <w:trPr>
          <w:trHeight w:val="328"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1"/>
              </w:numPr>
              <w:suppressLineNumbers w:val="0"/>
              <w:spacing w:before="0" w:beforeAutospacing="0" w:after="0" w:afterAutospacing="0"/>
              <w:ind w:left="420" w:right="0"/>
              <w:jc w:val="center"/>
              <w:rPr>
                <w:rFonts w:hint="default" w:ascii="宋体" w:hAnsi="宋体"/>
                <w:sz w:val="24"/>
              </w:rPr>
            </w:pPr>
          </w:p>
        </w:tc>
        <w:tc>
          <w:tcPr>
            <w:tcW w:w="1559"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ind w:left="-56" w:leftChars="-27" w:right="-78" w:rightChars="-37"/>
              <w:jc w:val="center"/>
              <w:rPr>
                <w:rFonts w:hint="default" w:ascii="宋体" w:hAnsi="宋体"/>
                <w:sz w:val="24"/>
              </w:rPr>
            </w:pPr>
            <w:r>
              <w:rPr>
                <w:rFonts w:hint="eastAsia" w:ascii="宋体" w:hAnsi="宋体"/>
                <w:sz w:val="24"/>
              </w:rPr>
              <w:t>服务时间</w:t>
            </w:r>
          </w:p>
        </w:tc>
        <w:tc>
          <w:tcPr>
            <w:tcW w:w="6379"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ind w:left="86" w:right="-50" w:rightChars="-24"/>
              <w:jc w:val="left"/>
              <w:rPr>
                <w:rFonts w:hint="default" w:ascii="宋体" w:hAnsi="宋体" w:cs="仿宋_GB2312"/>
                <w:sz w:val="24"/>
              </w:rPr>
            </w:pPr>
            <w:r>
              <w:rPr>
                <w:rFonts w:hint="eastAsia" w:ascii="宋体" w:hAnsi="宋体" w:cs="仿宋_GB2312"/>
                <w:sz w:val="24"/>
              </w:rPr>
              <w:t>物业管理服务时间为12个月（以首次签订合同之日起算），服务合同按年度签订，合同期内因阳新县最低工资标准上调等其它相关政策性因素调整导致服务单位成本增加的，由投标人承担。</w:t>
            </w:r>
          </w:p>
        </w:tc>
        <w:tc>
          <w:tcPr>
            <w:tcW w:w="744"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ind w:left="-56" w:leftChars="-27" w:right="-78" w:rightChars="-37"/>
              <w:jc w:val="center"/>
              <w:rPr>
                <w:rFonts w:hint="default" w:ascii="宋体" w:hAnsi="宋体"/>
                <w:b/>
                <w:bCs/>
                <w:sz w:val="24"/>
              </w:rPr>
            </w:pPr>
          </w:p>
        </w:tc>
      </w:tr>
      <w:tr>
        <w:tblPrEx>
          <w:tblLayout w:type="fixed"/>
          <w:tblCellMar>
            <w:top w:w="0" w:type="dxa"/>
            <w:left w:w="108" w:type="dxa"/>
            <w:bottom w:w="0" w:type="dxa"/>
            <w:right w:w="108" w:type="dxa"/>
          </w:tblCellMar>
        </w:tblPrEx>
        <w:trPr>
          <w:trHeight w:val="328"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1"/>
              </w:numPr>
              <w:suppressLineNumbers w:val="0"/>
              <w:spacing w:before="0" w:beforeAutospacing="0" w:after="0" w:afterAutospacing="0"/>
              <w:ind w:left="420" w:right="0"/>
              <w:jc w:val="center"/>
              <w:rPr>
                <w:rFonts w:hint="default" w:ascii="宋体" w:hAnsi="宋体"/>
                <w:sz w:val="24"/>
              </w:rPr>
            </w:pPr>
          </w:p>
        </w:tc>
        <w:tc>
          <w:tcPr>
            <w:tcW w:w="1559"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ind w:left="-56" w:leftChars="-27" w:right="-78" w:rightChars="-37"/>
              <w:jc w:val="center"/>
              <w:rPr>
                <w:rFonts w:hint="default" w:ascii="宋体" w:hAnsi="宋体"/>
                <w:sz w:val="24"/>
              </w:rPr>
            </w:pPr>
            <w:r>
              <w:rPr>
                <w:rFonts w:hint="eastAsia" w:ascii="宋体" w:hAnsi="宋体"/>
                <w:sz w:val="24"/>
              </w:rPr>
              <w:t>服务地点</w:t>
            </w:r>
          </w:p>
        </w:tc>
        <w:tc>
          <w:tcPr>
            <w:tcW w:w="6379"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ind w:left="86" w:right="-50" w:rightChars="-24"/>
              <w:jc w:val="left"/>
              <w:rPr>
                <w:rFonts w:hint="default" w:ascii="宋体" w:hAnsi="宋体" w:cs="仿宋_GB2312"/>
                <w:sz w:val="24"/>
              </w:rPr>
            </w:pPr>
            <w:r>
              <w:rPr>
                <w:rFonts w:hint="eastAsia" w:ascii="宋体" w:hAnsi="宋体" w:cs="仿宋_GB2312"/>
                <w:sz w:val="24"/>
              </w:rPr>
              <w:t>阳新县人民法院（含服务对象驻地及派出法庭），采购人指定地点。</w:t>
            </w:r>
          </w:p>
        </w:tc>
        <w:tc>
          <w:tcPr>
            <w:tcW w:w="744"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ind w:left="-56" w:leftChars="-27" w:right="-78" w:rightChars="-37"/>
              <w:jc w:val="center"/>
              <w:rPr>
                <w:rFonts w:hint="default" w:ascii="宋体" w:hAnsi="宋体"/>
                <w:b/>
                <w:bCs/>
                <w:sz w:val="24"/>
              </w:rPr>
            </w:pPr>
          </w:p>
        </w:tc>
      </w:tr>
      <w:tr>
        <w:tblPrEx>
          <w:tblLayout w:type="fixed"/>
          <w:tblCellMar>
            <w:top w:w="0" w:type="dxa"/>
            <w:left w:w="108" w:type="dxa"/>
            <w:bottom w:w="0" w:type="dxa"/>
            <w:right w:w="108" w:type="dxa"/>
          </w:tblCellMar>
        </w:tblPrEx>
        <w:trPr>
          <w:trHeight w:val="383"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1"/>
              </w:numPr>
              <w:suppressLineNumbers w:val="0"/>
              <w:spacing w:before="0" w:beforeAutospacing="0" w:after="0" w:afterAutospacing="0"/>
              <w:ind w:left="420" w:right="0"/>
              <w:jc w:val="center"/>
              <w:rPr>
                <w:rFonts w:hint="default" w:ascii="宋体" w:hAnsi="宋体"/>
                <w:sz w:val="24"/>
              </w:rPr>
            </w:pPr>
          </w:p>
        </w:tc>
        <w:tc>
          <w:tcPr>
            <w:tcW w:w="1559" w:type="dxa"/>
            <w:vMerge w:val="restart"/>
            <w:tcBorders>
              <w:top w:val="nil"/>
              <w:left w:val="nil"/>
              <w:bottom w:val="single" w:color="auto" w:sz="4" w:space="0"/>
              <w:right w:val="single" w:color="auto" w:sz="4" w:space="0"/>
            </w:tcBorders>
            <w:noWrap w:val="0"/>
            <w:vAlign w:val="center"/>
          </w:tcPr>
          <w:p>
            <w:pPr>
              <w:keepNext/>
              <w:keepLines w:val="0"/>
              <w:suppressLineNumbers w:val="0"/>
              <w:spacing w:before="0" w:beforeAutospacing="0" w:after="0" w:afterAutospacing="0"/>
              <w:ind w:left="-56" w:leftChars="-27" w:right="-78" w:rightChars="-37"/>
              <w:jc w:val="center"/>
              <w:rPr>
                <w:rFonts w:hint="default" w:ascii="宋体" w:hAnsi="宋体"/>
                <w:sz w:val="24"/>
              </w:rPr>
            </w:pPr>
            <w:r>
              <w:rPr>
                <w:rFonts w:hint="eastAsia" w:ascii="宋体" w:hAnsi="宋体"/>
                <w:sz w:val="24"/>
              </w:rPr>
              <w:t>付款方式</w:t>
            </w:r>
          </w:p>
        </w:tc>
        <w:tc>
          <w:tcPr>
            <w:tcW w:w="6379"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ind w:left="86" w:right="-50" w:rightChars="-24"/>
              <w:jc w:val="left"/>
              <w:rPr>
                <w:rFonts w:hint="default" w:ascii="宋体" w:hAnsi="宋体" w:cs="仿宋_GB2312"/>
                <w:sz w:val="24"/>
              </w:rPr>
            </w:pPr>
            <w:r>
              <w:rPr>
                <w:rFonts w:hint="eastAsia" w:ascii="宋体" w:hAnsi="宋体" w:cs="仿宋_GB2312"/>
                <w:sz w:val="24"/>
              </w:rPr>
              <w:t>合同签订生效后，以季度为单位，按季度支付合同款。</w:t>
            </w:r>
          </w:p>
        </w:tc>
        <w:tc>
          <w:tcPr>
            <w:tcW w:w="744"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ind w:left="-56" w:leftChars="-27" w:right="-78" w:rightChars="-37"/>
              <w:jc w:val="center"/>
              <w:rPr>
                <w:rFonts w:hint="default" w:ascii="宋体" w:hAnsi="宋体"/>
                <w:b/>
                <w:bCs/>
                <w:sz w:val="24"/>
              </w:rPr>
            </w:pPr>
          </w:p>
        </w:tc>
      </w:tr>
      <w:tr>
        <w:tblPrEx>
          <w:tblLayout w:type="fixed"/>
          <w:tblCellMar>
            <w:top w:w="0" w:type="dxa"/>
            <w:left w:w="108" w:type="dxa"/>
            <w:bottom w:w="0" w:type="dxa"/>
            <w:right w:w="108" w:type="dxa"/>
          </w:tblCellMar>
        </w:tblPrEx>
        <w:trPr>
          <w:trHeight w:val="328"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1"/>
              </w:numPr>
              <w:suppressLineNumbers w:val="0"/>
              <w:spacing w:before="0" w:beforeAutospacing="0" w:after="0" w:afterAutospacing="0"/>
              <w:ind w:left="420" w:right="0"/>
              <w:jc w:val="center"/>
              <w:rPr>
                <w:rFonts w:hint="default" w:ascii="宋体" w:hAnsi="宋体"/>
                <w:sz w:val="24"/>
              </w:rPr>
            </w:pPr>
          </w:p>
        </w:tc>
        <w:tc>
          <w:tcPr>
            <w:tcW w:w="1559"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379"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ind w:left="86" w:right="-50" w:rightChars="-24"/>
              <w:jc w:val="left"/>
              <w:rPr>
                <w:rFonts w:hint="default" w:ascii="宋体" w:hAnsi="宋体" w:cs="仿宋_GB2312"/>
                <w:sz w:val="24"/>
              </w:rPr>
            </w:pPr>
            <w:r>
              <w:rPr>
                <w:rFonts w:hint="eastAsia" w:ascii="宋体" w:hAnsi="宋体" w:cs="仿宋_GB2312"/>
                <w:sz w:val="24"/>
              </w:rPr>
              <w:t>本项目合同款项通过省财政国库支付系统支付，转入中标人对公账户。</w:t>
            </w:r>
          </w:p>
        </w:tc>
        <w:tc>
          <w:tcPr>
            <w:tcW w:w="744"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ind w:left="-56" w:leftChars="-27" w:right="-78" w:rightChars="-37"/>
              <w:jc w:val="center"/>
              <w:rPr>
                <w:rFonts w:hint="default" w:ascii="宋体" w:hAnsi="宋体"/>
                <w:b/>
                <w:bCs/>
                <w:sz w:val="24"/>
              </w:rPr>
            </w:pPr>
          </w:p>
        </w:tc>
      </w:tr>
      <w:tr>
        <w:tblPrEx>
          <w:tblLayout w:type="fixed"/>
          <w:tblCellMar>
            <w:top w:w="0" w:type="dxa"/>
            <w:left w:w="108" w:type="dxa"/>
            <w:bottom w:w="0" w:type="dxa"/>
            <w:right w:w="108" w:type="dxa"/>
          </w:tblCellMar>
        </w:tblPrEx>
        <w:trPr>
          <w:trHeight w:val="328"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1"/>
              </w:numPr>
              <w:suppressLineNumbers w:val="0"/>
              <w:spacing w:before="0" w:beforeAutospacing="0" w:after="0" w:afterAutospacing="0"/>
              <w:ind w:left="420" w:right="0"/>
              <w:jc w:val="center"/>
              <w:rPr>
                <w:rFonts w:hint="default" w:ascii="宋体" w:hAnsi="宋体"/>
                <w:sz w:val="24"/>
              </w:rPr>
            </w:pPr>
          </w:p>
        </w:tc>
        <w:tc>
          <w:tcPr>
            <w:tcW w:w="1559"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379"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ind w:left="86" w:right="-50" w:rightChars="-24"/>
              <w:jc w:val="left"/>
              <w:rPr>
                <w:rFonts w:hint="default" w:ascii="宋体" w:hAnsi="宋体" w:cs="仿宋_GB2312"/>
                <w:sz w:val="24"/>
              </w:rPr>
            </w:pPr>
            <w:r>
              <w:rPr>
                <w:rFonts w:hint="eastAsia" w:ascii="宋体" w:hAnsi="宋体" w:cs="仿宋_GB2312"/>
                <w:sz w:val="24"/>
              </w:rPr>
              <w:t>中标人必须按国家有关财税规定开具发票。</w:t>
            </w:r>
          </w:p>
        </w:tc>
        <w:tc>
          <w:tcPr>
            <w:tcW w:w="744"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ind w:left="-56" w:leftChars="-27" w:right="-78" w:rightChars="-37"/>
              <w:jc w:val="center"/>
              <w:rPr>
                <w:rFonts w:hint="default" w:ascii="宋体" w:hAnsi="宋体"/>
                <w:b/>
                <w:bCs/>
                <w:sz w:val="24"/>
              </w:rPr>
            </w:pPr>
          </w:p>
        </w:tc>
      </w:tr>
      <w:tr>
        <w:tblPrEx>
          <w:tblLayout w:type="fixed"/>
          <w:tblCellMar>
            <w:top w:w="0" w:type="dxa"/>
            <w:left w:w="108" w:type="dxa"/>
            <w:bottom w:w="0" w:type="dxa"/>
            <w:right w:w="108" w:type="dxa"/>
          </w:tblCellMar>
        </w:tblPrEx>
        <w:trPr>
          <w:trHeight w:val="328"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1"/>
              </w:numPr>
              <w:suppressLineNumbers w:val="0"/>
              <w:spacing w:before="0" w:beforeAutospacing="0" w:after="0" w:afterAutospacing="0"/>
              <w:ind w:left="420" w:right="0"/>
              <w:jc w:val="center"/>
              <w:rPr>
                <w:rFonts w:hint="default" w:ascii="宋体" w:hAnsi="宋体"/>
                <w:sz w:val="24"/>
              </w:rPr>
            </w:pPr>
          </w:p>
        </w:tc>
        <w:tc>
          <w:tcPr>
            <w:tcW w:w="1559" w:type="dxa"/>
            <w:vMerge w:val="restart"/>
            <w:tcBorders>
              <w:top w:val="nil"/>
              <w:left w:val="nil"/>
              <w:bottom w:val="single" w:color="auto" w:sz="4" w:space="0"/>
              <w:right w:val="single" w:color="auto" w:sz="4" w:space="0"/>
            </w:tcBorders>
            <w:noWrap w:val="0"/>
            <w:vAlign w:val="center"/>
          </w:tcPr>
          <w:p>
            <w:pPr>
              <w:keepNext/>
              <w:keepLines w:val="0"/>
              <w:suppressLineNumbers w:val="0"/>
              <w:spacing w:before="0" w:beforeAutospacing="0" w:after="0" w:afterAutospacing="0"/>
              <w:ind w:left="-56" w:leftChars="-27" w:right="-78" w:rightChars="-37"/>
              <w:jc w:val="center"/>
              <w:rPr>
                <w:rFonts w:hint="default" w:ascii="宋体" w:hAnsi="宋体"/>
                <w:sz w:val="24"/>
              </w:rPr>
            </w:pPr>
            <w:r>
              <w:rPr>
                <w:rFonts w:hint="eastAsia" w:ascii="宋体" w:hAnsi="宋体"/>
                <w:sz w:val="24"/>
              </w:rPr>
              <w:t>违约责任</w:t>
            </w:r>
          </w:p>
        </w:tc>
        <w:tc>
          <w:tcPr>
            <w:tcW w:w="6379"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ind w:left="86" w:right="-50" w:rightChars="-24"/>
              <w:jc w:val="left"/>
              <w:rPr>
                <w:rFonts w:hint="default" w:ascii="宋体" w:hAnsi="宋体" w:cs="仿宋_GB2312"/>
                <w:sz w:val="24"/>
              </w:rPr>
            </w:pPr>
            <w:r>
              <w:rPr>
                <w:rFonts w:hint="eastAsia" w:ascii="宋体" w:hAnsi="宋体" w:cs="仿宋_GB2312"/>
                <w:sz w:val="24"/>
              </w:rPr>
              <w:t>因采购人过错或对供应商提出的整改意见未及时整改落实的，由此造成的损失由采购人承担。</w:t>
            </w:r>
          </w:p>
        </w:tc>
        <w:tc>
          <w:tcPr>
            <w:tcW w:w="744"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ind w:left="-56" w:leftChars="-27" w:right="-78" w:rightChars="-37"/>
              <w:jc w:val="center"/>
              <w:rPr>
                <w:rFonts w:hint="default" w:ascii="宋体" w:hAnsi="宋体"/>
                <w:b/>
                <w:bCs/>
                <w:sz w:val="24"/>
              </w:rPr>
            </w:pPr>
          </w:p>
        </w:tc>
      </w:tr>
      <w:tr>
        <w:tblPrEx>
          <w:tblLayout w:type="fixed"/>
          <w:tblCellMar>
            <w:top w:w="0" w:type="dxa"/>
            <w:left w:w="108" w:type="dxa"/>
            <w:bottom w:w="0" w:type="dxa"/>
            <w:right w:w="108" w:type="dxa"/>
          </w:tblCellMar>
        </w:tblPrEx>
        <w:trPr>
          <w:trHeight w:val="328"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1"/>
              </w:numPr>
              <w:suppressLineNumbers w:val="0"/>
              <w:spacing w:before="0" w:beforeAutospacing="0" w:after="0" w:afterAutospacing="0"/>
              <w:ind w:left="420" w:right="0"/>
              <w:jc w:val="center"/>
              <w:rPr>
                <w:rFonts w:hint="default" w:ascii="宋体" w:hAnsi="宋体"/>
                <w:sz w:val="24"/>
              </w:rPr>
            </w:pPr>
          </w:p>
        </w:tc>
        <w:tc>
          <w:tcPr>
            <w:tcW w:w="1559"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379"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ind w:left="86" w:right="-50" w:rightChars="-24"/>
              <w:jc w:val="left"/>
              <w:rPr>
                <w:rFonts w:hint="default" w:ascii="宋体" w:hAnsi="宋体" w:cs="仿宋_GB2312"/>
                <w:sz w:val="24"/>
              </w:rPr>
            </w:pPr>
            <w:r>
              <w:rPr>
                <w:rFonts w:hint="eastAsia" w:ascii="宋体" w:hAnsi="宋体" w:cs="仿宋_GB2312"/>
                <w:sz w:val="24"/>
              </w:rPr>
              <w:t>因中标人服务人员在服务期间违法</w:t>
            </w:r>
            <w:r>
              <w:rPr>
                <w:rFonts w:hint="eastAsia" w:ascii="宋体" w:hAnsi="宋体" w:cs="仿宋_GB2312"/>
                <w:sz w:val="24"/>
                <w:lang w:eastAsia="zh-CN"/>
              </w:rPr>
              <w:t>违纪</w:t>
            </w:r>
            <w:r>
              <w:rPr>
                <w:rFonts w:hint="eastAsia" w:ascii="宋体" w:hAnsi="宋体" w:cs="仿宋_GB2312"/>
                <w:sz w:val="24"/>
              </w:rPr>
              <w:t>，</w:t>
            </w:r>
            <w:r>
              <w:rPr>
                <w:rFonts w:hint="eastAsia" w:ascii="宋体" w:hAnsi="宋体" w:cs="仿宋_GB2312"/>
                <w:sz w:val="24"/>
                <w:lang w:eastAsia="zh-CN"/>
              </w:rPr>
              <w:t>违反投标人工作纪律，</w:t>
            </w:r>
            <w:r>
              <w:rPr>
                <w:rFonts w:hint="eastAsia" w:ascii="宋体" w:hAnsi="宋体" w:cs="仿宋_GB2312"/>
                <w:sz w:val="24"/>
              </w:rPr>
              <w:t>造成采购人经济损失的，经</w:t>
            </w:r>
            <w:r>
              <w:rPr>
                <w:rFonts w:hint="eastAsia" w:ascii="宋体" w:hAnsi="宋体" w:cs="仿宋_GB2312"/>
                <w:sz w:val="24"/>
                <w:lang w:eastAsia="zh-CN"/>
              </w:rPr>
              <w:t>双方协商或调查核实</w:t>
            </w:r>
            <w:r>
              <w:rPr>
                <w:rFonts w:hint="eastAsia" w:ascii="宋体" w:hAnsi="宋体" w:cs="仿宋_GB2312"/>
                <w:sz w:val="24"/>
              </w:rPr>
              <w:t>认定责任后进行赔付。</w:t>
            </w:r>
          </w:p>
        </w:tc>
        <w:tc>
          <w:tcPr>
            <w:tcW w:w="744"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ind w:left="-56" w:leftChars="-27" w:right="-78" w:rightChars="-37"/>
              <w:jc w:val="center"/>
              <w:rPr>
                <w:rFonts w:hint="default" w:ascii="宋体" w:hAnsi="宋体"/>
                <w:b/>
                <w:bCs/>
                <w:sz w:val="24"/>
              </w:rPr>
            </w:pPr>
          </w:p>
        </w:tc>
      </w:tr>
      <w:tr>
        <w:tblPrEx>
          <w:tblLayout w:type="fixed"/>
          <w:tblCellMar>
            <w:top w:w="0" w:type="dxa"/>
            <w:left w:w="108" w:type="dxa"/>
            <w:bottom w:w="0" w:type="dxa"/>
            <w:right w:w="108" w:type="dxa"/>
          </w:tblCellMar>
        </w:tblPrEx>
        <w:trPr>
          <w:trHeight w:val="328"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1"/>
              </w:numPr>
              <w:suppressLineNumbers w:val="0"/>
              <w:spacing w:before="0" w:beforeAutospacing="0" w:after="0" w:afterAutospacing="0"/>
              <w:ind w:left="420" w:right="0"/>
              <w:jc w:val="center"/>
              <w:rPr>
                <w:rFonts w:hint="default" w:ascii="宋体" w:hAnsi="宋体"/>
                <w:sz w:val="24"/>
              </w:rPr>
            </w:pPr>
          </w:p>
        </w:tc>
        <w:tc>
          <w:tcPr>
            <w:tcW w:w="1559"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379"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ind w:left="86" w:right="-50" w:rightChars="-24"/>
              <w:jc w:val="left"/>
              <w:rPr>
                <w:rFonts w:hint="default" w:ascii="宋体" w:hAnsi="宋体" w:cs="仿宋_GB2312"/>
                <w:sz w:val="24"/>
              </w:rPr>
            </w:pPr>
            <w:r>
              <w:rPr>
                <w:rFonts w:hint="eastAsia" w:ascii="宋体" w:hAnsi="宋体" w:cs="仿宋_GB2312"/>
                <w:sz w:val="24"/>
              </w:rPr>
              <w:t>如因中标人原因，造成不能实现制定的服务目标的，采购人有权要求供应商限期整改；未在限期内整改的，采购人有权对中标人进行处罚。</w:t>
            </w:r>
          </w:p>
        </w:tc>
        <w:tc>
          <w:tcPr>
            <w:tcW w:w="744"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ind w:left="-56" w:leftChars="-27" w:right="-78" w:rightChars="-37"/>
              <w:jc w:val="center"/>
              <w:rPr>
                <w:rFonts w:hint="default" w:ascii="宋体" w:hAnsi="宋体"/>
                <w:b/>
                <w:bCs/>
                <w:sz w:val="24"/>
              </w:rPr>
            </w:pPr>
          </w:p>
        </w:tc>
      </w:tr>
      <w:tr>
        <w:tblPrEx>
          <w:tblLayout w:type="fixed"/>
          <w:tblCellMar>
            <w:top w:w="0" w:type="dxa"/>
            <w:left w:w="108" w:type="dxa"/>
            <w:bottom w:w="0" w:type="dxa"/>
            <w:right w:w="108" w:type="dxa"/>
          </w:tblCellMar>
        </w:tblPrEx>
        <w:trPr>
          <w:trHeight w:val="328"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1"/>
              </w:numPr>
              <w:suppressLineNumbers w:val="0"/>
              <w:spacing w:before="0" w:beforeAutospacing="0" w:after="0" w:afterAutospacing="0"/>
              <w:ind w:left="420" w:right="0"/>
              <w:jc w:val="center"/>
              <w:rPr>
                <w:rFonts w:hint="default" w:ascii="宋体" w:hAnsi="宋体"/>
                <w:sz w:val="24"/>
              </w:rPr>
            </w:pPr>
          </w:p>
        </w:tc>
        <w:tc>
          <w:tcPr>
            <w:tcW w:w="1559" w:type="dxa"/>
            <w:vMerge w:val="restart"/>
            <w:tcBorders>
              <w:top w:val="nil"/>
              <w:left w:val="nil"/>
              <w:bottom w:val="single" w:color="auto" w:sz="4" w:space="0"/>
              <w:right w:val="single" w:color="auto" w:sz="4" w:space="0"/>
            </w:tcBorders>
            <w:noWrap w:val="0"/>
            <w:vAlign w:val="center"/>
          </w:tcPr>
          <w:p>
            <w:pPr>
              <w:keepNext/>
              <w:keepLines w:val="0"/>
              <w:suppressLineNumbers w:val="0"/>
              <w:spacing w:before="0" w:beforeAutospacing="0" w:after="0" w:afterAutospacing="0"/>
              <w:ind w:left="-56" w:leftChars="-27" w:right="-78" w:rightChars="-37"/>
              <w:jc w:val="center"/>
              <w:rPr>
                <w:rFonts w:hint="default" w:ascii="宋体" w:hAnsi="宋体"/>
                <w:sz w:val="24"/>
              </w:rPr>
            </w:pPr>
            <w:r>
              <w:rPr>
                <w:rFonts w:hint="eastAsia" w:ascii="宋体" w:hAnsi="宋体"/>
                <w:sz w:val="24"/>
              </w:rPr>
              <w:t>其他要求</w:t>
            </w:r>
          </w:p>
        </w:tc>
        <w:tc>
          <w:tcPr>
            <w:tcW w:w="6379"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ind w:left="86" w:right="-50" w:rightChars="-24"/>
              <w:jc w:val="left"/>
              <w:rPr>
                <w:rFonts w:hint="default" w:ascii="宋体" w:hAnsi="宋体" w:cs="仿宋_GB2312"/>
                <w:sz w:val="24"/>
              </w:rPr>
            </w:pPr>
            <w:r>
              <w:rPr>
                <w:rFonts w:hint="eastAsia" w:ascii="宋体" w:hAnsi="宋体"/>
                <w:kern w:val="0"/>
                <w:sz w:val="24"/>
              </w:rPr>
              <w:t>公司简介、组织机构、人员规模、综合实力情况</w:t>
            </w:r>
          </w:p>
        </w:tc>
        <w:tc>
          <w:tcPr>
            <w:tcW w:w="744"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ind w:left="-56" w:leftChars="-27" w:right="-78" w:rightChars="-37"/>
              <w:jc w:val="center"/>
              <w:rPr>
                <w:rFonts w:hint="default" w:ascii="宋体" w:hAnsi="宋体"/>
                <w:b/>
                <w:bCs/>
                <w:sz w:val="24"/>
              </w:rPr>
            </w:pPr>
            <w:r>
              <w:rPr>
                <w:rFonts w:hint="eastAsia" w:ascii="宋体" w:hAnsi="宋体"/>
                <w:b/>
                <w:bCs/>
                <w:sz w:val="24"/>
              </w:rPr>
              <w:t>※</w:t>
            </w:r>
          </w:p>
        </w:tc>
      </w:tr>
      <w:tr>
        <w:tblPrEx>
          <w:tblLayout w:type="fixed"/>
          <w:tblCellMar>
            <w:top w:w="0" w:type="dxa"/>
            <w:left w:w="108" w:type="dxa"/>
            <w:bottom w:w="0" w:type="dxa"/>
            <w:right w:w="108" w:type="dxa"/>
          </w:tblCellMar>
        </w:tblPrEx>
        <w:trPr>
          <w:trHeight w:val="328"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1"/>
              </w:numPr>
              <w:suppressLineNumbers w:val="0"/>
              <w:spacing w:before="0" w:beforeAutospacing="0" w:after="0" w:afterAutospacing="0"/>
              <w:ind w:left="420" w:right="0"/>
              <w:jc w:val="center"/>
              <w:rPr>
                <w:rFonts w:hint="default" w:ascii="宋体" w:hAnsi="宋体"/>
                <w:sz w:val="24"/>
              </w:rPr>
            </w:pPr>
          </w:p>
        </w:tc>
        <w:tc>
          <w:tcPr>
            <w:tcW w:w="1559"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379"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ind w:left="86" w:right="-50" w:rightChars="-24"/>
              <w:jc w:val="left"/>
              <w:rPr>
                <w:rFonts w:hint="eastAsia" w:ascii="宋体" w:hAnsi="宋体"/>
                <w:kern w:val="0"/>
                <w:sz w:val="24"/>
              </w:rPr>
            </w:pPr>
            <w:r>
              <w:rPr>
                <w:rFonts w:hint="eastAsia" w:ascii="宋体" w:hAnsi="宋体"/>
                <w:kern w:val="0"/>
                <w:sz w:val="24"/>
              </w:rPr>
              <w:t>营业执照具有物业</w:t>
            </w:r>
            <w:r>
              <w:rPr>
                <w:rFonts w:hint="eastAsia" w:ascii="宋体" w:hAnsi="宋体"/>
                <w:kern w:val="0"/>
                <w:sz w:val="24"/>
                <w:lang w:eastAsia="zh-CN"/>
              </w:rPr>
              <w:t>保安保洁</w:t>
            </w:r>
            <w:r>
              <w:rPr>
                <w:rFonts w:hint="eastAsia" w:ascii="宋体" w:hAnsi="宋体"/>
                <w:kern w:val="0"/>
                <w:sz w:val="24"/>
              </w:rPr>
              <w:t>经营范围</w:t>
            </w:r>
          </w:p>
        </w:tc>
        <w:tc>
          <w:tcPr>
            <w:tcW w:w="744"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ind w:left="-56" w:leftChars="-27" w:right="-78" w:rightChars="-37"/>
              <w:jc w:val="center"/>
              <w:rPr>
                <w:rFonts w:hint="eastAsia" w:ascii="宋体" w:hAnsi="宋体"/>
                <w:b/>
                <w:bCs/>
                <w:sz w:val="24"/>
              </w:rPr>
            </w:pPr>
            <w:r>
              <w:rPr>
                <w:rFonts w:hint="eastAsia" w:ascii="宋体" w:hAnsi="宋体"/>
                <w:b/>
                <w:bCs/>
                <w:sz w:val="24"/>
              </w:rPr>
              <w:t>※</w:t>
            </w:r>
          </w:p>
        </w:tc>
      </w:tr>
      <w:tr>
        <w:tblPrEx>
          <w:tblLayout w:type="fixed"/>
          <w:tblCellMar>
            <w:top w:w="0" w:type="dxa"/>
            <w:left w:w="108" w:type="dxa"/>
            <w:bottom w:w="0" w:type="dxa"/>
            <w:right w:w="108" w:type="dxa"/>
          </w:tblCellMar>
        </w:tblPrEx>
        <w:trPr>
          <w:trHeight w:val="328"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1"/>
              </w:numPr>
              <w:suppressLineNumbers w:val="0"/>
              <w:spacing w:before="0" w:beforeAutospacing="0" w:after="0" w:afterAutospacing="0"/>
              <w:ind w:left="420" w:right="0"/>
              <w:jc w:val="center"/>
              <w:rPr>
                <w:rFonts w:hint="default" w:ascii="宋体" w:hAnsi="宋体"/>
                <w:sz w:val="24"/>
              </w:rPr>
            </w:pPr>
          </w:p>
        </w:tc>
        <w:tc>
          <w:tcPr>
            <w:tcW w:w="1559"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sz w:val="24"/>
              </w:rPr>
            </w:pPr>
          </w:p>
        </w:tc>
        <w:tc>
          <w:tcPr>
            <w:tcW w:w="6379"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ind w:left="86" w:right="-50" w:rightChars="-24"/>
              <w:jc w:val="left"/>
              <w:rPr>
                <w:rFonts w:hint="default" w:ascii="宋体" w:hAnsi="宋体" w:cs="仿宋_GB2312"/>
                <w:sz w:val="24"/>
              </w:rPr>
            </w:pPr>
            <w:r>
              <w:rPr>
                <w:rFonts w:hint="eastAsia" w:ascii="宋体" w:hAnsi="宋体"/>
                <w:kern w:val="0"/>
                <w:sz w:val="24"/>
              </w:rPr>
              <w:t>拟上岗人员须在投标人单位工作半年及以上</w:t>
            </w:r>
          </w:p>
        </w:tc>
        <w:tc>
          <w:tcPr>
            <w:tcW w:w="744" w:type="dxa"/>
            <w:tcBorders>
              <w:top w:val="single" w:color="auto" w:sz="4" w:space="0"/>
              <w:left w:val="nil"/>
              <w:bottom w:val="single" w:color="auto" w:sz="4" w:space="0"/>
              <w:right w:val="single" w:color="auto" w:sz="4" w:space="0"/>
            </w:tcBorders>
            <w:noWrap w:val="0"/>
            <w:vAlign w:val="center"/>
          </w:tcPr>
          <w:p>
            <w:pPr>
              <w:keepNext/>
              <w:keepLines w:val="0"/>
              <w:suppressLineNumbers w:val="0"/>
              <w:spacing w:before="0" w:beforeAutospacing="0" w:after="0" w:afterAutospacing="0"/>
              <w:ind w:left="-56" w:leftChars="-27" w:right="-78" w:rightChars="-37"/>
              <w:jc w:val="center"/>
              <w:rPr>
                <w:rFonts w:hint="default" w:ascii="宋体" w:hAnsi="宋体"/>
                <w:b/>
                <w:bCs/>
                <w:sz w:val="24"/>
              </w:rPr>
            </w:pPr>
            <w:r>
              <w:rPr>
                <w:rFonts w:hint="eastAsia" w:ascii="宋体" w:hAnsi="宋体"/>
                <w:b/>
                <w:bCs/>
                <w:sz w:val="24"/>
              </w:rPr>
              <w:t>※</w:t>
            </w:r>
          </w:p>
        </w:tc>
      </w:tr>
    </w:tbl>
    <w:p>
      <w:pPr>
        <w:ind w:left="426" w:leftChars="202"/>
        <w:rPr>
          <w:rFonts w:hint="eastAsia" w:ascii="宋体" w:hAnsi="宋体" w:eastAsia="宋体" w:cs="宋体"/>
          <w:bCs/>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4"/>
        <w:numPr>
          <w:ilvl w:val="0"/>
          <w:numId w:val="1"/>
        </w:numPr>
        <w:jc w:val="center"/>
        <w:rPr>
          <w:rFonts w:ascii="黑体" w:hAnsi="黑体" w:eastAsia="黑体"/>
        </w:rPr>
      </w:pPr>
      <w:bookmarkStart w:id="65" w:name="_Toc31107"/>
      <w:r>
        <w:rPr>
          <w:rFonts w:hint="eastAsia" w:ascii="黑体" w:hAnsi="黑体" w:eastAsia="黑体"/>
        </w:rPr>
        <w:t>资格审查方法及标准</w:t>
      </w:r>
      <w:bookmarkEnd w:id="65"/>
    </w:p>
    <w:p>
      <w:pPr>
        <w:spacing w:line="360" w:lineRule="auto"/>
        <w:ind w:firstLine="420"/>
        <w:rPr>
          <w:rFonts w:ascii="宋体" w:hAnsi="宋体" w:eastAsia="宋体" w:cs="Times New Roman"/>
          <w:bCs/>
          <w:color w:val="0D0D0D"/>
          <w:sz w:val="24"/>
          <w:szCs w:val="20"/>
          <w:lang w:val="zh-CN"/>
        </w:rPr>
      </w:pPr>
      <w:r>
        <w:rPr>
          <w:rFonts w:hint="eastAsia" w:ascii="宋体" w:hAnsi="宋体" w:eastAsia="宋体" w:cs="Times New Roman"/>
          <w:bCs/>
          <w:color w:val="0D0D0D"/>
          <w:sz w:val="24"/>
          <w:szCs w:val="20"/>
          <w:lang w:val="zh-CN"/>
        </w:rPr>
        <w:t>根据《政府采购法》、《政府采购法实施条例》、《政府采购货物和服务招标投标管理办法》等相关法律法规确定以下资格审查方法及标准。</w:t>
      </w:r>
    </w:p>
    <w:p>
      <w:pPr>
        <w:pStyle w:val="5"/>
        <w:numPr>
          <w:ilvl w:val="0"/>
          <w:numId w:val="42"/>
        </w:numPr>
        <w:spacing w:before="0" w:after="0" w:line="360" w:lineRule="auto"/>
        <w:ind w:left="616" w:hanging="616"/>
        <w:jc w:val="left"/>
        <w:rPr>
          <w:rFonts w:cs="Times New Roman" w:asciiTheme="majorEastAsia" w:hAnsiTheme="majorEastAsia"/>
          <w:bCs w:val="0"/>
          <w:sz w:val="30"/>
          <w:szCs w:val="30"/>
          <w:lang w:val="zh-CN"/>
        </w:rPr>
      </w:pPr>
      <w:bookmarkStart w:id="66" w:name="_Toc494561958"/>
      <w:bookmarkStart w:id="67" w:name="_Toc23493"/>
      <w:r>
        <w:rPr>
          <w:rFonts w:hint="eastAsia" w:cs="Times New Roman" w:asciiTheme="majorEastAsia" w:hAnsiTheme="majorEastAsia"/>
          <w:bCs w:val="0"/>
          <w:sz w:val="30"/>
          <w:szCs w:val="30"/>
          <w:lang w:val="zh-CN"/>
        </w:rPr>
        <w:t>资格审查方法</w:t>
      </w:r>
      <w:bookmarkEnd w:id="66"/>
      <w:bookmarkEnd w:id="67"/>
    </w:p>
    <w:p>
      <w:pPr>
        <w:spacing w:line="360" w:lineRule="auto"/>
        <w:ind w:firstLine="420"/>
        <w:rPr>
          <w:rFonts w:ascii="宋体" w:hAnsi="宋体" w:eastAsia="宋体" w:cs="Times New Roman"/>
          <w:bCs/>
          <w:color w:val="0D0D0D"/>
          <w:sz w:val="24"/>
          <w:szCs w:val="20"/>
          <w:lang w:val="zh-CN"/>
        </w:rPr>
      </w:pPr>
      <w:r>
        <w:rPr>
          <w:rFonts w:hint="eastAsia" w:ascii="宋体" w:hAnsi="宋体" w:eastAsia="宋体" w:cs="Times New Roman"/>
          <w:bCs/>
          <w:color w:val="0D0D0D"/>
          <w:sz w:val="24"/>
          <w:szCs w:val="20"/>
          <w:lang w:val="zh-CN"/>
        </w:rPr>
        <w:t>公开招标采购项目开标结束后，采购人成立资格审查小组，依据法律、法规及招标文件的规定，对投标人的资格进行审查，以确定投标人资格是否合格。</w:t>
      </w:r>
    </w:p>
    <w:p>
      <w:pPr>
        <w:pStyle w:val="5"/>
        <w:numPr>
          <w:ilvl w:val="0"/>
          <w:numId w:val="42"/>
        </w:numPr>
        <w:spacing w:before="0" w:after="0" w:line="360" w:lineRule="auto"/>
        <w:ind w:left="616" w:hanging="616"/>
        <w:jc w:val="left"/>
        <w:rPr>
          <w:rFonts w:cs="Times New Roman" w:asciiTheme="majorEastAsia" w:hAnsiTheme="majorEastAsia"/>
          <w:bCs w:val="0"/>
          <w:sz w:val="30"/>
          <w:szCs w:val="30"/>
          <w:lang w:val="zh-CN"/>
        </w:rPr>
      </w:pPr>
      <w:bookmarkStart w:id="68" w:name="_Toc494561959"/>
      <w:bookmarkStart w:id="69" w:name="_Toc1167"/>
      <w:r>
        <w:rPr>
          <w:rFonts w:hint="eastAsia" w:cs="Times New Roman" w:asciiTheme="majorEastAsia" w:hAnsiTheme="majorEastAsia"/>
          <w:bCs w:val="0"/>
          <w:sz w:val="30"/>
          <w:szCs w:val="30"/>
          <w:lang w:val="zh-CN"/>
        </w:rPr>
        <w:t>资格审查标准</w:t>
      </w:r>
      <w:bookmarkEnd w:id="68"/>
      <w:bookmarkEnd w:id="69"/>
    </w:p>
    <w:p>
      <w:pPr>
        <w:numPr>
          <w:ilvl w:val="0"/>
          <w:numId w:val="43"/>
        </w:numPr>
        <w:tabs>
          <w:tab w:val="left" w:pos="616"/>
        </w:tabs>
        <w:spacing w:line="360" w:lineRule="auto"/>
        <w:ind w:left="14" w:firstLine="238"/>
        <w:rPr>
          <w:rFonts w:ascii="宋体" w:hAnsi="宋体" w:eastAsia="宋体" w:cs="Times New Roman"/>
          <w:b/>
          <w:color w:val="0D0D0D"/>
          <w:sz w:val="24"/>
          <w:szCs w:val="24"/>
          <w:lang w:val="zh-CN"/>
        </w:rPr>
      </w:pPr>
      <w:r>
        <w:rPr>
          <w:rFonts w:hint="eastAsia" w:ascii="宋体" w:hAnsi="宋体" w:eastAsia="宋体" w:cs="Times New Roman"/>
          <w:b/>
          <w:color w:val="0D0D0D"/>
          <w:sz w:val="24"/>
          <w:szCs w:val="24"/>
          <w:lang w:val="zh-CN"/>
        </w:rPr>
        <w:t>资格证明文件审查</w:t>
      </w:r>
    </w:p>
    <w:p>
      <w:pPr>
        <w:tabs>
          <w:tab w:val="left" w:pos="616"/>
        </w:tabs>
        <w:spacing w:line="360" w:lineRule="auto"/>
        <w:ind w:firstLine="420"/>
        <w:rPr>
          <w:rFonts w:ascii="Helvetica" w:hAnsi="Helvetica" w:eastAsia="宋体" w:cs="Helvetica"/>
          <w:b/>
          <w:color w:val="0D0D0D"/>
          <w:kern w:val="0"/>
          <w:sz w:val="24"/>
          <w:szCs w:val="24"/>
          <w:lang w:val="zh-CN"/>
        </w:rPr>
      </w:pPr>
      <w:r>
        <w:rPr>
          <w:rFonts w:hint="eastAsia" w:ascii="Helvetica" w:hAnsi="Helvetica" w:eastAsia="宋体" w:cs="Helvetica"/>
          <w:color w:val="0D0D0D"/>
          <w:kern w:val="0"/>
          <w:sz w:val="24"/>
          <w:szCs w:val="24"/>
          <w:lang w:val="zh-CN"/>
        </w:rPr>
        <w:t>所递交的资格证明文件出现不符合下列情形之一或不足以证明其符合下列情形之一的，应视为资格审查不合格，并按照</w:t>
      </w:r>
      <w:r>
        <w:rPr>
          <w:rFonts w:hint="eastAsia" w:ascii="Helvetica" w:hAnsi="Helvetica" w:eastAsia="宋体" w:cs="Helvetica"/>
          <w:b/>
          <w:color w:val="0D0D0D"/>
          <w:kern w:val="0"/>
          <w:sz w:val="24"/>
          <w:szCs w:val="24"/>
          <w:lang w:val="zh-CN"/>
        </w:rPr>
        <w:t>无效投标处理：</w:t>
      </w:r>
    </w:p>
    <w:p>
      <w:pPr>
        <w:pStyle w:val="34"/>
        <w:numPr>
          <w:ilvl w:val="0"/>
          <w:numId w:val="44"/>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应具备《政府采购法》第二十二条第一款规定的条件，</w:t>
      </w:r>
      <w:r>
        <w:rPr>
          <w:rFonts w:hint="eastAsia" w:hAnsi="宋体"/>
          <w:sz w:val="24"/>
          <w:szCs w:val="24"/>
        </w:rPr>
        <w:t>提供下列材料</w:t>
      </w:r>
      <w:r>
        <w:rPr>
          <w:rFonts w:hint="eastAsia" w:ascii="宋体" w:hAnsi="宋体" w:eastAsia="宋体" w:cs="Times New Roman"/>
          <w:sz w:val="24"/>
          <w:szCs w:val="24"/>
          <w:lang w:val="zh-CN"/>
        </w:rPr>
        <w:t>：</w:t>
      </w:r>
    </w:p>
    <w:p>
      <w:pPr>
        <w:pStyle w:val="34"/>
        <w:numPr>
          <w:ilvl w:val="0"/>
          <w:numId w:val="45"/>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法人或者其他组织的营业执照等证明文件，自然人的身份证明；</w:t>
      </w:r>
    </w:p>
    <w:p>
      <w:pPr>
        <w:pStyle w:val="34"/>
        <w:numPr>
          <w:ilvl w:val="0"/>
          <w:numId w:val="45"/>
        </w:numPr>
        <w:tabs>
          <w:tab w:val="left" w:pos="1036"/>
        </w:tabs>
        <w:spacing w:line="360" w:lineRule="auto"/>
        <w:ind w:left="1036" w:hanging="616" w:firstLineChars="0"/>
        <w:rPr>
          <w:rFonts w:ascii="宋体" w:hAnsi="宋体" w:eastAsia="宋体" w:cs="Times New Roman"/>
          <w:color w:val="FF0000"/>
          <w:sz w:val="24"/>
          <w:szCs w:val="24"/>
          <w:lang w:val="zh-CN"/>
        </w:rPr>
      </w:pPr>
      <w:r>
        <w:rPr>
          <w:rFonts w:hint="eastAsia" w:ascii="宋体" w:hAnsi="宋体" w:eastAsia="宋体" w:cs="Times New Roman"/>
          <w:color w:val="FF0000"/>
          <w:sz w:val="24"/>
          <w:szCs w:val="24"/>
          <w:lang w:val="zh-CN"/>
        </w:rPr>
        <w:t>财务状况报告（指审计报告），依法缴纳税收（指完税证明）和社会保障资金（指缴纳社保专用发票）的相关材料（以上所有材料仅需提供投标日期起近三年中任一年均可）；</w:t>
      </w:r>
    </w:p>
    <w:p>
      <w:pPr>
        <w:pStyle w:val="34"/>
        <w:numPr>
          <w:ilvl w:val="0"/>
          <w:numId w:val="45"/>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具备履行合同所必需的设备和专业技术能力的证明材料；</w:t>
      </w:r>
    </w:p>
    <w:p>
      <w:pPr>
        <w:pStyle w:val="34"/>
        <w:numPr>
          <w:ilvl w:val="0"/>
          <w:numId w:val="45"/>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参加政府采购活动前3年内在经营活动中没有重大违法记录的书面声明；</w:t>
      </w:r>
    </w:p>
    <w:p>
      <w:pPr>
        <w:pStyle w:val="34"/>
        <w:numPr>
          <w:ilvl w:val="0"/>
          <w:numId w:val="45"/>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具备法律、行政法规规定的其他条件的证明材料。</w:t>
      </w:r>
    </w:p>
    <w:p>
      <w:pPr>
        <w:pStyle w:val="34"/>
        <w:numPr>
          <w:ilvl w:val="0"/>
          <w:numId w:val="44"/>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未被“信用中国”网站(www.creditchina.gov.cn)列入失信被执行人、重大税收违法案件当事人名单、政府采购严重违法失信行为记录名单的书面申明及该网站查询结果页面截图；</w:t>
      </w:r>
    </w:p>
    <w:p>
      <w:pPr>
        <w:pStyle w:val="34"/>
        <w:numPr>
          <w:ilvl w:val="0"/>
          <w:numId w:val="44"/>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招标文件第一章“投标人资格要求”中有特殊要求的，投标人应提供其符合特殊要求的证明材料或者情况说明；</w:t>
      </w:r>
    </w:p>
    <w:p>
      <w:pPr>
        <w:pStyle w:val="34"/>
        <w:numPr>
          <w:ilvl w:val="0"/>
          <w:numId w:val="44"/>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不符合联合体投标相关规定和要求的；</w:t>
      </w:r>
    </w:p>
    <w:p>
      <w:pPr>
        <w:pStyle w:val="34"/>
        <w:numPr>
          <w:ilvl w:val="0"/>
          <w:numId w:val="44"/>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投标人认为需提供的其它相关资格证明材料；</w:t>
      </w:r>
    </w:p>
    <w:p>
      <w:pPr>
        <w:pStyle w:val="34"/>
        <w:numPr>
          <w:ilvl w:val="0"/>
          <w:numId w:val="44"/>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资格证明文件正本应为清晰彩色影印件且加盖单位公章。</w:t>
      </w:r>
    </w:p>
    <w:p>
      <w:pPr>
        <w:numPr>
          <w:ilvl w:val="0"/>
          <w:numId w:val="43"/>
        </w:numPr>
        <w:tabs>
          <w:tab w:val="left" w:pos="616"/>
        </w:tabs>
        <w:spacing w:line="360" w:lineRule="auto"/>
        <w:ind w:left="14" w:firstLine="238"/>
        <w:rPr>
          <w:rFonts w:ascii="宋体" w:hAnsi="宋体" w:eastAsia="宋体" w:cs="Times New Roman"/>
          <w:b/>
          <w:sz w:val="24"/>
          <w:szCs w:val="24"/>
          <w:lang w:val="zh-CN"/>
        </w:rPr>
      </w:pPr>
      <w:r>
        <w:rPr>
          <w:rFonts w:hint="eastAsia" w:ascii="宋体" w:hAnsi="宋体" w:eastAsia="宋体" w:cs="Times New Roman"/>
          <w:b/>
          <w:sz w:val="24"/>
          <w:szCs w:val="24"/>
          <w:lang w:val="zh-CN"/>
        </w:rPr>
        <w:t>确定资格审查合格投标人</w:t>
      </w:r>
    </w:p>
    <w:p>
      <w:pPr>
        <w:pStyle w:val="34"/>
        <w:numPr>
          <w:ilvl w:val="0"/>
          <w:numId w:val="46"/>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资格审查小组按照本章“资格审查方法及标准”，对各投标人资格证明文件进行审查。资格审查小组依据对各投标人资格证明文件的审查结果，确定资格审查合格的投标人，并形成书面的资格审查报告。</w:t>
      </w:r>
    </w:p>
    <w:p>
      <w:pPr>
        <w:pStyle w:val="34"/>
        <w:numPr>
          <w:ilvl w:val="0"/>
          <w:numId w:val="46"/>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资格审查合格投标人不足3家的，不进行评标。</w:t>
      </w:r>
    </w:p>
    <w:p>
      <w:pPr>
        <w:pStyle w:val="34"/>
        <w:numPr>
          <w:ilvl w:val="0"/>
          <w:numId w:val="46"/>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资格审查未通过的投标人可在结果公告质疑有效期内按公告中的联系方式获知</w:t>
      </w:r>
      <w:r>
        <w:rPr>
          <w:rFonts w:ascii="宋体" w:hAnsi="宋体" w:eastAsia="宋体" w:cs="Times New Roman"/>
          <w:sz w:val="24"/>
          <w:szCs w:val="24"/>
          <w:lang w:val="zh-CN"/>
        </w:rPr>
        <w:t>本</w:t>
      </w:r>
      <w:r>
        <w:rPr>
          <w:rFonts w:hint="eastAsia" w:ascii="宋体" w:hAnsi="宋体" w:eastAsia="宋体" w:cs="Times New Roman"/>
          <w:sz w:val="24"/>
          <w:szCs w:val="24"/>
          <w:lang w:val="zh-CN"/>
        </w:rPr>
        <w:t>单位</w:t>
      </w:r>
      <w:r>
        <w:rPr>
          <w:rFonts w:ascii="宋体" w:hAnsi="宋体" w:eastAsia="宋体" w:cs="Times New Roman"/>
          <w:sz w:val="24"/>
          <w:szCs w:val="24"/>
          <w:lang w:val="zh-CN"/>
        </w:rPr>
        <w:t>的</w:t>
      </w:r>
      <w:r>
        <w:rPr>
          <w:rFonts w:hint="eastAsia" w:ascii="宋体" w:hAnsi="宋体" w:eastAsia="宋体" w:cs="Times New Roman"/>
          <w:sz w:val="24"/>
          <w:szCs w:val="24"/>
          <w:lang w:val="zh-CN"/>
        </w:rPr>
        <w:t>资格审查情况。</w:t>
      </w:r>
    </w:p>
    <w:p>
      <w:pPr>
        <w:pStyle w:val="34"/>
        <w:numPr>
          <w:ilvl w:val="0"/>
          <w:numId w:val="46"/>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采购人已进行资格预审的，不再进行资格审查。未通过资格预审的投标人集中采购机构</w:t>
      </w:r>
      <w:r>
        <w:rPr>
          <w:rFonts w:hint="eastAsia" w:ascii="宋体" w:hAnsi="宋体" w:eastAsia="宋体" w:cs="Times New Roman"/>
          <w:b/>
          <w:sz w:val="24"/>
          <w:szCs w:val="24"/>
          <w:lang w:val="zh-CN"/>
        </w:rPr>
        <w:t>拒绝</w:t>
      </w:r>
      <w:r>
        <w:rPr>
          <w:rFonts w:hint="eastAsia" w:ascii="宋体" w:hAnsi="宋体" w:eastAsia="宋体" w:cs="Times New Roman"/>
          <w:sz w:val="24"/>
          <w:szCs w:val="24"/>
          <w:lang w:val="zh-CN"/>
        </w:rPr>
        <w:t>其投标。</w:t>
      </w:r>
    </w:p>
    <w:p>
      <w:r>
        <w:br w:type="page"/>
      </w:r>
    </w:p>
    <w:p>
      <w:pPr>
        <w:pStyle w:val="4"/>
        <w:numPr>
          <w:ilvl w:val="0"/>
          <w:numId w:val="1"/>
        </w:numPr>
        <w:jc w:val="center"/>
        <w:rPr>
          <w:rFonts w:ascii="黑体" w:hAnsi="黑体" w:eastAsia="黑体"/>
        </w:rPr>
      </w:pPr>
      <w:bookmarkStart w:id="70" w:name="_Toc16051"/>
      <w:r>
        <w:rPr>
          <w:rFonts w:hint="eastAsia" w:ascii="黑体" w:hAnsi="黑体" w:eastAsia="黑体"/>
        </w:rPr>
        <w:t>评标方法、程序及标准</w:t>
      </w:r>
      <w:bookmarkEnd w:id="70"/>
    </w:p>
    <w:p>
      <w:pPr>
        <w:spacing w:line="360" w:lineRule="auto"/>
        <w:ind w:firstLine="482"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根据《政府采购法》、《政府采购法实施条例》、《政府采购货物和服务招标投标管理办法》等相关法律法规确定以下评标办法、程序及标准。</w:t>
      </w:r>
    </w:p>
    <w:p>
      <w:pPr>
        <w:pStyle w:val="5"/>
        <w:numPr>
          <w:ilvl w:val="0"/>
          <w:numId w:val="47"/>
        </w:numPr>
        <w:spacing w:before="0" w:after="0" w:line="360" w:lineRule="auto"/>
        <w:ind w:left="616" w:hanging="616"/>
        <w:jc w:val="left"/>
        <w:rPr>
          <w:rFonts w:cs="Times New Roman" w:asciiTheme="majorEastAsia" w:hAnsiTheme="majorEastAsia"/>
          <w:bCs w:val="0"/>
          <w:sz w:val="30"/>
          <w:szCs w:val="30"/>
          <w:lang w:val="zh-CN"/>
        </w:rPr>
      </w:pPr>
      <w:bookmarkStart w:id="71" w:name="_Toc278891605"/>
      <w:bookmarkStart w:id="72" w:name="_Toc272247708"/>
      <w:bookmarkStart w:id="73" w:name="_Toc494561961"/>
      <w:bookmarkStart w:id="74" w:name="_Toc18734"/>
      <w:r>
        <w:rPr>
          <w:rFonts w:hint="eastAsia" w:cs="Times New Roman" w:asciiTheme="majorEastAsia" w:hAnsiTheme="majorEastAsia"/>
          <w:bCs w:val="0"/>
          <w:sz w:val="30"/>
          <w:szCs w:val="30"/>
          <w:lang w:val="zh-CN"/>
        </w:rPr>
        <w:t>评标</w:t>
      </w:r>
      <w:bookmarkEnd w:id="71"/>
      <w:bookmarkEnd w:id="72"/>
      <w:r>
        <w:rPr>
          <w:rFonts w:hint="eastAsia" w:cs="Times New Roman" w:asciiTheme="majorEastAsia" w:hAnsiTheme="majorEastAsia"/>
          <w:bCs w:val="0"/>
          <w:sz w:val="30"/>
          <w:szCs w:val="30"/>
          <w:lang w:val="zh-CN"/>
        </w:rPr>
        <w:t>方法</w:t>
      </w:r>
      <w:bookmarkEnd w:id="73"/>
      <w:bookmarkEnd w:id="74"/>
    </w:p>
    <w:p>
      <w:pPr>
        <w:spacing w:line="360" w:lineRule="auto"/>
        <w:ind w:firstLine="482"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本项目评标采用综合评分法，</w:t>
      </w:r>
      <w:r>
        <w:rPr>
          <w:rFonts w:ascii="宋体" w:hAnsi="宋体" w:eastAsia="宋体" w:cs="Times New Roman"/>
          <w:bCs/>
          <w:sz w:val="24"/>
          <w:szCs w:val="20"/>
          <w:lang w:val="zh-CN"/>
        </w:rPr>
        <w:t>是指投标文件满足招标文件全部实质性要求，且按照评审因素的量化指标评审得分最高的投标人为中标候选人的评标方法。</w:t>
      </w:r>
    </w:p>
    <w:p>
      <w:pPr>
        <w:pStyle w:val="5"/>
        <w:numPr>
          <w:ilvl w:val="0"/>
          <w:numId w:val="47"/>
        </w:numPr>
        <w:spacing w:before="0" w:after="0" w:line="360" w:lineRule="auto"/>
        <w:ind w:left="616" w:hanging="616"/>
        <w:jc w:val="left"/>
        <w:rPr>
          <w:rFonts w:cs="Times New Roman" w:asciiTheme="majorEastAsia" w:hAnsiTheme="majorEastAsia"/>
          <w:bCs w:val="0"/>
          <w:sz w:val="30"/>
          <w:szCs w:val="30"/>
          <w:lang w:val="zh-CN"/>
        </w:rPr>
      </w:pPr>
      <w:bookmarkStart w:id="75" w:name="_Toc278891606"/>
      <w:bookmarkStart w:id="76" w:name="_Toc272247709"/>
      <w:bookmarkStart w:id="77" w:name="_Toc494561962"/>
      <w:bookmarkStart w:id="78" w:name="_Toc15288"/>
      <w:r>
        <w:rPr>
          <w:rFonts w:hint="eastAsia" w:cs="Times New Roman" w:asciiTheme="majorEastAsia" w:hAnsiTheme="majorEastAsia"/>
          <w:bCs w:val="0"/>
          <w:sz w:val="30"/>
          <w:szCs w:val="30"/>
          <w:lang w:val="zh-CN"/>
        </w:rPr>
        <w:t>评标程序</w:t>
      </w:r>
      <w:bookmarkEnd w:id="75"/>
      <w:bookmarkEnd w:id="76"/>
      <w:r>
        <w:rPr>
          <w:rFonts w:hint="eastAsia" w:cs="Times New Roman" w:asciiTheme="majorEastAsia" w:hAnsiTheme="majorEastAsia"/>
          <w:bCs w:val="0"/>
          <w:sz w:val="30"/>
          <w:szCs w:val="30"/>
          <w:lang w:val="zh-CN"/>
        </w:rPr>
        <w:t>及标准</w:t>
      </w:r>
      <w:bookmarkEnd w:id="77"/>
      <w:bookmarkEnd w:id="78"/>
    </w:p>
    <w:p>
      <w:pPr>
        <w:spacing w:line="360" w:lineRule="auto"/>
        <w:ind w:firstLine="482"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评标委员会按以下工作程序进行评标：</w:t>
      </w:r>
      <w:r>
        <w:rPr>
          <w:rFonts w:hint="eastAsia" w:ascii="宋体" w:hAnsi="宋体" w:eastAsia="宋体" w:cs="Times New Roman"/>
          <w:sz w:val="24"/>
          <w:szCs w:val="20"/>
          <w:lang w:val="zh-CN"/>
        </w:rPr>
        <w:t>符合性审查、澄清有关问题、综合比较和评价、确定中标候选人名单。</w:t>
      </w:r>
    </w:p>
    <w:p>
      <w:pPr>
        <w:numPr>
          <w:ilvl w:val="0"/>
          <w:numId w:val="48"/>
        </w:numPr>
        <w:ind w:left="1315" w:leftChars="154" w:hanging="991" w:hangingChars="353"/>
        <w:rPr>
          <w:rFonts w:ascii="宋体" w:hAnsi="宋体" w:eastAsia="宋体" w:cs="Times New Roman"/>
          <w:strike/>
          <w:sz w:val="28"/>
          <w:szCs w:val="28"/>
          <w:lang w:val="zh-CN"/>
        </w:rPr>
      </w:pPr>
      <w:r>
        <w:rPr>
          <w:rFonts w:hint="eastAsia" w:ascii="宋体" w:hAnsi="宋体" w:eastAsia="宋体" w:cs="Times New Roman"/>
          <w:b/>
          <w:sz w:val="28"/>
          <w:szCs w:val="28"/>
          <w:lang w:val="zh-CN"/>
        </w:rPr>
        <w:t>符合性审查</w:t>
      </w:r>
    </w:p>
    <w:p>
      <w:pPr>
        <w:spacing w:line="360" w:lineRule="auto"/>
        <w:ind w:firstLine="471" w:firstLineChars="196"/>
        <w:rPr>
          <w:rFonts w:ascii="宋体" w:hAnsi="宋体" w:eastAsia="宋体" w:cs="Times New Roman"/>
          <w:bCs/>
          <w:sz w:val="24"/>
          <w:szCs w:val="20"/>
          <w:lang w:val="zh-CN"/>
        </w:rPr>
      </w:pPr>
      <w:r>
        <w:rPr>
          <w:rFonts w:ascii="Helvetica" w:hAnsi="Helvetica" w:eastAsia="宋体" w:cs="Helvetica"/>
          <w:kern w:val="0"/>
          <w:sz w:val="24"/>
          <w:szCs w:val="24"/>
          <w:lang w:val="zh-CN"/>
        </w:rPr>
        <w:t>评标委员会应当对符合资格的投标人的投标文件进行符合性审查，以确定其是否满足招标文件的实质性要求。</w:t>
      </w:r>
      <w:r>
        <w:rPr>
          <w:rFonts w:hint="eastAsia" w:ascii="宋体" w:hAnsi="宋体" w:eastAsia="宋体" w:cs="Times New Roman"/>
          <w:bCs/>
          <w:sz w:val="24"/>
          <w:szCs w:val="20"/>
          <w:lang w:val="zh-CN"/>
        </w:rPr>
        <w:t>符合性审查出现下列情形之一的投标按照</w:t>
      </w:r>
      <w:r>
        <w:rPr>
          <w:rFonts w:hint="eastAsia" w:ascii="宋体" w:hAnsi="宋体" w:eastAsia="宋体" w:cs="Times New Roman"/>
          <w:b/>
          <w:bCs/>
          <w:sz w:val="24"/>
          <w:szCs w:val="20"/>
          <w:lang w:val="zh-CN"/>
        </w:rPr>
        <w:t>无效投标处理</w:t>
      </w:r>
      <w:r>
        <w:rPr>
          <w:rFonts w:hint="eastAsia" w:ascii="宋体" w:hAnsi="宋体" w:eastAsia="宋体" w:cs="Times New Roman"/>
          <w:bCs/>
          <w:sz w:val="24"/>
          <w:szCs w:val="20"/>
          <w:lang w:val="zh-CN"/>
        </w:rPr>
        <w:t>：</w:t>
      </w:r>
    </w:p>
    <w:p>
      <w:pPr>
        <w:numPr>
          <w:ilvl w:val="0"/>
          <w:numId w:val="49"/>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投标总报价超过项目（分包）预算金额或最高限价的；</w:t>
      </w:r>
    </w:p>
    <w:p>
      <w:pPr>
        <w:numPr>
          <w:ilvl w:val="0"/>
          <w:numId w:val="49"/>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《投标书》、《法定代表人授权书》、《开标一览表》未提供或不符合招标文件要求的；</w:t>
      </w:r>
    </w:p>
    <w:p>
      <w:pPr>
        <w:numPr>
          <w:ilvl w:val="0"/>
          <w:numId w:val="49"/>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工期（服务期限）、质保期不符合招标文件要求的；</w:t>
      </w:r>
    </w:p>
    <w:p>
      <w:pPr>
        <w:numPr>
          <w:ilvl w:val="0"/>
          <w:numId w:val="49"/>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出现两个或两个以上不同报价的；</w:t>
      </w:r>
    </w:p>
    <w:p>
      <w:pPr>
        <w:numPr>
          <w:ilvl w:val="0"/>
          <w:numId w:val="49"/>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出现两个或两个以上投标方案的（招标文件中要求提供备选方案的除外）；</w:t>
      </w:r>
    </w:p>
    <w:p>
      <w:pPr>
        <w:numPr>
          <w:ilvl w:val="0"/>
          <w:numId w:val="49"/>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投标报价存在缺项、漏项的；</w:t>
      </w:r>
    </w:p>
    <w:p>
      <w:pPr>
        <w:numPr>
          <w:ilvl w:val="0"/>
          <w:numId w:val="49"/>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投标有效期不足的；</w:t>
      </w:r>
    </w:p>
    <w:p>
      <w:pPr>
        <w:numPr>
          <w:ilvl w:val="0"/>
          <w:numId w:val="49"/>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无法定代表人签字（签章）或签字（签章）人无法定代表人有效授权的；</w:t>
      </w:r>
    </w:p>
    <w:p>
      <w:pPr>
        <w:numPr>
          <w:ilvl w:val="0"/>
          <w:numId w:val="49"/>
        </w:numPr>
        <w:tabs>
          <w:tab w:val="left" w:pos="75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正本未按要求提供加盖公章及签字（签章）原件的；</w:t>
      </w:r>
    </w:p>
    <w:p>
      <w:pPr>
        <w:numPr>
          <w:ilvl w:val="0"/>
          <w:numId w:val="49"/>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符合招标文件第二章“投标人须知”中40条中规定情形，以分公司形式参与投标的，法定代表人授权书未由总公司法定代表人签字（盖章）并加盖公章的；</w:t>
      </w:r>
    </w:p>
    <w:p>
      <w:pPr>
        <w:numPr>
          <w:ilvl w:val="0"/>
          <w:numId w:val="49"/>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未按要求提供招标文件第二章“十、其他注意事项”中规定的书面声明的；</w:t>
      </w:r>
    </w:p>
    <w:p>
      <w:pPr>
        <w:numPr>
          <w:ilvl w:val="0"/>
          <w:numId w:val="49"/>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pPr>
        <w:numPr>
          <w:ilvl w:val="0"/>
          <w:numId w:val="49"/>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所投货物是通过中国海关报关验放进入中国境内且产自关境外的（招标文件中注明已办理进口产品核准的除外）；</w:t>
      </w:r>
    </w:p>
    <w:p>
      <w:pPr>
        <w:numPr>
          <w:ilvl w:val="0"/>
          <w:numId w:val="49"/>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未提供所投货物（工程或服务）的具体参数值或功能表述，或原文复制招标文件的技术规格相关部分内容作为其投标文件的一部分的；</w:t>
      </w:r>
    </w:p>
    <w:p>
      <w:pPr>
        <w:numPr>
          <w:ilvl w:val="0"/>
          <w:numId w:val="49"/>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不满足招标文件第三章“项目技术、服务和商务要求”中“★”号条款要求的；</w:t>
      </w:r>
    </w:p>
    <w:p>
      <w:pPr>
        <w:numPr>
          <w:ilvl w:val="0"/>
          <w:numId w:val="49"/>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含有采购人不能接受的附加条件的</w:t>
      </w:r>
      <w:r>
        <w:rPr>
          <w:rFonts w:hint="eastAsia" w:ascii="Times New Roman" w:hAnsi="宋体" w:eastAsia="宋体" w:cs="Times New Roman"/>
          <w:sz w:val="24"/>
          <w:szCs w:val="24"/>
          <w:lang w:val="zh-CN"/>
        </w:rPr>
        <w:t>；</w:t>
      </w:r>
    </w:p>
    <w:p>
      <w:pPr>
        <w:numPr>
          <w:ilvl w:val="0"/>
          <w:numId w:val="49"/>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pPr>
        <w:numPr>
          <w:ilvl w:val="0"/>
          <w:numId w:val="49"/>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法律、法规</w:t>
      </w:r>
      <w:r>
        <w:rPr>
          <w:rFonts w:hint="eastAsia" w:ascii="Times New Roman" w:hAnsi="宋体" w:eastAsia="宋体" w:cs="Times New Roman"/>
          <w:sz w:val="24"/>
          <w:szCs w:val="24"/>
          <w:lang w:val="zh-CN"/>
        </w:rPr>
        <w:t>和招标文件</w:t>
      </w:r>
      <w:r>
        <w:rPr>
          <w:rFonts w:ascii="Times New Roman" w:hAnsi="宋体" w:eastAsia="宋体" w:cs="Times New Roman"/>
          <w:sz w:val="24"/>
          <w:szCs w:val="24"/>
          <w:lang w:val="zh-CN"/>
        </w:rPr>
        <w:t>规定的其他</w:t>
      </w:r>
      <w:r>
        <w:rPr>
          <w:rFonts w:hint="eastAsia" w:ascii="Times New Roman" w:hAnsi="宋体" w:eastAsia="宋体" w:cs="Times New Roman"/>
          <w:sz w:val="24"/>
          <w:szCs w:val="24"/>
          <w:lang w:val="zh-CN"/>
        </w:rPr>
        <w:t>无效投标</w:t>
      </w:r>
      <w:r>
        <w:rPr>
          <w:rFonts w:ascii="Times New Roman" w:hAnsi="宋体" w:eastAsia="宋体" w:cs="Times New Roman"/>
          <w:sz w:val="24"/>
          <w:szCs w:val="24"/>
          <w:lang w:val="zh-CN"/>
        </w:rPr>
        <w:t>情形。</w:t>
      </w:r>
    </w:p>
    <w:p>
      <w:pPr>
        <w:numPr>
          <w:ilvl w:val="0"/>
          <w:numId w:val="48"/>
        </w:numPr>
        <w:ind w:left="1315" w:leftChars="154" w:hanging="991"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澄清有关问题</w:t>
      </w:r>
    </w:p>
    <w:p>
      <w:pPr>
        <w:numPr>
          <w:ilvl w:val="0"/>
          <w:numId w:val="50"/>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评标期间，</w:t>
      </w:r>
      <w:r>
        <w:rPr>
          <w:rFonts w:ascii="Helvetica" w:hAnsi="Helvetica" w:eastAsia="宋体" w:cs="Helvetica"/>
          <w:kern w:val="0"/>
          <w:sz w:val="24"/>
          <w:szCs w:val="24"/>
          <w:lang w:val="zh-CN"/>
        </w:rPr>
        <w:t>对于投标文件中含义不明确、同类问题表述不一致或者有明显文字和计算错误的内容，评标委员会应当以书面形式要求投标人作出必要的澄清、说明或者补正。</w:t>
      </w:r>
    </w:p>
    <w:p>
      <w:pPr>
        <w:numPr>
          <w:ilvl w:val="0"/>
          <w:numId w:val="50"/>
        </w:numPr>
        <w:tabs>
          <w:tab w:val="left" w:pos="616"/>
        </w:tabs>
        <w:spacing w:line="360" w:lineRule="auto"/>
        <w:ind w:left="10" w:leftChars="5" w:firstLine="237" w:firstLineChars="99"/>
        <w:rPr>
          <w:rFonts w:ascii="宋体" w:hAnsi="宋体" w:eastAsia="宋体" w:cs="Times New Roman"/>
          <w:bCs/>
          <w:strike/>
          <w:sz w:val="24"/>
          <w:szCs w:val="20"/>
          <w:lang w:val="zh-CN"/>
        </w:rPr>
      </w:pPr>
      <w:r>
        <w:rPr>
          <w:rFonts w:hint="eastAsia" w:ascii="宋体" w:hAnsi="宋体" w:eastAsia="宋体" w:cs="Times New Roman"/>
          <w:bCs/>
          <w:sz w:val="24"/>
          <w:szCs w:val="20"/>
          <w:lang w:val="zh-CN"/>
        </w:rPr>
        <w:t>投标人应按照评标委员会要求的澄清内容在规定时间内做出澄清。</w:t>
      </w:r>
      <w:r>
        <w:rPr>
          <w:rFonts w:ascii="宋体" w:hAnsi="宋体" w:eastAsia="宋体" w:cs="Times New Roman"/>
          <w:sz w:val="24"/>
          <w:szCs w:val="20"/>
          <w:lang w:val="zh-CN"/>
        </w:rPr>
        <w:t>投标文件报价出现前后不一致的</w:t>
      </w:r>
      <w:r>
        <w:rPr>
          <w:rFonts w:hint="eastAsia" w:ascii="宋体" w:hAnsi="宋体" w:eastAsia="宋体" w:cs="Times New Roman"/>
          <w:sz w:val="24"/>
          <w:szCs w:val="20"/>
          <w:lang w:val="zh-CN"/>
        </w:rPr>
        <w:t>，按照本节第3</w:t>
      </w:r>
      <w:r>
        <w:rPr>
          <w:rFonts w:hint="eastAsia" w:ascii="宋体" w:hAnsi="宋体" w:eastAsia="宋体" w:cs="Times New Roman"/>
          <w:bCs/>
          <w:sz w:val="24"/>
          <w:szCs w:val="20"/>
          <w:lang w:val="zh-CN"/>
        </w:rPr>
        <w:t>条规定进行修正，</w:t>
      </w:r>
      <w:r>
        <w:rPr>
          <w:rFonts w:ascii="Helvetica" w:hAnsi="Helvetica" w:eastAsia="宋体" w:cs="Helvetica"/>
          <w:kern w:val="0"/>
          <w:sz w:val="24"/>
          <w:szCs w:val="24"/>
          <w:lang w:val="zh-CN"/>
        </w:rPr>
        <w:t>投标人的澄清、说明或者补正不得超出投标文件的范围或者改变投标文件的实质性内容。</w:t>
      </w:r>
    </w:p>
    <w:p>
      <w:pPr>
        <w:numPr>
          <w:ilvl w:val="0"/>
          <w:numId w:val="50"/>
        </w:numPr>
        <w:tabs>
          <w:tab w:val="left" w:pos="616"/>
        </w:tabs>
        <w:spacing w:line="360" w:lineRule="auto"/>
        <w:ind w:left="10" w:leftChars="5" w:firstLine="237" w:firstLineChars="99"/>
        <w:rPr>
          <w:rFonts w:ascii="宋体" w:hAnsi="宋体" w:eastAsia="宋体" w:cs="Times New Roman"/>
          <w:bCs/>
          <w:sz w:val="24"/>
          <w:szCs w:val="20"/>
          <w:lang w:val="zh-CN"/>
        </w:rPr>
      </w:pPr>
      <w:r>
        <w:rPr>
          <w:rFonts w:ascii="宋体" w:hAnsi="宋体" w:eastAsia="宋体" w:cs="Times New Roman"/>
          <w:bCs/>
          <w:sz w:val="24"/>
          <w:szCs w:val="20"/>
          <w:lang w:val="zh-CN"/>
        </w:rPr>
        <w:t>投标文件报价出现前后不一致的，按照下列规定修正：</w:t>
      </w:r>
    </w:p>
    <w:p>
      <w:pPr>
        <w:numPr>
          <w:ilvl w:val="0"/>
          <w:numId w:val="51"/>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投标文件中开标一览表内容与投标文件中相应内容不一致的，以开标一览表为准</w:t>
      </w:r>
      <w:r>
        <w:rPr>
          <w:rFonts w:hint="eastAsia" w:ascii="宋体" w:hAnsi="宋体" w:eastAsia="宋体" w:cs="Times New Roman"/>
          <w:color w:val="0D0D0D"/>
          <w:sz w:val="24"/>
          <w:szCs w:val="24"/>
          <w:lang w:val="zh-CN"/>
        </w:rPr>
        <w:t>。</w:t>
      </w:r>
    </w:p>
    <w:p>
      <w:pPr>
        <w:numPr>
          <w:ilvl w:val="0"/>
          <w:numId w:val="51"/>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大写金额和小写金额不一致的，以大写金额为准</w:t>
      </w:r>
      <w:r>
        <w:rPr>
          <w:rFonts w:hint="eastAsia" w:ascii="宋体" w:hAnsi="宋体" w:eastAsia="宋体" w:cs="Times New Roman"/>
          <w:color w:val="0D0D0D"/>
          <w:sz w:val="24"/>
          <w:szCs w:val="24"/>
          <w:lang w:val="zh-CN"/>
        </w:rPr>
        <w:t>。</w:t>
      </w:r>
    </w:p>
    <w:p>
      <w:pPr>
        <w:numPr>
          <w:ilvl w:val="0"/>
          <w:numId w:val="51"/>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单价金额小数点或者百分比有明显错位的，以开标一览表的总价为准，并修改单价</w:t>
      </w:r>
      <w:r>
        <w:rPr>
          <w:rFonts w:hint="eastAsia" w:ascii="宋体" w:hAnsi="宋体" w:eastAsia="宋体" w:cs="Times New Roman"/>
          <w:color w:val="0D0D0D"/>
          <w:sz w:val="24"/>
          <w:szCs w:val="24"/>
          <w:lang w:val="zh-CN"/>
        </w:rPr>
        <w:t>。</w:t>
      </w:r>
    </w:p>
    <w:p>
      <w:pPr>
        <w:numPr>
          <w:ilvl w:val="0"/>
          <w:numId w:val="51"/>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总价金额与按单价汇总金额不一致的，以单价金额计算结果为准</w:t>
      </w:r>
      <w:r>
        <w:rPr>
          <w:rFonts w:hint="eastAsia" w:ascii="宋体" w:hAnsi="宋体" w:eastAsia="宋体" w:cs="Times New Roman"/>
          <w:color w:val="0D0D0D"/>
          <w:sz w:val="24"/>
          <w:szCs w:val="24"/>
          <w:lang w:val="zh-CN"/>
        </w:rPr>
        <w:t>。</w:t>
      </w:r>
    </w:p>
    <w:p>
      <w:pPr>
        <w:numPr>
          <w:ilvl w:val="0"/>
          <w:numId w:val="51"/>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同时出现两种以上不一致的，按照前款规定的顺序修正</w:t>
      </w:r>
      <w:r>
        <w:rPr>
          <w:rFonts w:hint="eastAsia" w:ascii="宋体" w:hAnsi="宋体" w:eastAsia="宋体" w:cs="Times New Roman"/>
          <w:color w:val="0D0D0D"/>
          <w:sz w:val="24"/>
          <w:szCs w:val="24"/>
          <w:lang w:val="zh-CN"/>
        </w:rPr>
        <w:t>。</w:t>
      </w:r>
    </w:p>
    <w:p>
      <w:pPr>
        <w:numPr>
          <w:ilvl w:val="0"/>
          <w:numId w:val="51"/>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修正后的报价按照</w:t>
      </w:r>
      <w:r>
        <w:rPr>
          <w:rFonts w:hint="eastAsia" w:ascii="宋体" w:hAnsi="宋体" w:eastAsia="宋体" w:cs="Times New Roman"/>
          <w:color w:val="0D0D0D"/>
          <w:sz w:val="24"/>
          <w:szCs w:val="24"/>
          <w:lang w:val="zh-CN"/>
        </w:rPr>
        <w:t>本节第4条规定</w:t>
      </w:r>
      <w:r>
        <w:rPr>
          <w:rFonts w:ascii="宋体" w:hAnsi="宋体" w:eastAsia="宋体" w:cs="Times New Roman"/>
          <w:color w:val="0D0D0D"/>
          <w:sz w:val="24"/>
          <w:szCs w:val="24"/>
          <w:lang w:val="zh-CN"/>
        </w:rPr>
        <w:t>经投标人确认后产生约束力，投标人不确认的，</w:t>
      </w:r>
      <w:r>
        <w:rPr>
          <w:rFonts w:hint="eastAsia" w:ascii="宋体" w:hAnsi="宋体" w:eastAsia="宋体" w:cs="Times New Roman"/>
          <w:color w:val="0D0D0D"/>
          <w:sz w:val="24"/>
          <w:szCs w:val="24"/>
          <w:lang w:val="zh-CN"/>
        </w:rPr>
        <w:t>按照</w:t>
      </w:r>
      <w:r>
        <w:rPr>
          <w:rFonts w:ascii="宋体" w:hAnsi="宋体" w:eastAsia="宋体" w:cs="Times New Roman"/>
          <w:b/>
          <w:color w:val="0D0D0D"/>
          <w:sz w:val="24"/>
          <w:szCs w:val="24"/>
          <w:lang w:val="zh-CN"/>
        </w:rPr>
        <w:t>无效</w:t>
      </w:r>
      <w:r>
        <w:rPr>
          <w:rFonts w:hint="eastAsia" w:ascii="宋体" w:hAnsi="宋体" w:eastAsia="宋体" w:cs="Times New Roman"/>
          <w:b/>
          <w:color w:val="0D0D0D"/>
          <w:sz w:val="24"/>
          <w:szCs w:val="24"/>
          <w:lang w:val="zh-CN"/>
        </w:rPr>
        <w:t>投标处理</w:t>
      </w:r>
      <w:r>
        <w:rPr>
          <w:rFonts w:ascii="宋体" w:hAnsi="宋体" w:eastAsia="宋体" w:cs="Times New Roman"/>
          <w:color w:val="0D0D0D"/>
          <w:sz w:val="24"/>
          <w:szCs w:val="24"/>
          <w:lang w:val="zh-CN"/>
        </w:rPr>
        <w:t>。</w:t>
      </w:r>
    </w:p>
    <w:p>
      <w:pPr>
        <w:numPr>
          <w:ilvl w:val="0"/>
          <w:numId w:val="50"/>
        </w:numPr>
        <w:tabs>
          <w:tab w:val="left" w:pos="616"/>
        </w:tabs>
        <w:spacing w:line="360" w:lineRule="auto"/>
        <w:ind w:left="10" w:leftChars="5" w:firstLine="237" w:firstLineChars="99"/>
        <w:rPr>
          <w:rFonts w:ascii="宋体" w:hAnsi="宋体" w:eastAsia="宋体" w:cs="Times New Roman"/>
          <w:sz w:val="24"/>
          <w:szCs w:val="20"/>
          <w:lang w:val="zh-CN"/>
        </w:rPr>
      </w:pPr>
      <w:r>
        <w:rPr>
          <w:rFonts w:hint="eastAsia" w:ascii="宋体" w:hAnsi="宋体" w:eastAsia="宋体" w:cs="Times New Roman"/>
          <w:sz w:val="24"/>
          <w:szCs w:val="20"/>
          <w:lang w:val="zh-CN"/>
        </w:rPr>
        <w:t>投标人的</w:t>
      </w:r>
      <w:r>
        <w:rPr>
          <w:rFonts w:ascii="Helvetica" w:hAnsi="Helvetica" w:eastAsia="宋体" w:cs="Helvetica"/>
          <w:kern w:val="0"/>
          <w:sz w:val="24"/>
          <w:szCs w:val="24"/>
          <w:lang w:val="zh-CN"/>
        </w:rPr>
        <w:t>澄清、说明或者补正</w:t>
      </w:r>
      <w:r>
        <w:rPr>
          <w:rFonts w:hint="eastAsia" w:ascii="宋体" w:hAnsi="宋体" w:eastAsia="宋体" w:cs="Times New Roman"/>
          <w:sz w:val="24"/>
          <w:szCs w:val="20"/>
          <w:lang w:val="zh-CN"/>
        </w:rPr>
        <w:t>是其投标文件的有效组成部分。</w:t>
      </w:r>
      <w:r>
        <w:rPr>
          <w:rFonts w:ascii="Helvetica" w:hAnsi="Helvetica" w:eastAsia="宋体" w:cs="Helvetica"/>
          <w:kern w:val="0"/>
          <w:sz w:val="24"/>
          <w:szCs w:val="24"/>
          <w:lang w:val="zh-CN"/>
        </w:rPr>
        <w:t>投标人的澄清、说明或者补正应当采用书面形式，并加盖公章，或者由法定代表人或其授权的代表签字。</w:t>
      </w:r>
    </w:p>
    <w:p>
      <w:pPr>
        <w:numPr>
          <w:ilvl w:val="0"/>
          <w:numId w:val="48"/>
        </w:numPr>
        <w:ind w:left="1315" w:leftChars="154" w:hanging="991"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综合比较与评价</w:t>
      </w:r>
    </w:p>
    <w:p>
      <w:pPr>
        <w:spacing w:line="360" w:lineRule="auto"/>
        <w:ind w:firstLine="482" w:firstLineChars="200"/>
        <w:rPr>
          <w:rFonts w:ascii="宋体" w:hAnsi="宋体" w:eastAsia="宋体" w:cs="Times New Roman"/>
          <w:bCs/>
          <w:sz w:val="24"/>
          <w:szCs w:val="20"/>
          <w:lang w:val="zh-CN"/>
        </w:rPr>
      </w:pPr>
      <w:r>
        <w:rPr>
          <w:rFonts w:ascii="宋体" w:hAnsi="宋体" w:eastAsia="宋体" w:cs="Times New Roman"/>
          <w:bCs/>
          <w:sz w:val="24"/>
          <w:szCs w:val="20"/>
          <w:lang w:val="zh-CN"/>
        </w:rPr>
        <w:t>评标委员会应当按照</w:t>
      </w:r>
      <w:r>
        <w:rPr>
          <w:rFonts w:hint="eastAsia" w:ascii="宋体" w:hAnsi="宋体" w:eastAsia="宋体" w:cs="Times New Roman"/>
          <w:bCs/>
          <w:sz w:val="24"/>
          <w:szCs w:val="20"/>
          <w:lang w:val="zh-CN"/>
        </w:rPr>
        <w:t>本章</w:t>
      </w:r>
      <w:r>
        <w:rPr>
          <w:rFonts w:ascii="宋体" w:hAnsi="宋体" w:eastAsia="宋体" w:cs="Times New Roman"/>
          <w:bCs/>
          <w:sz w:val="24"/>
          <w:szCs w:val="20"/>
          <w:lang w:val="zh-CN"/>
        </w:rPr>
        <w:t>中规定的</w:t>
      </w:r>
      <w:r>
        <w:rPr>
          <w:rFonts w:hint="eastAsia" w:ascii="宋体" w:hAnsi="宋体" w:eastAsia="宋体" w:cs="Times New Roman"/>
          <w:bCs/>
          <w:sz w:val="24"/>
          <w:szCs w:val="20"/>
          <w:lang w:val="zh-CN"/>
        </w:rPr>
        <w:t>评标方法和标准</w:t>
      </w:r>
      <w:r>
        <w:rPr>
          <w:rFonts w:ascii="宋体" w:hAnsi="宋体" w:eastAsia="宋体" w:cs="Times New Roman"/>
          <w:bCs/>
          <w:sz w:val="24"/>
          <w:szCs w:val="20"/>
          <w:lang w:val="zh-CN"/>
        </w:rPr>
        <w:t>，对符合性审查合格的投标文件进行商务和技术</w:t>
      </w:r>
      <w:r>
        <w:rPr>
          <w:rFonts w:hint="eastAsia" w:ascii="宋体" w:hAnsi="宋体" w:eastAsia="宋体" w:cs="Times New Roman"/>
          <w:bCs/>
          <w:sz w:val="24"/>
          <w:szCs w:val="20"/>
          <w:lang w:val="zh-CN"/>
        </w:rPr>
        <w:t>、服务</w:t>
      </w:r>
      <w:r>
        <w:rPr>
          <w:rFonts w:ascii="宋体" w:hAnsi="宋体" w:eastAsia="宋体" w:cs="Times New Roman"/>
          <w:bCs/>
          <w:sz w:val="24"/>
          <w:szCs w:val="20"/>
          <w:lang w:val="zh-CN"/>
        </w:rPr>
        <w:t>评估，综合比较与评价。</w:t>
      </w:r>
    </w:p>
    <w:p>
      <w:pPr>
        <w:numPr>
          <w:ilvl w:val="0"/>
          <w:numId w:val="52"/>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商务评议</w:t>
      </w:r>
    </w:p>
    <w:p>
      <w:pPr>
        <w:spacing w:line="360" w:lineRule="auto"/>
        <w:ind w:firstLine="482"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评标委员会对符合性审查合格的投标文件进行评议，并依据本章“评审因素及评分标准”中的商务评议进行综合比较和评分。</w:t>
      </w:r>
    </w:p>
    <w:p>
      <w:pPr>
        <w:numPr>
          <w:ilvl w:val="0"/>
          <w:numId w:val="52"/>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技术、服务评议</w:t>
      </w:r>
    </w:p>
    <w:p>
      <w:pPr>
        <w:spacing w:line="360" w:lineRule="auto"/>
        <w:ind w:firstLine="482" w:firstLineChars="200"/>
        <w:rPr>
          <w:rFonts w:ascii="宋体" w:hAnsi="宋体" w:eastAsia="宋体" w:cs="Times New Roman"/>
          <w:kern w:val="0"/>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评标委员会对符合性审查合格的投标文件进行评议，并依据本章“评审因素及评分标准”中的技术、服务评议进行综合比较和评分。</w:t>
      </w:r>
    </w:p>
    <w:p>
      <w:pPr>
        <w:numPr>
          <w:ilvl w:val="0"/>
          <w:numId w:val="52"/>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价格评议</w:t>
      </w:r>
    </w:p>
    <w:p>
      <w:pPr>
        <w:spacing w:line="360" w:lineRule="auto"/>
        <w:ind w:firstLine="482" w:firstLineChars="200"/>
        <w:rPr>
          <w:rFonts w:ascii="宋体" w:hAnsi="宋体" w:eastAsia="宋体" w:cs="Times New Roman"/>
          <w:bCs/>
          <w:sz w:val="24"/>
          <w:szCs w:val="24"/>
        </w:rPr>
      </w:pPr>
      <w:r>
        <w:rPr>
          <w:rFonts w:hint="eastAsia" w:ascii="宋体" w:hAnsi="宋体" w:eastAsia="宋体" w:cs="Times New Roman"/>
          <w:bCs/>
          <w:sz w:val="24"/>
          <w:szCs w:val="24"/>
        </w:rPr>
        <w:t>评标委员会对符合性审查合格的投标文件进行价格评议（</w:t>
      </w:r>
      <w:r>
        <w:rPr>
          <w:rFonts w:hint="eastAsia" w:ascii="宋体" w:hAnsi="宋体" w:eastAsia="宋体" w:cs="Times New Roman"/>
          <w:bCs/>
          <w:sz w:val="24"/>
          <w:szCs w:val="21"/>
          <w:lang w:val="zh-CN"/>
        </w:rPr>
        <w:t>执行国家统一定价标准和采用固定价格采购的项目，其价格不列为评审因素</w:t>
      </w:r>
      <w:r>
        <w:rPr>
          <w:rFonts w:hint="eastAsia" w:ascii="宋体" w:hAnsi="宋体" w:eastAsia="宋体" w:cs="Times New Roman"/>
          <w:bCs/>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53"/>
        </w:numPr>
        <w:adjustRightInd w:val="0"/>
        <w:spacing w:line="360" w:lineRule="auto"/>
        <w:ind w:left="742" w:hanging="493"/>
        <w:rPr>
          <w:rFonts w:ascii="宋体" w:hAnsi="宋体" w:eastAsia="宋体" w:cs="Times New Roman"/>
          <w:bCs/>
          <w:sz w:val="24"/>
          <w:szCs w:val="21"/>
          <w:lang w:val="zh-CN"/>
        </w:rPr>
      </w:pPr>
      <w:r>
        <w:rPr>
          <w:rFonts w:hint="eastAsia" w:ascii="宋体" w:hAnsi="宋体" w:eastAsia="宋体" w:cs="Times New Roman"/>
          <w:b/>
          <w:sz w:val="24"/>
          <w:szCs w:val="24"/>
          <w:lang w:val="zh-CN"/>
        </w:rPr>
        <w:t>报价合理性说明：</w:t>
      </w:r>
      <w:r>
        <w:rPr>
          <w:rFonts w:ascii="宋体" w:hAnsi="宋体" w:eastAsia="宋体" w:cs="Helvetica"/>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hint="eastAsia" w:ascii="宋体" w:hAnsi="宋体" w:eastAsia="宋体" w:cs="Helvetica"/>
          <w:kern w:val="0"/>
          <w:sz w:val="24"/>
          <w:szCs w:val="24"/>
          <w:lang w:val="zh-CN"/>
        </w:rPr>
        <w:t>应当将其作为</w:t>
      </w:r>
      <w:r>
        <w:rPr>
          <w:rFonts w:ascii="宋体" w:hAnsi="宋体" w:eastAsia="宋体" w:cs="Helvetica"/>
          <w:b/>
          <w:kern w:val="0"/>
          <w:sz w:val="24"/>
          <w:szCs w:val="24"/>
          <w:lang w:val="zh-CN"/>
        </w:rPr>
        <w:t>无效投标处理</w:t>
      </w:r>
      <w:r>
        <w:rPr>
          <w:rFonts w:ascii="宋体" w:hAnsi="宋体" w:eastAsia="宋体" w:cs="Helvetica"/>
          <w:kern w:val="0"/>
          <w:sz w:val="24"/>
          <w:szCs w:val="24"/>
          <w:lang w:val="zh-CN"/>
        </w:rPr>
        <w:t>。</w:t>
      </w:r>
    </w:p>
    <w:p>
      <w:pPr>
        <w:numPr>
          <w:ilvl w:val="0"/>
          <w:numId w:val="52"/>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相同品牌处理原则</w:t>
      </w:r>
    </w:p>
    <w:p>
      <w:pPr>
        <w:numPr>
          <w:ilvl w:val="0"/>
          <w:numId w:val="54"/>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Pr>
          <w:rFonts w:hint="eastAsia" w:ascii="Helvetica" w:hAnsi="Helvetica" w:eastAsia="宋体" w:cs="Helvetica"/>
          <w:color w:val="0D0D0D"/>
          <w:kern w:val="0"/>
          <w:sz w:val="24"/>
          <w:szCs w:val="24"/>
          <w:lang w:val="zh-CN"/>
        </w:rPr>
        <w:t>确定</w:t>
      </w:r>
      <w:r>
        <w:rPr>
          <w:rFonts w:ascii="Helvetica" w:hAnsi="Helvetica" w:eastAsia="宋体" w:cs="Helvetica"/>
          <w:color w:val="0D0D0D"/>
          <w:kern w:val="0"/>
          <w:sz w:val="24"/>
          <w:szCs w:val="24"/>
          <w:lang w:val="zh-CN"/>
        </w:rPr>
        <w:t>或者采购人委托评标委员会</w:t>
      </w:r>
      <w:r>
        <w:rPr>
          <w:rFonts w:hint="eastAsia" w:ascii="Helvetica" w:hAnsi="Helvetica" w:eastAsia="宋体" w:cs="Helvetica"/>
          <w:color w:val="0D0D0D"/>
          <w:kern w:val="0"/>
          <w:sz w:val="24"/>
          <w:szCs w:val="24"/>
          <w:lang w:val="zh-CN"/>
        </w:rPr>
        <w:t>以投票方式</w:t>
      </w:r>
      <w:r>
        <w:rPr>
          <w:rFonts w:ascii="Helvetica" w:hAnsi="Helvetica" w:eastAsia="宋体" w:cs="Helvetica"/>
          <w:color w:val="0D0D0D"/>
          <w:kern w:val="0"/>
          <w:sz w:val="24"/>
          <w:szCs w:val="24"/>
          <w:lang w:val="zh-CN"/>
        </w:rPr>
        <w:t>确定一个投标人获得中标人推荐资格，其他同品牌投标人不作为中标候选人。</w:t>
      </w:r>
    </w:p>
    <w:p>
      <w:pPr>
        <w:numPr>
          <w:ilvl w:val="0"/>
          <w:numId w:val="54"/>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rPr>
        <w:t>非单一产品采购项目，采购人</w:t>
      </w:r>
      <w:r>
        <w:rPr>
          <w:rFonts w:ascii="Helvetica" w:hAnsi="Helvetica" w:eastAsia="宋体" w:cs="Helvetica"/>
          <w:kern w:val="0"/>
          <w:sz w:val="24"/>
          <w:szCs w:val="24"/>
          <w:lang w:val="zh-CN"/>
        </w:rPr>
        <w:t>应当根据采购项目技术构成、产品价格比重等合理确定</w:t>
      </w:r>
      <w:r>
        <w:rPr>
          <w:rFonts w:hint="eastAsia" w:ascii="Helvetica" w:hAnsi="Helvetica" w:eastAsia="宋体" w:cs="Helvetica"/>
          <w:b/>
          <w:kern w:val="0"/>
          <w:sz w:val="24"/>
          <w:szCs w:val="24"/>
          <w:lang w:val="zh-CN"/>
        </w:rPr>
        <w:t>一个</w:t>
      </w:r>
      <w:r>
        <w:rPr>
          <w:rFonts w:ascii="Helvetica" w:hAnsi="Helvetica" w:eastAsia="宋体" w:cs="Helvetica"/>
          <w:b/>
          <w:kern w:val="0"/>
          <w:sz w:val="24"/>
          <w:szCs w:val="24"/>
          <w:lang w:val="zh-CN"/>
        </w:rPr>
        <w:t>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采购清单中作“相同〈或同一〉品牌”实质性要求的产品，视为一个核心产品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w:t>
      </w:r>
      <w:r>
        <w:rPr>
          <w:rFonts w:ascii="Helvetica" w:hAnsi="Helvetica" w:eastAsia="宋体" w:cs="Helvetica"/>
          <w:kern w:val="0"/>
          <w:sz w:val="24"/>
          <w:szCs w:val="24"/>
          <w:lang w:val="zh-CN"/>
        </w:rPr>
        <w:t>并</w:t>
      </w:r>
      <w:r>
        <w:rPr>
          <w:rFonts w:hint="eastAsia" w:ascii="Helvetica" w:hAnsi="Helvetica" w:eastAsia="宋体" w:cs="Helvetica"/>
          <w:kern w:val="0"/>
          <w:sz w:val="24"/>
          <w:szCs w:val="24"/>
          <w:lang w:val="zh-CN"/>
        </w:rPr>
        <w:t>以</w:t>
      </w:r>
      <w:r>
        <w:rPr>
          <w:rFonts w:hint="eastAsia" w:ascii="Helvetica" w:hAnsi="Helvetica" w:eastAsia="宋体" w:cs="Helvetica"/>
          <w:b/>
          <w:kern w:val="0"/>
          <w:sz w:val="24"/>
          <w:szCs w:val="24"/>
          <w:lang w:val="zh-CN"/>
        </w:rPr>
        <w:t>“</w:t>
      </w:r>
      <w:r>
        <w:rPr>
          <w:rFonts w:hint="eastAsia" w:ascii="MS Gothic" w:hAnsi="MS Gothic" w:eastAsia="宋体" w:cs="MS Gothic"/>
          <w:b/>
          <w:kern w:val="0"/>
          <w:sz w:val="24"/>
          <w:szCs w:val="24"/>
          <w:lang w:val="zh-CN"/>
        </w:rPr>
        <w:t>核心产品</w:t>
      </w:r>
      <w:r>
        <w:rPr>
          <w:rFonts w:hint="eastAsia" w:ascii="Helvetica" w:hAnsi="Helvetica" w:eastAsia="宋体" w:cs="Helvetica"/>
          <w:b/>
          <w:kern w:val="0"/>
          <w:sz w:val="24"/>
          <w:szCs w:val="24"/>
          <w:lang w:val="zh-CN"/>
        </w:rPr>
        <w:t>”</w:t>
      </w:r>
      <w:r>
        <w:rPr>
          <w:rFonts w:ascii="Helvetica" w:hAnsi="Helvetica" w:eastAsia="宋体" w:cs="Helvetica"/>
          <w:kern w:val="0"/>
          <w:sz w:val="24"/>
          <w:szCs w:val="24"/>
          <w:lang w:val="zh-CN"/>
        </w:rPr>
        <w:t>在</w:t>
      </w:r>
      <w:r>
        <w:rPr>
          <w:rFonts w:ascii="Helvetica" w:hAnsi="Helvetica" w:eastAsia="宋体" w:cs="Helvetica"/>
          <w:color w:val="0D0D0D"/>
          <w:kern w:val="0"/>
          <w:sz w:val="24"/>
          <w:szCs w:val="24"/>
          <w:lang w:val="zh-CN"/>
        </w:rPr>
        <w:t>招标文件中</w:t>
      </w:r>
      <w:r>
        <w:rPr>
          <w:rFonts w:hint="eastAsia" w:ascii="Helvetica" w:hAnsi="Helvetica" w:eastAsia="宋体" w:cs="Helvetica"/>
          <w:color w:val="0D0D0D"/>
          <w:kern w:val="0"/>
          <w:sz w:val="24"/>
          <w:szCs w:val="24"/>
          <w:lang w:val="zh-CN"/>
        </w:rPr>
        <w:t>标注</w:t>
      </w:r>
      <w:r>
        <w:rPr>
          <w:rFonts w:ascii="Helvetica" w:hAnsi="Helvetica" w:eastAsia="宋体" w:cs="Helvetica"/>
          <w:color w:val="0D0D0D"/>
          <w:kern w:val="0"/>
          <w:sz w:val="24"/>
          <w:szCs w:val="24"/>
          <w:lang w:val="zh-CN"/>
        </w:rPr>
        <w:t>。</w:t>
      </w:r>
    </w:p>
    <w:p>
      <w:pPr>
        <w:numPr>
          <w:ilvl w:val="0"/>
          <w:numId w:val="52"/>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计分办法</w:t>
      </w:r>
    </w:p>
    <w:p>
      <w:pPr>
        <w:numPr>
          <w:ilvl w:val="0"/>
          <w:numId w:val="55"/>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集中采购机构对各评委的总分进行复核。各项统计结果均精确到小数点后两位。</w:t>
      </w:r>
    </w:p>
    <w:p>
      <w:pPr>
        <w:numPr>
          <w:ilvl w:val="0"/>
          <w:numId w:val="55"/>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各投标人的最终得分为评委所评定分数的算术平均值。</w:t>
      </w:r>
    </w:p>
    <w:p>
      <w:pPr>
        <w:numPr>
          <w:ilvl w:val="0"/>
          <w:numId w:val="48"/>
        </w:numPr>
        <w:ind w:left="1315" w:leftChars="154" w:hanging="991"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推荐中标候选人名单或确定中标人</w:t>
      </w:r>
    </w:p>
    <w:p>
      <w:pPr>
        <w:numPr>
          <w:ilvl w:val="0"/>
          <w:numId w:val="56"/>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评标委员会按照招标文件确定的评标方法、程序及标准，对投标文件进行评审。</w:t>
      </w:r>
      <w:r>
        <w:rPr>
          <w:rFonts w:ascii="Helvetica" w:hAnsi="Helvetica" w:eastAsia="宋体" w:cs="Helvetica"/>
          <w:kern w:val="0"/>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56"/>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评标委员会依据评标结果，按各投标人的评审后得分由高到低的顺序向采购人推荐得分前三名的进入中标候选人名单，并形成书面的评标报告。</w:t>
      </w:r>
    </w:p>
    <w:p>
      <w:pPr>
        <w:numPr>
          <w:ilvl w:val="0"/>
          <w:numId w:val="56"/>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中标候选人并列的，</w:t>
      </w:r>
      <w:r>
        <w:rPr>
          <w:rFonts w:ascii="Helvetica" w:hAnsi="Helvetica" w:eastAsia="宋体" w:cs="Helvetica"/>
          <w:kern w:val="0"/>
          <w:sz w:val="24"/>
          <w:szCs w:val="24"/>
          <w:lang w:val="zh-CN"/>
        </w:rPr>
        <w:t>由采购人</w:t>
      </w:r>
      <w:r>
        <w:rPr>
          <w:rFonts w:hint="eastAsia" w:ascii="Helvetica" w:hAnsi="Helvetica" w:eastAsia="宋体" w:cs="Helvetica"/>
          <w:kern w:val="0"/>
          <w:sz w:val="24"/>
          <w:szCs w:val="24"/>
          <w:lang w:val="zh-CN"/>
        </w:rPr>
        <w:t>确定</w:t>
      </w:r>
      <w:r>
        <w:rPr>
          <w:rFonts w:ascii="Helvetica" w:hAnsi="Helvetica" w:eastAsia="宋体" w:cs="Helvetica"/>
          <w:kern w:val="0"/>
          <w:sz w:val="24"/>
          <w:szCs w:val="24"/>
          <w:lang w:val="zh-CN"/>
        </w:rPr>
        <w:t>或者采购人委托评标委员会</w:t>
      </w:r>
      <w:r>
        <w:rPr>
          <w:rFonts w:hint="eastAsia" w:ascii="Helvetica" w:hAnsi="Helvetica" w:eastAsia="宋体" w:cs="Helvetica"/>
          <w:kern w:val="0"/>
          <w:sz w:val="24"/>
          <w:szCs w:val="24"/>
          <w:lang w:val="zh-CN"/>
        </w:rPr>
        <w:t>以投票方式</w:t>
      </w:r>
      <w:r>
        <w:rPr>
          <w:rFonts w:ascii="Helvetica" w:hAnsi="Helvetica" w:eastAsia="宋体" w:cs="Helvetica"/>
          <w:kern w:val="0"/>
          <w:sz w:val="24"/>
          <w:szCs w:val="24"/>
          <w:lang w:val="zh-CN"/>
        </w:rPr>
        <w:t>确定中标人。</w:t>
      </w:r>
    </w:p>
    <w:p>
      <w:pPr>
        <w:numPr>
          <w:ilvl w:val="0"/>
          <w:numId w:val="56"/>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评标委员会应当在评标报告上签字，对自己的评审意见承担法律责任。对评标报告有异议的，应当在评标报告上签署不同意见，并说明理由，否则视为同意评标报告。</w:t>
      </w:r>
    </w:p>
    <w:p>
      <w:pPr>
        <w:tabs>
          <w:tab w:val="left" w:pos="616"/>
        </w:tabs>
        <w:spacing w:line="360" w:lineRule="auto"/>
        <w:rPr>
          <w:rFonts w:ascii="Helvetica" w:hAnsi="Helvetica" w:eastAsia="宋体" w:cs="Helvetica"/>
          <w:kern w:val="0"/>
          <w:sz w:val="24"/>
          <w:szCs w:val="24"/>
          <w:lang w:val="zh-CN"/>
        </w:rPr>
      </w:pPr>
    </w:p>
    <w:p>
      <w:pPr>
        <w:tabs>
          <w:tab w:val="left" w:pos="616"/>
        </w:tabs>
        <w:spacing w:line="360" w:lineRule="auto"/>
        <w:rPr>
          <w:rFonts w:ascii="Helvetica" w:hAnsi="Helvetica" w:eastAsia="宋体" w:cs="Helvetica"/>
          <w:kern w:val="0"/>
          <w:sz w:val="24"/>
          <w:szCs w:val="24"/>
          <w:lang w:val="zh-CN"/>
        </w:rPr>
      </w:pPr>
    </w:p>
    <w:p>
      <w:pPr>
        <w:tabs>
          <w:tab w:val="left" w:pos="616"/>
        </w:tabs>
        <w:spacing w:line="360" w:lineRule="auto"/>
        <w:rPr>
          <w:rFonts w:ascii="Helvetica" w:hAnsi="Helvetica" w:eastAsia="宋体" w:cs="Helvetica"/>
          <w:kern w:val="0"/>
          <w:sz w:val="24"/>
          <w:szCs w:val="24"/>
          <w:lang w:val="zh-CN"/>
        </w:rPr>
      </w:pPr>
    </w:p>
    <w:p>
      <w:pPr>
        <w:tabs>
          <w:tab w:val="left" w:pos="616"/>
        </w:tabs>
        <w:spacing w:line="360" w:lineRule="auto"/>
        <w:rPr>
          <w:rFonts w:ascii="Helvetica" w:hAnsi="Helvetica" w:eastAsia="宋体" w:cs="Helvetica"/>
          <w:kern w:val="0"/>
          <w:sz w:val="24"/>
          <w:szCs w:val="24"/>
          <w:lang w:val="zh-CN"/>
        </w:rPr>
      </w:pPr>
    </w:p>
    <w:p>
      <w:pPr>
        <w:tabs>
          <w:tab w:val="left" w:pos="616"/>
        </w:tabs>
        <w:spacing w:line="360" w:lineRule="auto"/>
        <w:rPr>
          <w:rFonts w:ascii="Helvetica" w:hAnsi="Helvetica" w:eastAsia="宋体" w:cs="Helvetica"/>
          <w:kern w:val="0"/>
          <w:sz w:val="24"/>
          <w:szCs w:val="24"/>
          <w:lang w:val="zh-CN"/>
        </w:rPr>
      </w:pPr>
    </w:p>
    <w:p>
      <w:pPr>
        <w:tabs>
          <w:tab w:val="left" w:pos="616"/>
        </w:tabs>
        <w:spacing w:line="360" w:lineRule="auto"/>
        <w:rPr>
          <w:rFonts w:ascii="Helvetica" w:hAnsi="Helvetica" w:eastAsia="宋体" w:cs="Helvetica"/>
          <w:kern w:val="0"/>
          <w:sz w:val="24"/>
          <w:szCs w:val="24"/>
          <w:lang w:val="zh-CN"/>
        </w:rPr>
      </w:pPr>
    </w:p>
    <w:p>
      <w:pPr>
        <w:tabs>
          <w:tab w:val="left" w:pos="616"/>
        </w:tabs>
        <w:spacing w:line="360" w:lineRule="auto"/>
        <w:rPr>
          <w:rFonts w:ascii="Helvetica" w:hAnsi="Helvetica" w:eastAsia="宋体" w:cs="Helvetica"/>
          <w:kern w:val="0"/>
          <w:sz w:val="24"/>
          <w:szCs w:val="24"/>
          <w:lang w:val="zh-CN"/>
        </w:rPr>
      </w:pPr>
    </w:p>
    <w:p>
      <w:pPr>
        <w:tabs>
          <w:tab w:val="left" w:pos="616"/>
        </w:tabs>
        <w:spacing w:line="360" w:lineRule="auto"/>
        <w:rPr>
          <w:rFonts w:ascii="Helvetica" w:hAnsi="Helvetica" w:eastAsia="宋体" w:cs="Helvetica"/>
          <w:kern w:val="0"/>
          <w:sz w:val="24"/>
          <w:szCs w:val="24"/>
          <w:lang w:val="zh-CN"/>
        </w:rPr>
      </w:pPr>
    </w:p>
    <w:p>
      <w:pPr>
        <w:tabs>
          <w:tab w:val="left" w:pos="616"/>
        </w:tabs>
        <w:spacing w:line="360" w:lineRule="auto"/>
        <w:rPr>
          <w:rFonts w:ascii="Helvetica" w:hAnsi="Helvetica" w:eastAsia="宋体" w:cs="Helvetica"/>
          <w:kern w:val="0"/>
          <w:sz w:val="24"/>
          <w:szCs w:val="24"/>
          <w:lang w:val="zh-CN"/>
        </w:rPr>
      </w:pPr>
    </w:p>
    <w:p>
      <w:pPr>
        <w:tabs>
          <w:tab w:val="left" w:pos="616"/>
        </w:tabs>
        <w:spacing w:line="360" w:lineRule="auto"/>
        <w:rPr>
          <w:rFonts w:ascii="Helvetica" w:hAnsi="Helvetica" w:eastAsia="宋体" w:cs="Helvetica"/>
          <w:kern w:val="0"/>
          <w:sz w:val="24"/>
          <w:szCs w:val="24"/>
          <w:lang w:val="zh-CN"/>
        </w:rPr>
      </w:pPr>
    </w:p>
    <w:p>
      <w:pPr>
        <w:tabs>
          <w:tab w:val="left" w:pos="616"/>
        </w:tabs>
        <w:spacing w:line="360" w:lineRule="auto"/>
        <w:rPr>
          <w:rFonts w:ascii="Helvetica" w:hAnsi="Helvetica" w:eastAsia="宋体" w:cs="Helvetica"/>
          <w:kern w:val="0"/>
          <w:sz w:val="24"/>
          <w:szCs w:val="24"/>
          <w:lang w:val="zh-CN"/>
        </w:rPr>
      </w:pPr>
    </w:p>
    <w:p>
      <w:pPr>
        <w:tabs>
          <w:tab w:val="left" w:pos="616"/>
        </w:tabs>
        <w:spacing w:line="360" w:lineRule="auto"/>
        <w:rPr>
          <w:rFonts w:ascii="Helvetica" w:hAnsi="Helvetica" w:eastAsia="宋体" w:cs="Helvetica"/>
          <w:kern w:val="0"/>
          <w:sz w:val="24"/>
          <w:szCs w:val="24"/>
          <w:lang w:val="zh-CN"/>
        </w:rPr>
      </w:pPr>
    </w:p>
    <w:p>
      <w:pPr>
        <w:tabs>
          <w:tab w:val="left" w:pos="616"/>
        </w:tabs>
        <w:spacing w:line="360" w:lineRule="auto"/>
        <w:rPr>
          <w:rFonts w:ascii="Helvetica" w:hAnsi="Helvetica" w:eastAsia="宋体" w:cs="Helvetica"/>
          <w:kern w:val="0"/>
          <w:sz w:val="24"/>
          <w:szCs w:val="24"/>
          <w:lang w:val="zh-CN"/>
        </w:rPr>
      </w:pPr>
    </w:p>
    <w:p>
      <w:pPr>
        <w:tabs>
          <w:tab w:val="left" w:pos="616"/>
        </w:tabs>
        <w:spacing w:line="360" w:lineRule="auto"/>
        <w:rPr>
          <w:rFonts w:ascii="Helvetica" w:hAnsi="Helvetica" w:eastAsia="宋体" w:cs="Helvetica"/>
          <w:kern w:val="0"/>
          <w:sz w:val="24"/>
          <w:szCs w:val="24"/>
          <w:lang w:val="zh-CN"/>
        </w:rPr>
      </w:pPr>
    </w:p>
    <w:p>
      <w:pPr>
        <w:tabs>
          <w:tab w:val="left" w:pos="616"/>
        </w:tabs>
        <w:spacing w:line="360" w:lineRule="auto"/>
        <w:rPr>
          <w:rFonts w:ascii="Helvetica" w:hAnsi="Helvetica" w:eastAsia="宋体" w:cs="Helvetica"/>
          <w:kern w:val="0"/>
          <w:sz w:val="24"/>
          <w:szCs w:val="24"/>
          <w:lang w:val="zh-CN"/>
        </w:rPr>
      </w:pPr>
    </w:p>
    <w:p>
      <w:pPr>
        <w:tabs>
          <w:tab w:val="left" w:pos="616"/>
        </w:tabs>
        <w:spacing w:line="360" w:lineRule="auto"/>
        <w:rPr>
          <w:rFonts w:ascii="Helvetica" w:hAnsi="Helvetica" w:eastAsia="宋体" w:cs="Helvetica"/>
          <w:kern w:val="0"/>
          <w:sz w:val="24"/>
          <w:szCs w:val="24"/>
          <w:lang w:val="zh-CN"/>
        </w:rPr>
      </w:pPr>
    </w:p>
    <w:p>
      <w:pPr>
        <w:tabs>
          <w:tab w:val="left" w:pos="616"/>
        </w:tabs>
        <w:spacing w:line="360" w:lineRule="auto"/>
        <w:rPr>
          <w:rFonts w:ascii="Helvetica" w:hAnsi="Helvetica" w:eastAsia="宋体" w:cs="Helvetica"/>
          <w:kern w:val="0"/>
          <w:sz w:val="24"/>
          <w:szCs w:val="24"/>
          <w:lang w:val="zh-CN"/>
        </w:rPr>
      </w:pPr>
    </w:p>
    <w:p>
      <w:pPr>
        <w:tabs>
          <w:tab w:val="left" w:pos="616"/>
        </w:tabs>
        <w:spacing w:line="360" w:lineRule="auto"/>
        <w:rPr>
          <w:rFonts w:ascii="Helvetica" w:hAnsi="Helvetica" w:eastAsia="宋体" w:cs="Helvetica"/>
          <w:kern w:val="0"/>
          <w:sz w:val="24"/>
          <w:szCs w:val="24"/>
          <w:lang w:val="zh-CN"/>
        </w:rPr>
      </w:pPr>
    </w:p>
    <w:p>
      <w:pPr>
        <w:tabs>
          <w:tab w:val="left" w:pos="616"/>
        </w:tabs>
        <w:spacing w:line="360" w:lineRule="auto"/>
        <w:rPr>
          <w:rFonts w:ascii="Helvetica" w:hAnsi="Helvetica" w:eastAsia="宋体" w:cs="Helvetica"/>
          <w:kern w:val="0"/>
          <w:sz w:val="24"/>
          <w:szCs w:val="24"/>
          <w:lang w:val="zh-CN"/>
        </w:rPr>
      </w:pPr>
    </w:p>
    <w:p>
      <w:pPr>
        <w:tabs>
          <w:tab w:val="left" w:pos="616"/>
        </w:tabs>
        <w:spacing w:line="360" w:lineRule="auto"/>
        <w:rPr>
          <w:rFonts w:ascii="Helvetica" w:hAnsi="Helvetica" w:eastAsia="宋体" w:cs="Helvetica"/>
          <w:kern w:val="0"/>
          <w:sz w:val="24"/>
          <w:szCs w:val="24"/>
          <w:lang w:val="zh-CN"/>
        </w:rPr>
      </w:pPr>
    </w:p>
    <w:p>
      <w:pPr>
        <w:tabs>
          <w:tab w:val="left" w:pos="616"/>
        </w:tabs>
        <w:spacing w:line="360" w:lineRule="auto"/>
        <w:rPr>
          <w:rFonts w:ascii="Helvetica" w:hAnsi="Helvetica" w:eastAsia="宋体" w:cs="Helvetica"/>
          <w:kern w:val="0"/>
          <w:sz w:val="24"/>
          <w:szCs w:val="24"/>
          <w:lang w:val="zh-CN"/>
        </w:rPr>
      </w:pPr>
    </w:p>
    <w:p>
      <w:pPr>
        <w:tabs>
          <w:tab w:val="left" w:pos="616"/>
        </w:tabs>
        <w:spacing w:line="360" w:lineRule="auto"/>
        <w:rPr>
          <w:rFonts w:ascii="Helvetica" w:hAnsi="Helvetica" w:eastAsia="宋体" w:cs="Helvetica"/>
          <w:kern w:val="0"/>
          <w:sz w:val="24"/>
          <w:szCs w:val="24"/>
          <w:lang w:val="zh-CN"/>
        </w:rPr>
      </w:pPr>
    </w:p>
    <w:p>
      <w:pPr>
        <w:pStyle w:val="5"/>
        <w:numPr>
          <w:ilvl w:val="0"/>
          <w:numId w:val="47"/>
        </w:numPr>
        <w:spacing w:before="0" w:after="0" w:line="360" w:lineRule="auto"/>
        <w:ind w:left="616" w:hanging="616"/>
        <w:jc w:val="left"/>
        <w:rPr>
          <w:rFonts w:cs="Times New Roman" w:asciiTheme="majorEastAsia" w:hAnsiTheme="majorEastAsia"/>
          <w:bCs w:val="0"/>
          <w:sz w:val="30"/>
          <w:szCs w:val="30"/>
          <w:lang w:val="zh-CN"/>
        </w:rPr>
      </w:pPr>
      <w:bookmarkStart w:id="79" w:name="_Toc494561963"/>
      <w:bookmarkStart w:id="80" w:name="_Toc14363"/>
      <w:r>
        <w:rPr>
          <w:rFonts w:hint="eastAsia" w:cs="Times New Roman" w:asciiTheme="majorEastAsia" w:hAnsiTheme="majorEastAsia"/>
          <w:bCs w:val="0"/>
          <w:sz w:val="30"/>
          <w:szCs w:val="30"/>
          <w:lang w:val="zh-CN"/>
        </w:rPr>
        <w:t>评审因素及评分标准</w:t>
      </w:r>
      <w:bookmarkEnd w:id="79"/>
      <w:bookmarkEnd w:id="80"/>
    </w:p>
    <w:tbl>
      <w:tblPr>
        <w:tblStyle w:val="19"/>
        <w:tblpPr w:leftFromText="180" w:rightFromText="180" w:vertAnchor="text" w:horzAnchor="page" w:tblpX="1357" w:tblpY="342"/>
        <w:tblOverlap w:val="never"/>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39"/>
        <w:gridCol w:w="762"/>
        <w:gridCol w:w="567"/>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710" w:type="dxa"/>
            <w:noWrap w:val="0"/>
            <w:vAlign w:val="center"/>
          </w:tcPr>
          <w:p>
            <w:pPr>
              <w:rPr>
                <w:b/>
                <w:color w:val="000000"/>
                <w:sz w:val="24"/>
                <w:szCs w:val="24"/>
              </w:rPr>
            </w:pPr>
            <w:r>
              <w:rPr>
                <w:rFonts w:hint="eastAsia"/>
                <w:b/>
                <w:color w:val="000000"/>
                <w:sz w:val="24"/>
                <w:szCs w:val="24"/>
              </w:rPr>
              <w:t>序号</w:t>
            </w:r>
          </w:p>
        </w:tc>
        <w:tc>
          <w:tcPr>
            <w:tcW w:w="1701" w:type="dxa"/>
            <w:gridSpan w:val="2"/>
            <w:noWrap w:val="0"/>
            <w:vAlign w:val="center"/>
          </w:tcPr>
          <w:p>
            <w:pPr>
              <w:rPr>
                <w:b/>
                <w:color w:val="000000"/>
                <w:sz w:val="24"/>
                <w:szCs w:val="24"/>
              </w:rPr>
            </w:pPr>
            <w:r>
              <w:rPr>
                <w:rFonts w:hint="eastAsia"/>
                <w:b/>
                <w:color w:val="000000"/>
                <w:sz w:val="24"/>
                <w:szCs w:val="24"/>
              </w:rPr>
              <w:t>评分项目</w:t>
            </w:r>
          </w:p>
        </w:tc>
        <w:tc>
          <w:tcPr>
            <w:tcW w:w="567" w:type="dxa"/>
            <w:noWrap w:val="0"/>
            <w:vAlign w:val="center"/>
          </w:tcPr>
          <w:p>
            <w:pPr>
              <w:rPr>
                <w:b/>
                <w:color w:val="000000"/>
                <w:sz w:val="24"/>
                <w:szCs w:val="24"/>
              </w:rPr>
            </w:pPr>
            <w:r>
              <w:rPr>
                <w:rFonts w:hint="eastAsia"/>
                <w:b/>
                <w:color w:val="000000"/>
                <w:sz w:val="24"/>
                <w:szCs w:val="24"/>
              </w:rPr>
              <w:t>分值</w:t>
            </w:r>
          </w:p>
        </w:tc>
        <w:tc>
          <w:tcPr>
            <w:tcW w:w="6945" w:type="dxa"/>
            <w:noWrap w:val="0"/>
            <w:vAlign w:val="center"/>
          </w:tcPr>
          <w:p>
            <w:pPr>
              <w:ind w:firstLine="2530" w:firstLineChars="1050"/>
              <w:rPr>
                <w:b/>
                <w:color w:val="000000"/>
                <w:sz w:val="24"/>
                <w:szCs w:val="24"/>
              </w:rPr>
            </w:pPr>
            <w:r>
              <w:rPr>
                <w:rFonts w:hint="eastAsia"/>
                <w:b/>
                <w:color w:val="00000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noWrap w:val="0"/>
            <w:vAlign w:val="center"/>
          </w:tcPr>
          <w:p>
            <w:pPr>
              <w:rPr>
                <w:color w:val="000000"/>
              </w:rPr>
            </w:pPr>
          </w:p>
          <w:p>
            <w:pPr>
              <w:rPr>
                <w:color w:val="000000"/>
              </w:rPr>
            </w:pPr>
          </w:p>
          <w:p>
            <w:pPr>
              <w:rPr>
                <w:color w:val="000000"/>
              </w:rPr>
            </w:pPr>
            <w:r>
              <w:rPr>
                <w:color w:val="000000"/>
              </w:rPr>
              <w:t xml:space="preserve"> 1</w:t>
            </w:r>
          </w:p>
        </w:tc>
        <w:tc>
          <w:tcPr>
            <w:tcW w:w="939" w:type="dxa"/>
            <w:noWrap w:val="0"/>
            <w:vAlign w:val="center"/>
          </w:tcPr>
          <w:p>
            <w:pPr>
              <w:rPr>
                <w:color w:val="000000"/>
              </w:rPr>
            </w:pPr>
          </w:p>
          <w:p>
            <w:pPr>
              <w:ind w:firstLine="105" w:firstLineChars="50"/>
              <w:rPr>
                <w:color w:val="000000"/>
              </w:rPr>
            </w:pPr>
            <w:r>
              <w:rPr>
                <w:rFonts w:hint="eastAsia"/>
                <w:color w:val="000000"/>
              </w:rPr>
              <w:t>价格评议</w:t>
            </w:r>
          </w:p>
          <w:p>
            <w:pPr>
              <w:rPr>
                <w:color w:val="000000"/>
              </w:rPr>
            </w:pPr>
            <w:r>
              <w:rPr>
                <w:color w:val="000000"/>
              </w:rPr>
              <w:t xml:space="preserve">(10 </w:t>
            </w:r>
            <w:r>
              <w:rPr>
                <w:rFonts w:hint="eastAsia"/>
                <w:color w:val="000000"/>
              </w:rPr>
              <w:t>分）</w:t>
            </w:r>
          </w:p>
        </w:tc>
        <w:tc>
          <w:tcPr>
            <w:tcW w:w="762" w:type="dxa"/>
            <w:noWrap w:val="0"/>
            <w:vAlign w:val="center"/>
          </w:tcPr>
          <w:p>
            <w:pPr>
              <w:rPr>
                <w:color w:val="000000"/>
              </w:rPr>
            </w:pPr>
          </w:p>
          <w:p>
            <w:pPr>
              <w:rPr>
                <w:color w:val="000000"/>
              </w:rPr>
            </w:pPr>
          </w:p>
        </w:tc>
        <w:tc>
          <w:tcPr>
            <w:tcW w:w="567" w:type="dxa"/>
            <w:noWrap w:val="0"/>
            <w:vAlign w:val="center"/>
          </w:tcPr>
          <w:p>
            <w:pPr>
              <w:rPr>
                <w:color w:val="000000"/>
              </w:rPr>
            </w:pPr>
          </w:p>
          <w:p>
            <w:pPr>
              <w:rPr>
                <w:color w:val="000000"/>
              </w:rPr>
            </w:pPr>
          </w:p>
          <w:p>
            <w:pPr>
              <w:rPr>
                <w:color w:val="000000"/>
              </w:rPr>
            </w:pPr>
            <w:r>
              <w:rPr>
                <w:color w:val="000000"/>
              </w:rPr>
              <w:t xml:space="preserve">10 </w:t>
            </w:r>
            <w:r>
              <w:rPr>
                <w:rFonts w:hint="eastAsia"/>
                <w:color w:val="000000"/>
              </w:rPr>
              <w:t>分</w:t>
            </w:r>
          </w:p>
        </w:tc>
        <w:tc>
          <w:tcPr>
            <w:tcW w:w="6945" w:type="dxa"/>
            <w:noWrap w:val="0"/>
            <w:vAlign w:val="center"/>
          </w:tcPr>
          <w:p>
            <w:pPr>
              <w:rPr>
                <w:color w:val="000000"/>
              </w:rPr>
            </w:pPr>
            <w:r>
              <w:rPr>
                <w:rFonts w:hint="eastAsia" w:ascii="宋体" w:hAnsi="宋体"/>
                <w:color w:val="000000"/>
                <w:szCs w:val="21"/>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w:t>
            </w:r>
            <w:r>
              <w:rPr>
                <w:rFonts w:ascii="宋体" w:hAnsi="宋体"/>
                <w:color w:val="000000"/>
                <w:szCs w:val="21"/>
              </w:rPr>
              <w:t>=(</w:t>
            </w:r>
            <w:r>
              <w:rPr>
                <w:rFonts w:hint="eastAsia" w:ascii="宋体" w:hAnsi="宋体"/>
                <w:color w:val="000000"/>
                <w:szCs w:val="21"/>
              </w:rPr>
              <w:t>评标基准价／投标报价</w:t>
            </w:r>
            <w:r>
              <w:rPr>
                <w:rFonts w:ascii="宋体" w:hAnsi="宋体"/>
                <w:color w:val="000000"/>
                <w:szCs w:val="21"/>
              </w:rPr>
              <w:t>)</w:t>
            </w:r>
            <w:r>
              <w:rPr>
                <w:rFonts w:hint="eastAsia" w:ascii="宋体" w:hAnsi="宋体"/>
                <w:color w:val="000000"/>
                <w:szCs w:val="21"/>
              </w:rPr>
              <w:t>×价格分。计算时保留两位小数。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Merge w:val="restart"/>
            <w:noWrap w:val="0"/>
            <w:vAlign w:val="center"/>
          </w:tcPr>
          <w:p>
            <w:pPr>
              <w:rPr>
                <w:color w:val="000000"/>
              </w:rPr>
            </w:pPr>
          </w:p>
          <w:p>
            <w:pPr>
              <w:rPr>
                <w:color w:val="000000"/>
              </w:rPr>
            </w:pPr>
          </w:p>
          <w:p>
            <w:pPr>
              <w:rPr>
                <w:color w:val="000000"/>
              </w:rPr>
            </w:pPr>
          </w:p>
          <w:p>
            <w:pPr>
              <w:rPr>
                <w:color w:val="000000"/>
              </w:rPr>
            </w:pPr>
          </w:p>
          <w:p>
            <w:pPr>
              <w:rPr>
                <w:color w:val="000000"/>
              </w:rPr>
            </w:pPr>
            <w:r>
              <w:rPr>
                <w:color w:val="000000"/>
              </w:rPr>
              <w:t xml:space="preserve"> 2</w:t>
            </w:r>
          </w:p>
        </w:tc>
        <w:tc>
          <w:tcPr>
            <w:tcW w:w="939" w:type="dxa"/>
            <w:vMerge w:val="restart"/>
            <w:noWrap w:val="0"/>
            <w:vAlign w:val="center"/>
          </w:tcPr>
          <w:p>
            <w:pPr>
              <w:rPr>
                <w:color w:val="000000"/>
              </w:rPr>
            </w:pPr>
          </w:p>
          <w:p>
            <w:pPr>
              <w:rPr>
                <w:color w:val="000000"/>
              </w:rPr>
            </w:pPr>
          </w:p>
          <w:p>
            <w:pPr>
              <w:ind w:firstLine="105" w:firstLineChars="50"/>
              <w:rPr>
                <w:color w:val="000000"/>
              </w:rPr>
            </w:pPr>
            <w:r>
              <w:rPr>
                <w:rFonts w:hint="eastAsia"/>
                <w:color w:val="000000"/>
              </w:rPr>
              <w:t>商务评议</w:t>
            </w:r>
          </w:p>
          <w:p>
            <w:pPr>
              <w:rPr>
                <w:color w:val="000000"/>
              </w:rPr>
            </w:pPr>
            <w:r>
              <w:rPr>
                <w:color w:val="000000"/>
              </w:rPr>
              <w:t>(</w:t>
            </w:r>
            <w:r>
              <w:rPr>
                <w:rFonts w:hint="eastAsia"/>
                <w:color w:val="000000"/>
              </w:rPr>
              <w:t>45分）</w:t>
            </w:r>
          </w:p>
        </w:tc>
        <w:tc>
          <w:tcPr>
            <w:tcW w:w="762" w:type="dxa"/>
            <w:vMerge w:val="restart"/>
            <w:noWrap w:val="0"/>
            <w:vAlign w:val="center"/>
          </w:tcPr>
          <w:p>
            <w:pPr>
              <w:rPr>
                <w:color w:val="000000"/>
              </w:rPr>
            </w:pPr>
          </w:p>
          <w:p>
            <w:pPr>
              <w:rPr>
                <w:color w:val="000000"/>
              </w:rPr>
            </w:pPr>
          </w:p>
          <w:p>
            <w:pPr>
              <w:rPr>
                <w:color w:val="000000"/>
              </w:rPr>
            </w:pPr>
          </w:p>
          <w:p>
            <w:pPr>
              <w:rPr>
                <w:color w:val="000000"/>
              </w:rPr>
            </w:pPr>
            <w:r>
              <w:rPr>
                <w:rFonts w:hint="eastAsia"/>
                <w:color w:val="000000"/>
              </w:rPr>
              <w:t>企业状况</w:t>
            </w:r>
          </w:p>
        </w:tc>
        <w:tc>
          <w:tcPr>
            <w:tcW w:w="567" w:type="dxa"/>
            <w:noWrap w:val="0"/>
            <w:vAlign w:val="center"/>
          </w:tcPr>
          <w:p>
            <w:pPr>
              <w:rPr>
                <w:color w:val="000000"/>
              </w:rPr>
            </w:pPr>
            <w:r>
              <w:rPr>
                <w:rFonts w:hint="eastAsia"/>
                <w:color w:val="000000"/>
              </w:rPr>
              <w:t>3分</w:t>
            </w:r>
          </w:p>
        </w:tc>
        <w:tc>
          <w:tcPr>
            <w:tcW w:w="6945" w:type="dxa"/>
            <w:noWrap w:val="0"/>
            <w:vAlign w:val="center"/>
          </w:tcPr>
          <w:p>
            <w:r>
              <w:rPr>
                <w:rFonts w:hint="eastAsia"/>
              </w:rPr>
              <w:t>提供</w:t>
            </w:r>
            <w:r>
              <w:t xml:space="preserve"> 201</w:t>
            </w:r>
            <w:r>
              <w:rPr>
                <w:rFonts w:hint="eastAsia"/>
              </w:rPr>
              <w:t>6</w:t>
            </w:r>
            <w:r>
              <w:t>-201</w:t>
            </w:r>
            <w:r>
              <w:rPr>
                <w:rFonts w:hint="eastAsia"/>
              </w:rPr>
              <w:t>8年财务报表。依据各投标人的财务状况进行综合比较，第一名得3分，第二名得2分，第三名得1分。以此类推。需提供有效证明材料，且证明材料须提供真彩扫描打印件。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Merge w:val="continue"/>
            <w:noWrap w:val="0"/>
            <w:vAlign w:val="center"/>
          </w:tcPr>
          <w:p>
            <w:pPr>
              <w:rPr>
                <w:color w:val="000000"/>
              </w:rPr>
            </w:pPr>
          </w:p>
        </w:tc>
        <w:tc>
          <w:tcPr>
            <w:tcW w:w="939" w:type="dxa"/>
            <w:vMerge w:val="continue"/>
            <w:noWrap w:val="0"/>
            <w:vAlign w:val="center"/>
          </w:tcPr>
          <w:p>
            <w:pPr>
              <w:rPr>
                <w:color w:val="000000"/>
              </w:rPr>
            </w:pPr>
          </w:p>
        </w:tc>
        <w:tc>
          <w:tcPr>
            <w:tcW w:w="762" w:type="dxa"/>
            <w:vMerge w:val="continue"/>
            <w:noWrap w:val="0"/>
            <w:vAlign w:val="center"/>
          </w:tcPr>
          <w:p>
            <w:pPr>
              <w:rPr>
                <w:color w:val="000000"/>
              </w:rPr>
            </w:pPr>
          </w:p>
        </w:tc>
        <w:tc>
          <w:tcPr>
            <w:tcW w:w="567" w:type="dxa"/>
            <w:noWrap w:val="0"/>
            <w:vAlign w:val="center"/>
          </w:tcPr>
          <w:p>
            <w:pPr>
              <w:rPr>
                <w:color w:val="000000"/>
              </w:rPr>
            </w:pPr>
            <w:r>
              <w:rPr>
                <w:rFonts w:hint="eastAsia"/>
                <w:color w:val="000000"/>
              </w:rPr>
              <w:t>6分</w:t>
            </w:r>
          </w:p>
        </w:tc>
        <w:tc>
          <w:tcPr>
            <w:tcW w:w="6945" w:type="dxa"/>
            <w:noWrap w:val="0"/>
            <w:vAlign w:val="center"/>
          </w:tcPr>
          <w:p>
            <w:r>
              <w:rPr>
                <w:rFonts w:hint="eastAsia"/>
              </w:rPr>
              <w:t>根据投标单位为员工缴纳</w:t>
            </w:r>
            <w:r>
              <w:rPr>
                <w:rFonts w:hint="eastAsia" w:ascii="宋体" w:hAnsi="宋体"/>
                <w:szCs w:val="21"/>
              </w:rPr>
              <w:t>意外险情况综合比较</w:t>
            </w:r>
            <w:r>
              <w:rPr>
                <w:rFonts w:hint="eastAsia"/>
              </w:rPr>
              <w:t>，第一名得6分，第二名3分，第三名1分，需提供保险缴纳证明材料真彩扫描打印件。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Merge w:val="continue"/>
            <w:noWrap w:val="0"/>
            <w:vAlign w:val="center"/>
          </w:tcPr>
          <w:p>
            <w:pPr>
              <w:rPr>
                <w:color w:val="000000"/>
              </w:rPr>
            </w:pPr>
          </w:p>
        </w:tc>
        <w:tc>
          <w:tcPr>
            <w:tcW w:w="939" w:type="dxa"/>
            <w:vMerge w:val="continue"/>
            <w:noWrap w:val="0"/>
            <w:vAlign w:val="center"/>
          </w:tcPr>
          <w:p>
            <w:pPr>
              <w:rPr>
                <w:color w:val="000000"/>
              </w:rPr>
            </w:pPr>
          </w:p>
        </w:tc>
        <w:tc>
          <w:tcPr>
            <w:tcW w:w="762" w:type="dxa"/>
            <w:vMerge w:val="continue"/>
            <w:noWrap w:val="0"/>
            <w:vAlign w:val="center"/>
          </w:tcPr>
          <w:p>
            <w:pPr>
              <w:rPr>
                <w:color w:val="000000"/>
              </w:rPr>
            </w:pPr>
          </w:p>
        </w:tc>
        <w:tc>
          <w:tcPr>
            <w:tcW w:w="567" w:type="dxa"/>
            <w:noWrap w:val="0"/>
            <w:vAlign w:val="center"/>
          </w:tcPr>
          <w:p>
            <w:pPr>
              <w:rPr>
                <w:color w:val="000000"/>
              </w:rPr>
            </w:pPr>
            <w:r>
              <w:rPr>
                <w:rFonts w:hint="eastAsia"/>
                <w:color w:val="000000"/>
              </w:rPr>
              <w:t>5分</w:t>
            </w:r>
          </w:p>
        </w:tc>
        <w:tc>
          <w:tcPr>
            <w:tcW w:w="6945" w:type="dxa"/>
            <w:noWrap w:val="0"/>
            <w:vAlign w:val="center"/>
          </w:tcPr>
          <w:p>
            <w:pPr>
              <w:pStyle w:val="51"/>
              <w:rPr>
                <w:rFonts w:hint="eastAsia"/>
              </w:rPr>
            </w:pPr>
            <w:r>
              <w:rPr>
                <w:rFonts w:hint="eastAsia"/>
              </w:rPr>
              <w:t>为保证应急情况处置，确保服务质量，投标人在阳新县城区有服务机构的得5分。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Merge w:val="continue"/>
            <w:noWrap w:val="0"/>
            <w:vAlign w:val="center"/>
          </w:tcPr>
          <w:p>
            <w:pPr>
              <w:rPr>
                <w:color w:val="000000"/>
              </w:rPr>
            </w:pPr>
          </w:p>
        </w:tc>
        <w:tc>
          <w:tcPr>
            <w:tcW w:w="939" w:type="dxa"/>
            <w:vMerge w:val="continue"/>
            <w:noWrap w:val="0"/>
            <w:vAlign w:val="center"/>
          </w:tcPr>
          <w:p>
            <w:pPr>
              <w:rPr>
                <w:color w:val="000000"/>
              </w:rPr>
            </w:pPr>
          </w:p>
        </w:tc>
        <w:tc>
          <w:tcPr>
            <w:tcW w:w="762" w:type="dxa"/>
            <w:vMerge w:val="continue"/>
            <w:noWrap w:val="0"/>
            <w:vAlign w:val="center"/>
          </w:tcPr>
          <w:p>
            <w:pPr>
              <w:rPr>
                <w:color w:val="000000"/>
              </w:rPr>
            </w:pPr>
          </w:p>
        </w:tc>
        <w:tc>
          <w:tcPr>
            <w:tcW w:w="567" w:type="dxa"/>
            <w:noWrap w:val="0"/>
            <w:vAlign w:val="center"/>
          </w:tcPr>
          <w:p>
            <w:pPr>
              <w:rPr>
                <w:color w:val="000000"/>
              </w:rPr>
            </w:pPr>
            <w:r>
              <w:rPr>
                <w:rFonts w:hint="eastAsia"/>
                <w:color w:val="000000"/>
              </w:rPr>
              <w:t>6分</w:t>
            </w:r>
          </w:p>
        </w:tc>
        <w:tc>
          <w:tcPr>
            <w:tcW w:w="6945" w:type="dxa"/>
            <w:noWrap w:val="0"/>
            <w:vAlign w:val="center"/>
          </w:tcPr>
          <w:p>
            <w:pPr>
              <w:rPr>
                <w:rFonts w:ascii="宋体" w:hAnsi="宋体"/>
                <w:bCs/>
                <w:szCs w:val="21"/>
              </w:rPr>
            </w:pPr>
            <w:r>
              <w:rPr>
                <w:rFonts w:hint="eastAsia" w:ascii="宋体" w:hAnsi="宋体"/>
                <w:bCs/>
                <w:szCs w:val="21"/>
              </w:rPr>
              <w:t>获得市级及以上奖励和荣誉每项2分，获得县级奖励和荣誉每项1分，本项最多得6分</w:t>
            </w:r>
            <w:r>
              <w:rPr>
                <w:rFonts w:hint="eastAsia" w:ascii="宋体" w:hAnsi="宋体" w:cs="宋体"/>
                <w:szCs w:val="21"/>
              </w:rPr>
              <w:t>。</w:t>
            </w:r>
            <w:r>
              <w:rPr>
                <w:rFonts w:hint="eastAsia"/>
              </w:rPr>
              <w:t>需提供有效证明材料真彩扫描打印件。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Merge w:val="continue"/>
            <w:noWrap w:val="0"/>
            <w:vAlign w:val="center"/>
          </w:tcPr>
          <w:p>
            <w:pPr>
              <w:rPr>
                <w:color w:val="000000"/>
              </w:rPr>
            </w:pPr>
          </w:p>
        </w:tc>
        <w:tc>
          <w:tcPr>
            <w:tcW w:w="939" w:type="dxa"/>
            <w:vMerge w:val="continue"/>
            <w:noWrap w:val="0"/>
            <w:vAlign w:val="center"/>
          </w:tcPr>
          <w:p>
            <w:pPr>
              <w:rPr>
                <w:color w:val="000000"/>
              </w:rPr>
            </w:pPr>
          </w:p>
        </w:tc>
        <w:tc>
          <w:tcPr>
            <w:tcW w:w="762" w:type="dxa"/>
            <w:vMerge w:val="continue"/>
            <w:noWrap w:val="0"/>
            <w:vAlign w:val="center"/>
          </w:tcPr>
          <w:p>
            <w:pPr>
              <w:rPr>
                <w:color w:val="000000"/>
              </w:rPr>
            </w:pPr>
          </w:p>
        </w:tc>
        <w:tc>
          <w:tcPr>
            <w:tcW w:w="567" w:type="dxa"/>
            <w:noWrap w:val="0"/>
            <w:vAlign w:val="center"/>
          </w:tcPr>
          <w:p>
            <w:pPr>
              <w:rPr>
                <w:color w:val="000000"/>
              </w:rPr>
            </w:pPr>
            <w:r>
              <w:rPr>
                <w:rFonts w:hint="eastAsia"/>
                <w:color w:val="000000"/>
              </w:rPr>
              <w:t>5分</w:t>
            </w:r>
          </w:p>
        </w:tc>
        <w:tc>
          <w:tcPr>
            <w:tcW w:w="6945" w:type="dxa"/>
            <w:noWrap w:val="0"/>
            <w:vAlign w:val="center"/>
          </w:tcPr>
          <w:p>
            <w:r>
              <w:rPr>
                <w:rFonts w:hint="eastAsia"/>
              </w:rPr>
              <w:t>2016年至今，投标人累计服务面积在10万平方米以上的（含10万平方米），得5分，5-10万平方米的（含5万平方米），得3分；1-5万平方米的（含1万平方米），得1分，（需提供合同真彩扫描打印件）。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Merge w:val="continue"/>
            <w:noWrap w:val="0"/>
            <w:vAlign w:val="center"/>
          </w:tcPr>
          <w:p>
            <w:pPr>
              <w:rPr>
                <w:color w:val="000000"/>
              </w:rPr>
            </w:pPr>
          </w:p>
        </w:tc>
        <w:tc>
          <w:tcPr>
            <w:tcW w:w="939" w:type="dxa"/>
            <w:vMerge w:val="continue"/>
            <w:noWrap w:val="0"/>
            <w:vAlign w:val="center"/>
          </w:tcPr>
          <w:p>
            <w:pPr>
              <w:rPr>
                <w:color w:val="000000"/>
              </w:rPr>
            </w:pPr>
          </w:p>
        </w:tc>
        <w:tc>
          <w:tcPr>
            <w:tcW w:w="762" w:type="dxa"/>
            <w:noWrap w:val="0"/>
            <w:vAlign w:val="center"/>
          </w:tcPr>
          <w:p>
            <w:pPr>
              <w:rPr>
                <w:color w:val="000000"/>
              </w:rPr>
            </w:pPr>
          </w:p>
          <w:p>
            <w:pPr>
              <w:rPr>
                <w:color w:val="000000"/>
              </w:rPr>
            </w:pPr>
            <w:r>
              <w:rPr>
                <w:rFonts w:hint="eastAsia"/>
                <w:color w:val="000000"/>
              </w:rPr>
              <w:t>业</w:t>
            </w:r>
            <w:r>
              <w:rPr>
                <w:color w:val="000000"/>
              </w:rPr>
              <w:t xml:space="preserve"> </w:t>
            </w:r>
            <w:r>
              <w:rPr>
                <w:rFonts w:hint="eastAsia"/>
                <w:color w:val="000000"/>
              </w:rPr>
              <w:t>绩</w:t>
            </w:r>
          </w:p>
        </w:tc>
        <w:tc>
          <w:tcPr>
            <w:tcW w:w="567" w:type="dxa"/>
            <w:noWrap w:val="0"/>
            <w:vAlign w:val="center"/>
          </w:tcPr>
          <w:p>
            <w:pPr>
              <w:rPr>
                <w:color w:val="000000"/>
              </w:rPr>
            </w:pPr>
          </w:p>
          <w:p>
            <w:pPr>
              <w:rPr>
                <w:color w:val="000000"/>
              </w:rPr>
            </w:pPr>
            <w:r>
              <w:rPr>
                <w:rFonts w:hint="eastAsia"/>
                <w:color w:val="000000"/>
              </w:rPr>
              <w:t>15</w:t>
            </w:r>
            <w:r>
              <w:rPr>
                <w:color w:val="000000"/>
              </w:rPr>
              <w:t xml:space="preserve"> </w:t>
            </w:r>
            <w:r>
              <w:rPr>
                <w:rFonts w:hint="eastAsia"/>
                <w:color w:val="000000"/>
              </w:rPr>
              <w:t>分</w:t>
            </w:r>
          </w:p>
        </w:tc>
        <w:tc>
          <w:tcPr>
            <w:tcW w:w="6945" w:type="dxa"/>
            <w:noWrap w:val="0"/>
            <w:vAlign w:val="center"/>
          </w:tcPr>
          <w:p>
            <w:r>
              <w:rPr>
                <w:rFonts w:hint="eastAsia"/>
              </w:rPr>
              <w:t>提供近三年（2016年5月至今）相关类似业绩的一个得3分，最高15分，需提供合同或者中标通知书等有效证明材料，且证明材料须提供真彩扫描打印件。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Merge w:val="continue"/>
            <w:noWrap w:val="0"/>
            <w:vAlign w:val="center"/>
          </w:tcPr>
          <w:p>
            <w:pPr>
              <w:rPr>
                <w:color w:val="000000"/>
              </w:rPr>
            </w:pPr>
          </w:p>
        </w:tc>
        <w:tc>
          <w:tcPr>
            <w:tcW w:w="939" w:type="dxa"/>
            <w:vMerge w:val="continue"/>
            <w:noWrap w:val="0"/>
            <w:vAlign w:val="center"/>
          </w:tcPr>
          <w:p>
            <w:pPr>
              <w:rPr>
                <w:color w:val="000000"/>
              </w:rPr>
            </w:pPr>
          </w:p>
        </w:tc>
        <w:tc>
          <w:tcPr>
            <w:tcW w:w="762" w:type="dxa"/>
            <w:noWrap w:val="0"/>
            <w:vAlign w:val="center"/>
          </w:tcPr>
          <w:p>
            <w:pPr>
              <w:rPr>
                <w:color w:val="000000"/>
              </w:rPr>
            </w:pPr>
            <w:r>
              <w:rPr>
                <w:rFonts w:hint="eastAsia"/>
                <w:color w:val="000000"/>
              </w:rPr>
              <w:t>信誉</w:t>
            </w:r>
          </w:p>
        </w:tc>
        <w:tc>
          <w:tcPr>
            <w:tcW w:w="567" w:type="dxa"/>
            <w:noWrap w:val="0"/>
            <w:vAlign w:val="center"/>
          </w:tcPr>
          <w:p>
            <w:pPr>
              <w:rPr>
                <w:color w:val="000000"/>
              </w:rPr>
            </w:pPr>
            <w:r>
              <w:rPr>
                <w:rFonts w:hint="eastAsia"/>
                <w:color w:val="000000"/>
              </w:rPr>
              <w:t>3分</w:t>
            </w:r>
          </w:p>
        </w:tc>
        <w:tc>
          <w:tcPr>
            <w:tcW w:w="6945" w:type="dxa"/>
            <w:noWrap w:val="0"/>
            <w:vAlign w:val="center"/>
          </w:tcPr>
          <w:p>
            <w:r>
              <w:rPr>
                <w:rFonts w:hint="eastAsia"/>
              </w:rPr>
              <w:t>口碑与信誉，根据投标人的口碑、信誉等情况打分，根据各投标人所提供有关资料进行综合排名，第一名得3分，第二名得2分，第三名得1分。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Merge w:val="continue"/>
            <w:noWrap w:val="0"/>
            <w:vAlign w:val="center"/>
          </w:tcPr>
          <w:p>
            <w:pPr>
              <w:rPr>
                <w:color w:val="000000"/>
              </w:rPr>
            </w:pPr>
          </w:p>
        </w:tc>
        <w:tc>
          <w:tcPr>
            <w:tcW w:w="939" w:type="dxa"/>
            <w:vMerge w:val="continue"/>
            <w:noWrap w:val="0"/>
            <w:vAlign w:val="center"/>
          </w:tcPr>
          <w:p>
            <w:pPr>
              <w:rPr>
                <w:color w:val="000000"/>
              </w:rPr>
            </w:pPr>
          </w:p>
        </w:tc>
        <w:tc>
          <w:tcPr>
            <w:tcW w:w="762" w:type="dxa"/>
            <w:noWrap w:val="0"/>
            <w:vAlign w:val="center"/>
          </w:tcPr>
          <w:p>
            <w:pPr>
              <w:rPr>
                <w:color w:val="000000"/>
              </w:rPr>
            </w:pPr>
            <w:r>
              <w:rPr>
                <w:rFonts w:hint="eastAsia"/>
                <w:color w:val="000000"/>
              </w:rPr>
              <w:t>文件制作</w:t>
            </w:r>
          </w:p>
        </w:tc>
        <w:tc>
          <w:tcPr>
            <w:tcW w:w="567" w:type="dxa"/>
            <w:noWrap w:val="0"/>
            <w:vAlign w:val="center"/>
          </w:tcPr>
          <w:p>
            <w:pPr>
              <w:rPr>
                <w:color w:val="000000"/>
              </w:rPr>
            </w:pPr>
            <w:r>
              <w:rPr>
                <w:rFonts w:hint="eastAsia"/>
                <w:color w:val="000000"/>
              </w:rPr>
              <w:t>2分</w:t>
            </w:r>
          </w:p>
        </w:tc>
        <w:tc>
          <w:tcPr>
            <w:tcW w:w="6945" w:type="dxa"/>
            <w:noWrap w:val="0"/>
            <w:vAlign w:val="center"/>
          </w:tcPr>
          <w:p>
            <w:pPr>
              <w:rPr>
                <w:rFonts w:hint="eastAsia"/>
                <w:szCs w:val="21"/>
              </w:rPr>
            </w:pPr>
            <w:r>
              <w:rPr>
                <w:rFonts w:hint="eastAsia" w:ascii="宋体" w:hAnsi="宋体"/>
                <w:szCs w:val="21"/>
              </w:rPr>
              <w:t>投标文件全面响应招标文件要求，编制完整、美观，非活页装订，且有详细目录、连续页码、目录与有关材料装订顺序对应清晰、查阅方便。不符合要求的，每处扣0.5分，扣完为止。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Merge w:val="restart"/>
            <w:noWrap w:val="0"/>
            <w:vAlign w:val="center"/>
          </w:tcPr>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r>
              <w:rPr>
                <w:color w:val="000000"/>
              </w:rPr>
              <w:t>3</w:t>
            </w:r>
          </w:p>
        </w:tc>
        <w:tc>
          <w:tcPr>
            <w:tcW w:w="939" w:type="dxa"/>
            <w:vMerge w:val="restart"/>
            <w:noWrap w:val="0"/>
            <w:vAlign w:val="center"/>
          </w:tcPr>
          <w:p>
            <w:pPr>
              <w:rPr>
                <w:color w:val="000000"/>
              </w:rPr>
            </w:pPr>
          </w:p>
          <w:p>
            <w:pPr>
              <w:rPr>
                <w:color w:val="000000"/>
              </w:rPr>
            </w:pPr>
          </w:p>
          <w:p>
            <w:pPr>
              <w:rPr>
                <w:color w:val="000000"/>
              </w:rPr>
            </w:pPr>
          </w:p>
          <w:p>
            <w:pPr>
              <w:rPr>
                <w:color w:val="000000"/>
              </w:rPr>
            </w:pPr>
          </w:p>
          <w:p>
            <w:pPr>
              <w:rPr>
                <w:color w:val="000000"/>
              </w:rPr>
            </w:pPr>
          </w:p>
          <w:p>
            <w:pPr>
              <w:rPr>
                <w:color w:val="000000"/>
              </w:rPr>
            </w:pPr>
          </w:p>
          <w:p>
            <w:pPr>
              <w:ind w:firstLine="105" w:firstLineChars="50"/>
              <w:rPr>
                <w:color w:val="000000"/>
              </w:rPr>
            </w:pPr>
            <w:r>
              <w:rPr>
                <w:rFonts w:hint="eastAsia"/>
                <w:color w:val="000000"/>
              </w:rPr>
              <w:t>技术评议</w:t>
            </w:r>
          </w:p>
          <w:p>
            <w:pPr>
              <w:rPr>
                <w:color w:val="000000"/>
              </w:rPr>
            </w:pPr>
            <w:r>
              <w:rPr>
                <w:color w:val="000000"/>
              </w:rPr>
              <w:t>(</w:t>
            </w:r>
            <w:r>
              <w:rPr>
                <w:rFonts w:hint="eastAsia"/>
                <w:color w:val="000000"/>
              </w:rPr>
              <w:t>45</w:t>
            </w:r>
            <w:r>
              <w:rPr>
                <w:color w:val="000000"/>
              </w:rPr>
              <w:t xml:space="preserve"> </w:t>
            </w:r>
            <w:r>
              <w:rPr>
                <w:rFonts w:hint="eastAsia"/>
                <w:color w:val="000000"/>
              </w:rPr>
              <w:t>分）</w:t>
            </w:r>
          </w:p>
        </w:tc>
        <w:tc>
          <w:tcPr>
            <w:tcW w:w="762" w:type="dxa"/>
            <w:noWrap w:val="0"/>
            <w:vAlign w:val="center"/>
          </w:tcPr>
          <w:p>
            <w:pPr>
              <w:rPr>
                <w:color w:val="000000"/>
              </w:rPr>
            </w:pPr>
            <w:r>
              <w:rPr>
                <w:rFonts w:hint="eastAsia"/>
                <w:color w:val="000000"/>
              </w:rPr>
              <w:t>体系制度</w:t>
            </w:r>
          </w:p>
        </w:tc>
        <w:tc>
          <w:tcPr>
            <w:tcW w:w="567" w:type="dxa"/>
            <w:noWrap w:val="0"/>
            <w:vAlign w:val="center"/>
          </w:tcPr>
          <w:p>
            <w:pPr>
              <w:rPr>
                <w:color w:val="000000"/>
              </w:rPr>
            </w:pPr>
          </w:p>
          <w:p>
            <w:pPr>
              <w:rPr>
                <w:color w:val="000000"/>
              </w:rPr>
            </w:pPr>
            <w:r>
              <w:rPr>
                <w:color w:val="000000"/>
              </w:rPr>
              <w:t xml:space="preserve">10 </w:t>
            </w:r>
            <w:r>
              <w:rPr>
                <w:rFonts w:hint="eastAsia"/>
                <w:color w:val="000000"/>
              </w:rPr>
              <w:t>分</w:t>
            </w:r>
          </w:p>
        </w:tc>
        <w:tc>
          <w:tcPr>
            <w:tcW w:w="6945" w:type="dxa"/>
            <w:noWrap w:val="0"/>
            <w:vAlign w:val="center"/>
          </w:tcPr>
          <w:p>
            <w:pPr>
              <w:rPr>
                <w:color w:val="000000"/>
              </w:rPr>
            </w:pPr>
            <w:r>
              <w:rPr>
                <w:rFonts w:hint="eastAsia"/>
                <w:color w:val="000000"/>
              </w:rPr>
              <w:t>体系制度应包含管理组织架构，人员分工，管理制度等。有完善的派遣劳务人员资薪酬管理体系和财务管理等制度保障，能保证薪酬安全可靠，及时发放，并承诺不拖欠劳务人员薪酬。依据各投标人所提供有关资料进行综合比较，第一名得10分，第二名得7分，第三名得4分，第四名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Merge w:val="continue"/>
            <w:noWrap w:val="0"/>
            <w:vAlign w:val="center"/>
          </w:tcPr>
          <w:p>
            <w:pPr>
              <w:rPr>
                <w:color w:val="000000"/>
              </w:rPr>
            </w:pPr>
          </w:p>
        </w:tc>
        <w:tc>
          <w:tcPr>
            <w:tcW w:w="939" w:type="dxa"/>
            <w:vMerge w:val="continue"/>
            <w:noWrap w:val="0"/>
            <w:vAlign w:val="center"/>
          </w:tcPr>
          <w:p>
            <w:pPr>
              <w:rPr>
                <w:color w:val="000000"/>
              </w:rPr>
            </w:pPr>
          </w:p>
        </w:tc>
        <w:tc>
          <w:tcPr>
            <w:tcW w:w="762" w:type="dxa"/>
            <w:noWrap w:val="0"/>
            <w:vAlign w:val="center"/>
          </w:tcPr>
          <w:p>
            <w:pPr>
              <w:rPr>
                <w:color w:val="000000"/>
              </w:rPr>
            </w:pPr>
          </w:p>
          <w:p>
            <w:pPr>
              <w:rPr>
                <w:color w:val="000000"/>
              </w:rPr>
            </w:pPr>
          </w:p>
          <w:p>
            <w:pPr>
              <w:rPr>
                <w:color w:val="000000"/>
              </w:rPr>
            </w:pPr>
          </w:p>
          <w:p>
            <w:pPr>
              <w:rPr>
                <w:color w:val="000000"/>
              </w:rPr>
            </w:pPr>
          </w:p>
          <w:p>
            <w:pPr>
              <w:rPr>
                <w:color w:val="000000"/>
              </w:rPr>
            </w:pPr>
            <w:r>
              <w:rPr>
                <w:rFonts w:hint="eastAsia"/>
                <w:color w:val="000000"/>
              </w:rPr>
              <w:t>服务方案</w:t>
            </w:r>
          </w:p>
        </w:tc>
        <w:tc>
          <w:tcPr>
            <w:tcW w:w="567" w:type="dxa"/>
            <w:noWrap w:val="0"/>
            <w:vAlign w:val="center"/>
          </w:tcPr>
          <w:p>
            <w:pPr>
              <w:rPr>
                <w:color w:val="000000"/>
              </w:rPr>
            </w:pPr>
          </w:p>
          <w:p>
            <w:pPr>
              <w:rPr>
                <w:color w:val="000000"/>
              </w:rPr>
            </w:pPr>
          </w:p>
          <w:p>
            <w:pPr>
              <w:rPr>
                <w:color w:val="000000"/>
              </w:rPr>
            </w:pPr>
          </w:p>
          <w:p>
            <w:pPr>
              <w:rPr>
                <w:color w:val="000000"/>
              </w:rPr>
            </w:pPr>
          </w:p>
          <w:p>
            <w:pPr>
              <w:rPr>
                <w:color w:val="000000"/>
              </w:rPr>
            </w:pPr>
          </w:p>
          <w:p>
            <w:pPr>
              <w:rPr>
                <w:color w:val="000000"/>
              </w:rPr>
            </w:pPr>
            <w:r>
              <w:rPr>
                <w:color w:val="000000"/>
              </w:rPr>
              <w:t>3</w:t>
            </w:r>
            <w:r>
              <w:rPr>
                <w:rFonts w:hint="eastAsia"/>
                <w:color w:val="000000"/>
              </w:rPr>
              <w:t>0</w:t>
            </w:r>
            <w:r>
              <w:rPr>
                <w:color w:val="000000"/>
              </w:rPr>
              <w:t xml:space="preserve"> </w:t>
            </w:r>
            <w:r>
              <w:rPr>
                <w:rFonts w:hint="eastAsia"/>
                <w:color w:val="000000"/>
              </w:rPr>
              <w:t>分</w:t>
            </w:r>
          </w:p>
        </w:tc>
        <w:tc>
          <w:tcPr>
            <w:tcW w:w="6945" w:type="dxa"/>
            <w:noWrap w:val="0"/>
            <w:vAlign w:val="center"/>
          </w:tcPr>
          <w:p>
            <w:pPr>
              <w:rPr>
                <w:color w:val="000000"/>
              </w:rPr>
            </w:pPr>
            <w:r>
              <w:rPr>
                <w:rFonts w:hint="eastAsia"/>
                <w:color w:val="000000"/>
              </w:rPr>
              <w:t>1、根据投标人提供的发事件应急处理方案综合比较，第一名得5分，第二名得3分，第三名得1分；</w:t>
            </w:r>
          </w:p>
          <w:p>
            <w:pPr>
              <w:rPr>
                <w:rFonts w:hint="eastAsia"/>
                <w:color w:val="000000"/>
              </w:rPr>
            </w:pPr>
            <w:r>
              <w:rPr>
                <w:rFonts w:hint="eastAsia"/>
                <w:color w:val="000000"/>
              </w:rPr>
              <w:t>2、根据投标人提供的档案户籍及社保管理方案综合比较，第一名得5分，第二名得3分，第三名得1分；</w:t>
            </w:r>
          </w:p>
          <w:p>
            <w:pPr>
              <w:rPr>
                <w:color w:val="000000"/>
              </w:rPr>
            </w:pPr>
            <w:r>
              <w:rPr>
                <w:rFonts w:hint="eastAsia"/>
                <w:color w:val="000000"/>
              </w:rPr>
              <w:t>3、根据投标人提供的员工培训计划与方案综合比较，第一名得5分，第二名得3分，第三名得1分；</w:t>
            </w:r>
          </w:p>
          <w:p>
            <w:pPr>
              <w:rPr>
                <w:color w:val="000000"/>
              </w:rPr>
            </w:pPr>
            <w:r>
              <w:rPr>
                <w:rFonts w:hint="eastAsia"/>
                <w:color w:val="000000"/>
              </w:rPr>
              <w:t>4、根据投标人提供的派遣员工每年体检方案综合比较，第一名得5分，第二名得3分，第三名得1分；</w:t>
            </w:r>
          </w:p>
          <w:p>
            <w:pPr>
              <w:rPr>
                <w:color w:val="000000"/>
              </w:rPr>
            </w:pPr>
            <w:r>
              <w:rPr>
                <w:rFonts w:hint="eastAsia"/>
                <w:color w:val="000000"/>
              </w:rPr>
              <w:t>5、根据投标人提供的员工派遣时效性方案综合比较，第一名得5分，第二名得3分，第三名得1分；</w:t>
            </w:r>
          </w:p>
          <w:p>
            <w:pPr>
              <w:rPr>
                <w:color w:val="000000"/>
              </w:rPr>
            </w:pPr>
            <w:r>
              <w:rPr>
                <w:rFonts w:hint="eastAsia"/>
                <w:color w:val="000000"/>
              </w:rPr>
              <w:t>6、根据投标人提供的其他服务方案（如增值服务等）综合比较，第一名得5分，第二名得3分，第三名得1分。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Merge w:val="continue"/>
            <w:noWrap w:val="0"/>
            <w:vAlign w:val="center"/>
          </w:tcPr>
          <w:p>
            <w:pPr>
              <w:rPr>
                <w:color w:val="000000"/>
              </w:rPr>
            </w:pPr>
          </w:p>
        </w:tc>
        <w:tc>
          <w:tcPr>
            <w:tcW w:w="939" w:type="dxa"/>
            <w:vMerge w:val="continue"/>
            <w:noWrap w:val="0"/>
            <w:vAlign w:val="center"/>
          </w:tcPr>
          <w:p>
            <w:pPr>
              <w:rPr>
                <w:color w:val="000000"/>
              </w:rPr>
            </w:pPr>
          </w:p>
        </w:tc>
        <w:tc>
          <w:tcPr>
            <w:tcW w:w="762" w:type="dxa"/>
            <w:noWrap w:val="0"/>
            <w:vAlign w:val="center"/>
          </w:tcPr>
          <w:p>
            <w:pPr>
              <w:rPr>
                <w:color w:val="000000"/>
              </w:rPr>
            </w:pPr>
            <w:r>
              <w:rPr>
                <w:rFonts w:hint="eastAsia"/>
                <w:color w:val="000000"/>
              </w:rPr>
              <w:t>服务设备</w:t>
            </w:r>
          </w:p>
        </w:tc>
        <w:tc>
          <w:tcPr>
            <w:tcW w:w="567" w:type="dxa"/>
            <w:noWrap w:val="0"/>
            <w:vAlign w:val="center"/>
          </w:tcPr>
          <w:p>
            <w:pPr>
              <w:rPr>
                <w:color w:val="000000"/>
              </w:rPr>
            </w:pPr>
            <w:r>
              <w:rPr>
                <w:rFonts w:hint="eastAsia"/>
                <w:color w:val="000000"/>
              </w:rPr>
              <w:t>3分</w:t>
            </w:r>
          </w:p>
        </w:tc>
        <w:tc>
          <w:tcPr>
            <w:tcW w:w="6945" w:type="dxa"/>
            <w:noWrap w:val="0"/>
            <w:vAlign w:val="center"/>
          </w:tcPr>
          <w:p>
            <w:pPr>
              <w:rPr>
                <w:color w:val="000000"/>
              </w:rPr>
            </w:pPr>
            <w:r>
              <w:rPr>
                <w:rFonts w:hint="eastAsia"/>
                <w:color w:val="000000"/>
              </w:rPr>
              <w:t>提供保安服务设备、工具、配置齐全（需提供投标单位设备购置发票）。依据各投标人所提供有关资料进行综合比较，第一名得3分，第二名得2分，第三名得1分。证明材料须提供真彩扫描打印件。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Merge w:val="continue"/>
            <w:noWrap w:val="0"/>
            <w:vAlign w:val="center"/>
          </w:tcPr>
          <w:p>
            <w:pPr>
              <w:rPr>
                <w:color w:val="000000"/>
              </w:rPr>
            </w:pPr>
          </w:p>
        </w:tc>
        <w:tc>
          <w:tcPr>
            <w:tcW w:w="939" w:type="dxa"/>
            <w:vMerge w:val="continue"/>
            <w:noWrap w:val="0"/>
            <w:vAlign w:val="center"/>
          </w:tcPr>
          <w:p>
            <w:pPr>
              <w:rPr>
                <w:color w:val="000000"/>
              </w:rPr>
            </w:pPr>
          </w:p>
        </w:tc>
        <w:tc>
          <w:tcPr>
            <w:tcW w:w="762" w:type="dxa"/>
            <w:noWrap w:val="0"/>
            <w:vAlign w:val="center"/>
          </w:tcPr>
          <w:p>
            <w:pPr>
              <w:rPr>
                <w:color w:val="000000"/>
              </w:rPr>
            </w:pPr>
            <w:r>
              <w:rPr>
                <w:rFonts w:hint="eastAsia"/>
                <w:color w:val="000000"/>
              </w:rPr>
              <w:t>服务人员</w:t>
            </w:r>
          </w:p>
        </w:tc>
        <w:tc>
          <w:tcPr>
            <w:tcW w:w="567" w:type="dxa"/>
            <w:noWrap w:val="0"/>
            <w:vAlign w:val="center"/>
          </w:tcPr>
          <w:p>
            <w:pPr>
              <w:rPr>
                <w:color w:val="000000"/>
              </w:rPr>
            </w:pPr>
            <w:r>
              <w:rPr>
                <w:rFonts w:hint="eastAsia"/>
                <w:color w:val="000000"/>
              </w:rPr>
              <w:t>2分</w:t>
            </w:r>
          </w:p>
        </w:tc>
        <w:tc>
          <w:tcPr>
            <w:tcW w:w="6945" w:type="dxa"/>
            <w:noWrap w:val="0"/>
            <w:vAlign w:val="center"/>
          </w:tcPr>
          <w:p>
            <w:pPr>
              <w:rPr>
                <w:color w:val="000000"/>
              </w:rPr>
            </w:pPr>
            <w:r>
              <w:rPr>
                <w:rFonts w:hint="eastAsia"/>
                <w:color w:val="000000"/>
              </w:rPr>
              <w:t>提供保安服务人员的学习培训情况。依据各投标人所提供有关资料进行综合比较，第一名得2分，第二名得1分，第三名得0.5分。需提供有效证明材料真彩扫描打印件。</w:t>
            </w:r>
          </w:p>
        </w:tc>
      </w:tr>
    </w:tbl>
    <w:p>
      <w:pPr>
        <w:jc w:val="left"/>
        <w:rPr>
          <w:color w:val="000000"/>
          <w:szCs w:val="21"/>
        </w:rPr>
      </w:pPr>
      <w:r>
        <w:rPr>
          <w:rFonts w:hint="eastAsia"/>
          <w:b/>
          <w:bCs/>
          <w:color w:val="000000"/>
          <w:szCs w:val="21"/>
        </w:rPr>
        <w:t>备注</w:t>
      </w:r>
      <w:r>
        <w:rPr>
          <w:rFonts w:hint="eastAsia"/>
          <w:color w:val="000000"/>
          <w:szCs w:val="21"/>
        </w:rPr>
        <w:t>：</w:t>
      </w:r>
    </w:p>
    <w:p>
      <w:pPr>
        <w:ind w:firstLine="527" w:firstLineChars="250"/>
        <w:jc w:val="left"/>
        <w:rPr>
          <w:b/>
          <w:bCs/>
          <w:color w:val="000000"/>
          <w:szCs w:val="21"/>
        </w:rPr>
      </w:pPr>
      <w:r>
        <w:rPr>
          <w:rFonts w:hint="eastAsia"/>
          <w:b/>
          <w:bCs/>
          <w:color w:val="000000"/>
          <w:szCs w:val="21"/>
        </w:rPr>
        <w:t>以上所有须提供的证件、证书、有关资料等投标人都必须提供真彩扫描打印件等有关资料供专家评委评审，否则不得分。投标人投标时须认真对待、如实应标。凡提供虚假材料谋取中标的，一经查实，根据《政府采购法》第七十七条之规定，将对供应商处以罚款、列入不良行为记录名单、依法追究刑事责任等。以上有关证书验收时提供原件进行验收。</w:t>
      </w:r>
    </w:p>
    <w:p/>
    <w:p>
      <w:r>
        <w:br w:type="page"/>
      </w:r>
    </w:p>
    <w:p>
      <w:pPr>
        <w:pStyle w:val="4"/>
        <w:numPr>
          <w:ilvl w:val="0"/>
          <w:numId w:val="1"/>
        </w:numPr>
        <w:jc w:val="center"/>
        <w:rPr>
          <w:rFonts w:ascii="黑体" w:hAnsi="黑体" w:eastAsia="黑体"/>
        </w:rPr>
      </w:pPr>
      <w:bookmarkStart w:id="81" w:name="_Toc26906"/>
      <w:bookmarkStart w:id="82" w:name="_Toc494721093"/>
      <w:bookmarkStart w:id="83" w:name="_Toc494665943"/>
      <w:bookmarkStart w:id="84" w:name="_Toc494664993"/>
      <w:bookmarkStart w:id="85" w:name="_Toc494702263"/>
      <w:bookmarkStart w:id="86" w:name="_Toc494665546"/>
      <w:bookmarkStart w:id="87" w:name="_Toc494745310"/>
      <w:r>
        <w:rPr>
          <w:rFonts w:hint="eastAsia" w:ascii="黑体" w:hAnsi="黑体" w:eastAsia="黑体"/>
        </w:rPr>
        <w:t>合同书格式（参考）</w:t>
      </w:r>
      <w:bookmarkEnd w:id="81"/>
      <w:bookmarkEnd w:id="82"/>
      <w:bookmarkEnd w:id="83"/>
      <w:bookmarkEnd w:id="84"/>
      <w:bookmarkEnd w:id="85"/>
      <w:bookmarkEnd w:id="86"/>
      <w:bookmarkEnd w:id="87"/>
    </w:p>
    <w:p>
      <w:pPr>
        <w:spacing w:line="360" w:lineRule="auto"/>
        <w:ind w:firstLine="482" w:firstLineChars="20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hAnsi="宋体" w:eastAsia="宋体" w:cs="Times New Roman"/>
          <w:b/>
          <w:kern w:val="0"/>
          <w:sz w:val="36"/>
          <w:szCs w:val="36"/>
        </w:rPr>
      </w:pPr>
      <w:r>
        <w:rPr>
          <w:rFonts w:hint="eastAsia" w:ascii="宋体" w:hAnsi="宋体" w:eastAsia="宋体" w:cs="Times New Roman"/>
          <w:b/>
          <w:kern w:val="0"/>
          <w:sz w:val="36"/>
          <w:szCs w:val="36"/>
        </w:rPr>
        <w:t>合   同   书</w:t>
      </w:r>
    </w:p>
    <w:p>
      <w:pPr>
        <w:spacing w:beforeLines="25" w:line="360" w:lineRule="auto"/>
        <w:ind w:firstLine="482"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项目名称：</w:t>
      </w:r>
    </w:p>
    <w:p>
      <w:pPr>
        <w:spacing w:beforeLines="25" w:line="360" w:lineRule="auto"/>
        <w:ind w:firstLine="482"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合同编号：</w:t>
      </w:r>
    </w:p>
    <w:p>
      <w:pPr>
        <w:spacing w:beforeLines="25" w:line="360" w:lineRule="auto"/>
        <w:ind w:firstLine="482"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签订日期：</w:t>
      </w:r>
    </w:p>
    <w:p>
      <w:pPr>
        <w:spacing w:beforeLines="25" w:line="360" w:lineRule="auto"/>
        <w:ind w:firstLine="482"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签订合同地点：</w:t>
      </w:r>
    </w:p>
    <w:p>
      <w:pPr>
        <w:spacing w:beforeLines="25" w:line="360" w:lineRule="auto"/>
        <w:ind w:firstLine="482" w:firstLineChars="200"/>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本合同由</w:t>
      </w:r>
      <w:r>
        <w:rPr>
          <w:rFonts w:hint="eastAsia" w:ascii="Helvetica" w:hAnsi="Helvetica" w:eastAsia="宋体" w:cs="Helvetica"/>
          <w:kern w:val="0"/>
          <w:sz w:val="24"/>
          <w:szCs w:val="24"/>
          <w:u w:val="single"/>
          <w:lang w:val="zh-CN"/>
        </w:rPr>
        <w:t>（采购人）</w:t>
      </w:r>
      <w:r>
        <w:rPr>
          <w:rFonts w:hint="eastAsia" w:ascii="Helvetica" w:hAnsi="Helvetica" w:eastAsia="宋体" w:cs="Helvetica"/>
          <w:kern w:val="0"/>
          <w:sz w:val="24"/>
          <w:szCs w:val="24"/>
          <w:lang w:val="zh-CN"/>
        </w:rPr>
        <w:t>（以下简称“甲方”）与</w:t>
      </w:r>
      <w:r>
        <w:rPr>
          <w:rFonts w:hint="eastAsia" w:ascii="Helvetica" w:hAnsi="Helvetica" w:eastAsia="宋体" w:cs="Helvetica"/>
          <w:kern w:val="0"/>
          <w:sz w:val="24"/>
          <w:szCs w:val="24"/>
          <w:u w:val="single"/>
          <w:lang w:val="zh-CN"/>
        </w:rPr>
        <w:t>（中标人）</w:t>
      </w:r>
      <w:r>
        <w:rPr>
          <w:rFonts w:hint="eastAsia" w:ascii="Helvetica" w:hAnsi="Helvetica" w:eastAsia="宋体" w:cs="Helvetica"/>
          <w:kern w:val="0"/>
          <w:sz w:val="24"/>
          <w:szCs w:val="24"/>
          <w:lang w:val="zh-CN"/>
        </w:rPr>
        <w:t>（以下简称“乙方”）签订。乙方以总金额万元人民币（用大写数字书写）向甲方提供如下货物（工程或服务）：</w:t>
      </w:r>
    </w:p>
    <w:p>
      <w:pPr>
        <w:spacing w:beforeLines="25" w:line="360" w:lineRule="auto"/>
        <w:ind w:firstLine="491" w:firstLineChars="204"/>
        <w:contextualSpacing/>
        <w:rPr>
          <w:rFonts w:ascii="宋体" w:hAnsi="宋体" w:eastAsia="宋体" w:cs="Times New Roman"/>
          <w:b/>
          <w:kern w:val="0"/>
          <w:sz w:val="24"/>
          <w:szCs w:val="20"/>
        </w:rPr>
      </w:pPr>
      <w:r>
        <w:rPr>
          <w:rFonts w:hint="eastAsia" w:ascii="Helvetica" w:hAnsi="Helvetica" w:eastAsia="宋体" w:cs="Helvetica"/>
          <w:b/>
          <w:kern w:val="0"/>
          <w:sz w:val="24"/>
          <w:szCs w:val="24"/>
          <w:lang w:val="zh-CN"/>
        </w:rPr>
        <w:t>经双方协商，同意按下列条文执行：</w:t>
      </w:r>
    </w:p>
    <w:p>
      <w:pPr>
        <w:numPr>
          <w:ilvl w:val="3"/>
          <w:numId w:val="57"/>
        </w:numPr>
        <w:tabs>
          <w:tab w:val="left" w:pos="854"/>
        </w:tabs>
        <w:autoSpaceDE w:val="0"/>
        <w:autoSpaceDN w:val="0"/>
        <w:spacing w:beforeLines="25" w:line="360" w:lineRule="auto"/>
        <w:ind w:left="11" w:firstLine="478"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本合同甲、乙双方应遵守国家颁布的《中华人民共和国合同法》、《中华人民共和国政府采购法》，并各自履行应负的全部责任和义务。</w:t>
      </w:r>
    </w:p>
    <w:p>
      <w:pPr>
        <w:numPr>
          <w:ilvl w:val="3"/>
          <w:numId w:val="57"/>
        </w:numPr>
        <w:tabs>
          <w:tab w:val="left" w:pos="854"/>
        </w:tabs>
        <w:autoSpaceDE w:val="0"/>
        <w:autoSpaceDN w:val="0"/>
        <w:spacing w:beforeLines="25" w:line="360" w:lineRule="auto"/>
        <w:ind w:left="11" w:firstLine="478"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甲方保证按合同条款规定的时间和方式付给乙方到期应付的合同款，并承担应负的责任和义务。</w:t>
      </w:r>
    </w:p>
    <w:p>
      <w:pPr>
        <w:numPr>
          <w:ilvl w:val="3"/>
          <w:numId w:val="57"/>
        </w:numPr>
        <w:tabs>
          <w:tab w:val="left" w:pos="854"/>
        </w:tabs>
        <w:autoSpaceDE w:val="0"/>
        <w:autoSpaceDN w:val="0"/>
        <w:spacing w:beforeLines="25" w:line="360" w:lineRule="auto"/>
        <w:ind w:left="11" w:firstLine="478"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乙方保证按合同条款规定的内容和工期（服务期限）向甲方提供合格的货物（工程或服务），并承担应负的责任和义务。</w:t>
      </w:r>
    </w:p>
    <w:p>
      <w:pPr>
        <w:numPr>
          <w:ilvl w:val="3"/>
          <w:numId w:val="57"/>
        </w:numPr>
        <w:tabs>
          <w:tab w:val="left" w:pos="854"/>
        </w:tabs>
        <w:autoSpaceDE w:val="0"/>
        <w:autoSpaceDN w:val="0"/>
        <w:spacing w:beforeLines="25" w:line="360" w:lineRule="auto"/>
        <w:ind w:left="11" w:firstLine="478"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合同文件。下列文件为本合同不可分割的部分：</w:t>
      </w:r>
    </w:p>
    <w:p>
      <w:pPr>
        <w:numPr>
          <w:ilvl w:val="0"/>
          <w:numId w:val="58"/>
        </w:numPr>
        <w:adjustRightInd w:val="0"/>
        <w:spacing w:beforeLines="25" w:line="360" w:lineRule="auto"/>
        <w:ind w:left="1094" w:leftChars="227" w:hanging="616"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招标文件（项目编号：</w:t>
      </w:r>
      <w:r>
        <w:rPr>
          <w:rFonts w:hint="eastAsia" w:ascii="宋体" w:hAnsi="宋体" w:eastAsia="宋体" w:cs="Times New Roman"/>
          <w:kern w:val="0"/>
          <w:sz w:val="24"/>
          <w:szCs w:val="20"/>
          <w:u w:val="single"/>
          <w:lang w:val="zh-CN"/>
        </w:rPr>
        <w:t>　　              　</w:t>
      </w:r>
      <w:r>
        <w:rPr>
          <w:rFonts w:hint="eastAsia" w:ascii="宋体" w:hAnsi="宋体" w:eastAsia="宋体" w:cs="Times New Roman"/>
          <w:kern w:val="0"/>
          <w:sz w:val="24"/>
          <w:szCs w:val="20"/>
          <w:lang w:val="zh-CN"/>
        </w:rPr>
        <w:t>）；</w:t>
      </w:r>
    </w:p>
    <w:p>
      <w:pPr>
        <w:numPr>
          <w:ilvl w:val="0"/>
          <w:numId w:val="58"/>
        </w:numPr>
        <w:adjustRightInd w:val="0"/>
        <w:spacing w:beforeLines="25" w:line="360" w:lineRule="auto"/>
        <w:ind w:left="1094" w:leftChars="227" w:hanging="616"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中标的投标文件；</w:t>
      </w:r>
    </w:p>
    <w:p>
      <w:pPr>
        <w:numPr>
          <w:ilvl w:val="0"/>
          <w:numId w:val="58"/>
        </w:numPr>
        <w:adjustRightInd w:val="0"/>
        <w:spacing w:beforeLines="25" w:line="360" w:lineRule="auto"/>
        <w:ind w:left="1094" w:leftChars="227" w:hanging="616"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合同书；</w:t>
      </w:r>
    </w:p>
    <w:p>
      <w:pPr>
        <w:numPr>
          <w:ilvl w:val="0"/>
          <w:numId w:val="58"/>
        </w:numPr>
        <w:adjustRightInd w:val="0"/>
        <w:spacing w:beforeLines="25" w:line="360" w:lineRule="auto"/>
        <w:ind w:left="1094" w:leftChars="227" w:hanging="616"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合同条款；</w:t>
      </w:r>
    </w:p>
    <w:p>
      <w:pPr>
        <w:numPr>
          <w:ilvl w:val="0"/>
          <w:numId w:val="58"/>
        </w:numPr>
        <w:adjustRightInd w:val="0"/>
        <w:spacing w:beforeLines="25" w:line="360" w:lineRule="auto"/>
        <w:ind w:left="1094" w:leftChars="227" w:hanging="616"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集中采购机构发出的中标通知书；</w:t>
      </w:r>
    </w:p>
    <w:p>
      <w:pPr>
        <w:numPr>
          <w:ilvl w:val="0"/>
          <w:numId w:val="58"/>
        </w:numPr>
        <w:adjustRightInd w:val="0"/>
        <w:spacing w:beforeLines="25" w:line="360" w:lineRule="auto"/>
        <w:ind w:left="1094" w:leftChars="227" w:hanging="616"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附件；</w:t>
      </w:r>
    </w:p>
    <w:p>
      <w:pPr>
        <w:numPr>
          <w:ilvl w:val="0"/>
          <w:numId w:val="59"/>
        </w:numPr>
        <w:spacing w:beforeLines="25" w:line="360" w:lineRule="auto"/>
        <w:ind w:left="1358" w:hanging="724"/>
        <w:rPr>
          <w:rFonts w:ascii="宋体" w:hAnsi="宋体" w:eastAsia="宋体" w:cs="Times New Roman"/>
          <w:sz w:val="24"/>
          <w:szCs w:val="20"/>
          <w:lang w:val="zh-CN"/>
        </w:rPr>
      </w:pPr>
      <w:r>
        <w:rPr>
          <w:rFonts w:hint="eastAsia" w:ascii="宋体" w:hAnsi="宋体" w:eastAsia="宋体" w:cs="Times New Roman"/>
          <w:kern w:val="0"/>
          <w:sz w:val="24"/>
          <w:szCs w:val="20"/>
          <w:lang w:val="zh-CN"/>
        </w:rPr>
        <w:t>甲方</w:t>
      </w:r>
      <w:r>
        <w:rPr>
          <w:rFonts w:hint="eastAsia" w:ascii="宋体" w:hAnsi="宋体" w:eastAsia="宋体" w:cs="Times New Roman"/>
          <w:sz w:val="24"/>
          <w:szCs w:val="20"/>
          <w:lang w:val="zh-CN"/>
        </w:rPr>
        <w:t>在招标期间发布的所有补充通知；</w:t>
      </w:r>
    </w:p>
    <w:p>
      <w:pPr>
        <w:numPr>
          <w:ilvl w:val="0"/>
          <w:numId w:val="59"/>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乙方在投标期内补充的所有书面文件；</w:t>
      </w:r>
    </w:p>
    <w:p>
      <w:pPr>
        <w:numPr>
          <w:ilvl w:val="0"/>
          <w:numId w:val="59"/>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乙方在投标时随同投标文件一起递送的资料及附图；</w:t>
      </w:r>
    </w:p>
    <w:p>
      <w:pPr>
        <w:numPr>
          <w:ilvl w:val="0"/>
          <w:numId w:val="59"/>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在商洽本合同时，双方澄清、确认并共同签字的补充文件、技术协议。</w:t>
      </w:r>
    </w:p>
    <w:p>
      <w:pPr>
        <w:numPr>
          <w:ilvl w:val="3"/>
          <w:numId w:val="57"/>
        </w:numPr>
        <w:tabs>
          <w:tab w:val="left" w:pos="854"/>
        </w:tabs>
        <w:autoSpaceDE w:val="0"/>
        <w:autoSpaceDN w:val="0"/>
        <w:spacing w:beforeLines="25" w:line="360" w:lineRule="auto"/>
        <w:ind w:left="11" w:firstLine="478"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合同范围和条件。本合同的范围和条件应与上述规定的合同文件内容相一致。</w:t>
      </w:r>
    </w:p>
    <w:p>
      <w:pPr>
        <w:numPr>
          <w:ilvl w:val="3"/>
          <w:numId w:val="57"/>
        </w:numPr>
        <w:tabs>
          <w:tab w:val="left" w:pos="854"/>
        </w:tabs>
        <w:autoSpaceDE w:val="0"/>
        <w:autoSpaceDN w:val="0"/>
        <w:spacing w:beforeLines="25" w:line="360" w:lineRule="auto"/>
        <w:ind w:left="11" w:firstLine="478"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货物（工程或服务）及数量。本合同所提供的货物（工程或服务）及数量详见招标文件的要求及乙方投标文件中的承诺。</w:t>
      </w:r>
    </w:p>
    <w:p>
      <w:pPr>
        <w:numPr>
          <w:ilvl w:val="3"/>
          <w:numId w:val="57"/>
        </w:numPr>
        <w:tabs>
          <w:tab w:val="left" w:pos="854"/>
        </w:tabs>
        <w:autoSpaceDE w:val="0"/>
        <w:autoSpaceDN w:val="0"/>
        <w:spacing w:beforeLines="25" w:line="360" w:lineRule="auto"/>
        <w:ind w:left="11" w:firstLine="478"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付款条件。本合同的付款条件按招标文件规定执行。</w:t>
      </w:r>
    </w:p>
    <w:p>
      <w:pPr>
        <w:numPr>
          <w:ilvl w:val="3"/>
          <w:numId w:val="57"/>
        </w:numPr>
        <w:tabs>
          <w:tab w:val="left" w:pos="854"/>
        </w:tabs>
        <w:autoSpaceDE w:val="0"/>
        <w:autoSpaceDN w:val="0"/>
        <w:spacing w:beforeLines="25" w:line="360" w:lineRule="auto"/>
        <w:ind w:left="11" w:firstLine="478"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合同金额。合同总金额见合同书，分项价格在乙方的投标报价表中有明确规定。</w:t>
      </w:r>
    </w:p>
    <w:p>
      <w:pPr>
        <w:numPr>
          <w:ilvl w:val="3"/>
          <w:numId w:val="57"/>
        </w:numPr>
        <w:tabs>
          <w:tab w:val="left" w:pos="854"/>
        </w:tabs>
        <w:autoSpaceDE w:val="0"/>
        <w:autoSpaceDN w:val="0"/>
        <w:spacing w:beforeLines="25" w:line="360" w:lineRule="auto"/>
        <w:ind w:left="11" w:firstLine="478"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工期和交货（服务）地点。本合同中货物（工程或服务）的工期、交货（服务）地点在招标文件中有明确规定。</w:t>
      </w:r>
    </w:p>
    <w:p>
      <w:pPr>
        <w:numPr>
          <w:ilvl w:val="3"/>
          <w:numId w:val="57"/>
        </w:numPr>
        <w:tabs>
          <w:tab w:val="left" w:pos="980"/>
        </w:tabs>
        <w:autoSpaceDE w:val="0"/>
        <w:autoSpaceDN w:val="0"/>
        <w:spacing w:beforeLines="25" w:line="360" w:lineRule="auto"/>
        <w:ind w:left="11" w:firstLine="478"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合同生效。本合同经甲、乙双方授权代表签字和加盖公章（或合同专用章）后生效。如招标申请公证的，合同需经公证机构公证后生效。</w:t>
      </w:r>
    </w:p>
    <w:p>
      <w:pPr>
        <w:numPr>
          <w:ilvl w:val="3"/>
          <w:numId w:val="57"/>
        </w:numPr>
        <w:tabs>
          <w:tab w:val="left" w:pos="980"/>
        </w:tabs>
        <w:autoSpaceDE w:val="0"/>
        <w:autoSpaceDN w:val="0"/>
        <w:spacing w:beforeLines="25" w:line="360" w:lineRule="auto"/>
        <w:ind w:left="11" w:firstLine="478"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合同的份数。本合同正本一式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份；副本一式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w:t>
      </w:r>
    </w:p>
    <w:p>
      <w:pPr>
        <w:numPr>
          <w:ilvl w:val="3"/>
          <w:numId w:val="57"/>
        </w:numPr>
        <w:tabs>
          <w:tab w:val="left" w:pos="980"/>
        </w:tabs>
        <w:autoSpaceDE w:val="0"/>
        <w:autoSpaceDN w:val="0"/>
        <w:spacing w:beforeLines="25" w:line="360" w:lineRule="auto"/>
        <w:ind w:left="11" w:firstLine="478"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合同的失效。本合同在合同价款全部结清后失效。</w:t>
      </w:r>
    </w:p>
    <w:p>
      <w:pPr>
        <w:spacing w:beforeLines="25" w:line="360" w:lineRule="auto"/>
        <w:ind w:firstLine="491"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甲　　方：</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乙　　方：</w:t>
      </w:r>
    </w:p>
    <w:p>
      <w:pPr>
        <w:spacing w:beforeLines="25" w:line="360" w:lineRule="auto"/>
        <w:ind w:firstLine="491"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单位名称（盖章）：</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单位名称（盖章）：</w:t>
      </w:r>
    </w:p>
    <w:p>
      <w:pPr>
        <w:spacing w:beforeLines="25" w:line="360" w:lineRule="auto"/>
        <w:ind w:firstLine="491"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单位地址：</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单位地址：</w:t>
      </w:r>
    </w:p>
    <w:p>
      <w:pPr>
        <w:spacing w:beforeLines="25" w:line="360" w:lineRule="auto"/>
        <w:ind w:firstLine="491"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法人代表授权人(签字)：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法人代表授权人(签字)：</w:t>
      </w:r>
    </w:p>
    <w:p>
      <w:pPr>
        <w:spacing w:beforeLines="25" w:line="360" w:lineRule="auto"/>
        <w:ind w:firstLine="491"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联 系 人：</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联 系 人：</w:t>
      </w:r>
    </w:p>
    <w:p>
      <w:pPr>
        <w:spacing w:beforeLines="25" w:line="360" w:lineRule="auto"/>
        <w:ind w:firstLine="491"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电　　话：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电　　话：</w:t>
      </w:r>
    </w:p>
    <w:p>
      <w:pPr>
        <w:spacing w:beforeLines="25" w:line="360" w:lineRule="auto"/>
        <w:ind w:firstLine="491"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传　　真：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传　　真：</w:t>
      </w:r>
    </w:p>
    <w:p>
      <w:pPr>
        <w:spacing w:beforeLines="25" w:line="360" w:lineRule="auto"/>
        <w:ind w:firstLine="491"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邮政编码：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邮政编码：</w:t>
      </w:r>
    </w:p>
    <w:p>
      <w:pPr>
        <w:spacing w:beforeLines="25" w:line="360" w:lineRule="auto"/>
        <w:ind w:firstLine="491"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开户银行：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开户银行：</w:t>
      </w:r>
    </w:p>
    <w:p>
      <w:pPr>
        <w:spacing w:beforeLines="25" w:line="360" w:lineRule="auto"/>
        <w:ind w:firstLine="491"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帐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帐　　号：</w:t>
      </w:r>
    </w:p>
    <w:p>
      <w:pPr>
        <w:spacing w:beforeLines="25" w:line="360" w:lineRule="auto"/>
        <w:ind w:firstLine="491"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税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税　　号：</w:t>
      </w:r>
    </w:p>
    <w:p>
      <w:r>
        <w:br w:type="page"/>
      </w:r>
    </w:p>
    <w:p>
      <w:pPr>
        <w:pStyle w:val="4"/>
        <w:numPr>
          <w:ilvl w:val="0"/>
          <w:numId w:val="1"/>
        </w:numPr>
        <w:jc w:val="center"/>
        <w:rPr>
          <w:rFonts w:ascii="黑体" w:hAnsi="黑体" w:eastAsia="黑体"/>
        </w:rPr>
      </w:pPr>
      <w:bookmarkStart w:id="88" w:name="_Toc15638"/>
      <w:bookmarkStart w:id="89" w:name="_Toc494702264"/>
      <w:bookmarkStart w:id="90" w:name="_Toc494664994"/>
      <w:bookmarkStart w:id="91" w:name="_Toc494665944"/>
      <w:bookmarkStart w:id="92" w:name="_Toc494665547"/>
      <w:bookmarkStart w:id="93" w:name="_Toc494745311"/>
      <w:bookmarkStart w:id="94" w:name="_Toc494721094"/>
      <w:r>
        <w:rPr>
          <w:rFonts w:hint="eastAsia" w:ascii="黑体" w:hAnsi="黑体" w:eastAsia="黑体"/>
        </w:rPr>
        <w:t>投标文件格式（参考）</w:t>
      </w:r>
      <w:bookmarkEnd w:id="88"/>
      <w:bookmarkEnd w:id="89"/>
      <w:bookmarkEnd w:id="90"/>
      <w:bookmarkEnd w:id="91"/>
      <w:bookmarkEnd w:id="92"/>
      <w:bookmarkEnd w:id="93"/>
      <w:bookmarkEnd w:id="94"/>
    </w:p>
    <w:p>
      <w:pPr>
        <w:spacing w:afterLines="250"/>
        <w:jc w:val="center"/>
        <w:rPr>
          <w:rFonts w:ascii="黑体" w:hAnsi="黑体" w:eastAsia="黑体"/>
          <w:b/>
          <w:sz w:val="96"/>
          <w:szCs w:val="96"/>
        </w:rPr>
      </w:pPr>
      <w:r>
        <w:rPr>
          <w:rFonts w:hint="eastAsia" w:ascii="黑体" w:hAnsi="黑体" w:eastAsia="黑体"/>
          <w:b/>
          <w:sz w:val="96"/>
          <w:szCs w:val="96"/>
        </w:rPr>
        <w:t>政府采购项目</w:t>
      </w:r>
    </w:p>
    <w:p>
      <w:pPr>
        <w:spacing w:afterLines="200"/>
        <w:jc w:val="center"/>
        <w:rPr>
          <w:rFonts w:ascii="黑体" w:hAnsi="黑体" w:eastAsia="黑体"/>
          <w:b/>
          <w:sz w:val="72"/>
          <w:szCs w:val="72"/>
        </w:rPr>
      </w:pPr>
      <w:r>
        <w:rPr>
          <w:rFonts w:hint="eastAsia" w:ascii="黑体" w:hAnsi="黑体" w:eastAsia="黑体"/>
          <w:b/>
          <w:sz w:val="72"/>
          <w:szCs w:val="72"/>
        </w:rPr>
        <w:t>投 标 文 件</w:t>
      </w:r>
    </w:p>
    <w:p>
      <w:pPr>
        <w:pStyle w:val="5"/>
        <w:spacing w:before="340" w:after="480" w:line="360" w:lineRule="auto"/>
        <w:jc w:val="center"/>
        <w:rPr>
          <w:rFonts w:cs="Times New Roman" w:asciiTheme="majorEastAsia" w:hAnsiTheme="majorEastAsia"/>
          <w:bCs w:val="0"/>
          <w:sz w:val="44"/>
          <w:szCs w:val="44"/>
          <w:lang w:val="zh-CN"/>
        </w:rPr>
      </w:pPr>
      <w:bookmarkStart w:id="95" w:name="_Toc494702265"/>
      <w:bookmarkStart w:id="96" w:name="_Toc494745312"/>
      <w:bookmarkStart w:id="97" w:name="_Toc494665945"/>
      <w:bookmarkStart w:id="98" w:name="_Toc494721095"/>
      <w:bookmarkStart w:id="99" w:name="_Toc494665548"/>
      <w:bookmarkStart w:id="100" w:name="_Toc494664995"/>
      <w:bookmarkStart w:id="101" w:name="_Toc16360"/>
      <w:r>
        <w:rPr>
          <w:rFonts w:hint="eastAsia" w:cs="Times New Roman" w:asciiTheme="majorEastAsia" w:hAnsiTheme="majorEastAsia"/>
          <w:bCs w:val="0"/>
          <w:sz w:val="44"/>
          <w:szCs w:val="44"/>
          <w:lang w:val="zh-CN"/>
        </w:rPr>
        <w:t>第一部分 资格证明文件</w:t>
      </w:r>
      <w:bookmarkEnd w:id="95"/>
      <w:bookmarkEnd w:id="96"/>
      <w:bookmarkEnd w:id="97"/>
      <w:bookmarkEnd w:id="98"/>
      <w:bookmarkEnd w:id="99"/>
      <w:bookmarkEnd w:id="100"/>
      <w:bookmarkEnd w:id="101"/>
    </w:p>
    <w:p>
      <w:pPr>
        <w:spacing w:line="360" w:lineRule="auto"/>
        <w:ind w:left="2060" w:leftChars="619" w:right="1306" w:rightChars="619" w:hanging="754"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60" w:leftChars="619" w:right="1306" w:rightChars="619" w:hanging="754"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项目名称：</w:t>
      </w:r>
    </w:p>
    <w:p>
      <w:pPr>
        <w:spacing w:line="360" w:lineRule="auto"/>
        <w:ind w:left="2060" w:leftChars="619" w:right="1306" w:rightChars="619" w:hanging="754" w:hangingChars="209"/>
        <w:rPr>
          <w:rFonts w:cs="Times New Roman" w:asciiTheme="minorEastAsia" w:hAnsiTheme="minorEastAsia"/>
          <w:sz w:val="36"/>
          <w:szCs w:val="36"/>
        </w:rPr>
      </w:pPr>
      <w:r>
        <w:rPr>
          <w:rFonts w:hint="eastAsia" w:cs="Times New Roman" w:asciiTheme="minorEastAsia" w:hAnsiTheme="minorEastAsia"/>
          <w:b/>
          <w:bCs/>
          <w:sz w:val="36"/>
          <w:szCs w:val="24"/>
        </w:rPr>
        <w:t>招标内容：</w:t>
      </w:r>
    </w:p>
    <w:p>
      <w:pPr>
        <w:spacing w:afterLines="500" w:line="360" w:lineRule="auto"/>
        <w:ind w:left="2353" w:leftChars="271" w:right="571" w:rightChars="271" w:hanging="1782" w:hangingChars="494"/>
        <w:jc w:val="center"/>
        <w:rPr>
          <w:rFonts w:ascii="宋体" w:hAnsi="宋体" w:eastAsia="宋体" w:cs="Times New Roman"/>
          <w:sz w:val="36"/>
          <w:szCs w:val="36"/>
        </w:rPr>
      </w:pPr>
    </w:p>
    <w:p>
      <w:pPr>
        <w:spacing w:line="360" w:lineRule="auto"/>
        <w:ind w:left="1979" w:leftChars="613" w:right="1293" w:rightChars="613" w:hanging="686"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投标人（盖章）：</w:t>
      </w:r>
    </w:p>
    <w:p>
      <w:pPr>
        <w:spacing w:line="360" w:lineRule="auto"/>
        <w:ind w:left="1979" w:leftChars="613" w:right="1293" w:rightChars="613" w:hanging="686"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64" w:leftChars="466" w:right="466" w:hanging="1281"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r>
        <w:br w:type="page"/>
      </w:r>
    </w:p>
    <w:p>
      <w:pPr>
        <w:spacing w:beforeLines="100" w:line="360" w:lineRule="auto"/>
        <w:jc w:val="left"/>
        <w:rPr>
          <w:rFonts w:ascii="宋体" w:hAnsi="宋体" w:eastAsia="宋体" w:cs="Times New Roman"/>
          <w:b/>
          <w:bCs/>
          <w:sz w:val="30"/>
          <w:szCs w:val="30"/>
          <w:lang w:val="zh-CN"/>
        </w:rPr>
      </w:pP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02" w:name="_Toc494745313"/>
      <w:bookmarkStart w:id="103" w:name="_Toc494664996"/>
      <w:bookmarkStart w:id="104" w:name="_Toc494665549"/>
      <w:bookmarkStart w:id="105" w:name="_Toc494702266"/>
      <w:bookmarkStart w:id="106" w:name="_Toc494721096"/>
      <w:bookmarkStart w:id="107" w:name="_Toc494665946"/>
      <w:r>
        <w:rPr>
          <w:rFonts w:hint="eastAsia" w:ascii="黑体" w:hAnsi="黑体" w:eastAsia="黑体" w:cs="Times New Roman"/>
          <w:b/>
          <w:sz w:val="36"/>
          <w:szCs w:val="36"/>
        </w:rPr>
        <w:t>资格证明文件组成</w:t>
      </w:r>
      <w:bookmarkEnd w:id="102"/>
      <w:bookmarkEnd w:id="103"/>
      <w:bookmarkEnd w:id="104"/>
      <w:bookmarkEnd w:id="105"/>
      <w:bookmarkEnd w:id="106"/>
      <w:bookmarkEnd w:id="107"/>
    </w:p>
    <w:p>
      <w:pPr>
        <w:autoSpaceDE w:val="0"/>
        <w:autoSpaceDN w:val="0"/>
        <w:adjustRightInd w:val="0"/>
        <w:spacing w:beforeLines="50" w:afterLines="50" w:line="360" w:lineRule="auto"/>
        <w:ind w:firstLine="482"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由各投标人根据参考格式要求自行编写。目录清晰、内容详尽、易于理解和审查。具体内容应包括但不限于以下内容：</w:t>
      </w:r>
    </w:p>
    <w:p>
      <w:pPr>
        <w:numPr>
          <w:ilvl w:val="0"/>
          <w:numId w:val="60"/>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资格证明文件目录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60"/>
        </w:numPr>
        <w:autoSpaceDE w:val="0"/>
        <w:autoSpaceDN w:val="0"/>
        <w:adjustRightInd w:val="0"/>
        <w:spacing w:line="360" w:lineRule="auto"/>
        <w:ind w:left="490" w:hanging="370"/>
        <w:rPr>
          <w:rFonts w:ascii="宋体" w:hAnsi="宋体" w:eastAsia="宋体" w:cs="Times New Roman"/>
          <w:b/>
          <w:color w:val="0C0C0C" w:themeColor="text1" w:themeTint="F2"/>
          <w:kern w:val="0"/>
          <w:sz w:val="24"/>
          <w:szCs w:val="32"/>
        </w:rPr>
      </w:pPr>
      <w:r>
        <w:rPr>
          <w:rFonts w:hint="eastAsia" w:ascii="宋体" w:hAnsi="宋体"/>
          <w:color w:val="0C0C0C" w:themeColor="text1" w:themeTint="F2"/>
          <w:kern w:val="0"/>
          <w:sz w:val="24"/>
          <w:szCs w:val="32"/>
        </w:rPr>
        <w:t>应具备《政府采购法》第二十二条第一款规定的条件，提供下列材料：</w:t>
      </w:r>
    </w:p>
    <w:p>
      <w:pPr>
        <w:pStyle w:val="34"/>
        <w:numPr>
          <w:ilvl w:val="0"/>
          <w:numId w:val="61"/>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法人或者其他组织的营业执照等证明文件，自然人的身份证明；</w:t>
      </w:r>
    </w:p>
    <w:p>
      <w:pPr>
        <w:pStyle w:val="34"/>
        <w:numPr>
          <w:ilvl w:val="0"/>
          <w:numId w:val="61"/>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财务状况报告，依法缴纳税收和社会保障资金的相关材料；</w:t>
      </w:r>
    </w:p>
    <w:p>
      <w:pPr>
        <w:pStyle w:val="34"/>
        <w:numPr>
          <w:ilvl w:val="0"/>
          <w:numId w:val="61"/>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具备履行合同所必需的设备和专业技术能力的证明材料；</w:t>
      </w:r>
    </w:p>
    <w:p>
      <w:pPr>
        <w:pStyle w:val="34"/>
        <w:numPr>
          <w:ilvl w:val="0"/>
          <w:numId w:val="61"/>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参加政府采购活动前3年内在经营活动中没有重大违法记录的书面声明；</w:t>
      </w:r>
    </w:p>
    <w:p>
      <w:pPr>
        <w:pStyle w:val="34"/>
        <w:numPr>
          <w:ilvl w:val="0"/>
          <w:numId w:val="61"/>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具备法律、行政法规规定的其他条件的证明材料；</w:t>
      </w:r>
    </w:p>
    <w:p>
      <w:pPr>
        <w:numPr>
          <w:ilvl w:val="0"/>
          <w:numId w:val="60"/>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未被“信用中国”网站(www.creditchina.gov.cn)列入失信被执行人、重大税收违法案件当事人名单、政府采购严重违法失信行为记录名单的书面申明及该网站查询结果页面截图；</w:t>
      </w:r>
    </w:p>
    <w:p>
      <w:pPr>
        <w:numPr>
          <w:ilvl w:val="0"/>
          <w:numId w:val="60"/>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招标文件第一章“投标人资格要求”中有特殊要求的，投标人应提供其符合特殊要求的证明材料或者情况说明；</w:t>
      </w:r>
    </w:p>
    <w:p>
      <w:pPr>
        <w:numPr>
          <w:ilvl w:val="0"/>
          <w:numId w:val="60"/>
        </w:numPr>
        <w:autoSpaceDE w:val="0"/>
        <w:autoSpaceDN w:val="0"/>
        <w:adjustRightInd w:val="0"/>
        <w:spacing w:line="360" w:lineRule="auto"/>
        <w:ind w:left="490" w:hanging="370"/>
        <w:rPr>
          <w:rFonts w:ascii="宋体" w:hAnsi="宋体" w:eastAsia="宋体" w:cs="Courier New"/>
          <w:sz w:val="24"/>
          <w:szCs w:val="24"/>
        </w:rPr>
      </w:pPr>
      <w:r>
        <w:rPr>
          <w:rFonts w:hint="eastAsia" w:ascii="宋体" w:hAnsi="宋体" w:eastAsia="宋体" w:cs="Courier New"/>
          <w:sz w:val="24"/>
          <w:szCs w:val="24"/>
        </w:rPr>
        <w:t>不符合联合体投标相关规定和要</w:t>
      </w:r>
      <w:r>
        <w:rPr>
          <w:rFonts w:hint="eastAsia" w:ascii="宋体" w:hAnsi="宋体" w:eastAsia="宋体" w:cs="Courier New"/>
          <w:color w:val="0D0D0D"/>
          <w:sz w:val="24"/>
          <w:szCs w:val="24"/>
        </w:rPr>
        <w:t>求的（适用于接受联合体投标的项目）；</w:t>
      </w:r>
    </w:p>
    <w:p>
      <w:pPr>
        <w:numPr>
          <w:ilvl w:val="0"/>
          <w:numId w:val="60"/>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投标人认为需提供的其它相关资格证明材料。</w:t>
      </w:r>
    </w:p>
    <w:p>
      <w:pPr>
        <w:autoSpaceDE w:val="0"/>
        <w:autoSpaceDN w:val="0"/>
        <w:adjustRightInd w:val="0"/>
        <w:spacing w:line="400" w:lineRule="exact"/>
        <w:ind w:left="490"/>
        <w:rPr>
          <w:rFonts w:ascii="Calibri" w:hAnsi="宋体" w:eastAsia="宋体" w:cs="Times New Roman"/>
          <w:color w:val="0D0D0D"/>
          <w:sz w:val="24"/>
          <w:szCs w:val="24"/>
        </w:rPr>
      </w:pPr>
    </w:p>
    <w:p>
      <w:pPr>
        <w:autoSpaceDE w:val="0"/>
        <w:autoSpaceDN w:val="0"/>
        <w:adjustRightInd w:val="0"/>
        <w:spacing w:line="400" w:lineRule="exact"/>
        <w:ind w:left="490"/>
        <w:rPr>
          <w:rFonts w:ascii="Calibri" w:hAnsi="宋体" w:eastAsia="宋体" w:cs="Times New Roman"/>
          <w:color w:val="0D0D0D"/>
          <w:sz w:val="24"/>
          <w:szCs w:val="24"/>
        </w:rPr>
      </w:pPr>
    </w:p>
    <w:p>
      <w:r>
        <w:rPr>
          <w:rFonts w:hint="eastAsia" w:ascii="宋体" w:hAnsi="宋体" w:eastAsia="宋体" w:cs="Times New Roman"/>
          <w:sz w:val="24"/>
          <w:szCs w:val="24"/>
        </w:rPr>
        <w:t>说明：资格证明文件正本应为清晰彩色影印件且加盖单位公章，否则</w:t>
      </w:r>
      <w:r>
        <w:rPr>
          <w:rFonts w:hint="eastAsia" w:ascii="Helvetica" w:hAnsi="Helvetica" w:eastAsia="宋体" w:cs="Helvetica"/>
          <w:kern w:val="0"/>
          <w:sz w:val="24"/>
          <w:szCs w:val="24"/>
        </w:rPr>
        <w:t>按照</w:t>
      </w:r>
      <w:r>
        <w:rPr>
          <w:rFonts w:hint="eastAsia" w:ascii="Helvetica" w:hAnsi="Helvetica" w:eastAsia="宋体" w:cs="Helvetica"/>
          <w:b/>
          <w:kern w:val="0"/>
          <w:sz w:val="24"/>
          <w:szCs w:val="24"/>
        </w:rPr>
        <w:t>无效投标处理</w:t>
      </w:r>
      <w:r>
        <w:rPr>
          <w:rFonts w:hint="eastAsia" w:ascii="宋体" w:hAnsi="宋体" w:eastAsia="宋体" w:cs="Times New Roman"/>
          <w:b/>
          <w:sz w:val="24"/>
          <w:szCs w:val="24"/>
        </w:rPr>
        <w:t>。</w:t>
      </w:r>
    </w:p>
    <w:p>
      <w:r>
        <w:br w:type="page"/>
      </w:r>
    </w:p>
    <w:p>
      <w:pPr>
        <w:spacing w:line="1100" w:lineRule="exact"/>
        <w:jc w:val="center"/>
        <w:rPr>
          <w:rFonts w:ascii="黑体" w:hAnsi="黑体" w:eastAsia="黑体"/>
          <w:b/>
          <w:sz w:val="72"/>
          <w:szCs w:val="72"/>
        </w:rPr>
      </w:pPr>
    </w:p>
    <w:p>
      <w:pPr>
        <w:spacing w:beforeLines="100" w:afterLines="250"/>
        <w:jc w:val="center"/>
        <w:rPr>
          <w:rFonts w:ascii="黑体" w:hAnsi="黑体" w:eastAsia="黑体"/>
          <w:b/>
          <w:sz w:val="96"/>
          <w:szCs w:val="96"/>
        </w:rPr>
      </w:pPr>
      <w:r>
        <w:rPr>
          <w:rFonts w:hint="eastAsia" w:ascii="黑体" w:hAnsi="黑体" w:eastAsia="黑体"/>
          <w:b/>
          <w:sz w:val="96"/>
          <w:szCs w:val="96"/>
        </w:rPr>
        <w:t>政府采购项目</w:t>
      </w:r>
    </w:p>
    <w:p>
      <w:pPr>
        <w:spacing w:afterLines="200"/>
        <w:jc w:val="center"/>
        <w:rPr>
          <w:rFonts w:ascii="黑体" w:hAnsi="黑体" w:eastAsia="黑体"/>
          <w:b/>
          <w:sz w:val="72"/>
          <w:szCs w:val="72"/>
        </w:rPr>
      </w:pPr>
      <w:r>
        <w:rPr>
          <w:rFonts w:hint="eastAsia" w:ascii="黑体" w:hAnsi="黑体" w:eastAsia="黑体"/>
          <w:b/>
          <w:sz w:val="72"/>
          <w:szCs w:val="72"/>
        </w:rPr>
        <w:t>投 标 文 件</w:t>
      </w:r>
    </w:p>
    <w:p>
      <w:pPr>
        <w:pStyle w:val="5"/>
        <w:spacing w:before="340" w:after="480" w:line="360" w:lineRule="auto"/>
        <w:jc w:val="center"/>
        <w:rPr>
          <w:rFonts w:cs="Times New Roman" w:asciiTheme="majorEastAsia" w:hAnsiTheme="majorEastAsia"/>
          <w:bCs w:val="0"/>
          <w:sz w:val="44"/>
          <w:szCs w:val="44"/>
          <w:lang w:val="zh-CN"/>
        </w:rPr>
      </w:pPr>
      <w:bookmarkStart w:id="108" w:name="_Toc494665947"/>
      <w:bookmarkStart w:id="109" w:name="_Toc494721097"/>
      <w:bookmarkStart w:id="110" w:name="_Toc494745314"/>
      <w:bookmarkStart w:id="111" w:name="_Toc494664997"/>
      <w:bookmarkStart w:id="112" w:name="_Toc494665550"/>
      <w:bookmarkStart w:id="113" w:name="_Toc494702267"/>
      <w:bookmarkStart w:id="114" w:name="_Toc24597"/>
      <w:r>
        <w:rPr>
          <w:rFonts w:hint="eastAsia" w:cs="Times New Roman" w:asciiTheme="majorEastAsia" w:hAnsiTheme="majorEastAsia"/>
          <w:bCs w:val="0"/>
          <w:sz w:val="44"/>
          <w:szCs w:val="44"/>
          <w:lang w:val="zh-CN"/>
        </w:rPr>
        <w:t>第二部分 商务文件</w:t>
      </w:r>
      <w:bookmarkEnd w:id="108"/>
      <w:bookmarkEnd w:id="109"/>
      <w:bookmarkEnd w:id="110"/>
      <w:bookmarkEnd w:id="111"/>
      <w:bookmarkEnd w:id="112"/>
      <w:bookmarkEnd w:id="113"/>
      <w:bookmarkEnd w:id="114"/>
    </w:p>
    <w:p>
      <w:pPr>
        <w:spacing w:line="360" w:lineRule="auto"/>
        <w:ind w:left="2060" w:leftChars="619" w:right="1306" w:rightChars="619" w:hanging="754"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60" w:leftChars="619" w:right="1306" w:rightChars="619" w:hanging="754"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项目名称：</w:t>
      </w:r>
    </w:p>
    <w:p>
      <w:pPr>
        <w:spacing w:line="360" w:lineRule="auto"/>
        <w:ind w:left="2060" w:leftChars="619" w:right="1306" w:rightChars="619" w:hanging="754" w:hangingChars="209"/>
        <w:rPr>
          <w:rFonts w:cs="Times New Roman" w:asciiTheme="minorEastAsia" w:hAnsiTheme="minorEastAsia"/>
          <w:sz w:val="36"/>
          <w:szCs w:val="36"/>
        </w:rPr>
      </w:pPr>
      <w:r>
        <w:rPr>
          <w:rFonts w:hint="eastAsia" w:cs="Times New Roman" w:asciiTheme="minorEastAsia" w:hAnsiTheme="minorEastAsia"/>
          <w:b/>
          <w:bCs/>
          <w:sz w:val="36"/>
          <w:szCs w:val="24"/>
        </w:rPr>
        <w:t>招标内容：</w:t>
      </w:r>
    </w:p>
    <w:p>
      <w:pPr>
        <w:spacing w:afterLines="500" w:line="360" w:lineRule="auto"/>
        <w:ind w:left="2353" w:leftChars="271" w:right="571" w:rightChars="271" w:hanging="1782" w:hangingChars="494"/>
        <w:jc w:val="center"/>
        <w:rPr>
          <w:rFonts w:ascii="宋体" w:hAnsi="宋体" w:eastAsia="宋体" w:cs="Times New Roman"/>
          <w:sz w:val="36"/>
          <w:szCs w:val="36"/>
        </w:rPr>
      </w:pPr>
    </w:p>
    <w:p>
      <w:pPr>
        <w:spacing w:line="360" w:lineRule="auto"/>
        <w:ind w:left="1979" w:leftChars="613" w:right="1293" w:rightChars="613" w:hanging="686"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投标人（盖章）：</w:t>
      </w:r>
    </w:p>
    <w:p>
      <w:pPr>
        <w:spacing w:line="360" w:lineRule="auto"/>
        <w:ind w:left="1979" w:leftChars="613" w:right="1293" w:rightChars="613" w:hanging="686"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64" w:leftChars="466" w:right="466" w:hanging="1281"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r>
        <w:br w:type="page"/>
      </w:r>
    </w:p>
    <w:p>
      <w:pPr>
        <w:spacing w:beforeLines="100" w:line="360" w:lineRule="auto"/>
        <w:jc w:val="left"/>
        <w:rPr>
          <w:rFonts w:ascii="宋体" w:hAnsi="宋体" w:eastAsia="宋体" w:cs="Times New Roman"/>
          <w:b/>
          <w:bCs/>
          <w:sz w:val="30"/>
          <w:szCs w:val="30"/>
          <w:lang w:val="zh-CN"/>
        </w:rPr>
      </w:pP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15" w:name="_Toc494702268"/>
      <w:bookmarkStart w:id="116" w:name="_Toc494745315"/>
      <w:bookmarkStart w:id="117" w:name="_Toc494665551"/>
      <w:bookmarkStart w:id="118" w:name="_Toc494665948"/>
      <w:bookmarkStart w:id="119" w:name="_Toc494664998"/>
      <w:bookmarkStart w:id="120" w:name="_Toc494721098"/>
      <w:r>
        <w:rPr>
          <w:rFonts w:hint="eastAsia" w:ascii="黑体" w:hAnsi="黑体" w:eastAsia="黑体" w:cs="Times New Roman"/>
          <w:b/>
          <w:sz w:val="36"/>
          <w:szCs w:val="36"/>
        </w:rPr>
        <w:t>商务文件组成</w:t>
      </w:r>
      <w:bookmarkEnd w:id="115"/>
      <w:bookmarkEnd w:id="116"/>
      <w:bookmarkEnd w:id="117"/>
      <w:bookmarkEnd w:id="118"/>
      <w:bookmarkEnd w:id="119"/>
      <w:bookmarkEnd w:id="120"/>
    </w:p>
    <w:p>
      <w:pPr>
        <w:autoSpaceDE w:val="0"/>
        <w:autoSpaceDN w:val="0"/>
        <w:adjustRightInd w:val="0"/>
        <w:spacing w:beforeLines="50" w:afterLines="50" w:line="360" w:lineRule="auto"/>
        <w:ind w:firstLine="482"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由各投标人根据参考格式要求自行编写。目录清晰、内容详尽、易于理解和评审并富有建设性的商务方案在评标时具有优势。具体内容应包括但不限于以下内容：</w:t>
      </w:r>
    </w:p>
    <w:p>
      <w:pPr>
        <w:numPr>
          <w:ilvl w:val="0"/>
          <w:numId w:val="62"/>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商务文件目录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62"/>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投标书（附件一）；</w:t>
      </w:r>
    </w:p>
    <w:p>
      <w:pPr>
        <w:numPr>
          <w:ilvl w:val="0"/>
          <w:numId w:val="62"/>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开标一览表（附件二）；</w:t>
      </w:r>
    </w:p>
    <w:p>
      <w:pPr>
        <w:numPr>
          <w:ilvl w:val="0"/>
          <w:numId w:val="62"/>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投标货物、服务清单（附件三）；</w:t>
      </w:r>
    </w:p>
    <w:p>
      <w:pPr>
        <w:numPr>
          <w:ilvl w:val="0"/>
          <w:numId w:val="6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交纳投标保证金的银行凭证（附件四，</w:t>
      </w:r>
      <w:r>
        <w:rPr>
          <w:rFonts w:hint="eastAsia" w:ascii="宋体" w:hAnsi="宋体" w:eastAsia="宋体" w:cs="Courier New"/>
          <w:b/>
          <w:bCs/>
          <w:color w:val="0D0D0D"/>
          <w:sz w:val="24"/>
          <w:szCs w:val="24"/>
        </w:rPr>
        <w:t>本项目不适用</w:t>
      </w:r>
      <w:r>
        <w:rPr>
          <w:rFonts w:hint="eastAsia" w:ascii="宋体" w:hAnsi="宋体" w:eastAsia="宋体" w:cs="Courier New"/>
          <w:color w:val="0D0D0D"/>
          <w:sz w:val="24"/>
          <w:szCs w:val="24"/>
        </w:rPr>
        <w:t>）；</w:t>
      </w:r>
    </w:p>
    <w:p>
      <w:pPr>
        <w:numPr>
          <w:ilvl w:val="0"/>
          <w:numId w:val="6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法定代表人授权书（附件五）；</w:t>
      </w:r>
    </w:p>
    <w:p>
      <w:pPr>
        <w:numPr>
          <w:ilvl w:val="0"/>
          <w:numId w:val="6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关于不存在招标文件第二章“十一 其他注意事项”中规定禁止情形的书面声明；</w:t>
      </w:r>
    </w:p>
    <w:p>
      <w:pPr>
        <w:numPr>
          <w:ilvl w:val="0"/>
          <w:numId w:val="6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投标人的资格声明（附件六）；</w:t>
      </w:r>
    </w:p>
    <w:p>
      <w:pPr>
        <w:numPr>
          <w:ilvl w:val="0"/>
          <w:numId w:val="6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项目负责人、技术负责人简历表（附件七）；</w:t>
      </w:r>
    </w:p>
    <w:p>
      <w:pPr>
        <w:numPr>
          <w:ilvl w:val="0"/>
          <w:numId w:val="6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项目班子成员情况表（附件八）；</w:t>
      </w:r>
    </w:p>
    <w:p>
      <w:pPr>
        <w:numPr>
          <w:ilvl w:val="0"/>
          <w:numId w:val="6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投标人类似项目业绩表（附件九）；</w:t>
      </w:r>
    </w:p>
    <w:p>
      <w:pPr>
        <w:numPr>
          <w:ilvl w:val="0"/>
          <w:numId w:val="6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招标文件要求提供或投标人认为需提供的其它资料；</w:t>
      </w:r>
    </w:p>
    <w:p>
      <w:pPr>
        <w:numPr>
          <w:ilvl w:val="0"/>
          <w:numId w:val="6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符合性审查对照表（附件十）；</w:t>
      </w:r>
    </w:p>
    <w:p>
      <w:pPr>
        <w:numPr>
          <w:ilvl w:val="0"/>
          <w:numId w:val="6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商务要求响应、偏离说明表（附件十一）；</w:t>
      </w:r>
    </w:p>
    <w:p>
      <w:pPr>
        <w:numPr>
          <w:ilvl w:val="0"/>
          <w:numId w:val="6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商务要求“★”号条款响应、偏离说明表（附件十二）</w:t>
      </w:r>
    </w:p>
    <w:p>
      <w:pPr>
        <w:numPr>
          <w:ilvl w:val="0"/>
          <w:numId w:val="62"/>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商务评议对照表（附件十三）。</w:t>
      </w:r>
    </w:p>
    <w:p>
      <w:r>
        <w:br w:type="page"/>
      </w:r>
    </w:p>
    <w:p>
      <w:pPr>
        <w:spacing w:line="1100" w:lineRule="exact"/>
        <w:jc w:val="center"/>
        <w:rPr>
          <w:rFonts w:ascii="黑体" w:hAnsi="黑体" w:eastAsia="黑体"/>
          <w:b/>
          <w:sz w:val="72"/>
          <w:szCs w:val="72"/>
        </w:rPr>
      </w:pPr>
    </w:p>
    <w:p>
      <w:pPr>
        <w:spacing w:beforeLines="100" w:afterLines="250"/>
        <w:jc w:val="center"/>
        <w:rPr>
          <w:rFonts w:ascii="黑体" w:hAnsi="黑体" w:eastAsia="黑体"/>
          <w:b/>
          <w:sz w:val="96"/>
          <w:szCs w:val="96"/>
        </w:rPr>
      </w:pPr>
      <w:r>
        <w:rPr>
          <w:rFonts w:hint="eastAsia" w:ascii="黑体" w:hAnsi="黑体" w:eastAsia="黑体"/>
          <w:b/>
          <w:sz w:val="96"/>
          <w:szCs w:val="96"/>
        </w:rPr>
        <w:t>政府采购项目</w:t>
      </w:r>
    </w:p>
    <w:p>
      <w:pPr>
        <w:spacing w:afterLines="200"/>
        <w:jc w:val="center"/>
        <w:rPr>
          <w:rFonts w:ascii="黑体" w:hAnsi="黑体" w:eastAsia="黑体"/>
          <w:b/>
          <w:sz w:val="72"/>
          <w:szCs w:val="72"/>
        </w:rPr>
      </w:pPr>
      <w:r>
        <w:rPr>
          <w:rFonts w:hint="eastAsia" w:ascii="黑体" w:hAnsi="黑体" w:eastAsia="黑体"/>
          <w:b/>
          <w:sz w:val="72"/>
          <w:szCs w:val="72"/>
        </w:rPr>
        <w:t>投 标 文 件</w:t>
      </w:r>
    </w:p>
    <w:p>
      <w:pPr>
        <w:pStyle w:val="5"/>
        <w:spacing w:before="340" w:after="480" w:line="360" w:lineRule="auto"/>
        <w:jc w:val="center"/>
        <w:rPr>
          <w:rFonts w:cs="Times New Roman" w:asciiTheme="majorEastAsia" w:hAnsiTheme="majorEastAsia"/>
          <w:bCs w:val="0"/>
          <w:sz w:val="44"/>
          <w:szCs w:val="44"/>
          <w:lang w:val="zh-CN"/>
        </w:rPr>
      </w:pPr>
      <w:bookmarkStart w:id="121" w:name="_Toc494702269"/>
      <w:bookmarkStart w:id="122" w:name="_Toc494721099"/>
      <w:bookmarkStart w:id="123" w:name="_Toc494664999"/>
      <w:bookmarkStart w:id="124" w:name="_Toc494745316"/>
      <w:bookmarkStart w:id="125" w:name="_Toc494665552"/>
      <w:bookmarkStart w:id="126" w:name="_Toc494665949"/>
      <w:bookmarkStart w:id="127" w:name="_Toc22230"/>
      <w:r>
        <w:rPr>
          <w:rFonts w:hint="eastAsia" w:cs="Times New Roman" w:asciiTheme="majorEastAsia" w:hAnsiTheme="majorEastAsia"/>
          <w:bCs w:val="0"/>
          <w:sz w:val="44"/>
          <w:szCs w:val="44"/>
          <w:lang w:val="zh-CN"/>
        </w:rPr>
        <w:t>第三部分 技术、服务文件</w:t>
      </w:r>
      <w:bookmarkEnd w:id="121"/>
      <w:bookmarkEnd w:id="122"/>
      <w:bookmarkEnd w:id="123"/>
      <w:bookmarkEnd w:id="124"/>
      <w:bookmarkEnd w:id="125"/>
      <w:bookmarkEnd w:id="126"/>
      <w:bookmarkEnd w:id="127"/>
    </w:p>
    <w:p>
      <w:pPr>
        <w:spacing w:line="360" w:lineRule="auto"/>
        <w:ind w:left="2060" w:leftChars="619" w:right="1306" w:rightChars="619" w:hanging="754"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60" w:leftChars="619" w:right="1306" w:rightChars="619" w:hanging="754"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项目名称：</w:t>
      </w:r>
    </w:p>
    <w:p>
      <w:pPr>
        <w:spacing w:line="360" w:lineRule="auto"/>
        <w:ind w:left="2060" w:leftChars="619" w:right="1306" w:rightChars="619" w:hanging="754" w:hangingChars="209"/>
        <w:rPr>
          <w:rFonts w:cs="Times New Roman" w:asciiTheme="minorEastAsia" w:hAnsiTheme="minorEastAsia"/>
          <w:sz w:val="36"/>
          <w:szCs w:val="36"/>
        </w:rPr>
      </w:pPr>
      <w:r>
        <w:rPr>
          <w:rFonts w:hint="eastAsia" w:cs="Times New Roman" w:asciiTheme="minorEastAsia" w:hAnsiTheme="minorEastAsia"/>
          <w:b/>
          <w:bCs/>
          <w:sz w:val="36"/>
          <w:szCs w:val="24"/>
        </w:rPr>
        <w:t>招标内容：</w:t>
      </w:r>
    </w:p>
    <w:p>
      <w:pPr>
        <w:spacing w:afterLines="500" w:line="360" w:lineRule="auto"/>
        <w:ind w:left="2353" w:leftChars="271" w:right="571" w:rightChars="271" w:hanging="1782" w:hangingChars="494"/>
        <w:jc w:val="center"/>
        <w:rPr>
          <w:rFonts w:ascii="宋体" w:hAnsi="宋体" w:eastAsia="宋体" w:cs="Times New Roman"/>
          <w:sz w:val="36"/>
          <w:szCs w:val="36"/>
        </w:rPr>
      </w:pPr>
    </w:p>
    <w:p>
      <w:pPr>
        <w:spacing w:line="360" w:lineRule="auto"/>
        <w:ind w:left="1979" w:leftChars="613" w:right="1293" w:rightChars="613" w:hanging="686"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投标人（盖章）：</w:t>
      </w:r>
    </w:p>
    <w:p>
      <w:pPr>
        <w:spacing w:line="360" w:lineRule="auto"/>
        <w:ind w:left="1979" w:leftChars="613" w:right="1293" w:rightChars="613" w:hanging="686"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64" w:leftChars="466" w:right="466" w:hanging="1281"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r>
        <w:br w:type="page"/>
      </w:r>
    </w:p>
    <w:p>
      <w:pPr>
        <w:spacing w:beforeLines="100" w:line="360" w:lineRule="auto"/>
        <w:jc w:val="left"/>
        <w:rPr>
          <w:rFonts w:ascii="宋体" w:hAnsi="宋体" w:eastAsia="宋体" w:cs="Times New Roman"/>
          <w:b/>
          <w:bCs/>
          <w:sz w:val="30"/>
          <w:szCs w:val="30"/>
          <w:lang w:val="zh-CN"/>
        </w:rPr>
      </w:pP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28" w:name="_Toc494665950"/>
      <w:bookmarkStart w:id="129" w:name="_Toc494665000"/>
      <w:bookmarkStart w:id="130" w:name="_Toc494665553"/>
      <w:bookmarkStart w:id="131" w:name="_Toc494702270"/>
      <w:bookmarkStart w:id="132" w:name="_Toc494745317"/>
      <w:bookmarkStart w:id="133" w:name="_Toc494721100"/>
      <w:r>
        <w:rPr>
          <w:rFonts w:hint="eastAsia" w:ascii="黑体" w:hAnsi="黑体" w:eastAsia="黑体" w:cs="Times New Roman"/>
          <w:b/>
          <w:bCs/>
          <w:sz w:val="36"/>
          <w:szCs w:val="36"/>
          <w:lang w:val="zh-CN"/>
        </w:rPr>
        <w:t>技术</w:t>
      </w:r>
      <w:r>
        <w:rPr>
          <w:rFonts w:hint="eastAsia" w:ascii="黑体" w:hAnsi="黑体" w:eastAsia="黑体" w:cs="Times New Roman"/>
          <w:b/>
          <w:sz w:val="36"/>
          <w:szCs w:val="36"/>
        </w:rPr>
        <w:t>、服务文件组成</w:t>
      </w:r>
      <w:bookmarkEnd w:id="128"/>
      <w:bookmarkEnd w:id="129"/>
      <w:bookmarkEnd w:id="130"/>
      <w:bookmarkEnd w:id="131"/>
      <w:bookmarkEnd w:id="132"/>
      <w:bookmarkEnd w:id="133"/>
    </w:p>
    <w:p>
      <w:pPr>
        <w:autoSpaceDE w:val="0"/>
        <w:autoSpaceDN w:val="0"/>
        <w:adjustRightInd w:val="0"/>
        <w:spacing w:beforeLines="50" w:afterLines="50" w:line="360" w:lineRule="auto"/>
        <w:ind w:firstLine="482"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63"/>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技术、服务文件目录（目录应涵盖下述所有资料，页码清晰以便查阅）；</w:t>
      </w:r>
    </w:p>
    <w:p>
      <w:pPr>
        <w:numPr>
          <w:ilvl w:val="0"/>
          <w:numId w:val="63"/>
        </w:numPr>
        <w:autoSpaceDE w:val="0"/>
        <w:autoSpaceDN w:val="0"/>
        <w:adjustRightInd w:val="0"/>
        <w:spacing w:line="360" w:lineRule="auto"/>
        <w:ind w:left="488" w:hanging="369"/>
        <w:rPr>
          <w:rFonts w:ascii="宋体" w:hAnsi="宋体" w:eastAsia="宋体" w:cs="Times New Roman"/>
          <w:kern w:val="0"/>
          <w:sz w:val="24"/>
          <w:szCs w:val="32"/>
        </w:rPr>
      </w:pPr>
      <w:r>
        <w:rPr>
          <w:rFonts w:hint="eastAsia" w:ascii="宋体" w:hAnsi="宋体" w:eastAsia="宋体" w:cs="Times New Roman"/>
          <w:kern w:val="0"/>
          <w:sz w:val="24"/>
          <w:szCs w:val="32"/>
        </w:rPr>
        <w:t>投标货物（工程或服务）介绍，项目建设（服务）方案；</w:t>
      </w:r>
    </w:p>
    <w:p>
      <w:pPr>
        <w:numPr>
          <w:ilvl w:val="0"/>
          <w:numId w:val="63"/>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技术、服务要求响应、偏离说明表（附件十五）；</w:t>
      </w:r>
    </w:p>
    <w:p>
      <w:pPr>
        <w:numPr>
          <w:ilvl w:val="0"/>
          <w:numId w:val="63"/>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技术、服务要求“★”号条款响应、偏离说明表（附件十六）；</w:t>
      </w:r>
    </w:p>
    <w:p>
      <w:pPr>
        <w:numPr>
          <w:ilvl w:val="0"/>
          <w:numId w:val="63"/>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技术、服务评议对照表（附件十七）；</w:t>
      </w:r>
    </w:p>
    <w:p>
      <w:pPr>
        <w:numPr>
          <w:ilvl w:val="0"/>
          <w:numId w:val="63"/>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招标文件要求提供或投标人认为需提供的其它资料。</w:t>
      </w:r>
    </w:p>
    <w:p>
      <w:pPr>
        <w:autoSpaceDE w:val="0"/>
        <w:autoSpaceDN w:val="0"/>
        <w:adjustRightInd w:val="0"/>
        <w:spacing w:line="360" w:lineRule="auto"/>
        <w:rPr>
          <w:rFonts w:ascii="宋体" w:hAnsi="宋体" w:eastAsia="宋体" w:cs="Times New Roman"/>
          <w:kern w:val="0"/>
          <w:sz w:val="24"/>
          <w:szCs w:val="32"/>
        </w:rPr>
      </w:pPr>
    </w:p>
    <w:p>
      <w:pPr>
        <w:autoSpaceDE w:val="0"/>
        <w:autoSpaceDN w:val="0"/>
        <w:adjustRightInd w:val="0"/>
        <w:spacing w:line="360" w:lineRule="auto"/>
        <w:ind w:left="718" w:leftChars="-6" w:hanging="730" w:hangingChars="303"/>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
        <w:br w:type="page"/>
      </w:r>
    </w:p>
    <w:p>
      <w:pPr>
        <w:pStyle w:val="5"/>
        <w:numPr>
          <w:ilvl w:val="0"/>
          <w:numId w:val="64"/>
        </w:numPr>
        <w:spacing w:before="100" w:beforeAutospacing="1" w:afterLines="50" w:line="360" w:lineRule="auto"/>
        <w:ind w:left="1288" w:hanging="1288"/>
        <w:rPr>
          <w:rFonts w:ascii="宋体" w:hAnsi="宋体" w:eastAsia="宋体"/>
        </w:rPr>
      </w:pPr>
      <w:bookmarkStart w:id="134" w:name="_Toc494665951"/>
      <w:bookmarkStart w:id="135" w:name="_Toc238276242"/>
      <w:bookmarkStart w:id="136" w:name="_Toc494665554"/>
      <w:bookmarkStart w:id="137" w:name="_Toc494702271"/>
      <w:bookmarkStart w:id="138" w:name="_Toc494721101"/>
      <w:bookmarkStart w:id="139" w:name="_Toc236473298"/>
      <w:bookmarkStart w:id="140" w:name="_Toc494745318"/>
      <w:bookmarkStart w:id="141" w:name="_Toc494665001"/>
      <w:bookmarkStart w:id="142" w:name="_Toc14634"/>
      <w:r>
        <w:rPr>
          <w:rFonts w:hint="eastAsia" w:ascii="宋体" w:hAnsi="宋体" w:eastAsia="宋体"/>
        </w:rPr>
        <w:t>投标书</w:t>
      </w:r>
      <w:bookmarkEnd w:id="134"/>
      <w:bookmarkEnd w:id="135"/>
      <w:bookmarkEnd w:id="136"/>
      <w:bookmarkEnd w:id="137"/>
      <w:bookmarkEnd w:id="138"/>
      <w:bookmarkEnd w:id="139"/>
      <w:bookmarkEnd w:id="140"/>
      <w:bookmarkEnd w:id="141"/>
      <w:bookmarkEnd w:id="142"/>
    </w:p>
    <w:p>
      <w:pPr>
        <w:spacing w:line="360" w:lineRule="auto"/>
        <w:rPr>
          <w:b/>
          <w:sz w:val="28"/>
          <w:szCs w:val="28"/>
        </w:rPr>
      </w:pPr>
      <w:r>
        <w:rPr>
          <w:rFonts w:hint="eastAsia"/>
          <w:b/>
          <w:sz w:val="28"/>
          <w:szCs w:val="28"/>
          <w:lang w:eastAsia="zh-CN"/>
        </w:rPr>
        <w:t>阳新县公共资源交易中心</w:t>
      </w:r>
      <w:r>
        <w:rPr>
          <w:rFonts w:hint="eastAsia"/>
          <w:b/>
          <w:sz w:val="28"/>
          <w:szCs w:val="28"/>
        </w:rPr>
        <w:t>：</w:t>
      </w:r>
    </w:p>
    <w:p>
      <w:pPr>
        <w:spacing w:line="360" w:lineRule="auto"/>
        <w:ind w:firstLine="482" w:firstLineChars="200"/>
        <w:rPr>
          <w:rFonts w:asciiTheme="minorEastAsia" w:hAnsiTheme="minorEastAsia"/>
          <w:color w:val="0C0C0C" w:themeColor="text1" w:themeTint="F2"/>
          <w:sz w:val="24"/>
          <w:szCs w:val="24"/>
        </w:rPr>
      </w:pPr>
      <w:r>
        <w:rPr>
          <w:rFonts w:hint="eastAsia" w:asciiTheme="minorEastAsia" w:hAnsiTheme="minorEastAsia"/>
          <w:color w:val="0C0C0C" w:themeColor="text1" w:themeTint="F2"/>
          <w:sz w:val="24"/>
          <w:szCs w:val="24"/>
        </w:rPr>
        <w:t>依据贵方___</w:t>
      </w:r>
      <w:r>
        <w:rPr>
          <w:rFonts w:hint="eastAsia" w:asciiTheme="minorEastAsia" w:hAnsiTheme="minorEastAsia"/>
          <w:color w:val="0C0C0C" w:themeColor="text1" w:themeTint="F2"/>
          <w:sz w:val="24"/>
          <w:szCs w:val="24"/>
          <w:u w:val="single"/>
        </w:rPr>
        <w:t xml:space="preserve">  _</w:t>
      </w:r>
      <w:r>
        <w:rPr>
          <w:rFonts w:hint="eastAsia" w:asciiTheme="minorEastAsia" w:hAnsiTheme="minorEastAsia"/>
          <w:color w:val="0C0C0C" w:themeColor="text1" w:themeTint="F2"/>
          <w:sz w:val="24"/>
          <w:szCs w:val="24"/>
        </w:rPr>
        <w:t>项目（项目编号：_____）招标的投标邀请，我方代表</w:t>
      </w:r>
      <w:r>
        <w:rPr>
          <w:rFonts w:hint="eastAsia" w:asciiTheme="minorEastAsia" w:hAnsiTheme="minorEastAsia"/>
          <w:color w:val="0C0C0C" w:themeColor="text1" w:themeTint="F2"/>
          <w:sz w:val="24"/>
          <w:szCs w:val="24"/>
          <w:u w:val="single"/>
        </w:rPr>
        <w:t>（姓名、职务）</w:t>
      </w:r>
      <w:r>
        <w:rPr>
          <w:rFonts w:hint="eastAsia" w:asciiTheme="minorEastAsia" w:hAnsiTheme="minorEastAsia"/>
          <w:color w:val="0C0C0C" w:themeColor="text1" w:themeTint="F2"/>
          <w:sz w:val="24"/>
          <w:szCs w:val="24"/>
        </w:rPr>
        <w:t>经正式授权并代表投标人</w:t>
      </w:r>
      <w:r>
        <w:rPr>
          <w:rFonts w:hint="eastAsia" w:asciiTheme="minorEastAsia" w:hAnsiTheme="minorEastAsia"/>
          <w:color w:val="0C0C0C" w:themeColor="text1" w:themeTint="F2"/>
          <w:sz w:val="24"/>
          <w:szCs w:val="24"/>
          <w:u w:val="single"/>
        </w:rPr>
        <w:t>（投标人全称 ）</w:t>
      </w:r>
      <w:r>
        <w:rPr>
          <w:rFonts w:hint="eastAsia" w:asciiTheme="minorEastAsia" w:hAnsiTheme="minorEastAsia"/>
          <w:color w:val="0C0C0C" w:themeColor="text1" w:themeTint="F2"/>
          <w:sz w:val="24"/>
          <w:szCs w:val="24"/>
        </w:rPr>
        <w:t>提交</w:t>
      </w:r>
      <w:r>
        <w:rPr>
          <w:rFonts w:hint="eastAsia" w:ascii="宋体" w:hAnsi="宋体"/>
          <w:color w:val="0C0C0C" w:themeColor="text1" w:themeTint="F2"/>
          <w:kern w:val="0"/>
          <w:sz w:val="24"/>
        </w:rPr>
        <w:t>“开标一览表”信封和下述文件正本份，副本份。</w:t>
      </w:r>
    </w:p>
    <w:p>
      <w:pPr>
        <w:spacing w:line="360" w:lineRule="auto"/>
        <w:ind w:left="12" w:leftChars="6" w:firstLine="473" w:firstLineChars="197"/>
        <w:rPr>
          <w:rFonts w:asciiTheme="minorEastAsia" w:hAnsiTheme="minorEastAsia"/>
          <w:sz w:val="24"/>
          <w:szCs w:val="24"/>
        </w:rPr>
      </w:pPr>
      <w:r>
        <w:rPr>
          <w:rFonts w:hint="eastAsia" w:asciiTheme="minorEastAsia" w:hAnsiTheme="minorEastAsia"/>
          <w:sz w:val="24"/>
          <w:szCs w:val="24"/>
        </w:rPr>
        <w:t xml:space="preserve">1.资格证明文件； </w:t>
      </w:r>
    </w:p>
    <w:p>
      <w:pPr>
        <w:spacing w:line="360" w:lineRule="auto"/>
        <w:ind w:left="12" w:leftChars="6" w:firstLine="473" w:firstLineChars="197"/>
        <w:rPr>
          <w:rFonts w:asciiTheme="minorEastAsia" w:hAnsiTheme="minorEastAsia"/>
          <w:sz w:val="24"/>
          <w:szCs w:val="24"/>
        </w:rPr>
      </w:pPr>
      <w:r>
        <w:rPr>
          <w:rFonts w:hint="eastAsia" w:asciiTheme="minorEastAsia" w:hAnsiTheme="minorEastAsia"/>
          <w:sz w:val="24"/>
          <w:szCs w:val="24"/>
        </w:rPr>
        <w:t>2.商务文件；</w:t>
      </w:r>
    </w:p>
    <w:p>
      <w:pPr>
        <w:spacing w:line="360" w:lineRule="auto"/>
        <w:ind w:left="12" w:leftChars="6" w:firstLine="473" w:firstLineChars="197"/>
        <w:rPr>
          <w:rFonts w:asciiTheme="minorEastAsia" w:hAnsiTheme="minorEastAsia"/>
          <w:sz w:val="24"/>
          <w:szCs w:val="24"/>
        </w:rPr>
      </w:pPr>
      <w:r>
        <w:rPr>
          <w:rFonts w:hint="eastAsia" w:asciiTheme="minorEastAsia" w:hAnsiTheme="minorEastAsia"/>
          <w:sz w:val="24"/>
          <w:szCs w:val="24"/>
        </w:rPr>
        <w:t>3.技术、服务文件。</w:t>
      </w:r>
    </w:p>
    <w:p>
      <w:pPr>
        <w:spacing w:line="360" w:lineRule="auto"/>
        <w:rPr>
          <w:rFonts w:ascii="宋体" w:hAnsi="宋体" w:eastAsia="宋体" w:cs="Times New Roman"/>
          <w:b/>
          <w:color w:val="0C0C0C" w:themeColor="text1" w:themeTint="F2"/>
          <w:kern w:val="0"/>
          <w:sz w:val="24"/>
          <w:szCs w:val="24"/>
        </w:rPr>
      </w:pPr>
      <w:r>
        <w:rPr>
          <w:rFonts w:hint="eastAsia" w:ascii="宋体" w:hAnsi="宋体" w:eastAsia="宋体" w:cs="Times New Roman"/>
          <w:b/>
          <w:color w:val="0C0C0C" w:themeColor="text1" w:themeTint="F2"/>
          <w:kern w:val="0"/>
          <w:sz w:val="24"/>
          <w:szCs w:val="24"/>
        </w:rPr>
        <w:t>在此，我方宣布同意如下：</w:t>
      </w:r>
    </w:p>
    <w:p>
      <w:pPr>
        <w:pStyle w:val="52"/>
        <w:numPr>
          <w:ilvl w:val="0"/>
          <w:numId w:val="65"/>
        </w:numPr>
        <w:tabs>
          <w:tab w:val="left" w:pos="851"/>
        </w:tabs>
        <w:spacing w:line="360" w:lineRule="auto"/>
        <w:ind w:left="0" w:firstLine="480"/>
        <w:rPr>
          <w:rFonts w:asciiTheme="minorEastAsia" w:hAnsiTheme="minorEastAsia"/>
          <w:sz w:val="24"/>
          <w:szCs w:val="24"/>
        </w:rPr>
      </w:pPr>
      <w:r>
        <w:rPr>
          <w:rFonts w:hint="eastAsia" w:asciiTheme="minorEastAsia" w:hAnsiTheme="minorEastAsia"/>
          <w:sz w:val="24"/>
          <w:szCs w:val="24"/>
        </w:rPr>
        <w:t>1．《开标一览表》中规定的应提交和交付的</w:t>
      </w:r>
      <w:r>
        <w:rPr>
          <w:rFonts w:hint="eastAsia" w:asciiTheme="minorEastAsia" w:hAnsiTheme="minorEastAsia"/>
          <w:sz w:val="24"/>
          <w:szCs w:val="24"/>
          <w:u w:val="single"/>
        </w:rPr>
        <w:t xml:space="preserve">  （包号）  </w:t>
      </w:r>
      <w:r>
        <w:rPr>
          <w:rFonts w:hint="eastAsia" w:asciiTheme="minorEastAsia" w:hAnsiTheme="minorEastAsia"/>
          <w:sz w:val="24"/>
          <w:szCs w:val="24"/>
        </w:rPr>
        <w:t>货物（工程或服务）投标总价为</w:t>
      </w:r>
      <w:r>
        <w:rPr>
          <w:rFonts w:hint="eastAsia" w:asciiTheme="minorEastAsia" w:hAnsiTheme="minorEastAsia"/>
          <w:sz w:val="24"/>
          <w:szCs w:val="24"/>
          <w:u w:val="single"/>
        </w:rPr>
        <w:t xml:space="preserve"> （注明币种，并用大写和小写表述投标总价） </w:t>
      </w:r>
      <w:r>
        <w:rPr>
          <w:rFonts w:hint="eastAsia" w:asciiTheme="minorEastAsia" w:hAnsiTheme="minorEastAsia"/>
          <w:sz w:val="24"/>
          <w:szCs w:val="24"/>
        </w:rPr>
        <w:t>；</w:t>
      </w:r>
    </w:p>
    <w:p>
      <w:pPr>
        <w:spacing w:line="360" w:lineRule="auto"/>
        <w:ind w:left="12" w:leftChars="6" w:firstLine="473" w:firstLineChars="197"/>
        <w:rPr>
          <w:rFonts w:asciiTheme="minorEastAsia" w:hAnsiTheme="minorEastAsia"/>
          <w:sz w:val="24"/>
          <w:szCs w:val="24"/>
        </w:rPr>
      </w:pPr>
      <w:r>
        <w:rPr>
          <w:rFonts w:hint="eastAsia" w:asciiTheme="minorEastAsia" w:hAnsiTheme="minorEastAsia"/>
          <w:sz w:val="24"/>
          <w:szCs w:val="24"/>
        </w:rPr>
        <w:t>2．按招标文件的约定履行合同责任和义务；</w:t>
      </w:r>
    </w:p>
    <w:p>
      <w:pPr>
        <w:spacing w:line="360" w:lineRule="auto"/>
        <w:ind w:left="12" w:leftChars="6" w:firstLine="473" w:firstLineChars="197"/>
        <w:rPr>
          <w:rFonts w:asciiTheme="minorEastAsia" w:hAnsiTheme="minorEastAsia"/>
          <w:sz w:val="24"/>
          <w:szCs w:val="24"/>
        </w:rPr>
      </w:pPr>
      <w:r>
        <w:rPr>
          <w:rFonts w:hint="eastAsia" w:asciiTheme="minorEastAsia" w:hAnsiTheme="minorEastAsia"/>
          <w:sz w:val="24"/>
          <w:szCs w:val="24"/>
        </w:rPr>
        <w:t>3．已详细审查全部招标文件，包括</w:t>
      </w:r>
      <w:r>
        <w:rPr>
          <w:rFonts w:hint="eastAsia" w:asciiTheme="minorEastAsia" w:hAnsiTheme="minorEastAsia"/>
          <w:sz w:val="24"/>
          <w:szCs w:val="24"/>
          <w:u w:val="single"/>
        </w:rPr>
        <w:t>（修正或补充文件）（如果有的话）</w:t>
      </w:r>
      <w:r>
        <w:rPr>
          <w:rFonts w:hint="eastAsia" w:asciiTheme="minorEastAsia" w:hAnsiTheme="minorEastAsia"/>
          <w:sz w:val="24"/>
          <w:szCs w:val="24"/>
        </w:rPr>
        <w:t>，对此无异议；</w:t>
      </w:r>
    </w:p>
    <w:p>
      <w:pPr>
        <w:spacing w:line="360" w:lineRule="auto"/>
        <w:ind w:left="12" w:leftChars="6" w:firstLine="473" w:firstLineChars="197"/>
        <w:rPr>
          <w:rFonts w:asciiTheme="minorEastAsia" w:hAnsiTheme="minorEastAsia"/>
          <w:sz w:val="24"/>
          <w:szCs w:val="24"/>
        </w:rPr>
      </w:pPr>
      <w:r>
        <w:rPr>
          <w:rFonts w:hint="eastAsia" w:asciiTheme="minorEastAsia" w:hAnsiTheme="minorEastAsia"/>
          <w:sz w:val="24"/>
          <w:szCs w:val="24"/>
        </w:rPr>
        <w:t>4．投标有效期为</w:t>
      </w:r>
      <w:r>
        <w:rPr>
          <w:rFonts w:hint="eastAsia" w:asciiTheme="minorEastAsia" w:hAnsiTheme="minorEastAsia"/>
          <w:color w:val="0C0C0C" w:themeColor="text1" w:themeTint="F2"/>
          <w:sz w:val="24"/>
          <w:szCs w:val="24"/>
        </w:rPr>
        <w:t>自</w:t>
      </w:r>
      <w:r>
        <w:rPr>
          <w:rFonts w:hint="eastAsia" w:ascii="宋体" w:hAnsi="宋体"/>
          <w:color w:val="0C0C0C" w:themeColor="text1" w:themeTint="F2"/>
          <w:kern w:val="0"/>
          <w:sz w:val="24"/>
        </w:rPr>
        <w:t>递交投标文件截止之日</w:t>
      </w:r>
      <w:r>
        <w:rPr>
          <w:rFonts w:hint="eastAsia" w:asciiTheme="minorEastAsia" w:hAnsiTheme="minorEastAsia"/>
          <w:color w:val="0C0C0C" w:themeColor="text1" w:themeTint="F2"/>
          <w:sz w:val="24"/>
          <w:szCs w:val="24"/>
        </w:rPr>
        <w:t>起</w:t>
      </w:r>
      <w:r>
        <w:rPr>
          <w:rFonts w:hint="eastAsia" w:asciiTheme="minorEastAsia" w:hAnsiTheme="minorEastAsia"/>
          <w:sz w:val="24"/>
          <w:szCs w:val="24"/>
        </w:rPr>
        <w:t>，共个日历日；</w:t>
      </w:r>
    </w:p>
    <w:p>
      <w:pPr>
        <w:spacing w:line="360" w:lineRule="auto"/>
        <w:ind w:left="12" w:leftChars="6" w:firstLine="473" w:firstLineChars="197"/>
        <w:rPr>
          <w:rFonts w:asciiTheme="minorEastAsia" w:hAnsiTheme="minorEastAsia"/>
          <w:sz w:val="24"/>
          <w:szCs w:val="24"/>
        </w:rPr>
      </w:pPr>
      <w:r>
        <w:rPr>
          <w:rFonts w:hint="eastAsia" w:asciiTheme="minorEastAsia" w:hAnsiTheme="minorEastAsia"/>
          <w:sz w:val="24"/>
          <w:szCs w:val="24"/>
        </w:rPr>
        <w:t>5．提供按照贵方可能要求的与投标有关的一切数据或资料；</w:t>
      </w:r>
    </w:p>
    <w:p>
      <w:pPr>
        <w:spacing w:line="360" w:lineRule="auto"/>
        <w:ind w:left="12" w:leftChars="6" w:firstLine="473" w:firstLineChars="197"/>
        <w:rPr>
          <w:rFonts w:asciiTheme="minorEastAsia" w:hAnsiTheme="minorEastAsia"/>
          <w:sz w:val="24"/>
          <w:szCs w:val="24"/>
        </w:rPr>
      </w:pPr>
      <w:r>
        <w:rPr>
          <w:rFonts w:hint="eastAsia" w:asciiTheme="minorEastAsia" w:hAnsiTheme="minorEastAsia"/>
          <w:sz w:val="24"/>
          <w:szCs w:val="24"/>
        </w:rPr>
        <w:t>6．与投标有关的一切正式往来信函请寄：。</w:t>
      </w:r>
    </w:p>
    <w:p>
      <w:pPr>
        <w:autoSpaceDE w:val="0"/>
        <w:autoSpaceDN w:val="0"/>
        <w:adjustRightInd w:val="0"/>
        <w:spacing w:line="400" w:lineRule="exact"/>
        <w:ind w:right="246" w:firstLine="482" w:firstLineChars="200"/>
        <w:rPr>
          <w:rFonts w:ascii="宋体" w:hAnsi="宋体" w:eastAsia="宋体" w:cs="Times New Roman"/>
          <w:kern w:val="0"/>
          <w:sz w:val="24"/>
          <w:szCs w:val="24"/>
        </w:rPr>
      </w:pPr>
    </w:p>
    <w:p>
      <w:pPr>
        <w:spacing w:line="360" w:lineRule="auto"/>
        <w:ind w:left="12" w:leftChars="6" w:firstLine="473" w:firstLineChars="197"/>
        <w:rPr>
          <w:rFonts w:asciiTheme="minorEastAsia" w:hAnsiTheme="minorEastAsia"/>
          <w:sz w:val="24"/>
          <w:szCs w:val="24"/>
        </w:rPr>
      </w:pPr>
      <w:r>
        <w:rPr>
          <w:rFonts w:hint="eastAsia" w:asciiTheme="minorEastAsia" w:hAnsiTheme="minorEastAsia"/>
          <w:sz w:val="24"/>
          <w:szCs w:val="24"/>
        </w:rPr>
        <w:t>投标人：</w:t>
      </w:r>
    </w:p>
    <w:p>
      <w:pPr>
        <w:spacing w:line="360" w:lineRule="auto"/>
        <w:ind w:left="12" w:leftChars="6" w:firstLine="473" w:firstLineChars="197"/>
        <w:rPr>
          <w:rFonts w:asciiTheme="minorEastAsia" w:hAnsiTheme="minorEastAsia"/>
          <w:sz w:val="24"/>
          <w:szCs w:val="24"/>
        </w:rPr>
      </w:pPr>
      <w:r>
        <w:rPr>
          <w:rFonts w:hint="eastAsia" w:asciiTheme="minorEastAsia" w:hAnsiTheme="minorEastAsia"/>
          <w:sz w:val="24"/>
          <w:szCs w:val="24"/>
        </w:rPr>
        <w:t>地  址：</w:t>
      </w:r>
    </w:p>
    <w:p>
      <w:pPr>
        <w:spacing w:line="360" w:lineRule="auto"/>
        <w:ind w:left="12" w:leftChars="6" w:firstLine="473" w:firstLineChars="197"/>
        <w:rPr>
          <w:rFonts w:asciiTheme="minorEastAsia" w:hAnsiTheme="minorEastAsia"/>
          <w:sz w:val="24"/>
          <w:szCs w:val="24"/>
        </w:rPr>
      </w:pPr>
      <w:r>
        <w:rPr>
          <w:rFonts w:hint="eastAsia" w:asciiTheme="minorEastAsia" w:hAnsiTheme="minorEastAsia"/>
          <w:sz w:val="24"/>
          <w:szCs w:val="24"/>
        </w:rPr>
        <w:t>电话/传真：</w:t>
      </w:r>
    </w:p>
    <w:p>
      <w:pPr>
        <w:spacing w:line="360" w:lineRule="auto"/>
        <w:ind w:left="12" w:leftChars="6" w:firstLine="473" w:firstLineChars="197"/>
        <w:rPr>
          <w:rFonts w:asciiTheme="minorEastAsia" w:hAnsiTheme="minorEastAsia"/>
          <w:sz w:val="24"/>
          <w:szCs w:val="24"/>
        </w:rPr>
      </w:pPr>
      <w:r>
        <w:rPr>
          <w:rFonts w:hint="eastAsia" w:asciiTheme="minorEastAsia" w:hAnsiTheme="minorEastAsia"/>
          <w:sz w:val="24"/>
          <w:szCs w:val="24"/>
        </w:rPr>
        <w:t>电子邮件：</w:t>
      </w:r>
    </w:p>
    <w:p>
      <w:pPr>
        <w:spacing w:line="360" w:lineRule="auto"/>
        <w:ind w:left="12" w:leftChars="6" w:firstLine="473" w:firstLineChars="197"/>
        <w:rPr>
          <w:rFonts w:asciiTheme="minorEastAsia" w:hAnsiTheme="minorEastAsia"/>
          <w:sz w:val="24"/>
          <w:szCs w:val="24"/>
        </w:rPr>
      </w:pPr>
      <w:r>
        <w:rPr>
          <w:rFonts w:hint="eastAsia" w:asciiTheme="minorEastAsia" w:hAnsiTheme="minorEastAsia"/>
          <w:sz w:val="24"/>
          <w:szCs w:val="24"/>
        </w:rPr>
        <w:t>投标人(公章)：</w:t>
      </w:r>
    </w:p>
    <w:p>
      <w:pPr>
        <w:spacing w:line="360" w:lineRule="auto"/>
        <w:ind w:left="12" w:leftChars="6" w:firstLine="473" w:firstLineChars="197"/>
        <w:rPr>
          <w:rFonts w:asciiTheme="minorEastAsia" w:hAnsiTheme="minorEastAsia"/>
          <w:sz w:val="24"/>
          <w:szCs w:val="24"/>
        </w:rPr>
      </w:pPr>
      <w:r>
        <w:rPr>
          <w:rFonts w:hint="eastAsia" w:asciiTheme="minorEastAsia" w:hAnsiTheme="minorEastAsia"/>
          <w:sz w:val="24"/>
          <w:szCs w:val="24"/>
        </w:rPr>
        <w:t>投标人授权代表（签字）：</w:t>
      </w:r>
    </w:p>
    <w:p>
      <w:pPr>
        <w:spacing w:line="360" w:lineRule="auto"/>
        <w:ind w:left="12" w:leftChars="6" w:firstLine="473" w:firstLineChars="197"/>
        <w:rPr>
          <w:rFonts w:asciiTheme="minorEastAsia" w:hAnsiTheme="minorEastAsia"/>
          <w:sz w:val="24"/>
          <w:szCs w:val="24"/>
        </w:rPr>
      </w:pPr>
      <w:r>
        <w:rPr>
          <w:rFonts w:hint="eastAsia" w:asciiTheme="minorEastAsia" w:hAnsiTheme="minorEastAsia"/>
          <w:sz w:val="24"/>
          <w:szCs w:val="24"/>
        </w:rPr>
        <w:t>日    期：</w:t>
      </w:r>
    </w:p>
    <w:p>
      <w:pPr>
        <w:spacing w:line="360" w:lineRule="auto"/>
        <w:ind w:left="12" w:leftChars="6" w:firstLine="473" w:firstLineChars="197"/>
        <w:rPr>
          <w:rFonts w:asciiTheme="minorEastAsia" w:hAnsiTheme="minorEastAsia"/>
          <w:sz w:val="24"/>
          <w:szCs w:val="24"/>
        </w:rPr>
      </w:pPr>
      <w:r>
        <w:rPr>
          <w:rFonts w:hint="eastAsia" w:asciiTheme="minorEastAsia" w:hAnsiTheme="minorEastAsia"/>
          <w:sz w:val="24"/>
          <w:szCs w:val="24"/>
        </w:rPr>
        <w:t>开户银行：</w:t>
      </w:r>
    </w:p>
    <w:p>
      <w:pPr>
        <w:spacing w:line="360" w:lineRule="auto"/>
        <w:ind w:left="12" w:leftChars="6" w:firstLine="473" w:firstLineChars="197"/>
        <w:rPr>
          <w:rFonts w:asciiTheme="minorEastAsia" w:hAnsiTheme="minorEastAsia"/>
          <w:sz w:val="24"/>
          <w:szCs w:val="24"/>
        </w:rPr>
      </w:pPr>
      <w:r>
        <w:rPr>
          <w:rFonts w:hint="eastAsia" w:asciiTheme="minorEastAsia" w:hAnsiTheme="minorEastAsia"/>
          <w:sz w:val="24"/>
          <w:szCs w:val="24"/>
        </w:rPr>
        <w:t>帐号/行号：</w:t>
      </w:r>
    </w:p>
    <w:p>
      <w:r>
        <w:br w:type="page"/>
      </w:r>
    </w:p>
    <w:p>
      <w:pPr>
        <w:pStyle w:val="5"/>
        <w:numPr>
          <w:ilvl w:val="0"/>
          <w:numId w:val="64"/>
        </w:numPr>
        <w:spacing w:before="100" w:beforeAutospacing="1" w:afterLines="50" w:line="360" w:lineRule="auto"/>
        <w:ind w:left="1288" w:hanging="1288"/>
        <w:rPr>
          <w:rFonts w:ascii="宋体" w:hAnsi="宋体" w:eastAsia="宋体"/>
        </w:rPr>
      </w:pPr>
      <w:bookmarkStart w:id="143" w:name="_Toc494665558"/>
      <w:bookmarkStart w:id="144" w:name="_Toc494745322"/>
      <w:bookmarkStart w:id="145" w:name="_Toc494665955"/>
      <w:bookmarkStart w:id="146" w:name="_Toc494721105"/>
      <w:bookmarkStart w:id="147" w:name="_Toc494577410"/>
      <w:bookmarkStart w:id="148" w:name="_Toc494702275"/>
      <w:bookmarkStart w:id="149" w:name="_Toc494665005"/>
      <w:bookmarkStart w:id="150" w:name="_Toc6425"/>
      <w:r>
        <w:rPr>
          <w:rFonts w:hint="eastAsia" w:ascii="宋体" w:hAnsi="宋体" w:eastAsia="宋体"/>
        </w:rPr>
        <w:t>开标一览表</w:t>
      </w:r>
      <w:bookmarkEnd w:id="143"/>
      <w:bookmarkEnd w:id="144"/>
      <w:bookmarkEnd w:id="145"/>
      <w:bookmarkEnd w:id="146"/>
      <w:bookmarkEnd w:id="147"/>
      <w:bookmarkEnd w:id="148"/>
      <w:bookmarkEnd w:id="149"/>
      <w:bookmarkEnd w:id="150"/>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bCs/>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57"/>
        <w:gridCol w:w="924"/>
        <w:gridCol w:w="2954"/>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51" w:type="dxa"/>
            <w:tcBorders>
              <w:top w:val="double" w:color="auto" w:sz="4" w:space="0"/>
              <w:left w:val="doub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1981" w:type="dxa"/>
            <w:gridSpan w:val="2"/>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295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品牌、型号</w:t>
            </w:r>
          </w:p>
        </w:tc>
        <w:tc>
          <w:tcPr>
            <w:tcW w:w="1119"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13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708" w:type="dxa"/>
            <w:tcBorders>
              <w:top w:val="double" w:color="auto" w:sz="4" w:space="0"/>
              <w:left w:val="single" w:color="auto" w:sz="4" w:space="0"/>
              <w:bottom w:val="single" w:color="auto" w:sz="4" w:space="0"/>
              <w:right w:val="doub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投标总报价</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after="120" w:line="400" w:lineRule="atLeast"/>
              <w:ind w:left="206"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小写：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万元整</w:t>
            </w:r>
          </w:p>
          <w:p>
            <w:pPr>
              <w:spacing w:after="120" w:line="400" w:lineRule="atLeast"/>
              <w:ind w:left="206"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大写：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佰元整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项目工期</w:t>
            </w:r>
          </w:p>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（服务期限）</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质保期</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708" w:type="dxa"/>
            <w:gridSpan w:val="2"/>
            <w:tcBorders>
              <w:top w:val="single" w:color="auto" w:sz="4" w:space="0"/>
              <w:left w:val="double" w:color="auto" w:sz="4" w:space="0"/>
              <w:bottom w:val="doub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备注</w:t>
            </w:r>
          </w:p>
        </w:tc>
        <w:tc>
          <w:tcPr>
            <w:tcW w:w="7839" w:type="dxa"/>
            <w:gridSpan w:val="5"/>
            <w:tcBorders>
              <w:top w:val="single" w:color="auto" w:sz="4" w:space="0"/>
              <w:left w:val="single" w:color="auto" w:sz="4" w:space="0"/>
              <w:bottom w:val="double" w:color="auto" w:sz="4" w:space="0"/>
              <w:right w:val="double" w:color="auto" w:sz="4" w:space="0"/>
            </w:tcBorders>
            <w:vAlign w:val="center"/>
          </w:tcPr>
          <w:p>
            <w:pPr>
              <w:spacing w:line="276" w:lineRule="auto"/>
              <w:ind w:left="-48" w:leftChars="-23" w:right="-65" w:rightChars="-31"/>
              <w:jc w:val="left"/>
              <w:rPr>
                <w:rFonts w:ascii="宋体" w:hAnsi="宋体" w:eastAsia="宋体" w:cs="宋体"/>
                <w:kern w:val="0"/>
                <w:sz w:val="24"/>
                <w:szCs w:val="24"/>
                <w:lang w:val="zh-CN"/>
              </w:rPr>
            </w:pPr>
          </w:p>
        </w:tc>
      </w:tr>
    </w:tbl>
    <w:p>
      <w:pPr>
        <w:spacing w:line="360" w:lineRule="auto"/>
        <w:ind w:left="1056" w:hanging="1052" w:hangingChars="437"/>
        <w:jc w:val="left"/>
        <w:rPr>
          <w:rFonts w:ascii="宋体" w:hAnsi="宋体"/>
          <w:sz w:val="24"/>
        </w:rPr>
      </w:pPr>
      <w:r>
        <w:rPr>
          <w:rFonts w:hint="eastAsia" w:ascii="宋体" w:hAnsi="宋体"/>
          <w:sz w:val="24"/>
        </w:rPr>
        <w:t>说明：1．所有价格均用</w:t>
      </w:r>
      <w:r>
        <w:rPr>
          <w:rFonts w:hint="eastAsia" w:ascii="宋体" w:hAnsi="宋体"/>
          <w:sz w:val="24"/>
          <w:lang w:eastAsia="zh-CN"/>
        </w:rPr>
        <w:t>人民币</w:t>
      </w:r>
      <w:r>
        <w:rPr>
          <w:rFonts w:hint="eastAsia" w:ascii="宋体" w:hAnsi="宋体"/>
          <w:sz w:val="24"/>
        </w:rPr>
        <w:t>表示</w:t>
      </w:r>
      <w:r>
        <w:rPr>
          <w:rFonts w:hint="eastAsia" w:ascii="宋体" w:hAnsi="宋体"/>
          <w:sz w:val="24"/>
          <w:lang w:eastAsia="zh-CN"/>
        </w:rPr>
        <w:t>，</w:t>
      </w:r>
      <w:r>
        <w:rPr>
          <w:rFonts w:hint="eastAsia" w:ascii="宋体" w:hAnsi="宋体"/>
          <w:sz w:val="24"/>
        </w:rPr>
        <w:t>单位为元。</w:t>
      </w:r>
    </w:p>
    <w:p>
      <w:pPr>
        <w:spacing w:line="360" w:lineRule="auto"/>
        <w:ind w:left="1066" w:leftChars="339" w:hanging="351" w:hangingChars="146"/>
        <w:jc w:val="left"/>
        <w:rPr>
          <w:rFonts w:ascii="宋体" w:hAnsi="宋体" w:eastAsia="宋体" w:cs="Times New Roman"/>
          <w:sz w:val="24"/>
          <w:szCs w:val="24"/>
        </w:rPr>
      </w:pPr>
      <w:r>
        <w:rPr>
          <w:rFonts w:hint="eastAsia" w:ascii="宋体" w:hAnsi="宋体" w:eastAsia="宋体" w:cs="Times New Roman"/>
          <w:sz w:val="24"/>
          <w:szCs w:val="24"/>
        </w:rPr>
        <w:t>2．价格应按照招标文件第二章“投标人须知”中第12条的要求进行报价。</w:t>
      </w:r>
    </w:p>
    <w:p>
      <w:pPr>
        <w:spacing w:line="360" w:lineRule="auto"/>
        <w:ind w:left="1066" w:leftChars="339" w:hanging="351" w:hangingChars="146"/>
        <w:jc w:val="left"/>
        <w:rPr>
          <w:rFonts w:ascii="宋体" w:hAnsi="宋体" w:eastAsia="宋体" w:cs="Times New Roman"/>
          <w:b/>
          <w:sz w:val="24"/>
          <w:szCs w:val="24"/>
        </w:rPr>
      </w:pPr>
      <w:r>
        <w:rPr>
          <w:rFonts w:hint="eastAsia" w:ascii="宋体" w:hAnsi="宋体" w:eastAsia="宋体" w:cs="Times New Roman"/>
          <w:sz w:val="24"/>
          <w:szCs w:val="24"/>
        </w:rPr>
        <w:t>3．为方便开标时唱标，投标人应另附《开标一览表》一份</w:t>
      </w:r>
      <w:r>
        <w:rPr>
          <w:rFonts w:hint="eastAsia" w:ascii="宋体" w:hAnsi="宋体" w:eastAsia="宋体" w:cs="Times New Roman"/>
          <w:spacing w:val="-6"/>
          <w:kern w:val="0"/>
          <w:sz w:val="24"/>
          <w:szCs w:val="24"/>
        </w:rPr>
        <w:t>装入一个信封，单独密封提交</w:t>
      </w:r>
      <w:r>
        <w:rPr>
          <w:rFonts w:hint="eastAsia" w:ascii="宋体" w:hAnsi="宋体" w:eastAsia="宋体" w:cs="Times New Roman"/>
          <w:sz w:val="24"/>
          <w:szCs w:val="24"/>
        </w:rPr>
        <w:t>，并在信封上标明“开标一览表”字样。未单独提交或单独提交的上述资料未按照招标文件规定的格式填写完整并签字、盖章</w:t>
      </w:r>
      <w:r>
        <w:rPr>
          <w:rFonts w:hint="eastAsia" w:ascii="宋体" w:hAnsi="宋体" w:eastAsia="宋体" w:cs="Times New Roman"/>
          <w:sz w:val="24"/>
          <w:szCs w:val="20"/>
          <w:lang w:val="zh-CN"/>
        </w:rPr>
        <w:t>的集中采购机构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spacing w:line="360" w:lineRule="auto"/>
        <w:ind w:left="1066" w:leftChars="339" w:hanging="351" w:hangingChars="146"/>
        <w:jc w:val="left"/>
        <w:rPr>
          <w:rFonts w:ascii="宋体" w:hAnsi="宋体" w:eastAsia="宋体" w:cs="Times New Roman"/>
          <w:sz w:val="24"/>
          <w:szCs w:val="24"/>
        </w:rPr>
      </w:pPr>
      <w:r>
        <w:rPr>
          <w:rFonts w:hint="eastAsia" w:ascii="宋体" w:hAnsi="宋体" w:eastAsia="宋体" w:cs="Times New Roman"/>
          <w:sz w:val="24"/>
          <w:szCs w:val="24"/>
        </w:rPr>
        <w:t>4. 本表应按要求由投标人法人授权代表签字，并加盖投标单位公章，否则将被视为非响应性投标，将按照</w:t>
      </w:r>
      <w:r>
        <w:rPr>
          <w:rFonts w:hint="eastAsia" w:ascii="宋体" w:hAnsi="宋体" w:eastAsia="宋体" w:cs="Times New Roman"/>
          <w:b/>
          <w:sz w:val="24"/>
          <w:szCs w:val="24"/>
        </w:rPr>
        <w:t>无效投标处理</w:t>
      </w:r>
      <w:r>
        <w:rPr>
          <w:rFonts w:hint="eastAsia" w:ascii="宋体" w:hAnsi="宋体" w:eastAsia="宋体" w:cs="Times New Roman"/>
          <w:sz w:val="24"/>
          <w:szCs w:val="24"/>
        </w:rPr>
        <w:t>。</w:t>
      </w:r>
    </w:p>
    <w:p>
      <w:pPr>
        <w:spacing w:before="100" w:beforeAutospacing="1" w:after="100" w:afterAutospacing="1" w:line="360" w:lineRule="auto"/>
        <w:ind w:firstLine="3329"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投标人（公章）：</w:t>
      </w:r>
    </w:p>
    <w:p>
      <w:pPr>
        <w:spacing w:before="100" w:beforeAutospacing="1" w:after="100" w:afterAutospacing="1" w:line="360" w:lineRule="auto"/>
        <w:ind w:firstLine="3329"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29"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投标时间：</w:t>
      </w:r>
    </w:p>
    <w:p>
      <w:r>
        <w:br w:type="page"/>
      </w:r>
    </w:p>
    <w:p>
      <w:pPr>
        <w:pStyle w:val="5"/>
        <w:numPr>
          <w:ilvl w:val="0"/>
          <w:numId w:val="64"/>
        </w:numPr>
        <w:spacing w:before="100" w:beforeAutospacing="1" w:afterLines="50" w:line="360" w:lineRule="auto"/>
        <w:ind w:left="1288" w:hanging="1288"/>
        <w:rPr>
          <w:rFonts w:ascii="宋体" w:hAnsi="宋体" w:eastAsia="宋体"/>
        </w:rPr>
      </w:pPr>
      <w:bookmarkStart w:id="151" w:name="_Toc5241"/>
      <w:bookmarkStart w:id="152" w:name="_Toc494665008"/>
      <w:bookmarkStart w:id="153" w:name="_Toc494665561"/>
      <w:bookmarkStart w:id="154" w:name="_Toc494721108"/>
      <w:bookmarkStart w:id="155" w:name="_Toc494745325"/>
      <w:bookmarkStart w:id="156" w:name="_Toc494665958"/>
      <w:bookmarkStart w:id="157" w:name="_Toc494702278"/>
      <w:r>
        <w:rPr>
          <w:rFonts w:hint="eastAsia" w:ascii="宋体" w:hAnsi="宋体" w:eastAsia="宋体"/>
        </w:rPr>
        <w:t>投标货物（工程或服务）清单</w:t>
      </w:r>
      <w:bookmarkEnd w:id="151"/>
      <w:bookmarkEnd w:id="152"/>
      <w:bookmarkEnd w:id="153"/>
      <w:bookmarkEnd w:id="154"/>
      <w:bookmarkEnd w:id="155"/>
      <w:bookmarkEnd w:id="156"/>
      <w:bookmarkEnd w:id="157"/>
    </w:p>
    <w:p>
      <w:pPr>
        <w:adjustRightInd w:val="0"/>
        <w:snapToGrid w:val="0"/>
        <w:spacing w:line="360" w:lineRule="auto"/>
        <w:rPr>
          <w:rFonts w:ascii="宋体" w:hAnsi="宋体"/>
          <w:b/>
          <w:sz w:val="24"/>
        </w:rPr>
      </w:pPr>
      <w:r>
        <w:rPr>
          <w:rFonts w:hint="eastAsia" w:ascii="宋体" w:hAnsi="宋体"/>
          <w:b/>
          <w:sz w:val="24"/>
        </w:rPr>
        <w:t>投 标 人：</w:t>
      </w:r>
    </w:p>
    <w:p>
      <w:pPr>
        <w:adjustRightInd w:val="0"/>
        <w:snapToGrid w:val="0"/>
        <w:spacing w:line="360" w:lineRule="auto"/>
        <w:rPr>
          <w:rFonts w:ascii="宋体" w:hAnsi="宋体"/>
          <w:b/>
          <w:color w:val="FF0000"/>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370"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2722"/>
        <w:gridCol w:w="2459"/>
        <w:gridCol w:w="851"/>
        <w:gridCol w:w="25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45" w:type="dxa"/>
            <w:tcBorders>
              <w:top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84" w:rightChars="-40"/>
              <w:jc w:val="center"/>
              <w:rPr>
                <w:rFonts w:ascii="宋体" w:hAnsi="宋体" w:cs="宋体"/>
                <w:color w:val="0D0D0D"/>
                <w:kern w:val="0"/>
                <w:sz w:val="24"/>
              </w:rPr>
            </w:pPr>
            <w:r>
              <w:rPr>
                <w:rFonts w:hint="eastAsia" w:ascii="宋体" w:hAnsi="宋体" w:cs="宋体"/>
                <w:color w:val="0D0D0D"/>
                <w:kern w:val="0"/>
                <w:sz w:val="24"/>
              </w:rPr>
              <w:t>序号</w:t>
            </w:r>
          </w:p>
        </w:tc>
        <w:tc>
          <w:tcPr>
            <w:tcW w:w="272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货物（工程或服务）名称</w:t>
            </w:r>
          </w:p>
        </w:tc>
        <w:tc>
          <w:tcPr>
            <w:tcW w:w="245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主要规格、技术参数</w:t>
            </w:r>
          </w:p>
        </w:tc>
        <w:tc>
          <w:tcPr>
            <w:tcW w:w="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2593" w:type="dxa"/>
            <w:tcBorders>
              <w:top w:val="single" w:color="auto" w:sz="4" w:space="0"/>
              <w:left w:val="single" w:color="auto" w:sz="4" w:space="0"/>
              <w:bottom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制造厂家/产地及国家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tcBorders>
              <w:top w:val="single" w:color="auto" w:sz="4" w:space="0"/>
            </w:tcBorders>
            <w:vAlign w:val="center"/>
          </w:tcPr>
          <w:p>
            <w:pPr>
              <w:adjustRightInd w:val="0"/>
              <w:snapToGrid w:val="0"/>
              <w:ind w:left="-88" w:leftChars="-42"/>
              <w:jc w:val="center"/>
              <w:rPr>
                <w:rFonts w:ascii="宋体" w:hAnsi="宋体"/>
                <w:sz w:val="24"/>
              </w:rPr>
            </w:pPr>
            <w:r>
              <w:rPr>
                <w:rFonts w:hint="eastAsia" w:ascii="宋体" w:hAnsi="宋体"/>
                <w:sz w:val="24"/>
              </w:rPr>
              <w:t>1</w:t>
            </w:r>
          </w:p>
        </w:tc>
        <w:tc>
          <w:tcPr>
            <w:tcW w:w="2722" w:type="dxa"/>
            <w:tcBorders>
              <w:top w:val="single" w:color="auto" w:sz="4" w:space="0"/>
            </w:tcBorders>
            <w:vAlign w:val="center"/>
          </w:tcPr>
          <w:p>
            <w:pPr>
              <w:adjustRightInd w:val="0"/>
              <w:snapToGrid w:val="0"/>
              <w:ind w:left="-88" w:leftChars="-42"/>
              <w:jc w:val="center"/>
              <w:rPr>
                <w:rFonts w:ascii="宋体" w:hAnsi="宋体"/>
                <w:sz w:val="24"/>
              </w:rPr>
            </w:pPr>
          </w:p>
        </w:tc>
        <w:tc>
          <w:tcPr>
            <w:tcW w:w="2459" w:type="dxa"/>
            <w:tcBorders>
              <w:top w:val="single" w:color="auto" w:sz="4" w:space="0"/>
            </w:tcBorders>
            <w:vAlign w:val="center"/>
          </w:tcPr>
          <w:p>
            <w:pPr>
              <w:adjustRightInd w:val="0"/>
              <w:snapToGrid w:val="0"/>
              <w:jc w:val="center"/>
              <w:rPr>
                <w:rFonts w:ascii="宋体" w:hAnsi="宋体"/>
                <w:sz w:val="24"/>
              </w:rPr>
            </w:pPr>
          </w:p>
        </w:tc>
        <w:tc>
          <w:tcPr>
            <w:tcW w:w="851" w:type="dxa"/>
            <w:tcBorders>
              <w:top w:val="single" w:color="auto" w:sz="4" w:space="0"/>
            </w:tcBorders>
            <w:vAlign w:val="center"/>
          </w:tcPr>
          <w:p>
            <w:pPr>
              <w:adjustRightInd w:val="0"/>
              <w:snapToGrid w:val="0"/>
              <w:jc w:val="center"/>
              <w:rPr>
                <w:rFonts w:ascii="宋体" w:hAnsi="宋体"/>
                <w:sz w:val="24"/>
              </w:rPr>
            </w:pPr>
          </w:p>
        </w:tc>
        <w:tc>
          <w:tcPr>
            <w:tcW w:w="2593" w:type="dxa"/>
            <w:tcBorders>
              <w:top w:val="single" w:color="auto" w:sz="4" w:space="0"/>
            </w:tcBorders>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2</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3</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ind w:left="-88" w:leftChars="-42"/>
              <w:jc w:val="center"/>
              <w:rPr>
                <w:rFonts w:ascii="宋体" w:hAnsi="宋体"/>
                <w:sz w:val="24"/>
              </w:rPr>
            </w:pPr>
          </w:p>
        </w:tc>
        <w:tc>
          <w:tcPr>
            <w:tcW w:w="851" w:type="dxa"/>
            <w:vAlign w:val="center"/>
          </w:tcPr>
          <w:p>
            <w:pPr>
              <w:adjustRightInd w:val="0"/>
              <w:snapToGrid w:val="0"/>
              <w:ind w:left="-88" w:leftChars="-42"/>
              <w:jc w:val="center"/>
              <w:rPr>
                <w:rFonts w:ascii="宋体" w:hAnsi="宋体"/>
                <w:sz w:val="24"/>
              </w:rPr>
            </w:pPr>
          </w:p>
        </w:tc>
        <w:tc>
          <w:tcPr>
            <w:tcW w:w="2593" w:type="dxa"/>
            <w:vAlign w:val="center"/>
          </w:tcPr>
          <w:p>
            <w:pPr>
              <w:adjustRightInd w:val="0"/>
              <w:snapToGrid w:val="0"/>
              <w:ind w:left="-88" w:leftChars="-4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4</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5</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6</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bl>
    <w:p>
      <w:pPr>
        <w:spacing w:line="360" w:lineRule="auto"/>
        <w:ind w:left="1085" w:hanging="1081" w:hangingChars="449"/>
        <w:jc w:val="left"/>
        <w:rPr>
          <w:rFonts w:ascii="宋体" w:hAnsi="宋体"/>
          <w:sz w:val="24"/>
        </w:rPr>
      </w:pPr>
      <w:r>
        <w:rPr>
          <w:rFonts w:hint="eastAsia" w:ascii="宋体" w:hAnsi="宋体"/>
          <w:sz w:val="24"/>
        </w:rPr>
        <w:t>说明：1．此表为货物（工程或服务）清单，投标人应提供所投货物（工程或服务）详细的供货（工程或服务）范围，包括主要配件及生产厂家、备品备件等。</w:t>
      </w:r>
    </w:p>
    <w:p>
      <w:pPr>
        <w:spacing w:line="360" w:lineRule="auto"/>
        <w:ind w:left="1066" w:leftChars="339" w:hanging="351" w:hangingChars="146"/>
        <w:jc w:val="left"/>
        <w:rPr>
          <w:rFonts w:ascii="宋体" w:hAnsi="宋体"/>
          <w:sz w:val="24"/>
        </w:rPr>
      </w:pPr>
      <w:r>
        <w:rPr>
          <w:rFonts w:hint="eastAsia" w:ascii="宋体" w:hAnsi="宋体"/>
          <w:sz w:val="24"/>
        </w:rPr>
        <w:t>2．各项货物（工程或服务）详细技术规格、参数及要求性能，应另页描述。</w:t>
      </w:r>
    </w:p>
    <w:p>
      <w:pPr>
        <w:adjustRightInd w:val="0"/>
        <w:snapToGrid w:val="0"/>
        <w:spacing w:line="360" w:lineRule="auto"/>
        <w:ind w:left="770" w:leftChars="194" w:hanging="361" w:hangingChars="150"/>
        <w:rPr>
          <w:rFonts w:ascii="宋体" w:hAnsi="宋体"/>
          <w:sz w:val="24"/>
        </w:rPr>
      </w:pPr>
    </w:p>
    <w:p>
      <w:pPr>
        <w:adjustRightInd w:val="0"/>
        <w:snapToGrid w:val="0"/>
        <w:spacing w:line="360" w:lineRule="auto"/>
        <w:ind w:left="770" w:leftChars="194" w:hanging="361" w:hangingChars="150"/>
        <w:rPr>
          <w:rFonts w:ascii="宋体" w:hAnsi="宋体"/>
          <w:sz w:val="24"/>
        </w:rPr>
      </w:pPr>
    </w:p>
    <w:p>
      <w:pPr>
        <w:adjustRightInd w:val="0"/>
        <w:snapToGrid w:val="0"/>
        <w:spacing w:line="360" w:lineRule="auto"/>
        <w:ind w:left="770" w:leftChars="194" w:hanging="361" w:hangingChars="150"/>
        <w:rPr>
          <w:rFonts w:ascii="宋体" w:hAnsi="宋体"/>
          <w:sz w:val="24"/>
        </w:rPr>
      </w:pPr>
    </w:p>
    <w:p>
      <w:pPr>
        <w:adjustRightInd w:val="0"/>
        <w:snapToGrid w:val="0"/>
        <w:spacing w:line="360" w:lineRule="auto"/>
        <w:ind w:left="770" w:leftChars="194" w:hanging="361" w:hangingChars="150"/>
        <w:rPr>
          <w:rFonts w:ascii="宋体" w:hAnsi="宋体"/>
          <w:sz w:val="24"/>
        </w:rPr>
      </w:pPr>
    </w:p>
    <w:p>
      <w:pPr>
        <w:spacing w:before="100" w:beforeAutospacing="1" w:after="100" w:afterAutospacing="1" w:line="360" w:lineRule="auto"/>
        <w:ind w:firstLine="3329"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29"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29"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5"/>
        <w:numPr>
          <w:ilvl w:val="0"/>
          <w:numId w:val="64"/>
        </w:numPr>
        <w:spacing w:before="100" w:beforeAutospacing="1" w:afterLines="50" w:line="360" w:lineRule="auto"/>
        <w:ind w:left="1288" w:hanging="1288"/>
        <w:rPr>
          <w:rFonts w:ascii="宋体" w:hAnsi="宋体" w:eastAsia="宋体"/>
        </w:rPr>
      </w:pPr>
      <w:bookmarkStart w:id="158" w:name="_Toc494721109"/>
      <w:bookmarkStart w:id="159" w:name="_Toc494702279"/>
      <w:bookmarkStart w:id="160" w:name="_Toc494665562"/>
      <w:bookmarkStart w:id="161" w:name="_Toc494745326"/>
      <w:bookmarkStart w:id="162" w:name="_Toc494665009"/>
      <w:bookmarkStart w:id="163" w:name="_Toc494665959"/>
      <w:bookmarkStart w:id="164" w:name="_Toc255"/>
      <w:r>
        <w:rPr>
          <w:rFonts w:hint="eastAsia" w:ascii="宋体" w:hAnsi="宋体" w:eastAsia="宋体"/>
        </w:rPr>
        <w:t>交纳投标保证金的银行凭证</w:t>
      </w:r>
      <w:bookmarkEnd w:id="158"/>
      <w:bookmarkEnd w:id="159"/>
      <w:bookmarkEnd w:id="160"/>
      <w:bookmarkEnd w:id="161"/>
      <w:bookmarkEnd w:id="162"/>
      <w:bookmarkEnd w:id="163"/>
      <w:bookmarkEnd w:id="164"/>
    </w:p>
    <w:p>
      <w:pPr>
        <w:jc w:val="center"/>
        <w:rPr>
          <w:rFonts w:ascii="宋体" w:hAnsi="宋体" w:eastAsia="宋体" w:cs="Times New Roman"/>
          <w:b/>
          <w:kern w:val="0"/>
          <w:sz w:val="28"/>
          <w:szCs w:val="32"/>
        </w:rPr>
      </w:pPr>
      <w:r>
        <w:rPr>
          <w:rFonts w:hint="eastAsia" w:ascii="宋体" w:hAnsi="宋体" w:eastAsia="宋体" w:cs="Times New Roman"/>
          <w:b/>
          <w:kern w:val="0"/>
          <w:sz w:val="28"/>
          <w:szCs w:val="32"/>
        </w:rPr>
        <w:t>（本项目不适用）</w:t>
      </w:r>
    </w:p>
    <w:p/>
    <w:p>
      <w:pPr>
        <w:spacing w:line="480" w:lineRule="auto"/>
        <w:rPr>
          <w:rFonts w:ascii="宋体" w:hAnsi="宋体" w:cs="Courier New"/>
          <w:b/>
          <w:sz w:val="28"/>
          <w:szCs w:val="28"/>
        </w:rPr>
      </w:pPr>
      <w:r>
        <w:rPr>
          <w:rFonts w:hint="eastAsia" w:ascii="宋体" w:hAnsi="宋体" w:cs="Courier New"/>
          <w:b/>
          <w:sz w:val="28"/>
          <w:szCs w:val="28"/>
          <w:lang w:eastAsia="zh-CN"/>
        </w:rPr>
        <w:t>阳新县公共资源交易中心</w:t>
      </w:r>
      <w:r>
        <w:rPr>
          <w:rFonts w:hint="eastAsia" w:ascii="宋体" w:hAnsi="宋体" w:cs="Courier New"/>
          <w:b/>
          <w:sz w:val="28"/>
          <w:szCs w:val="28"/>
        </w:rPr>
        <w:t>：</w:t>
      </w:r>
    </w:p>
    <w:p>
      <w:pPr>
        <w:spacing w:line="360" w:lineRule="auto"/>
        <w:ind w:firstLine="491" w:firstLineChars="204"/>
        <w:jc w:val="left"/>
        <w:rPr>
          <w:rFonts w:ascii="宋体" w:hAnsi="宋体" w:eastAsia="宋体" w:cs="Times New Roman"/>
          <w:sz w:val="24"/>
          <w:szCs w:val="21"/>
          <w:lang w:val="zh-CN"/>
        </w:rPr>
      </w:pPr>
      <w:r>
        <w:rPr>
          <w:rFonts w:hint="eastAsia" w:ascii="宋体" w:hAnsi="宋体" w:eastAsia="宋体" w:cs="Times New Roman"/>
          <w:sz w:val="24"/>
          <w:szCs w:val="21"/>
          <w:u w:val="single"/>
          <w:lang w:val="zh-CN"/>
        </w:rPr>
        <w:t xml:space="preserve">  （投标人全称）  </w:t>
      </w:r>
      <w:r>
        <w:rPr>
          <w:rFonts w:hint="eastAsia" w:ascii="宋体" w:hAnsi="宋体" w:eastAsia="宋体" w:cs="Times New Roman"/>
          <w:sz w:val="24"/>
          <w:szCs w:val="21"/>
          <w:lang w:val="zh-CN"/>
        </w:rPr>
        <w:t>参加贵方组织的</w:t>
      </w:r>
      <w:r>
        <w:rPr>
          <w:rFonts w:hint="eastAsia" w:ascii="宋体" w:hAnsi="宋体" w:eastAsia="宋体" w:cs="Times New Roman"/>
          <w:color w:val="0D0D0D"/>
          <w:sz w:val="24"/>
          <w:szCs w:val="21"/>
          <w:lang w:val="zh-CN"/>
        </w:rPr>
        <w:t>__</w:t>
      </w:r>
      <w:r>
        <w:rPr>
          <w:rFonts w:hint="eastAsia" w:ascii="宋体" w:hAnsi="宋体" w:eastAsia="宋体" w:cs="Times New Roman"/>
          <w:color w:val="0D0D0D"/>
          <w:sz w:val="24"/>
          <w:szCs w:val="21"/>
          <w:u w:val="single"/>
          <w:lang w:val="zh-CN"/>
        </w:rPr>
        <w:t>_    _</w:t>
      </w:r>
      <w:r>
        <w:rPr>
          <w:rFonts w:hint="eastAsia" w:ascii="宋体" w:hAnsi="宋体" w:eastAsia="宋体" w:cs="Times New Roman"/>
          <w:color w:val="0D0D0D"/>
          <w:sz w:val="24"/>
          <w:szCs w:val="21"/>
          <w:lang w:val="zh-CN"/>
        </w:rPr>
        <w:t>项目（项目编号：_____</w:t>
      </w:r>
      <w:r>
        <w:rPr>
          <w:rFonts w:hint="eastAsia" w:ascii="宋体" w:hAnsi="宋体" w:eastAsia="宋体" w:cs="Times New Roman"/>
          <w:sz w:val="24"/>
          <w:szCs w:val="21"/>
          <w:lang w:val="zh-CN"/>
        </w:rPr>
        <w:t>_）的政府采购活动。按招标文件的规定，已递交人民币（大写）万元的投标保证金。</w:t>
      </w:r>
    </w:p>
    <w:tbl>
      <w:tblPr>
        <w:tblStyle w:val="19"/>
        <w:tblW w:w="954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85"/>
        <w:gridCol w:w="2160"/>
        <w:gridCol w:w="1440"/>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restart"/>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投标人</w:t>
            </w: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全  称</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地  址</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邮  编</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联 系 人</w:t>
            </w:r>
          </w:p>
        </w:tc>
        <w:tc>
          <w:tcPr>
            <w:tcW w:w="2160" w:type="dxa"/>
            <w:vAlign w:val="center"/>
          </w:tcPr>
          <w:p>
            <w:pPr>
              <w:widowControl/>
              <w:spacing w:line="360" w:lineRule="auto"/>
              <w:jc w:val="left"/>
              <w:rPr>
                <w:rFonts w:ascii="宋体" w:hAnsi="宋体" w:eastAsia="宋体" w:cs="宋体"/>
                <w:kern w:val="0"/>
                <w:sz w:val="24"/>
                <w:szCs w:val="21"/>
              </w:rPr>
            </w:pPr>
          </w:p>
        </w:tc>
        <w:tc>
          <w:tcPr>
            <w:tcW w:w="1440"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联系电话</w:t>
            </w:r>
          </w:p>
        </w:tc>
        <w:tc>
          <w:tcPr>
            <w:tcW w:w="3523" w:type="dxa"/>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开 户 银 行</w:t>
            </w:r>
          </w:p>
        </w:tc>
        <w:tc>
          <w:tcPr>
            <w:tcW w:w="7123" w:type="dxa"/>
            <w:gridSpan w:val="3"/>
            <w:vAlign w:val="center"/>
          </w:tcPr>
          <w:p>
            <w:pPr>
              <w:widowControl/>
              <w:spacing w:line="360" w:lineRule="auto"/>
              <w:jc w:val="left"/>
              <w:rPr>
                <w:rFonts w:ascii="宋体" w:hAnsi="宋体" w:eastAsia="宋体" w:cs="Arial"/>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帐  号</w:t>
            </w:r>
          </w:p>
        </w:tc>
        <w:tc>
          <w:tcPr>
            <w:tcW w:w="7123" w:type="dxa"/>
            <w:gridSpan w:val="3"/>
            <w:vAlign w:val="center"/>
          </w:tcPr>
          <w:p>
            <w:pPr>
              <w:widowControl/>
              <w:spacing w:line="360" w:lineRule="auto"/>
              <w:jc w:val="left"/>
              <w:rPr>
                <w:rFonts w:ascii="宋体" w:hAnsi="宋体" w:eastAsia="宋体" w:cs="Arial"/>
                <w:kern w:val="0"/>
                <w:sz w:val="24"/>
                <w:szCs w:val="21"/>
              </w:rPr>
            </w:pPr>
          </w:p>
        </w:tc>
      </w:tr>
    </w:tbl>
    <w:p>
      <w:pPr>
        <w:spacing w:before="100" w:beforeAutospacing="1" w:after="100" w:afterAutospacing="1" w:line="360" w:lineRule="auto"/>
        <w:ind w:firstLine="3329"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29"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29"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tbl>
      <w:tblPr>
        <w:tblStyle w:val="19"/>
        <w:tblW w:w="954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9" w:hRule="exact"/>
        </w:trPr>
        <w:tc>
          <w:tcPr>
            <w:tcW w:w="9547" w:type="dxa"/>
          </w:tcPr>
          <w:p>
            <w:pPr>
              <w:spacing w:line="360" w:lineRule="auto"/>
              <w:rPr>
                <w:rFonts w:ascii="宋体" w:hAnsi="宋体" w:eastAsia="宋体" w:cs="Times New Roman"/>
                <w:sz w:val="24"/>
                <w:szCs w:val="24"/>
              </w:rPr>
            </w:pPr>
            <w:r>
              <w:rPr>
                <w:rFonts w:hint="eastAsia" w:ascii="宋体" w:hAnsi="宋体" w:eastAsia="宋体" w:cs="Times New Roman"/>
                <w:sz w:val="24"/>
                <w:szCs w:val="24"/>
              </w:rPr>
              <w:t>粘贴转帐、电汇或网上银行凭证（清晰影印件）</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11" w:leftChars="38" w:hanging="31" w:hangingChars="13"/>
              <w:rPr>
                <w:rFonts w:ascii="宋体" w:hAnsi="宋体" w:eastAsia="宋体" w:cs="Times New Roman"/>
                <w:b/>
                <w:sz w:val="24"/>
                <w:szCs w:val="20"/>
                <w:lang w:val="zh-CN"/>
              </w:rPr>
            </w:pPr>
            <w:r>
              <w:rPr>
                <w:rFonts w:hint="eastAsia" w:ascii="宋体" w:hAnsi="宋体" w:eastAsia="宋体" w:cs="Times New Roman"/>
                <w:sz w:val="24"/>
                <w:szCs w:val="20"/>
                <w:lang w:val="zh-CN"/>
              </w:rPr>
              <w:t>注：在交款凭证备注中说明项目编号及开标时间</w:t>
            </w:r>
          </w:p>
        </w:tc>
      </w:tr>
    </w:tbl>
    <w:p>
      <w:pPr>
        <w:spacing w:line="360" w:lineRule="auto"/>
        <w:ind w:left="725" w:hanging="723" w:hangingChars="300"/>
        <w:jc w:val="left"/>
        <w:rPr>
          <w:rFonts w:ascii="宋体" w:hAnsi="宋体" w:eastAsia="宋体" w:cs="Times New Roman"/>
          <w:sz w:val="24"/>
          <w:szCs w:val="24"/>
        </w:rPr>
      </w:pPr>
      <w:r>
        <w:rPr>
          <w:rFonts w:hint="eastAsia" w:ascii="宋体" w:hAnsi="宋体" w:eastAsia="宋体" w:cs="Times New Roman"/>
          <w:sz w:val="24"/>
          <w:szCs w:val="24"/>
        </w:rPr>
        <w:t>说明：投标人应认真填写银行信息，与转帐或电汇银行凭证的相关信息一致，集中采购机构将依据此凭证信息查退投标保证金。</w:t>
      </w:r>
    </w:p>
    <w:p>
      <w:r>
        <w:br w:type="page"/>
      </w:r>
    </w:p>
    <w:p>
      <w:pPr>
        <w:pStyle w:val="5"/>
        <w:numPr>
          <w:ilvl w:val="0"/>
          <w:numId w:val="64"/>
        </w:numPr>
        <w:spacing w:before="100" w:beforeAutospacing="1" w:afterLines="50" w:line="360" w:lineRule="auto"/>
        <w:ind w:left="1288" w:hanging="1288"/>
        <w:rPr>
          <w:rFonts w:ascii="宋体" w:hAnsi="宋体" w:eastAsia="宋体"/>
        </w:rPr>
      </w:pPr>
      <w:bookmarkStart w:id="165" w:name="_Toc494665960"/>
      <w:bookmarkStart w:id="166" w:name="_Toc494665010"/>
      <w:bookmarkStart w:id="167" w:name="_Toc236473303"/>
      <w:bookmarkStart w:id="168" w:name="_Toc238276247"/>
      <w:bookmarkStart w:id="169" w:name="_Toc494702280"/>
      <w:bookmarkStart w:id="170" w:name="_Toc494745327"/>
      <w:bookmarkStart w:id="171" w:name="_Toc494721110"/>
      <w:bookmarkStart w:id="172" w:name="_Toc494665563"/>
      <w:bookmarkStart w:id="173" w:name="_Toc20206"/>
      <w:r>
        <w:rPr>
          <w:rFonts w:hint="eastAsia" w:ascii="宋体" w:hAnsi="宋体" w:eastAsia="宋体"/>
        </w:rPr>
        <w:t>法定代表人授权书</w:t>
      </w:r>
      <w:bookmarkEnd w:id="165"/>
      <w:bookmarkEnd w:id="166"/>
      <w:bookmarkEnd w:id="167"/>
      <w:bookmarkEnd w:id="168"/>
      <w:bookmarkEnd w:id="169"/>
      <w:bookmarkEnd w:id="170"/>
      <w:bookmarkEnd w:id="171"/>
      <w:bookmarkEnd w:id="172"/>
      <w:bookmarkEnd w:id="173"/>
    </w:p>
    <w:p>
      <w:pPr>
        <w:spacing w:line="480" w:lineRule="auto"/>
        <w:rPr>
          <w:rFonts w:ascii="宋体" w:hAnsi="宋体" w:eastAsia="宋体" w:cs="Times New Roman"/>
          <w:b/>
          <w:sz w:val="24"/>
          <w:szCs w:val="24"/>
        </w:rPr>
      </w:pPr>
      <w:r>
        <w:rPr>
          <w:rFonts w:hint="eastAsia" w:ascii="宋体" w:hAnsi="宋体" w:cs="Courier New"/>
          <w:b/>
          <w:sz w:val="28"/>
          <w:szCs w:val="28"/>
          <w:lang w:eastAsia="zh-CN"/>
        </w:rPr>
        <w:t>阳新县公共资源交易中心</w:t>
      </w:r>
      <w:r>
        <w:rPr>
          <w:rFonts w:hint="eastAsia" w:ascii="宋体" w:hAnsi="宋体" w:cs="Courier New"/>
          <w:b/>
          <w:sz w:val="28"/>
          <w:szCs w:val="28"/>
        </w:rPr>
        <w:t>：</w:t>
      </w:r>
    </w:p>
    <w:p>
      <w:pPr>
        <w:spacing w:line="360" w:lineRule="auto"/>
        <w:ind w:firstLine="482" w:firstLineChars="200"/>
        <w:rPr>
          <w:rFonts w:ascii="宋体" w:hAnsi="宋体" w:eastAsia="宋体" w:cs="Times New Roman"/>
          <w:sz w:val="24"/>
          <w:szCs w:val="24"/>
        </w:rPr>
      </w:pPr>
      <w:r>
        <w:rPr>
          <w:rFonts w:hint="eastAsia" w:ascii="宋体" w:hAnsi="宋体" w:eastAsia="宋体" w:cs="Times New Roman"/>
          <w:sz w:val="24"/>
          <w:szCs w:val="24"/>
        </w:rPr>
        <w:t>兹授权同志为我单位参加贵方组织的</w:t>
      </w:r>
      <w:r>
        <w:rPr>
          <w:rFonts w:hint="eastAsia" w:ascii="Times New Roman" w:hAnsi="宋体" w:eastAsia="宋体" w:cs="Times New Roman"/>
          <w:color w:val="0D0D0D"/>
          <w:sz w:val="24"/>
          <w:szCs w:val="24"/>
        </w:rPr>
        <w:t>项目（项目编号：_____</w:t>
      </w:r>
      <w:r>
        <w:rPr>
          <w:rFonts w:hint="eastAsia" w:ascii="Times New Roman" w:hAnsi="宋体" w:eastAsia="宋体" w:cs="Times New Roman"/>
          <w:sz w:val="24"/>
          <w:szCs w:val="24"/>
        </w:rPr>
        <w:t>_）</w:t>
      </w:r>
      <w:r>
        <w:rPr>
          <w:rFonts w:hint="eastAsia" w:ascii="宋体" w:hAnsi="宋体" w:eastAsia="宋体" w:cs="Times New Roman"/>
          <w:sz w:val="24"/>
          <w:szCs w:val="24"/>
        </w:rPr>
        <w:t xml:space="preserve">采购活动的投标人授权代表，全权代表我公司处理在项目采购活动中的一切事宜。代理期限从年月日起至年月日止。 </w:t>
      </w:r>
    </w:p>
    <w:p>
      <w:pPr>
        <w:spacing w:line="360" w:lineRule="auto"/>
        <w:ind w:firstLine="542" w:firstLineChars="225"/>
        <w:rPr>
          <w:rFonts w:ascii="宋体" w:hAnsi="宋体" w:eastAsia="宋体" w:cs="Times New Roman"/>
          <w:sz w:val="24"/>
          <w:szCs w:val="24"/>
        </w:rPr>
      </w:pPr>
      <w:r>
        <w:rPr>
          <w:rFonts w:hint="eastAsia" w:ascii="宋体" w:hAnsi="宋体" w:eastAsia="宋体" w:cs="Times New Roman"/>
          <w:sz w:val="24"/>
          <w:szCs w:val="24"/>
        </w:rPr>
        <w:t>被授权代表无转委托权。</w:t>
      </w:r>
    </w:p>
    <w:p>
      <w:pPr>
        <w:spacing w:line="360" w:lineRule="auto"/>
        <w:ind w:firstLine="542" w:firstLineChars="225"/>
        <w:rPr>
          <w:rFonts w:ascii="宋体" w:hAnsi="宋体" w:eastAsia="宋体" w:cs="Times New Roman"/>
          <w:sz w:val="24"/>
          <w:szCs w:val="24"/>
        </w:rPr>
      </w:pPr>
    </w:p>
    <w:p>
      <w:pPr>
        <w:spacing w:before="100" w:beforeAutospacing="1" w:after="100" w:afterAutospacing="1" w:line="360" w:lineRule="auto"/>
        <w:ind w:firstLine="3329" w:firstLineChars="1382"/>
        <w:rPr>
          <w:rFonts w:hAnsi="宋体"/>
          <w:b/>
          <w:bCs/>
          <w:sz w:val="24"/>
          <w:u w:val="single"/>
        </w:rPr>
      </w:pPr>
      <w:r>
        <w:rPr>
          <w:rFonts w:hint="eastAsia" w:hAnsi="宋体"/>
          <w:b/>
          <w:bCs/>
          <w:sz w:val="24"/>
        </w:rPr>
        <w:t>授权单位（公章）：</w:t>
      </w:r>
    </w:p>
    <w:p>
      <w:pPr>
        <w:spacing w:before="100" w:beforeAutospacing="1" w:after="100" w:afterAutospacing="1" w:line="360" w:lineRule="auto"/>
        <w:ind w:firstLine="3329" w:firstLineChars="1382"/>
        <w:rPr>
          <w:rFonts w:hAnsi="宋体"/>
          <w:b/>
          <w:bCs/>
          <w:sz w:val="24"/>
          <w:u w:val="single"/>
        </w:rPr>
      </w:pPr>
      <w:r>
        <w:rPr>
          <w:rFonts w:hint="eastAsia" w:ascii="宋体" w:hAnsi="宋体" w:eastAsia="宋体" w:cs="Times New Roman"/>
          <w:b/>
          <w:bCs/>
          <w:sz w:val="24"/>
          <w:szCs w:val="21"/>
          <w:lang w:val="zh-CN"/>
        </w:rPr>
        <w:t>法定代表人（签字或盖章）</w:t>
      </w:r>
      <w:r>
        <w:rPr>
          <w:rFonts w:hint="eastAsia" w:hAnsi="宋体"/>
          <w:b/>
          <w:bCs/>
          <w:sz w:val="24"/>
        </w:rPr>
        <w:t>：</w:t>
      </w:r>
    </w:p>
    <w:p>
      <w:pPr>
        <w:spacing w:before="100" w:beforeAutospacing="1" w:after="100" w:afterAutospacing="1" w:line="360" w:lineRule="auto"/>
        <w:ind w:firstLine="3329" w:firstLineChars="1382"/>
        <w:rPr>
          <w:rFonts w:hAnsi="宋体"/>
          <w:b/>
          <w:bCs/>
          <w:sz w:val="24"/>
          <w:u w:val="single"/>
        </w:rPr>
      </w:pPr>
      <w:r>
        <w:rPr>
          <w:rFonts w:hint="eastAsia" w:ascii="宋体" w:hAnsi="宋体" w:eastAsia="宋体" w:cs="Times New Roman"/>
          <w:b/>
          <w:sz w:val="24"/>
          <w:szCs w:val="21"/>
          <w:lang w:val="zh-CN"/>
        </w:rPr>
        <w:t>签发日期：年月日</w:t>
      </w:r>
    </w:p>
    <w:p>
      <w:pPr>
        <w:spacing w:line="360" w:lineRule="auto"/>
        <w:rPr>
          <w:rFonts w:ascii="宋体" w:hAnsi="宋体" w:eastAsia="宋体" w:cs="Times New Roman"/>
          <w:sz w:val="24"/>
          <w:szCs w:val="24"/>
        </w:rPr>
      </w:pPr>
      <w:r>
        <w:rPr>
          <w:rFonts w:hint="eastAsia" w:ascii="宋体" w:hAnsi="宋体" w:eastAsia="宋体" w:cs="Times New Roman"/>
          <w:sz w:val="24"/>
          <w:szCs w:val="24"/>
        </w:rPr>
        <w:t>附：</w:t>
      </w:r>
    </w:p>
    <w:p>
      <w:pPr>
        <w:spacing w:line="360" w:lineRule="auto"/>
        <w:ind w:firstLine="482" w:firstLineChars="200"/>
        <w:rPr>
          <w:rFonts w:ascii="宋体" w:hAnsi="宋体" w:eastAsia="宋体" w:cs="Times New Roman"/>
          <w:sz w:val="24"/>
          <w:szCs w:val="24"/>
        </w:rPr>
      </w:pPr>
      <w:r>
        <w:rPr>
          <w:rFonts w:hint="eastAsia" w:ascii="宋体" w:hAnsi="宋体" w:eastAsia="宋体" w:cs="Times New Roman"/>
          <w:sz w:val="24"/>
          <w:szCs w:val="24"/>
        </w:rPr>
        <w:t>投标人授权代表单位名称：</w:t>
      </w:r>
    </w:p>
    <w:p>
      <w:pPr>
        <w:spacing w:line="360" w:lineRule="auto"/>
        <w:ind w:firstLine="482" w:firstLineChars="200"/>
        <w:rPr>
          <w:rFonts w:ascii="宋体" w:hAnsi="宋体" w:eastAsia="宋体" w:cs="Times New Roman"/>
          <w:sz w:val="24"/>
          <w:szCs w:val="24"/>
        </w:rPr>
      </w:pPr>
      <w:r>
        <w:rPr>
          <w:rFonts w:hint="eastAsia" w:ascii="宋体" w:hAnsi="宋体" w:eastAsia="宋体" w:cs="Times New Roman"/>
          <w:sz w:val="24"/>
          <w:szCs w:val="24"/>
        </w:rPr>
        <w:t>职务： 性别：</w:t>
      </w:r>
    </w:p>
    <w:p>
      <w:pPr>
        <w:spacing w:line="360" w:lineRule="auto"/>
        <w:ind w:firstLine="482" w:firstLineChars="200"/>
        <w:rPr>
          <w:rFonts w:ascii="宋体" w:hAnsi="宋体" w:eastAsia="宋体" w:cs="Times New Roman"/>
          <w:sz w:val="24"/>
          <w:szCs w:val="24"/>
          <w:u w:val="single"/>
        </w:rPr>
      </w:pPr>
      <w:r>
        <w:rPr>
          <w:rFonts w:hint="eastAsia" w:ascii="宋体" w:hAnsi="宋体" w:eastAsia="宋体" w:cs="Times New Roman"/>
          <w:sz w:val="24"/>
          <w:szCs w:val="24"/>
        </w:rPr>
        <w:t>身份证号码：</w:t>
      </w:r>
    </w:p>
    <w:p>
      <w:pPr>
        <w:spacing w:line="360" w:lineRule="auto"/>
        <w:ind w:firstLine="482" w:firstLineChars="200"/>
        <w:rPr>
          <w:rFonts w:ascii="宋体" w:hAnsi="宋体" w:eastAsia="宋体" w:cs="Times New Roman"/>
          <w:sz w:val="24"/>
          <w:szCs w:val="24"/>
        </w:rPr>
      </w:pPr>
      <w:r>
        <w:rPr>
          <w:rFonts w:hint="eastAsia" w:ascii="宋体" w:hAnsi="宋体" w:eastAsia="宋体" w:cs="Times New Roman"/>
          <w:sz w:val="24"/>
          <w:szCs w:val="24"/>
        </w:rPr>
        <w:t>电话：</w:t>
      </w:r>
    </w:p>
    <w:tbl>
      <w:tblPr>
        <w:tblStyle w:val="19"/>
        <w:tblW w:w="9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hAnsi="宋体" w:eastAsia="宋体" w:cs="Times New Roman"/>
                <w:sz w:val="24"/>
                <w:szCs w:val="24"/>
              </w:rPr>
            </w:pPr>
            <w:r>
              <w:rPr>
                <w:rFonts w:hint="eastAsia" w:ascii="宋体" w:hAnsi="宋体" w:eastAsia="宋体" w:cs="Times New Roman"/>
                <w:sz w:val="24"/>
                <w:szCs w:val="24"/>
              </w:rPr>
              <w:t>粘贴被授权人身份证（清晰影印件）</w:t>
            </w:r>
          </w:p>
        </w:tc>
      </w:tr>
    </w:tbl>
    <w:p>
      <w:r>
        <w:br w:type="page"/>
      </w:r>
    </w:p>
    <w:p>
      <w:pPr>
        <w:pStyle w:val="5"/>
        <w:numPr>
          <w:ilvl w:val="0"/>
          <w:numId w:val="64"/>
        </w:numPr>
        <w:spacing w:before="100" w:beforeAutospacing="1" w:afterLines="50" w:line="360" w:lineRule="auto"/>
        <w:ind w:left="1610" w:hanging="1610"/>
        <w:rPr>
          <w:rFonts w:ascii="宋体" w:hAnsi="宋体" w:eastAsia="宋体"/>
        </w:rPr>
      </w:pPr>
      <w:bookmarkStart w:id="174" w:name="_Toc494745328"/>
      <w:bookmarkStart w:id="175" w:name="_Toc494702281"/>
      <w:bookmarkStart w:id="176" w:name="_Toc238276248"/>
      <w:bookmarkStart w:id="177" w:name="_Toc494721111"/>
      <w:bookmarkStart w:id="178" w:name="_Toc494665961"/>
      <w:bookmarkStart w:id="179" w:name="_Toc494665011"/>
      <w:bookmarkStart w:id="180" w:name="_Toc494665564"/>
      <w:bookmarkStart w:id="181" w:name="_Toc236473304"/>
      <w:bookmarkStart w:id="182" w:name="_Toc23629"/>
      <w:r>
        <w:rPr>
          <w:rFonts w:hint="eastAsia" w:ascii="宋体" w:hAnsi="宋体" w:eastAsia="宋体"/>
        </w:rPr>
        <w:t>投标人的资格声明</w:t>
      </w:r>
      <w:bookmarkEnd w:id="174"/>
      <w:bookmarkEnd w:id="175"/>
      <w:bookmarkEnd w:id="176"/>
      <w:bookmarkEnd w:id="177"/>
      <w:bookmarkEnd w:id="178"/>
      <w:bookmarkEnd w:id="179"/>
      <w:bookmarkEnd w:id="180"/>
      <w:bookmarkEnd w:id="181"/>
      <w:bookmarkEnd w:id="182"/>
    </w:p>
    <w:p>
      <w:pPr>
        <w:spacing w:line="360" w:lineRule="auto"/>
        <w:ind w:left="1085" w:hanging="1081" w:hangingChars="449"/>
        <w:jc w:val="left"/>
        <w:rPr>
          <w:rFonts w:ascii="宋体" w:hAnsi="宋体" w:eastAsia="宋体" w:cs="Times New Roman"/>
          <w:sz w:val="24"/>
          <w:szCs w:val="24"/>
        </w:rPr>
      </w:pPr>
      <w:r>
        <w:rPr>
          <w:rFonts w:hint="eastAsia" w:ascii="宋体" w:hAnsi="宋体" w:eastAsia="宋体" w:cs="Times New Roman"/>
          <w:sz w:val="24"/>
          <w:szCs w:val="24"/>
        </w:rPr>
        <w:t>1．名称及基本情况：</w:t>
      </w:r>
    </w:p>
    <w:p>
      <w:pPr>
        <w:spacing w:line="360" w:lineRule="exact"/>
        <w:ind w:firstLine="241" w:firstLineChars="100"/>
        <w:rPr>
          <w:rFonts w:ascii="宋体" w:hAnsi="宋体" w:eastAsia="宋体" w:cs="Times New Roman"/>
          <w:sz w:val="24"/>
          <w:szCs w:val="24"/>
        </w:rPr>
      </w:pPr>
      <w:r>
        <w:rPr>
          <w:rFonts w:hint="eastAsia" w:ascii="宋体" w:hAnsi="宋体" w:eastAsia="宋体" w:cs="Times New Roman"/>
          <w:sz w:val="24"/>
          <w:szCs w:val="24"/>
        </w:rPr>
        <w:t>（1）投标人：</w:t>
      </w:r>
    </w:p>
    <w:p>
      <w:pPr>
        <w:spacing w:line="360" w:lineRule="exact"/>
        <w:ind w:firstLine="241" w:firstLineChars="100"/>
        <w:rPr>
          <w:rFonts w:ascii="宋体" w:hAnsi="宋体" w:eastAsia="宋体" w:cs="Times New Roman"/>
          <w:sz w:val="24"/>
          <w:szCs w:val="24"/>
        </w:rPr>
      </w:pPr>
      <w:r>
        <w:rPr>
          <w:rFonts w:hint="eastAsia" w:ascii="宋体" w:hAnsi="宋体" w:eastAsia="宋体" w:cs="Times New Roman"/>
          <w:sz w:val="24"/>
          <w:szCs w:val="24"/>
        </w:rPr>
        <w:t>（2）地址：     邮编：</w:t>
      </w:r>
    </w:p>
    <w:p>
      <w:pPr>
        <w:spacing w:line="360" w:lineRule="exact"/>
        <w:ind w:firstLine="843" w:firstLineChars="350"/>
        <w:rPr>
          <w:rFonts w:ascii="宋体" w:hAnsi="宋体" w:eastAsia="宋体" w:cs="Times New Roman"/>
          <w:sz w:val="24"/>
          <w:szCs w:val="24"/>
          <w:u w:val="single"/>
        </w:rPr>
      </w:pPr>
      <w:r>
        <w:rPr>
          <w:rFonts w:hint="eastAsia" w:ascii="宋体" w:hAnsi="宋体" w:eastAsia="宋体" w:cs="Times New Roman"/>
          <w:sz w:val="24"/>
          <w:szCs w:val="24"/>
        </w:rPr>
        <w:t>电话：     传真：</w:t>
      </w:r>
    </w:p>
    <w:p>
      <w:pPr>
        <w:spacing w:line="360" w:lineRule="exact"/>
        <w:ind w:firstLine="241" w:firstLineChars="100"/>
        <w:rPr>
          <w:rFonts w:ascii="宋体" w:hAnsi="宋体" w:eastAsia="宋体" w:cs="Times New Roman"/>
          <w:sz w:val="24"/>
          <w:szCs w:val="24"/>
        </w:rPr>
      </w:pPr>
      <w:r>
        <w:rPr>
          <w:rFonts w:hint="eastAsia" w:ascii="宋体" w:hAnsi="宋体" w:eastAsia="宋体" w:cs="Times New Roman"/>
          <w:sz w:val="24"/>
          <w:szCs w:val="24"/>
        </w:rPr>
        <w:t>（3）成立或注册日期：</w:t>
      </w:r>
    </w:p>
    <w:p>
      <w:pPr>
        <w:spacing w:line="360" w:lineRule="exact"/>
        <w:ind w:firstLine="241" w:firstLineChars="100"/>
        <w:rPr>
          <w:rFonts w:ascii="宋体" w:hAnsi="宋体" w:eastAsia="宋体" w:cs="Times New Roman"/>
          <w:sz w:val="24"/>
          <w:szCs w:val="24"/>
        </w:rPr>
      </w:pPr>
      <w:r>
        <w:rPr>
          <w:rFonts w:hint="eastAsia" w:ascii="宋体" w:hAnsi="宋体" w:eastAsia="宋体" w:cs="Times New Roman"/>
          <w:sz w:val="24"/>
          <w:szCs w:val="24"/>
        </w:rPr>
        <w:t>（4）单位性质：</w:t>
      </w:r>
    </w:p>
    <w:p>
      <w:pPr>
        <w:spacing w:line="360" w:lineRule="exact"/>
        <w:ind w:firstLine="241" w:firstLineChars="100"/>
        <w:rPr>
          <w:rFonts w:ascii="宋体" w:hAnsi="宋体" w:eastAsia="宋体" w:cs="Times New Roman"/>
          <w:sz w:val="24"/>
          <w:szCs w:val="24"/>
        </w:rPr>
      </w:pPr>
      <w:r>
        <w:rPr>
          <w:rFonts w:hint="eastAsia" w:ascii="宋体" w:hAnsi="宋体" w:eastAsia="宋体" w:cs="Times New Roman"/>
          <w:sz w:val="24"/>
          <w:szCs w:val="24"/>
        </w:rPr>
        <w:t>（5）法定代表人或主要负责人：</w:t>
      </w:r>
    </w:p>
    <w:p>
      <w:pPr>
        <w:spacing w:line="360" w:lineRule="exact"/>
        <w:ind w:firstLine="241" w:firstLineChars="100"/>
        <w:rPr>
          <w:rFonts w:ascii="宋体" w:hAnsi="宋体" w:eastAsia="宋体" w:cs="Times New Roman"/>
          <w:sz w:val="24"/>
          <w:szCs w:val="24"/>
        </w:rPr>
      </w:pPr>
      <w:r>
        <w:rPr>
          <w:rFonts w:hint="eastAsia" w:ascii="宋体" w:hAnsi="宋体" w:eastAsia="宋体" w:cs="Times New Roman"/>
          <w:sz w:val="24"/>
          <w:szCs w:val="24"/>
        </w:rPr>
        <w:t>（6）员工人数：</w:t>
      </w:r>
    </w:p>
    <w:p>
      <w:pPr>
        <w:spacing w:line="360" w:lineRule="exact"/>
        <w:ind w:firstLine="241" w:firstLineChars="100"/>
        <w:rPr>
          <w:rFonts w:ascii="宋体" w:hAnsi="宋体" w:eastAsia="宋体" w:cs="Times New Roman"/>
          <w:sz w:val="24"/>
          <w:szCs w:val="24"/>
        </w:rPr>
      </w:pPr>
      <w:r>
        <w:rPr>
          <w:rFonts w:hint="eastAsia" w:ascii="宋体" w:hAnsi="宋体" w:eastAsia="宋体" w:cs="Times New Roman"/>
          <w:sz w:val="24"/>
          <w:szCs w:val="24"/>
        </w:rPr>
        <w:t>（7）注册资本：</w:t>
      </w:r>
    </w:p>
    <w:p>
      <w:pPr>
        <w:spacing w:line="360" w:lineRule="exact"/>
        <w:ind w:firstLine="241" w:firstLineChars="100"/>
        <w:rPr>
          <w:rFonts w:ascii="宋体" w:hAnsi="宋体" w:eastAsia="宋体" w:cs="Times New Roman"/>
          <w:sz w:val="24"/>
          <w:szCs w:val="24"/>
        </w:rPr>
      </w:pPr>
      <w:r>
        <w:rPr>
          <w:rFonts w:hint="eastAsia" w:ascii="宋体" w:hAnsi="宋体" w:eastAsia="宋体" w:cs="Times New Roman"/>
          <w:sz w:val="24"/>
          <w:szCs w:val="24"/>
        </w:rPr>
        <w:t>（8）实收资本：</w:t>
      </w:r>
    </w:p>
    <w:p>
      <w:pPr>
        <w:spacing w:line="360" w:lineRule="exact"/>
        <w:ind w:firstLine="241" w:firstLineChars="100"/>
        <w:rPr>
          <w:rFonts w:ascii="宋体" w:hAnsi="宋体" w:eastAsia="宋体" w:cs="Times New Roman"/>
          <w:sz w:val="24"/>
          <w:szCs w:val="24"/>
        </w:rPr>
      </w:pPr>
      <w:r>
        <w:rPr>
          <w:rFonts w:hint="eastAsia" w:ascii="宋体" w:hAnsi="宋体" w:eastAsia="宋体" w:cs="Times New Roman"/>
          <w:sz w:val="24"/>
          <w:szCs w:val="24"/>
        </w:rPr>
        <w:t>（9）上年末资产负债表：</w:t>
      </w:r>
    </w:p>
    <w:p>
      <w:pPr>
        <w:spacing w:line="360" w:lineRule="exact"/>
        <w:ind w:firstLine="730" w:firstLineChars="303"/>
        <w:rPr>
          <w:rFonts w:ascii="宋体" w:hAnsi="宋体" w:eastAsia="宋体" w:cs="Times New Roman"/>
          <w:sz w:val="24"/>
          <w:szCs w:val="24"/>
        </w:rPr>
      </w:pPr>
      <w:r>
        <w:rPr>
          <w:rFonts w:hint="eastAsia" w:ascii="宋体" w:hAnsi="宋体" w:eastAsia="宋体" w:cs="Times New Roman"/>
          <w:sz w:val="24"/>
          <w:szCs w:val="24"/>
        </w:rPr>
        <w:t>1）固定资产</w:t>
      </w:r>
    </w:p>
    <w:p>
      <w:pPr>
        <w:spacing w:line="360" w:lineRule="exact"/>
        <w:ind w:firstLine="730" w:firstLineChars="303"/>
        <w:rPr>
          <w:rFonts w:ascii="宋体" w:hAnsi="宋体" w:eastAsia="宋体" w:cs="Times New Roman"/>
          <w:sz w:val="24"/>
          <w:szCs w:val="24"/>
        </w:rPr>
      </w:pPr>
      <w:r>
        <w:rPr>
          <w:rFonts w:hint="eastAsia" w:ascii="宋体" w:hAnsi="宋体" w:eastAsia="宋体" w:cs="Times New Roman"/>
          <w:sz w:val="24"/>
          <w:szCs w:val="24"/>
        </w:rPr>
        <w:t xml:space="preserve">原   值：    净   值： </w:t>
      </w:r>
    </w:p>
    <w:p>
      <w:pPr>
        <w:spacing w:line="360" w:lineRule="exact"/>
        <w:ind w:firstLine="730" w:firstLineChars="303"/>
        <w:rPr>
          <w:rFonts w:ascii="宋体" w:hAnsi="宋体" w:eastAsia="宋体" w:cs="Times New Roman"/>
          <w:sz w:val="24"/>
          <w:szCs w:val="24"/>
        </w:rPr>
      </w:pPr>
      <w:r>
        <w:rPr>
          <w:rFonts w:hint="eastAsia" w:ascii="宋体" w:hAnsi="宋体" w:eastAsia="宋体" w:cs="Times New Roman"/>
          <w:sz w:val="24"/>
          <w:szCs w:val="24"/>
        </w:rPr>
        <w:t>2）流动资金：</w:t>
      </w:r>
    </w:p>
    <w:p>
      <w:pPr>
        <w:spacing w:line="360" w:lineRule="exact"/>
        <w:ind w:firstLine="730" w:firstLineChars="303"/>
        <w:rPr>
          <w:rFonts w:ascii="宋体" w:hAnsi="宋体" w:eastAsia="宋体" w:cs="Times New Roman"/>
          <w:sz w:val="24"/>
          <w:szCs w:val="24"/>
        </w:rPr>
      </w:pPr>
      <w:r>
        <w:rPr>
          <w:rFonts w:hint="eastAsia" w:ascii="宋体" w:hAnsi="宋体" w:eastAsia="宋体" w:cs="Times New Roman"/>
          <w:sz w:val="24"/>
          <w:szCs w:val="24"/>
        </w:rPr>
        <w:t>3）长期负债：</w:t>
      </w:r>
    </w:p>
    <w:p>
      <w:pPr>
        <w:spacing w:line="360" w:lineRule="exact"/>
        <w:ind w:firstLine="730" w:firstLineChars="303"/>
        <w:rPr>
          <w:rFonts w:ascii="宋体" w:hAnsi="宋体" w:eastAsia="宋体" w:cs="Times New Roman"/>
          <w:sz w:val="24"/>
          <w:szCs w:val="24"/>
        </w:rPr>
      </w:pPr>
      <w:r>
        <w:rPr>
          <w:rFonts w:hint="eastAsia" w:ascii="宋体" w:hAnsi="宋体" w:eastAsia="宋体" w:cs="Times New Roman"/>
          <w:sz w:val="24"/>
          <w:szCs w:val="24"/>
        </w:rPr>
        <w:t>4）短期负债：</w:t>
      </w:r>
    </w:p>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2．与投标货物的生产、销售和服务有关的情况： </w:t>
      </w:r>
    </w:p>
    <w:p>
      <w:pPr>
        <w:spacing w:line="360" w:lineRule="exact"/>
        <w:ind w:firstLine="241" w:firstLineChars="100"/>
        <w:rPr>
          <w:rFonts w:ascii="宋体" w:hAnsi="宋体" w:eastAsia="宋体" w:cs="Times New Roman"/>
          <w:sz w:val="24"/>
          <w:szCs w:val="24"/>
        </w:rPr>
      </w:pPr>
      <w:r>
        <w:rPr>
          <w:rFonts w:hint="eastAsia" w:ascii="宋体" w:hAnsi="宋体" w:eastAsia="宋体" w:cs="Times New Roman"/>
          <w:sz w:val="24"/>
          <w:szCs w:val="24"/>
        </w:rPr>
        <w:t>（1）关于制造投标货物的设施及其它情况：</w:t>
      </w:r>
    </w:p>
    <w:tbl>
      <w:tblPr>
        <w:tblStyle w:val="19"/>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ind w:firstLine="241" w:firstLineChars="100"/>
        <w:rPr>
          <w:rFonts w:ascii="宋体" w:hAnsi="宋体" w:eastAsia="宋体" w:cs="Times New Roman"/>
          <w:sz w:val="24"/>
          <w:szCs w:val="24"/>
        </w:rPr>
      </w:pPr>
      <w:r>
        <w:rPr>
          <w:rFonts w:hint="eastAsia" w:ascii="宋体" w:hAnsi="宋体" w:eastAsia="宋体" w:cs="Times New Roman"/>
          <w:sz w:val="24"/>
          <w:szCs w:val="24"/>
        </w:rPr>
        <w:t>（2）投标人生产此投标货物的经验（包括年限、项目业主、额定能力、商业运营的起始日期等）：</w:t>
      </w:r>
    </w:p>
    <w:p>
      <w:pPr>
        <w:spacing w:line="360" w:lineRule="exact"/>
        <w:ind w:firstLine="241" w:firstLineChars="100"/>
        <w:rPr>
          <w:rFonts w:ascii="宋体" w:hAnsi="宋体" w:eastAsia="宋体" w:cs="Times New Roman"/>
          <w:sz w:val="24"/>
          <w:szCs w:val="24"/>
        </w:rPr>
      </w:pPr>
      <w:r>
        <w:rPr>
          <w:rFonts w:hint="eastAsia" w:ascii="宋体" w:hAnsi="宋体" w:eastAsia="宋体" w:cs="Times New Roman"/>
          <w:sz w:val="24"/>
          <w:szCs w:val="24"/>
        </w:rPr>
        <w:t>（3）销售、服务网点分布（可另行附表）：</w:t>
      </w:r>
    </w:p>
    <w:tbl>
      <w:tblPr>
        <w:tblStyle w:val="19"/>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47"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3．投标人认为需要声明的其它情况：                         </w:t>
      </w:r>
    </w:p>
    <w:p>
      <w:pPr>
        <w:spacing w:line="360" w:lineRule="exact"/>
        <w:ind w:firstLine="476" w:firstLineChars="198"/>
        <w:rPr>
          <w:rFonts w:ascii="宋体" w:hAnsi="宋体" w:eastAsia="宋体" w:cs="Times New Roman"/>
          <w:sz w:val="24"/>
          <w:szCs w:val="24"/>
        </w:rPr>
      </w:pPr>
      <w:r>
        <w:rPr>
          <w:rFonts w:hint="eastAsia" w:ascii="宋体" w:hAnsi="宋体" w:eastAsia="宋体" w:cs="Times New Roman"/>
          <w:sz w:val="24"/>
          <w:szCs w:val="24"/>
        </w:rPr>
        <w:t xml:space="preserve">兹证明上述声明是真实的、正确，并提供了全部能提供的资料和数据，同意按照集中采购机构要求出示有关证明文件。                      </w:t>
      </w:r>
    </w:p>
    <w:p>
      <w:pPr>
        <w:spacing w:line="360" w:lineRule="auto"/>
        <w:ind w:left="506" w:leftChars="240"/>
        <w:rPr>
          <w:rFonts w:ascii="宋体" w:hAnsi="宋体" w:eastAsia="宋体" w:cs="Times New Roman"/>
          <w:b/>
          <w:sz w:val="24"/>
          <w:szCs w:val="24"/>
        </w:rPr>
      </w:pPr>
      <w:r>
        <w:rPr>
          <w:rFonts w:hint="eastAsia" w:ascii="宋体" w:hAnsi="宋体" w:eastAsia="宋体" w:cs="Times New Roman"/>
          <w:b/>
          <w:sz w:val="24"/>
          <w:szCs w:val="24"/>
        </w:rPr>
        <w:t>投标人</w:t>
      </w:r>
      <w:r>
        <w:rPr>
          <w:rFonts w:hint="eastAsia" w:ascii="Times New Roman" w:hAnsi="宋体" w:eastAsia="宋体" w:cs="Times New Roman"/>
          <w:b/>
          <w:sz w:val="24"/>
          <w:szCs w:val="24"/>
        </w:rPr>
        <w:t>（公章）</w:t>
      </w:r>
      <w:r>
        <w:rPr>
          <w:rFonts w:hint="eastAsia" w:ascii="宋体" w:hAnsi="宋体" w:eastAsia="宋体" w:cs="Times New Roman"/>
          <w:b/>
          <w:sz w:val="24"/>
          <w:szCs w:val="24"/>
        </w:rPr>
        <w:t>：</w:t>
      </w:r>
    </w:p>
    <w:p>
      <w:pPr>
        <w:spacing w:line="360" w:lineRule="auto"/>
        <w:ind w:left="506" w:leftChars="240"/>
        <w:rPr>
          <w:rFonts w:ascii="宋体" w:hAnsi="宋体" w:eastAsia="宋体" w:cs="Times New Roman"/>
          <w:b/>
          <w:sz w:val="24"/>
          <w:szCs w:val="24"/>
        </w:rPr>
      </w:pPr>
      <w:r>
        <w:rPr>
          <w:rFonts w:hint="eastAsia" w:ascii="Times New Roman" w:hAnsi="宋体" w:eastAsia="宋体" w:cs="Times New Roman"/>
          <w:b/>
          <w:sz w:val="24"/>
          <w:szCs w:val="24"/>
        </w:rPr>
        <w:t>法定代表人（签字或盖章）</w:t>
      </w:r>
      <w:r>
        <w:rPr>
          <w:rFonts w:hint="eastAsia" w:ascii="宋体" w:hAnsi="宋体" w:eastAsia="宋体" w:cs="Times New Roman"/>
          <w:b/>
          <w:sz w:val="24"/>
          <w:szCs w:val="24"/>
        </w:rPr>
        <w:t>：</w:t>
      </w:r>
    </w:p>
    <w:p>
      <w:pPr>
        <w:spacing w:line="360" w:lineRule="auto"/>
        <w:ind w:left="506" w:leftChars="240"/>
        <w:rPr>
          <w:rFonts w:ascii="宋体" w:hAnsi="宋体" w:eastAsia="宋体" w:cs="Times New Roman"/>
          <w:b/>
          <w:sz w:val="24"/>
          <w:szCs w:val="24"/>
        </w:rPr>
      </w:pPr>
      <w:r>
        <w:rPr>
          <w:rFonts w:hint="eastAsia" w:ascii="宋体" w:hAnsi="宋体" w:eastAsia="宋体" w:cs="Times New Roman"/>
          <w:b/>
          <w:sz w:val="24"/>
          <w:szCs w:val="24"/>
        </w:rPr>
        <w:t>电    话：</w:t>
      </w:r>
    </w:p>
    <w:p>
      <w:pPr>
        <w:spacing w:line="360" w:lineRule="auto"/>
        <w:ind w:left="506" w:leftChars="240"/>
        <w:rPr>
          <w:rFonts w:ascii="宋体" w:hAnsi="宋体" w:eastAsia="宋体" w:cs="Times New Roman"/>
          <w:b/>
          <w:sz w:val="24"/>
          <w:szCs w:val="24"/>
          <w:u w:val="single"/>
        </w:rPr>
      </w:pPr>
      <w:r>
        <w:rPr>
          <w:rFonts w:hint="eastAsia" w:ascii="宋体" w:hAnsi="宋体" w:eastAsia="宋体" w:cs="Times New Roman"/>
          <w:b/>
          <w:sz w:val="24"/>
          <w:szCs w:val="24"/>
        </w:rPr>
        <w:t>传    真：</w:t>
      </w:r>
    </w:p>
    <w:p>
      <w:pPr>
        <w:spacing w:line="360" w:lineRule="auto"/>
        <w:ind w:left="506" w:leftChars="240"/>
        <w:rPr>
          <w:rFonts w:ascii="宋体" w:hAnsi="宋体" w:eastAsia="宋体" w:cs="Times New Roman"/>
          <w:b/>
          <w:sz w:val="24"/>
          <w:szCs w:val="24"/>
        </w:rPr>
      </w:pPr>
      <w:r>
        <w:rPr>
          <w:rFonts w:hint="eastAsia" w:ascii="宋体" w:hAnsi="宋体" w:eastAsia="宋体" w:cs="Times New Roman"/>
          <w:b/>
          <w:sz w:val="24"/>
          <w:szCs w:val="24"/>
        </w:rPr>
        <w:t>日    期：年月 日</w:t>
      </w:r>
    </w:p>
    <w:p>
      <w:pPr>
        <w:pStyle w:val="5"/>
        <w:numPr>
          <w:ilvl w:val="0"/>
          <w:numId w:val="64"/>
        </w:numPr>
        <w:spacing w:before="100" w:beforeAutospacing="1" w:afterLines="50" w:line="360" w:lineRule="auto"/>
        <w:ind w:left="1610" w:hanging="1610"/>
        <w:rPr>
          <w:rFonts w:ascii="宋体" w:hAnsi="宋体" w:eastAsia="宋体"/>
        </w:rPr>
      </w:pPr>
      <w:bookmarkStart w:id="183" w:name="_Toc494665565"/>
      <w:bookmarkStart w:id="184" w:name="_Toc494665962"/>
      <w:bookmarkStart w:id="185" w:name="_Toc494721112"/>
      <w:bookmarkStart w:id="186" w:name="_Toc494665012"/>
      <w:bookmarkStart w:id="187" w:name="_Toc494702282"/>
      <w:bookmarkStart w:id="188" w:name="_Toc494745329"/>
      <w:bookmarkStart w:id="189" w:name="_Toc31126"/>
      <w:r>
        <w:rPr>
          <w:rFonts w:hint="eastAsia" w:ascii="宋体" w:hAnsi="宋体" w:eastAsia="宋体"/>
        </w:rPr>
        <w:t>项目负责人、技术负责人简历表</w:t>
      </w:r>
      <w:bookmarkEnd w:id="183"/>
      <w:bookmarkEnd w:id="184"/>
      <w:bookmarkEnd w:id="185"/>
      <w:bookmarkEnd w:id="186"/>
      <w:bookmarkEnd w:id="187"/>
      <w:bookmarkEnd w:id="188"/>
      <w:bookmarkEnd w:id="189"/>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3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姓    名</w:t>
            </w:r>
          </w:p>
        </w:tc>
        <w:tc>
          <w:tcPr>
            <w:tcW w:w="1530" w:type="dxa"/>
            <w:gridSpan w:val="2"/>
            <w:vAlign w:val="center"/>
          </w:tcPr>
          <w:p>
            <w:pPr>
              <w:autoSpaceDE w:val="0"/>
              <w:autoSpaceDN w:val="0"/>
              <w:adjustRightInd w:val="0"/>
              <w:spacing w:line="360" w:lineRule="auto"/>
              <w:ind w:right="286"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hAnsi="宋体" w:eastAsia="宋体" w:cs="Times New Roman"/>
                <w:kern w:val="0"/>
                <w:sz w:val="24"/>
                <w:szCs w:val="28"/>
              </w:rPr>
            </w:pPr>
            <w:r>
              <w:rPr>
                <w:rFonts w:hint="eastAsia" w:ascii="宋体" w:hAnsi="宋体" w:eastAsia="宋体" w:cs="Times New Roman"/>
                <w:kern w:val="0"/>
                <w:sz w:val="24"/>
                <w:szCs w:val="28"/>
              </w:rPr>
              <w:t>性    别</w:t>
            </w:r>
          </w:p>
        </w:tc>
        <w:tc>
          <w:tcPr>
            <w:tcW w:w="1530" w:type="dxa"/>
            <w:gridSpan w:val="2"/>
            <w:vAlign w:val="center"/>
          </w:tcPr>
          <w:p>
            <w:pPr>
              <w:autoSpaceDE w:val="0"/>
              <w:autoSpaceDN w:val="0"/>
              <w:adjustRightInd w:val="0"/>
              <w:spacing w:line="360" w:lineRule="auto"/>
              <w:ind w:right="286"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年    龄</w:t>
            </w:r>
          </w:p>
        </w:tc>
        <w:tc>
          <w:tcPr>
            <w:tcW w:w="1530" w:type="dxa"/>
            <w:vAlign w:val="center"/>
          </w:tcPr>
          <w:p>
            <w:pPr>
              <w:autoSpaceDE w:val="0"/>
              <w:autoSpaceDN w:val="0"/>
              <w:adjustRightInd w:val="0"/>
              <w:spacing w:line="360" w:lineRule="auto"/>
              <w:ind w:right="286"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职    务</w:t>
            </w:r>
          </w:p>
        </w:tc>
        <w:tc>
          <w:tcPr>
            <w:tcW w:w="1530" w:type="dxa"/>
            <w:gridSpan w:val="2"/>
            <w:vAlign w:val="center"/>
          </w:tcPr>
          <w:p>
            <w:pPr>
              <w:autoSpaceDE w:val="0"/>
              <w:autoSpaceDN w:val="0"/>
              <w:adjustRightInd w:val="0"/>
              <w:spacing w:line="360" w:lineRule="auto"/>
              <w:ind w:right="286"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hAnsi="宋体" w:eastAsia="宋体" w:cs="Times New Roman"/>
                <w:kern w:val="0"/>
                <w:sz w:val="24"/>
                <w:szCs w:val="28"/>
              </w:rPr>
            </w:pPr>
            <w:r>
              <w:rPr>
                <w:rFonts w:hint="eastAsia" w:ascii="宋体" w:hAnsi="宋体" w:eastAsia="宋体" w:cs="Times New Roman"/>
                <w:kern w:val="0"/>
                <w:sz w:val="24"/>
                <w:szCs w:val="28"/>
              </w:rPr>
              <w:t>职    称</w:t>
            </w:r>
          </w:p>
        </w:tc>
        <w:tc>
          <w:tcPr>
            <w:tcW w:w="1530" w:type="dxa"/>
            <w:gridSpan w:val="2"/>
            <w:vAlign w:val="center"/>
          </w:tcPr>
          <w:p>
            <w:pPr>
              <w:autoSpaceDE w:val="0"/>
              <w:autoSpaceDN w:val="0"/>
              <w:adjustRightInd w:val="0"/>
              <w:spacing w:line="360" w:lineRule="auto"/>
              <w:ind w:right="286"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学    历</w:t>
            </w:r>
          </w:p>
        </w:tc>
        <w:tc>
          <w:tcPr>
            <w:tcW w:w="1530" w:type="dxa"/>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参加工作</w:t>
            </w:r>
          </w:p>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时间</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个人专业资质及证书</w:t>
            </w:r>
          </w:p>
        </w:tc>
        <w:tc>
          <w:tcPr>
            <w:tcW w:w="1530" w:type="dxa"/>
            <w:vAlign w:val="center"/>
          </w:tcPr>
          <w:p>
            <w:pPr>
              <w:autoSpaceDE w:val="0"/>
              <w:autoSpaceDN w:val="0"/>
              <w:adjustRightInd w:val="0"/>
              <w:spacing w:line="360" w:lineRule="auto"/>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6"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6"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6"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项目单位</w:t>
            </w: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项目名称</w:t>
            </w: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项目内容</w:t>
            </w: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项目金额</w:t>
            </w: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r>
    </w:tbl>
    <w:p>
      <w:pPr>
        <w:spacing w:line="360" w:lineRule="auto"/>
        <w:ind w:left="725" w:hanging="723"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说明：投标文件正本应附完整的相关证明材料清晰影印件，未按照要求详细完整填写此表，导致的后果由投标人自行承担。</w:t>
      </w: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29"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29"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29"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5"/>
        <w:numPr>
          <w:ilvl w:val="0"/>
          <w:numId w:val="64"/>
        </w:numPr>
        <w:spacing w:before="100" w:beforeAutospacing="1" w:afterLines="50" w:line="360" w:lineRule="auto"/>
        <w:ind w:left="1610" w:hanging="1610"/>
        <w:rPr>
          <w:rFonts w:ascii="宋体" w:hAnsi="宋体" w:eastAsia="宋体"/>
        </w:rPr>
      </w:pPr>
      <w:bookmarkStart w:id="190" w:name="_Toc494702283"/>
      <w:bookmarkStart w:id="191" w:name="_Toc238276251"/>
      <w:bookmarkStart w:id="192" w:name="_Toc494665963"/>
      <w:bookmarkStart w:id="193" w:name="_Toc494665566"/>
      <w:bookmarkStart w:id="194" w:name="_Toc494665013"/>
      <w:bookmarkStart w:id="195" w:name="_Toc494745330"/>
      <w:bookmarkStart w:id="196" w:name="_Toc494721113"/>
      <w:bookmarkStart w:id="197" w:name="_Toc236473307"/>
      <w:bookmarkStart w:id="198" w:name="_Toc4282"/>
      <w:r>
        <w:rPr>
          <w:rFonts w:hint="eastAsia" w:ascii="宋体" w:hAnsi="宋体" w:eastAsia="宋体"/>
        </w:rPr>
        <w:t>项目班子成员情况表</w:t>
      </w:r>
      <w:bookmarkEnd w:id="190"/>
      <w:bookmarkEnd w:id="191"/>
      <w:bookmarkEnd w:id="192"/>
      <w:bookmarkEnd w:id="193"/>
      <w:bookmarkEnd w:id="194"/>
      <w:bookmarkEnd w:id="195"/>
      <w:bookmarkEnd w:id="196"/>
      <w:bookmarkEnd w:id="197"/>
      <w:bookmarkEnd w:id="198"/>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从事本行业工作年限</w:t>
            </w:r>
          </w:p>
        </w:tc>
        <w:tc>
          <w:tcPr>
            <w:tcW w:w="1843"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在本项目中承担的工作</w:t>
            </w:r>
          </w:p>
        </w:tc>
        <w:tc>
          <w:tcPr>
            <w:tcW w:w="1842"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24"/>
                <w:szCs w:val="24"/>
              </w:rPr>
            </w:pPr>
            <w:r>
              <w:rPr>
                <w:rFonts w:ascii="宋体" w:hAnsi="宋体" w:eastAsia="宋体" w:cs="Times New Roman"/>
                <w:b/>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r>
    </w:tbl>
    <w:p>
      <w:pPr>
        <w:spacing w:line="360" w:lineRule="auto"/>
        <w:ind w:left="725" w:hanging="723"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w:t>
      </w:r>
      <w:r>
        <w:rPr>
          <w:rFonts w:hint="eastAsia" w:ascii="宋体" w:hAnsi="宋体" w:eastAsia="宋体" w:cs="Corbel"/>
          <w:sz w:val="24"/>
          <w:szCs w:val="21"/>
          <w:lang w:val="zh-CN"/>
        </w:rPr>
        <w:t>未按照要求详细完整填写此表，</w:t>
      </w:r>
      <w:r>
        <w:rPr>
          <w:rFonts w:hint="eastAsia" w:ascii="宋体" w:hAnsi="宋体" w:eastAsia="宋体" w:cs="Times New Roman"/>
          <w:sz w:val="24"/>
          <w:szCs w:val="21"/>
          <w:lang w:val="zh-CN"/>
        </w:rPr>
        <w:t>导致的后果由投标人自行承担。</w:t>
      </w: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29"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29"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29"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5"/>
        <w:numPr>
          <w:ilvl w:val="0"/>
          <w:numId w:val="64"/>
        </w:numPr>
        <w:spacing w:before="100" w:beforeAutospacing="1" w:afterLines="50" w:line="360" w:lineRule="auto"/>
        <w:ind w:left="1610" w:hanging="1610"/>
        <w:rPr>
          <w:rFonts w:ascii="宋体" w:hAnsi="宋体" w:eastAsia="宋体"/>
        </w:rPr>
      </w:pPr>
      <w:bookmarkStart w:id="199" w:name="_Toc494702284"/>
      <w:bookmarkStart w:id="200" w:name="_Toc494665014"/>
      <w:bookmarkStart w:id="201" w:name="_Toc238276256"/>
      <w:bookmarkStart w:id="202" w:name="_Toc494745331"/>
      <w:bookmarkStart w:id="203" w:name="_Toc236473312"/>
      <w:bookmarkStart w:id="204" w:name="_Toc494665567"/>
      <w:bookmarkStart w:id="205" w:name="_Toc494665964"/>
      <w:bookmarkStart w:id="206" w:name="_Toc494721114"/>
      <w:bookmarkStart w:id="207" w:name="_Toc196"/>
      <w:r>
        <w:rPr>
          <w:rFonts w:hint="eastAsia" w:ascii="宋体" w:hAnsi="宋体" w:eastAsia="宋体"/>
        </w:rPr>
        <w:t>投标人类似项目业绩表</w:t>
      </w:r>
      <w:bookmarkEnd w:id="199"/>
      <w:bookmarkEnd w:id="200"/>
      <w:bookmarkEnd w:id="201"/>
      <w:bookmarkEnd w:id="202"/>
      <w:bookmarkEnd w:id="203"/>
      <w:bookmarkEnd w:id="204"/>
      <w:bookmarkEnd w:id="205"/>
      <w:bookmarkEnd w:id="206"/>
      <w:bookmarkEnd w:id="207"/>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4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项目单位联系人姓名及联系方式</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项目金额</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项目负责人姓名</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项目时间</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8"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项目内容</w:t>
            </w:r>
          </w:p>
        </w:tc>
        <w:tc>
          <w:tcPr>
            <w:tcW w:w="7200" w:type="dxa"/>
            <w:shd w:val="clear" w:color="auto" w:fill="auto"/>
          </w:tcPr>
          <w:p>
            <w:pPr>
              <w:rPr>
                <w:rFonts w:ascii="宋体" w:hAnsi="宋体" w:eastAsia="宋体" w:cs="Courier New"/>
                <w:sz w:val="24"/>
                <w:szCs w:val="24"/>
              </w:rPr>
            </w:pPr>
          </w:p>
        </w:tc>
      </w:tr>
    </w:tbl>
    <w:p>
      <w:pPr>
        <w:spacing w:line="360" w:lineRule="auto"/>
        <w:ind w:left="1099" w:hanging="1096" w:hangingChars="455"/>
        <w:jc w:val="left"/>
        <w:rPr>
          <w:rFonts w:ascii="宋体" w:hAnsi="宋体" w:eastAsia="宋体" w:cs="Times New Roman"/>
          <w:sz w:val="24"/>
          <w:szCs w:val="24"/>
        </w:rPr>
      </w:pPr>
      <w:r>
        <w:rPr>
          <w:rFonts w:hint="eastAsia" w:ascii="宋体" w:hAnsi="宋体" w:eastAsia="宋体" w:cs="Times New Roman"/>
          <w:sz w:val="24"/>
          <w:szCs w:val="24"/>
        </w:rPr>
        <w:t>说明：1．每个合同应单独附表，并附上相关证明材料，</w:t>
      </w:r>
      <w:r>
        <w:rPr>
          <w:rFonts w:hint="eastAsia" w:ascii="宋体" w:hAnsi="宋体" w:eastAsia="宋体" w:cs="Corbel"/>
          <w:sz w:val="24"/>
          <w:szCs w:val="24"/>
        </w:rPr>
        <w:t>未按照要求详细完整填写此表，</w:t>
      </w:r>
      <w:r>
        <w:rPr>
          <w:rFonts w:hint="eastAsia" w:ascii="宋体" w:hAnsi="宋体" w:eastAsia="宋体" w:cs="Times New Roman"/>
          <w:sz w:val="24"/>
          <w:szCs w:val="24"/>
        </w:rPr>
        <w:t>导致的后果由投标人自行承担。</w:t>
      </w:r>
    </w:p>
    <w:p>
      <w:pPr>
        <w:spacing w:line="360" w:lineRule="auto"/>
        <w:ind w:left="1066" w:leftChars="339" w:hanging="351" w:hangingChars="146"/>
        <w:jc w:val="left"/>
        <w:rPr>
          <w:rFonts w:ascii="宋体" w:hAnsi="宋体" w:eastAsia="宋体" w:cs="Times New Roman"/>
          <w:sz w:val="24"/>
          <w:szCs w:val="24"/>
        </w:rPr>
      </w:pPr>
      <w:r>
        <w:rPr>
          <w:rFonts w:hint="eastAsia" w:ascii="宋体" w:hAnsi="宋体" w:eastAsia="宋体" w:cs="Times New Roman"/>
          <w:sz w:val="24"/>
          <w:szCs w:val="24"/>
        </w:rPr>
        <w:t>2．项目内容请详细说明所承担的具体工作内容等。</w:t>
      </w:r>
    </w:p>
    <w:p>
      <w:pPr>
        <w:spacing w:line="360" w:lineRule="auto"/>
        <w:ind w:firstLine="723" w:firstLineChars="300"/>
        <w:rPr>
          <w:rFonts w:ascii="宋体" w:hAnsi="宋体" w:eastAsia="宋体" w:cs="Times New Roman"/>
          <w:sz w:val="24"/>
          <w:szCs w:val="24"/>
        </w:rPr>
      </w:pPr>
    </w:p>
    <w:p>
      <w:pPr>
        <w:spacing w:line="360" w:lineRule="auto"/>
        <w:ind w:firstLine="723" w:firstLineChars="300"/>
        <w:rPr>
          <w:rFonts w:ascii="宋体" w:hAnsi="宋体" w:eastAsia="宋体" w:cs="Times New Roman"/>
          <w:sz w:val="24"/>
          <w:szCs w:val="24"/>
        </w:rPr>
      </w:pPr>
    </w:p>
    <w:p>
      <w:pPr>
        <w:spacing w:before="100" w:beforeAutospacing="1" w:after="100" w:afterAutospacing="1" w:line="360" w:lineRule="auto"/>
        <w:ind w:firstLine="3329"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29"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29"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5"/>
        <w:numPr>
          <w:ilvl w:val="0"/>
          <w:numId w:val="64"/>
        </w:numPr>
        <w:spacing w:before="100" w:beforeAutospacing="1" w:afterLines="50" w:line="360" w:lineRule="auto"/>
        <w:ind w:left="1610" w:hanging="1610"/>
        <w:rPr>
          <w:rFonts w:ascii="宋体" w:hAnsi="宋体" w:eastAsia="宋体"/>
        </w:rPr>
      </w:pPr>
      <w:bookmarkStart w:id="208" w:name="_Toc18675"/>
      <w:bookmarkStart w:id="209" w:name="_Toc494745332"/>
      <w:bookmarkStart w:id="210" w:name="_Toc494702285"/>
      <w:bookmarkStart w:id="211" w:name="_Toc494665015"/>
      <w:bookmarkStart w:id="212" w:name="_Toc494721115"/>
      <w:bookmarkStart w:id="213" w:name="_Toc494665965"/>
      <w:bookmarkStart w:id="214" w:name="_Toc494665568"/>
      <w:r>
        <w:rPr>
          <w:rFonts w:hint="eastAsia" w:ascii="宋体" w:hAnsi="宋体" w:eastAsia="宋体"/>
        </w:rPr>
        <w:t>符合性审查对照表</w:t>
      </w:r>
      <w:bookmarkEnd w:id="208"/>
      <w:bookmarkEnd w:id="209"/>
      <w:bookmarkEnd w:id="210"/>
      <w:bookmarkEnd w:id="211"/>
      <w:bookmarkEnd w:id="212"/>
      <w:bookmarkEnd w:id="213"/>
      <w:bookmarkEnd w:id="214"/>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5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符合性审查条款</w:t>
            </w:r>
          </w:p>
        </w:tc>
        <w:tc>
          <w:tcPr>
            <w:tcW w:w="275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02"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bl>
    <w:p>
      <w:pPr>
        <w:spacing w:line="360" w:lineRule="auto"/>
        <w:ind w:left="1099" w:hanging="1096" w:hangingChars="455"/>
        <w:jc w:val="left"/>
        <w:rPr>
          <w:rFonts w:ascii="宋体" w:hAnsi="宋体" w:eastAsia="宋体" w:cs="Times New Roman"/>
          <w:b/>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w:t>
      </w:r>
      <w:r>
        <w:rPr>
          <w:rFonts w:hint="eastAsia" w:ascii="宋体" w:hAnsi="宋体" w:eastAsia="宋体" w:cs="Times New Roman"/>
          <w:sz w:val="24"/>
          <w:szCs w:val="24"/>
        </w:rPr>
        <w:t>．</w:t>
      </w:r>
      <w:r>
        <w:rPr>
          <w:rFonts w:hint="eastAsia" w:ascii="宋体" w:hAnsi="宋体" w:eastAsia="宋体" w:cs="Corbel"/>
          <w:sz w:val="24"/>
          <w:szCs w:val="24"/>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eastAsia="宋体" w:cs="Times New Roman"/>
          <w:sz w:val="24"/>
          <w:szCs w:val="24"/>
        </w:rPr>
        <w:t>导致的后果由投标人自行承担。</w:t>
      </w:r>
    </w:p>
    <w:p>
      <w:pPr>
        <w:spacing w:line="360" w:lineRule="auto"/>
        <w:ind w:left="1066" w:leftChars="339" w:hanging="351" w:hangingChars="146"/>
        <w:jc w:val="left"/>
        <w:rPr>
          <w:rFonts w:ascii="宋体" w:hAnsi="宋体" w:eastAsia="宋体" w:cs="Times New Roman"/>
          <w:b/>
          <w:sz w:val="24"/>
          <w:szCs w:val="24"/>
        </w:rPr>
      </w:pPr>
      <w:r>
        <w:rPr>
          <w:rFonts w:hint="eastAsia" w:ascii="宋体" w:hAnsi="宋体" w:eastAsia="宋体" w:cs="Corbel"/>
          <w:sz w:val="24"/>
          <w:szCs w:val="24"/>
        </w:rPr>
        <w:t>2．</w:t>
      </w:r>
      <w:r>
        <w:rPr>
          <w:rFonts w:hint="eastAsia" w:ascii="宋体" w:hAnsi="宋体" w:eastAsia="宋体" w:cs="Times New Roman"/>
          <w:sz w:val="24"/>
          <w:szCs w:val="24"/>
        </w:rPr>
        <w:t>投标人</w:t>
      </w:r>
      <w:r>
        <w:rPr>
          <w:rFonts w:hint="eastAsia" w:ascii="宋体" w:hAnsi="宋体" w:eastAsia="宋体" w:cs="Corbel"/>
          <w:sz w:val="24"/>
          <w:szCs w:val="24"/>
        </w:rPr>
        <w:t>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826" w:firstLineChars="1588"/>
        <w:rPr>
          <w:rFonts w:ascii="宋体" w:hAnsi="宋体" w:eastAsia="宋体" w:cs="Times New Roman"/>
          <w:b/>
          <w:bCs/>
          <w:sz w:val="24"/>
          <w:szCs w:val="21"/>
          <w:lang w:val="zh-CN"/>
        </w:rPr>
      </w:pPr>
    </w:p>
    <w:p>
      <w:pPr>
        <w:spacing w:before="100" w:beforeAutospacing="1" w:after="100" w:afterAutospacing="1" w:line="360" w:lineRule="auto"/>
        <w:ind w:firstLine="3329"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29"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29"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5"/>
        <w:numPr>
          <w:ilvl w:val="0"/>
          <w:numId w:val="64"/>
        </w:numPr>
        <w:spacing w:before="100" w:beforeAutospacing="1" w:afterLines="50" w:line="360" w:lineRule="auto"/>
        <w:ind w:left="1610" w:hanging="1610"/>
        <w:rPr>
          <w:rFonts w:ascii="宋体" w:hAnsi="宋体" w:eastAsia="宋体"/>
        </w:rPr>
      </w:pPr>
      <w:bookmarkStart w:id="215" w:name="_Toc494721116"/>
      <w:bookmarkStart w:id="216" w:name="_Toc494665016"/>
      <w:bookmarkStart w:id="217" w:name="_Toc494745333"/>
      <w:bookmarkStart w:id="218" w:name="_Toc494702286"/>
      <w:bookmarkStart w:id="219" w:name="_Toc494665569"/>
      <w:bookmarkStart w:id="220" w:name="_Toc494665966"/>
      <w:bookmarkStart w:id="221" w:name="_Toc15727"/>
      <w:r>
        <w:rPr>
          <w:rFonts w:hint="eastAsia" w:ascii="宋体" w:hAnsi="宋体" w:eastAsia="宋体"/>
        </w:rPr>
        <w:t>商务要求响应、偏离说明表</w:t>
      </w:r>
      <w:bookmarkEnd w:id="215"/>
      <w:bookmarkEnd w:id="216"/>
      <w:bookmarkEnd w:id="217"/>
      <w:bookmarkEnd w:id="218"/>
      <w:bookmarkEnd w:id="219"/>
      <w:bookmarkEnd w:id="220"/>
      <w:bookmarkEnd w:id="221"/>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招标文件商务要求条款</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9" w:hanging="1096" w:hangingChars="455"/>
        <w:jc w:val="left"/>
        <w:rPr>
          <w:rFonts w:ascii="宋体" w:hAnsi="宋体" w:eastAsia="宋体" w:cs="Times New Roman"/>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6" w:leftChars="339" w:hanging="351" w:hangingChars="146"/>
        <w:jc w:val="left"/>
        <w:rPr>
          <w:rFonts w:ascii="宋体" w:hAnsi="宋体" w:eastAsia="宋体" w:cs="Times New Roman"/>
          <w:sz w:val="24"/>
          <w:szCs w:val="24"/>
        </w:rPr>
      </w:pPr>
      <w:r>
        <w:rPr>
          <w:rFonts w:hint="eastAsia" w:ascii="宋体" w:hAnsi="宋体" w:eastAsia="宋体" w:cs="Corbel"/>
          <w:sz w:val="24"/>
          <w:szCs w:val="24"/>
        </w:rPr>
        <w:t>2．投标人</w:t>
      </w:r>
      <w:r>
        <w:rPr>
          <w:rFonts w:hint="eastAsia" w:ascii="宋体" w:hAnsi="宋体" w:eastAsia="宋体" w:cs="Times New Roman"/>
          <w:sz w:val="24"/>
          <w:szCs w:val="24"/>
        </w:rPr>
        <w:t>提供</w:t>
      </w:r>
      <w:r>
        <w:rPr>
          <w:rFonts w:hint="eastAsia" w:ascii="宋体" w:hAnsi="宋体" w:eastAsia="宋体" w:cs="Corbel"/>
          <w:sz w:val="24"/>
          <w:szCs w:val="24"/>
        </w:rPr>
        <w:t>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adjustRightInd w:val="0"/>
        <w:snapToGrid w:val="0"/>
        <w:spacing w:line="360" w:lineRule="auto"/>
        <w:ind w:left="785" w:leftChars="258" w:hanging="241" w:hangingChars="100"/>
        <w:rPr>
          <w:rFonts w:ascii="宋体" w:hAnsi="宋体" w:eastAsia="宋体" w:cs="Corbel"/>
          <w:sz w:val="24"/>
          <w:szCs w:val="24"/>
        </w:rPr>
      </w:pPr>
    </w:p>
    <w:p>
      <w:pPr>
        <w:adjustRightInd w:val="0"/>
        <w:snapToGrid w:val="0"/>
        <w:spacing w:line="360" w:lineRule="auto"/>
        <w:ind w:left="785" w:leftChars="258" w:hanging="241" w:hangingChars="100"/>
        <w:rPr>
          <w:rFonts w:ascii="宋体" w:hAnsi="宋体" w:eastAsia="宋体" w:cs="Corbel"/>
          <w:sz w:val="24"/>
          <w:szCs w:val="24"/>
        </w:rPr>
      </w:pPr>
    </w:p>
    <w:p>
      <w:pPr>
        <w:spacing w:before="100" w:beforeAutospacing="1" w:after="100" w:afterAutospacing="1" w:line="360" w:lineRule="auto"/>
        <w:ind w:firstLine="3329"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29"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29"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5"/>
        <w:numPr>
          <w:ilvl w:val="0"/>
          <w:numId w:val="64"/>
        </w:numPr>
        <w:spacing w:before="100" w:beforeAutospacing="1" w:afterLines="50" w:line="360" w:lineRule="auto"/>
        <w:ind w:left="1610" w:hanging="1610"/>
        <w:rPr>
          <w:rFonts w:ascii="宋体" w:hAnsi="宋体" w:eastAsia="宋体"/>
        </w:rPr>
      </w:pPr>
      <w:bookmarkStart w:id="222" w:name="_Toc494665967"/>
      <w:bookmarkStart w:id="223" w:name="_Toc494702287"/>
      <w:bookmarkStart w:id="224" w:name="_Toc494721117"/>
      <w:bookmarkStart w:id="225" w:name="_Toc494665570"/>
      <w:bookmarkStart w:id="226" w:name="_Toc494665017"/>
      <w:bookmarkStart w:id="227" w:name="_Toc494745334"/>
      <w:bookmarkStart w:id="228" w:name="_Toc30478"/>
      <w:r>
        <w:rPr>
          <w:rFonts w:hint="eastAsia" w:ascii="宋体" w:hAnsi="宋体" w:eastAsia="宋体"/>
        </w:rPr>
        <w:t>商务要求“★”号条款响应、偏离说明表</w:t>
      </w:r>
      <w:bookmarkEnd w:id="222"/>
      <w:bookmarkEnd w:id="223"/>
      <w:bookmarkEnd w:id="224"/>
      <w:bookmarkEnd w:id="225"/>
      <w:bookmarkEnd w:id="226"/>
      <w:bookmarkEnd w:id="227"/>
      <w:bookmarkEnd w:id="228"/>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商务要求“★”号条款</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9" w:hanging="1096"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pPr>
        <w:spacing w:line="360" w:lineRule="auto"/>
        <w:ind w:left="1066" w:leftChars="339" w:hanging="351"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29"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29"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29"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5"/>
        <w:numPr>
          <w:ilvl w:val="0"/>
          <w:numId w:val="64"/>
        </w:numPr>
        <w:spacing w:before="100" w:beforeAutospacing="1" w:afterLines="50" w:line="360" w:lineRule="auto"/>
        <w:ind w:left="1610" w:hanging="1610"/>
        <w:rPr>
          <w:rFonts w:ascii="宋体" w:hAnsi="宋体" w:eastAsia="宋体"/>
        </w:rPr>
      </w:pPr>
      <w:bookmarkStart w:id="229" w:name="_Toc494702288"/>
      <w:bookmarkStart w:id="230" w:name="_Toc494665968"/>
      <w:bookmarkStart w:id="231" w:name="_Toc494721118"/>
      <w:bookmarkStart w:id="232" w:name="_Toc494665018"/>
      <w:bookmarkStart w:id="233" w:name="_Toc494745335"/>
      <w:bookmarkStart w:id="234" w:name="_Toc494665571"/>
      <w:bookmarkStart w:id="235" w:name="_Toc19051"/>
      <w:r>
        <w:rPr>
          <w:rFonts w:hint="eastAsia" w:ascii="宋体" w:hAnsi="宋体" w:eastAsia="宋体"/>
        </w:rPr>
        <w:t>商务评议对照表</w:t>
      </w:r>
      <w:bookmarkEnd w:id="229"/>
      <w:bookmarkEnd w:id="230"/>
      <w:bookmarkEnd w:id="231"/>
      <w:bookmarkEnd w:id="232"/>
      <w:bookmarkEnd w:id="233"/>
      <w:bookmarkEnd w:id="234"/>
      <w:bookmarkEnd w:id="235"/>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848"/>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61"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848"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招标文件商务评分标准</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numPr>
                <w:ilvl w:val="0"/>
                <w:numId w:val="66"/>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numPr>
                <w:ilvl w:val="0"/>
                <w:numId w:val="66"/>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numPr>
                <w:ilvl w:val="0"/>
                <w:numId w:val="66"/>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numPr>
                <w:ilvl w:val="0"/>
                <w:numId w:val="66"/>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numPr>
                <w:ilvl w:val="0"/>
                <w:numId w:val="66"/>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numPr>
                <w:ilvl w:val="0"/>
                <w:numId w:val="66"/>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61"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9" w:hanging="1096"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说明：1．投标人应按招标文件第五章“评标方法、程序及标准”中“商务评议”的评分标准逐项说明是否满足要求，如有偏离,投标人应详细说明。未按照要求填写此表或仅注明“符合”、“满足”的，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6" w:leftChars="339" w:hanging="351"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29"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29"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29"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5"/>
        <w:numPr>
          <w:ilvl w:val="0"/>
          <w:numId w:val="64"/>
        </w:numPr>
        <w:spacing w:before="100" w:beforeAutospacing="1" w:afterLines="50" w:line="360" w:lineRule="auto"/>
        <w:ind w:left="1610" w:hanging="1610"/>
        <w:rPr>
          <w:rFonts w:ascii="宋体" w:hAnsi="宋体" w:eastAsia="宋体"/>
        </w:rPr>
      </w:pPr>
      <w:bookmarkStart w:id="236" w:name="_Toc494665019"/>
      <w:bookmarkStart w:id="237" w:name="_Toc494721119"/>
      <w:bookmarkStart w:id="238" w:name="_Toc494665572"/>
      <w:bookmarkStart w:id="239" w:name="_Toc494745336"/>
      <w:bookmarkStart w:id="240" w:name="_Toc494702289"/>
      <w:bookmarkStart w:id="241" w:name="_Toc494665969"/>
      <w:bookmarkStart w:id="242" w:name="_Toc16220"/>
      <w:r>
        <w:rPr>
          <w:rFonts w:hint="eastAsia" w:ascii="宋体" w:hAnsi="宋体" w:eastAsia="宋体"/>
        </w:rPr>
        <w:t>技术、服务要求响应、偏离说明表</w:t>
      </w:r>
      <w:bookmarkEnd w:id="236"/>
      <w:bookmarkEnd w:id="237"/>
      <w:bookmarkEnd w:id="238"/>
      <w:bookmarkEnd w:id="239"/>
      <w:bookmarkEnd w:id="240"/>
      <w:bookmarkEnd w:id="241"/>
      <w:bookmarkEnd w:id="242"/>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45"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1"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招标文件技术、服务要求条款</w:t>
            </w:r>
          </w:p>
        </w:tc>
        <w:tc>
          <w:tcPr>
            <w:tcW w:w="2755"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9" w:hanging="1096" w:hangingChars="455"/>
        <w:jc w:val="left"/>
        <w:rPr>
          <w:rFonts w:ascii="宋体" w:hAnsi="宋体" w:eastAsia="宋体" w:cs="Times New Roman"/>
          <w:sz w:val="24"/>
          <w:szCs w:val="24"/>
        </w:rPr>
      </w:pPr>
      <w:r>
        <w:rPr>
          <w:rFonts w:hint="eastAsia" w:ascii="宋体" w:hAnsi="宋体" w:eastAsia="宋体" w:cs="Corbel"/>
          <w:sz w:val="24"/>
          <w:szCs w:val="24"/>
        </w:rPr>
        <w:t>说明：1．投标人应按招标文件第三章“项目技术、服务及商务要求”中“技术、服务要求”条款逐项说明是否满足要求，如有偏离,投标人应详细说明。未按照要求填写此表或仅注明“符合”、“满足”的，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6" w:leftChars="339" w:hanging="351"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29"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29"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29"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5"/>
        <w:numPr>
          <w:ilvl w:val="0"/>
          <w:numId w:val="64"/>
        </w:numPr>
        <w:spacing w:before="100" w:beforeAutospacing="1" w:afterLines="50" w:line="360" w:lineRule="auto"/>
        <w:ind w:left="1610" w:hanging="1610"/>
        <w:rPr>
          <w:rFonts w:ascii="宋体" w:hAnsi="宋体" w:eastAsia="宋体"/>
        </w:rPr>
      </w:pPr>
      <w:bookmarkStart w:id="243" w:name="_Toc494702290"/>
      <w:bookmarkStart w:id="244" w:name="_Toc494665970"/>
      <w:bookmarkStart w:id="245" w:name="_Toc494665020"/>
      <w:bookmarkStart w:id="246" w:name="_Toc494721120"/>
      <w:bookmarkStart w:id="247" w:name="_Toc494665573"/>
      <w:bookmarkStart w:id="248" w:name="_Toc494745337"/>
      <w:bookmarkStart w:id="249" w:name="_Toc1122"/>
      <w:bookmarkStart w:id="250" w:name="_Toc329859066"/>
      <w:r>
        <w:rPr>
          <w:rFonts w:hint="eastAsia" w:ascii="宋体" w:hAnsi="宋体" w:eastAsia="宋体"/>
        </w:rPr>
        <w:t>技术、服务要求“★”号条款响应、偏离说明表</w:t>
      </w:r>
      <w:bookmarkEnd w:id="243"/>
      <w:bookmarkEnd w:id="244"/>
      <w:bookmarkEnd w:id="245"/>
      <w:bookmarkEnd w:id="246"/>
      <w:bookmarkEnd w:id="247"/>
      <w:bookmarkEnd w:id="248"/>
      <w:bookmarkEnd w:id="249"/>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877"/>
        <w:gridCol w:w="150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技术、服务要求“★”号条款</w:t>
            </w:r>
          </w:p>
        </w:tc>
        <w:tc>
          <w:tcPr>
            <w:tcW w:w="287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50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942" w:hanging="939" w:hangingChars="390"/>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说明：1．投标人应按招标文件第三章“项目技术、服务及商务要求”中技术、服务要求</w:t>
      </w:r>
      <w:r>
        <w:rPr>
          <w:rFonts w:hint="eastAsia" w:ascii="Times New Roman" w:hAnsi="宋体" w:eastAsia="宋体" w:cs="Times New Roman"/>
          <w:sz w:val="24"/>
          <w:szCs w:val="24"/>
        </w:rPr>
        <w:t>“★”号</w:t>
      </w:r>
      <w:r>
        <w:rPr>
          <w:rFonts w:hint="eastAsia" w:ascii="宋体" w:hAnsi="宋体" w:eastAsia="宋体" w:cs="Corbel"/>
          <w:sz w:val="24"/>
          <w:szCs w:val="24"/>
        </w:rPr>
        <w:t>条款进行逐项说明是否满足要求，如有偏离,投标人应详细说明。未按照要求填写此表或仅注明“符合”、“满足”的，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10" w:leftChars="306" w:hanging="365"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bookmarkEnd w:id="250"/>
    <w:p>
      <w:pPr>
        <w:spacing w:before="100" w:beforeAutospacing="1" w:after="100" w:afterAutospacing="1" w:line="360" w:lineRule="auto"/>
        <w:ind w:firstLine="3329"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29"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29"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5"/>
        <w:numPr>
          <w:ilvl w:val="0"/>
          <w:numId w:val="64"/>
        </w:numPr>
        <w:spacing w:before="100" w:beforeAutospacing="1" w:afterLines="50" w:line="360" w:lineRule="auto"/>
        <w:ind w:left="1610" w:hanging="1610"/>
        <w:rPr>
          <w:rFonts w:ascii="宋体" w:hAnsi="宋体" w:eastAsia="宋体"/>
        </w:rPr>
      </w:pPr>
      <w:bookmarkStart w:id="251" w:name="_Toc494702291"/>
      <w:bookmarkStart w:id="252" w:name="_Toc494745338"/>
      <w:bookmarkStart w:id="253" w:name="_Toc494665021"/>
      <w:bookmarkStart w:id="254" w:name="_Toc494665574"/>
      <w:bookmarkStart w:id="255" w:name="_Toc494665971"/>
      <w:bookmarkStart w:id="256" w:name="_Toc494721121"/>
      <w:bookmarkStart w:id="257" w:name="_Toc14067"/>
      <w:r>
        <w:rPr>
          <w:rFonts w:hint="eastAsia" w:ascii="宋体" w:hAnsi="宋体" w:eastAsia="宋体"/>
        </w:rPr>
        <w:t>技术、服务评议对照表</w:t>
      </w:r>
      <w:bookmarkEnd w:id="251"/>
      <w:bookmarkEnd w:id="252"/>
      <w:bookmarkEnd w:id="253"/>
      <w:bookmarkEnd w:id="254"/>
      <w:bookmarkEnd w:id="255"/>
      <w:bookmarkEnd w:id="256"/>
      <w:bookmarkEnd w:id="257"/>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89"/>
        <w:gridCol w:w="3227"/>
        <w:gridCol w:w="125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59"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38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招标文件技术、服务评分标准</w:t>
            </w:r>
          </w:p>
        </w:tc>
        <w:tc>
          <w:tcPr>
            <w:tcW w:w="322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256"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983"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numPr>
                <w:ilvl w:val="0"/>
                <w:numId w:val="67"/>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numPr>
                <w:ilvl w:val="0"/>
                <w:numId w:val="67"/>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numPr>
                <w:ilvl w:val="0"/>
                <w:numId w:val="67"/>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numPr>
                <w:ilvl w:val="0"/>
                <w:numId w:val="67"/>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numPr>
                <w:ilvl w:val="0"/>
                <w:numId w:val="67"/>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numPr>
                <w:ilvl w:val="0"/>
                <w:numId w:val="67"/>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59"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bl>
    <w:p>
      <w:pPr>
        <w:spacing w:line="360" w:lineRule="auto"/>
        <w:ind w:left="1099" w:hanging="1096"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10" w:leftChars="306" w:hanging="365"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adjustRightInd w:val="0"/>
        <w:snapToGrid w:val="0"/>
        <w:spacing w:line="300" w:lineRule="auto"/>
        <w:ind w:left="725" w:hanging="723" w:hangingChars="300"/>
        <w:rPr>
          <w:rFonts w:ascii="宋体" w:hAnsi="宋体" w:eastAsia="宋体" w:cs="Corbel"/>
          <w:sz w:val="24"/>
          <w:szCs w:val="24"/>
        </w:rPr>
      </w:pPr>
    </w:p>
    <w:p>
      <w:pPr>
        <w:spacing w:before="100" w:beforeAutospacing="1" w:after="100" w:afterAutospacing="1" w:line="360" w:lineRule="auto"/>
        <w:ind w:firstLine="3329"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29"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29" w:firstLineChars="1382"/>
      </w:pPr>
      <w:r>
        <w:rPr>
          <w:rFonts w:hint="eastAsia" w:ascii="宋体" w:hAnsi="宋体" w:eastAsia="宋体" w:cs="Times New Roman"/>
          <w:b/>
          <w:bCs/>
          <w:sz w:val="24"/>
          <w:szCs w:val="21"/>
          <w:lang w:val="zh-CN"/>
        </w:rPr>
        <w:t>投标</w:t>
      </w:r>
      <w:r>
        <w:rPr>
          <w:rFonts w:hint="eastAsia" w:hAnsi="宋体"/>
          <w:b/>
          <w:bCs/>
          <w:sz w:val="24"/>
        </w:rPr>
        <w:t>时间：</w:t>
      </w:r>
    </w:p>
    <w:p/>
    <w:p/>
    <w:sectPr>
      <w:pgSz w:w="11906" w:h="16838"/>
      <w:pgMar w:top="1134" w:right="1191" w:bottom="1134" w:left="1191" w:header="851" w:footer="850" w:gutter="0"/>
      <w:cols w:space="0" w:num="1"/>
      <w:docGrid w:type="linesAndChars" w:linePitch="317" w:charSpace="3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decorative"/>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Corbel">
    <w:panose1 w:val="020B0503020204020204"/>
    <w:charset w:val="00"/>
    <w:family w:val="swiss"/>
    <w:pitch w:val="default"/>
    <w:sig w:usb0="A00002EF" w:usb1="4000A44B" w:usb2="00000000"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single" w:color="000000" w:themeColor="text1" w:sz="4" w:space="1"/>
      </w:pBdr>
      <w:tabs>
        <w:tab w:val="clear" w:pos="4153"/>
        <w:tab w:val="clear" w:pos="8306"/>
      </w:tabs>
      <w:ind w:right="-9"/>
      <w:rPr>
        <w:rFonts w:hint="eastAsia" w:asciiTheme="minorEastAsia" w:hAnsiTheme="minorEastAsia"/>
        <w:lang w:eastAsia="zh-CN"/>
      </w:rPr>
    </w:pPr>
    <w:r>
      <w:rPr>
        <w:rFonts w:hint="eastAsia" w:asciiTheme="minorEastAsia" w:hAnsiTheme="minorEastAsia"/>
        <w:lang w:eastAsia="zh-CN"/>
      </w:rPr>
      <w:t>阳新县公共资源交易中心编制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single" w:color="000000" w:themeColor="text1" w:sz="4" w:space="1"/>
      </w:pBdr>
      <w:tabs>
        <w:tab w:val="clear" w:pos="4153"/>
        <w:tab w:val="clear" w:pos="8306"/>
      </w:tabs>
      <w:ind w:right="-9"/>
      <w:rPr>
        <w:rFonts w:hint="eastAsia" w:asciiTheme="minorEastAsia" w:hAnsiTheme="minorEastAsia"/>
        <w:lang w:eastAsia="zh-CN"/>
      </w:rPr>
    </w:pPr>
    <w:r>
      <w:rPr>
        <w:rFonts w:hint="eastAsia" w:asciiTheme="minorEastAsia" w:hAnsiTheme="minorEastAsia"/>
        <w:lang w:eastAsia="zh-CN"/>
      </w:rPr>
      <w:t>阳新县公共资源交易中心编制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single" w:color="000000" w:themeColor="text1" w:sz="4" w:space="1"/>
      </w:pBdr>
      <w:tabs>
        <w:tab w:val="clear" w:pos="4153"/>
        <w:tab w:val="clear" w:pos="8306"/>
      </w:tabs>
      <w:ind w:right="-9"/>
      <w:rPr>
        <w:rFonts w:asciiTheme="minorEastAsia" w:hAnsiTheme="minorEastAsia"/>
        <w:b/>
      </w:rPr>
    </w:pPr>
    <w:r>
      <w:rPr>
        <w:rFonts w:hint="eastAsia" w:asciiTheme="minorEastAsia" w:hAnsiTheme="minorEastAsia"/>
        <w:lang w:eastAsia="zh-CN"/>
      </w:rPr>
      <w:t>阳新县公共资源交易中心编制</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single" w:color="000000" w:themeColor="text1" w:sz="4" w:space="1"/>
      </w:pBdr>
      <w:tabs>
        <w:tab w:val="clear" w:pos="4153"/>
        <w:tab w:val="clear" w:pos="8306"/>
      </w:tabs>
      <w:ind w:right="-9"/>
      <w:jc w:val="both"/>
      <w:rPr>
        <w:rFonts w:asciiTheme="minorEastAsia" w:hAnsiTheme="minorEastAsia"/>
        <w:b/>
      </w:rPr>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path/>
          <v:fill on="f" focussize="0,0"/>
          <v:stroke on="f" weight="0.5pt" joinstyle="miter"/>
          <v:imagedata o:title=""/>
          <o:lock v:ext="edit"/>
          <v:textbox inset="0mm,0mm,0mm,0mm" style="mso-fit-shape-to-text:t;">
            <w:txbxContent>
              <w:p>
                <w:pPr>
                  <w:pStyle w:val="12"/>
                </w:pPr>
                <w:r>
                  <w:rPr>
                    <w:rFonts w:hint="eastAsia"/>
                  </w:rPr>
                  <w:t>第</w:t>
                </w:r>
                <w:r>
                  <w:fldChar w:fldCharType="begin"/>
                </w:r>
                <w:r>
                  <w:instrText xml:space="preserve"> PAGE  \* MERGEFORMAT </w:instrText>
                </w:r>
                <w:r>
                  <w:fldChar w:fldCharType="separate"/>
                </w:r>
                <w:r>
                  <w:t>37</w:t>
                </w:r>
                <w:r>
                  <w:fldChar w:fldCharType="end"/>
                </w:r>
                <w:r>
                  <w:rPr>
                    <w:rFonts w:hint="eastAsia"/>
                  </w:rPr>
                  <w:t>页共 5</w:t>
                </w:r>
                <w:r>
                  <w:rPr>
                    <w:rFonts w:hint="eastAsia"/>
                    <w:lang w:val="en-US" w:eastAsia="zh-CN"/>
                  </w:rPr>
                  <w:t>4</w:t>
                </w:r>
                <w:r>
                  <w:rPr>
                    <w:rFonts w:hint="eastAsia"/>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000000" w:themeColor="text1" w:sz="4" w:space="1"/>
      </w:pBdr>
      <w:tabs>
        <w:tab w:val="clear" w:pos="4153"/>
      </w:tabs>
      <w:jc w:val="left"/>
      <w:rPr>
        <w:b/>
      </w:rPr>
    </w:pPr>
    <w:r>
      <w:rPr>
        <w:rFonts w:hint="eastAsia"/>
        <w:b/>
      </w:rPr>
      <w:t>项目名称</w:t>
    </w:r>
    <w:r>
      <w:rPr>
        <w:rFonts w:hint="eastAsia" w:asciiTheme="minorEastAsia" w:hAnsiTheme="minorEastAsia"/>
        <w:b/>
      </w:rPr>
      <w:t>：</w:t>
    </w:r>
    <w:r>
      <w:rPr>
        <w:rFonts w:hint="eastAsia" w:asciiTheme="minorEastAsia" w:hAnsiTheme="minorEastAsia"/>
        <w:b/>
        <w:lang w:eastAsia="zh-CN"/>
      </w:rPr>
      <w:t>阳新县人民法院物业管理服务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788"/>
    <w:multiLevelType w:val="multilevel"/>
    <w:tmpl w:val="00317788"/>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
    <w:nsid w:val="0068509E"/>
    <w:multiLevelType w:val="multilevel"/>
    <w:tmpl w:val="0068509E"/>
    <w:lvl w:ilvl="0" w:tentative="0">
      <w:start w:val="1"/>
      <w:numFmt w:val="decimal"/>
      <w:lvlText w:val="3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1BC443A"/>
    <w:multiLevelType w:val="multilevel"/>
    <w:tmpl w:val="01BC443A"/>
    <w:lvl w:ilvl="0" w:tentative="0">
      <w:start w:val="1"/>
      <w:numFmt w:val="chineseCountingThousand"/>
      <w:lvlText w:val="%1、"/>
      <w:lvlJc w:val="left"/>
      <w:pPr>
        <w:ind w:left="420" w:hanging="420"/>
      </w:pPr>
      <w:rPr>
        <w:rFonts w:hint="default" w:ascii="宋体" w:hAnsi="宋体" w:eastAsia="宋体"/>
        <w:b/>
        <w:color w:va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226416"/>
    <w:multiLevelType w:val="multilevel"/>
    <w:tmpl w:val="03226416"/>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8112400"/>
    <w:multiLevelType w:val="multilevel"/>
    <w:tmpl w:val="08112400"/>
    <w:lvl w:ilvl="0" w:tentative="0">
      <w:start w:val="1"/>
      <w:numFmt w:val="decimal"/>
      <w:lvlText w:val="8.%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5">
    <w:nsid w:val="092D2B91"/>
    <w:multiLevelType w:val="multilevel"/>
    <w:tmpl w:val="092D2B91"/>
    <w:lvl w:ilvl="0" w:tentative="0">
      <w:start w:val="1"/>
      <w:numFmt w:val="decimal"/>
      <w:lvlText w:val="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B600DC"/>
    <w:multiLevelType w:val="multilevel"/>
    <w:tmpl w:val="0EB600DC"/>
    <w:lvl w:ilvl="0" w:tentative="0">
      <w:start w:val="1"/>
      <w:numFmt w:val="decimal"/>
      <w:lvlText w:val="2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F196355"/>
    <w:multiLevelType w:val="multilevel"/>
    <w:tmpl w:val="0F196355"/>
    <w:lvl w:ilvl="0" w:tentative="0">
      <w:start w:val="1"/>
      <w:numFmt w:val="decimal"/>
      <w:lvlText w:val="15.%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2F3169F"/>
    <w:multiLevelType w:val="multilevel"/>
    <w:tmpl w:val="12F3169F"/>
    <w:lvl w:ilvl="0" w:tentative="0">
      <w:start w:val="1"/>
      <w:numFmt w:val="decimal"/>
      <w:lvlText w:val="1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433242D"/>
    <w:multiLevelType w:val="multilevel"/>
    <w:tmpl w:val="1433242D"/>
    <w:lvl w:ilvl="0" w:tentative="0">
      <w:start w:val="1"/>
      <w:numFmt w:val="decimal"/>
      <w:lvlText w:val="%1）"/>
      <w:lvlJc w:val="left"/>
      <w:pPr>
        <w:ind w:left="906" w:hanging="420"/>
      </w:pPr>
      <w:rPr>
        <w:rFonts w:hint="eastAsia"/>
      </w:rPr>
    </w:lvl>
    <w:lvl w:ilvl="1" w:tentative="0">
      <w:start w:val="1"/>
      <w:numFmt w:val="lowerLetter"/>
      <w:lvlText w:val="%2)"/>
      <w:lvlJc w:val="left"/>
      <w:pPr>
        <w:ind w:left="1326" w:hanging="420"/>
      </w:pPr>
    </w:lvl>
    <w:lvl w:ilvl="2" w:tentative="0">
      <w:start w:val="1"/>
      <w:numFmt w:val="lowerRoman"/>
      <w:lvlText w:val="%3."/>
      <w:lvlJc w:val="right"/>
      <w:pPr>
        <w:ind w:left="1746" w:hanging="420"/>
      </w:pPr>
    </w:lvl>
    <w:lvl w:ilvl="3" w:tentative="0">
      <w:start w:val="1"/>
      <w:numFmt w:val="decimal"/>
      <w:lvlText w:val="%4."/>
      <w:lvlJc w:val="left"/>
      <w:pPr>
        <w:ind w:left="2166" w:hanging="420"/>
      </w:pPr>
    </w:lvl>
    <w:lvl w:ilvl="4" w:tentative="0">
      <w:start w:val="1"/>
      <w:numFmt w:val="lowerLetter"/>
      <w:lvlText w:val="%5)"/>
      <w:lvlJc w:val="left"/>
      <w:pPr>
        <w:ind w:left="2586" w:hanging="420"/>
      </w:pPr>
    </w:lvl>
    <w:lvl w:ilvl="5" w:tentative="0">
      <w:start w:val="1"/>
      <w:numFmt w:val="lowerRoman"/>
      <w:lvlText w:val="%6."/>
      <w:lvlJc w:val="right"/>
      <w:pPr>
        <w:ind w:left="3006" w:hanging="420"/>
      </w:pPr>
    </w:lvl>
    <w:lvl w:ilvl="6" w:tentative="0">
      <w:start w:val="1"/>
      <w:numFmt w:val="decimal"/>
      <w:lvlText w:val="%7."/>
      <w:lvlJc w:val="left"/>
      <w:pPr>
        <w:ind w:left="3426" w:hanging="420"/>
      </w:pPr>
    </w:lvl>
    <w:lvl w:ilvl="7" w:tentative="0">
      <w:start w:val="1"/>
      <w:numFmt w:val="lowerLetter"/>
      <w:lvlText w:val="%8)"/>
      <w:lvlJc w:val="left"/>
      <w:pPr>
        <w:ind w:left="3846" w:hanging="420"/>
      </w:pPr>
    </w:lvl>
    <w:lvl w:ilvl="8" w:tentative="0">
      <w:start w:val="1"/>
      <w:numFmt w:val="lowerRoman"/>
      <w:lvlText w:val="%9."/>
      <w:lvlJc w:val="right"/>
      <w:pPr>
        <w:ind w:left="4266" w:hanging="420"/>
      </w:pPr>
    </w:lvl>
  </w:abstractNum>
  <w:abstractNum w:abstractNumId="10">
    <w:nsid w:val="143A1834"/>
    <w:multiLevelType w:val="multilevel"/>
    <w:tmpl w:val="143A1834"/>
    <w:lvl w:ilvl="0" w:tentative="0">
      <w:start w:val="1"/>
      <w:numFmt w:val="chineseCountingThousand"/>
      <w:lvlText w:val="附件%1、"/>
      <w:lvlJc w:val="left"/>
      <w:pPr>
        <w:ind w:left="420" w:hanging="420"/>
      </w:pPr>
      <w:rPr>
        <w:rFonts w:hint="eastAsia" w:ascii="宋体" w:hAnsi="宋体" w:eastAsia="宋体"/>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5DE1A41"/>
    <w:multiLevelType w:val="multilevel"/>
    <w:tmpl w:val="15DE1A41"/>
    <w:lvl w:ilvl="0" w:tentative="0">
      <w:start w:val="1"/>
      <w:numFmt w:val="decimal"/>
      <w:lvlText w:val="4.6.%1 "/>
      <w:lvlJc w:val="left"/>
      <w:pPr>
        <w:ind w:left="1271" w:hanging="420"/>
      </w:pPr>
      <w:rPr>
        <w:rFonts w:hint="default" w:ascii="楷体" w:hAnsi="楷体" w:eastAsia="楷体"/>
        <w:b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2">
    <w:nsid w:val="15F76080"/>
    <w:multiLevelType w:val="multilevel"/>
    <w:tmpl w:val="15F76080"/>
    <w:lvl w:ilvl="0" w:tentative="0">
      <w:start w:val="1"/>
      <w:numFmt w:val="decimal"/>
      <w:lvlText w:val="4.%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3">
    <w:nsid w:val="1636573F"/>
    <w:multiLevelType w:val="multilevel"/>
    <w:tmpl w:val="1636573F"/>
    <w:lvl w:ilvl="0" w:tentative="0">
      <w:start w:val="1"/>
      <w:numFmt w:val="decimal"/>
      <w:lvlText w:val="1.%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6962145"/>
    <w:multiLevelType w:val="multilevel"/>
    <w:tmpl w:val="16962145"/>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5015415"/>
    <w:multiLevelType w:val="multilevel"/>
    <w:tmpl w:val="25015415"/>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16">
    <w:nsid w:val="251B2B6C"/>
    <w:multiLevelType w:val="multilevel"/>
    <w:tmpl w:val="251B2B6C"/>
    <w:lvl w:ilvl="0" w:tentative="0">
      <w:start w:val="1"/>
      <w:numFmt w:val="chineseCountingThousand"/>
      <w:lvlText w:val="（%1） "/>
      <w:lvlJc w:val="left"/>
      <w:pPr>
        <w:ind w:left="902" w:hanging="420"/>
      </w:pPr>
      <w:rPr>
        <w:rFonts w:hint="eastAsia"/>
        <w:b/>
        <w:strike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7">
    <w:nsid w:val="251F49FC"/>
    <w:multiLevelType w:val="multilevel"/>
    <w:tmpl w:val="251F49FC"/>
    <w:lvl w:ilvl="0" w:tentative="0">
      <w:start w:val="1"/>
      <w:numFmt w:val="decimal"/>
      <w:lvlText w:val="%1."/>
      <w:lvlJc w:val="left"/>
      <w:pPr>
        <w:ind w:left="902" w:hanging="420"/>
      </w:pPr>
      <w:rPr>
        <w:rFonts w:hint="default" w:ascii="宋体" w:hAnsi="宋体" w:eastAsia="宋体"/>
        <w:b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8">
    <w:nsid w:val="279A794F"/>
    <w:multiLevelType w:val="multilevel"/>
    <w:tmpl w:val="279A794F"/>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9">
    <w:nsid w:val="27FE7BA7"/>
    <w:multiLevelType w:val="multilevel"/>
    <w:tmpl w:val="27FE7BA7"/>
    <w:lvl w:ilvl="0" w:tentative="0">
      <w:start w:val="1"/>
      <w:numFmt w:val="decimal"/>
      <w:lvlText w:val="27.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20">
    <w:nsid w:val="28AA4AF5"/>
    <w:multiLevelType w:val="multilevel"/>
    <w:tmpl w:val="28AA4AF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21">
    <w:nsid w:val="29735AF9"/>
    <w:multiLevelType w:val="multilevel"/>
    <w:tmpl w:val="29735AF9"/>
    <w:lvl w:ilvl="0" w:tentative="0">
      <w:start w:val="1"/>
      <w:numFmt w:val="decimal"/>
      <w:lvlText w:val="1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ABF2833"/>
    <w:multiLevelType w:val="multilevel"/>
    <w:tmpl w:val="2ABF2833"/>
    <w:lvl w:ilvl="0" w:tentative="0">
      <w:start w:val="1"/>
      <w:numFmt w:val="decimal"/>
      <w:lvlText w:val="1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CC65A04"/>
    <w:multiLevelType w:val="multilevel"/>
    <w:tmpl w:val="2CC65A04"/>
    <w:lvl w:ilvl="0" w:tentative="0">
      <w:start w:val="1"/>
      <w:numFmt w:val="decimal"/>
      <w:lvlText w:val="3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D665F38"/>
    <w:multiLevelType w:val="multilevel"/>
    <w:tmpl w:val="2D665F38"/>
    <w:lvl w:ilvl="0" w:tentative="0">
      <w:start w:val="1"/>
      <w:numFmt w:val="decimal"/>
      <w:lvlText w:val="5.%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5">
    <w:nsid w:val="2D850054"/>
    <w:multiLevelType w:val="multilevel"/>
    <w:tmpl w:val="2D850054"/>
    <w:lvl w:ilvl="0" w:tentative="0">
      <w:start w:val="1"/>
      <w:numFmt w:val="decimal"/>
      <w:lvlText w:val="%1. "/>
      <w:lvlJc w:val="left"/>
      <w:pPr>
        <w:ind w:left="704" w:hanging="420"/>
      </w:pPr>
      <w:rPr>
        <w:rFonts w:hint="default" w:ascii="宋体" w:hAnsi="宋体" w:eastAsia="宋体"/>
        <w:b/>
        <w:strike w:val="0"/>
        <w:color w:val="auto"/>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6">
    <w:nsid w:val="2E825AFA"/>
    <w:multiLevelType w:val="multilevel"/>
    <w:tmpl w:val="2E825AFA"/>
    <w:lvl w:ilvl="0" w:tentative="0">
      <w:start w:val="1"/>
      <w:numFmt w:val="decimal"/>
      <w:lvlText w:val="2.%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11832AE"/>
    <w:multiLevelType w:val="multilevel"/>
    <w:tmpl w:val="311832AE"/>
    <w:lvl w:ilvl="0" w:tentative="0">
      <w:start w:val="1"/>
      <w:numFmt w:val="decimal"/>
      <w:lvlText w:val="1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315F4B3A"/>
    <w:multiLevelType w:val="multilevel"/>
    <w:tmpl w:val="315F4B3A"/>
    <w:lvl w:ilvl="0" w:tentative="0">
      <w:start w:val="1"/>
      <w:numFmt w:val="decimal"/>
      <w:lvlText w:val="7.%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9">
    <w:nsid w:val="33020AE6"/>
    <w:multiLevelType w:val="multilevel"/>
    <w:tmpl w:val="33020AE6"/>
    <w:lvl w:ilvl="0" w:tentative="0">
      <w:start w:val="1"/>
      <w:numFmt w:val="decimal"/>
      <w:lvlText w:val="%1"/>
      <w:lvlJc w:val="left"/>
      <w:pPr>
        <w:ind w:left="420"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5442C9F"/>
    <w:multiLevelType w:val="multilevel"/>
    <w:tmpl w:val="35442C9F"/>
    <w:lvl w:ilvl="0" w:tentative="0">
      <w:start w:val="1"/>
      <w:numFmt w:val="decimal"/>
      <w:lvlText w:val="（%1）"/>
      <w:lvlJc w:val="left"/>
      <w:pPr>
        <w:ind w:left="6516"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
    <w:nsid w:val="37C132BF"/>
    <w:multiLevelType w:val="multilevel"/>
    <w:tmpl w:val="37C132BF"/>
    <w:lvl w:ilvl="0" w:tentative="0">
      <w:start w:val="1"/>
      <w:numFmt w:val="decimal"/>
      <w:lvlText w:val="4.%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8F606C2"/>
    <w:multiLevelType w:val="multilevel"/>
    <w:tmpl w:val="38F606C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DE06FC6"/>
    <w:multiLevelType w:val="multilevel"/>
    <w:tmpl w:val="3DE06FC6"/>
    <w:lvl w:ilvl="0" w:tentative="0">
      <w:start w:val="1"/>
      <w:numFmt w:val="decimal"/>
      <w:lvlText w:val="20.%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FF72387"/>
    <w:multiLevelType w:val="multilevel"/>
    <w:tmpl w:val="3FF72387"/>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35">
    <w:nsid w:val="40E6015E"/>
    <w:multiLevelType w:val="multilevel"/>
    <w:tmpl w:val="40E6015E"/>
    <w:lvl w:ilvl="0" w:tentative="0">
      <w:start w:val="1"/>
      <w:numFmt w:val="decimal"/>
      <w:lvlText w:val="29.2.%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36">
    <w:nsid w:val="41730A17"/>
    <w:multiLevelType w:val="multilevel"/>
    <w:tmpl w:val="41730A17"/>
    <w:lvl w:ilvl="0" w:tentative="0">
      <w:start w:val="1"/>
      <w:numFmt w:val="decimal"/>
      <w:lvlText w:val="21.%1"/>
      <w:lvlJc w:val="left"/>
      <w:pPr>
        <w:ind w:left="562" w:hanging="420"/>
      </w:pPr>
      <w:rPr>
        <w:rFonts w:hint="default" w:ascii="仿宋" w:hAnsi="仿宋" w:eastAsia="仿宋"/>
        <w:b w:val="0"/>
        <w:strike w:val="0"/>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37">
    <w:nsid w:val="440821F5"/>
    <w:multiLevelType w:val="multilevel"/>
    <w:tmpl w:val="440821F5"/>
    <w:lvl w:ilvl="0" w:tentative="0">
      <w:start w:val="1"/>
      <w:numFmt w:val="decimal"/>
      <w:lvlText w:val="%1."/>
      <w:lvlJc w:val="left"/>
      <w:pPr>
        <w:ind w:left="420" w:hanging="420"/>
      </w:pPr>
      <w:rPr>
        <w:rFonts w:hint="default" w:ascii="宋体" w:hAnsi="宋体" w:eastAsia="宋体"/>
        <w:b/>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445F2796"/>
    <w:multiLevelType w:val="multilevel"/>
    <w:tmpl w:val="445F2796"/>
    <w:lvl w:ilvl="0" w:tentative="0">
      <w:start w:val="1"/>
      <w:numFmt w:val="decimal"/>
      <w:lvlText w:val="2.%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9">
    <w:nsid w:val="4D575265"/>
    <w:multiLevelType w:val="multilevel"/>
    <w:tmpl w:val="4D575265"/>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40">
    <w:nsid w:val="4EAF5455"/>
    <w:multiLevelType w:val="multilevel"/>
    <w:tmpl w:val="4EAF545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505F200A"/>
    <w:multiLevelType w:val="multilevel"/>
    <w:tmpl w:val="505F200A"/>
    <w:lvl w:ilvl="0" w:tentative="0">
      <w:start w:val="1"/>
      <w:numFmt w:val="decimal"/>
      <w:lvlText w:val="1.%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2">
    <w:nsid w:val="54AC2495"/>
    <w:multiLevelType w:val="multilevel"/>
    <w:tmpl w:val="54AC2495"/>
    <w:lvl w:ilvl="0" w:tentative="0">
      <w:start w:val="1"/>
      <w:numFmt w:val="decimal"/>
      <w:lvlText w:val="26.%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56886DD6"/>
    <w:multiLevelType w:val="multilevel"/>
    <w:tmpl w:val="56886DD6"/>
    <w:lvl w:ilvl="0" w:tentative="0">
      <w:start w:val="1"/>
      <w:numFmt w:val="chineseCountingThousand"/>
      <w:lvlText w:val="%1、"/>
      <w:lvlJc w:val="left"/>
      <w:pPr>
        <w:ind w:left="420" w:hanging="420"/>
      </w:pPr>
      <w:rPr>
        <w:rFonts w:hint="default" w:ascii="黑体" w:hAnsi="黑体" w:eastAsia="黑体"/>
        <w:b/>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570117E4"/>
    <w:multiLevelType w:val="multilevel"/>
    <w:tmpl w:val="570117E4"/>
    <w:lvl w:ilvl="0" w:tentative="0">
      <w:start w:val="1"/>
      <w:numFmt w:val="decimal"/>
      <w:lvlText w:val="23.%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577C0B87"/>
    <w:multiLevelType w:val="multilevel"/>
    <w:tmpl w:val="577C0B87"/>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59A852BA"/>
    <w:multiLevelType w:val="multilevel"/>
    <w:tmpl w:val="59A852BA"/>
    <w:lvl w:ilvl="0" w:tentative="0">
      <w:start w:val="1"/>
      <w:numFmt w:val="decimal"/>
      <w:lvlText w:val="6.%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47">
    <w:nsid w:val="5A0B11B2"/>
    <w:multiLevelType w:val="multilevel"/>
    <w:tmpl w:val="5A0B11B2"/>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48">
    <w:nsid w:val="5AFD36B5"/>
    <w:multiLevelType w:val="multilevel"/>
    <w:tmpl w:val="5AFD36B5"/>
    <w:lvl w:ilvl="0" w:tentative="0">
      <w:start w:val="1"/>
      <w:numFmt w:val="chineseCountingThousand"/>
      <w:lvlText w:val="%1、"/>
      <w:lvlJc w:val="left"/>
      <w:pPr>
        <w:ind w:left="420" w:hanging="420"/>
      </w:pPr>
      <w:rPr>
        <w:rFonts w:hint="eastAsia" w:ascii="宋体" w:hAnsi="宋体" w:eastAsia="宋体"/>
        <w:sz w:val="28"/>
        <w:szCs w:val="28"/>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49">
    <w:nsid w:val="5AFD36C0"/>
    <w:multiLevelType w:val="multilevel"/>
    <w:tmpl w:val="5AFD36C0"/>
    <w:lvl w:ilvl="0" w:tentative="0">
      <w:start w:val="1"/>
      <w:numFmt w:val="decimal"/>
      <w:lvlText w:val="%1"/>
      <w:lvlJc w:val="left"/>
      <w:pPr>
        <w:ind w:left="324" w:hanging="420"/>
      </w:pPr>
      <w:rPr>
        <w:rFonts w:hint="eastAsia" w:ascii="宋体" w:hAnsi="宋体" w:eastAsia="宋体"/>
        <w:b/>
        <w:bCs/>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50">
    <w:nsid w:val="5AFD36CB"/>
    <w:multiLevelType w:val="multilevel"/>
    <w:tmpl w:val="5AFD36CB"/>
    <w:lvl w:ilvl="0" w:tentative="0">
      <w:start w:val="1"/>
      <w:numFmt w:val="chineseCountingThousand"/>
      <w:lvlText w:val="（%1）"/>
      <w:lvlJc w:val="left"/>
      <w:pPr>
        <w:ind w:left="988" w:hanging="420"/>
      </w:pPr>
      <w:rPr>
        <w:rFonts w:hint="eastAsia" w:ascii="黑体" w:eastAsia="黑体"/>
        <w:sz w:val="24"/>
        <w:szCs w:val="24"/>
      </w:rPr>
    </w:lvl>
    <w:lvl w:ilvl="1" w:tentative="0">
      <w:start w:val="1"/>
      <w:numFmt w:val="lowerLetter"/>
      <w:lvlText w:val="%2)"/>
      <w:lvlJc w:val="left"/>
      <w:pPr>
        <w:ind w:left="-16" w:hanging="420"/>
      </w:pPr>
      <w:rPr>
        <w:rFonts w:hint="default" w:ascii="Times New Roman" w:hAnsi="Times New Roman" w:cs="Times New Roman"/>
      </w:rPr>
    </w:lvl>
    <w:lvl w:ilvl="2" w:tentative="0">
      <w:start w:val="1"/>
      <w:numFmt w:val="lowerRoman"/>
      <w:lvlText w:val="%3."/>
      <w:lvlJc w:val="right"/>
      <w:pPr>
        <w:ind w:left="404" w:hanging="420"/>
      </w:pPr>
      <w:rPr>
        <w:rFonts w:hint="default" w:ascii="Times New Roman" w:hAnsi="Times New Roman" w:cs="Times New Roman"/>
      </w:rPr>
    </w:lvl>
    <w:lvl w:ilvl="3" w:tentative="0">
      <w:start w:val="1"/>
      <w:numFmt w:val="decimal"/>
      <w:lvlText w:val="%4."/>
      <w:lvlJc w:val="left"/>
      <w:pPr>
        <w:ind w:left="824" w:hanging="420"/>
      </w:pPr>
      <w:rPr>
        <w:rFonts w:hint="default" w:ascii="Times New Roman" w:hAnsi="Times New Roman" w:cs="Times New Roman"/>
      </w:rPr>
    </w:lvl>
    <w:lvl w:ilvl="4" w:tentative="0">
      <w:start w:val="1"/>
      <w:numFmt w:val="lowerLetter"/>
      <w:lvlText w:val="%5)"/>
      <w:lvlJc w:val="left"/>
      <w:pPr>
        <w:ind w:left="1244" w:hanging="420"/>
      </w:pPr>
      <w:rPr>
        <w:rFonts w:hint="default" w:ascii="Times New Roman" w:hAnsi="Times New Roman" w:cs="Times New Roman"/>
      </w:rPr>
    </w:lvl>
    <w:lvl w:ilvl="5" w:tentative="0">
      <w:start w:val="1"/>
      <w:numFmt w:val="lowerRoman"/>
      <w:lvlText w:val="%6."/>
      <w:lvlJc w:val="right"/>
      <w:pPr>
        <w:ind w:left="1664" w:hanging="420"/>
      </w:pPr>
      <w:rPr>
        <w:rFonts w:hint="default" w:ascii="Times New Roman" w:hAnsi="Times New Roman" w:cs="Times New Roman"/>
      </w:rPr>
    </w:lvl>
    <w:lvl w:ilvl="6" w:tentative="0">
      <w:start w:val="1"/>
      <w:numFmt w:val="decimal"/>
      <w:lvlText w:val="%7."/>
      <w:lvlJc w:val="left"/>
      <w:pPr>
        <w:ind w:left="2084" w:hanging="420"/>
      </w:pPr>
      <w:rPr>
        <w:rFonts w:hint="default" w:ascii="Times New Roman" w:hAnsi="Times New Roman" w:cs="Times New Roman"/>
      </w:rPr>
    </w:lvl>
    <w:lvl w:ilvl="7" w:tentative="0">
      <w:start w:val="1"/>
      <w:numFmt w:val="lowerLetter"/>
      <w:lvlText w:val="%8)"/>
      <w:lvlJc w:val="left"/>
      <w:pPr>
        <w:ind w:left="2504" w:hanging="420"/>
      </w:pPr>
      <w:rPr>
        <w:rFonts w:hint="default" w:ascii="Times New Roman" w:hAnsi="Times New Roman" w:cs="Times New Roman"/>
      </w:rPr>
    </w:lvl>
    <w:lvl w:ilvl="8" w:tentative="0">
      <w:start w:val="1"/>
      <w:numFmt w:val="lowerRoman"/>
      <w:lvlText w:val="%9."/>
      <w:lvlJc w:val="right"/>
      <w:pPr>
        <w:ind w:left="2924" w:hanging="420"/>
      </w:pPr>
      <w:rPr>
        <w:rFonts w:hint="default" w:ascii="Times New Roman" w:hAnsi="Times New Roman" w:cs="Times New Roman"/>
      </w:rPr>
    </w:lvl>
  </w:abstractNum>
  <w:abstractNum w:abstractNumId="51">
    <w:nsid w:val="5AFD36D6"/>
    <w:multiLevelType w:val="multilevel"/>
    <w:tmpl w:val="5AFD36D6"/>
    <w:lvl w:ilvl="0" w:tentative="0">
      <w:start w:val="1"/>
      <w:numFmt w:val="decimal"/>
      <w:lvlText w:val="%1"/>
      <w:lvlJc w:val="center"/>
      <w:pPr>
        <w:ind w:left="846" w:hanging="420"/>
      </w:pPr>
      <w:rPr>
        <w:rFonts w:hint="eastAsia" w:ascii="宋体" w:hAnsi="宋体" w:eastAsia="宋体"/>
        <w:b/>
        <w:bCs/>
        <w:i w:val="0"/>
        <w:iCs w:val="0"/>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52">
    <w:nsid w:val="5AFD36E1"/>
    <w:multiLevelType w:val="multilevel"/>
    <w:tmpl w:val="5AFD36E1"/>
    <w:lvl w:ilvl="0" w:tentative="0">
      <w:start w:val="1"/>
      <w:numFmt w:val="decimal"/>
      <w:lvlText w:val="%1"/>
      <w:lvlJc w:val="center"/>
      <w:pPr>
        <w:ind w:left="846" w:hanging="420"/>
      </w:pPr>
      <w:rPr>
        <w:rFonts w:hint="eastAsia" w:ascii="宋体" w:hAnsi="宋体" w:eastAsia="宋体"/>
        <w:b/>
        <w:bCs/>
        <w:i w:val="0"/>
        <w:iCs w:val="0"/>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53">
    <w:nsid w:val="61F95093"/>
    <w:multiLevelType w:val="multilevel"/>
    <w:tmpl w:val="61F95093"/>
    <w:lvl w:ilvl="0" w:tentative="0">
      <w:start w:val="1"/>
      <w:numFmt w:val="decimal"/>
      <w:lvlText w:val="31.%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643B08CA"/>
    <w:multiLevelType w:val="multilevel"/>
    <w:tmpl w:val="643B08CA"/>
    <w:lvl w:ilvl="0" w:tentative="0">
      <w:start w:val="1"/>
      <w:numFmt w:val="decimal"/>
      <w:lvlText w:val="3.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55">
    <w:nsid w:val="64E31E93"/>
    <w:multiLevelType w:val="multilevel"/>
    <w:tmpl w:val="64E31E93"/>
    <w:lvl w:ilvl="0" w:tentative="0">
      <w:start w:val="1"/>
      <w:numFmt w:val="decimal"/>
      <w:lvlText w:val="2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69647823"/>
    <w:multiLevelType w:val="multilevel"/>
    <w:tmpl w:val="69647823"/>
    <w:lvl w:ilvl="0" w:tentative="0">
      <w:start w:val="1"/>
      <w:numFmt w:val="decimal"/>
      <w:lvlText w:val="3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70DD1B88"/>
    <w:multiLevelType w:val="multilevel"/>
    <w:tmpl w:val="70DD1B88"/>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58">
    <w:nsid w:val="71581402"/>
    <w:multiLevelType w:val="multilevel"/>
    <w:tmpl w:val="71581402"/>
    <w:lvl w:ilvl="0" w:tentative="0">
      <w:start w:val="1"/>
      <w:numFmt w:val="decimal"/>
      <w:lvlText w:val="2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71731B18"/>
    <w:multiLevelType w:val="multilevel"/>
    <w:tmpl w:val="71731B18"/>
    <w:lvl w:ilvl="0" w:tentative="0">
      <w:start w:val="1"/>
      <w:numFmt w:val="decimal"/>
      <w:lvlText w:val="2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730B37A3"/>
    <w:multiLevelType w:val="multilevel"/>
    <w:tmpl w:val="730B37A3"/>
    <w:lvl w:ilvl="0" w:tentative="0">
      <w:start w:val="1"/>
      <w:numFmt w:val="decimal"/>
      <w:lvlText w:val="2.%1"/>
      <w:lvlJc w:val="left"/>
      <w:pPr>
        <w:ind w:left="372" w:hanging="420"/>
      </w:pPr>
      <w:rPr>
        <w:rFonts w:hint="default" w:ascii="仿宋" w:hAnsi="仿宋" w:eastAsia="仿宋"/>
        <w:b w:val="0"/>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61">
    <w:nsid w:val="768933D5"/>
    <w:multiLevelType w:val="multilevel"/>
    <w:tmpl w:val="768933D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62">
    <w:nsid w:val="774C7C21"/>
    <w:multiLevelType w:val="multilevel"/>
    <w:tmpl w:val="774C7C21"/>
    <w:lvl w:ilvl="0" w:tentative="0">
      <w:start w:val="1"/>
      <w:numFmt w:val="decimal"/>
      <w:lvlText w:val="1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786B7301"/>
    <w:multiLevelType w:val="multilevel"/>
    <w:tmpl w:val="786B7301"/>
    <w:lvl w:ilvl="0" w:tentative="0">
      <w:start w:val="1"/>
      <w:numFmt w:val="decimal"/>
      <w:lvlText w:val="2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797F553B"/>
    <w:multiLevelType w:val="multilevel"/>
    <w:tmpl w:val="797F553B"/>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65">
    <w:nsid w:val="7A0C6CFB"/>
    <w:multiLevelType w:val="multilevel"/>
    <w:tmpl w:val="7A0C6CFB"/>
    <w:lvl w:ilvl="0" w:tentative="0">
      <w:start w:val="1"/>
      <w:numFmt w:val="decimal"/>
      <w:lvlText w:val="2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7ECB03B9"/>
    <w:multiLevelType w:val="multilevel"/>
    <w:tmpl w:val="7ECB03B9"/>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num w:numId="1">
    <w:abstractNumId w:val="40"/>
  </w:num>
  <w:num w:numId="2">
    <w:abstractNumId w:val="2"/>
  </w:num>
  <w:num w:numId="3">
    <w:abstractNumId w:val="17"/>
  </w:num>
  <w:num w:numId="4">
    <w:abstractNumId w:val="29"/>
  </w:num>
  <w:num w:numId="5">
    <w:abstractNumId w:val="43"/>
  </w:num>
  <w:num w:numId="6">
    <w:abstractNumId w:val="3"/>
  </w:num>
  <w:num w:numId="7">
    <w:abstractNumId w:val="37"/>
  </w:num>
  <w:num w:numId="8">
    <w:abstractNumId w:val="14"/>
  </w:num>
  <w:num w:numId="9">
    <w:abstractNumId w:val="5"/>
  </w:num>
  <w:num w:numId="10">
    <w:abstractNumId w:val="54"/>
  </w:num>
  <w:num w:numId="11">
    <w:abstractNumId w:val="31"/>
  </w:num>
  <w:num w:numId="12">
    <w:abstractNumId w:val="46"/>
  </w:num>
  <w:num w:numId="13">
    <w:abstractNumId w:val="28"/>
  </w:num>
  <w:num w:numId="14">
    <w:abstractNumId w:val="4"/>
  </w:num>
  <w:num w:numId="15">
    <w:abstractNumId w:val="21"/>
  </w:num>
  <w:num w:numId="16">
    <w:abstractNumId w:val="22"/>
  </w:num>
  <w:num w:numId="17">
    <w:abstractNumId w:val="7"/>
  </w:num>
  <w:num w:numId="18">
    <w:abstractNumId w:val="62"/>
  </w:num>
  <w:num w:numId="19">
    <w:abstractNumId w:val="8"/>
  </w:num>
  <w:num w:numId="20">
    <w:abstractNumId w:val="27"/>
  </w:num>
  <w:num w:numId="21">
    <w:abstractNumId w:val="33"/>
  </w:num>
  <w:num w:numId="22">
    <w:abstractNumId w:val="36"/>
  </w:num>
  <w:num w:numId="23">
    <w:abstractNumId w:val="65"/>
  </w:num>
  <w:num w:numId="24">
    <w:abstractNumId w:val="44"/>
  </w:num>
  <w:num w:numId="25">
    <w:abstractNumId w:val="58"/>
  </w:num>
  <w:num w:numId="26">
    <w:abstractNumId w:val="63"/>
  </w:num>
  <w:num w:numId="27">
    <w:abstractNumId w:val="42"/>
  </w:num>
  <w:num w:numId="28">
    <w:abstractNumId w:val="6"/>
  </w:num>
  <w:num w:numId="29">
    <w:abstractNumId w:val="19"/>
  </w:num>
  <w:num w:numId="30">
    <w:abstractNumId w:val="59"/>
  </w:num>
  <w:num w:numId="31">
    <w:abstractNumId w:val="55"/>
  </w:num>
  <w:num w:numId="32">
    <w:abstractNumId w:val="35"/>
  </w:num>
  <w:num w:numId="33">
    <w:abstractNumId w:val="53"/>
  </w:num>
  <w:num w:numId="34">
    <w:abstractNumId w:val="23"/>
  </w:num>
  <w:num w:numId="35">
    <w:abstractNumId w:val="56"/>
  </w:num>
  <w:num w:numId="36">
    <w:abstractNumId w:val="1"/>
  </w:num>
  <w:num w:numId="37">
    <w:abstractNumId w:val="48"/>
    <w:lvlOverride w:ilvl="0">
      <w:startOverride w:val="1"/>
    </w:lvlOverride>
  </w:num>
  <w:num w:numId="38">
    <w:abstractNumId w:val="49"/>
    <w:lvlOverride w:ilvl="0">
      <w:startOverride w:val="1"/>
    </w:lvlOverride>
  </w:num>
  <w:num w:numId="39">
    <w:abstractNumId w:val="50"/>
    <w:lvlOverride w:ilvl="0">
      <w:startOverride w:val="1"/>
    </w:lvlOverride>
  </w:num>
  <w:num w:numId="40">
    <w:abstractNumId w:val="51"/>
    <w:lvlOverride w:ilvl="0">
      <w:startOverride w:val="1"/>
    </w:lvlOverride>
  </w:num>
  <w:num w:numId="41">
    <w:abstractNumId w:val="52"/>
    <w:lvlOverride w:ilvl="0">
      <w:startOverride w:val="1"/>
    </w:lvlOverride>
  </w:num>
  <w:num w:numId="42">
    <w:abstractNumId w:val="45"/>
  </w:num>
  <w:num w:numId="43">
    <w:abstractNumId w:val="25"/>
  </w:num>
  <w:num w:numId="44">
    <w:abstractNumId w:val="41"/>
  </w:num>
  <w:num w:numId="45">
    <w:abstractNumId w:val="30"/>
  </w:num>
  <w:num w:numId="46">
    <w:abstractNumId w:val="38"/>
  </w:num>
  <w:num w:numId="47">
    <w:abstractNumId w:val="32"/>
  </w:num>
  <w:num w:numId="48">
    <w:abstractNumId w:val="16"/>
  </w:num>
  <w:num w:numId="49">
    <w:abstractNumId w:val="47"/>
  </w:num>
  <w:num w:numId="50">
    <w:abstractNumId w:val="66"/>
  </w:num>
  <w:num w:numId="51">
    <w:abstractNumId w:val="18"/>
  </w:num>
  <w:num w:numId="52">
    <w:abstractNumId w:val="15"/>
  </w:num>
  <w:num w:numId="53">
    <w:abstractNumId w:val="0"/>
  </w:num>
  <w:num w:numId="54">
    <w:abstractNumId w:val="12"/>
  </w:num>
  <w:num w:numId="55">
    <w:abstractNumId w:val="24"/>
  </w:num>
  <w:num w:numId="56">
    <w:abstractNumId w:val="64"/>
  </w:num>
  <w:num w:numId="57">
    <w:abstractNumId w:val="57"/>
  </w:num>
  <w:num w:numId="58">
    <w:abstractNumId w:val="39"/>
  </w:num>
  <w:num w:numId="59">
    <w:abstractNumId w:val="11"/>
  </w:num>
  <w:num w:numId="60">
    <w:abstractNumId w:val="20"/>
  </w:num>
  <w:num w:numId="61">
    <w:abstractNumId w:val="60"/>
  </w:num>
  <w:num w:numId="62">
    <w:abstractNumId w:val="34"/>
  </w:num>
  <w:num w:numId="63">
    <w:abstractNumId w:val="61"/>
  </w:num>
  <w:num w:numId="64">
    <w:abstractNumId w:val="10"/>
  </w:num>
  <w:num w:numId="65">
    <w:abstractNumId w:val="9"/>
  </w:num>
  <w:num w:numId="66">
    <w:abstractNumId w:val="13"/>
  </w:num>
  <w:num w:numId="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6"/>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A00DB5"/>
    <w:rsid w:val="00036C10"/>
    <w:rsid w:val="00084E98"/>
    <w:rsid w:val="00092B59"/>
    <w:rsid w:val="000C0D63"/>
    <w:rsid w:val="001739D0"/>
    <w:rsid w:val="001C79D5"/>
    <w:rsid w:val="001D69B5"/>
    <w:rsid w:val="002148A1"/>
    <w:rsid w:val="00266F12"/>
    <w:rsid w:val="002B07B4"/>
    <w:rsid w:val="002D0D60"/>
    <w:rsid w:val="002E0358"/>
    <w:rsid w:val="002E3734"/>
    <w:rsid w:val="003863D4"/>
    <w:rsid w:val="003A4F80"/>
    <w:rsid w:val="003F1C36"/>
    <w:rsid w:val="003F2BB8"/>
    <w:rsid w:val="003F4EB1"/>
    <w:rsid w:val="00412746"/>
    <w:rsid w:val="00436B52"/>
    <w:rsid w:val="00442D6D"/>
    <w:rsid w:val="0045431C"/>
    <w:rsid w:val="00494078"/>
    <w:rsid w:val="004A3A0F"/>
    <w:rsid w:val="004D7CFC"/>
    <w:rsid w:val="0050047C"/>
    <w:rsid w:val="0050349F"/>
    <w:rsid w:val="005232AE"/>
    <w:rsid w:val="00531CA5"/>
    <w:rsid w:val="0053605F"/>
    <w:rsid w:val="00552802"/>
    <w:rsid w:val="005B384E"/>
    <w:rsid w:val="005B75DC"/>
    <w:rsid w:val="005C7A45"/>
    <w:rsid w:val="005D1DA1"/>
    <w:rsid w:val="005E5226"/>
    <w:rsid w:val="005F4064"/>
    <w:rsid w:val="00606BCE"/>
    <w:rsid w:val="0062035B"/>
    <w:rsid w:val="00633727"/>
    <w:rsid w:val="00643811"/>
    <w:rsid w:val="006538F6"/>
    <w:rsid w:val="00672A78"/>
    <w:rsid w:val="00677B81"/>
    <w:rsid w:val="00691536"/>
    <w:rsid w:val="006B0913"/>
    <w:rsid w:val="006D5B6D"/>
    <w:rsid w:val="006E24CD"/>
    <w:rsid w:val="006E6D50"/>
    <w:rsid w:val="00791667"/>
    <w:rsid w:val="007F3D64"/>
    <w:rsid w:val="008214CE"/>
    <w:rsid w:val="00866E9D"/>
    <w:rsid w:val="00871048"/>
    <w:rsid w:val="008A7168"/>
    <w:rsid w:val="008F33F2"/>
    <w:rsid w:val="009344DC"/>
    <w:rsid w:val="00942A08"/>
    <w:rsid w:val="00977A03"/>
    <w:rsid w:val="009A2805"/>
    <w:rsid w:val="009B3B1F"/>
    <w:rsid w:val="009C4DA5"/>
    <w:rsid w:val="009D39D5"/>
    <w:rsid w:val="009F2C5C"/>
    <w:rsid w:val="009F796C"/>
    <w:rsid w:val="00A00DB5"/>
    <w:rsid w:val="00A03973"/>
    <w:rsid w:val="00A319B1"/>
    <w:rsid w:val="00A41F61"/>
    <w:rsid w:val="00A53E88"/>
    <w:rsid w:val="00AB4D1D"/>
    <w:rsid w:val="00AD3129"/>
    <w:rsid w:val="00B433C9"/>
    <w:rsid w:val="00B5597F"/>
    <w:rsid w:val="00BB6E09"/>
    <w:rsid w:val="00BD4445"/>
    <w:rsid w:val="00BE6B28"/>
    <w:rsid w:val="00C8145A"/>
    <w:rsid w:val="00C96F19"/>
    <w:rsid w:val="00CF72FC"/>
    <w:rsid w:val="00D25A91"/>
    <w:rsid w:val="00D35C8D"/>
    <w:rsid w:val="00DE66D9"/>
    <w:rsid w:val="00E101E8"/>
    <w:rsid w:val="00E11B10"/>
    <w:rsid w:val="00E16C71"/>
    <w:rsid w:val="00E35388"/>
    <w:rsid w:val="00E72726"/>
    <w:rsid w:val="00E92827"/>
    <w:rsid w:val="00EA33C0"/>
    <w:rsid w:val="00ED7F1B"/>
    <w:rsid w:val="00F216C5"/>
    <w:rsid w:val="00F370C1"/>
    <w:rsid w:val="00F54A0A"/>
    <w:rsid w:val="00F62CEC"/>
    <w:rsid w:val="00F64DD1"/>
    <w:rsid w:val="00F81076"/>
    <w:rsid w:val="00FC598F"/>
    <w:rsid w:val="00FF44D8"/>
    <w:rsid w:val="03A64B69"/>
    <w:rsid w:val="05ED35C6"/>
    <w:rsid w:val="080D6787"/>
    <w:rsid w:val="08C57871"/>
    <w:rsid w:val="09F62C91"/>
    <w:rsid w:val="0B6B1F0B"/>
    <w:rsid w:val="0B7D148B"/>
    <w:rsid w:val="0C457F28"/>
    <w:rsid w:val="0DD065F4"/>
    <w:rsid w:val="0E2A7D58"/>
    <w:rsid w:val="0F3110C8"/>
    <w:rsid w:val="0FD30983"/>
    <w:rsid w:val="11DF1E58"/>
    <w:rsid w:val="11F3145E"/>
    <w:rsid w:val="12134C2C"/>
    <w:rsid w:val="12B02035"/>
    <w:rsid w:val="12E60311"/>
    <w:rsid w:val="13D42198"/>
    <w:rsid w:val="13E46216"/>
    <w:rsid w:val="14D01A84"/>
    <w:rsid w:val="14EA1CE0"/>
    <w:rsid w:val="16356A34"/>
    <w:rsid w:val="16421F11"/>
    <w:rsid w:val="16C76622"/>
    <w:rsid w:val="178F63E3"/>
    <w:rsid w:val="179675A0"/>
    <w:rsid w:val="18381870"/>
    <w:rsid w:val="18F56002"/>
    <w:rsid w:val="19322AE7"/>
    <w:rsid w:val="1A9C7638"/>
    <w:rsid w:val="1AB339DA"/>
    <w:rsid w:val="1BDB40CE"/>
    <w:rsid w:val="1C050AF3"/>
    <w:rsid w:val="1C0E1A98"/>
    <w:rsid w:val="1C7A6BC9"/>
    <w:rsid w:val="1CDE1C97"/>
    <w:rsid w:val="1CE600AE"/>
    <w:rsid w:val="1D5E56F8"/>
    <w:rsid w:val="1DA32D45"/>
    <w:rsid w:val="1E9B0A3A"/>
    <w:rsid w:val="1EB02F65"/>
    <w:rsid w:val="1F5A702D"/>
    <w:rsid w:val="20264D57"/>
    <w:rsid w:val="20320ABD"/>
    <w:rsid w:val="212328BD"/>
    <w:rsid w:val="21452025"/>
    <w:rsid w:val="21B5210B"/>
    <w:rsid w:val="22853453"/>
    <w:rsid w:val="22F2096C"/>
    <w:rsid w:val="231C5618"/>
    <w:rsid w:val="24C41630"/>
    <w:rsid w:val="252E5011"/>
    <w:rsid w:val="25DC5DEC"/>
    <w:rsid w:val="263B17C8"/>
    <w:rsid w:val="273B4398"/>
    <w:rsid w:val="291701C8"/>
    <w:rsid w:val="2BE64AE3"/>
    <w:rsid w:val="2CDF1F2B"/>
    <w:rsid w:val="2D9B3963"/>
    <w:rsid w:val="2E8677CD"/>
    <w:rsid w:val="2F536A98"/>
    <w:rsid w:val="2FB91465"/>
    <w:rsid w:val="302C7240"/>
    <w:rsid w:val="31713F39"/>
    <w:rsid w:val="31964007"/>
    <w:rsid w:val="32B1206F"/>
    <w:rsid w:val="33540C46"/>
    <w:rsid w:val="357953FE"/>
    <w:rsid w:val="36AB150F"/>
    <w:rsid w:val="36D55EF9"/>
    <w:rsid w:val="37051ACD"/>
    <w:rsid w:val="37253E8A"/>
    <w:rsid w:val="37534178"/>
    <w:rsid w:val="375F32CB"/>
    <w:rsid w:val="37996117"/>
    <w:rsid w:val="37D416A4"/>
    <w:rsid w:val="39354E4A"/>
    <w:rsid w:val="396C508C"/>
    <w:rsid w:val="3A59064C"/>
    <w:rsid w:val="3AB91A2A"/>
    <w:rsid w:val="3B3F60E8"/>
    <w:rsid w:val="3C3104DF"/>
    <w:rsid w:val="3CDF116D"/>
    <w:rsid w:val="3DF02BFD"/>
    <w:rsid w:val="3E487E67"/>
    <w:rsid w:val="3EA63361"/>
    <w:rsid w:val="3EB01EEA"/>
    <w:rsid w:val="3F89210D"/>
    <w:rsid w:val="403F2B47"/>
    <w:rsid w:val="40DF302C"/>
    <w:rsid w:val="40E46C28"/>
    <w:rsid w:val="41741B70"/>
    <w:rsid w:val="41D44426"/>
    <w:rsid w:val="424E4B6A"/>
    <w:rsid w:val="427A663F"/>
    <w:rsid w:val="4330314B"/>
    <w:rsid w:val="4353614C"/>
    <w:rsid w:val="455E5FE8"/>
    <w:rsid w:val="458E0E3B"/>
    <w:rsid w:val="45BB0276"/>
    <w:rsid w:val="47562586"/>
    <w:rsid w:val="48180C2B"/>
    <w:rsid w:val="49AA7CAD"/>
    <w:rsid w:val="4AA21989"/>
    <w:rsid w:val="4AB16169"/>
    <w:rsid w:val="4AE333C7"/>
    <w:rsid w:val="4B422933"/>
    <w:rsid w:val="4CC51A03"/>
    <w:rsid w:val="4E474A4B"/>
    <w:rsid w:val="4E5E3137"/>
    <w:rsid w:val="4F3E25D9"/>
    <w:rsid w:val="50065EA4"/>
    <w:rsid w:val="50E336C1"/>
    <w:rsid w:val="51086382"/>
    <w:rsid w:val="52922686"/>
    <w:rsid w:val="532D7D83"/>
    <w:rsid w:val="53F2217D"/>
    <w:rsid w:val="55D831E4"/>
    <w:rsid w:val="57680125"/>
    <w:rsid w:val="5B333A82"/>
    <w:rsid w:val="5B792034"/>
    <w:rsid w:val="5C5D7C48"/>
    <w:rsid w:val="5E325597"/>
    <w:rsid w:val="5EC90ABC"/>
    <w:rsid w:val="5F01496B"/>
    <w:rsid w:val="5F2330F5"/>
    <w:rsid w:val="5F276DA9"/>
    <w:rsid w:val="5FC1205A"/>
    <w:rsid w:val="612B2CF7"/>
    <w:rsid w:val="61554288"/>
    <w:rsid w:val="629D7D44"/>
    <w:rsid w:val="63B73047"/>
    <w:rsid w:val="63CE3478"/>
    <w:rsid w:val="64A92CF8"/>
    <w:rsid w:val="66281EC1"/>
    <w:rsid w:val="682A60F2"/>
    <w:rsid w:val="68754EED"/>
    <w:rsid w:val="68A52399"/>
    <w:rsid w:val="68B51559"/>
    <w:rsid w:val="68EE1602"/>
    <w:rsid w:val="69732BB6"/>
    <w:rsid w:val="69A63060"/>
    <w:rsid w:val="69BC1740"/>
    <w:rsid w:val="69DC5D71"/>
    <w:rsid w:val="6A5B247A"/>
    <w:rsid w:val="6BAE6CB9"/>
    <w:rsid w:val="6C7C6F35"/>
    <w:rsid w:val="6C8266AE"/>
    <w:rsid w:val="6E2D5DD3"/>
    <w:rsid w:val="6EE52D4A"/>
    <w:rsid w:val="6F53712D"/>
    <w:rsid w:val="705339F7"/>
    <w:rsid w:val="70A567B9"/>
    <w:rsid w:val="71326D93"/>
    <w:rsid w:val="716236AE"/>
    <w:rsid w:val="7193658F"/>
    <w:rsid w:val="71FB579F"/>
    <w:rsid w:val="73C94B85"/>
    <w:rsid w:val="73F310C6"/>
    <w:rsid w:val="742665A0"/>
    <w:rsid w:val="74FC4AA9"/>
    <w:rsid w:val="75D4469A"/>
    <w:rsid w:val="777138F3"/>
    <w:rsid w:val="78B125B1"/>
    <w:rsid w:val="78D244C8"/>
    <w:rsid w:val="79094B82"/>
    <w:rsid w:val="794376E8"/>
    <w:rsid w:val="7A5429A6"/>
    <w:rsid w:val="7A5D6AD3"/>
    <w:rsid w:val="7AE06308"/>
    <w:rsid w:val="7C8C7D58"/>
    <w:rsid w:val="7E424DCC"/>
    <w:rsid w:val="7F347064"/>
    <w:rsid w:val="7FB05A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首行缩进 21"/>
    <w:basedOn w:val="3"/>
    <w:qFormat/>
    <w:uiPriority w:val="0"/>
    <w:pPr>
      <w:ind w:firstLine="420"/>
    </w:pPr>
  </w:style>
  <w:style w:type="paragraph" w:customStyle="1" w:styleId="3">
    <w:name w:val="正文文本缩进1"/>
    <w:basedOn w:val="1"/>
    <w:qFormat/>
    <w:uiPriority w:val="0"/>
    <w:pPr>
      <w:spacing w:after="120"/>
      <w:ind w:left="420" w:leftChars="200"/>
    </w:pPr>
  </w:style>
  <w:style w:type="paragraph" w:styleId="6">
    <w:name w:val="Normal Indent"/>
    <w:basedOn w:val="1"/>
    <w:link w:val="38"/>
    <w:qFormat/>
    <w:uiPriority w:val="0"/>
    <w:pPr>
      <w:ind w:firstLine="420"/>
    </w:pPr>
  </w:style>
  <w:style w:type="paragraph" w:styleId="7">
    <w:name w:val="annotation text"/>
    <w:basedOn w:val="1"/>
    <w:link w:val="29"/>
    <w:unhideWhenUsed/>
    <w:qFormat/>
    <w:uiPriority w:val="99"/>
    <w:pPr>
      <w:jc w:val="left"/>
    </w:pPr>
  </w:style>
  <w:style w:type="paragraph" w:styleId="8">
    <w:name w:val="toc 3"/>
    <w:basedOn w:val="1"/>
    <w:next w:val="1"/>
    <w:unhideWhenUsed/>
    <w:qFormat/>
    <w:uiPriority w:val="39"/>
    <w:pPr>
      <w:widowControl/>
      <w:spacing w:after="100" w:line="276" w:lineRule="auto"/>
      <w:ind w:left="440"/>
      <w:jc w:val="left"/>
    </w:pPr>
    <w:rPr>
      <w:kern w:val="0"/>
      <w:sz w:val="22"/>
    </w:rPr>
  </w:style>
  <w:style w:type="paragraph" w:styleId="9">
    <w:name w:val="Plain Text"/>
    <w:basedOn w:val="1"/>
    <w:link w:val="31"/>
    <w:qFormat/>
    <w:uiPriority w:val="0"/>
    <w:rPr>
      <w:rFonts w:ascii="宋体" w:hAnsi="Courier New" w:cs="Courier New"/>
      <w:szCs w:val="21"/>
    </w:rPr>
  </w:style>
  <w:style w:type="paragraph" w:styleId="10">
    <w:name w:val="endnote text"/>
    <w:basedOn w:val="1"/>
    <w:link w:val="32"/>
    <w:unhideWhenUsed/>
    <w:qFormat/>
    <w:uiPriority w:val="99"/>
    <w:pPr>
      <w:snapToGrid w:val="0"/>
      <w:jc w:val="left"/>
    </w:pPr>
  </w:style>
  <w:style w:type="paragraph" w:styleId="11">
    <w:name w:val="Balloon Text"/>
    <w:basedOn w:val="1"/>
    <w:link w:val="33"/>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5"/>
    <w:next w:val="4"/>
    <w:unhideWhenUsed/>
    <w:qFormat/>
    <w:uiPriority w:val="39"/>
    <w:pPr>
      <w:widowControl/>
      <w:spacing w:line="440" w:lineRule="exact"/>
      <w:jc w:val="left"/>
    </w:pPr>
    <w:rPr>
      <w:rFonts w:eastAsia="黑体"/>
      <w:b/>
      <w:i w:val="0"/>
      <w:kern w:val="0"/>
      <w:sz w:val="28"/>
    </w:rPr>
  </w:style>
  <w:style w:type="paragraph" w:customStyle="1" w:styleId="15">
    <w:name w:val="引用1"/>
    <w:basedOn w:val="1"/>
    <w:next w:val="1"/>
    <w:link w:val="37"/>
    <w:qFormat/>
    <w:uiPriority w:val="29"/>
    <w:rPr>
      <w:i/>
      <w:iCs/>
      <w:color w:val="000000" w:themeColor="text1"/>
    </w:rPr>
  </w:style>
  <w:style w:type="paragraph" w:styleId="16">
    <w:name w:val="toc 2"/>
    <w:basedOn w:val="15"/>
    <w:next w:val="5"/>
    <w:unhideWhenUsed/>
    <w:qFormat/>
    <w:uiPriority w:val="3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styleId="1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annotation subject"/>
    <w:basedOn w:val="7"/>
    <w:next w:val="7"/>
    <w:link w:val="30"/>
    <w:unhideWhenUsed/>
    <w:qFormat/>
    <w:uiPriority w:val="99"/>
    <w:rPr>
      <w:b/>
      <w:bCs/>
    </w:rPr>
  </w:style>
  <w:style w:type="character" w:styleId="21">
    <w:name w:val="Strong"/>
    <w:basedOn w:val="20"/>
    <w:qFormat/>
    <w:uiPriority w:val="22"/>
    <w:rPr>
      <w:b/>
    </w:rPr>
  </w:style>
  <w:style w:type="character" w:styleId="22">
    <w:name w:val="endnote reference"/>
    <w:basedOn w:val="20"/>
    <w:unhideWhenUsed/>
    <w:qFormat/>
    <w:uiPriority w:val="99"/>
    <w:rPr>
      <w:vertAlign w:val="superscript"/>
    </w:rPr>
  </w:style>
  <w:style w:type="character" w:styleId="23">
    <w:name w:val="Hyperlink"/>
    <w:basedOn w:val="20"/>
    <w:unhideWhenUsed/>
    <w:qFormat/>
    <w:uiPriority w:val="99"/>
    <w:rPr>
      <w:color w:val="0000FF" w:themeColor="hyperlink"/>
      <w:u w:val="single"/>
    </w:rPr>
  </w:style>
  <w:style w:type="character" w:styleId="24">
    <w:name w:val="annotation reference"/>
    <w:qFormat/>
    <w:uiPriority w:val="99"/>
    <w:rPr>
      <w:sz w:val="21"/>
    </w:rPr>
  </w:style>
  <w:style w:type="character" w:customStyle="1" w:styleId="25">
    <w:name w:val="页眉 Char"/>
    <w:basedOn w:val="20"/>
    <w:link w:val="13"/>
    <w:qFormat/>
    <w:uiPriority w:val="99"/>
    <w:rPr>
      <w:sz w:val="18"/>
      <w:szCs w:val="18"/>
    </w:rPr>
  </w:style>
  <w:style w:type="character" w:customStyle="1" w:styleId="26">
    <w:name w:val="页脚 Char"/>
    <w:basedOn w:val="20"/>
    <w:link w:val="12"/>
    <w:qFormat/>
    <w:uiPriority w:val="99"/>
    <w:rPr>
      <w:sz w:val="18"/>
      <w:szCs w:val="18"/>
    </w:rPr>
  </w:style>
  <w:style w:type="character" w:customStyle="1" w:styleId="27">
    <w:name w:val="标题 1 Char"/>
    <w:basedOn w:val="20"/>
    <w:link w:val="4"/>
    <w:qFormat/>
    <w:uiPriority w:val="9"/>
    <w:rPr>
      <w:b/>
      <w:bCs/>
      <w:kern w:val="44"/>
      <w:sz w:val="44"/>
      <w:szCs w:val="44"/>
    </w:rPr>
  </w:style>
  <w:style w:type="character" w:customStyle="1" w:styleId="28">
    <w:name w:val="标题 2 Char"/>
    <w:basedOn w:val="20"/>
    <w:link w:val="5"/>
    <w:qFormat/>
    <w:uiPriority w:val="9"/>
    <w:rPr>
      <w:rFonts w:asciiTheme="majorHAnsi" w:hAnsiTheme="majorHAnsi" w:eastAsiaTheme="majorEastAsia" w:cstheme="majorBidi"/>
      <w:b/>
      <w:bCs/>
      <w:sz w:val="32"/>
      <w:szCs w:val="32"/>
    </w:rPr>
  </w:style>
  <w:style w:type="character" w:customStyle="1" w:styleId="29">
    <w:name w:val="批注文字 Char"/>
    <w:basedOn w:val="20"/>
    <w:link w:val="7"/>
    <w:qFormat/>
    <w:uiPriority w:val="99"/>
  </w:style>
  <w:style w:type="character" w:customStyle="1" w:styleId="30">
    <w:name w:val="批注主题 Char"/>
    <w:basedOn w:val="29"/>
    <w:link w:val="18"/>
    <w:qFormat/>
    <w:uiPriority w:val="99"/>
    <w:rPr>
      <w:b/>
      <w:bCs/>
    </w:rPr>
  </w:style>
  <w:style w:type="character" w:customStyle="1" w:styleId="31">
    <w:name w:val="纯文本 Char"/>
    <w:basedOn w:val="20"/>
    <w:link w:val="9"/>
    <w:qFormat/>
    <w:uiPriority w:val="0"/>
    <w:rPr>
      <w:rFonts w:ascii="宋体" w:hAnsi="Courier New" w:cs="Courier New"/>
      <w:szCs w:val="21"/>
    </w:rPr>
  </w:style>
  <w:style w:type="character" w:customStyle="1" w:styleId="32">
    <w:name w:val="尾注文本 Char"/>
    <w:basedOn w:val="20"/>
    <w:link w:val="10"/>
    <w:qFormat/>
    <w:uiPriority w:val="99"/>
  </w:style>
  <w:style w:type="character" w:customStyle="1" w:styleId="33">
    <w:name w:val="批注框文本 Char"/>
    <w:basedOn w:val="20"/>
    <w:link w:val="11"/>
    <w:qFormat/>
    <w:uiPriority w:val="99"/>
    <w:rPr>
      <w:sz w:val="18"/>
      <w:szCs w:val="18"/>
    </w:rPr>
  </w:style>
  <w:style w:type="paragraph" w:customStyle="1" w:styleId="34">
    <w:name w:val="列出段落1"/>
    <w:basedOn w:val="1"/>
    <w:qFormat/>
    <w:uiPriority w:val="34"/>
    <w:pPr>
      <w:ind w:firstLine="420" w:firstLineChars="200"/>
    </w:pPr>
  </w:style>
  <w:style w:type="paragraph" w:customStyle="1" w:styleId="35">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6">
    <w:name w:val="纯文本 Char1"/>
    <w:basedOn w:val="20"/>
    <w:semiHidden/>
    <w:qFormat/>
    <w:uiPriority w:val="99"/>
    <w:rPr>
      <w:rFonts w:ascii="宋体" w:hAnsi="Courier New" w:eastAsia="宋体" w:cs="Courier New"/>
      <w:szCs w:val="21"/>
    </w:rPr>
  </w:style>
  <w:style w:type="character" w:customStyle="1" w:styleId="37">
    <w:name w:val="引用 Char"/>
    <w:basedOn w:val="20"/>
    <w:link w:val="15"/>
    <w:qFormat/>
    <w:uiPriority w:val="29"/>
    <w:rPr>
      <w:i/>
      <w:iCs/>
      <w:color w:val="000000" w:themeColor="text1"/>
    </w:rPr>
  </w:style>
  <w:style w:type="character" w:customStyle="1" w:styleId="38">
    <w:name w:val="正文缩进 Char"/>
    <w:link w:val="6"/>
    <w:qFormat/>
    <w:uiPriority w:val="0"/>
  </w:style>
  <w:style w:type="paragraph" w:customStyle="1" w:styleId="39">
    <w:name w:val="列出段落2"/>
    <w:basedOn w:val="1"/>
    <w:qFormat/>
    <w:uiPriority w:val="34"/>
    <w:pPr>
      <w:ind w:firstLine="420" w:firstLineChars="200"/>
    </w:pPr>
  </w:style>
  <w:style w:type="character" w:customStyle="1" w:styleId="40">
    <w:name w:val="纯文本 Char2"/>
    <w:qFormat/>
    <w:locked/>
    <w:uiPriority w:val="0"/>
    <w:rPr>
      <w:rFonts w:ascii="宋体" w:hAnsi="Courier New" w:eastAsia="宋体" w:cs="Courier New"/>
      <w:szCs w:val="21"/>
    </w:rPr>
  </w:style>
  <w:style w:type="paragraph" w:customStyle="1" w:styleId="41">
    <w:name w:val="Char Char"/>
    <w:basedOn w:val="1"/>
    <w:qFormat/>
    <w:uiPriority w:val="0"/>
    <w:rPr>
      <w:rFonts w:ascii="Tahoma" w:hAnsi="Tahoma" w:eastAsia="宋体" w:cs="Times New Roman"/>
      <w:sz w:val="24"/>
      <w:szCs w:val="20"/>
    </w:rPr>
  </w:style>
  <w:style w:type="paragraph" w:customStyle="1" w:styleId="42">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43">
    <w:name w:val="正文 New New New New New New New New New New New New New New New New New New New"/>
    <w:qFormat/>
    <w:uiPriority w:val="0"/>
    <w:pPr>
      <w:widowControl w:val="0"/>
      <w:jc w:val="both"/>
    </w:pPr>
    <w:rPr>
      <w:rFonts w:ascii="Times New Roman" w:hAnsi="Times New Roman" w:eastAsia="宋体" w:cs="Times New Roman"/>
      <w:kern w:val="2"/>
      <w:sz w:val="28"/>
      <w:szCs w:val="24"/>
      <w:lang w:val="en-US" w:eastAsia="zh-CN" w:bidi="ar-SA"/>
    </w:rPr>
  </w:style>
  <w:style w:type="paragraph" w:customStyle="1" w:styleId="44">
    <w:name w:val="标题2"/>
    <w:basedOn w:val="4"/>
    <w:qFormat/>
    <w:uiPriority w:val="0"/>
    <w:pPr>
      <w:spacing w:before="100" w:beforeAutospacing="1" w:after="100" w:afterAutospacing="1"/>
      <w:jc w:val="left"/>
    </w:pPr>
    <w:rPr>
      <w:rFonts w:ascii="宋体" w:hAnsi="宋体" w:eastAsia="黑体"/>
      <w:sz w:val="24"/>
      <w:szCs w:val="24"/>
    </w:rPr>
  </w:style>
  <w:style w:type="paragraph" w:customStyle="1" w:styleId="45">
    <w:name w:val="Crp正文"/>
    <w:basedOn w:val="1"/>
    <w:qFormat/>
    <w:uiPriority w:val="0"/>
    <w:pPr>
      <w:spacing w:after="120"/>
      <w:ind w:left="420" w:leftChars="200" w:firstLine="560" w:firstLineChars="200"/>
      <w:jc w:val="left"/>
    </w:pPr>
    <w:rPr>
      <w:rFonts w:ascii="仿宋_GB2312" w:eastAsia="仿宋_GB2312"/>
      <w:sz w:val="28"/>
      <w:szCs w:val="28"/>
    </w:rPr>
  </w:style>
  <w:style w:type="paragraph" w:customStyle="1" w:styleId="46">
    <w:name w:val="B"/>
    <w:basedOn w:val="1"/>
    <w:next w:val="47"/>
    <w:qFormat/>
    <w:uiPriority w:val="0"/>
    <w:pPr>
      <w:spacing w:line="360" w:lineRule="auto"/>
      <w:ind w:left="840" w:hanging="840"/>
      <w:jc w:val="left"/>
      <w:outlineLvl w:val="1"/>
    </w:pPr>
    <w:rPr>
      <w:rFonts w:eastAsia="黑体"/>
      <w:sz w:val="28"/>
      <w:szCs w:val="20"/>
    </w:rPr>
  </w:style>
  <w:style w:type="paragraph" w:customStyle="1" w:styleId="47">
    <w:name w:val="D"/>
    <w:basedOn w:val="1"/>
    <w:qFormat/>
    <w:uiPriority w:val="0"/>
    <w:pPr>
      <w:spacing w:line="360" w:lineRule="auto"/>
      <w:ind w:left="511" w:hanging="114"/>
      <w:jc w:val="left"/>
      <w:outlineLvl w:val="3"/>
    </w:pPr>
    <w:rPr>
      <w:rFonts w:eastAsia="黑体"/>
      <w:sz w:val="24"/>
      <w:szCs w:val="20"/>
    </w:rPr>
  </w:style>
  <w:style w:type="paragraph" w:customStyle="1" w:styleId="48">
    <w:name w:val="E 正文"/>
    <w:basedOn w:val="1"/>
    <w:qFormat/>
    <w:uiPriority w:val="0"/>
    <w:pPr>
      <w:spacing w:line="360" w:lineRule="auto"/>
      <w:ind w:firstLine="200" w:firstLineChars="200"/>
      <w:jc w:val="left"/>
    </w:pPr>
    <w:rPr>
      <w:color w:val="000000"/>
      <w:sz w:val="24"/>
      <w:szCs w:val="20"/>
    </w:rPr>
  </w:style>
  <w:style w:type="paragraph" w:customStyle="1" w:styleId="49">
    <w:name w:val="列表段落1"/>
    <w:basedOn w:val="1"/>
    <w:qFormat/>
    <w:uiPriority w:val="34"/>
    <w:pPr>
      <w:ind w:firstLine="420" w:firstLineChars="200"/>
    </w:pPr>
    <w:rPr>
      <w:szCs w:val="21"/>
    </w:rPr>
  </w:style>
  <w:style w:type="paragraph" w:customStyle="1" w:styleId="50">
    <w:name w:val="列表段落11"/>
    <w:basedOn w:val="1"/>
    <w:qFormat/>
    <w:uiPriority w:val="0"/>
    <w:pPr>
      <w:widowControl/>
      <w:ind w:firstLine="200" w:firstLineChars="200"/>
      <w:jc w:val="left"/>
    </w:pPr>
  </w:style>
  <w:style w:type="paragraph" w:customStyle="1" w:styleId="51">
    <w:name w:val="Normal"/>
    <w:uiPriority w:val="0"/>
    <w:pPr>
      <w:jc w:val="both"/>
    </w:pPr>
    <w:rPr>
      <w:rFonts w:ascii="Calibri" w:hAnsi="Calibri" w:eastAsia="宋体" w:cs="宋体"/>
      <w:kern w:val="2"/>
      <w:sz w:val="21"/>
      <w:szCs w:val="21"/>
      <w:lang w:val="en-US" w:eastAsia="zh-CN" w:bidi="ar-SA"/>
    </w:rPr>
  </w:style>
  <w:style w:type="paragraph" w:customStyle="1" w:styleId="5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C7812A-5852-4919-AEB7-F33BC4510458}">
  <ds:schemaRefs/>
</ds:datastoreItem>
</file>

<file path=docProps/app.xml><?xml version="1.0" encoding="utf-8"?>
<Properties xmlns="http://schemas.openxmlformats.org/officeDocument/2006/extended-properties" xmlns:vt="http://schemas.openxmlformats.org/officeDocument/2006/docPropsVTypes">
  <Template>Normal</Template>
  <Company>UQi.me</Company>
  <Pages>71</Pages>
  <Words>7395</Words>
  <Characters>42155</Characters>
  <Lines>351</Lines>
  <Paragraphs>98</Paragraphs>
  <TotalTime>40</TotalTime>
  <ScaleCrop>false</ScaleCrop>
  <LinksUpToDate>false</LinksUpToDate>
  <CharactersWithSpaces>49452</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2018-09-28T01:45:00Z</dcterms:created>
  <dc:creator>UQi.me</dc:creator>
  <cp:lastModifiedBy>Administrator</cp:lastModifiedBy>
  <cp:lastPrinted>2018-10-25T02:22:00Z</cp:lastPrinted>
  <dcterms:modified xsi:type="dcterms:W3CDTF">2019-05-27T08:46:28Z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