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auto"/>
          <w:w w:val="120"/>
          <w:sz w:val="52"/>
          <w:szCs w:val="52"/>
        </w:rPr>
      </w:pPr>
      <w:r>
        <w:rPr>
          <w:rFonts w:hint="eastAsia"/>
          <w:color w:val="auto"/>
          <w:w w:val="120"/>
          <w:sz w:val="52"/>
          <w:szCs w:val="52"/>
        </w:rPr>
        <w:t>阳新县县级政府采购</w:t>
      </w:r>
    </w:p>
    <w:p>
      <w:pPr>
        <w:pStyle w:val="9"/>
        <w:adjustRightInd w:val="0"/>
        <w:snapToGrid w:val="0"/>
        <w:spacing w:line="720" w:lineRule="auto"/>
        <w:jc w:val="center"/>
        <w:rPr>
          <w:rFonts w:ascii="黑体" w:hAnsi="黑体" w:eastAsia="黑体" w:cs="Times New Roman"/>
          <w:b/>
          <w:bCs/>
          <w:color w:val="auto"/>
          <w:sz w:val="36"/>
          <w:szCs w:val="24"/>
        </w:rPr>
      </w:pPr>
      <w:r>
        <w:rPr>
          <w:rFonts w:hint="eastAsia" w:ascii="Times New Roman" w:hAnsi="Times New Roman" w:eastAsia="宋体" w:cs="Times New Roman"/>
          <w:snapToGrid w:val="0"/>
          <w:color w:val="auto"/>
          <w:kern w:val="10"/>
          <w:sz w:val="144"/>
          <w:szCs w:val="144"/>
        </w:rPr>
        <w:t>招 标 文 件</w:t>
      </w:r>
    </w:p>
    <w:p>
      <w:pPr>
        <w:spacing w:line="480" w:lineRule="auto"/>
        <w:ind w:firstLine="1500" w:firstLineChars="500"/>
        <w:rPr>
          <w:bCs/>
          <w:color w:val="auto"/>
          <w:sz w:val="30"/>
          <w:szCs w:val="30"/>
          <w:u w:val="single"/>
        </w:rPr>
      </w:pPr>
      <w:r>
        <w:rPr>
          <w:rFonts w:hint="eastAsia"/>
          <w:bCs/>
          <w:color w:val="auto"/>
          <w:sz w:val="30"/>
          <w:szCs w:val="30"/>
        </w:rPr>
        <w:t>项目编号：131-Zcg·2019-72</w:t>
      </w:r>
    </w:p>
    <w:p>
      <w:pPr>
        <w:spacing w:line="480" w:lineRule="auto"/>
        <w:ind w:firstLine="1500" w:firstLineChars="500"/>
        <w:rPr>
          <w:bCs/>
          <w:color w:val="auto"/>
          <w:sz w:val="30"/>
          <w:szCs w:val="30"/>
        </w:rPr>
      </w:pPr>
      <w:r>
        <w:rPr>
          <w:rFonts w:hint="eastAsia"/>
          <w:bCs/>
          <w:color w:val="auto"/>
          <w:sz w:val="30"/>
          <w:szCs w:val="30"/>
        </w:rPr>
        <w:t>采购人：阳新县城市住房投资有限公司</w:t>
      </w:r>
    </w:p>
    <w:p>
      <w:pPr>
        <w:spacing w:line="480" w:lineRule="auto"/>
        <w:ind w:firstLine="1500" w:firstLineChars="500"/>
        <w:rPr>
          <w:bCs/>
          <w:color w:val="auto"/>
          <w:sz w:val="30"/>
          <w:szCs w:val="30"/>
        </w:rPr>
      </w:pPr>
      <w:r>
        <w:rPr>
          <w:rFonts w:hint="eastAsia"/>
          <w:bCs/>
          <w:color w:val="auto"/>
          <w:sz w:val="30"/>
          <w:szCs w:val="30"/>
        </w:rPr>
        <w:t>项目名称：阳新县王龙港项目策划销售代理服务</w:t>
      </w:r>
    </w:p>
    <w:p>
      <w:pPr>
        <w:spacing w:line="480" w:lineRule="auto"/>
        <w:ind w:firstLine="1500" w:firstLineChars="500"/>
        <w:rPr>
          <w:bCs/>
          <w:color w:val="auto"/>
          <w:sz w:val="30"/>
          <w:szCs w:val="30"/>
        </w:rPr>
      </w:pPr>
      <w:r>
        <w:rPr>
          <w:rFonts w:hint="eastAsia"/>
          <w:bCs/>
          <w:color w:val="auto"/>
          <w:sz w:val="30"/>
          <w:szCs w:val="30"/>
        </w:rPr>
        <w:t>采购内容：策划销售代理服务</w:t>
      </w:r>
    </w:p>
    <w:p>
      <w:pPr>
        <w:spacing w:line="480" w:lineRule="auto"/>
        <w:ind w:firstLine="1500" w:firstLineChars="500"/>
        <w:rPr>
          <w:bCs/>
          <w:color w:val="auto"/>
          <w:sz w:val="30"/>
          <w:szCs w:val="30"/>
          <w:u w:val="single"/>
        </w:rPr>
      </w:pPr>
    </w:p>
    <w:p>
      <w:pPr>
        <w:adjustRightInd w:val="0"/>
        <w:snapToGrid w:val="0"/>
        <w:jc w:val="center"/>
        <w:rPr>
          <w:bCs/>
          <w:snapToGrid w:val="0"/>
          <w:color w:val="auto"/>
          <w:kern w:val="0"/>
          <w:position w:val="-98"/>
          <w:sz w:val="72"/>
          <w:szCs w:val="72"/>
        </w:rPr>
      </w:pPr>
      <w:r>
        <w:rPr>
          <w:rFonts w:hint="eastAsia"/>
          <w:bCs/>
          <w:snapToGrid w:val="0"/>
          <w:color w:val="auto"/>
          <w:kern w:val="0"/>
          <w:position w:val="-98"/>
          <w:sz w:val="72"/>
          <w:szCs w:val="72"/>
        </w:rPr>
        <w:t>武汉富纳工程咨询有限公司</w:t>
      </w:r>
    </w:p>
    <w:p>
      <w:pPr>
        <w:jc w:val="center"/>
        <w:rPr>
          <w:rFonts w:ascii="黑体" w:hAnsi="黑体" w:eastAsia="黑体"/>
          <w:b/>
          <w:color w:val="auto"/>
          <w:sz w:val="48"/>
          <w:szCs w:val="48"/>
        </w:rPr>
      </w:pPr>
      <w:r>
        <w:rPr>
          <w:rFonts w:hint="eastAsia"/>
          <w:color w:val="auto"/>
          <w:sz w:val="48"/>
          <w:szCs w:val="48"/>
        </w:rPr>
        <w:t>2019年6</w:t>
      </w:r>
      <w:r>
        <w:rPr>
          <w:rFonts w:hint="eastAsia" w:asciiTheme="minorEastAsia" w:hAnsiTheme="minorEastAsia" w:cstheme="minorEastAsia"/>
          <w:bCs/>
          <w:color w:val="auto"/>
          <w:sz w:val="48"/>
          <w:szCs w:val="48"/>
        </w:rPr>
        <w:t>月</w:t>
      </w:r>
    </w:p>
    <w:p>
      <w:pPr>
        <w:rPr>
          <w:color w:val="auto"/>
        </w:r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p>
    <w:p>
      <w:pPr>
        <w:spacing w:beforeLines="100"/>
        <w:jc w:val="center"/>
        <w:rPr>
          <w:rFonts w:ascii="黑体" w:hAnsi="黑体" w:eastAsia="黑体"/>
          <w:color w:val="auto"/>
          <w:sz w:val="44"/>
          <w:szCs w:val="44"/>
        </w:rPr>
      </w:pPr>
      <w:r>
        <w:rPr>
          <w:rFonts w:hint="eastAsia" w:ascii="黑体" w:hAnsi="黑体" w:eastAsia="黑体"/>
          <w:color w:val="auto"/>
          <w:sz w:val="44"/>
          <w:szCs w:val="44"/>
        </w:rPr>
        <w:t>目   录</w:t>
      </w:r>
    </w:p>
    <w:sdt>
      <w:sdtPr>
        <w:rPr>
          <w:color w:val="auto"/>
          <w:lang w:val="zh-CN"/>
        </w:rPr>
        <w:id w:val="1482579200"/>
      </w:sdtPr>
      <w:sdtEndPr>
        <w:rPr>
          <w:b w:val="0"/>
          <w:bCs/>
          <w:color w:val="auto"/>
          <w:lang w:val="zh-CN"/>
        </w:rPr>
      </w:sdtEndPr>
      <w:sdtContent>
        <w:p>
          <w:pPr>
            <w:pStyle w:val="15"/>
            <w:tabs>
              <w:tab w:val="left" w:pos="1260"/>
              <w:tab w:val="right" w:leader="dot" w:pos="9514"/>
            </w:tabs>
            <w:rPr>
              <w:rFonts w:eastAsia="黑体" w:asciiTheme="minorHAnsi" w:hAnsiTheme="minorHAnsi" w:cstheme="minorBidi"/>
              <w:b/>
              <w:i w:val="0"/>
              <w:iCs/>
              <w:color w:val="auto"/>
              <w:kern w:val="0"/>
              <w:sz w:val="28"/>
              <w:szCs w:val="22"/>
              <w:lang w:val="en-US" w:eastAsia="zh-CN" w:bidi="ar-SA"/>
            </w:rPr>
          </w:pPr>
          <w:r>
            <w:rPr>
              <w:color w:val="auto"/>
            </w:rPr>
            <w:fldChar w:fldCharType="begin"/>
          </w:r>
          <w:r>
            <w:rPr>
              <w:color w:val="auto"/>
            </w:rPr>
            <w:instrText xml:space="preserve"> TOC \o "1-2" \h \z \u </w:instrText>
          </w:r>
          <w:r>
            <w:rPr>
              <w:color w:val="auto"/>
            </w:rPr>
            <w:fldChar w:fldCharType="separate"/>
          </w:r>
        </w:p>
        <w:p>
          <w:pPr>
            <w:pStyle w:val="15"/>
            <w:tabs>
              <w:tab w:val="right" w:leader="dot" w:pos="9524"/>
            </w:tabs>
            <w:rPr>
              <w:color w:val="auto"/>
            </w:rPr>
          </w:pPr>
          <w:r>
            <w:rPr>
              <w:color w:val="auto"/>
            </w:rPr>
            <w:fldChar w:fldCharType="begin"/>
          </w:r>
          <w:r>
            <w:rPr>
              <w:color w:val="auto"/>
            </w:rPr>
            <w:instrText xml:space="preserve"> HYPERLINK \l _Toc28176 </w:instrText>
          </w:r>
          <w:r>
            <w:rPr>
              <w:color w:val="auto"/>
            </w:rPr>
            <w:fldChar w:fldCharType="separate"/>
          </w:r>
          <w:r>
            <w:rPr>
              <w:rFonts w:hint="eastAsia" w:ascii="黑体" w:hAnsi="黑体" w:eastAsia="黑体"/>
              <w:color w:val="auto"/>
            </w:rPr>
            <w:t>第一章 投标邀请书</w:t>
          </w:r>
          <w:r>
            <w:rPr>
              <w:color w:val="auto"/>
            </w:rPr>
            <w:tab/>
          </w:r>
          <w:r>
            <w:rPr>
              <w:color w:val="auto"/>
            </w:rPr>
            <w:fldChar w:fldCharType="begin"/>
          </w:r>
          <w:r>
            <w:rPr>
              <w:color w:val="auto"/>
            </w:rPr>
            <w:instrText xml:space="preserve"> PAGEREF _Toc28176 </w:instrText>
          </w:r>
          <w:r>
            <w:rPr>
              <w:color w:val="auto"/>
            </w:rPr>
            <w:fldChar w:fldCharType="separate"/>
          </w:r>
          <w:r>
            <w:rPr>
              <w:color w:val="auto"/>
            </w:rPr>
            <w:t>4</w:t>
          </w:r>
          <w:r>
            <w:rPr>
              <w:color w:val="auto"/>
            </w:rPr>
            <w:fldChar w:fldCharType="end"/>
          </w:r>
          <w:r>
            <w:rPr>
              <w:color w:val="auto"/>
            </w:rPr>
            <w:fldChar w:fldCharType="end"/>
          </w:r>
        </w:p>
        <w:p>
          <w:pPr>
            <w:pStyle w:val="15"/>
            <w:tabs>
              <w:tab w:val="right" w:leader="dot" w:pos="9524"/>
            </w:tabs>
            <w:rPr>
              <w:color w:val="auto"/>
            </w:rPr>
          </w:pPr>
          <w:r>
            <w:rPr>
              <w:color w:val="auto"/>
            </w:rPr>
            <w:fldChar w:fldCharType="begin"/>
          </w:r>
          <w:r>
            <w:rPr>
              <w:color w:val="auto"/>
            </w:rPr>
            <w:instrText xml:space="preserve"> HYPERLINK \l _Toc6381 </w:instrText>
          </w:r>
          <w:r>
            <w:rPr>
              <w:color w:val="auto"/>
            </w:rPr>
            <w:fldChar w:fldCharType="separate"/>
          </w:r>
          <w:r>
            <w:rPr>
              <w:rFonts w:hint="eastAsia" w:ascii="黑体" w:hAnsi="黑体" w:eastAsia="黑体"/>
              <w:color w:val="auto"/>
            </w:rPr>
            <w:t>第二章 投标人须知</w:t>
          </w:r>
          <w:r>
            <w:rPr>
              <w:color w:val="auto"/>
            </w:rPr>
            <w:tab/>
          </w:r>
          <w:r>
            <w:rPr>
              <w:color w:val="auto"/>
            </w:rPr>
            <w:fldChar w:fldCharType="begin"/>
          </w:r>
          <w:r>
            <w:rPr>
              <w:color w:val="auto"/>
            </w:rPr>
            <w:instrText xml:space="preserve"> PAGEREF _Toc6381 </w:instrText>
          </w:r>
          <w:r>
            <w:rPr>
              <w:color w:val="auto"/>
            </w:rPr>
            <w:fldChar w:fldCharType="separate"/>
          </w:r>
          <w:r>
            <w:rPr>
              <w:color w:val="auto"/>
            </w:rPr>
            <w:t>6</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_Toc2109 </w:instrText>
          </w:r>
          <w:r>
            <w:rPr>
              <w:color w:val="auto"/>
            </w:rPr>
            <w:fldChar w:fldCharType="separate"/>
          </w:r>
          <w:r>
            <w:rPr>
              <w:rFonts w:cs="Times New Roman" w:asciiTheme="majorEastAsia" w:hAnsiTheme="majorEastAsia" w:eastAsiaTheme="majorEastAsia"/>
              <w:bCs/>
              <w:color w:val="auto"/>
              <w:szCs w:val="32"/>
              <w:lang w:val="zh-CN"/>
            </w:rPr>
            <w:t>投标须知前附表</w:t>
          </w:r>
          <w:r>
            <w:rPr>
              <w:color w:val="auto"/>
            </w:rPr>
            <w:tab/>
          </w:r>
          <w:r>
            <w:rPr>
              <w:color w:val="auto"/>
            </w:rPr>
            <w:fldChar w:fldCharType="begin"/>
          </w:r>
          <w:r>
            <w:rPr>
              <w:color w:val="auto"/>
            </w:rPr>
            <w:instrText xml:space="preserve"> PAGEREF _Toc2109 </w:instrText>
          </w:r>
          <w:r>
            <w:rPr>
              <w:color w:val="auto"/>
            </w:rPr>
            <w:fldChar w:fldCharType="separate"/>
          </w:r>
          <w:r>
            <w:rPr>
              <w:color w:val="auto"/>
            </w:rPr>
            <w:t>6</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_Toc8068 </w:instrText>
          </w:r>
          <w:r>
            <w:rPr>
              <w:color w:val="auto"/>
            </w:rPr>
            <w:fldChar w:fldCharType="separate"/>
          </w:r>
          <w:r>
            <w:rPr>
              <w:rFonts w:hint="eastAsia" w:cs="Times New Roman" w:asciiTheme="majorEastAsia" w:hAnsiTheme="majorEastAsia"/>
              <w:bCs w:val="0"/>
              <w:color w:val="auto"/>
              <w:szCs w:val="30"/>
              <w:lang w:val="en-US" w:eastAsia="zh-CN"/>
            </w:rPr>
            <w:t xml:space="preserve">一、 </w:t>
          </w:r>
          <w:r>
            <w:rPr>
              <w:rFonts w:hint="eastAsia" w:cs="Times New Roman" w:asciiTheme="majorEastAsia" w:hAnsiTheme="majorEastAsia"/>
              <w:bCs w:val="0"/>
              <w:color w:val="auto"/>
              <w:lang w:val="en-US" w:eastAsia="zh-CN"/>
            </w:rPr>
            <w:t>说明</w:t>
          </w:r>
          <w:r>
            <w:rPr>
              <w:color w:val="auto"/>
            </w:rPr>
            <w:tab/>
          </w:r>
          <w:r>
            <w:rPr>
              <w:color w:val="auto"/>
            </w:rPr>
            <w:fldChar w:fldCharType="begin"/>
          </w:r>
          <w:r>
            <w:rPr>
              <w:color w:val="auto"/>
            </w:rPr>
            <w:instrText xml:space="preserve"> PAGEREF _Toc8068 </w:instrText>
          </w:r>
          <w:r>
            <w:rPr>
              <w:color w:val="auto"/>
            </w:rPr>
            <w:fldChar w:fldCharType="separate"/>
          </w:r>
          <w:r>
            <w:rPr>
              <w:color w:val="auto"/>
            </w:rPr>
            <w:t>7</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_Toc19260 </w:instrText>
          </w:r>
          <w:r>
            <w:rPr>
              <w:color w:val="auto"/>
            </w:rPr>
            <w:fldChar w:fldCharType="separate"/>
          </w:r>
          <w:r>
            <w:rPr>
              <w:rFonts w:hint="eastAsia" w:cs="Times New Roman" w:asciiTheme="majorEastAsia" w:hAnsiTheme="majorEastAsia"/>
              <w:bCs w:val="0"/>
              <w:color w:val="auto"/>
              <w:szCs w:val="30"/>
              <w:lang w:val="zh-CN"/>
            </w:rPr>
            <w:t xml:space="preserve">二、 </w:t>
          </w:r>
          <w:r>
            <w:rPr>
              <w:rFonts w:hint="eastAsia" w:cs="Times New Roman" w:asciiTheme="majorEastAsia" w:hAnsiTheme="majorEastAsia"/>
              <w:bCs w:val="0"/>
              <w:color w:val="auto"/>
              <w:lang w:val="zh-CN"/>
            </w:rPr>
            <w:t>招标文件</w:t>
          </w:r>
          <w:r>
            <w:rPr>
              <w:color w:val="auto"/>
            </w:rPr>
            <w:tab/>
          </w:r>
          <w:r>
            <w:rPr>
              <w:color w:val="auto"/>
            </w:rPr>
            <w:fldChar w:fldCharType="begin"/>
          </w:r>
          <w:r>
            <w:rPr>
              <w:color w:val="auto"/>
            </w:rPr>
            <w:instrText xml:space="preserve"> PAGEREF _Toc19260 </w:instrText>
          </w:r>
          <w:r>
            <w:rPr>
              <w:color w:val="auto"/>
            </w:rPr>
            <w:fldChar w:fldCharType="separate"/>
          </w:r>
          <w:r>
            <w:rPr>
              <w:color w:val="auto"/>
            </w:rPr>
            <w:t>7</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_Toc20447 </w:instrText>
          </w:r>
          <w:r>
            <w:rPr>
              <w:color w:val="auto"/>
            </w:rPr>
            <w:fldChar w:fldCharType="separate"/>
          </w:r>
          <w:r>
            <w:rPr>
              <w:rFonts w:hint="eastAsia" w:cs="Times New Roman" w:asciiTheme="majorEastAsia" w:hAnsiTheme="majorEastAsia"/>
              <w:bCs w:val="0"/>
              <w:color w:val="auto"/>
              <w:szCs w:val="30"/>
              <w:lang w:val="zh-CN"/>
            </w:rPr>
            <w:t xml:space="preserve">三、 </w:t>
          </w:r>
          <w:r>
            <w:rPr>
              <w:rFonts w:hint="eastAsia" w:cs="Times New Roman" w:asciiTheme="majorEastAsia" w:hAnsiTheme="majorEastAsia"/>
              <w:bCs w:val="0"/>
              <w:color w:val="auto"/>
              <w:lang w:val="zh-CN"/>
            </w:rPr>
            <w:t>投标文件</w:t>
          </w:r>
          <w:r>
            <w:rPr>
              <w:color w:val="auto"/>
            </w:rPr>
            <w:tab/>
          </w:r>
          <w:r>
            <w:rPr>
              <w:color w:val="auto"/>
            </w:rPr>
            <w:fldChar w:fldCharType="begin"/>
          </w:r>
          <w:r>
            <w:rPr>
              <w:color w:val="auto"/>
            </w:rPr>
            <w:instrText xml:space="preserve"> PAGEREF _Toc20447 </w:instrText>
          </w:r>
          <w:r>
            <w:rPr>
              <w:color w:val="auto"/>
            </w:rPr>
            <w:fldChar w:fldCharType="separate"/>
          </w:r>
          <w:r>
            <w:rPr>
              <w:color w:val="auto"/>
            </w:rPr>
            <w:t>9</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_Toc21827 </w:instrText>
          </w:r>
          <w:r>
            <w:rPr>
              <w:color w:val="auto"/>
            </w:rPr>
            <w:fldChar w:fldCharType="separate"/>
          </w:r>
          <w:r>
            <w:rPr>
              <w:rFonts w:hint="eastAsia" w:cs="Times New Roman" w:asciiTheme="majorEastAsia" w:hAnsiTheme="majorEastAsia"/>
              <w:bCs w:val="0"/>
              <w:color w:val="auto"/>
              <w:szCs w:val="30"/>
              <w:lang w:val="zh-CN"/>
            </w:rPr>
            <w:t xml:space="preserve">四、 </w:t>
          </w:r>
          <w:r>
            <w:rPr>
              <w:rFonts w:hint="eastAsia" w:cs="Times New Roman" w:asciiTheme="majorEastAsia" w:hAnsiTheme="majorEastAsia"/>
              <w:bCs w:val="0"/>
              <w:color w:val="auto"/>
              <w:lang w:val="zh-CN"/>
            </w:rPr>
            <w:t>开标与评标</w:t>
          </w:r>
          <w:r>
            <w:rPr>
              <w:color w:val="auto"/>
            </w:rPr>
            <w:tab/>
          </w:r>
          <w:r>
            <w:rPr>
              <w:color w:val="auto"/>
            </w:rPr>
            <w:fldChar w:fldCharType="begin"/>
          </w:r>
          <w:r>
            <w:rPr>
              <w:color w:val="auto"/>
            </w:rPr>
            <w:instrText xml:space="preserve"> PAGEREF _Toc21827 </w:instrText>
          </w:r>
          <w:r>
            <w:rPr>
              <w:color w:val="auto"/>
            </w:rPr>
            <w:fldChar w:fldCharType="separate"/>
          </w:r>
          <w:r>
            <w:rPr>
              <w:color w:val="auto"/>
            </w:rPr>
            <w:t>14</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_Toc19225 </w:instrText>
          </w:r>
          <w:r>
            <w:rPr>
              <w:color w:val="auto"/>
            </w:rPr>
            <w:fldChar w:fldCharType="separate"/>
          </w:r>
          <w:r>
            <w:rPr>
              <w:rFonts w:hint="eastAsia" w:cs="Times New Roman" w:asciiTheme="majorEastAsia" w:hAnsiTheme="majorEastAsia"/>
              <w:bCs w:val="0"/>
              <w:color w:val="auto"/>
              <w:szCs w:val="30"/>
              <w:lang w:val="zh-CN"/>
            </w:rPr>
            <w:t xml:space="preserve">五、 </w:t>
          </w:r>
          <w:r>
            <w:rPr>
              <w:rFonts w:hint="eastAsia" w:cs="Times New Roman" w:asciiTheme="majorEastAsia" w:hAnsiTheme="majorEastAsia"/>
              <w:bCs w:val="0"/>
              <w:color w:val="auto"/>
              <w:lang w:val="zh-CN"/>
            </w:rPr>
            <w:t>投标人信用信息及查询</w:t>
          </w:r>
          <w:r>
            <w:rPr>
              <w:color w:val="auto"/>
            </w:rPr>
            <w:tab/>
          </w:r>
          <w:r>
            <w:rPr>
              <w:color w:val="auto"/>
            </w:rPr>
            <w:fldChar w:fldCharType="begin"/>
          </w:r>
          <w:r>
            <w:rPr>
              <w:color w:val="auto"/>
            </w:rPr>
            <w:instrText xml:space="preserve"> PAGEREF _Toc19225 </w:instrText>
          </w:r>
          <w:r>
            <w:rPr>
              <w:color w:val="auto"/>
            </w:rPr>
            <w:fldChar w:fldCharType="separate"/>
          </w:r>
          <w:r>
            <w:rPr>
              <w:color w:val="auto"/>
            </w:rPr>
            <w:t>15</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_Toc22465 </w:instrText>
          </w:r>
          <w:r>
            <w:rPr>
              <w:color w:val="auto"/>
            </w:rPr>
            <w:fldChar w:fldCharType="separate"/>
          </w:r>
          <w:r>
            <w:rPr>
              <w:rFonts w:hint="eastAsia" w:cs="Times New Roman" w:asciiTheme="majorEastAsia" w:hAnsiTheme="majorEastAsia"/>
              <w:bCs w:val="0"/>
              <w:color w:val="auto"/>
              <w:szCs w:val="30"/>
              <w:lang w:val="zh-CN"/>
            </w:rPr>
            <w:t xml:space="preserve">六、 </w:t>
          </w:r>
          <w:r>
            <w:rPr>
              <w:rFonts w:cs="Times New Roman" w:asciiTheme="majorEastAsia" w:hAnsiTheme="majorEastAsia"/>
              <w:bCs w:val="0"/>
              <w:color w:val="auto"/>
              <w:lang w:val="zh-CN"/>
            </w:rPr>
            <w:t>中标</w:t>
          </w:r>
          <w:r>
            <w:rPr>
              <w:rFonts w:hint="eastAsia" w:cs="Times New Roman" w:asciiTheme="majorEastAsia" w:hAnsiTheme="majorEastAsia"/>
              <w:bCs w:val="0"/>
              <w:color w:val="auto"/>
              <w:lang w:val="zh-CN"/>
            </w:rPr>
            <w:t>与</w:t>
          </w:r>
          <w:r>
            <w:rPr>
              <w:rFonts w:cs="Times New Roman" w:asciiTheme="majorEastAsia" w:hAnsiTheme="majorEastAsia"/>
              <w:bCs w:val="0"/>
              <w:color w:val="auto"/>
              <w:lang w:val="zh-CN"/>
            </w:rPr>
            <w:t>合同</w:t>
          </w:r>
          <w:r>
            <w:rPr>
              <w:color w:val="auto"/>
            </w:rPr>
            <w:tab/>
          </w:r>
          <w:r>
            <w:rPr>
              <w:color w:val="auto"/>
            </w:rPr>
            <w:fldChar w:fldCharType="begin"/>
          </w:r>
          <w:r>
            <w:rPr>
              <w:color w:val="auto"/>
            </w:rPr>
            <w:instrText xml:space="preserve"> PAGEREF _Toc22465 </w:instrText>
          </w:r>
          <w:r>
            <w:rPr>
              <w:color w:val="auto"/>
            </w:rPr>
            <w:fldChar w:fldCharType="separate"/>
          </w:r>
          <w:r>
            <w:rPr>
              <w:color w:val="auto"/>
            </w:rPr>
            <w:t>16</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_Toc9919 </w:instrText>
          </w:r>
          <w:r>
            <w:rPr>
              <w:color w:val="auto"/>
            </w:rPr>
            <w:fldChar w:fldCharType="separate"/>
          </w:r>
          <w:r>
            <w:rPr>
              <w:rFonts w:hint="eastAsia" w:cs="Times New Roman" w:asciiTheme="majorEastAsia" w:hAnsiTheme="majorEastAsia"/>
              <w:bCs w:val="0"/>
              <w:color w:val="auto"/>
              <w:szCs w:val="30"/>
              <w:lang w:val="zh-CN"/>
            </w:rPr>
            <w:t xml:space="preserve">七、 </w:t>
          </w:r>
          <w:r>
            <w:rPr>
              <w:rFonts w:hint="eastAsia" w:cs="Times New Roman" w:asciiTheme="majorEastAsia" w:hAnsiTheme="majorEastAsia"/>
              <w:bCs w:val="0"/>
              <w:color w:val="auto"/>
              <w:lang w:val="zh-CN"/>
            </w:rPr>
            <w:t>采购信息公告</w:t>
          </w:r>
          <w:r>
            <w:rPr>
              <w:color w:val="auto"/>
            </w:rPr>
            <w:tab/>
          </w:r>
          <w:r>
            <w:rPr>
              <w:color w:val="auto"/>
            </w:rPr>
            <w:fldChar w:fldCharType="begin"/>
          </w:r>
          <w:r>
            <w:rPr>
              <w:color w:val="auto"/>
            </w:rPr>
            <w:instrText xml:space="preserve"> PAGEREF _Toc9919 </w:instrText>
          </w:r>
          <w:r>
            <w:rPr>
              <w:color w:val="auto"/>
            </w:rPr>
            <w:fldChar w:fldCharType="separate"/>
          </w:r>
          <w:r>
            <w:rPr>
              <w:color w:val="auto"/>
            </w:rPr>
            <w:t>17</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_Toc23702 </w:instrText>
          </w:r>
          <w:r>
            <w:rPr>
              <w:color w:val="auto"/>
            </w:rPr>
            <w:fldChar w:fldCharType="separate"/>
          </w:r>
          <w:r>
            <w:rPr>
              <w:rFonts w:hint="eastAsia" w:cs="Times New Roman" w:asciiTheme="majorEastAsia" w:hAnsiTheme="majorEastAsia"/>
              <w:bCs w:val="0"/>
              <w:color w:val="auto"/>
              <w:szCs w:val="30"/>
              <w:lang w:val="zh-CN"/>
            </w:rPr>
            <w:t xml:space="preserve">八、 </w:t>
          </w:r>
          <w:r>
            <w:rPr>
              <w:rFonts w:hint="eastAsia" w:cs="Times New Roman" w:asciiTheme="majorEastAsia" w:hAnsiTheme="majorEastAsia"/>
              <w:bCs w:val="0"/>
              <w:color w:val="auto"/>
              <w:lang w:val="zh-CN"/>
            </w:rPr>
            <w:t>质疑及提交</w:t>
          </w:r>
          <w:r>
            <w:rPr>
              <w:color w:val="auto"/>
            </w:rPr>
            <w:tab/>
          </w:r>
          <w:r>
            <w:rPr>
              <w:color w:val="auto"/>
            </w:rPr>
            <w:fldChar w:fldCharType="begin"/>
          </w:r>
          <w:r>
            <w:rPr>
              <w:color w:val="auto"/>
            </w:rPr>
            <w:instrText xml:space="preserve"> PAGEREF _Toc23702 </w:instrText>
          </w:r>
          <w:r>
            <w:rPr>
              <w:color w:val="auto"/>
            </w:rPr>
            <w:fldChar w:fldCharType="separate"/>
          </w:r>
          <w:r>
            <w:rPr>
              <w:color w:val="auto"/>
            </w:rPr>
            <w:t>17</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_Toc3466 </w:instrText>
          </w:r>
          <w:r>
            <w:rPr>
              <w:color w:val="auto"/>
            </w:rPr>
            <w:fldChar w:fldCharType="separate"/>
          </w:r>
          <w:r>
            <w:rPr>
              <w:rFonts w:hint="eastAsia" w:cs="Times New Roman" w:asciiTheme="majorEastAsia" w:hAnsiTheme="majorEastAsia"/>
              <w:bCs w:val="0"/>
              <w:color w:val="auto"/>
              <w:szCs w:val="30"/>
              <w:lang w:val="zh-CN"/>
            </w:rPr>
            <w:t xml:space="preserve">九、 </w:t>
          </w:r>
          <w:r>
            <w:rPr>
              <w:rFonts w:hint="eastAsia" w:cs="Times New Roman" w:asciiTheme="majorEastAsia" w:hAnsiTheme="majorEastAsia"/>
              <w:bCs w:val="0"/>
              <w:color w:val="auto"/>
              <w:lang w:val="zh-CN"/>
            </w:rPr>
            <w:t>相关条文解读</w:t>
          </w:r>
          <w:r>
            <w:rPr>
              <w:color w:val="auto"/>
            </w:rPr>
            <w:tab/>
          </w:r>
          <w:r>
            <w:rPr>
              <w:color w:val="auto"/>
            </w:rPr>
            <w:fldChar w:fldCharType="begin"/>
          </w:r>
          <w:r>
            <w:rPr>
              <w:color w:val="auto"/>
            </w:rPr>
            <w:instrText xml:space="preserve"> PAGEREF _Toc3466 </w:instrText>
          </w:r>
          <w:r>
            <w:rPr>
              <w:color w:val="auto"/>
            </w:rPr>
            <w:fldChar w:fldCharType="separate"/>
          </w:r>
          <w:r>
            <w:rPr>
              <w:color w:val="auto"/>
            </w:rPr>
            <w:t>18</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_Toc4720 </w:instrText>
          </w:r>
          <w:r>
            <w:rPr>
              <w:color w:val="auto"/>
            </w:rPr>
            <w:fldChar w:fldCharType="separate"/>
          </w:r>
          <w:r>
            <w:rPr>
              <w:rFonts w:hint="eastAsia" w:cs="Times New Roman" w:asciiTheme="majorEastAsia" w:hAnsiTheme="majorEastAsia"/>
              <w:bCs w:val="0"/>
              <w:color w:val="auto"/>
              <w:szCs w:val="30"/>
              <w:lang w:val="zh-CN"/>
            </w:rPr>
            <w:t xml:space="preserve">十、 </w:t>
          </w:r>
          <w:r>
            <w:rPr>
              <w:rFonts w:hint="eastAsia" w:cs="Times New Roman" w:asciiTheme="majorEastAsia" w:hAnsiTheme="majorEastAsia"/>
              <w:bCs w:val="0"/>
              <w:color w:val="auto"/>
              <w:lang w:val="zh-CN"/>
            </w:rPr>
            <w:t>其他注意事项</w:t>
          </w:r>
          <w:r>
            <w:rPr>
              <w:color w:val="auto"/>
            </w:rPr>
            <w:tab/>
          </w:r>
          <w:r>
            <w:rPr>
              <w:color w:val="auto"/>
            </w:rPr>
            <w:fldChar w:fldCharType="begin"/>
          </w:r>
          <w:r>
            <w:rPr>
              <w:color w:val="auto"/>
            </w:rPr>
            <w:instrText xml:space="preserve"> PAGEREF _Toc4720 </w:instrText>
          </w:r>
          <w:r>
            <w:rPr>
              <w:color w:val="auto"/>
            </w:rPr>
            <w:fldChar w:fldCharType="separate"/>
          </w:r>
          <w:r>
            <w:rPr>
              <w:color w:val="auto"/>
            </w:rPr>
            <w:t>18</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_Toc20201 </w:instrText>
          </w:r>
          <w:r>
            <w:rPr>
              <w:color w:val="auto"/>
            </w:rPr>
            <w:fldChar w:fldCharType="separate"/>
          </w:r>
          <w:r>
            <w:rPr>
              <w:rFonts w:hint="eastAsia" w:cs="Times New Roman" w:asciiTheme="majorEastAsia" w:hAnsiTheme="majorEastAsia"/>
              <w:bCs w:val="0"/>
              <w:color w:val="auto"/>
              <w:szCs w:val="30"/>
              <w:lang w:val="zh-CN"/>
            </w:rPr>
            <w:t xml:space="preserve">十一、 </w:t>
          </w:r>
          <w:r>
            <w:rPr>
              <w:rFonts w:hint="eastAsia" w:cs="Times New Roman" w:asciiTheme="majorEastAsia" w:hAnsiTheme="majorEastAsia"/>
              <w:bCs w:val="0"/>
              <w:color w:val="auto"/>
              <w:lang w:val="zh-CN"/>
            </w:rPr>
            <w:t>适用法律</w:t>
          </w:r>
          <w:r>
            <w:rPr>
              <w:color w:val="auto"/>
            </w:rPr>
            <w:tab/>
          </w:r>
          <w:r>
            <w:rPr>
              <w:color w:val="auto"/>
            </w:rPr>
            <w:fldChar w:fldCharType="begin"/>
          </w:r>
          <w:r>
            <w:rPr>
              <w:color w:val="auto"/>
            </w:rPr>
            <w:instrText xml:space="preserve"> PAGEREF _Toc20201 </w:instrText>
          </w:r>
          <w:r>
            <w:rPr>
              <w:color w:val="auto"/>
            </w:rPr>
            <w:fldChar w:fldCharType="separate"/>
          </w:r>
          <w:r>
            <w:rPr>
              <w:color w:val="auto"/>
            </w:rPr>
            <w:t>18</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_Toc16561 </w:instrText>
          </w:r>
          <w:r>
            <w:rPr>
              <w:color w:val="auto"/>
            </w:rPr>
            <w:fldChar w:fldCharType="separate"/>
          </w:r>
          <w:r>
            <w:rPr>
              <w:rFonts w:hint="eastAsia" w:cs="Times New Roman" w:asciiTheme="majorEastAsia" w:hAnsiTheme="majorEastAsia"/>
              <w:bCs w:val="0"/>
              <w:color w:val="auto"/>
              <w:szCs w:val="30"/>
              <w:lang w:val="zh-CN"/>
            </w:rPr>
            <w:t xml:space="preserve">十二、 </w:t>
          </w:r>
          <w:r>
            <w:rPr>
              <w:rFonts w:hint="eastAsia" w:cs="Times New Roman" w:asciiTheme="majorEastAsia" w:hAnsiTheme="majorEastAsia"/>
              <w:bCs w:val="0"/>
              <w:color w:val="auto"/>
              <w:lang w:val="zh-CN"/>
            </w:rPr>
            <w:t>招标文件的解释权</w:t>
          </w:r>
          <w:r>
            <w:rPr>
              <w:color w:val="auto"/>
            </w:rPr>
            <w:tab/>
          </w:r>
          <w:r>
            <w:rPr>
              <w:color w:val="auto"/>
            </w:rPr>
            <w:fldChar w:fldCharType="begin"/>
          </w:r>
          <w:r>
            <w:rPr>
              <w:color w:val="auto"/>
            </w:rPr>
            <w:instrText xml:space="preserve"> PAGEREF _Toc16561 </w:instrText>
          </w:r>
          <w:r>
            <w:rPr>
              <w:color w:val="auto"/>
            </w:rPr>
            <w:fldChar w:fldCharType="separate"/>
          </w:r>
          <w:r>
            <w:rPr>
              <w:color w:val="auto"/>
            </w:rPr>
            <w:t>19</w:t>
          </w:r>
          <w:r>
            <w:rPr>
              <w:color w:val="auto"/>
            </w:rPr>
            <w:fldChar w:fldCharType="end"/>
          </w:r>
          <w:r>
            <w:rPr>
              <w:color w:val="auto"/>
            </w:rPr>
            <w:fldChar w:fldCharType="end"/>
          </w:r>
        </w:p>
        <w:p>
          <w:pPr>
            <w:pStyle w:val="15"/>
            <w:tabs>
              <w:tab w:val="right" w:leader="dot" w:pos="9524"/>
            </w:tabs>
            <w:rPr>
              <w:color w:val="auto"/>
            </w:rPr>
          </w:pPr>
          <w:r>
            <w:rPr>
              <w:color w:val="auto"/>
            </w:rPr>
            <w:fldChar w:fldCharType="begin"/>
          </w:r>
          <w:r>
            <w:rPr>
              <w:color w:val="auto"/>
            </w:rPr>
            <w:instrText xml:space="preserve"> HYPERLINK \l _Toc7094 </w:instrText>
          </w:r>
          <w:r>
            <w:rPr>
              <w:color w:val="auto"/>
            </w:rPr>
            <w:fldChar w:fldCharType="separate"/>
          </w:r>
          <w:r>
            <w:rPr>
              <w:rFonts w:hint="eastAsia" w:ascii="黑体" w:hAnsi="黑体" w:eastAsia="黑体"/>
              <w:color w:val="auto"/>
            </w:rPr>
            <w:t>第三章 项目技术、服务及商务要求</w:t>
          </w:r>
          <w:r>
            <w:rPr>
              <w:color w:val="auto"/>
            </w:rPr>
            <w:tab/>
          </w:r>
          <w:r>
            <w:rPr>
              <w:color w:val="auto"/>
            </w:rPr>
            <w:fldChar w:fldCharType="begin"/>
          </w:r>
          <w:r>
            <w:rPr>
              <w:color w:val="auto"/>
            </w:rPr>
            <w:instrText xml:space="preserve"> PAGEREF _Toc7094 </w:instrText>
          </w:r>
          <w:r>
            <w:rPr>
              <w:color w:val="auto"/>
            </w:rPr>
            <w:fldChar w:fldCharType="separate"/>
          </w:r>
          <w:r>
            <w:rPr>
              <w:color w:val="auto"/>
            </w:rPr>
            <w:t>20</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_Toc18364 </w:instrText>
          </w:r>
          <w:r>
            <w:rPr>
              <w:color w:val="auto"/>
            </w:rPr>
            <w:fldChar w:fldCharType="separate"/>
          </w:r>
          <w:r>
            <w:rPr>
              <w:rFonts w:hint="eastAsia" w:cs="Times New Roman" w:asciiTheme="majorEastAsia" w:hAnsiTheme="majorEastAsia"/>
              <w:bCs w:val="0"/>
              <w:color w:val="auto"/>
              <w:szCs w:val="30"/>
              <w:lang w:val="zh-CN"/>
            </w:rPr>
            <w:t>一、 采购清单</w:t>
          </w:r>
          <w:r>
            <w:rPr>
              <w:color w:val="auto"/>
            </w:rPr>
            <w:tab/>
          </w:r>
          <w:r>
            <w:rPr>
              <w:color w:val="auto"/>
            </w:rPr>
            <w:fldChar w:fldCharType="begin"/>
          </w:r>
          <w:r>
            <w:rPr>
              <w:color w:val="auto"/>
            </w:rPr>
            <w:instrText xml:space="preserve"> PAGEREF _Toc18364 </w:instrText>
          </w:r>
          <w:r>
            <w:rPr>
              <w:color w:val="auto"/>
            </w:rPr>
            <w:fldChar w:fldCharType="separate"/>
          </w:r>
          <w:r>
            <w:rPr>
              <w:color w:val="auto"/>
            </w:rPr>
            <w:t>20</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_Toc25048 </w:instrText>
          </w:r>
          <w:r>
            <w:rPr>
              <w:color w:val="auto"/>
            </w:rPr>
            <w:fldChar w:fldCharType="separate"/>
          </w:r>
          <w:r>
            <w:rPr>
              <w:rFonts w:hint="eastAsia" w:cs="Times New Roman" w:asciiTheme="majorEastAsia" w:hAnsiTheme="majorEastAsia"/>
              <w:bCs w:val="0"/>
              <w:color w:val="auto"/>
              <w:szCs w:val="30"/>
              <w:lang w:val="zh-CN"/>
            </w:rPr>
            <w:t>二、 招标目的</w:t>
          </w:r>
          <w:r>
            <w:rPr>
              <w:color w:val="auto"/>
            </w:rPr>
            <w:tab/>
          </w:r>
          <w:r>
            <w:rPr>
              <w:color w:val="auto"/>
            </w:rPr>
            <w:fldChar w:fldCharType="begin"/>
          </w:r>
          <w:r>
            <w:rPr>
              <w:color w:val="auto"/>
            </w:rPr>
            <w:instrText xml:space="preserve"> PAGEREF _Toc25048 </w:instrText>
          </w:r>
          <w:r>
            <w:rPr>
              <w:color w:val="auto"/>
            </w:rPr>
            <w:fldChar w:fldCharType="separate"/>
          </w:r>
          <w:r>
            <w:rPr>
              <w:color w:val="auto"/>
            </w:rPr>
            <w:t>20</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_Toc30895 </w:instrText>
          </w:r>
          <w:r>
            <w:rPr>
              <w:color w:val="auto"/>
            </w:rPr>
            <w:fldChar w:fldCharType="separate"/>
          </w:r>
          <w:r>
            <w:rPr>
              <w:rFonts w:hint="eastAsia" w:cs="Times New Roman" w:asciiTheme="majorEastAsia" w:hAnsiTheme="majorEastAsia"/>
              <w:bCs w:val="0"/>
              <w:color w:val="auto"/>
              <w:szCs w:val="30"/>
              <w:lang w:val="zh-CN"/>
            </w:rPr>
            <w:t>三、 需要解决的核心问题</w:t>
          </w:r>
          <w:r>
            <w:rPr>
              <w:color w:val="auto"/>
            </w:rPr>
            <w:tab/>
          </w:r>
          <w:r>
            <w:rPr>
              <w:color w:val="auto"/>
            </w:rPr>
            <w:fldChar w:fldCharType="begin"/>
          </w:r>
          <w:r>
            <w:rPr>
              <w:color w:val="auto"/>
            </w:rPr>
            <w:instrText xml:space="preserve"> PAGEREF _Toc30895 </w:instrText>
          </w:r>
          <w:r>
            <w:rPr>
              <w:color w:val="auto"/>
            </w:rPr>
            <w:fldChar w:fldCharType="separate"/>
          </w:r>
          <w:r>
            <w:rPr>
              <w:color w:val="auto"/>
            </w:rPr>
            <w:t>20</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_Toc1430 </w:instrText>
          </w:r>
          <w:r>
            <w:rPr>
              <w:color w:val="auto"/>
            </w:rPr>
            <w:fldChar w:fldCharType="separate"/>
          </w:r>
          <w:r>
            <w:rPr>
              <w:rFonts w:hint="eastAsia" w:cs="Times New Roman" w:asciiTheme="majorEastAsia" w:hAnsiTheme="majorEastAsia"/>
              <w:bCs w:val="0"/>
              <w:color w:val="auto"/>
              <w:szCs w:val="30"/>
              <w:lang w:val="zh-CN"/>
            </w:rPr>
            <w:t>四、 合作伙伴的基本要求</w:t>
          </w:r>
          <w:r>
            <w:rPr>
              <w:color w:val="auto"/>
            </w:rPr>
            <w:tab/>
          </w:r>
          <w:r>
            <w:rPr>
              <w:color w:val="auto"/>
            </w:rPr>
            <w:fldChar w:fldCharType="begin"/>
          </w:r>
          <w:r>
            <w:rPr>
              <w:color w:val="auto"/>
            </w:rPr>
            <w:instrText xml:space="preserve"> PAGEREF _Toc1430 </w:instrText>
          </w:r>
          <w:r>
            <w:rPr>
              <w:color w:val="auto"/>
            </w:rPr>
            <w:fldChar w:fldCharType="separate"/>
          </w:r>
          <w:r>
            <w:rPr>
              <w:color w:val="auto"/>
            </w:rPr>
            <w:t>20</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_Toc10185 </w:instrText>
          </w:r>
          <w:r>
            <w:rPr>
              <w:color w:val="auto"/>
            </w:rPr>
            <w:fldChar w:fldCharType="separate"/>
          </w:r>
          <w:r>
            <w:rPr>
              <w:rFonts w:hint="eastAsia" w:cs="Times New Roman" w:asciiTheme="majorEastAsia" w:hAnsiTheme="majorEastAsia"/>
              <w:bCs w:val="0"/>
              <w:color w:val="auto"/>
              <w:szCs w:val="30"/>
              <w:lang w:val="zh-CN"/>
            </w:rPr>
            <w:t>五、 方案要求</w:t>
          </w:r>
          <w:r>
            <w:rPr>
              <w:color w:val="auto"/>
            </w:rPr>
            <w:tab/>
          </w:r>
          <w:r>
            <w:rPr>
              <w:color w:val="auto"/>
            </w:rPr>
            <w:fldChar w:fldCharType="begin"/>
          </w:r>
          <w:r>
            <w:rPr>
              <w:color w:val="auto"/>
            </w:rPr>
            <w:instrText xml:space="preserve"> PAGEREF _Toc10185 </w:instrText>
          </w:r>
          <w:r>
            <w:rPr>
              <w:color w:val="auto"/>
            </w:rPr>
            <w:fldChar w:fldCharType="separate"/>
          </w:r>
          <w:r>
            <w:rPr>
              <w:color w:val="auto"/>
            </w:rPr>
            <w:t>20</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_Toc28395 </w:instrText>
          </w:r>
          <w:r>
            <w:rPr>
              <w:color w:val="auto"/>
            </w:rPr>
            <w:fldChar w:fldCharType="separate"/>
          </w:r>
          <w:r>
            <w:rPr>
              <w:rFonts w:hint="eastAsia" w:cs="Times New Roman" w:asciiTheme="majorEastAsia" w:hAnsiTheme="majorEastAsia"/>
              <w:bCs w:val="0"/>
              <w:color w:val="auto"/>
              <w:szCs w:val="30"/>
              <w:lang w:val="zh-CN"/>
            </w:rPr>
            <w:t>六、 营销推广时间（</w:t>
          </w:r>
          <w:r>
            <w:rPr>
              <w:rFonts w:hint="eastAsia" w:cs="Times New Roman" w:asciiTheme="majorEastAsia" w:hAnsiTheme="majorEastAsia"/>
              <w:bCs w:val="0"/>
              <w:color w:val="auto"/>
              <w:szCs w:val="30"/>
            </w:rPr>
            <w:t>待定</w:t>
          </w:r>
          <w:r>
            <w:rPr>
              <w:rFonts w:hint="eastAsia" w:cs="Times New Roman" w:asciiTheme="majorEastAsia" w:hAnsiTheme="majorEastAsia"/>
              <w:bCs w:val="0"/>
              <w:color w:val="auto"/>
              <w:szCs w:val="30"/>
              <w:lang w:val="zh-CN"/>
            </w:rPr>
            <w:t>）</w:t>
          </w:r>
          <w:r>
            <w:rPr>
              <w:color w:val="auto"/>
            </w:rPr>
            <w:tab/>
          </w:r>
          <w:r>
            <w:rPr>
              <w:color w:val="auto"/>
            </w:rPr>
            <w:fldChar w:fldCharType="begin"/>
          </w:r>
          <w:r>
            <w:rPr>
              <w:color w:val="auto"/>
            </w:rPr>
            <w:instrText xml:space="preserve"> PAGEREF _Toc28395 </w:instrText>
          </w:r>
          <w:r>
            <w:rPr>
              <w:color w:val="auto"/>
            </w:rPr>
            <w:fldChar w:fldCharType="separate"/>
          </w:r>
          <w:r>
            <w:rPr>
              <w:color w:val="auto"/>
            </w:rPr>
            <w:t>21</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_Toc14086 </w:instrText>
          </w:r>
          <w:r>
            <w:rPr>
              <w:color w:val="auto"/>
            </w:rPr>
            <w:fldChar w:fldCharType="separate"/>
          </w:r>
          <w:r>
            <w:rPr>
              <w:rFonts w:hint="eastAsia" w:cs="Times New Roman" w:asciiTheme="majorEastAsia" w:hAnsiTheme="majorEastAsia"/>
              <w:bCs w:val="0"/>
              <w:color w:val="auto"/>
              <w:szCs w:val="30"/>
              <w:lang w:val="zh-CN"/>
            </w:rPr>
            <w:t>七、 商务要求</w:t>
          </w:r>
          <w:r>
            <w:rPr>
              <w:color w:val="auto"/>
            </w:rPr>
            <w:tab/>
          </w:r>
          <w:r>
            <w:rPr>
              <w:color w:val="auto"/>
            </w:rPr>
            <w:fldChar w:fldCharType="begin"/>
          </w:r>
          <w:r>
            <w:rPr>
              <w:color w:val="auto"/>
            </w:rPr>
            <w:instrText xml:space="preserve"> PAGEREF _Toc14086 </w:instrText>
          </w:r>
          <w:r>
            <w:rPr>
              <w:color w:val="auto"/>
            </w:rPr>
            <w:fldChar w:fldCharType="separate"/>
          </w:r>
          <w:r>
            <w:rPr>
              <w:color w:val="auto"/>
            </w:rPr>
            <w:t>21</w:t>
          </w:r>
          <w:r>
            <w:rPr>
              <w:color w:val="auto"/>
            </w:rPr>
            <w:fldChar w:fldCharType="end"/>
          </w:r>
          <w:r>
            <w:rPr>
              <w:color w:val="auto"/>
            </w:rPr>
            <w:fldChar w:fldCharType="end"/>
          </w:r>
        </w:p>
        <w:p>
          <w:pPr>
            <w:pStyle w:val="15"/>
            <w:tabs>
              <w:tab w:val="right" w:leader="dot" w:pos="9524"/>
            </w:tabs>
            <w:rPr>
              <w:color w:val="auto"/>
            </w:rPr>
          </w:pPr>
          <w:r>
            <w:rPr>
              <w:color w:val="auto"/>
            </w:rPr>
            <w:fldChar w:fldCharType="begin"/>
          </w:r>
          <w:r>
            <w:rPr>
              <w:color w:val="auto"/>
            </w:rPr>
            <w:instrText xml:space="preserve"> HYPERLINK \l _Toc21024 </w:instrText>
          </w:r>
          <w:r>
            <w:rPr>
              <w:color w:val="auto"/>
            </w:rPr>
            <w:fldChar w:fldCharType="separate"/>
          </w:r>
          <w:r>
            <w:rPr>
              <w:rFonts w:hint="eastAsia" w:ascii="黑体" w:hAnsi="黑体" w:eastAsia="黑体"/>
              <w:color w:val="auto"/>
            </w:rPr>
            <w:t>第四章 资格审查方法及标准</w:t>
          </w:r>
          <w:r>
            <w:rPr>
              <w:color w:val="auto"/>
            </w:rPr>
            <w:tab/>
          </w:r>
          <w:r>
            <w:rPr>
              <w:color w:val="auto"/>
            </w:rPr>
            <w:fldChar w:fldCharType="begin"/>
          </w:r>
          <w:r>
            <w:rPr>
              <w:color w:val="auto"/>
            </w:rPr>
            <w:instrText xml:space="preserve"> PAGEREF _Toc21024 </w:instrText>
          </w:r>
          <w:r>
            <w:rPr>
              <w:color w:val="auto"/>
            </w:rPr>
            <w:fldChar w:fldCharType="separate"/>
          </w:r>
          <w:r>
            <w:rPr>
              <w:color w:val="auto"/>
            </w:rPr>
            <w:t>22</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_Toc709 </w:instrText>
          </w:r>
          <w:r>
            <w:rPr>
              <w:color w:val="auto"/>
            </w:rPr>
            <w:fldChar w:fldCharType="separate"/>
          </w:r>
          <w:r>
            <w:rPr>
              <w:rFonts w:hint="eastAsia" w:cs="Times New Roman" w:asciiTheme="majorEastAsia" w:hAnsiTheme="majorEastAsia"/>
              <w:bCs w:val="0"/>
              <w:color w:val="auto"/>
              <w:szCs w:val="30"/>
              <w:lang w:val="zh-CN"/>
            </w:rPr>
            <w:t>一、 资格审查方法</w:t>
          </w:r>
          <w:r>
            <w:rPr>
              <w:color w:val="auto"/>
            </w:rPr>
            <w:tab/>
          </w:r>
          <w:r>
            <w:rPr>
              <w:color w:val="auto"/>
            </w:rPr>
            <w:fldChar w:fldCharType="begin"/>
          </w:r>
          <w:r>
            <w:rPr>
              <w:color w:val="auto"/>
            </w:rPr>
            <w:instrText xml:space="preserve"> PAGEREF _Toc709 </w:instrText>
          </w:r>
          <w:r>
            <w:rPr>
              <w:color w:val="auto"/>
            </w:rPr>
            <w:fldChar w:fldCharType="separate"/>
          </w:r>
          <w:r>
            <w:rPr>
              <w:color w:val="auto"/>
            </w:rPr>
            <w:t>22</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_Toc5737 </w:instrText>
          </w:r>
          <w:r>
            <w:rPr>
              <w:color w:val="auto"/>
            </w:rPr>
            <w:fldChar w:fldCharType="separate"/>
          </w:r>
          <w:r>
            <w:rPr>
              <w:rFonts w:hint="eastAsia" w:cs="Times New Roman" w:asciiTheme="majorEastAsia" w:hAnsiTheme="majorEastAsia"/>
              <w:bCs w:val="0"/>
              <w:color w:val="auto"/>
              <w:szCs w:val="30"/>
              <w:lang w:val="zh-CN"/>
            </w:rPr>
            <w:t>二、 资格审查标准</w:t>
          </w:r>
          <w:r>
            <w:rPr>
              <w:color w:val="auto"/>
            </w:rPr>
            <w:tab/>
          </w:r>
          <w:r>
            <w:rPr>
              <w:color w:val="auto"/>
            </w:rPr>
            <w:fldChar w:fldCharType="begin"/>
          </w:r>
          <w:r>
            <w:rPr>
              <w:color w:val="auto"/>
            </w:rPr>
            <w:instrText xml:space="preserve"> PAGEREF _Toc5737 </w:instrText>
          </w:r>
          <w:r>
            <w:rPr>
              <w:color w:val="auto"/>
            </w:rPr>
            <w:fldChar w:fldCharType="separate"/>
          </w:r>
          <w:r>
            <w:rPr>
              <w:color w:val="auto"/>
            </w:rPr>
            <w:t>22</w:t>
          </w:r>
          <w:r>
            <w:rPr>
              <w:color w:val="auto"/>
            </w:rPr>
            <w:fldChar w:fldCharType="end"/>
          </w:r>
          <w:r>
            <w:rPr>
              <w:color w:val="auto"/>
            </w:rPr>
            <w:fldChar w:fldCharType="end"/>
          </w:r>
        </w:p>
        <w:p>
          <w:pPr>
            <w:pStyle w:val="15"/>
            <w:tabs>
              <w:tab w:val="right" w:leader="dot" w:pos="9524"/>
            </w:tabs>
            <w:rPr>
              <w:color w:val="auto"/>
            </w:rPr>
          </w:pPr>
          <w:r>
            <w:rPr>
              <w:color w:val="auto"/>
            </w:rPr>
            <w:fldChar w:fldCharType="begin"/>
          </w:r>
          <w:r>
            <w:rPr>
              <w:color w:val="auto"/>
            </w:rPr>
            <w:instrText xml:space="preserve"> HYPERLINK \l _Toc10353 </w:instrText>
          </w:r>
          <w:r>
            <w:rPr>
              <w:color w:val="auto"/>
            </w:rPr>
            <w:fldChar w:fldCharType="separate"/>
          </w:r>
          <w:r>
            <w:rPr>
              <w:rFonts w:hint="eastAsia" w:ascii="黑体" w:hAnsi="黑体" w:eastAsia="黑体"/>
              <w:color w:val="auto"/>
            </w:rPr>
            <w:t>第五章 评标方法、程序及标准</w:t>
          </w:r>
          <w:r>
            <w:rPr>
              <w:color w:val="auto"/>
            </w:rPr>
            <w:tab/>
          </w:r>
          <w:r>
            <w:rPr>
              <w:color w:val="auto"/>
            </w:rPr>
            <w:fldChar w:fldCharType="begin"/>
          </w:r>
          <w:r>
            <w:rPr>
              <w:color w:val="auto"/>
            </w:rPr>
            <w:instrText xml:space="preserve"> PAGEREF _Toc10353 </w:instrText>
          </w:r>
          <w:r>
            <w:rPr>
              <w:color w:val="auto"/>
            </w:rPr>
            <w:fldChar w:fldCharType="separate"/>
          </w:r>
          <w:r>
            <w:rPr>
              <w:color w:val="auto"/>
            </w:rPr>
            <w:t>24</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_Toc4715 </w:instrText>
          </w:r>
          <w:r>
            <w:rPr>
              <w:color w:val="auto"/>
            </w:rPr>
            <w:fldChar w:fldCharType="separate"/>
          </w:r>
          <w:r>
            <w:rPr>
              <w:rFonts w:hint="eastAsia" w:cs="Times New Roman" w:asciiTheme="majorEastAsia" w:hAnsiTheme="majorEastAsia"/>
              <w:bCs w:val="0"/>
              <w:color w:val="auto"/>
              <w:szCs w:val="30"/>
              <w:lang w:val="zh-CN"/>
            </w:rPr>
            <w:t>一、 评标方法</w:t>
          </w:r>
          <w:r>
            <w:rPr>
              <w:color w:val="auto"/>
            </w:rPr>
            <w:tab/>
          </w:r>
          <w:r>
            <w:rPr>
              <w:color w:val="auto"/>
            </w:rPr>
            <w:fldChar w:fldCharType="begin"/>
          </w:r>
          <w:r>
            <w:rPr>
              <w:color w:val="auto"/>
            </w:rPr>
            <w:instrText xml:space="preserve"> PAGEREF _Toc4715 </w:instrText>
          </w:r>
          <w:r>
            <w:rPr>
              <w:color w:val="auto"/>
            </w:rPr>
            <w:fldChar w:fldCharType="separate"/>
          </w:r>
          <w:r>
            <w:rPr>
              <w:color w:val="auto"/>
            </w:rPr>
            <w:t>24</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_Toc8059 </w:instrText>
          </w:r>
          <w:r>
            <w:rPr>
              <w:color w:val="auto"/>
            </w:rPr>
            <w:fldChar w:fldCharType="separate"/>
          </w:r>
          <w:r>
            <w:rPr>
              <w:rFonts w:hint="eastAsia" w:cs="Times New Roman" w:asciiTheme="majorEastAsia" w:hAnsiTheme="majorEastAsia"/>
              <w:bCs w:val="0"/>
              <w:color w:val="auto"/>
              <w:szCs w:val="30"/>
              <w:lang w:val="zh-CN"/>
            </w:rPr>
            <w:t>二、 评标程序及标准</w:t>
          </w:r>
          <w:r>
            <w:rPr>
              <w:color w:val="auto"/>
            </w:rPr>
            <w:tab/>
          </w:r>
          <w:r>
            <w:rPr>
              <w:color w:val="auto"/>
            </w:rPr>
            <w:fldChar w:fldCharType="begin"/>
          </w:r>
          <w:r>
            <w:rPr>
              <w:color w:val="auto"/>
            </w:rPr>
            <w:instrText xml:space="preserve"> PAGEREF _Toc8059 </w:instrText>
          </w:r>
          <w:r>
            <w:rPr>
              <w:color w:val="auto"/>
            </w:rPr>
            <w:fldChar w:fldCharType="separate"/>
          </w:r>
          <w:r>
            <w:rPr>
              <w:color w:val="auto"/>
            </w:rPr>
            <w:t>24</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_Toc21956 </w:instrText>
          </w:r>
          <w:r>
            <w:rPr>
              <w:color w:val="auto"/>
            </w:rPr>
            <w:fldChar w:fldCharType="separate"/>
          </w:r>
          <w:r>
            <w:rPr>
              <w:rFonts w:hint="eastAsia" w:cs="Times New Roman" w:asciiTheme="majorEastAsia" w:hAnsiTheme="majorEastAsia"/>
              <w:bCs w:val="0"/>
              <w:color w:val="auto"/>
              <w:szCs w:val="30"/>
              <w:lang w:val="zh-CN"/>
            </w:rPr>
            <w:t>三、 评审因素及评分标准</w:t>
          </w:r>
          <w:r>
            <w:rPr>
              <w:color w:val="auto"/>
            </w:rPr>
            <w:tab/>
          </w:r>
          <w:r>
            <w:rPr>
              <w:color w:val="auto"/>
            </w:rPr>
            <w:fldChar w:fldCharType="begin"/>
          </w:r>
          <w:r>
            <w:rPr>
              <w:color w:val="auto"/>
            </w:rPr>
            <w:instrText xml:space="preserve"> PAGEREF _Toc21956 </w:instrText>
          </w:r>
          <w:r>
            <w:rPr>
              <w:color w:val="auto"/>
            </w:rPr>
            <w:fldChar w:fldCharType="separate"/>
          </w:r>
          <w:r>
            <w:rPr>
              <w:color w:val="auto"/>
            </w:rPr>
            <w:t>27</w:t>
          </w:r>
          <w:r>
            <w:rPr>
              <w:color w:val="auto"/>
            </w:rPr>
            <w:fldChar w:fldCharType="end"/>
          </w:r>
          <w:r>
            <w:rPr>
              <w:color w:val="auto"/>
            </w:rPr>
            <w:fldChar w:fldCharType="end"/>
          </w:r>
        </w:p>
        <w:p>
          <w:pPr>
            <w:pStyle w:val="15"/>
            <w:tabs>
              <w:tab w:val="right" w:leader="dot" w:pos="9524"/>
            </w:tabs>
            <w:rPr>
              <w:color w:val="auto"/>
            </w:rPr>
          </w:pPr>
          <w:r>
            <w:rPr>
              <w:color w:val="auto"/>
            </w:rPr>
            <w:fldChar w:fldCharType="begin"/>
          </w:r>
          <w:r>
            <w:rPr>
              <w:color w:val="auto"/>
            </w:rPr>
            <w:instrText xml:space="preserve"> HYPERLINK \l _Toc7982 </w:instrText>
          </w:r>
          <w:r>
            <w:rPr>
              <w:color w:val="auto"/>
            </w:rPr>
            <w:fldChar w:fldCharType="separate"/>
          </w:r>
          <w:r>
            <w:rPr>
              <w:rFonts w:hint="eastAsia" w:ascii="黑体" w:hAnsi="黑体" w:eastAsia="黑体"/>
              <w:color w:val="auto"/>
            </w:rPr>
            <w:t>第六章 合同书格式</w:t>
          </w:r>
          <w:r>
            <w:rPr>
              <w:color w:val="auto"/>
            </w:rPr>
            <w:tab/>
          </w:r>
          <w:r>
            <w:rPr>
              <w:color w:val="auto"/>
            </w:rPr>
            <w:fldChar w:fldCharType="begin"/>
          </w:r>
          <w:r>
            <w:rPr>
              <w:color w:val="auto"/>
            </w:rPr>
            <w:instrText xml:space="preserve"> PAGEREF _Toc7982 </w:instrText>
          </w:r>
          <w:r>
            <w:rPr>
              <w:color w:val="auto"/>
            </w:rPr>
            <w:fldChar w:fldCharType="separate"/>
          </w:r>
          <w:r>
            <w:rPr>
              <w:color w:val="auto"/>
            </w:rPr>
            <w:t>30</w:t>
          </w:r>
          <w:r>
            <w:rPr>
              <w:color w:val="auto"/>
            </w:rPr>
            <w:fldChar w:fldCharType="end"/>
          </w:r>
          <w:r>
            <w:rPr>
              <w:color w:val="auto"/>
            </w:rPr>
            <w:fldChar w:fldCharType="end"/>
          </w:r>
        </w:p>
        <w:p>
          <w:pPr>
            <w:pStyle w:val="15"/>
            <w:tabs>
              <w:tab w:val="right" w:leader="dot" w:pos="9524"/>
            </w:tabs>
            <w:rPr>
              <w:color w:val="auto"/>
            </w:rPr>
          </w:pPr>
          <w:r>
            <w:rPr>
              <w:color w:val="auto"/>
            </w:rPr>
            <w:fldChar w:fldCharType="begin"/>
          </w:r>
          <w:r>
            <w:rPr>
              <w:color w:val="auto"/>
            </w:rPr>
            <w:instrText xml:space="preserve"> HYPERLINK \l _Toc12307 </w:instrText>
          </w:r>
          <w:r>
            <w:rPr>
              <w:color w:val="auto"/>
            </w:rPr>
            <w:fldChar w:fldCharType="separate"/>
          </w:r>
          <w:r>
            <w:rPr>
              <w:rFonts w:hint="eastAsia" w:ascii="黑体" w:hAnsi="黑体" w:eastAsia="黑体"/>
              <w:color w:val="auto"/>
            </w:rPr>
            <w:t>第七章 投标文件格式（参考）</w:t>
          </w:r>
          <w:r>
            <w:rPr>
              <w:color w:val="auto"/>
            </w:rPr>
            <w:tab/>
          </w:r>
          <w:r>
            <w:rPr>
              <w:color w:val="auto"/>
            </w:rPr>
            <w:fldChar w:fldCharType="begin"/>
          </w:r>
          <w:r>
            <w:rPr>
              <w:color w:val="auto"/>
            </w:rPr>
            <w:instrText xml:space="preserve"> PAGEREF _Toc12307 </w:instrText>
          </w:r>
          <w:r>
            <w:rPr>
              <w:color w:val="auto"/>
            </w:rPr>
            <w:fldChar w:fldCharType="separate"/>
          </w:r>
          <w:r>
            <w:rPr>
              <w:color w:val="auto"/>
            </w:rPr>
            <w:t>45</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_Toc24613 </w:instrText>
          </w:r>
          <w:r>
            <w:rPr>
              <w:color w:val="auto"/>
            </w:rPr>
            <w:fldChar w:fldCharType="separate"/>
          </w:r>
          <w:r>
            <w:rPr>
              <w:rFonts w:hint="eastAsia" w:cs="Times New Roman" w:asciiTheme="majorEastAsia" w:hAnsiTheme="majorEastAsia"/>
              <w:bCs w:val="0"/>
              <w:color w:val="auto"/>
              <w:szCs w:val="44"/>
              <w:lang w:val="zh-CN"/>
            </w:rPr>
            <w:t>第一部分 资格证明文件</w:t>
          </w:r>
          <w:r>
            <w:rPr>
              <w:color w:val="auto"/>
            </w:rPr>
            <w:tab/>
          </w:r>
          <w:r>
            <w:rPr>
              <w:color w:val="auto"/>
            </w:rPr>
            <w:fldChar w:fldCharType="begin"/>
          </w:r>
          <w:r>
            <w:rPr>
              <w:color w:val="auto"/>
            </w:rPr>
            <w:instrText xml:space="preserve"> PAGEREF _Toc24613 </w:instrText>
          </w:r>
          <w:r>
            <w:rPr>
              <w:color w:val="auto"/>
            </w:rPr>
            <w:fldChar w:fldCharType="separate"/>
          </w:r>
          <w:r>
            <w:rPr>
              <w:color w:val="auto"/>
            </w:rPr>
            <w:t>45</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_Toc26906 </w:instrText>
          </w:r>
          <w:r>
            <w:rPr>
              <w:color w:val="auto"/>
            </w:rPr>
            <w:fldChar w:fldCharType="separate"/>
          </w:r>
          <w:r>
            <w:rPr>
              <w:rFonts w:hint="eastAsia" w:cs="Times New Roman" w:asciiTheme="majorEastAsia" w:hAnsiTheme="majorEastAsia"/>
              <w:bCs w:val="0"/>
              <w:color w:val="auto"/>
              <w:szCs w:val="44"/>
              <w:lang w:val="zh-CN"/>
            </w:rPr>
            <w:t>第二部分 商务文件</w:t>
          </w:r>
          <w:r>
            <w:rPr>
              <w:color w:val="auto"/>
            </w:rPr>
            <w:tab/>
          </w:r>
          <w:r>
            <w:rPr>
              <w:color w:val="auto"/>
            </w:rPr>
            <w:fldChar w:fldCharType="begin"/>
          </w:r>
          <w:r>
            <w:rPr>
              <w:color w:val="auto"/>
            </w:rPr>
            <w:instrText xml:space="preserve"> PAGEREF _Toc26906 </w:instrText>
          </w:r>
          <w:r>
            <w:rPr>
              <w:color w:val="auto"/>
            </w:rPr>
            <w:fldChar w:fldCharType="separate"/>
          </w:r>
          <w:r>
            <w:rPr>
              <w:color w:val="auto"/>
            </w:rPr>
            <w:t>47</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_Toc32362 </w:instrText>
          </w:r>
          <w:r>
            <w:rPr>
              <w:color w:val="auto"/>
            </w:rPr>
            <w:fldChar w:fldCharType="separate"/>
          </w:r>
          <w:r>
            <w:rPr>
              <w:rFonts w:hint="eastAsia" w:cs="Times New Roman" w:asciiTheme="majorEastAsia" w:hAnsiTheme="majorEastAsia"/>
              <w:bCs w:val="0"/>
              <w:color w:val="auto"/>
              <w:szCs w:val="44"/>
              <w:lang w:val="zh-CN"/>
            </w:rPr>
            <w:t>第三部分 技术、服务文件</w:t>
          </w:r>
          <w:r>
            <w:rPr>
              <w:color w:val="auto"/>
            </w:rPr>
            <w:tab/>
          </w:r>
          <w:r>
            <w:rPr>
              <w:color w:val="auto"/>
            </w:rPr>
            <w:fldChar w:fldCharType="begin"/>
          </w:r>
          <w:r>
            <w:rPr>
              <w:color w:val="auto"/>
            </w:rPr>
            <w:instrText xml:space="preserve"> PAGEREF _Toc32362 </w:instrText>
          </w:r>
          <w:r>
            <w:rPr>
              <w:color w:val="auto"/>
            </w:rPr>
            <w:fldChar w:fldCharType="separate"/>
          </w:r>
          <w:r>
            <w:rPr>
              <w:color w:val="auto"/>
            </w:rPr>
            <w:t>49</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_Toc31455 </w:instrText>
          </w:r>
          <w:r>
            <w:rPr>
              <w:color w:val="auto"/>
            </w:rPr>
            <w:fldChar w:fldCharType="separate"/>
          </w:r>
          <w:r>
            <w:rPr>
              <w:rFonts w:hint="eastAsia" w:ascii="宋体" w:hAnsi="宋体" w:eastAsia="宋体"/>
              <w:i w:val="0"/>
              <w:color w:val="auto"/>
            </w:rPr>
            <w:t xml:space="preserve">附件一、 </w:t>
          </w:r>
          <w:r>
            <w:rPr>
              <w:rFonts w:hint="eastAsia" w:ascii="宋体" w:hAnsi="宋体" w:eastAsia="宋体"/>
              <w:color w:val="auto"/>
            </w:rPr>
            <w:t>投标书</w:t>
          </w:r>
          <w:r>
            <w:rPr>
              <w:color w:val="auto"/>
            </w:rPr>
            <w:tab/>
          </w:r>
          <w:r>
            <w:rPr>
              <w:color w:val="auto"/>
            </w:rPr>
            <w:fldChar w:fldCharType="begin"/>
          </w:r>
          <w:r>
            <w:rPr>
              <w:color w:val="auto"/>
            </w:rPr>
            <w:instrText xml:space="preserve"> PAGEREF _Toc31455 </w:instrText>
          </w:r>
          <w:r>
            <w:rPr>
              <w:color w:val="auto"/>
            </w:rPr>
            <w:fldChar w:fldCharType="separate"/>
          </w:r>
          <w:r>
            <w:rPr>
              <w:color w:val="auto"/>
            </w:rPr>
            <w:t>51</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_Toc10626 </w:instrText>
          </w:r>
          <w:r>
            <w:rPr>
              <w:color w:val="auto"/>
            </w:rPr>
            <w:fldChar w:fldCharType="separate"/>
          </w:r>
          <w:r>
            <w:rPr>
              <w:rFonts w:hint="eastAsia" w:ascii="宋体" w:hAnsi="宋体" w:eastAsia="宋体"/>
              <w:i w:val="0"/>
              <w:color w:val="auto"/>
            </w:rPr>
            <w:t xml:space="preserve">附件二、 </w:t>
          </w:r>
          <w:r>
            <w:rPr>
              <w:rFonts w:hint="eastAsia" w:ascii="宋体" w:hAnsi="宋体" w:eastAsia="宋体"/>
              <w:color w:val="auto"/>
            </w:rPr>
            <w:t>制造商中小企业声明函</w:t>
          </w:r>
          <w:r>
            <w:rPr>
              <w:color w:val="auto"/>
            </w:rPr>
            <w:tab/>
          </w:r>
          <w:r>
            <w:rPr>
              <w:color w:val="auto"/>
            </w:rPr>
            <w:fldChar w:fldCharType="begin"/>
          </w:r>
          <w:r>
            <w:rPr>
              <w:color w:val="auto"/>
            </w:rPr>
            <w:instrText xml:space="preserve"> PAGEREF _Toc10626 </w:instrText>
          </w:r>
          <w:r>
            <w:rPr>
              <w:color w:val="auto"/>
            </w:rPr>
            <w:fldChar w:fldCharType="separate"/>
          </w:r>
          <w:r>
            <w:rPr>
              <w:color w:val="auto"/>
            </w:rPr>
            <w:t>52</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_Toc26113 </w:instrText>
          </w:r>
          <w:r>
            <w:rPr>
              <w:color w:val="auto"/>
            </w:rPr>
            <w:fldChar w:fldCharType="separate"/>
          </w:r>
          <w:r>
            <w:rPr>
              <w:rFonts w:hint="eastAsia" w:ascii="宋体" w:hAnsi="宋体" w:eastAsia="宋体"/>
              <w:i w:val="0"/>
              <w:color w:val="auto"/>
            </w:rPr>
            <w:t xml:space="preserve">附件三、 </w:t>
          </w:r>
          <w:r>
            <w:rPr>
              <w:rFonts w:hint="eastAsia" w:ascii="宋体" w:hAnsi="宋体" w:eastAsia="宋体"/>
              <w:color w:val="auto"/>
            </w:rPr>
            <w:t>中小企业声明函</w:t>
          </w:r>
          <w:r>
            <w:rPr>
              <w:color w:val="auto"/>
            </w:rPr>
            <w:tab/>
          </w:r>
          <w:r>
            <w:rPr>
              <w:color w:val="auto"/>
            </w:rPr>
            <w:fldChar w:fldCharType="begin"/>
          </w:r>
          <w:r>
            <w:rPr>
              <w:color w:val="auto"/>
            </w:rPr>
            <w:instrText xml:space="preserve"> PAGEREF _Toc26113 </w:instrText>
          </w:r>
          <w:r>
            <w:rPr>
              <w:color w:val="auto"/>
            </w:rPr>
            <w:fldChar w:fldCharType="separate"/>
          </w:r>
          <w:r>
            <w:rPr>
              <w:color w:val="auto"/>
            </w:rPr>
            <w:t>53</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_Toc31226 </w:instrText>
          </w:r>
          <w:r>
            <w:rPr>
              <w:color w:val="auto"/>
            </w:rPr>
            <w:fldChar w:fldCharType="separate"/>
          </w:r>
          <w:r>
            <w:rPr>
              <w:rFonts w:hint="eastAsia" w:ascii="宋体" w:hAnsi="宋体" w:eastAsia="宋体"/>
              <w:i w:val="0"/>
              <w:color w:val="auto"/>
            </w:rPr>
            <w:t xml:space="preserve">附件四、 </w:t>
          </w:r>
          <w:r>
            <w:rPr>
              <w:rFonts w:hint="eastAsia" w:ascii="宋体" w:hAnsi="宋体" w:eastAsia="宋体"/>
              <w:color w:val="auto"/>
            </w:rPr>
            <w:t>残疾人福利性单位声明函</w:t>
          </w:r>
          <w:r>
            <w:rPr>
              <w:color w:val="auto"/>
            </w:rPr>
            <w:tab/>
          </w:r>
          <w:r>
            <w:rPr>
              <w:color w:val="auto"/>
            </w:rPr>
            <w:fldChar w:fldCharType="begin"/>
          </w:r>
          <w:r>
            <w:rPr>
              <w:color w:val="auto"/>
            </w:rPr>
            <w:instrText xml:space="preserve"> PAGEREF _Toc31226 </w:instrText>
          </w:r>
          <w:r>
            <w:rPr>
              <w:color w:val="auto"/>
            </w:rPr>
            <w:fldChar w:fldCharType="separate"/>
          </w:r>
          <w:r>
            <w:rPr>
              <w:color w:val="auto"/>
            </w:rPr>
            <w:t>55</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_Toc14753 </w:instrText>
          </w:r>
          <w:r>
            <w:rPr>
              <w:color w:val="auto"/>
            </w:rPr>
            <w:fldChar w:fldCharType="separate"/>
          </w:r>
          <w:r>
            <w:rPr>
              <w:rFonts w:hint="eastAsia" w:ascii="宋体" w:hAnsi="宋体" w:eastAsia="宋体"/>
              <w:i w:val="0"/>
              <w:color w:val="auto"/>
            </w:rPr>
            <w:t xml:space="preserve">附件五、 </w:t>
          </w:r>
          <w:r>
            <w:rPr>
              <w:rFonts w:hint="eastAsia" w:ascii="宋体" w:hAnsi="宋体" w:eastAsia="宋体"/>
              <w:color w:val="auto"/>
            </w:rPr>
            <w:t>开标一览表</w:t>
          </w:r>
          <w:r>
            <w:rPr>
              <w:color w:val="auto"/>
            </w:rPr>
            <w:tab/>
          </w:r>
          <w:r>
            <w:rPr>
              <w:color w:val="auto"/>
            </w:rPr>
            <w:fldChar w:fldCharType="begin"/>
          </w:r>
          <w:r>
            <w:rPr>
              <w:color w:val="auto"/>
            </w:rPr>
            <w:instrText xml:space="preserve"> PAGEREF _Toc14753 </w:instrText>
          </w:r>
          <w:r>
            <w:rPr>
              <w:color w:val="auto"/>
            </w:rPr>
            <w:fldChar w:fldCharType="separate"/>
          </w:r>
          <w:r>
            <w:rPr>
              <w:color w:val="auto"/>
            </w:rPr>
            <w:t>58</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_Toc16425 </w:instrText>
          </w:r>
          <w:r>
            <w:rPr>
              <w:color w:val="auto"/>
            </w:rPr>
            <w:fldChar w:fldCharType="separate"/>
          </w:r>
          <w:r>
            <w:rPr>
              <w:rFonts w:hint="eastAsia" w:ascii="宋体" w:hAnsi="宋体" w:eastAsia="宋体"/>
              <w:i w:val="0"/>
              <w:color w:val="auto"/>
            </w:rPr>
            <w:t xml:space="preserve">附件六、 </w:t>
          </w:r>
          <w:r>
            <w:rPr>
              <w:rFonts w:hint="eastAsia" w:ascii="宋体" w:hAnsi="宋体" w:eastAsia="宋体"/>
              <w:color w:val="auto"/>
            </w:rPr>
            <w:t>投标报价明细表（本项目不适用）</w:t>
          </w:r>
          <w:r>
            <w:rPr>
              <w:color w:val="auto"/>
            </w:rPr>
            <w:tab/>
          </w:r>
          <w:r>
            <w:rPr>
              <w:color w:val="auto"/>
            </w:rPr>
            <w:fldChar w:fldCharType="begin"/>
          </w:r>
          <w:r>
            <w:rPr>
              <w:color w:val="auto"/>
            </w:rPr>
            <w:instrText xml:space="preserve"> PAGEREF _Toc16425 </w:instrText>
          </w:r>
          <w:r>
            <w:rPr>
              <w:color w:val="auto"/>
            </w:rPr>
            <w:fldChar w:fldCharType="separate"/>
          </w:r>
          <w:r>
            <w:rPr>
              <w:color w:val="auto"/>
            </w:rPr>
            <w:t>59</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_Toc29572 </w:instrText>
          </w:r>
          <w:r>
            <w:rPr>
              <w:color w:val="auto"/>
            </w:rPr>
            <w:fldChar w:fldCharType="separate"/>
          </w:r>
          <w:r>
            <w:rPr>
              <w:rFonts w:hint="eastAsia" w:ascii="宋体" w:hAnsi="宋体" w:eastAsia="宋体"/>
              <w:i w:val="0"/>
              <w:color w:val="auto"/>
              <w:szCs w:val="31"/>
            </w:rPr>
            <w:t xml:space="preserve">附件七、 </w:t>
          </w:r>
          <w:r>
            <w:rPr>
              <w:rFonts w:hint="eastAsia" w:ascii="宋体" w:hAnsi="宋体" w:eastAsia="宋体"/>
              <w:color w:val="auto"/>
              <w:szCs w:val="31"/>
            </w:rPr>
            <w:t>小型和微型企业、监狱企业、残疾人福利性单位货物汇总表</w:t>
          </w:r>
          <w:r>
            <w:rPr>
              <w:color w:val="auto"/>
            </w:rPr>
            <w:tab/>
          </w:r>
          <w:r>
            <w:rPr>
              <w:color w:val="auto"/>
            </w:rPr>
            <w:fldChar w:fldCharType="begin"/>
          </w:r>
          <w:r>
            <w:rPr>
              <w:color w:val="auto"/>
            </w:rPr>
            <w:instrText xml:space="preserve"> PAGEREF _Toc29572 </w:instrText>
          </w:r>
          <w:r>
            <w:rPr>
              <w:color w:val="auto"/>
            </w:rPr>
            <w:fldChar w:fldCharType="separate"/>
          </w:r>
          <w:r>
            <w:rPr>
              <w:color w:val="auto"/>
            </w:rPr>
            <w:t>60</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_Toc32331 </w:instrText>
          </w:r>
          <w:r>
            <w:rPr>
              <w:color w:val="auto"/>
            </w:rPr>
            <w:fldChar w:fldCharType="separate"/>
          </w:r>
          <w:r>
            <w:rPr>
              <w:rFonts w:hint="eastAsia" w:ascii="宋体" w:hAnsi="宋体" w:eastAsia="宋体"/>
              <w:i w:val="0"/>
              <w:color w:val="auto"/>
            </w:rPr>
            <w:t xml:space="preserve">附件八、 </w:t>
          </w:r>
          <w:r>
            <w:rPr>
              <w:rFonts w:hint="eastAsia" w:ascii="宋体" w:hAnsi="宋体" w:eastAsia="宋体"/>
              <w:color w:val="auto"/>
            </w:rPr>
            <w:t>投标货物（工程或服务）清单</w:t>
          </w:r>
          <w:r>
            <w:rPr>
              <w:color w:val="auto"/>
            </w:rPr>
            <w:tab/>
          </w:r>
          <w:r>
            <w:rPr>
              <w:color w:val="auto"/>
            </w:rPr>
            <w:fldChar w:fldCharType="begin"/>
          </w:r>
          <w:r>
            <w:rPr>
              <w:color w:val="auto"/>
            </w:rPr>
            <w:instrText xml:space="preserve"> PAGEREF _Toc32331 </w:instrText>
          </w:r>
          <w:r>
            <w:rPr>
              <w:color w:val="auto"/>
            </w:rPr>
            <w:fldChar w:fldCharType="separate"/>
          </w:r>
          <w:r>
            <w:rPr>
              <w:color w:val="auto"/>
            </w:rPr>
            <w:t>61</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_Toc16990 </w:instrText>
          </w:r>
          <w:r>
            <w:rPr>
              <w:color w:val="auto"/>
            </w:rPr>
            <w:fldChar w:fldCharType="separate"/>
          </w:r>
          <w:r>
            <w:rPr>
              <w:rFonts w:hint="eastAsia" w:ascii="宋体" w:hAnsi="宋体" w:eastAsia="宋体"/>
              <w:i w:val="0"/>
              <w:color w:val="auto"/>
            </w:rPr>
            <w:t xml:space="preserve">附件九、 </w:t>
          </w:r>
          <w:r>
            <w:rPr>
              <w:rFonts w:hint="eastAsia" w:ascii="宋体" w:hAnsi="宋体" w:eastAsia="宋体"/>
              <w:color w:val="auto"/>
            </w:rPr>
            <w:t>交纳投标保证金的银行凭证（本项目不需提供）</w:t>
          </w:r>
          <w:r>
            <w:rPr>
              <w:color w:val="auto"/>
            </w:rPr>
            <w:tab/>
          </w:r>
          <w:r>
            <w:rPr>
              <w:color w:val="auto"/>
            </w:rPr>
            <w:fldChar w:fldCharType="begin"/>
          </w:r>
          <w:r>
            <w:rPr>
              <w:color w:val="auto"/>
            </w:rPr>
            <w:instrText xml:space="preserve"> PAGEREF _Toc16990 </w:instrText>
          </w:r>
          <w:r>
            <w:rPr>
              <w:color w:val="auto"/>
            </w:rPr>
            <w:fldChar w:fldCharType="separate"/>
          </w:r>
          <w:r>
            <w:rPr>
              <w:color w:val="auto"/>
            </w:rPr>
            <w:t>62</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_Toc4125 </w:instrText>
          </w:r>
          <w:r>
            <w:rPr>
              <w:color w:val="auto"/>
            </w:rPr>
            <w:fldChar w:fldCharType="separate"/>
          </w:r>
          <w:r>
            <w:rPr>
              <w:rFonts w:hint="eastAsia" w:ascii="宋体" w:hAnsi="宋体" w:eastAsia="宋体"/>
              <w:i w:val="0"/>
              <w:color w:val="auto"/>
            </w:rPr>
            <w:t xml:space="preserve">附件十、 </w:t>
          </w:r>
          <w:r>
            <w:rPr>
              <w:rFonts w:hint="eastAsia" w:ascii="宋体" w:hAnsi="宋体" w:eastAsia="宋体"/>
              <w:color w:val="auto"/>
            </w:rPr>
            <w:t>法定代表人授权书</w:t>
          </w:r>
          <w:r>
            <w:rPr>
              <w:color w:val="auto"/>
            </w:rPr>
            <w:tab/>
          </w:r>
          <w:r>
            <w:rPr>
              <w:color w:val="auto"/>
            </w:rPr>
            <w:fldChar w:fldCharType="begin"/>
          </w:r>
          <w:r>
            <w:rPr>
              <w:color w:val="auto"/>
            </w:rPr>
            <w:instrText xml:space="preserve"> PAGEREF _Toc4125 </w:instrText>
          </w:r>
          <w:r>
            <w:rPr>
              <w:color w:val="auto"/>
            </w:rPr>
            <w:fldChar w:fldCharType="separate"/>
          </w:r>
          <w:r>
            <w:rPr>
              <w:color w:val="auto"/>
            </w:rPr>
            <w:t>63</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_Toc17257 </w:instrText>
          </w:r>
          <w:r>
            <w:rPr>
              <w:color w:val="auto"/>
            </w:rPr>
            <w:fldChar w:fldCharType="separate"/>
          </w:r>
          <w:r>
            <w:rPr>
              <w:rFonts w:hint="eastAsia" w:ascii="宋体" w:hAnsi="宋体" w:eastAsia="宋体"/>
              <w:i w:val="0"/>
              <w:color w:val="auto"/>
            </w:rPr>
            <w:t xml:space="preserve">附件十一、 </w:t>
          </w:r>
          <w:r>
            <w:rPr>
              <w:rFonts w:hint="eastAsia" w:ascii="宋体" w:hAnsi="宋体" w:eastAsia="宋体"/>
              <w:color w:val="auto"/>
            </w:rPr>
            <w:t>投标人的资格声明</w:t>
          </w:r>
          <w:r>
            <w:rPr>
              <w:color w:val="auto"/>
            </w:rPr>
            <w:tab/>
          </w:r>
          <w:r>
            <w:rPr>
              <w:color w:val="auto"/>
            </w:rPr>
            <w:fldChar w:fldCharType="begin"/>
          </w:r>
          <w:r>
            <w:rPr>
              <w:color w:val="auto"/>
            </w:rPr>
            <w:instrText xml:space="preserve"> PAGEREF _Toc17257 </w:instrText>
          </w:r>
          <w:r>
            <w:rPr>
              <w:color w:val="auto"/>
            </w:rPr>
            <w:fldChar w:fldCharType="separate"/>
          </w:r>
          <w:r>
            <w:rPr>
              <w:color w:val="auto"/>
            </w:rPr>
            <w:t>64</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_Toc21660 </w:instrText>
          </w:r>
          <w:r>
            <w:rPr>
              <w:color w:val="auto"/>
            </w:rPr>
            <w:fldChar w:fldCharType="separate"/>
          </w:r>
          <w:r>
            <w:rPr>
              <w:rFonts w:hint="eastAsia" w:ascii="宋体" w:hAnsi="宋体" w:eastAsia="宋体"/>
              <w:i w:val="0"/>
              <w:color w:val="auto"/>
            </w:rPr>
            <w:t xml:space="preserve">附件十二、 </w:t>
          </w:r>
          <w:r>
            <w:rPr>
              <w:rFonts w:hint="eastAsia" w:ascii="宋体" w:hAnsi="宋体" w:eastAsia="宋体"/>
              <w:color w:val="auto"/>
            </w:rPr>
            <w:t>项目负责人、技术负责人简历表</w:t>
          </w:r>
          <w:r>
            <w:rPr>
              <w:color w:val="auto"/>
            </w:rPr>
            <w:tab/>
          </w:r>
          <w:r>
            <w:rPr>
              <w:color w:val="auto"/>
            </w:rPr>
            <w:fldChar w:fldCharType="begin"/>
          </w:r>
          <w:r>
            <w:rPr>
              <w:color w:val="auto"/>
            </w:rPr>
            <w:instrText xml:space="preserve"> PAGEREF _Toc21660 </w:instrText>
          </w:r>
          <w:r>
            <w:rPr>
              <w:color w:val="auto"/>
            </w:rPr>
            <w:fldChar w:fldCharType="separate"/>
          </w:r>
          <w:r>
            <w:rPr>
              <w:color w:val="auto"/>
            </w:rPr>
            <w:t>65</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_Toc23983 </w:instrText>
          </w:r>
          <w:r>
            <w:rPr>
              <w:color w:val="auto"/>
            </w:rPr>
            <w:fldChar w:fldCharType="separate"/>
          </w:r>
          <w:r>
            <w:rPr>
              <w:rFonts w:hint="eastAsia" w:ascii="宋体" w:hAnsi="宋体" w:eastAsia="宋体"/>
              <w:i w:val="0"/>
              <w:color w:val="auto"/>
            </w:rPr>
            <w:t xml:space="preserve">附件十三、 </w:t>
          </w:r>
          <w:r>
            <w:rPr>
              <w:rFonts w:hint="eastAsia" w:ascii="宋体" w:hAnsi="宋体" w:eastAsia="宋体"/>
              <w:color w:val="auto"/>
            </w:rPr>
            <w:t>项目班子成员情况表</w:t>
          </w:r>
          <w:r>
            <w:rPr>
              <w:color w:val="auto"/>
            </w:rPr>
            <w:tab/>
          </w:r>
          <w:r>
            <w:rPr>
              <w:color w:val="auto"/>
            </w:rPr>
            <w:fldChar w:fldCharType="begin"/>
          </w:r>
          <w:r>
            <w:rPr>
              <w:color w:val="auto"/>
            </w:rPr>
            <w:instrText xml:space="preserve"> PAGEREF _Toc23983 </w:instrText>
          </w:r>
          <w:r>
            <w:rPr>
              <w:color w:val="auto"/>
            </w:rPr>
            <w:fldChar w:fldCharType="separate"/>
          </w:r>
          <w:r>
            <w:rPr>
              <w:color w:val="auto"/>
            </w:rPr>
            <w:t>66</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_Toc4769 </w:instrText>
          </w:r>
          <w:r>
            <w:rPr>
              <w:color w:val="auto"/>
            </w:rPr>
            <w:fldChar w:fldCharType="separate"/>
          </w:r>
          <w:r>
            <w:rPr>
              <w:rFonts w:hint="eastAsia" w:ascii="宋体" w:hAnsi="宋体" w:eastAsia="宋体"/>
              <w:i w:val="0"/>
              <w:color w:val="auto"/>
            </w:rPr>
            <w:t xml:space="preserve">附件十四、 </w:t>
          </w:r>
          <w:r>
            <w:rPr>
              <w:rFonts w:hint="eastAsia" w:ascii="宋体" w:hAnsi="宋体" w:eastAsia="宋体"/>
              <w:color w:val="auto"/>
            </w:rPr>
            <w:t>投标人类似项目业绩表</w:t>
          </w:r>
          <w:r>
            <w:rPr>
              <w:color w:val="auto"/>
            </w:rPr>
            <w:tab/>
          </w:r>
          <w:r>
            <w:rPr>
              <w:color w:val="auto"/>
            </w:rPr>
            <w:fldChar w:fldCharType="begin"/>
          </w:r>
          <w:r>
            <w:rPr>
              <w:color w:val="auto"/>
            </w:rPr>
            <w:instrText xml:space="preserve"> PAGEREF _Toc4769 </w:instrText>
          </w:r>
          <w:r>
            <w:rPr>
              <w:color w:val="auto"/>
            </w:rPr>
            <w:fldChar w:fldCharType="separate"/>
          </w:r>
          <w:r>
            <w:rPr>
              <w:color w:val="auto"/>
            </w:rPr>
            <w:t>67</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_Toc12470 </w:instrText>
          </w:r>
          <w:r>
            <w:rPr>
              <w:color w:val="auto"/>
            </w:rPr>
            <w:fldChar w:fldCharType="separate"/>
          </w:r>
          <w:r>
            <w:rPr>
              <w:rFonts w:hint="eastAsia" w:ascii="宋体" w:hAnsi="宋体" w:eastAsia="宋体"/>
              <w:i w:val="0"/>
              <w:color w:val="auto"/>
            </w:rPr>
            <w:t xml:space="preserve">附件十五、 </w:t>
          </w:r>
          <w:r>
            <w:rPr>
              <w:rFonts w:hint="eastAsia" w:ascii="宋体" w:hAnsi="宋体" w:eastAsia="宋体"/>
              <w:color w:val="auto"/>
            </w:rPr>
            <w:t>符合性审查对照表</w:t>
          </w:r>
          <w:r>
            <w:rPr>
              <w:color w:val="auto"/>
            </w:rPr>
            <w:tab/>
          </w:r>
          <w:r>
            <w:rPr>
              <w:color w:val="auto"/>
            </w:rPr>
            <w:fldChar w:fldCharType="begin"/>
          </w:r>
          <w:r>
            <w:rPr>
              <w:color w:val="auto"/>
            </w:rPr>
            <w:instrText xml:space="preserve"> PAGEREF _Toc12470 </w:instrText>
          </w:r>
          <w:r>
            <w:rPr>
              <w:color w:val="auto"/>
            </w:rPr>
            <w:fldChar w:fldCharType="separate"/>
          </w:r>
          <w:r>
            <w:rPr>
              <w:color w:val="auto"/>
            </w:rPr>
            <w:t>68</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_Toc22378 </w:instrText>
          </w:r>
          <w:r>
            <w:rPr>
              <w:color w:val="auto"/>
            </w:rPr>
            <w:fldChar w:fldCharType="separate"/>
          </w:r>
          <w:r>
            <w:rPr>
              <w:rFonts w:hint="eastAsia" w:ascii="宋体" w:hAnsi="宋体" w:eastAsia="宋体"/>
              <w:i w:val="0"/>
              <w:color w:val="auto"/>
            </w:rPr>
            <w:t xml:space="preserve">附件十六、 </w:t>
          </w:r>
          <w:r>
            <w:rPr>
              <w:rFonts w:hint="eastAsia" w:ascii="宋体" w:hAnsi="宋体" w:eastAsia="宋体"/>
              <w:color w:val="auto"/>
            </w:rPr>
            <w:t>商务要求响应、偏离说明表</w:t>
          </w:r>
          <w:r>
            <w:rPr>
              <w:color w:val="auto"/>
            </w:rPr>
            <w:tab/>
          </w:r>
          <w:r>
            <w:rPr>
              <w:color w:val="auto"/>
            </w:rPr>
            <w:fldChar w:fldCharType="begin"/>
          </w:r>
          <w:r>
            <w:rPr>
              <w:color w:val="auto"/>
            </w:rPr>
            <w:instrText xml:space="preserve"> PAGEREF _Toc22378 </w:instrText>
          </w:r>
          <w:r>
            <w:rPr>
              <w:color w:val="auto"/>
            </w:rPr>
            <w:fldChar w:fldCharType="separate"/>
          </w:r>
          <w:r>
            <w:rPr>
              <w:color w:val="auto"/>
            </w:rPr>
            <w:t>69</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_Toc31079 </w:instrText>
          </w:r>
          <w:r>
            <w:rPr>
              <w:color w:val="auto"/>
            </w:rPr>
            <w:fldChar w:fldCharType="separate"/>
          </w:r>
          <w:r>
            <w:rPr>
              <w:rFonts w:hint="eastAsia" w:ascii="宋体" w:hAnsi="宋体" w:eastAsia="宋体"/>
              <w:i w:val="0"/>
              <w:color w:val="auto"/>
            </w:rPr>
            <w:t xml:space="preserve">附件十七、 </w:t>
          </w:r>
          <w:r>
            <w:rPr>
              <w:rFonts w:hint="eastAsia" w:ascii="宋体" w:hAnsi="宋体" w:eastAsia="宋体"/>
              <w:color w:val="auto"/>
            </w:rPr>
            <w:t>商务要求“★”号条款响应、偏离说明表</w:t>
          </w:r>
          <w:r>
            <w:rPr>
              <w:color w:val="auto"/>
            </w:rPr>
            <w:tab/>
          </w:r>
          <w:r>
            <w:rPr>
              <w:color w:val="auto"/>
            </w:rPr>
            <w:fldChar w:fldCharType="begin"/>
          </w:r>
          <w:r>
            <w:rPr>
              <w:color w:val="auto"/>
            </w:rPr>
            <w:instrText xml:space="preserve"> PAGEREF _Toc31079 </w:instrText>
          </w:r>
          <w:r>
            <w:rPr>
              <w:color w:val="auto"/>
            </w:rPr>
            <w:fldChar w:fldCharType="separate"/>
          </w:r>
          <w:r>
            <w:rPr>
              <w:color w:val="auto"/>
            </w:rPr>
            <w:t>70</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_Toc17998 </w:instrText>
          </w:r>
          <w:r>
            <w:rPr>
              <w:color w:val="auto"/>
            </w:rPr>
            <w:fldChar w:fldCharType="separate"/>
          </w:r>
          <w:r>
            <w:rPr>
              <w:rFonts w:hint="eastAsia" w:ascii="宋体" w:hAnsi="宋体" w:eastAsia="宋体"/>
              <w:i w:val="0"/>
              <w:color w:val="auto"/>
            </w:rPr>
            <w:t xml:space="preserve">附件十八、 </w:t>
          </w:r>
          <w:r>
            <w:rPr>
              <w:rFonts w:hint="eastAsia" w:ascii="宋体" w:hAnsi="宋体" w:eastAsia="宋体"/>
              <w:color w:val="auto"/>
            </w:rPr>
            <w:t>商务评议对照表</w:t>
          </w:r>
          <w:r>
            <w:rPr>
              <w:color w:val="auto"/>
            </w:rPr>
            <w:tab/>
          </w:r>
          <w:r>
            <w:rPr>
              <w:color w:val="auto"/>
            </w:rPr>
            <w:fldChar w:fldCharType="begin"/>
          </w:r>
          <w:r>
            <w:rPr>
              <w:color w:val="auto"/>
            </w:rPr>
            <w:instrText xml:space="preserve"> PAGEREF _Toc17998 </w:instrText>
          </w:r>
          <w:r>
            <w:rPr>
              <w:color w:val="auto"/>
            </w:rPr>
            <w:fldChar w:fldCharType="separate"/>
          </w:r>
          <w:r>
            <w:rPr>
              <w:color w:val="auto"/>
            </w:rPr>
            <w:t>71</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_Toc10099 </w:instrText>
          </w:r>
          <w:r>
            <w:rPr>
              <w:color w:val="auto"/>
            </w:rPr>
            <w:fldChar w:fldCharType="separate"/>
          </w:r>
          <w:r>
            <w:rPr>
              <w:rFonts w:hint="eastAsia" w:ascii="宋体" w:hAnsi="宋体" w:eastAsia="宋体"/>
              <w:i w:val="0"/>
              <w:color w:val="auto"/>
            </w:rPr>
            <w:t xml:space="preserve">附件十九、 </w:t>
          </w:r>
          <w:r>
            <w:rPr>
              <w:rFonts w:hint="eastAsia" w:ascii="宋体" w:hAnsi="宋体" w:eastAsia="宋体"/>
              <w:color w:val="auto"/>
            </w:rPr>
            <w:t>技术、服务要求响应、偏离说明表</w:t>
          </w:r>
          <w:r>
            <w:rPr>
              <w:color w:val="auto"/>
            </w:rPr>
            <w:tab/>
          </w:r>
          <w:r>
            <w:rPr>
              <w:color w:val="auto"/>
            </w:rPr>
            <w:fldChar w:fldCharType="begin"/>
          </w:r>
          <w:r>
            <w:rPr>
              <w:color w:val="auto"/>
            </w:rPr>
            <w:instrText xml:space="preserve"> PAGEREF _Toc10099 </w:instrText>
          </w:r>
          <w:r>
            <w:rPr>
              <w:color w:val="auto"/>
            </w:rPr>
            <w:fldChar w:fldCharType="separate"/>
          </w:r>
          <w:r>
            <w:rPr>
              <w:color w:val="auto"/>
            </w:rPr>
            <w:t>72</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_Toc19244 </w:instrText>
          </w:r>
          <w:r>
            <w:rPr>
              <w:color w:val="auto"/>
            </w:rPr>
            <w:fldChar w:fldCharType="separate"/>
          </w:r>
          <w:r>
            <w:rPr>
              <w:rFonts w:hint="eastAsia" w:ascii="宋体" w:hAnsi="宋体" w:eastAsia="宋体"/>
              <w:i w:val="0"/>
              <w:color w:val="auto"/>
            </w:rPr>
            <w:t xml:space="preserve">附件二十、 </w:t>
          </w:r>
          <w:r>
            <w:rPr>
              <w:rFonts w:hint="eastAsia" w:ascii="宋体" w:hAnsi="宋体" w:eastAsia="宋体"/>
              <w:color w:val="auto"/>
            </w:rPr>
            <w:t>技术、服务要求“★”号条款响应、偏离说明表</w:t>
          </w:r>
          <w:r>
            <w:rPr>
              <w:color w:val="auto"/>
            </w:rPr>
            <w:tab/>
          </w:r>
          <w:r>
            <w:rPr>
              <w:color w:val="auto"/>
            </w:rPr>
            <w:fldChar w:fldCharType="begin"/>
          </w:r>
          <w:r>
            <w:rPr>
              <w:color w:val="auto"/>
            </w:rPr>
            <w:instrText xml:space="preserve"> PAGEREF _Toc19244 </w:instrText>
          </w:r>
          <w:r>
            <w:rPr>
              <w:color w:val="auto"/>
            </w:rPr>
            <w:fldChar w:fldCharType="separate"/>
          </w:r>
          <w:r>
            <w:rPr>
              <w:color w:val="auto"/>
            </w:rPr>
            <w:t>73</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_Toc28278 </w:instrText>
          </w:r>
          <w:r>
            <w:rPr>
              <w:color w:val="auto"/>
            </w:rPr>
            <w:fldChar w:fldCharType="separate"/>
          </w:r>
          <w:r>
            <w:rPr>
              <w:rFonts w:hint="eastAsia" w:ascii="宋体" w:hAnsi="宋体" w:eastAsia="宋体"/>
              <w:i w:val="0"/>
              <w:color w:val="auto"/>
            </w:rPr>
            <w:t xml:space="preserve">附件二十一、 </w:t>
          </w:r>
          <w:r>
            <w:rPr>
              <w:rFonts w:hint="eastAsia" w:ascii="宋体" w:hAnsi="宋体" w:eastAsia="宋体"/>
              <w:color w:val="auto"/>
            </w:rPr>
            <w:t>技术、服务评议对照表</w:t>
          </w:r>
          <w:r>
            <w:rPr>
              <w:color w:val="auto"/>
            </w:rPr>
            <w:tab/>
          </w:r>
          <w:r>
            <w:rPr>
              <w:color w:val="auto"/>
            </w:rPr>
            <w:fldChar w:fldCharType="begin"/>
          </w:r>
          <w:r>
            <w:rPr>
              <w:color w:val="auto"/>
            </w:rPr>
            <w:instrText xml:space="preserve"> PAGEREF _Toc28278 </w:instrText>
          </w:r>
          <w:r>
            <w:rPr>
              <w:color w:val="auto"/>
            </w:rPr>
            <w:fldChar w:fldCharType="separate"/>
          </w:r>
          <w:r>
            <w:rPr>
              <w:color w:val="auto"/>
            </w:rPr>
            <w:t>74</w:t>
          </w:r>
          <w:r>
            <w:rPr>
              <w:color w:val="auto"/>
            </w:rPr>
            <w:fldChar w:fldCharType="end"/>
          </w:r>
          <w:r>
            <w:rPr>
              <w:color w:val="auto"/>
            </w:rPr>
            <w:fldChar w:fldCharType="end"/>
          </w:r>
        </w:p>
        <w:p>
          <w:pPr>
            <w:pStyle w:val="15"/>
            <w:tabs>
              <w:tab w:val="left" w:pos="1260"/>
              <w:tab w:val="right" w:leader="dot" w:pos="9514"/>
            </w:tabs>
            <w:rPr>
              <w:color w:val="auto"/>
            </w:rPr>
          </w:pPr>
          <w:r>
            <w:rPr>
              <w:color w:val="auto"/>
            </w:rPr>
            <w:fldChar w:fldCharType="end"/>
          </w:r>
          <w:r>
            <w:rPr>
              <w:b w:val="0"/>
              <w:bCs/>
              <w:color w:val="auto"/>
              <w:lang w:val="zh-CN"/>
            </w:rPr>
            <w:tab/>
          </w:r>
        </w:p>
      </w:sdtContent>
    </w:sdt>
    <w:p>
      <w:pPr>
        <w:rPr>
          <w:color w:val="auto"/>
        </w:rPr>
      </w:pPr>
      <w:r>
        <w:rPr>
          <w:color w:val="auto"/>
        </w:rPr>
        <w:br w:type="page"/>
      </w:r>
    </w:p>
    <w:p>
      <w:pPr>
        <w:pStyle w:val="2"/>
        <w:numPr>
          <w:ilvl w:val="0"/>
          <w:numId w:val="1"/>
        </w:numPr>
        <w:spacing w:before="240" w:after="120"/>
        <w:ind w:left="883" w:hanging="880" w:hangingChars="200"/>
        <w:jc w:val="center"/>
        <w:rPr>
          <w:rFonts w:ascii="黑体" w:hAnsi="黑体" w:eastAsia="黑体"/>
          <w:color w:val="auto"/>
        </w:rPr>
      </w:pPr>
      <w:bookmarkStart w:id="0" w:name="_Toc28176"/>
      <w:r>
        <w:rPr>
          <w:rFonts w:hint="eastAsia" w:ascii="黑体" w:hAnsi="黑体" w:eastAsia="黑体"/>
          <w:color w:val="auto"/>
        </w:rPr>
        <w:t>投标邀请书</w:t>
      </w:r>
      <w:bookmarkEnd w:id="0"/>
    </w:p>
    <w:p>
      <w:pPr>
        <w:spacing w:line="48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武汉富纳工程咨询有限公司受阳新县城市住房投资有限公司的委托，就阳新县王龙港项目策划销售代理服务进行公开招标采购，欢迎符合条件的供应商投标。</w:t>
      </w:r>
    </w:p>
    <w:p>
      <w:pPr>
        <w:spacing w:line="480" w:lineRule="auto"/>
        <w:ind w:firstLine="480" w:firstLineChars="200"/>
        <w:rPr>
          <w:bCs/>
          <w:color w:val="auto"/>
          <w:sz w:val="32"/>
          <w:szCs w:val="32"/>
          <w:u w:val="single"/>
        </w:rPr>
      </w:pPr>
      <w:r>
        <w:rPr>
          <w:rFonts w:hint="eastAsia" w:ascii="宋体" w:hAnsi="宋体" w:eastAsia="宋体" w:cs="Times New Roman"/>
          <w:b/>
          <w:color w:val="auto"/>
          <w:sz w:val="24"/>
          <w:szCs w:val="24"/>
        </w:rPr>
        <w:t>一、项目编号：</w:t>
      </w:r>
      <w:r>
        <w:rPr>
          <w:rFonts w:hint="eastAsia" w:ascii="宋体" w:hAnsi="宋体" w:eastAsia="宋体" w:cs="Times New Roman"/>
          <w:color w:val="auto"/>
          <w:sz w:val="24"/>
          <w:szCs w:val="24"/>
        </w:rPr>
        <w:t>131-Zcg·2019-72</w:t>
      </w:r>
    </w:p>
    <w:p>
      <w:pPr>
        <w:spacing w:line="360" w:lineRule="auto"/>
        <w:ind w:left="490"/>
        <w:rPr>
          <w:rFonts w:ascii="宋体" w:hAnsi="宋体" w:eastAsia="宋体" w:cs="Times New Roman"/>
          <w:b/>
          <w:color w:val="auto"/>
          <w:sz w:val="24"/>
          <w:szCs w:val="24"/>
        </w:rPr>
      </w:pPr>
      <w:r>
        <w:rPr>
          <w:rFonts w:hint="eastAsia" w:ascii="宋体" w:hAnsi="宋体" w:eastAsia="宋体" w:cs="Times New Roman"/>
          <w:b/>
          <w:color w:val="auto"/>
          <w:sz w:val="24"/>
          <w:szCs w:val="24"/>
        </w:rPr>
        <w:t>二、项目名称：</w:t>
      </w:r>
      <w:r>
        <w:rPr>
          <w:rFonts w:hint="eastAsia" w:ascii="宋体" w:hAnsi="宋体" w:eastAsia="宋体" w:cs="Times New Roman"/>
          <w:color w:val="auto"/>
          <w:sz w:val="24"/>
          <w:szCs w:val="24"/>
        </w:rPr>
        <w:t>阳新县王龙港项目策划销售代理服务</w:t>
      </w:r>
    </w:p>
    <w:p>
      <w:pPr>
        <w:spacing w:line="360" w:lineRule="auto"/>
        <w:ind w:left="490"/>
        <w:rPr>
          <w:rFonts w:ascii="宋体" w:hAnsi="宋体" w:eastAsia="宋体" w:cs="Times New Roman"/>
          <w:color w:val="auto"/>
          <w:sz w:val="24"/>
          <w:szCs w:val="24"/>
        </w:rPr>
      </w:pPr>
      <w:r>
        <w:rPr>
          <w:rFonts w:hint="eastAsia" w:ascii="宋体" w:hAnsi="宋体" w:eastAsia="宋体" w:cs="Times New Roman"/>
          <w:b/>
          <w:color w:val="auto"/>
          <w:sz w:val="24"/>
          <w:szCs w:val="24"/>
        </w:rPr>
        <w:t>三、招标内容：</w:t>
      </w:r>
      <w:r>
        <w:rPr>
          <w:rFonts w:hint="eastAsia" w:ascii="宋体" w:hAnsi="宋体" w:eastAsia="宋体" w:cs="Times New Roman"/>
          <w:color w:val="auto"/>
          <w:sz w:val="24"/>
          <w:szCs w:val="24"/>
        </w:rPr>
        <w:t>策划销售代理服务（详见招标文件《采购清单》）</w:t>
      </w:r>
    </w:p>
    <w:p>
      <w:pPr>
        <w:spacing w:line="360" w:lineRule="auto"/>
        <w:ind w:left="490"/>
        <w:rPr>
          <w:rFonts w:ascii="宋体" w:hAnsi="宋体" w:eastAsia="宋体" w:cs="Times New Roman"/>
          <w:b/>
          <w:color w:val="auto"/>
          <w:sz w:val="24"/>
          <w:szCs w:val="24"/>
        </w:rPr>
      </w:pPr>
      <w:r>
        <w:rPr>
          <w:rFonts w:hint="eastAsia" w:ascii="宋体" w:hAnsi="宋体" w:eastAsia="宋体" w:cs="Times New Roman"/>
          <w:b/>
          <w:color w:val="auto"/>
          <w:sz w:val="24"/>
          <w:szCs w:val="24"/>
        </w:rPr>
        <w:t>四、项目概况：</w:t>
      </w:r>
      <w:r>
        <w:rPr>
          <w:rFonts w:hint="eastAsia" w:ascii="宋体" w:hAnsi="宋体" w:eastAsia="宋体" w:cs="Times New Roman"/>
          <w:bCs/>
          <w:color w:val="auto"/>
          <w:sz w:val="24"/>
          <w:szCs w:val="24"/>
        </w:rPr>
        <w:t>本项目位于湖北省黄石市阳新县，房屋可销售面积约为12万㎡</w:t>
      </w:r>
    </w:p>
    <w:p>
      <w:pPr>
        <w:spacing w:line="360" w:lineRule="auto"/>
        <w:ind w:left="490"/>
        <w:rPr>
          <w:rFonts w:ascii="宋体" w:hAnsi="宋体" w:eastAsia="宋体" w:cs="Times New Roman"/>
          <w:b/>
          <w:color w:val="auto"/>
          <w:sz w:val="24"/>
          <w:szCs w:val="24"/>
        </w:rPr>
      </w:pPr>
      <w:r>
        <w:rPr>
          <w:rFonts w:hint="eastAsia" w:ascii="宋体" w:hAnsi="宋体" w:eastAsia="宋体" w:cs="Times New Roman"/>
          <w:b/>
          <w:color w:val="auto"/>
          <w:sz w:val="24"/>
          <w:szCs w:val="24"/>
        </w:rPr>
        <w:t>五、销售代理服务费最高限价：策划及</w:t>
      </w:r>
      <w:r>
        <w:rPr>
          <w:rFonts w:hint="eastAsia" w:ascii="宋体" w:hAnsi="宋体" w:eastAsia="宋体" w:cs="Times New Roman"/>
          <w:bCs/>
          <w:color w:val="auto"/>
          <w:sz w:val="24"/>
          <w:szCs w:val="24"/>
        </w:rPr>
        <w:t>销售代理服务费（含策划费、广告方案设计费、样板房及销售中心装饰设计费）：全款全额到账的住宅购房款的2%计算</w:t>
      </w:r>
      <w:r>
        <w:rPr>
          <w:rFonts w:hint="eastAsia" w:ascii="宋体" w:hAnsi="宋体"/>
          <w:b/>
          <w:color w:val="auto"/>
          <w:sz w:val="24"/>
          <w:szCs w:val="24"/>
        </w:rPr>
        <w:t>（超出最高限价将导致其投标无效）</w:t>
      </w:r>
    </w:p>
    <w:p>
      <w:pPr>
        <w:spacing w:line="360" w:lineRule="auto"/>
        <w:ind w:left="490"/>
        <w:rPr>
          <w:rFonts w:ascii="宋体" w:hAnsi="宋体" w:eastAsia="宋体" w:cs="Times New Roman"/>
          <w:color w:val="auto"/>
          <w:sz w:val="24"/>
          <w:szCs w:val="24"/>
        </w:rPr>
      </w:pPr>
      <w:r>
        <w:rPr>
          <w:rFonts w:hint="eastAsia" w:ascii="宋体" w:hAnsi="宋体" w:eastAsia="宋体" w:cs="Times New Roman"/>
          <w:b/>
          <w:color w:val="auto"/>
          <w:sz w:val="24"/>
          <w:szCs w:val="24"/>
        </w:rPr>
        <w:t>六、政府集中采购项目：否</w:t>
      </w:r>
    </w:p>
    <w:p>
      <w:pPr>
        <w:spacing w:line="360" w:lineRule="auto"/>
        <w:ind w:left="490"/>
        <w:rPr>
          <w:rFonts w:ascii="宋体" w:hAnsi="宋体" w:eastAsia="宋体" w:cs="Times New Roman"/>
          <w:b/>
          <w:color w:val="auto"/>
          <w:sz w:val="24"/>
          <w:szCs w:val="24"/>
        </w:rPr>
      </w:pPr>
      <w:r>
        <w:rPr>
          <w:rFonts w:hint="eastAsia" w:ascii="宋体" w:hAnsi="宋体" w:eastAsia="宋体" w:cs="Times New Roman"/>
          <w:b/>
          <w:color w:val="auto"/>
          <w:sz w:val="24"/>
          <w:szCs w:val="24"/>
        </w:rPr>
        <w:t>七、投标人资格要求：</w:t>
      </w:r>
    </w:p>
    <w:p>
      <w:pPr>
        <w:spacing w:line="360" w:lineRule="auto"/>
        <w:ind w:left="490"/>
        <w:rPr>
          <w:rFonts w:ascii="宋体" w:hAnsi="宋体" w:eastAsia="宋体" w:cs="Times New Roman"/>
          <w:color w:val="auto"/>
          <w:sz w:val="24"/>
          <w:szCs w:val="24"/>
        </w:rPr>
      </w:pPr>
      <w:r>
        <w:rPr>
          <w:rFonts w:hint="eastAsia" w:ascii="宋体" w:hAnsi="宋体" w:eastAsia="宋体" w:cs="Times New Roman"/>
          <w:color w:val="auto"/>
          <w:sz w:val="24"/>
          <w:szCs w:val="24"/>
        </w:rPr>
        <w:t>1、应具备《政府采购法》第二十二条第一款规定的条件；</w:t>
      </w:r>
    </w:p>
    <w:p>
      <w:pPr>
        <w:spacing w:line="360" w:lineRule="auto"/>
        <w:ind w:left="490"/>
        <w:rPr>
          <w:rFonts w:ascii="宋体" w:hAnsi="宋体"/>
          <w:color w:val="auto"/>
          <w:sz w:val="24"/>
          <w:szCs w:val="24"/>
        </w:rPr>
      </w:pPr>
      <w:r>
        <w:rPr>
          <w:rFonts w:hint="eastAsia" w:ascii="宋体" w:hAnsi="宋体" w:eastAsia="宋体" w:cs="Times New Roman"/>
          <w:color w:val="auto"/>
          <w:sz w:val="24"/>
          <w:szCs w:val="24"/>
        </w:rPr>
        <w:t>2、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政府采购严重违法失信行为记录名单</w:t>
      </w:r>
      <w:r>
        <w:rPr>
          <w:rFonts w:hint="eastAsia" w:ascii="宋体" w:hAnsi="宋体"/>
          <w:b/>
          <w:bCs/>
          <w:color w:val="auto"/>
          <w:sz w:val="24"/>
          <w:szCs w:val="24"/>
        </w:rPr>
        <w:t>（须提供以上3个网页查询截图并加盖公章）</w:t>
      </w:r>
      <w:r>
        <w:rPr>
          <w:rFonts w:hint="eastAsia" w:ascii="宋体" w:hAnsi="宋体" w:eastAsia="宋体" w:cs="Times New Roman"/>
          <w:color w:val="auto"/>
          <w:sz w:val="24"/>
          <w:szCs w:val="24"/>
        </w:rPr>
        <w:t>；</w:t>
      </w:r>
      <w:r>
        <w:rPr>
          <w:rFonts w:hint="eastAsia" w:ascii="宋体" w:hAnsi="宋体"/>
          <w:color w:val="auto"/>
          <w:sz w:val="24"/>
          <w:szCs w:val="24"/>
        </w:rPr>
        <w:t>投标人须在中国政府采购网（www.ccgp.gov.cn）上未被列入政府采购严重违法失信行为记录名单</w:t>
      </w:r>
      <w:r>
        <w:rPr>
          <w:rFonts w:hint="eastAsia" w:ascii="宋体" w:hAnsi="宋体"/>
          <w:b/>
          <w:bCs/>
          <w:color w:val="auto"/>
          <w:sz w:val="24"/>
          <w:szCs w:val="24"/>
        </w:rPr>
        <w:t>（须提供网页查询截图并加盖公章，查询时间以公告发布之日起为准）</w:t>
      </w:r>
      <w:r>
        <w:rPr>
          <w:rFonts w:hint="eastAsia" w:ascii="宋体" w:hAnsi="宋体"/>
          <w:color w:val="auto"/>
          <w:sz w:val="24"/>
          <w:szCs w:val="24"/>
        </w:rPr>
        <w:t>。</w:t>
      </w:r>
    </w:p>
    <w:p>
      <w:pPr>
        <w:spacing w:line="360" w:lineRule="auto"/>
        <w:ind w:left="490"/>
        <w:rPr>
          <w:rFonts w:ascii="宋体" w:hAnsi="宋体" w:eastAsia="宋体" w:cs="Times New Roman"/>
          <w:color w:val="auto"/>
          <w:sz w:val="24"/>
          <w:szCs w:val="24"/>
        </w:rPr>
      </w:pPr>
      <w:r>
        <w:rPr>
          <w:rFonts w:hint="eastAsia" w:ascii="宋体" w:hAnsi="宋体"/>
          <w:color w:val="auto"/>
          <w:sz w:val="24"/>
          <w:szCs w:val="24"/>
        </w:rPr>
        <w:t>3、</w:t>
      </w:r>
      <w:r>
        <w:rPr>
          <w:rFonts w:hint="eastAsia" w:ascii="宋体" w:hAnsi="宋体" w:eastAsia="宋体" w:cs="Times New Roman"/>
          <w:color w:val="auto"/>
          <w:sz w:val="24"/>
          <w:szCs w:val="24"/>
        </w:rPr>
        <w:t>特定条件：</w:t>
      </w:r>
    </w:p>
    <w:p>
      <w:pPr>
        <w:spacing w:line="360" w:lineRule="auto"/>
        <w:ind w:left="490"/>
        <w:rPr>
          <w:rFonts w:ascii="宋体" w:hAnsi="宋体" w:eastAsia="宋体" w:cs="Times New Roman"/>
          <w:color w:val="auto"/>
          <w:sz w:val="24"/>
          <w:szCs w:val="24"/>
        </w:rPr>
      </w:pPr>
      <w:r>
        <w:rPr>
          <w:rFonts w:hint="eastAsia" w:ascii="宋体" w:hAnsi="宋体" w:eastAsia="宋体" w:cs="Times New Roman"/>
          <w:color w:val="auto"/>
          <w:sz w:val="24"/>
          <w:szCs w:val="24"/>
        </w:rPr>
        <w:t>（1）投标人须具备房地产经纪资质</w:t>
      </w:r>
      <w:r>
        <w:rPr>
          <w:rFonts w:hint="eastAsia" w:ascii="宋体" w:hAnsi="宋体" w:eastAsia="宋体" w:cs="Times New Roman"/>
          <w:b/>
          <w:color w:val="auto"/>
          <w:sz w:val="24"/>
          <w:szCs w:val="24"/>
        </w:rPr>
        <w:t>（</w:t>
      </w:r>
      <w:r>
        <w:rPr>
          <w:rFonts w:hint="eastAsia" w:ascii="宋体" w:hAnsi="宋体" w:eastAsia="宋体" w:cs="宋体"/>
          <w:b/>
          <w:bCs/>
          <w:color w:val="auto"/>
          <w:sz w:val="24"/>
          <w:szCs w:val="24"/>
        </w:rPr>
        <w:t>需提供资质证书真彩扫描打印件</w:t>
      </w:r>
      <w:r>
        <w:rPr>
          <w:rFonts w:hint="eastAsia" w:ascii="宋体" w:hAnsi="宋体" w:eastAsia="宋体" w:cs="Times New Roman"/>
          <w:b/>
          <w:color w:val="auto"/>
          <w:sz w:val="24"/>
          <w:szCs w:val="24"/>
        </w:rPr>
        <w:t>）；</w:t>
      </w:r>
    </w:p>
    <w:p>
      <w:pPr>
        <w:spacing w:line="360" w:lineRule="auto"/>
        <w:ind w:left="490"/>
        <w:rPr>
          <w:rFonts w:ascii="宋体" w:hAnsi="宋体" w:eastAsia="宋体" w:cs="Times New Roman"/>
          <w:color w:val="auto"/>
          <w:sz w:val="24"/>
          <w:szCs w:val="24"/>
        </w:rPr>
      </w:pPr>
      <w:r>
        <w:rPr>
          <w:rFonts w:hint="eastAsia" w:ascii="宋体" w:hAnsi="宋体" w:eastAsia="宋体" w:cs="Times New Roman"/>
          <w:color w:val="auto"/>
          <w:sz w:val="24"/>
          <w:szCs w:val="24"/>
        </w:rPr>
        <w:t>（2）投标人拟派的项目负责人具有房地产经纪人从业资格证</w:t>
      </w:r>
      <w:r>
        <w:rPr>
          <w:rFonts w:hint="eastAsia" w:ascii="宋体" w:hAnsi="宋体" w:eastAsia="宋体" w:cs="Times New Roman"/>
          <w:b/>
          <w:color w:val="auto"/>
          <w:sz w:val="24"/>
          <w:szCs w:val="24"/>
        </w:rPr>
        <w:t>（</w:t>
      </w:r>
      <w:r>
        <w:rPr>
          <w:rFonts w:hint="eastAsia" w:ascii="宋体" w:hAnsi="宋体"/>
          <w:b/>
          <w:color w:val="auto"/>
          <w:sz w:val="24"/>
          <w:szCs w:val="24"/>
        </w:rPr>
        <w:t>需提供资格证书和社保证明等有效证明材料，</w:t>
      </w:r>
      <w:r>
        <w:rPr>
          <w:rFonts w:hint="eastAsia" w:ascii="宋体" w:hAnsi="宋体" w:eastAsia="宋体" w:cs="宋体"/>
          <w:b/>
          <w:bCs/>
          <w:color w:val="auto"/>
          <w:sz w:val="24"/>
          <w:szCs w:val="24"/>
        </w:rPr>
        <w:t>且证明材料须提供真彩扫描打印件</w:t>
      </w:r>
      <w:r>
        <w:rPr>
          <w:rFonts w:hint="eastAsia" w:ascii="宋体" w:hAnsi="宋体" w:eastAsia="宋体" w:cs="Times New Roman"/>
          <w:b/>
          <w:color w:val="auto"/>
          <w:sz w:val="24"/>
          <w:szCs w:val="24"/>
        </w:rPr>
        <w:t>）</w:t>
      </w:r>
      <w:r>
        <w:rPr>
          <w:rFonts w:hint="eastAsia" w:ascii="宋体" w:hAnsi="宋体" w:eastAsia="宋体" w:cs="Times New Roman"/>
          <w:color w:val="auto"/>
          <w:sz w:val="24"/>
          <w:szCs w:val="24"/>
        </w:rPr>
        <w:t>；</w:t>
      </w:r>
    </w:p>
    <w:p>
      <w:pPr>
        <w:spacing w:line="360" w:lineRule="auto"/>
        <w:ind w:left="490"/>
        <w:rPr>
          <w:rFonts w:ascii="宋体" w:hAnsi="宋体" w:eastAsia="宋体" w:cs="Times New Roman"/>
          <w:color w:val="auto"/>
          <w:sz w:val="24"/>
          <w:szCs w:val="24"/>
        </w:rPr>
      </w:pPr>
      <w:r>
        <w:rPr>
          <w:rFonts w:hint="eastAsia" w:ascii="宋体" w:hAnsi="宋体" w:eastAsia="宋体" w:cs="Times New Roman"/>
          <w:color w:val="auto"/>
          <w:sz w:val="24"/>
          <w:szCs w:val="24"/>
        </w:rPr>
        <w:t>4、不接受联合体形式的投标。</w:t>
      </w:r>
    </w:p>
    <w:p>
      <w:pPr>
        <w:spacing w:line="360" w:lineRule="auto"/>
        <w:ind w:left="490"/>
        <w:rPr>
          <w:rFonts w:ascii="宋体" w:hAnsi="宋体" w:eastAsia="宋体" w:cs="宋体"/>
          <w:b/>
          <w:color w:val="auto"/>
          <w:kern w:val="0"/>
          <w:sz w:val="24"/>
          <w:szCs w:val="24"/>
        </w:rPr>
      </w:pPr>
      <w:r>
        <w:rPr>
          <w:rFonts w:hint="eastAsia" w:ascii="宋体" w:hAnsi="宋体" w:eastAsia="宋体" w:cs="宋体"/>
          <w:b/>
          <w:color w:val="auto"/>
          <w:kern w:val="0"/>
          <w:sz w:val="24"/>
          <w:szCs w:val="24"/>
        </w:rPr>
        <w:t>八、政府采购相关政策执行：</w:t>
      </w:r>
    </w:p>
    <w:p>
      <w:pPr>
        <w:tabs>
          <w:tab w:val="left" w:pos="896"/>
        </w:tabs>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落实</w:t>
      </w:r>
      <w:r>
        <w:rPr>
          <w:rFonts w:hint="eastAsia" w:ascii="宋体" w:hAnsi="宋体" w:eastAsia="宋体" w:cs="Times New Roman"/>
          <w:color w:val="auto"/>
          <w:sz w:val="24"/>
          <w:szCs w:val="24"/>
        </w:rPr>
        <w:t>政府采购强制、优先采购节能产品政策；政府采购优先采购环保产品政策；政府采购促进中小企业发展（监狱企业、残疾人福利性单位视同小微企业）等政策。</w:t>
      </w:r>
    </w:p>
    <w:p>
      <w:pPr>
        <w:tabs>
          <w:tab w:val="left" w:pos="896"/>
        </w:tabs>
        <w:spacing w:line="360" w:lineRule="auto"/>
        <w:ind w:firstLine="480"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是否专门面向中小企业、监狱企业、残疾人福利性单位：否。</w:t>
      </w:r>
    </w:p>
    <w:p>
      <w:pPr>
        <w:spacing w:line="360" w:lineRule="auto"/>
        <w:ind w:left="490"/>
        <w:rPr>
          <w:rFonts w:ascii="宋体" w:hAnsi="宋体" w:eastAsia="宋体" w:cs="宋体"/>
          <w:b/>
          <w:color w:val="auto"/>
          <w:kern w:val="0"/>
          <w:sz w:val="24"/>
          <w:szCs w:val="24"/>
        </w:rPr>
      </w:pPr>
      <w:r>
        <w:rPr>
          <w:rFonts w:hint="eastAsia" w:ascii="宋体" w:hAnsi="宋体" w:eastAsia="宋体" w:cs="宋体"/>
          <w:b/>
          <w:color w:val="auto"/>
          <w:kern w:val="0"/>
          <w:sz w:val="24"/>
          <w:szCs w:val="24"/>
          <w:lang w:val="zh-CN"/>
        </w:rPr>
        <w:t>九、招标文件获取</w:t>
      </w:r>
      <w:r>
        <w:rPr>
          <w:rFonts w:hint="eastAsia" w:ascii="宋体" w:hAnsi="宋体" w:eastAsia="宋体" w:cs="宋体"/>
          <w:b/>
          <w:color w:val="auto"/>
          <w:kern w:val="0"/>
          <w:sz w:val="24"/>
          <w:szCs w:val="24"/>
        </w:rPr>
        <w:t>：</w:t>
      </w:r>
    </w:p>
    <w:p>
      <w:pPr>
        <w:widowControl/>
        <w:adjustRightInd w:val="0"/>
        <w:snapToGrid w:val="0"/>
        <w:spacing w:line="360" w:lineRule="auto"/>
        <w:ind w:firstLine="480" w:firstLineChars="200"/>
        <w:jc w:val="left"/>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本项目实行网上下载标书，招标文件与本招标公告同时发布（见招标文件下载），凡自愿参加本项目投标者，请于2019年</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日至2019年</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日17:30前点击项目招标公告中的链接免费下载招标文件，并在投标截止时间前办理所有投标手续并同时递交投标文件。</w:t>
      </w:r>
    </w:p>
    <w:p>
      <w:pPr>
        <w:spacing w:line="360" w:lineRule="auto"/>
        <w:ind w:firstLine="480" w:firstLineChars="200"/>
        <w:rPr>
          <w:rFonts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十、投标信息：</w:t>
      </w:r>
    </w:p>
    <w:p>
      <w:pPr>
        <w:spacing w:line="360" w:lineRule="auto"/>
        <w:ind w:firstLine="470" w:firstLineChars="196"/>
        <w:rPr>
          <w:rFonts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投标文件递交截止时间：2019</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26</w:t>
      </w:r>
      <w:r>
        <w:rPr>
          <w:rFonts w:hint="eastAsia" w:ascii="宋体" w:hAnsi="宋体" w:eastAsia="宋体" w:cs="Times New Roman"/>
          <w:color w:val="auto"/>
          <w:sz w:val="24"/>
          <w:szCs w:val="24"/>
          <w:highlight w:val="none"/>
        </w:rPr>
        <w:t>日9：00</w:t>
      </w:r>
      <w:r>
        <w:rPr>
          <w:rFonts w:hint="eastAsia" w:ascii="宋体" w:hAnsi="宋体" w:eastAsia="宋体" w:cs="宋体"/>
          <w:color w:val="auto"/>
          <w:kern w:val="0"/>
          <w:sz w:val="24"/>
          <w:szCs w:val="24"/>
          <w:highlight w:val="none"/>
        </w:rPr>
        <w:t>（8时30分开始接收投标文件，拒收逾期送达或者未按招标文件要求密封的投标文件）</w:t>
      </w:r>
    </w:p>
    <w:p>
      <w:pPr>
        <w:widowControl/>
        <w:spacing w:line="360" w:lineRule="auto"/>
        <w:ind w:firstLine="470" w:firstLineChars="19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投标文件递交地点：阳新县公共资源交易中心</w:t>
      </w: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楼开标大厅（阳新县熊家垴安置小区东侧）</w:t>
      </w:r>
    </w:p>
    <w:p>
      <w:pPr>
        <w:widowControl/>
        <w:spacing w:line="357" w:lineRule="atLeast"/>
        <w:ind w:firstLine="480" w:firstLineChars="200"/>
        <w:textAlignment w:val="baseline"/>
        <w:rPr>
          <w:rFonts w:ascii="宋体" w:hAnsi="宋体" w:eastAsia="宋体" w:cs="宋体"/>
          <w:color w:val="auto"/>
          <w:kern w:val="0"/>
          <w:sz w:val="24"/>
          <w:szCs w:val="24"/>
          <w:highlight w:val="none"/>
        </w:rPr>
      </w:pPr>
      <w:r>
        <w:rPr>
          <w:rFonts w:hint="eastAsia" w:ascii="Times New Roman" w:hAnsi="Times New Roman" w:eastAsia="宋体" w:cs="宋体"/>
          <w:color w:val="auto"/>
          <w:sz w:val="24"/>
          <w:szCs w:val="24"/>
          <w:highlight w:val="none"/>
        </w:rPr>
        <w:t>届时请参加投标的授权代表携带有效身份证、法人身份证明书或法人委托授权书（原件）出席开标大会，否则视同认可开标结果。</w:t>
      </w:r>
    </w:p>
    <w:p>
      <w:pPr>
        <w:spacing w:line="360" w:lineRule="auto"/>
        <w:ind w:firstLine="480" w:firstLineChars="200"/>
        <w:rPr>
          <w:rFonts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十一、开标信息：</w:t>
      </w:r>
    </w:p>
    <w:p>
      <w:pPr>
        <w:spacing w:line="360" w:lineRule="auto"/>
        <w:ind w:firstLine="470" w:firstLineChars="196"/>
        <w:rPr>
          <w:rFonts w:ascii="宋体" w:hAnsi="宋体" w:eastAsia="宋体" w:cs="Times New Roman"/>
          <w:color w:val="auto"/>
          <w:sz w:val="24"/>
          <w:szCs w:val="24"/>
          <w:highlight w:val="none"/>
          <w:u w:val="single"/>
        </w:rPr>
      </w:pPr>
      <w:r>
        <w:rPr>
          <w:rFonts w:hint="eastAsia" w:ascii="宋体" w:hAnsi="宋体" w:eastAsia="宋体" w:cs="宋体"/>
          <w:color w:val="auto"/>
          <w:kern w:val="0"/>
          <w:sz w:val="24"/>
          <w:szCs w:val="24"/>
          <w:highlight w:val="none"/>
        </w:rPr>
        <w:t>开标时间：2019</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26</w:t>
      </w:r>
      <w:r>
        <w:rPr>
          <w:rFonts w:hint="eastAsia" w:ascii="宋体" w:hAnsi="宋体" w:eastAsia="宋体" w:cs="Times New Roman"/>
          <w:color w:val="auto"/>
          <w:sz w:val="24"/>
          <w:szCs w:val="24"/>
          <w:highlight w:val="none"/>
        </w:rPr>
        <w:t>日9：00</w:t>
      </w:r>
    </w:p>
    <w:p>
      <w:pPr>
        <w:spacing w:line="360" w:lineRule="auto"/>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开标地点：阳新县公共资源交易中心</w:t>
      </w: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楼开标大厅（阳新县熊家垴安置小区东侧）</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b/>
          <w:color w:val="auto"/>
          <w:kern w:val="0"/>
          <w:sz w:val="24"/>
          <w:szCs w:val="24"/>
          <w:highlight w:val="none"/>
          <w:lang w:val="zh-CN"/>
        </w:rPr>
        <w:t>十二、公告期限：</w:t>
      </w:r>
      <w:r>
        <w:rPr>
          <w:rFonts w:hint="eastAsia" w:ascii="宋体" w:hAnsi="宋体" w:eastAsia="宋体" w:cs="Times New Roman"/>
          <w:color w:val="auto"/>
          <w:sz w:val="24"/>
          <w:szCs w:val="24"/>
          <w:highlight w:val="none"/>
        </w:rPr>
        <w:t>自公告发布之日起5个工作日。</w:t>
      </w:r>
    </w:p>
    <w:p>
      <w:pPr>
        <w:spacing w:line="360" w:lineRule="auto"/>
        <w:ind w:firstLine="480" w:firstLineChars="200"/>
        <w:rPr>
          <w:rFonts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十三、质疑：</w:t>
      </w:r>
    </w:p>
    <w:p>
      <w:pPr>
        <w:spacing w:line="360" w:lineRule="auto"/>
        <w:ind w:firstLine="480" w:firstLineChars="200"/>
        <w:rPr>
          <w:rFonts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投标人认为招标文件、招标过程和中标结果使自己的权益受到损害的，可以在知道或者应知其权益受到损害之日起7个工作日内，向采购人或采购代理机构提出</w:t>
      </w:r>
      <w:r>
        <w:rPr>
          <w:rFonts w:hint="eastAsia" w:cs="宋体"/>
          <w:color w:val="auto"/>
          <w:kern w:val="0"/>
          <w:sz w:val="24"/>
          <w:szCs w:val="24"/>
          <w:highlight w:val="none"/>
          <w:lang w:val="zh-CN"/>
        </w:rPr>
        <w:t>书面</w:t>
      </w:r>
      <w:r>
        <w:rPr>
          <w:rFonts w:hint="eastAsia" w:ascii="宋体" w:hAnsi="宋体" w:eastAsia="宋体" w:cs="宋体"/>
          <w:color w:val="auto"/>
          <w:kern w:val="0"/>
          <w:sz w:val="24"/>
          <w:szCs w:val="24"/>
          <w:highlight w:val="none"/>
          <w:lang w:val="zh-CN"/>
        </w:rPr>
        <w:t>质疑。</w:t>
      </w:r>
      <w:r>
        <w:rPr>
          <w:rFonts w:hint="eastAsia" w:ascii="宋体" w:hAnsi="宋体" w:eastAsia="宋体" w:cs="宋体"/>
          <w:color w:val="auto"/>
          <w:kern w:val="0"/>
          <w:sz w:val="24"/>
          <w:szCs w:val="24"/>
          <w:highlight w:val="none"/>
        </w:rPr>
        <w:t>质疑时请提交书面质疑函一份（法人代表签字、加盖单位公章。具体要求详见本招标文件“第二章 投标人须知”中的第八条之规定），并附相关证据材料。</w:t>
      </w:r>
    </w:p>
    <w:p>
      <w:pPr>
        <w:spacing w:line="360" w:lineRule="auto"/>
        <w:ind w:firstLine="480" w:firstLineChars="200"/>
        <w:rPr>
          <w:rFonts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十四、联系方式：</w:t>
      </w:r>
    </w:p>
    <w:p>
      <w:pPr>
        <w:widowControl/>
        <w:spacing w:line="360" w:lineRule="auto"/>
        <w:ind w:firstLine="480"/>
        <w:jc w:val="left"/>
        <w:rPr>
          <w:rFonts w:ascii="宋体" w:hAnsi="宋体" w:eastAsia="宋体" w:cs="宋体"/>
          <w:bCs/>
          <w:color w:val="auto"/>
          <w:kern w:val="0"/>
          <w:sz w:val="24"/>
          <w:szCs w:val="24"/>
          <w:highlight w:val="none"/>
        </w:rPr>
      </w:pPr>
      <w:r>
        <w:rPr>
          <w:rFonts w:hint="eastAsia" w:ascii="宋体" w:hAnsi="宋体" w:eastAsia="宋体" w:cs="Times New Roman"/>
          <w:color w:val="auto"/>
          <w:sz w:val="24"/>
          <w:szCs w:val="24"/>
          <w:highlight w:val="none"/>
        </w:rPr>
        <w:t>采购代理机构：武汉富纳工程咨询有限公司</w:t>
      </w:r>
    </w:p>
    <w:p>
      <w:pPr>
        <w:widowControl/>
        <w:spacing w:line="360" w:lineRule="auto"/>
        <w:ind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联系人：乐之琳、吴克亮</w:t>
      </w:r>
    </w:p>
    <w:p>
      <w:pPr>
        <w:widowControl/>
        <w:spacing w:line="360" w:lineRule="auto"/>
        <w:ind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联系电话：027-86619227</w:t>
      </w:r>
    </w:p>
    <w:p>
      <w:pPr>
        <w:widowControl/>
        <w:spacing w:line="360" w:lineRule="auto"/>
        <w:ind w:firstLine="48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w:t>
      </w:r>
      <w:r>
        <w:rPr>
          <w:rFonts w:hint="eastAsia" w:ascii="宋体" w:hAnsi="宋体" w:eastAsia="宋体" w:cs="Times New Roman"/>
          <w:color w:val="auto"/>
          <w:sz w:val="24"/>
          <w:szCs w:val="24"/>
          <w:highlight w:val="none"/>
        </w:rPr>
        <w:t>武汉市武昌区和平大道（武车路路口）绿地铭创大厦401室</w:t>
      </w:r>
    </w:p>
    <w:p>
      <w:pPr>
        <w:widowControl/>
        <w:spacing w:line="360" w:lineRule="auto"/>
        <w:ind w:firstLine="48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采购人：</w:t>
      </w:r>
      <w:r>
        <w:rPr>
          <w:rFonts w:hint="eastAsia" w:ascii="宋体" w:hAnsi="宋体" w:eastAsia="宋体" w:cs="Times New Roman"/>
          <w:color w:val="auto"/>
          <w:sz w:val="24"/>
          <w:szCs w:val="24"/>
          <w:highlight w:val="none"/>
        </w:rPr>
        <w:t>阳新县城市住房投资有限公司</w:t>
      </w:r>
    </w:p>
    <w:p>
      <w:pPr>
        <w:widowControl/>
        <w:spacing w:line="360" w:lineRule="auto"/>
        <w:ind w:firstLine="48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联系人：刘晓聪</w:t>
      </w:r>
    </w:p>
    <w:p>
      <w:pPr>
        <w:ind w:firstLine="480" w:firstLineChars="200"/>
        <w:rPr>
          <w:rFonts w:ascii="宋体" w:hAnsi="宋体" w:eastAsia="宋体"/>
          <w:color w:val="auto"/>
          <w:highlight w:val="none"/>
        </w:rPr>
      </w:pPr>
      <w:r>
        <w:rPr>
          <w:rFonts w:hint="eastAsia" w:ascii="宋体" w:hAnsi="宋体" w:eastAsia="宋体" w:cs="宋体"/>
          <w:bCs/>
          <w:color w:val="auto"/>
          <w:kern w:val="0"/>
          <w:sz w:val="24"/>
          <w:szCs w:val="24"/>
          <w:highlight w:val="none"/>
        </w:rPr>
        <w:t>联系电话：18671133516</w:t>
      </w:r>
    </w:p>
    <w:p>
      <w:pPr>
        <w:widowControl/>
        <w:spacing w:line="360" w:lineRule="auto"/>
        <w:ind w:firstLine="48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w:t>
      </w:r>
      <w:r>
        <w:rPr>
          <w:rFonts w:hint="eastAsia" w:ascii="宋体" w:hAnsi="宋体" w:eastAsia="宋体" w:cs="Times New Roman"/>
          <w:color w:val="auto"/>
          <w:sz w:val="24"/>
          <w:szCs w:val="24"/>
          <w:highlight w:val="none"/>
        </w:rPr>
        <w:t>阳新县兴国镇阳新大道熊家垴还建小区</w:t>
      </w:r>
    </w:p>
    <w:p>
      <w:pPr>
        <w:widowControl/>
        <w:spacing w:line="360" w:lineRule="auto"/>
        <w:jc w:val="left"/>
        <w:rPr>
          <w:rFonts w:ascii="宋体" w:hAnsi="宋体" w:eastAsia="宋体" w:cs="Times New Roman"/>
          <w:b/>
          <w:color w:val="auto"/>
          <w:sz w:val="28"/>
          <w:szCs w:val="28"/>
          <w:highlight w:val="none"/>
          <w:lang w:val="zh-CN"/>
        </w:rPr>
      </w:pPr>
      <w:r>
        <w:rPr>
          <w:rFonts w:hint="eastAsia" w:ascii="宋体" w:hAnsi="宋体" w:eastAsia="宋体" w:cs="Times New Roman"/>
          <w:b/>
          <w:color w:val="auto"/>
          <w:sz w:val="28"/>
          <w:szCs w:val="28"/>
          <w:highlight w:val="none"/>
          <w:lang w:val="zh-CN"/>
        </w:rPr>
        <w:t xml:space="preserve">                                          2019年</w:t>
      </w:r>
      <w:r>
        <w:rPr>
          <w:rFonts w:hint="eastAsia" w:ascii="宋体" w:hAnsi="宋体" w:eastAsia="宋体" w:cs="Times New Roman"/>
          <w:b/>
          <w:color w:val="auto"/>
          <w:sz w:val="28"/>
          <w:szCs w:val="28"/>
          <w:highlight w:val="none"/>
          <w:lang w:val="en-US" w:eastAsia="zh-CN"/>
        </w:rPr>
        <w:t>6</w:t>
      </w:r>
      <w:r>
        <w:rPr>
          <w:rFonts w:hint="eastAsia" w:ascii="宋体" w:hAnsi="宋体" w:eastAsia="宋体" w:cs="Times New Roman"/>
          <w:b/>
          <w:color w:val="auto"/>
          <w:sz w:val="28"/>
          <w:szCs w:val="28"/>
          <w:highlight w:val="none"/>
          <w:lang w:val="zh-CN"/>
        </w:rPr>
        <w:t>月</w:t>
      </w:r>
      <w:r>
        <w:rPr>
          <w:rFonts w:hint="eastAsia" w:ascii="宋体" w:hAnsi="宋体" w:eastAsia="宋体" w:cs="Times New Roman"/>
          <w:b/>
          <w:color w:val="auto"/>
          <w:sz w:val="28"/>
          <w:szCs w:val="28"/>
          <w:highlight w:val="none"/>
          <w:lang w:val="en-US" w:eastAsia="zh-CN"/>
        </w:rPr>
        <w:t>3</w:t>
      </w:r>
      <w:r>
        <w:rPr>
          <w:rFonts w:hint="eastAsia" w:ascii="宋体" w:hAnsi="宋体" w:eastAsia="宋体" w:cs="Times New Roman"/>
          <w:b/>
          <w:color w:val="auto"/>
          <w:sz w:val="28"/>
          <w:szCs w:val="28"/>
          <w:highlight w:val="none"/>
          <w:lang w:val="zh-CN"/>
        </w:rPr>
        <w:t>日</w:t>
      </w:r>
    </w:p>
    <w:p>
      <w:pPr>
        <w:widowControl/>
        <w:spacing w:line="360" w:lineRule="auto"/>
        <w:jc w:val="left"/>
        <w:rPr>
          <w:rFonts w:ascii="宋体" w:hAnsi="宋体" w:eastAsia="宋体" w:cs="Times New Roman"/>
          <w:b/>
          <w:color w:val="auto"/>
          <w:sz w:val="28"/>
          <w:szCs w:val="28"/>
          <w:highlight w:val="yellow"/>
          <w:lang w:val="zh-CN"/>
        </w:rPr>
      </w:pPr>
    </w:p>
    <w:p>
      <w:pPr>
        <w:pStyle w:val="2"/>
        <w:numPr>
          <w:ilvl w:val="0"/>
          <w:numId w:val="1"/>
        </w:numPr>
        <w:spacing w:before="240" w:after="120"/>
        <w:ind w:left="883" w:hanging="880" w:hangingChars="200"/>
        <w:jc w:val="center"/>
        <w:rPr>
          <w:rFonts w:ascii="黑体" w:hAnsi="黑体" w:eastAsia="黑体"/>
          <w:color w:val="auto"/>
        </w:rPr>
      </w:pPr>
      <w:bookmarkStart w:id="1" w:name="_Toc6381"/>
      <w:r>
        <w:rPr>
          <w:rFonts w:hint="eastAsia" w:ascii="黑体" w:hAnsi="黑体" w:eastAsia="黑体"/>
          <w:color w:val="auto"/>
        </w:rPr>
        <w:t>投标人须知</w:t>
      </w:r>
      <w:bookmarkEnd w:id="1"/>
    </w:p>
    <w:p>
      <w:pPr>
        <w:keepNext/>
        <w:keepLines/>
        <w:spacing w:line="360" w:lineRule="auto"/>
        <w:jc w:val="center"/>
        <w:outlineLvl w:val="1"/>
        <w:rPr>
          <w:rFonts w:cs="Times New Roman" w:asciiTheme="majorEastAsia" w:hAnsiTheme="majorEastAsia" w:eastAsiaTheme="majorEastAsia"/>
          <w:b/>
          <w:bCs/>
          <w:color w:val="auto"/>
          <w:sz w:val="32"/>
          <w:szCs w:val="32"/>
          <w:lang w:val="zh-CN"/>
        </w:rPr>
      </w:pPr>
      <w:bookmarkStart w:id="2" w:name="_Toc2109"/>
      <w:bookmarkStart w:id="3" w:name="_Toc494561937"/>
      <w:r>
        <w:rPr>
          <w:rFonts w:cs="Times New Roman" w:asciiTheme="majorEastAsia" w:hAnsiTheme="majorEastAsia" w:eastAsiaTheme="majorEastAsia"/>
          <w:b/>
          <w:bCs/>
          <w:color w:val="auto"/>
          <w:sz w:val="32"/>
          <w:szCs w:val="32"/>
          <w:lang w:val="zh-CN"/>
        </w:rPr>
        <w:t>投标须知前附表</w:t>
      </w:r>
      <w:bookmarkEnd w:id="2"/>
      <w:bookmarkEnd w:id="3"/>
    </w:p>
    <w:tbl>
      <w:tblPr>
        <w:tblStyle w:val="19"/>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color w:val="auto"/>
                <w:sz w:val="24"/>
                <w:szCs w:val="24"/>
              </w:rPr>
            </w:pPr>
            <w:r>
              <w:rPr>
                <w:rFonts w:ascii="宋体" w:hAnsi="宋体" w:eastAsia="宋体" w:cs="Times New Roman"/>
                <w:b/>
                <w:color w:val="auto"/>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color w:val="auto"/>
                <w:sz w:val="24"/>
                <w:szCs w:val="24"/>
              </w:rPr>
            </w:pPr>
            <w:r>
              <w:rPr>
                <w:rFonts w:hint="eastAsia" w:ascii="Times New Roman" w:hAnsi="宋体" w:eastAsia="宋体" w:cs="Times New Roman"/>
                <w:b/>
                <w:color w:val="auto"/>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color w:val="auto"/>
                <w:sz w:val="24"/>
                <w:szCs w:val="24"/>
              </w:rPr>
            </w:pPr>
            <w:r>
              <w:rPr>
                <w:rFonts w:ascii="Times New Roman" w:hAnsi="宋体" w:eastAsia="宋体" w:cs="Times New Roman"/>
                <w:b/>
                <w:color w:val="auto"/>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宋体" w:hAnsi="宋体" w:eastAsia="宋体" w:cs="Times New Roman"/>
                <w:color w:val="auto"/>
                <w:sz w:val="24"/>
                <w:szCs w:val="24"/>
              </w:rPr>
              <w:t>131-Zcg·2019-72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宋体" w:hAnsi="宋体" w:eastAsia="宋体" w:cs="Times New Roman"/>
                <w:color w:val="auto"/>
                <w:sz w:val="24"/>
                <w:szCs w:val="24"/>
              </w:rPr>
              <w:t>阳新县王龙港项目策划销售代理服务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宋体"/>
                <w:color w:val="auto"/>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Times New Roman"/>
                <w:color w:val="auto"/>
                <w:sz w:val="24"/>
                <w:szCs w:val="24"/>
              </w:rPr>
              <w:t>阳新县城市住房投资有限公司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b/>
                <w:color w:val="auto"/>
                <w:sz w:val="24"/>
                <w:szCs w:val="24"/>
              </w:rPr>
            </w:pPr>
            <w:r>
              <w:rPr>
                <w:rFonts w:ascii="Times New Roman" w:hAnsi="宋体" w:eastAsia="宋体" w:cs="Times New Roman"/>
                <w:b/>
                <w:color w:val="auto"/>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cs="宋体"/>
                <w:b/>
                <w:color w:val="auto"/>
                <w:kern w:val="0"/>
                <w:sz w:val="24"/>
                <w:szCs w:val="24"/>
              </w:rPr>
            </w:pPr>
            <w:r>
              <w:rPr>
                <w:rFonts w:hint="eastAsia" w:ascii="宋体" w:hAnsi="宋体" w:cs="宋体"/>
                <w:b/>
                <w:color w:val="auto"/>
                <w:kern w:val="0"/>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b/>
                <w:color w:val="auto"/>
                <w:sz w:val="24"/>
                <w:szCs w:val="24"/>
              </w:rPr>
            </w:pPr>
            <w:r>
              <w:rPr>
                <w:rFonts w:ascii="Times New Roman" w:hAnsi="宋体" w:eastAsia="宋体" w:cs="Times New Roman"/>
                <w:b/>
                <w:color w:val="auto"/>
                <w:sz w:val="24"/>
                <w:szCs w:val="24"/>
              </w:rPr>
              <w:t>保证金</w:t>
            </w:r>
            <w:r>
              <w:rPr>
                <w:rFonts w:hint="eastAsia" w:ascii="Times New Roman" w:hAnsi="宋体" w:eastAsia="宋体" w:cs="Times New Roman"/>
                <w:b/>
                <w:color w:val="auto"/>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cs="宋体"/>
                <w:b/>
                <w:color w:val="auto"/>
                <w:kern w:val="0"/>
                <w:sz w:val="24"/>
                <w:szCs w:val="24"/>
              </w:rPr>
            </w:pPr>
            <w:r>
              <w:rPr>
                <w:rFonts w:hint="eastAsia" w:ascii="宋体" w:hAnsi="宋体" w:cs="宋体"/>
                <w:b/>
                <w:color w:val="auto"/>
                <w:kern w:val="0"/>
                <w:sz w:val="24"/>
                <w:szCs w:val="24"/>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正本</w:t>
            </w:r>
            <w:r>
              <w:rPr>
                <w:rFonts w:hint="eastAsia" w:ascii="Times New Roman" w:hAnsi="Times New Roman" w:eastAsia="宋体" w:cs="Times New Roman"/>
                <w:color w:val="auto"/>
                <w:sz w:val="24"/>
                <w:szCs w:val="24"/>
              </w:rPr>
              <w:t>一</w:t>
            </w:r>
            <w:r>
              <w:rPr>
                <w:rFonts w:ascii="Times New Roman" w:hAnsi="Times New Roman" w:eastAsia="宋体" w:cs="Times New Roman"/>
                <w:color w:val="auto"/>
                <w:sz w:val="24"/>
                <w:szCs w:val="24"/>
              </w:rPr>
              <w:t>份</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副本</w:t>
            </w:r>
            <w:r>
              <w:rPr>
                <w:rFonts w:hint="eastAsia" w:ascii="Times New Roman" w:hAnsi="Times New Roman" w:eastAsia="宋体" w:cs="Times New Roman"/>
                <w:color w:val="auto"/>
                <w:sz w:val="24"/>
                <w:szCs w:val="24"/>
              </w:rPr>
              <w:t>四</w:t>
            </w:r>
            <w:r>
              <w:rPr>
                <w:rFonts w:ascii="Times New Roman" w:hAnsi="Times New Roman" w:eastAsia="宋体" w:cs="Times New Roman"/>
                <w:color w:val="auto"/>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宋体" w:hAnsi="宋体" w:eastAsia="宋体" w:cs="宋体"/>
                <w:color w:val="auto"/>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开标时间</w:t>
            </w:r>
            <w:r>
              <w:rPr>
                <w:rFonts w:hint="eastAsia" w:ascii="Times New Roman" w:hAnsi="宋体" w:eastAsia="宋体" w:cs="Times New Roman"/>
                <w:color w:val="auto"/>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不允许</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不提交</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宋体" w:hAnsi="宋体" w:eastAsia="宋体" w:cs="宋体"/>
                <w:color w:val="auto"/>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不组织</w:t>
            </w:r>
          </w:p>
          <w:p>
            <w:pPr>
              <w:ind w:right="-105" w:rightChars="-5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允许</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综合评分法</w:t>
            </w:r>
          </w:p>
          <w:p>
            <w:pPr>
              <w:rPr>
                <w:rFonts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详见本章“质疑及提交”要求</w:t>
            </w:r>
          </w:p>
        </w:tc>
      </w:tr>
    </w:tbl>
    <w:p>
      <w:pPr>
        <w:keepNext/>
        <w:keepLines/>
        <w:numPr>
          <w:ilvl w:val="0"/>
          <w:numId w:val="0"/>
        </w:numPr>
        <w:spacing w:before="100" w:beforeAutospacing="1" w:after="100" w:afterAutospacing="1" w:line="360" w:lineRule="auto"/>
        <w:outlineLvl w:val="1"/>
        <w:rPr>
          <w:rFonts w:ascii="黑体" w:hAnsi="黑体" w:eastAsia="黑体" w:cs="Times New Roman"/>
          <w:b/>
          <w:bCs/>
          <w:color w:val="auto"/>
          <w:sz w:val="32"/>
          <w:szCs w:val="32"/>
          <w:lang w:val="zh-CN"/>
        </w:rPr>
      </w:pPr>
      <w:bookmarkStart w:id="4" w:name="_Toc494561938"/>
    </w:p>
    <w:p>
      <w:pPr>
        <w:keepNext/>
        <w:keepLines/>
        <w:numPr>
          <w:ilvl w:val="0"/>
          <w:numId w:val="0"/>
        </w:numPr>
        <w:spacing w:before="100" w:beforeAutospacing="1" w:after="100" w:afterAutospacing="1" w:line="360" w:lineRule="auto"/>
        <w:outlineLvl w:val="1"/>
        <w:rPr>
          <w:rFonts w:ascii="黑体" w:hAnsi="黑体" w:eastAsia="黑体" w:cs="Times New Roman"/>
          <w:b/>
          <w:bCs/>
          <w:color w:val="auto"/>
          <w:sz w:val="32"/>
          <w:szCs w:val="32"/>
          <w:lang w:val="zh-CN"/>
        </w:rPr>
      </w:pPr>
    </w:p>
    <w:p>
      <w:pPr>
        <w:keepNext/>
        <w:keepLines/>
        <w:numPr>
          <w:ilvl w:val="0"/>
          <w:numId w:val="0"/>
        </w:numPr>
        <w:spacing w:before="100" w:beforeAutospacing="1" w:after="100" w:afterAutospacing="1" w:line="360" w:lineRule="auto"/>
        <w:outlineLvl w:val="1"/>
        <w:rPr>
          <w:rFonts w:ascii="黑体" w:hAnsi="黑体" w:eastAsia="黑体" w:cs="Times New Roman"/>
          <w:b/>
          <w:bCs/>
          <w:color w:val="auto"/>
          <w:sz w:val="32"/>
          <w:szCs w:val="32"/>
          <w:lang w:val="zh-CN"/>
        </w:rPr>
      </w:pPr>
    </w:p>
    <w:p>
      <w:pPr>
        <w:keepNext/>
        <w:keepLines/>
        <w:numPr>
          <w:ilvl w:val="0"/>
          <w:numId w:val="0"/>
        </w:numPr>
        <w:spacing w:before="100" w:beforeAutospacing="1" w:after="100" w:afterAutospacing="1" w:line="360" w:lineRule="auto"/>
        <w:outlineLvl w:val="1"/>
        <w:rPr>
          <w:rFonts w:hint="default" w:ascii="黑体" w:hAnsi="黑体" w:eastAsia="黑体" w:cs="Times New Roman"/>
          <w:b/>
          <w:bCs/>
          <w:color w:val="auto"/>
          <w:sz w:val="32"/>
          <w:szCs w:val="32"/>
          <w:lang w:val="en-US" w:eastAsia="zh-CN"/>
        </w:rPr>
      </w:pPr>
    </w:p>
    <w:bookmarkEnd w:id="4"/>
    <w:p>
      <w:pPr>
        <w:pStyle w:val="3"/>
        <w:numPr>
          <w:ilvl w:val="0"/>
          <w:numId w:val="0"/>
        </w:numPr>
        <w:spacing w:before="40" w:after="40" w:line="360" w:lineRule="auto"/>
        <w:ind w:leftChars="0"/>
        <w:jc w:val="left"/>
        <w:rPr>
          <w:rFonts w:cs="Times New Roman" w:asciiTheme="majorEastAsia" w:hAnsiTheme="majorEastAsia"/>
          <w:bCs w:val="0"/>
          <w:color w:val="auto"/>
          <w:lang w:val="zh-CN"/>
        </w:rPr>
      </w:pPr>
    </w:p>
    <w:p>
      <w:pPr>
        <w:rPr>
          <w:rFonts w:cs="Times New Roman" w:asciiTheme="majorEastAsia" w:hAnsiTheme="majorEastAsia"/>
          <w:bCs w:val="0"/>
          <w:color w:val="auto"/>
          <w:lang w:val="zh-CN"/>
        </w:rPr>
      </w:pPr>
    </w:p>
    <w:p>
      <w:pPr>
        <w:pStyle w:val="3"/>
        <w:numPr>
          <w:ilvl w:val="0"/>
          <w:numId w:val="3"/>
        </w:numPr>
        <w:spacing w:before="40" w:after="40" w:line="360" w:lineRule="auto"/>
        <w:ind w:left="658" w:hanging="658"/>
        <w:jc w:val="left"/>
        <w:rPr>
          <w:rFonts w:hint="eastAsia" w:cs="Times New Roman" w:asciiTheme="majorEastAsia" w:hAnsiTheme="majorEastAsia"/>
          <w:bCs w:val="0"/>
          <w:color w:val="auto"/>
          <w:lang w:val="en-US" w:eastAsia="zh-CN"/>
        </w:rPr>
      </w:pPr>
      <w:bookmarkStart w:id="5" w:name="_Toc8068"/>
      <w:r>
        <w:rPr>
          <w:rFonts w:hint="eastAsia" w:cs="Times New Roman" w:asciiTheme="majorEastAsia" w:hAnsiTheme="majorEastAsia"/>
          <w:bCs w:val="0"/>
          <w:color w:val="auto"/>
          <w:lang w:val="en-US" w:eastAsia="zh-CN"/>
        </w:rPr>
        <w:t>说明</w:t>
      </w:r>
      <w:bookmarkEnd w:id="5"/>
    </w:p>
    <w:p>
      <w:pPr>
        <w:numPr>
          <w:ilvl w:val="0"/>
          <w:numId w:val="4"/>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适用范围</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招标文件仅适用于第一章“投标邀请书”中所述项目的货物、工程及服务的采购。</w:t>
      </w:r>
    </w:p>
    <w:p>
      <w:pPr>
        <w:numPr>
          <w:ilvl w:val="0"/>
          <w:numId w:val="4"/>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当事人定义</w:t>
      </w:r>
    </w:p>
    <w:p>
      <w:pPr>
        <w:numPr>
          <w:ilvl w:val="0"/>
          <w:numId w:val="5"/>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“采购人”是指：</w:t>
      </w:r>
      <w:r>
        <w:rPr>
          <w:rFonts w:hint="eastAsia" w:cs="Times New Roman" w:asciiTheme="minorEastAsia" w:hAnsiTheme="minorEastAsia"/>
          <w:color w:val="auto"/>
          <w:sz w:val="24"/>
          <w:szCs w:val="24"/>
          <w:lang w:val="zh-CN"/>
        </w:rPr>
        <w:t>详见第一章“投标邀请书”。</w:t>
      </w:r>
    </w:p>
    <w:p>
      <w:pPr>
        <w:numPr>
          <w:ilvl w:val="0"/>
          <w:numId w:val="5"/>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“监管部门”是指：</w:t>
      </w:r>
      <w:r>
        <w:rPr>
          <w:rFonts w:hint="eastAsia" w:cs="Times New Roman" w:asciiTheme="minorEastAsia" w:hAnsiTheme="minorEastAsia"/>
          <w:color w:val="auto"/>
          <w:sz w:val="24"/>
          <w:szCs w:val="24"/>
          <w:lang w:val="zh-CN"/>
        </w:rPr>
        <w:t>阳新县政府采购办公室、阳新县公共资源交易监督管理局。</w:t>
      </w:r>
    </w:p>
    <w:p>
      <w:pPr>
        <w:numPr>
          <w:ilvl w:val="0"/>
          <w:numId w:val="5"/>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“采购代理机构”是指：</w:t>
      </w:r>
      <w:r>
        <w:rPr>
          <w:rFonts w:hint="eastAsia" w:ascii="宋体" w:hAnsi="宋体" w:eastAsia="宋体" w:cs="Times New Roman"/>
          <w:color w:val="auto"/>
          <w:sz w:val="24"/>
          <w:szCs w:val="24"/>
        </w:rPr>
        <w:t>武汉富纳工程咨询有限公司</w:t>
      </w:r>
      <w:r>
        <w:rPr>
          <w:rFonts w:hint="eastAsia" w:cs="Times New Roman" w:asciiTheme="minorEastAsia" w:hAnsiTheme="minorEastAsia"/>
          <w:color w:val="auto"/>
          <w:sz w:val="24"/>
          <w:szCs w:val="24"/>
          <w:lang w:val="zh-CN"/>
        </w:rPr>
        <w:t>。</w:t>
      </w:r>
    </w:p>
    <w:p>
      <w:pPr>
        <w:numPr>
          <w:ilvl w:val="0"/>
          <w:numId w:val="5"/>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“投标人”是指：</w:t>
      </w:r>
      <w:r>
        <w:rPr>
          <w:rFonts w:cs="Helvetica" w:asciiTheme="minorEastAsia" w:hAnsiTheme="minorEastAsia"/>
          <w:color w:val="auto"/>
          <w:kern w:val="0"/>
          <w:sz w:val="24"/>
          <w:szCs w:val="24"/>
          <w:lang w:val="zh-CN"/>
        </w:rPr>
        <w:t>响应招标、参加投标竞争的法人、其他组织或者自然人。</w:t>
      </w:r>
    </w:p>
    <w:p>
      <w:pPr>
        <w:numPr>
          <w:ilvl w:val="0"/>
          <w:numId w:val="5"/>
        </w:numPr>
        <w:spacing w:line="360" w:lineRule="auto"/>
        <w:ind w:left="476" w:hanging="476"/>
        <w:rPr>
          <w:rFonts w:cs="Helvetica" w:asciiTheme="minorEastAsia" w:hAnsiTheme="minorEastAsia"/>
          <w:color w:val="auto"/>
          <w:kern w:val="0"/>
          <w:sz w:val="24"/>
          <w:szCs w:val="24"/>
          <w:lang w:val="zh-CN"/>
        </w:rPr>
      </w:pPr>
      <w:r>
        <w:rPr>
          <w:rFonts w:hint="eastAsia" w:cs="Times New Roman" w:asciiTheme="minorEastAsia" w:hAnsiTheme="minorEastAsia"/>
          <w:b/>
          <w:color w:val="auto"/>
          <w:sz w:val="24"/>
          <w:szCs w:val="24"/>
          <w:lang w:val="zh-CN"/>
        </w:rPr>
        <w:t>“合格的投标人”是指：</w:t>
      </w:r>
      <w:r>
        <w:rPr>
          <w:rFonts w:hint="eastAsia" w:cs="Helvetica" w:asciiTheme="minorEastAsia" w:hAnsiTheme="minorEastAsia"/>
          <w:color w:val="auto"/>
          <w:kern w:val="0"/>
          <w:sz w:val="24"/>
          <w:szCs w:val="24"/>
          <w:lang w:val="zh-CN"/>
        </w:rPr>
        <w:t>资格审查和符合性审查合格的投标人。</w:t>
      </w:r>
    </w:p>
    <w:p>
      <w:pPr>
        <w:numPr>
          <w:ilvl w:val="0"/>
          <w:numId w:val="5"/>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“中标人”是指：</w:t>
      </w:r>
      <w:r>
        <w:rPr>
          <w:rFonts w:hint="eastAsia" w:cs="Times New Roman" w:asciiTheme="minorEastAsia" w:hAnsiTheme="minorEastAsia"/>
          <w:color w:val="auto"/>
          <w:sz w:val="24"/>
          <w:szCs w:val="24"/>
          <w:lang w:val="zh-CN"/>
        </w:rPr>
        <w:t>经评标委员会评审，授予合同的投标人。</w:t>
      </w:r>
    </w:p>
    <w:p>
      <w:pPr>
        <w:numPr>
          <w:ilvl w:val="0"/>
          <w:numId w:val="4"/>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项目属性及定义</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“货物”是指</w:t>
      </w:r>
      <w:r>
        <w:rPr>
          <w:rFonts w:hint="eastAsia" w:cs="Times New Roman" w:asciiTheme="minorEastAsia" w:hAnsiTheme="minorEastAsia"/>
          <w:color w:val="auto"/>
          <w:sz w:val="24"/>
          <w:szCs w:val="24"/>
          <w:lang w:val="zh-CN"/>
        </w:rPr>
        <w:t>：各种形态和种类的物品，包括原材料、燃料、设备、产品等。</w:t>
      </w:r>
    </w:p>
    <w:p>
      <w:pPr>
        <w:numPr>
          <w:ilvl w:val="0"/>
          <w:numId w:val="7"/>
        </w:numPr>
        <w:spacing w:line="360" w:lineRule="auto"/>
        <w:ind w:left="854"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招标文件中没有提及招标货物来源地的，根据《政府采购法》及相关规定均应是本国货物，另有规定的除外。</w:t>
      </w:r>
    </w:p>
    <w:p>
      <w:pPr>
        <w:numPr>
          <w:ilvl w:val="0"/>
          <w:numId w:val="7"/>
        </w:numPr>
        <w:spacing w:line="360" w:lineRule="auto"/>
        <w:ind w:left="854"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投标的货物应是合法生产的符合国家有关标准要求的货物，并能够按照合同规定的品牌、产地、质量、价格和有效期等履约。</w:t>
      </w:r>
    </w:p>
    <w:p>
      <w:pPr>
        <w:numPr>
          <w:ilvl w:val="0"/>
          <w:numId w:val="6"/>
        </w:numPr>
        <w:spacing w:line="360" w:lineRule="auto"/>
        <w:ind w:left="476" w:hanging="47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“工程”是指</w:t>
      </w:r>
      <w:r>
        <w:rPr>
          <w:rFonts w:hint="eastAsia" w:cs="Times New Roman" w:asciiTheme="minorEastAsia" w:hAnsiTheme="minorEastAsia"/>
          <w:color w:val="auto"/>
          <w:sz w:val="24"/>
          <w:szCs w:val="24"/>
          <w:lang w:val="zh-CN"/>
        </w:rPr>
        <w:t>：与建筑物和构筑物的新建、改建、扩建及其相关的装修、拆除、修缮无关的工程。</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“服务”是指：</w:t>
      </w:r>
      <w:r>
        <w:rPr>
          <w:rFonts w:hint="eastAsia" w:cs="Times New Roman" w:asciiTheme="minorEastAsia" w:hAnsiTheme="minorEastAsia"/>
          <w:color w:val="auto"/>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6"/>
        </w:numPr>
        <w:spacing w:line="360" w:lineRule="auto"/>
        <w:ind w:left="476" w:hanging="476"/>
        <w:rPr>
          <w:rFonts w:cs="Times New Roman" w:asciiTheme="minorEastAsia" w:hAnsiTheme="minorEastAsia"/>
          <w:color w:val="auto"/>
          <w:sz w:val="24"/>
          <w:szCs w:val="24"/>
          <w:lang w:val="zh-CN"/>
        </w:rPr>
      </w:pPr>
      <w:r>
        <w:rPr>
          <w:rFonts w:cs="Times New Roman" w:asciiTheme="minorEastAsia" w:hAnsiTheme="minorEastAsia"/>
          <w:color w:val="auto"/>
          <w:sz w:val="24"/>
          <w:szCs w:val="24"/>
          <w:lang w:val="zh-CN"/>
        </w:rPr>
        <w:t>采购人应当按照财政部制定的《政府采购品目分类目录》确定采购项目属性</w:t>
      </w:r>
      <w:r>
        <w:rPr>
          <w:rFonts w:hint="eastAsia" w:cs="Times New Roman" w:asciiTheme="minorEastAsia" w:hAnsiTheme="minorEastAsia"/>
          <w:color w:val="auto"/>
          <w:sz w:val="24"/>
          <w:szCs w:val="24"/>
          <w:lang w:val="zh-CN"/>
        </w:rPr>
        <w:t>。</w:t>
      </w:r>
      <w:r>
        <w:rPr>
          <w:rFonts w:cs="Times New Roman" w:asciiTheme="minorEastAsia" w:hAnsiTheme="minorEastAsia"/>
          <w:color w:val="auto"/>
          <w:sz w:val="24"/>
          <w:szCs w:val="24"/>
          <w:lang w:val="zh-CN"/>
        </w:rPr>
        <w:t>按照《政府采购品目分类目录》无法确定的，按照有利于采购项目实施的原则确定。</w:t>
      </w:r>
    </w:p>
    <w:p>
      <w:pPr>
        <w:numPr>
          <w:ilvl w:val="0"/>
          <w:numId w:val="4"/>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投标费用</w:t>
      </w:r>
    </w:p>
    <w:p>
      <w:pPr>
        <w:numPr>
          <w:ilvl w:val="0"/>
          <w:numId w:val="8"/>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投标人应承担所有与准备和参加投标有关的费用。不论投标的结果如何，采购代理机构和采购人均无义务和责任承担这些费用。</w:t>
      </w:r>
    </w:p>
    <w:p>
      <w:pPr>
        <w:pStyle w:val="39"/>
        <w:numPr>
          <w:ilvl w:val="0"/>
          <w:numId w:val="8"/>
        </w:numPr>
        <w:adjustRightInd w:val="0"/>
        <w:snapToGrid w:val="0"/>
        <w:spacing w:line="300" w:lineRule="auto"/>
        <w:ind w:firstLineChars="0"/>
        <w:rPr>
          <w:rFonts w:ascii="宋体" w:hAnsi="宋体"/>
          <w:bCs/>
          <w:color w:val="auto"/>
          <w:sz w:val="24"/>
          <w:szCs w:val="24"/>
        </w:rPr>
      </w:pPr>
      <w:r>
        <w:rPr>
          <w:rFonts w:hint="eastAsia" w:ascii="宋体" w:hAnsi="宋体"/>
          <w:color w:val="auto"/>
          <w:sz w:val="24"/>
          <w:szCs w:val="24"/>
        </w:rPr>
        <w:t>采购代理服务费</w:t>
      </w:r>
    </w:p>
    <w:p>
      <w:pPr>
        <w:pStyle w:val="39"/>
        <w:ind w:left="420" w:firstLine="0" w:firstLineChars="0"/>
        <w:rPr>
          <w:rFonts w:ascii="宋体" w:hAnsi="宋体"/>
          <w:color w:val="auto"/>
          <w:sz w:val="24"/>
          <w:szCs w:val="24"/>
        </w:rPr>
      </w:pPr>
      <w:r>
        <w:rPr>
          <w:rFonts w:hint="eastAsia" w:ascii="宋体" w:hAnsi="宋体"/>
          <w:b/>
          <w:color w:val="auto"/>
          <w:sz w:val="24"/>
          <w:szCs w:val="24"/>
        </w:rPr>
        <w:t>经过采购代理机构与采购人协议，采购代理服务费为人民币</w:t>
      </w:r>
      <w:r>
        <w:rPr>
          <w:rFonts w:hint="eastAsia" w:ascii="宋体" w:hAnsi="宋体"/>
          <w:b/>
          <w:color w:val="auto"/>
          <w:sz w:val="24"/>
          <w:szCs w:val="24"/>
          <w:u w:val="single"/>
        </w:rPr>
        <w:t>叁万</w:t>
      </w:r>
      <w:r>
        <w:rPr>
          <w:rFonts w:hint="eastAsia" w:ascii="宋体" w:hAnsi="宋体"/>
          <w:b/>
          <w:color w:val="auto"/>
          <w:sz w:val="24"/>
          <w:szCs w:val="24"/>
        </w:rPr>
        <w:t>元整，由中标单位支付。</w:t>
      </w:r>
    </w:p>
    <w:p>
      <w:pPr>
        <w:pStyle w:val="3"/>
        <w:numPr>
          <w:ilvl w:val="0"/>
          <w:numId w:val="3"/>
        </w:numPr>
        <w:spacing w:before="40" w:after="40" w:line="360" w:lineRule="auto"/>
        <w:ind w:left="658" w:hanging="658"/>
        <w:jc w:val="left"/>
        <w:rPr>
          <w:rFonts w:cs="Times New Roman" w:asciiTheme="majorEastAsia" w:hAnsiTheme="majorEastAsia"/>
          <w:bCs w:val="0"/>
          <w:color w:val="auto"/>
          <w:lang w:val="zh-CN"/>
        </w:rPr>
      </w:pPr>
      <w:bookmarkStart w:id="6" w:name="_Toc19260"/>
      <w:bookmarkStart w:id="7" w:name="_Toc278891592"/>
      <w:bookmarkStart w:id="8" w:name="_Toc272247695"/>
      <w:bookmarkStart w:id="9" w:name="_Toc494561939"/>
      <w:r>
        <w:rPr>
          <w:rFonts w:hint="eastAsia" w:cs="Times New Roman" w:asciiTheme="majorEastAsia" w:hAnsiTheme="majorEastAsia"/>
          <w:bCs w:val="0"/>
          <w:color w:val="auto"/>
          <w:lang w:val="zh-CN"/>
        </w:rPr>
        <w:t>招标文件</w:t>
      </w:r>
      <w:bookmarkEnd w:id="6"/>
      <w:bookmarkEnd w:id="7"/>
      <w:bookmarkEnd w:id="8"/>
      <w:bookmarkEnd w:id="9"/>
    </w:p>
    <w:p>
      <w:pPr>
        <w:numPr>
          <w:ilvl w:val="0"/>
          <w:numId w:val="4"/>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招标文件的构成</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第一章 投标邀请书</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第二章 投标人须知</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第三章 项目技术、服务及商务要求</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第四章 资格审查方法及标准</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第五章 评标方法、程序及标准</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第六章 合同书格式（参考）</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第七章 投标文件格式（参考）</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其 他  在招标过程中由采购代理机构发出的修正和补充文件等</w:t>
      </w:r>
    </w:p>
    <w:p>
      <w:pPr>
        <w:numPr>
          <w:ilvl w:val="0"/>
          <w:numId w:val="4"/>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招标文件疑问的提交</w:t>
      </w:r>
    </w:p>
    <w:p>
      <w:pPr>
        <w:numPr>
          <w:ilvl w:val="0"/>
          <w:numId w:val="9"/>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潜在投标人对招标文件有疑问的，可以向采购代理机构提出询问，或在6.2规定的时间前以书面的形式向采购代理机构提交疑问函。</w:t>
      </w:r>
    </w:p>
    <w:p>
      <w:pPr>
        <w:numPr>
          <w:ilvl w:val="0"/>
          <w:numId w:val="9"/>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9"/>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4"/>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招标文件的澄清、修改</w:t>
      </w:r>
    </w:p>
    <w:p>
      <w:pPr>
        <w:numPr>
          <w:ilvl w:val="0"/>
          <w:numId w:val="10"/>
        </w:numPr>
        <w:spacing w:line="360" w:lineRule="auto"/>
        <w:ind w:left="476" w:hanging="476"/>
        <w:rPr>
          <w:rFonts w:ascii="Helvetica" w:hAnsi="Helvetica" w:eastAsia="宋体" w:cs="Helvetica"/>
          <w:color w:val="auto"/>
          <w:kern w:val="0"/>
          <w:sz w:val="24"/>
          <w:szCs w:val="24"/>
          <w:lang w:val="zh-CN"/>
        </w:rPr>
      </w:pPr>
      <w:r>
        <w:rPr>
          <w:rFonts w:hint="eastAsia" w:ascii="宋体" w:hAnsi="宋体" w:eastAsia="宋体" w:cs="Times New Roman"/>
          <w:color w:val="auto"/>
          <w:sz w:val="24"/>
          <w:szCs w:val="20"/>
          <w:lang w:val="zh-CN"/>
        </w:rPr>
        <w:t>采购代理机构和采购人可以对已发出的招标文件进行必要的澄清或者修改。</w:t>
      </w:r>
      <w:r>
        <w:rPr>
          <w:rFonts w:hint="eastAsia" w:ascii="Helvetica" w:hAnsi="Helvetica" w:eastAsia="宋体" w:cs="Helvetica"/>
          <w:color w:val="auto"/>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color w:val="auto"/>
          <w:sz w:val="24"/>
          <w:szCs w:val="20"/>
          <w:lang w:val="zh-CN"/>
        </w:rPr>
        <w:t>采购代理机构</w:t>
      </w:r>
      <w:r>
        <w:rPr>
          <w:rFonts w:hint="eastAsia" w:ascii="Helvetica" w:hAnsi="Helvetica" w:eastAsia="宋体" w:cs="Helvetica"/>
          <w:color w:val="auto"/>
          <w:kern w:val="0"/>
          <w:sz w:val="24"/>
          <w:szCs w:val="24"/>
          <w:lang w:val="zh-CN"/>
        </w:rPr>
        <w:t>和采购人将在投标截止时间至少</w:t>
      </w:r>
      <w:r>
        <w:rPr>
          <w:rFonts w:hint="eastAsia" w:ascii="宋体" w:hAnsi="宋体" w:eastAsia="宋体" w:cs="Times New Roman"/>
          <w:color w:val="auto"/>
          <w:sz w:val="24"/>
          <w:szCs w:val="20"/>
          <w:lang w:val="zh-CN"/>
        </w:rPr>
        <w:t>15</w:t>
      </w:r>
      <w:r>
        <w:rPr>
          <w:rFonts w:hint="eastAsia" w:ascii="Helvetica" w:hAnsi="Helvetica" w:eastAsia="宋体" w:cs="Helvetica"/>
          <w:color w:val="auto"/>
          <w:kern w:val="0"/>
          <w:sz w:val="24"/>
          <w:szCs w:val="24"/>
          <w:lang w:val="zh-CN"/>
        </w:rPr>
        <w:t>日前，以书面</w:t>
      </w:r>
      <w:r>
        <w:rPr>
          <w:rFonts w:hint="eastAsia" w:ascii="宋体" w:hAnsi="宋体" w:eastAsia="宋体" w:cs="Times New Roman"/>
          <w:color w:val="auto"/>
          <w:sz w:val="24"/>
          <w:szCs w:val="20"/>
          <w:lang w:val="zh-CN"/>
        </w:rPr>
        <w:t>（或网上公告）</w:t>
      </w:r>
      <w:r>
        <w:rPr>
          <w:rFonts w:hint="eastAsia" w:ascii="Helvetica" w:hAnsi="Helvetica" w:eastAsia="宋体" w:cs="Helvetica"/>
          <w:color w:val="auto"/>
          <w:kern w:val="0"/>
          <w:sz w:val="24"/>
          <w:szCs w:val="24"/>
          <w:lang w:val="zh-CN"/>
        </w:rPr>
        <w:t>形式通知所有获取招标文件的潜在投标人。</w:t>
      </w:r>
    </w:p>
    <w:p>
      <w:pPr>
        <w:numPr>
          <w:ilvl w:val="0"/>
          <w:numId w:val="1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澄清或者修改的内容为招标文件的组成部分，并对潜在投标人具有约束力。</w:t>
      </w:r>
    </w:p>
    <w:p>
      <w:pPr>
        <w:numPr>
          <w:ilvl w:val="0"/>
          <w:numId w:val="4"/>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现场考察</w:t>
      </w:r>
    </w:p>
    <w:p>
      <w:pPr>
        <w:numPr>
          <w:ilvl w:val="0"/>
          <w:numId w:val="1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3"/>
        </w:numPr>
        <w:spacing w:before="40" w:after="40" w:line="360" w:lineRule="auto"/>
        <w:ind w:left="658" w:hanging="658"/>
        <w:jc w:val="left"/>
        <w:rPr>
          <w:rFonts w:cs="Times New Roman" w:asciiTheme="majorEastAsia" w:hAnsiTheme="majorEastAsia"/>
          <w:bCs w:val="0"/>
          <w:color w:val="auto"/>
          <w:lang w:val="zh-CN"/>
        </w:rPr>
      </w:pPr>
      <w:bookmarkStart w:id="10" w:name="_Toc494561940"/>
      <w:bookmarkStart w:id="11" w:name="_Toc278891593"/>
      <w:bookmarkStart w:id="12" w:name="_Toc272247696"/>
      <w:bookmarkStart w:id="13" w:name="_Toc20447"/>
      <w:r>
        <w:rPr>
          <w:rFonts w:hint="eastAsia" w:cs="Times New Roman" w:asciiTheme="majorEastAsia" w:hAnsiTheme="majorEastAsia"/>
          <w:bCs w:val="0"/>
          <w:color w:val="auto"/>
          <w:lang w:val="zh-CN"/>
        </w:rPr>
        <w:t>投标文件</w:t>
      </w:r>
      <w:bookmarkEnd w:id="10"/>
      <w:bookmarkEnd w:id="11"/>
      <w:bookmarkEnd w:id="12"/>
      <w:bookmarkEnd w:id="13"/>
    </w:p>
    <w:p>
      <w:pPr>
        <w:numPr>
          <w:ilvl w:val="0"/>
          <w:numId w:val="4"/>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投标的语言</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投标人提交的投标文件以及投标人与</w:t>
      </w:r>
      <w:r>
        <w:rPr>
          <w:rFonts w:hint="eastAsia" w:ascii="宋体" w:hAnsi="宋体" w:eastAsia="宋体" w:cs="Times New Roman"/>
          <w:color w:val="auto"/>
          <w:sz w:val="24"/>
          <w:szCs w:val="20"/>
          <w:lang w:val="zh-CN"/>
        </w:rPr>
        <w:t>采购代理机构</w:t>
      </w:r>
      <w:r>
        <w:rPr>
          <w:rFonts w:hint="eastAsia" w:cs="Times New Roman" w:asciiTheme="minorEastAsia" w:hAnsiTheme="minorEastAsia"/>
          <w:color w:val="auto"/>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4"/>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投标文件的构成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第三部分  技术、服务文件（详见第七章“投标文件格式”中技术、服务文件组成）</w:t>
      </w:r>
    </w:p>
    <w:p>
      <w:pPr>
        <w:numPr>
          <w:ilvl w:val="0"/>
          <w:numId w:val="4"/>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投标文件编制</w:t>
      </w:r>
    </w:p>
    <w:p>
      <w:pPr>
        <w:numPr>
          <w:ilvl w:val="0"/>
          <w:numId w:val="12"/>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如招标文件有分包要求，投标人对招标文件中多个包进行投标的，其投标文件的编制应按每包要求分别装订和封装，并注明对应包号。</w:t>
      </w:r>
    </w:p>
    <w:p>
      <w:pPr>
        <w:numPr>
          <w:ilvl w:val="0"/>
          <w:numId w:val="12"/>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投标人应当对投标文件进行装订，对未经装订的投标书可能发生的文件散落或缺损，由此产生的后果及责任由投标人自行承担。</w:t>
      </w:r>
    </w:p>
    <w:p>
      <w:pPr>
        <w:numPr>
          <w:ilvl w:val="0"/>
          <w:numId w:val="12"/>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投标人应按照招标文件第七章“投标文件格式”提供的《投标书》、《开标一览表》、《投标报价明细表》、《法定代表人授权书》等格式、要求、规定来编制投标文件。</w:t>
      </w:r>
    </w:p>
    <w:p>
      <w:pPr>
        <w:numPr>
          <w:ilvl w:val="0"/>
          <w:numId w:val="12"/>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投标人应对投标文件中所提供资料的真实性负责，如有虚假，将依法承担相应责任。投标人应自觉接受</w:t>
      </w:r>
      <w:r>
        <w:rPr>
          <w:rFonts w:hint="eastAsia" w:ascii="Helvetica" w:hAnsi="Helvetica" w:eastAsia="宋体" w:cs="Helvetica"/>
          <w:color w:val="auto"/>
          <w:kern w:val="0"/>
          <w:sz w:val="24"/>
          <w:szCs w:val="24"/>
          <w:lang w:val="zh-CN"/>
        </w:rPr>
        <w:t>采购人（或采购代理机构）</w:t>
      </w:r>
      <w:r>
        <w:rPr>
          <w:rFonts w:hint="eastAsia" w:cs="Times New Roman" w:asciiTheme="minorEastAsia" w:hAnsiTheme="minorEastAsia"/>
          <w:color w:val="auto"/>
          <w:sz w:val="24"/>
          <w:szCs w:val="24"/>
          <w:lang w:val="zh-CN"/>
        </w:rPr>
        <w:t>对其中任何资料进一步核实的要求。</w:t>
      </w:r>
    </w:p>
    <w:p>
      <w:pPr>
        <w:numPr>
          <w:ilvl w:val="0"/>
          <w:numId w:val="12"/>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因投标人投标文件填报的内容不详，或没有提供招标文件中所要求的全部资料及数据等，由此产生的后果及责任由投标人自行承担。</w:t>
      </w:r>
    </w:p>
    <w:p>
      <w:pPr>
        <w:numPr>
          <w:ilvl w:val="0"/>
          <w:numId w:val="12"/>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投标文件用纸应统一为A4规格（图纸除外）。</w:t>
      </w:r>
    </w:p>
    <w:p>
      <w:pPr>
        <w:numPr>
          <w:ilvl w:val="0"/>
          <w:numId w:val="12"/>
        </w:numPr>
        <w:spacing w:line="360" w:lineRule="auto"/>
        <w:ind w:left="616" w:hanging="61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color w:val="auto"/>
          <w:sz w:val="24"/>
          <w:szCs w:val="20"/>
          <w:lang w:val="zh-CN"/>
        </w:rPr>
        <w:t>各部分文件及内容详见第七章“投标文件格式”要求。</w:t>
      </w:r>
    </w:p>
    <w:p>
      <w:pPr>
        <w:numPr>
          <w:ilvl w:val="0"/>
          <w:numId w:val="12"/>
        </w:numPr>
        <w:spacing w:line="360" w:lineRule="auto"/>
        <w:ind w:left="616" w:hanging="61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4"/>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投标报价</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投标人所提供的货物（工程或服务）均以人民币计价。</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《投标报价明细表》填写时应响应下列要求：</w:t>
      </w:r>
    </w:p>
    <w:p>
      <w:pPr>
        <w:numPr>
          <w:ilvl w:val="0"/>
          <w:numId w:val="14"/>
        </w:numPr>
        <w:spacing w:line="360" w:lineRule="auto"/>
        <w:ind w:left="980" w:hanging="854"/>
        <w:rPr>
          <w:rFonts w:cs="Times New Roman" w:asciiTheme="minorEastAsia" w:hAnsiTheme="minorEastAsia"/>
          <w:color w:val="auto"/>
          <w:sz w:val="24"/>
          <w:szCs w:val="24"/>
          <w:lang w:val="zh-CN"/>
        </w:rPr>
      </w:pPr>
      <w:r>
        <w:rPr>
          <w:rFonts w:hint="eastAsia" w:ascii="宋体" w:hAnsi="宋体"/>
          <w:color w:val="auto"/>
          <w:sz w:val="24"/>
        </w:rPr>
        <w:t>应包括所有根据合同或其他原因由投标人支付的款项、费用</w:t>
      </w:r>
      <w:r>
        <w:rPr>
          <w:rFonts w:hint="eastAsia" w:cs="Times New Roman" w:asciiTheme="minorEastAsia" w:hAnsiTheme="minorEastAsia"/>
          <w:color w:val="auto"/>
          <w:sz w:val="24"/>
          <w:szCs w:val="24"/>
          <w:lang w:val="zh-CN"/>
        </w:rPr>
        <w:t>；</w:t>
      </w:r>
    </w:p>
    <w:p>
      <w:pPr>
        <w:numPr>
          <w:ilvl w:val="0"/>
          <w:numId w:val="14"/>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应包含货物运至最终目的地的运输、保险和伴随货物（工程或服务）的有关费用；</w:t>
      </w:r>
    </w:p>
    <w:p>
      <w:pPr>
        <w:numPr>
          <w:ilvl w:val="0"/>
          <w:numId w:val="14"/>
        </w:numPr>
        <w:spacing w:line="360" w:lineRule="auto"/>
        <w:ind w:left="980" w:hanging="854"/>
        <w:rPr>
          <w:rFonts w:cs="Courier New" w:asciiTheme="minorEastAsia" w:hAnsiTheme="minorEastAsia"/>
          <w:color w:val="auto"/>
          <w:sz w:val="24"/>
          <w:szCs w:val="24"/>
          <w:lang w:val="zh-CN"/>
        </w:rPr>
      </w:pPr>
      <w:r>
        <w:rPr>
          <w:rFonts w:hint="eastAsia" w:cs="Times New Roman" w:asciiTheme="minorEastAsia" w:hAnsiTheme="minorEastAsia"/>
          <w:color w:val="auto"/>
          <w:sz w:val="24"/>
          <w:szCs w:val="24"/>
          <w:lang w:val="zh-CN"/>
        </w:rPr>
        <w:t>应详细提供《投标报价明细表》和《投标货物、服务清单》等内容，否则按照</w:t>
      </w:r>
      <w:r>
        <w:rPr>
          <w:rFonts w:hint="eastAsia" w:cs="Times New Roman" w:asciiTheme="minorEastAsia" w:hAnsiTheme="minorEastAsia"/>
          <w:b/>
          <w:color w:val="auto"/>
          <w:sz w:val="24"/>
          <w:szCs w:val="24"/>
          <w:lang w:val="zh-CN"/>
        </w:rPr>
        <w:t>无效投标处理。</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每一种规格的货物（工程或服务）只允许有一个报价，否则按照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投标人应对项目招标范围内的全部内容进行报价，不得缺、漏项或只投其中的部分内容的，否则按照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4"/>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备选方案</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只允许投标人提供一个投标方案（招标文件中要求提供备选方案的除外），否则按照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4"/>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中标后分包</w:t>
      </w:r>
    </w:p>
    <w:p>
      <w:pPr>
        <w:spacing w:line="360" w:lineRule="auto"/>
        <w:ind w:firstLine="480" w:firstLineChars="200"/>
        <w:rPr>
          <w:rFonts w:cs="Times New Roman" w:asciiTheme="minorEastAsia" w:hAnsiTheme="minorEastAsia"/>
          <w:color w:val="auto"/>
          <w:sz w:val="24"/>
          <w:szCs w:val="24"/>
          <w:lang w:val="zh-CN"/>
        </w:rPr>
      </w:pPr>
      <w:r>
        <w:rPr>
          <w:rFonts w:cs="Times New Roman" w:asciiTheme="minorEastAsia" w:hAnsiTheme="minorEastAsia"/>
          <w:color w:val="auto"/>
          <w:sz w:val="24"/>
          <w:szCs w:val="24"/>
          <w:lang w:val="zh-CN"/>
        </w:rPr>
        <w:t>招标文件规定</w:t>
      </w:r>
      <w:r>
        <w:rPr>
          <w:rFonts w:hint="eastAsia" w:cs="Times New Roman" w:asciiTheme="minorEastAsia" w:hAnsiTheme="minorEastAsia"/>
          <w:color w:val="auto"/>
          <w:sz w:val="24"/>
          <w:szCs w:val="24"/>
          <w:lang w:val="zh-CN"/>
        </w:rPr>
        <w:t>项目非主体、非关键性工作中标后可以分包</w:t>
      </w:r>
      <w:r>
        <w:rPr>
          <w:rFonts w:cs="Times New Roman" w:asciiTheme="minorEastAsia" w:hAnsiTheme="minorEastAsia"/>
          <w:color w:val="auto"/>
          <w:sz w:val="24"/>
          <w:szCs w:val="24"/>
          <w:lang w:val="zh-CN"/>
        </w:rPr>
        <w:t>的，投标人拟在中标后将项目的非主体、非关键性工作分包，应当在投标文件中载明</w:t>
      </w:r>
      <w:r>
        <w:rPr>
          <w:rFonts w:hint="eastAsia" w:cs="Times New Roman" w:asciiTheme="minorEastAsia" w:hAnsiTheme="minorEastAsia"/>
          <w:color w:val="auto"/>
          <w:sz w:val="24"/>
          <w:szCs w:val="24"/>
          <w:lang w:val="zh-CN"/>
        </w:rPr>
        <w:t>具备相应资质条件的</w:t>
      </w:r>
      <w:r>
        <w:rPr>
          <w:rFonts w:cs="Times New Roman" w:asciiTheme="minorEastAsia" w:hAnsiTheme="minorEastAsia"/>
          <w:color w:val="auto"/>
          <w:sz w:val="24"/>
          <w:szCs w:val="24"/>
          <w:lang w:val="zh-CN"/>
        </w:rPr>
        <w:t>分包承担主体，分包承担主体不得再次分包。</w:t>
      </w:r>
      <w:r>
        <w:rPr>
          <w:rFonts w:hint="eastAsia" w:cs="Times New Roman" w:asciiTheme="minorEastAsia" w:hAnsiTheme="minorEastAsia"/>
          <w:color w:val="auto"/>
          <w:sz w:val="24"/>
          <w:szCs w:val="24"/>
          <w:lang w:val="zh-CN"/>
        </w:rPr>
        <w:t>否则中标后不允许分包。</w:t>
      </w:r>
    </w:p>
    <w:p>
      <w:pPr>
        <w:numPr>
          <w:ilvl w:val="0"/>
          <w:numId w:val="4"/>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联合体投标</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两个及以上供应商可以组成一个联合体，以一个投标人的身份共同参与投标。</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采取联合体形式投标的，联合体各方均应当符合政府采购法第二十二条第一款规定的条件。联合体的主体应完全满足项目投标人资格要求。</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联合体各方之间应签订联合投标协议，明确约定联合体主体及各方承担的工作和相应的责任，其投标文件中应提供联合投标协议。</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以联合体形式参加政府采购活动的，联合体各方不得再单独参加或者与其他供应商另外组成联合体参加同一合同项下的政府采购活动。</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采取联合体形式投标的，项目评审时只对联合体主体进行评议。</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联合体中标的，联合体各方应当共同与采购人签订采购合同，</w:t>
      </w:r>
      <w:r>
        <w:rPr>
          <w:rFonts w:hint="eastAsia" w:ascii="宋体" w:hAnsi="宋体"/>
          <w:color w:val="auto"/>
          <w:sz w:val="24"/>
        </w:rPr>
        <w:t>就采购合同约定的事项对采购人承担连带责任，</w:t>
      </w:r>
      <w:r>
        <w:rPr>
          <w:rFonts w:hint="eastAsia" w:cs="Times New Roman" w:asciiTheme="minorEastAsia" w:hAnsiTheme="minorEastAsia"/>
          <w:color w:val="auto"/>
          <w:sz w:val="24"/>
          <w:szCs w:val="24"/>
          <w:lang w:val="zh-CN"/>
        </w:rPr>
        <w:t>联合体主体单位负主要责任。</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联合体中有同类资质的供应商按照联合体分工承担相同工作的，应当按照资质等级较低的供应商确定资质等级。</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招标文件第一章“投标人资格要求”中</w:t>
      </w:r>
      <w:r>
        <w:rPr>
          <w:rFonts w:cs="Times New Roman" w:asciiTheme="minorEastAsia" w:hAnsiTheme="minorEastAsia"/>
          <w:color w:val="auto"/>
          <w:sz w:val="24"/>
          <w:szCs w:val="24"/>
          <w:lang w:val="zh-CN"/>
        </w:rPr>
        <w:t>未载明</w:t>
      </w:r>
      <w:r>
        <w:rPr>
          <w:rFonts w:hint="eastAsia" w:cs="Times New Roman" w:asciiTheme="minorEastAsia" w:hAnsiTheme="minorEastAsia"/>
          <w:color w:val="auto"/>
          <w:sz w:val="24"/>
          <w:szCs w:val="24"/>
          <w:lang w:val="zh-CN"/>
        </w:rPr>
        <w:t>是否接受联合体投标的</w:t>
      </w:r>
      <w:r>
        <w:rPr>
          <w:rFonts w:cs="Times New Roman" w:asciiTheme="minorEastAsia" w:hAnsiTheme="minorEastAsia"/>
          <w:color w:val="auto"/>
          <w:sz w:val="24"/>
          <w:szCs w:val="24"/>
          <w:lang w:val="zh-CN"/>
        </w:rPr>
        <w:t>，</w:t>
      </w:r>
      <w:r>
        <w:rPr>
          <w:rFonts w:hint="eastAsia" w:cs="Times New Roman" w:asciiTheme="minorEastAsia" w:hAnsiTheme="minorEastAsia"/>
          <w:color w:val="auto"/>
          <w:sz w:val="24"/>
          <w:szCs w:val="24"/>
          <w:lang w:val="zh-CN"/>
        </w:rPr>
        <w:t>视同接受</w:t>
      </w:r>
      <w:r>
        <w:rPr>
          <w:rFonts w:cs="Times New Roman" w:asciiTheme="minorEastAsia" w:hAnsiTheme="minorEastAsia"/>
          <w:color w:val="auto"/>
          <w:sz w:val="24"/>
          <w:szCs w:val="24"/>
          <w:lang w:val="zh-CN"/>
        </w:rPr>
        <w:t>。</w:t>
      </w:r>
    </w:p>
    <w:p>
      <w:pPr>
        <w:numPr>
          <w:ilvl w:val="0"/>
          <w:numId w:val="15"/>
        </w:numPr>
        <w:spacing w:line="360" w:lineRule="auto"/>
        <w:ind w:left="728"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以联合体形式参与投标的，其价格扣除相关规定详见第五章“评标方法、程序及标准”。</w:t>
      </w:r>
    </w:p>
    <w:p>
      <w:pPr>
        <w:numPr>
          <w:ilvl w:val="0"/>
          <w:numId w:val="4"/>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资格证明文件</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资格证明文件应真实、合法，并就此承担相应法律责任。</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资格证明文件正本应为清晰彩色影印件且加盖单位公章，否则按照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。副本可为正本的复印件,但应在副本封面加盖单位公章。</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Helvetica" w:asciiTheme="minorEastAsia" w:hAnsiTheme="minorEastAsia"/>
          <w:color w:val="auto"/>
          <w:kern w:val="0"/>
          <w:sz w:val="24"/>
          <w:szCs w:val="24"/>
          <w:lang w:val="zh-CN"/>
        </w:rPr>
        <w:t>资格证明文件内容详见</w:t>
      </w:r>
      <w:r>
        <w:rPr>
          <w:rFonts w:hint="eastAsia" w:cs="Times New Roman" w:asciiTheme="minorEastAsia" w:hAnsiTheme="minorEastAsia"/>
          <w:color w:val="auto"/>
          <w:sz w:val="24"/>
          <w:szCs w:val="24"/>
          <w:lang w:val="zh-CN"/>
        </w:rPr>
        <w:t>第四章“资格审查方法及标准”中资格审查内容</w:t>
      </w:r>
      <w:r>
        <w:rPr>
          <w:rFonts w:hint="eastAsia" w:cs="Helvetica" w:asciiTheme="minorEastAsia" w:hAnsiTheme="minorEastAsia"/>
          <w:color w:val="auto"/>
          <w:kern w:val="0"/>
          <w:sz w:val="24"/>
          <w:szCs w:val="24"/>
          <w:lang w:val="zh-CN"/>
        </w:rPr>
        <w:t>。</w:t>
      </w:r>
    </w:p>
    <w:p>
      <w:pPr>
        <w:numPr>
          <w:ilvl w:val="0"/>
          <w:numId w:val="4"/>
        </w:numPr>
        <w:spacing w:line="360" w:lineRule="auto"/>
        <w:ind w:left="560" w:hanging="560"/>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投标保证金</w:t>
      </w:r>
      <w:r>
        <w:rPr>
          <w:rFonts w:hint="eastAsia" w:cs="Times New Roman" w:asciiTheme="minorEastAsia" w:hAnsiTheme="minorEastAsia"/>
          <w:color w:val="auto"/>
          <w:sz w:val="24"/>
          <w:szCs w:val="24"/>
          <w:lang w:val="zh-CN"/>
        </w:rPr>
        <w:t>（交纳金额及账户信息详见本章“投标须知前附表”中规定）。</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投标人应在投标文件中提供交纳保证金的凭证。</w:t>
      </w:r>
      <w:r>
        <w:rPr>
          <w:rFonts w:hint="eastAsia" w:cs="Times New Roman" w:asciiTheme="minorEastAsia" w:hAnsiTheme="minorEastAsia"/>
          <w:b/>
          <w:color w:val="auto"/>
          <w:sz w:val="24"/>
          <w:szCs w:val="24"/>
          <w:lang w:val="zh-CN"/>
        </w:rPr>
        <w:t>同时参加多个分包的投标人，保证金应按照各包保证金要求分别交纳。</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投标人应在投标文件递交截至时间前，按规定将投标保证金汇入阳新县公共资源交易中心专用账户。投标保证金应在投标有效期截止日后的</w:t>
      </w:r>
      <w:r>
        <w:rPr>
          <w:rFonts w:hint="eastAsia" w:cs="Times New Roman" w:asciiTheme="minorEastAsia" w:hAnsiTheme="minorEastAsia"/>
          <w:b/>
          <w:color w:val="auto"/>
          <w:sz w:val="24"/>
          <w:szCs w:val="24"/>
          <w:lang w:val="zh-CN"/>
        </w:rPr>
        <w:t>30</w:t>
      </w:r>
      <w:r>
        <w:rPr>
          <w:rFonts w:hint="eastAsia" w:cs="Times New Roman" w:asciiTheme="minorEastAsia" w:hAnsiTheme="minorEastAsia"/>
          <w:color w:val="auto"/>
          <w:sz w:val="24"/>
          <w:szCs w:val="24"/>
          <w:lang w:val="zh-CN"/>
        </w:rPr>
        <w:t>天期限内有效。</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投标保证金应按以下方式递交：</w:t>
      </w:r>
    </w:p>
    <w:p>
      <w:pPr>
        <w:numPr>
          <w:ilvl w:val="0"/>
          <w:numId w:val="18"/>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应以电汇或网上银行方式汇入保证金账户，不得以个人名义、不得以现金方式交纳。</w:t>
      </w:r>
    </w:p>
    <w:p>
      <w:pPr>
        <w:numPr>
          <w:ilvl w:val="0"/>
          <w:numId w:val="18"/>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到账时间以阳新县公共资源交易中心账户时间为准。</w:t>
      </w:r>
    </w:p>
    <w:p>
      <w:pPr>
        <w:numPr>
          <w:ilvl w:val="0"/>
          <w:numId w:val="18"/>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交款凭证备注中应说明项目编号及开标时间。</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未按招标文件要求递交投标保证金，或交纳保证金的账户名称与投标人名称不一致的按照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ascii="宋体" w:hAnsi="宋体" w:eastAsia="宋体" w:cs="Times New Roman"/>
          <w:color w:val="auto"/>
          <w:sz w:val="24"/>
          <w:szCs w:val="20"/>
          <w:lang w:val="zh-CN"/>
        </w:rPr>
        <w:t>采购代理机构</w:t>
      </w:r>
      <w:r>
        <w:rPr>
          <w:rFonts w:hint="eastAsia" w:cs="Times New Roman" w:asciiTheme="minorEastAsia" w:hAnsiTheme="minorEastAsia"/>
          <w:color w:val="auto"/>
          <w:sz w:val="24"/>
          <w:szCs w:val="24"/>
          <w:lang w:val="zh-CN"/>
        </w:rPr>
        <w:t>将在自中标通知书发出之日起</w:t>
      </w:r>
      <w:r>
        <w:rPr>
          <w:rFonts w:hint="eastAsia" w:cs="Times New Roman" w:asciiTheme="minorEastAsia" w:hAnsiTheme="minorEastAsia"/>
          <w:b/>
          <w:color w:val="auto"/>
          <w:sz w:val="24"/>
          <w:szCs w:val="24"/>
          <w:lang w:val="zh-CN"/>
        </w:rPr>
        <w:t>5</w:t>
      </w:r>
      <w:r>
        <w:rPr>
          <w:rFonts w:hint="eastAsia" w:cs="Times New Roman" w:asciiTheme="minorEastAsia" w:hAnsiTheme="minorEastAsia"/>
          <w:color w:val="auto"/>
          <w:sz w:val="24"/>
          <w:szCs w:val="24"/>
          <w:lang w:val="zh-CN"/>
        </w:rPr>
        <w:t>个工作日内（如无质疑或投诉）不计利息原额退还未中标人的投标保证金；自政府采购合同签订之日起</w:t>
      </w:r>
      <w:r>
        <w:rPr>
          <w:rFonts w:hint="eastAsia" w:cs="Times New Roman" w:asciiTheme="minorEastAsia" w:hAnsiTheme="minorEastAsia"/>
          <w:b/>
          <w:color w:val="auto"/>
          <w:sz w:val="24"/>
          <w:szCs w:val="24"/>
          <w:lang w:val="zh-CN"/>
        </w:rPr>
        <w:t>5</w:t>
      </w:r>
      <w:r>
        <w:rPr>
          <w:rFonts w:hint="eastAsia" w:cs="Times New Roman" w:asciiTheme="minorEastAsia" w:hAnsiTheme="minorEastAsia"/>
          <w:color w:val="auto"/>
          <w:sz w:val="24"/>
          <w:szCs w:val="24"/>
          <w:lang w:val="zh-CN"/>
        </w:rPr>
        <w:t>个工作日内不计利息原额退还中标人的投标保证金。</w:t>
      </w:r>
    </w:p>
    <w:p>
      <w:pPr>
        <w:numPr>
          <w:ilvl w:val="0"/>
          <w:numId w:val="17"/>
        </w:numPr>
        <w:spacing w:line="360" w:lineRule="auto"/>
        <w:ind w:left="616" w:hanging="616"/>
        <w:rPr>
          <w:rFonts w:cs="Times New Roman" w:asciiTheme="minorEastAsia" w:hAnsiTheme="minorEastAsia"/>
          <w:color w:val="auto"/>
          <w:sz w:val="24"/>
          <w:szCs w:val="24"/>
          <w:lang w:val="zh-CN"/>
        </w:rPr>
      </w:pPr>
      <w:r>
        <w:rPr>
          <w:rFonts w:cs="Helvetica" w:asciiTheme="minorEastAsia" w:hAnsiTheme="minorEastAsia"/>
          <w:color w:val="auto"/>
          <w:kern w:val="0"/>
          <w:sz w:val="24"/>
          <w:szCs w:val="24"/>
          <w:lang w:val="zh-CN"/>
        </w:rPr>
        <w:t>投标人在投标截止时间前撤回已提交的投标文件的，</w:t>
      </w:r>
      <w:r>
        <w:rPr>
          <w:rFonts w:hint="eastAsia" w:ascii="宋体" w:hAnsi="宋体" w:eastAsia="宋体" w:cs="Times New Roman"/>
          <w:color w:val="auto"/>
          <w:sz w:val="24"/>
          <w:szCs w:val="20"/>
          <w:lang w:val="zh-CN"/>
        </w:rPr>
        <w:t>采购代理机构</w:t>
      </w:r>
      <w:r>
        <w:rPr>
          <w:rFonts w:hint="eastAsia" w:cs="Helvetica" w:asciiTheme="minorEastAsia" w:hAnsiTheme="minorEastAsia"/>
          <w:color w:val="auto"/>
          <w:kern w:val="0"/>
          <w:sz w:val="24"/>
          <w:szCs w:val="24"/>
          <w:lang w:val="zh-CN"/>
        </w:rPr>
        <w:t>将在</w:t>
      </w:r>
      <w:r>
        <w:rPr>
          <w:rFonts w:cs="Helvetica" w:asciiTheme="minorEastAsia" w:hAnsiTheme="minorEastAsia"/>
          <w:color w:val="auto"/>
          <w:kern w:val="0"/>
          <w:sz w:val="24"/>
          <w:szCs w:val="24"/>
          <w:lang w:val="zh-CN"/>
        </w:rPr>
        <w:t>自收到投标人书面撤回通知之日起5个工作日内，退还已收取的投标保证金，但因投标人自身原因导致无法及时退还的除外。</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投标保证金将直接退还至投标人交纳时的账户，不以现金方式退还。</w:t>
      </w:r>
    </w:p>
    <w:p>
      <w:pPr>
        <w:numPr>
          <w:ilvl w:val="0"/>
          <w:numId w:val="17"/>
        </w:numPr>
        <w:spacing w:line="360" w:lineRule="auto"/>
        <w:ind w:left="616" w:hanging="61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投标人有下列情形之一的，其投标保证金不予退还：</w:t>
      </w:r>
    </w:p>
    <w:p>
      <w:pPr>
        <w:numPr>
          <w:ilvl w:val="0"/>
          <w:numId w:val="19"/>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在投标文件有效期内撤销投标文件的；</w:t>
      </w:r>
    </w:p>
    <w:p>
      <w:pPr>
        <w:numPr>
          <w:ilvl w:val="0"/>
          <w:numId w:val="19"/>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在投标文件中提供虚假材料的；</w:t>
      </w:r>
    </w:p>
    <w:p>
      <w:pPr>
        <w:numPr>
          <w:ilvl w:val="0"/>
          <w:numId w:val="19"/>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中标后无正当理由拒绝签订政府采购合同的；</w:t>
      </w:r>
    </w:p>
    <w:p>
      <w:pPr>
        <w:numPr>
          <w:ilvl w:val="0"/>
          <w:numId w:val="19"/>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串通投标、恶意串通的；</w:t>
      </w:r>
    </w:p>
    <w:p>
      <w:pPr>
        <w:numPr>
          <w:ilvl w:val="0"/>
          <w:numId w:val="19"/>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法律、法规和招标文件中规定的其它不予退还投标保证金的情形。</w:t>
      </w:r>
    </w:p>
    <w:p>
      <w:pPr>
        <w:numPr>
          <w:ilvl w:val="0"/>
          <w:numId w:val="4"/>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投标有效期</w:t>
      </w:r>
    </w:p>
    <w:p>
      <w:pPr>
        <w:numPr>
          <w:ilvl w:val="0"/>
          <w:numId w:val="20"/>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投标有效期详见本章“投标须知前附表”中规定。</w:t>
      </w:r>
      <w:r>
        <w:rPr>
          <w:rFonts w:cs="Helvetica" w:asciiTheme="minorEastAsia" w:hAnsiTheme="minorEastAsia"/>
          <w:color w:val="auto"/>
          <w:kern w:val="0"/>
          <w:sz w:val="24"/>
          <w:szCs w:val="24"/>
          <w:lang w:val="zh-CN"/>
        </w:rPr>
        <w:t>投标文件中承诺的投标有效期应当不少于招标文件中载明的投标有效期</w:t>
      </w:r>
      <w:r>
        <w:rPr>
          <w:rFonts w:hint="eastAsia" w:cs="Helvetica" w:asciiTheme="minorEastAsia" w:hAnsiTheme="minorEastAsia"/>
          <w:color w:val="auto"/>
          <w:kern w:val="0"/>
          <w:sz w:val="24"/>
          <w:szCs w:val="24"/>
          <w:lang w:val="zh-CN"/>
        </w:rPr>
        <w:t>。投标有效期不足的，</w:t>
      </w:r>
      <w:r>
        <w:rPr>
          <w:rFonts w:hint="eastAsia" w:cs="Times New Roman" w:asciiTheme="minorEastAsia" w:hAnsiTheme="minorEastAsia"/>
          <w:color w:val="auto"/>
          <w:sz w:val="24"/>
          <w:szCs w:val="24"/>
          <w:lang w:val="zh-CN"/>
        </w:rPr>
        <w:t>按照</w:t>
      </w:r>
      <w:r>
        <w:rPr>
          <w:rFonts w:hint="eastAsia" w:cs="Times New Roman" w:asciiTheme="minorEastAsia" w:hAnsiTheme="minorEastAsia"/>
          <w:b/>
          <w:color w:val="auto"/>
          <w:sz w:val="24"/>
          <w:szCs w:val="24"/>
          <w:lang w:val="zh-CN"/>
        </w:rPr>
        <w:t>无效投标处理。</w:t>
      </w:r>
    </w:p>
    <w:p>
      <w:pPr>
        <w:numPr>
          <w:ilvl w:val="0"/>
          <w:numId w:val="20"/>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特殊情况下，在原投标有效期截止之前，</w:t>
      </w:r>
      <w:r>
        <w:rPr>
          <w:rFonts w:hint="eastAsia" w:ascii="宋体" w:hAnsi="宋体" w:eastAsia="宋体" w:cs="Times New Roman"/>
          <w:color w:val="auto"/>
          <w:sz w:val="24"/>
          <w:szCs w:val="20"/>
          <w:lang w:val="zh-CN"/>
        </w:rPr>
        <w:t>采购代理机构</w:t>
      </w:r>
      <w:r>
        <w:rPr>
          <w:rFonts w:hint="eastAsia" w:cs="Times New Roman" w:asciiTheme="minorEastAsia" w:hAnsiTheme="minorEastAsia"/>
          <w:color w:val="auto"/>
          <w:sz w:val="24"/>
          <w:szCs w:val="24"/>
          <w:lang w:val="zh-CN"/>
        </w:rPr>
        <w:t>或采购人可要求投标人延长投标有效期。这种要求与答复均应以书面形式提交。投标人可拒绝</w:t>
      </w:r>
      <w:r>
        <w:rPr>
          <w:rFonts w:hint="eastAsia" w:ascii="宋体" w:hAnsi="宋体" w:eastAsia="宋体" w:cs="Times New Roman"/>
          <w:color w:val="auto"/>
          <w:sz w:val="24"/>
          <w:szCs w:val="20"/>
          <w:lang w:val="zh-CN"/>
        </w:rPr>
        <w:t>采购代理机构</w:t>
      </w:r>
      <w:r>
        <w:rPr>
          <w:rFonts w:hint="eastAsia" w:cs="Times New Roman" w:asciiTheme="minorEastAsia" w:hAnsiTheme="minorEastAsia"/>
          <w:color w:val="auto"/>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4"/>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投标文件的数量和签署</w:t>
      </w:r>
    </w:p>
    <w:p>
      <w:pPr>
        <w:numPr>
          <w:ilvl w:val="0"/>
          <w:numId w:val="21"/>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1"/>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1"/>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投标文件中任何涂改和增删，应由法定代表人或经其正式授权的代表在旁边签字后方为有效。</w:t>
      </w:r>
    </w:p>
    <w:p>
      <w:pPr>
        <w:numPr>
          <w:ilvl w:val="0"/>
          <w:numId w:val="21"/>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color w:val="auto"/>
          <w:sz w:val="24"/>
          <w:szCs w:val="24"/>
          <w:lang w:val="zh-CN"/>
        </w:rPr>
        <w:t>无效投标处理。</w:t>
      </w:r>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投标文件的密封和标记</w:t>
      </w:r>
    </w:p>
    <w:p>
      <w:pPr>
        <w:numPr>
          <w:ilvl w:val="0"/>
          <w:numId w:val="22"/>
        </w:numPr>
        <w:spacing w:line="360" w:lineRule="auto"/>
        <w:ind w:left="616" w:hanging="616"/>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投标人应将投标文件第一部分资格证明文件、第二部分商务文件、第三部分技术、服务文件合并一起装订，一起封装。</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投标人应将投标文件</w:t>
      </w:r>
      <w:r>
        <w:rPr>
          <w:rFonts w:hint="eastAsia" w:ascii="宋体" w:hAnsi="宋体" w:eastAsia="宋体" w:cs="Times New Roman"/>
          <w:b/>
          <w:color w:val="auto"/>
          <w:sz w:val="24"/>
          <w:szCs w:val="20"/>
          <w:lang w:val="zh-CN"/>
        </w:rPr>
        <w:t>正本和副本</w:t>
      </w:r>
      <w:r>
        <w:rPr>
          <w:rFonts w:hint="eastAsia" w:ascii="宋体" w:hAnsi="宋体" w:eastAsia="宋体" w:cs="Times New Roman"/>
          <w:color w:val="auto"/>
          <w:sz w:val="24"/>
          <w:szCs w:val="20"/>
          <w:lang w:val="zh-CN"/>
        </w:rPr>
        <w:t>统一密封在单独的封包中。</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如果未按要求加写密封、标记或存在错误，采购代理机构对其误投或提前启封概不负责。</w:t>
      </w:r>
    </w:p>
    <w:p>
      <w:pPr>
        <w:numPr>
          <w:ilvl w:val="0"/>
          <w:numId w:val="22"/>
        </w:numPr>
        <w:spacing w:line="360" w:lineRule="auto"/>
        <w:ind w:left="616" w:hanging="616"/>
        <w:rPr>
          <w:rFonts w:ascii="宋体" w:hAnsi="宋体" w:eastAsia="宋体" w:cs="Times New Roman"/>
          <w:b/>
          <w:color w:val="auto"/>
          <w:sz w:val="24"/>
          <w:szCs w:val="20"/>
          <w:lang w:val="zh-CN"/>
        </w:rPr>
      </w:pPr>
      <w:r>
        <w:rPr>
          <w:rFonts w:hint="eastAsia" w:ascii="宋体" w:hAnsi="宋体" w:eastAsia="宋体" w:cs="Times New Roman"/>
          <w:color w:val="auto"/>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color w:val="auto"/>
          <w:spacing w:val="-6"/>
          <w:kern w:val="0"/>
          <w:sz w:val="24"/>
          <w:szCs w:val="20"/>
          <w:lang w:val="zh-CN"/>
        </w:rPr>
        <w:t>装入一个信封，单独密封提交</w:t>
      </w:r>
      <w:r>
        <w:rPr>
          <w:rFonts w:hint="eastAsia" w:ascii="宋体" w:hAnsi="宋体" w:eastAsia="宋体" w:cs="Times New Roman"/>
          <w:color w:val="auto"/>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color w:val="auto"/>
          <w:sz w:val="24"/>
          <w:szCs w:val="20"/>
          <w:lang w:val="zh-CN"/>
        </w:rPr>
        <w:t>拒绝</w:t>
      </w:r>
      <w:r>
        <w:rPr>
          <w:rFonts w:hint="eastAsia" w:ascii="宋体" w:hAnsi="宋体" w:eastAsia="宋体" w:cs="Times New Roman"/>
          <w:color w:val="auto"/>
          <w:sz w:val="24"/>
          <w:szCs w:val="20"/>
          <w:lang w:val="zh-CN"/>
        </w:rPr>
        <w:t>其投标。</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投标文件递交</w:t>
      </w:r>
    </w:p>
    <w:p>
      <w:pPr>
        <w:numPr>
          <w:ilvl w:val="0"/>
          <w:numId w:val="23"/>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投标人应在不迟于投标邀请书中规定的投标截止日期和时间将投标文件密封递交至采购人（或采购代理机构）规定的投标地点。</w:t>
      </w:r>
    </w:p>
    <w:p>
      <w:pPr>
        <w:numPr>
          <w:ilvl w:val="0"/>
          <w:numId w:val="23"/>
        </w:numPr>
        <w:spacing w:line="360" w:lineRule="auto"/>
        <w:ind w:left="616" w:hanging="616"/>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采购人（或采购代理机构）</w:t>
      </w:r>
      <w:r>
        <w:rPr>
          <w:rFonts w:hint="eastAsia" w:ascii="Helvetica" w:hAnsi="Helvetica" w:eastAsia="宋体" w:cs="Helvetica"/>
          <w:b/>
          <w:color w:val="auto"/>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采购人（或采购代理机构）</w:t>
      </w:r>
      <w:r>
        <w:rPr>
          <w:rFonts w:ascii="Helvetica" w:hAnsi="Helvetica" w:eastAsia="宋体" w:cs="Helvetica"/>
          <w:color w:val="auto"/>
          <w:kern w:val="0"/>
          <w:sz w:val="24"/>
          <w:szCs w:val="24"/>
          <w:lang w:val="zh-CN"/>
        </w:rPr>
        <w:t>收到投标文件后，应当如实记载投标文件的送达时间和密封情况，签收保存，并向投标人出具签收回执。</w:t>
      </w:r>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投标文件的修改和撤回</w:t>
      </w:r>
    </w:p>
    <w:p>
      <w:pPr>
        <w:numPr>
          <w:ilvl w:val="0"/>
          <w:numId w:val="24"/>
        </w:numPr>
        <w:spacing w:line="360" w:lineRule="auto"/>
        <w:ind w:left="616" w:hanging="616"/>
        <w:rPr>
          <w:rFonts w:ascii="宋体" w:hAnsi="宋体" w:eastAsia="宋体" w:cs="Times New Roman"/>
          <w:strike/>
          <w:color w:val="auto"/>
          <w:sz w:val="24"/>
          <w:szCs w:val="20"/>
          <w:lang w:val="zh-CN"/>
        </w:rPr>
      </w:pPr>
      <w:r>
        <w:rPr>
          <w:rFonts w:ascii="宋体" w:hAnsi="宋体" w:eastAsia="宋体" w:cs="Times New Roman"/>
          <w:color w:val="auto"/>
          <w:sz w:val="24"/>
          <w:szCs w:val="20"/>
          <w:lang w:val="zh-CN"/>
        </w:rPr>
        <w:t>投标人在投标截止时间前，可以对所递交的投标文件进行补充、修改或者撤回，并书面通知</w:t>
      </w:r>
      <w:r>
        <w:rPr>
          <w:rFonts w:hint="eastAsia" w:ascii="宋体" w:hAnsi="宋体" w:eastAsia="宋体" w:cs="Times New Roman"/>
          <w:color w:val="auto"/>
          <w:sz w:val="24"/>
          <w:szCs w:val="20"/>
          <w:lang w:val="zh-CN"/>
        </w:rPr>
        <w:t>采购代理机构</w:t>
      </w:r>
      <w:r>
        <w:rPr>
          <w:rFonts w:ascii="宋体" w:hAnsi="宋体" w:eastAsia="宋体" w:cs="Times New Roman"/>
          <w:color w:val="auto"/>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投标人所递交的投标文件无论中标与否不予退还。</w:t>
      </w:r>
    </w:p>
    <w:p>
      <w:pPr>
        <w:pStyle w:val="3"/>
        <w:numPr>
          <w:ilvl w:val="0"/>
          <w:numId w:val="3"/>
        </w:numPr>
        <w:spacing w:before="40" w:after="40" w:line="360" w:lineRule="auto"/>
        <w:ind w:left="658" w:hanging="658"/>
        <w:jc w:val="left"/>
        <w:rPr>
          <w:rFonts w:cs="Times New Roman" w:asciiTheme="majorEastAsia" w:hAnsiTheme="majorEastAsia"/>
          <w:bCs w:val="0"/>
          <w:color w:val="auto"/>
          <w:lang w:val="zh-CN"/>
        </w:rPr>
      </w:pPr>
      <w:bookmarkStart w:id="14" w:name="_Toc494561942"/>
      <w:bookmarkStart w:id="15" w:name="_Toc272247698"/>
      <w:bookmarkStart w:id="16" w:name="_Toc278891595"/>
      <w:bookmarkStart w:id="17" w:name="_Toc21827"/>
      <w:r>
        <w:rPr>
          <w:rFonts w:hint="eastAsia" w:cs="Times New Roman" w:asciiTheme="majorEastAsia" w:hAnsiTheme="majorEastAsia"/>
          <w:bCs w:val="0"/>
          <w:color w:val="auto"/>
          <w:lang w:val="zh-CN"/>
        </w:rPr>
        <w:t>开标与评标</w:t>
      </w:r>
      <w:bookmarkEnd w:id="14"/>
      <w:bookmarkEnd w:id="15"/>
      <w:bookmarkEnd w:id="16"/>
      <w:bookmarkEnd w:id="17"/>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开标</w:t>
      </w:r>
    </w:p>
    <w:p>
      <w:pPr>
        <w:numPr>
          <w:ilvl w:val="0"/>
          <w:numId w:val="25"/>
        </w:numPr>
        <w:spacing w:line="360" w:lineRule="auto"/>
        <w:ind w:left="616" w:hanging="616"/>
        <w:rPr>
          <w:rFonts w:ascii="宋体" w:hAnsi="宋体" w:eastAsia="宋体" w:cs="Times New Roman"/>
          <w:b/>
          <w:color w:val="auto"/>
          <w:sz w:val="24"/>
          <w:szCs w:val="20"/>
          <w:lang w:val="zh-CN"/>
        </w:rPr>
      </w:pPr>
      <w:r>
        <w:rPr>
          <w:rFonts w:hint="eastAsia" w:ascii="Helvetica" w:hAnsi="Helvetica" w:eastAsia="宋体" w:cs="Helvetica"/>
          <w:color w:val="auto"/>
          <w:kern w:val="0"/>
          <w:sz w:val="24"/>
          <w:szCs w:val="24"/>
          <w:lang w:val="zh-CN"/>
        </w:rPr>
        <w:t>采购人（或采购代理机构）</w:t>
      </w:r>
      <w:r>
        <w:rPr>
          <w:rFonts w:hint="eastAsia" w:ascii="宋体" w:hAnsi="宋体" w:eastAsia="宋体" w:cs="Times New Roman"/>
          <w:color w:val="auto"/>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auto"/>
          <w:sz w:val="24"/>
          <w:szCs w:val="20"/>
          <w:lang w:val="zh-CN"/>
        </w:rPr>
        <w:t>，否则视同认可开标结果。</w:t>
      </w:r>
    </w:p>
    <w:p>
      <w:pPr>
        <w:numPr>
          <w:ilvl w:val="0"/>
          <w:numId w:val="2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投标人法定代表人或其授权代表应携带有效身份证明参加项目开标会，</w:t>
      </w:r>
      <w:r>
        <w:rPr>
          <w:rFonts w:ascii="宋体" w:hAnsi="宋体" w:eastAsia="宋体" w:cs="Times New Roman"/>
          <w:color w:val="auto"/>
          <w:sz w:val="24"/>
          <w:szCs w:val="20"/>
          <w:lang w:val="zh-CN"/>
        </w:rPr>
        <w:t>投标人未参加开标的，视同认可开标结果。</w:t>
      </w:r>
      <w:r>
        <w:rPr>
          <w:rFonts w:hint="eastAsia" w:ascii="宋体" w:hAnsi="宋体" w:eastAsia="宋体" w:cs="Times New Roman"/>
          <w:color w:val="auto"/>
          <w:sz w:val="24"/>
          <w:szCs w:val="20"/>
          <w:lang w:val="zh-CN"/>
        </w:rPr>
        <w:t>截止</w:t>
      </w:r>
      <w:r>
        <w:rPr>
          <w:rFonts w:hint="eastAsia" w:ascii="宋体" w:hAnsi="宋体" w:eastAsia="宋体" w:cs="宋体"/>
          <w:color w:val="auto"/>
          <w:kern w:val="0"/>
          <w:sz w:val="24"/>
          <w:szCs w:val="24"/>
        </w:rPr>
        <w:t>投标文件</w:t>
      </w:r>
      <w:r>
        <w:rPr>
          <w:rFonts w:hint="eastAsia" w:ascii="宋体" w:hAnsi="宋体" w:eastAsia="宋体" w:cs="Times New Roman"/>
          <w:color w:val="auto"/>
          <w:sz w:val="24"/>
          <w:szCs w:val="20"/>
          <w:lang w:val="zh-CN"/>
        </w:rPr>
        <w:t>递交时间，投标人不足3家的，不进行开标</w:t>
      </w:r>
      <w:r>
        <w:rPr>
          <w:rFonts w:hint="eastAsia" w:ascii="Helvetica" w:hAnsi="Helvetica" w:eastAsia="宋体" w:cs="Helvetica"/>
          <w:color w:val="auto"/>
          <w:kern w:val="0"/>
          <w:sz w:val="24"/>
          <w:szCs w:val="24"/>
          <w:lang w:val="zh-CN"/>
        </w:rPr>
        <w:t>。</w:t>
      </w:r>
    </w:p>
    <w:p>
      <w:pPr>
        <w:numPr>
          <w:ilvl w:val="0"/>
          <w:numId w:val="2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开标时，由投标人或其推选的代表检查投标文件的密封情况，经确认无误后由</w:t>
      </w:r>
      <w:r>
        <w:rPr>
          <w:rFonts w:hint="eastAsia" w:ascii="Helvetica" w:hAnsi="Helvetica" w:eastAsia="宋体" w:cs="Helvetica"/>
          <w:color w:val="auto"/>
          <w:kern w:val="0"/>
          <w:sz w:val="24"/>
          <w:szCs w:val="24"/>
          <w:lang w:val="zh-CN"/>
        </w:rPr>
        <w:t>采购人（或采购代理机构）</w:t>
      </w:r>
      <w:r>
        <w:rPr>
          <w:rFonts w:hint="eastAsia" w:ascii="宋体" w:hAnsi="宋体" w:eastAsia="宋体" w:cs="Times New Roman"/>
          <w:color w:val="auto"/>
          <w:sz w:val="24"/>
          <w:szCs w:val="20"/>
          <w:lang w:val="zh-CN"/>
        </w:rPr>
        <w:t>工作人员当众拆封，</w:t>
      </w:r>
      <w:r>
        <w:rPr>
          <w:rFonts w:ascii="宋体" w:hAnsi="宋体" w:eastAsia="宋体" w:cs="Times New Roman"/>
          <w:color w:val="auto"/>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color w:val="auto"/>
          <w:sz w:val="24"/>
          <w:szCs w:val="20"/>
          <w:lang w:val="zh-CN"/>
        </w:rPr>
      </w:pPr>
      <w:r>
        <w:rPr>
          <w:rFonts w:hint="eastAsia" w:ascii="Helvetica" w:hAnsi="Helvetica" w:eastAsia="宋体" w:cs="Helvetica"/>
          <w:color w:val="auto"/>
          <w:kern w:val="0"/>
          <w:sz w:val="24"/>
          <w:szCs w:val="24"/>
          <w:lang w:val="zh-CN"/>
        </w:rPr>
        <w:t>采购人（或采购代理机构）</w:t>
      </w:r>
      <w:r>
        <w:rPr>
          <w:rFonts w:ascii="宋体" w:hAnsi="宋体" w:eastAsia="宋体" w:cs="Times New Roman"/>
          <w:color w:val="auto"/>
          <w:sz w:val="24"/>
          <w:szCs w:val="20"/>
          <w:lang w:val="zh-CN"/>
        </w:rPr>
        <w:t>负责</w:t>
      </w:r>
      <w:r>
        <w:rPr>
          <w:rFonts w:hint="eastAsia" w:ascii="宋体" w:hAnsi="宋体" w:eastAsia="宋体" w:cs="Times New Roman"/>
          <w:color w:val="auto"/>
          <w:sz w:val="24"/>
          <w:szCs w:val="20"/>
          <w:lang w:val="zh-CN"/>
        </w:rPr>
        <w:t>对</w:t>
      </w:r>
      <w:r>
        <w:rPr>
          <w:rFonts w:ascii="宋体" w:hAnsi="宋体" w:eastAsia="宋体" w:cs="Times New Roman"/>
          <w:color w:val="auto"/>
          <w:sz w:val="24"/>
          <w:szCs w:val="20"/>
          <w:lang w:val="zh-CN"/>
        </w:rPr>
        <w:t>开标过程</w:t>
      </w:r>
      <w:r>
        <w:rPr>
          <w:rFonts w:hint="eastAsia" w:ascii="宋体" w:hAnsi="宋体" w:eastAsia="宋体" w:cs="Times New Roman"/>
          <w:color w:val="auto"/>
          <w:sz w:val="24"/>
          <w:szCs w:val="20"/>
          <w:lang w:val="zh-CN"/>
        </w:rPr>
        <w:t>进行</w:t>
      </w:r>
      <w:r>
        <w:rPr>
          <w:rFonts w:ascii="宋体" w:hAnsi="宋体" w:eastAsia="宋体" w:cs="Times New Roman"/>
          <w:color w:val="auto"/>
          <w:sz w:val="24"/>
          <w:szCs w:val="20"/>
          <w:lang w:val="zh-CN"/>
        </w:rPr>
        <w:t>记录，由参加开标的各投标人代表和相关工作人员</w:t>
      </w:r>
      <w:r>
        <w:rPr>
          <w:rFonts w:hint="eastAsia" w:ascii="宋体" w:hAnsi="宋体" w:eastAsia="宋体" w:cs="Times New Roman"/>
          <w:color w:val="auto"/>
          <w:sz w:val="24"/>
          <w:szCs w:val="20"/>
          <w:lang w:val="zh-CN"/>
        </w:rPr>
        <w:t>对开标记录进行</w:t>
      </w:r>
      <w:r>
        <w:rPr>
          <w:rFonts w:ascii="宋体" w:hAnsi="宋体" w:eastAsia="宋体" w:cs="Times New Roman"/>
          <w:color w:val="auto"/>
          <w:sz w:val="24"/>
          <w:szCs w:val="20"/>
          <w:lang w:val="zh-CN"/>
        </w:rPr>
        <w:t>签字确认。</w:t>
      </w:r>
    </w:p>
    <w:p>
      <w:pPr>
        <w:numPr>
          <w:ilvl w:val="0"/>
          <w:numId w:val="25"/>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投标人代表对开标过程和开标记录有疑义，以及认为采购人、</w:t>
      </w:r>
      <w:r>
        <w:rPr>
          <w:rFonts w:hint="eastAsia" w:ascii="Helvetica" w:hAnsi="Helvetica" w:eastAsia="宋体" w:cs="Helvetica"/>
          <w:color w:val="auto"/>
          <w:kern w:val="0"/>
          <w:sz w:val="24"/>
          <w:szCs w:val="24"/>
          <w:lang w:val="zh-CN"/>
        </w:rPr>
        <w:t>采购代理机构</w:t>
      </w:r>
      <w:r>
        <w:rPr>
          <w:rFonts w:ascii="宋体" w:hAnsi="宋体" w:eastAsia="宋体" w:cs="Times New Roman"/>
          <w:color w:val="auto"/>
          <w:sz w:val="24"/>
          <w:szCs w:val="20"/>
          <w:lang w:val="zh-CN"/>
        </w:rPr>
        <w:t>相关工作人员有需要回避的情形的，应当场提出询问或者回避申请。采购人、</w:t>
      </w: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color w:val="auto"/>
          <w:sz w:val="24"/>
          <w:szCs w:val="20"/>
          <w:lang w:val="zh-CN"/>
        </w:rPr>
        <w:t>将</w:t>
      </w:r>
      <w:r>
        <w:rPr>
          <w:rFonts w:ascii="宋体" w:hAnsi="宋体" w:eastAsia="宋体" w:cs="Times New Roman"/>
          <w:color w:val="auto"/>
          <w:sz w:val="24"/>
          <w:szCs w:val="20"/>
          <w:lang w:val="zh-CN"/>
        </w:rPr>
        <w:t>及时处理投标人代表提出的询问或者回避申请。</w:t>
      </w:r>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资格审查</w:t>
      </w:r>
    </w:p>
    <w:p>
      <w:pPr>
        <w:numPr>
          <w:ilvl w:val="0"/>
          <w:numId w:val="26"/>
        </w:numPr>
        <w:spacing w:line="360" w:lineRule="auto"/>
        <w:ind w:left="616" w:hanging="616"/>
        <w:rPr>
          <w:rFonts w:ascii="Helvetica" w:hAnsi="Helvetica" w:eastAsia="宋体" w:cs="Helvetica"/>
          <w:color w:val="auto"/>
          <w:kern w:val="0"/>
          <w:sz w:val="24"/>
          <w:szCs w:val="24"/>
          <w:lang w:val="zh-CN"/>
        </w:rPr>
      </w:pPr>
      <w:r>
        <w:rPr>
          <w:rFonts w:hint="eastAsia" w:ascii="宋体" w:hAnsi="宋体" w:eastAsia="宋体" w:cs="Times New Roman"/>
          <w:bCs/>
          <w:color w:val="auto"/>
          <w:sz w:val="24"/>
          <w:szCs w:val="20"/>
          <w:lang w:val="zh-CN"/>
        </w:rPr>
        <w:t>公开招标采购项目开标结束后，采购人和采购代理机构依据法律、法规及招标文件的规定，对投标人的资格进行审查，以确定投标人资格是否合格。</w:t>
      </w:r>
      <w:r>
        <w:rPr>
          <w:rFonts w:ascii="Helvetica" w:hAnsi="Helvetica" w:eastAsia="宋体" w:cs="Helvetica"/>
          <w:color w:val="auto"/>
          <w:kern w:val="0"/>
          <w:sz w:val="24"/>
          <w:szCs w:val="24"/>
          <w:lang w:val="zh-CN"/>
        </w:rPr>
        <w:t>合格投标人不足</w:t>
      </w:r>
      <w:r>
        <w:rPr>
          <w:rFonts w:ascii="宋体" w:hAnsi="宋体" w:eastAsia="宋体" w:cs="Helvetica"/>
          <w:color w:val="auto"/>
          <w:kern w:val="0"/>
          <w:sz w:val="24"/>
          <w:szCs w:val="24"/>
          <w:lang w:val="zh-CN"/>
        </w:rPr>
        <w:t>3</w:t>
      </w:r>
      <w:r>
        <w:rPr>
          <w:rFonts w:ascii="Helvetica" w:hAnsi="Helvetica" w:eastAsia="宋体" w:cs="Helvetica"/>
          <w:color w:val="auto"/>
          <w:kern w:val="0"/>
          <w:sz w:val="24"/>
          <w:szCs w:val="24"/>
          <w:lang w:val="zh-CN"/>
        </w:rPr>
        <w:t>家的，不</w:t>
      </w:r>
      <w:r>
        <w:rPr>
          <w:rFonts w:hint="eastAsia" w:ascii="Helvetica" w:hAnsi="Helvetica" w:eastAsia="宋体" w:cs="Helvetica"/>
          <w:color w:val="auto"/>
          <w:kern w:val="0"/>
          <w:sz w:val="24"/>
          <w:szCs w:val="24"/>
          <w:lang w:val="zh-CN"/>
        </w:rPr>
        <w:t>进行</w:t>
      </w:r>
      <w:r>
        <w:rPr>
          <w:rFonts w:ascii="Helvetica" w:hAnsi="Helvetica" w:eastAsia="宋体" w:cs="Helvetica"/>
          <w:color w:val="auto"/>
          <w:kern w:val="0"/>
          <w:sz w:val="24"/>
          <w:szCs w:val="24"/>
          <w:lang w:val="zh-CN"/>
        </w:rPr>
        <w:t>评标</w:t>
      </w:r>
      <w:r>
        <w:rPr>
          <w:rFonts w:hint="eastAsia" w:ascii="Helvetica" w:hAnsi="Helvetica" w:eastAsia="宋体" w:cs="Helvetica"/>
          <w:color w:val="auto"/>
          <w:kern w:val="0"/>
          <w:sz w:val="24"/>
          <w:szCs w:val="24"/>
          <w:lang w:val="zh-CN"/>
        </w:rPr>
        <w:t>。</w:t>
      </w:r>
    </w:p>
    <w:p>
      <w:pPr>
        <w:numPr>
          <w:ilvl w:val="0"/>
          <w:numId w:val="26"/>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资格审查详见第四章“资格审查方法及标准”。</w:t>
      </w:r>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评标方法</w:t>
      </w:r>
    </w:p>
    <w:p>
      <w:pPr>
        <w:numPr>
          <w:ilvl w:val="0"/>
          <w:numId w:val="27"/>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综合评分法。</w:t>
      </w:r>
      <w:r>
        <w:rPr>
          <w:rFonts w:ascii="宋体" w:hAnsi="宋体" w:eastAsia="宋体" w:cs="Times New Roman"/>
          <w:bCs/>
          <w:color w:val="auto"/>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color w:val="auto"/>
          <w:sz w:val="24"/>
          <w:szCs w:val="20"/>
          <w:lang w:val="zh-CN"/>
        </w:rPr>
      </w:pPr>
      <w:r>
        <w:rPr>
          <w:rFonts w:hint="eastAsia" w:ascii="Helvetica" w:hAnsi="Helvetica" w:eastAsia="宋体" w:cs="Helvetica"/>
          <w:color w:val="auto"/>
          <w:kern w:val="0"/>
          <w:sz w:val="24"/>
          <w:szCs w:val="24"/>
          <w:lang w:val="zh-CN"/>
        </w:rPr>
        <w:t>评标方法详见第五章“评标方法、程序及标准”</w:t>
      </w:r>
      <w:r>
        <w:rPr>
          <w:rFonts w:hint="eastAsia" w:ascii="宋体" w:hAnsi="宋体" w:eastAsia="宋体" w:cs="Times New Roman"/>
          <w:bCs/>
          <w:color w:val="auto"/>
          <w:sz w:val="24"/>
          <w:szCs w:val="20"/>
          <w:lang w:val="zh-CN"/>
        </w:rPr>
        <w:t>。</w:t>
      </w:r>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评标委员会的组成</w:t>
      </w:r>
    </w:p>
    <w:p>
      <w:pPr>
        <w:numPr>
          <w:ilvl w:val="0"/>
          <w:numId w:val="28"/>
        </w:numPr>
        <w:spacing w:line="360" w:lineRule="auto"/>
        <w:ind w:left="616" w:hanging="616"/>
        <w:rPr>
          <w:rFonts w:ascii="宋体" w:hAnsi="宋体" w:eastAsia="宋体" w:cs="Times New Roman"/>
          <w:color w:val="auto"/>
          <w:sz w:val="24"/>
          <w:szCs w:val="20"/>
          <w:lang w:val="zh-CN"/>
        </w:rPr>
      </w:pPr>
      <w:r>
        <w:rPr>
          <w:rFonts w:ascii="宋体" w:hAnsi="宋体" w:eastAsia="宋体" w:cs="Helvetica"/>
          <w:color w:val="auto"/>
          <w:kern w:val="0"/>
          <w:sz w:val="24"/>
          <w:szCs w:val="24"/>
          <w:lang w:val="zh-CN"/>
        </w:rPr>
        <w:t>评标委员会由采购人代表和评审专家组成，成员人数应当为5人</w:t>
      </w:r>
      <w:r>
        <w:rPr>
          <w:rFonts w:hint="eastAsia" w:ascii="宋体" w:hAnsi="宋体" w:eastAsia="宋体" w:cs="Helvetica"/>
          <w:color w:val="auto"/>
          <w:kern w:val="0"/>
          <w:sz w:val="24"/>
          <w:szCs w:val="24"/>
          <w:lang w:val="zh-CN"/>
        </w:rPr>
        <w:t>及</w:t>
      </w:r>
      <w:r>
        <w:rPr>
          <w:rFonts w:ascii="宋体" w:hAnsi="宋体" w:eastAsia="宋体" w:cs="Helvetica"/>
          <w:color w:val="auto"/>
          <w:kern w:val="0"/>
          <w:sz w:val="24"/>
          <w:szCs w:val="24"/>
          <w:lang w:val="zh-CN"/>
        </w:rPr>
        <w:t>以上单数，其中评审专家不得少于成员总数的三分之二</w:t>
      </w:r>
      <w:r>
        <w:rPr>
          <w:rFonts w:hint="eastAsia" w:ascii="宋体" w:hAnsi="宋体" w:eastAsia="宋体" w:cs="Helvetica"/>
          <w:color w:val="auto"/>
          <w:kern w:val="0"/>
          <w:sz w:val="24"/>
          <w:szCs w:val="24"/>
          <w:lang w:val="zh-CN"/>
        </w:rPr>
        <w:t>；</w:t>
      </w:r>
      <w:r>
        <w:rPr>
          <w:rFonts w:ascii="宋体" w:hAnsi="宋体" w:eastAsia="宋体" w:cs="Times New Roman"/>
          <w:color w:val="auto"/>
          <w:sz w:val="24"/>
          <w:szCs w:val="20"/>
          <w:lang w:val="zh-CN"/>
        </w:rPr>
        <w:t>采购预算金额在1000万元</w:t>
      </w:r>
      <w:r>
        <w:rPr>
          <w:rFonts w:hint="eastAsia" w:ascii="宋体" w:hAnsi="宋体" w:eastAsia="宋体" w:cs="Times New Roman"/>
          <w:color w:val="auto"/>
          <w:sz w:val="24"/>
          <w:szCs w:val="20"/>
          <w:lang w:val="zh-CN"/>
        </w:rPr>
        <w:t>及</w:t>
      </w:r>
      <w:r>
        <w:rPr>
          <w:rFonts w:ascii="宋体" w:hAnsi="宋体" w:eastAsia="宋体" w:cs="Times New Roman"/>
          <w:color w:val="auto"/>
          <w:sz w:val="24"/>
          <w:szCs w:val="20"/>
          <w:lang w:val="zh-CN"/>
        </w:rPr>
        <w:t>以上</w:t>
      </w:r>
      <w:r>
        <w:rPr>
          <w:rFonts w:hint="eastAsia" w:ascii="宋体" w:hAnsi="宋体" w:eastAsia="宋体" w:cs="Times New Roman"/>
          <w:color w:val="auto"/>
          <w:sz w:val="24"/>
          <w:szCs w:val="20"/>
          <w:lang w:val="zh-CN"/>
        </w:rPr>
        <w:t>、</w:t>
      </w:r>
      <w:r>
        <w:rPr>
          <w:rFonts w:ascii="宋体" w:hAnsi="宋体" w:eastAsia="宋体" w:cs="Times New Roman"/>
          <w:color w:val="auto"/>
          <w:sz w:val="24"/>
          <w:szCs w:val="20"/>
          <w:lang w:val="zh-CN"/>
        </w:rPr>
        <w:t>技术复杂</w:t>
      </w:r>
      <w:r>
        <w:rPr>
          <w:rFonts w:hint="eastAsia" w:ascii="宋体" w:hAnsi="宋体" w:eastAsia="宋体" w:cs="Times New Roman"/>
          <w:color w:val="auto"/>
          <w:sz w:val="24"/>
          <w:szCs w:val="20"/>
          <w:lang w:val="zh-CN"/>
        </w:rPr>
        <w:t>或</w:t>
      </w:r>
      <w:r>
        <w:rPr>
          <w:rFonts w:ascii="宋体" w:hAnsi="宋体" w:eastAsia="宋体" w:cs="Times New Roman"/>
          <w:color w:val="auto"/>
          <w:sz w:val="24"/>
          <w:szCs w:val="20"/>
          <w:lang w:val="zh-CN"/>
        </w:rPr>
        <w:t>社会影响较大</w:t>
      </w:r>
      <w:r>
        <w:rPr>
          <w:rFonts w:hint="eastAsia" w:ascii="宋体" w:hAnsi="宋体" w:eastAsia="宋体" w:cs="Times New Roman"/>
          <w:color w:val="auto"/>
          <w:sz w:val="24"/>
          <w:szCs w:val="20"/>
          <w:lang w:val="zh-CN"/>
        </w:rPr>
        <w:t>的项目，</w:t>
      </w:r>
      <w:r>
        <w:rPr>
          <w:rFonts w:ascii="宋体" w:hAnsi="宋体" w:eastAsia="宋体" w:cs="Times New Roman"/>
          <w:color w:val="auto"/>
          <w:sz w:val="24"/>
          <w:szCs w:val="20"/>
          <w:lang w:val="zh-CN"/>
        </w:rPr>
        <w:t>评标委员会成员人数应当为7人</w:t>
      </w:r>
      <w:r>
        <w:rPr>
          <w:rFonts w:hint="eastAsia" w:ascii="宋体" w:hAnsi="宋体" w:eastAsia="宋体" w:cs="Times New Roman"/>
          <w:color w:val="auto"/>
          <w:sz w:val="24"/>
          <w:szCs w:val="20"/>
          <w:lang w:val="zh-CN"/>
        </w:rPr>
        <w:t>及</w:t>
      </w:r>
      <w:r>
        <w:rPr>
          <w:rFonts w:ascii="宋体" w:hAnsi="宋体" w:eastAsia="宋体" w:cs="Times New Roman"/>
          <w:color w:val="auto"/>
          <w:sz w:val="24"/>
          <w:szCs w:val="20"/>
          <w:lang w:val="zh-CN"/>
        </w:rPr>
        <w:t>以上单数</w:t>
      </w:r>
      <w:r>
        <w:rPr>
          <w:rFonts w:hint="eastAsia" w:ascii="宋体" w:hAnsi="宋体" w:eastAsia="宋体" w:cs="Times New Roman"/>
          <w:color w:val="auto"/>
          <w:sz w:val="24"/>
          <w:szCs w:val="20"/>
          <w:lang w:val="zh-CN"/>
        </w:rPr>
        <w:t>。</w:t>
      </w:r>
    </w:p>
    <w:p>
      <w:pPr>
        <w:numPr>
          <w:ilvl w:val="0"/>
          <w:numId w:val="28"/>
        </w:numPr>
        <w:spacing w:line="360" w:lineRule="auto"/>
        <w:ind w:left="616" w:hanging="616"/>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评标委员会成员依法从政府采购专家库中随机抽取。</w:t>
      </w:r>
      <w:r>
        <w:rPr>
          <w:rFonts w:ascii="宋体" w:hAnsi="宋体" w:eastAsia="宋体" w:cs="Times New Roman"/>
          <w:b/>
          <w:color w:val="auto"/>
          <w:sz w:val="24"/>
          <w:szCs w:val="20"/>
          <w:lang w:val="zh-CN"/>
        </w:rPr>
        <w:t>对技术复杂、专业性强的采购项目，通过随机方式难以确定合适评审专家的，经主管预算单位同意，采购人可以自行选定相应专业领域的评审专家。</w:t>
      </w:r>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评标程序</w:t>
      </w:r>
    </w:p>
    <w:p>
      <w:pPr>
        <w:numPr>
          <w:ilvl w:val="0"/>
          <w:numId w:val="29"/>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对投标文件进行</w:t>
      </w:r>
      <w:r>
        <w:rPr>
          <w:rFonts w:hint="eastAsia" w:ascii="宋体" w:hAnsi="宋体" w:eastAsia="宋体" w:cs="Times New Roman"/>
          <w:color w:val="auto"/>
          <w:sz w:val="24"/>
          <w:szCs w:val="20"/>
          <w:lang w:val="zh-CN"/>
        </w:rPr>
        <w:t>综合</w:t>
      </w:r>
      <w:r>
        <w:rPr>
          <w:rFonts w:ascii="宋体" w:hAnsi="宋体" w:eastAsia="宋体" w:cs="Times New Roman"/>
          <w:color w:val="auto"/>
          <w:sz w:val="24"/>
          <w:szCs w:val="20"/>
          <w:lang w:val="zh-CN"/>
        </w:rPr>
        <w:t>比较和评价；</w:t>
      </w:r>
    </w:p>
    <w:p>
      <w:pPr>
        <w:numPr>
          <w:ilvl w:val="0"/>
          <w:numId w:val="30"/>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确定中标候选人名单或中标人；</w:t>
      </w:r>
    </w:p>
    <w:p>
      <w:pPr>
        <w:numPr>
          <w:ilvl w:val="0"/>
          <w:numId w:val="30"/>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向采购人、</w:t>
      </w:r>
      <w:r>
        <w:rPr>
          <w:rFonts w:hint="eastAsia" w:ascii="宋体" w:hAnsi="宋体" w:eastAsia="宋体" w:cs="Times New Roman"/>
          <w:color w:val="auto"/>
          <w:sz w:val="24"/>
          <w:szCs w:val="20"/>
          <w:lang w:val="zh-CN"/>
        </w:rPr>
        <w:t>采购代理机构</w:t>
      </w:r>
      <w:r>
        <w:rPr>
          <w:rFonts w:ascii="宋体" w:hAnsi="宋体" w:eastAsia="宋体" w:cs="Times New Roman"/>
          <w:color w:val="auto"/>
          <w:sz w:val="24"/>
          <w:szCs w:val="20"/>
          <w:lang w:val="zh-CN"/>
        </w:rPr>
        <w:t>或者有关部门报告评标中发现的违法行为。</w:t>
      </w:r>
    </w:p>
    <w:p>
      <w:pPr>
        <w:numPr>
          <w:ilvl w:val="0"/>
          <w:numId w:val="29"/>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评标程序详见第五章“评标方法、程序及标准”。</w:t>
      </w:r>
    </w:p>
    <w:p>
      <w:pPr>
        <w:pStyle w:val="3"/>
        <w:numPr>
          <w:ilvl w:val="0"/>
          <w:numId w:val="3"/>
        </w:numPr>
        <w:spacing w:before="40" w:after="40" w:line="360" w:lineRule="auto"/>
        <w:ind w:left="658" w:hanging="658"/>
        <w:jc w:val="left"/>
        <w:rPr>
          <w:rFonts w:cs="Times New Roman" w:asciiTheme="majorEastAsia" w:hAnsiTheme="majorEastAsia"/>
          <w:bCs w:val="0"/>
          <w:color w:val="auto"/>
          <w:lang w:val="zh-CN"/>
        </w:rPr>
      </w:pPr>
      <w:bookmarkStart w:id="18" w:name="_Toc494561943"/>
      <w:bookmarkStart w:id="19" w:name="_Toc19225"/>
      <w:r>
        <w:rPr>
          <w:rFonts w:hint="eastAsia" w:cs="Times New Roman" w:asciiTheme="majorEastAsia" w:hAnsiTheme="majorEastAsia"/>
          <w:bCs w:val="0"/>
          <w:color w:val="auto"/>
          <w:lang w:val="zh-CN"/>
        </w:rPr>
        <w:t>投标人信用信息及查询</w:t>
      </w:r>
      <w:bookmarkEnd w:id="18"/>
      <w:bookmarkEnd w:id="19"/>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信用信息查询渠道及使用规则</w:t>
      </w:r>
    </w:p>
    <w:p>
      <w:pPr>
        <w:numPr>
          <w:ilvl w:val="0"/>
          <w:numId w:val="31"/>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cs="Helvetica" w:asciiTheme="minorEastAsia" w:hAnsiTheme="minorEastAsia"/>
          <w:color w:val="auto"/>
          <w:kern w:val="0"/>
          <w:sz w:val="24"/>
          <w:szCs w:val="24"/>
          <w:lang w:val="zh-CN"/>
        </w:rPr>
        <w:t>www.ccgp.gov.cn</w:t>
      </w:r>
      <w:r>
        <w:rPr>
          <w:rFonts w:hint="eastAsia" w:cs="Helvetica" w:asciiTheme="minorEastAsia" w:hAnsiTheme="minorEastAsia"/>
          <w:color w:val="auto"/>
          <w:kern w:val="0"/>
          <w:sz w:val="24"/>
          <w:szCs w:val="24"/>
          <w:lang w:val="zh-CN"/>
        </w:rPr>
        <w:fldChar w:fldCharType="end"/>
      </w:r>
      <w:r>
        <w:rPr>
          <w:rFonts w:hint="eastAsia" w:cs="Helvetica" w:asciiTheme="minorEastAsia" w:hAnsiTheme="minorEastAsia"/>
          <w:color w:val="auto"/>
          <w:kern w:val="0"/>
          <w:sz w:val="24"/>
          <w:szCs w:val="24"/>
          <w:lang w:val="zh-CN"/>
        </w:rPr>
        <w:t>)。</w:t>
      </w:r>
    </w:p>
    <w:p>
      <w:pPr>
        <w:numPr>
          <w:ilvl w:val="0"/>
          <w:numId w:val="31"/>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color w:val="auto"/>
          <w:kern w:val="0"/>
          <w:sz w:val="24"/>
          <w:szCs w:val="24"/>
          <w:lang w:val="zh-CN"/>
        </w:rPr>
        <w:t>拒绝</w:t>
      </w:r>
      <w:r>
        <w:rPr>
          <w:rFonts w:hint="eastAsia" w:cs="Helvetica" w:asciiTheme="minorEastAsia" w:hAnsiTheme="minorEastAsia"/>
          <w:color w:val="auto"/>
          <w:kern w:val="0"/>
          <w:sz w:val="24"/>
          <w:szCs w:val="24"/>
          <w:lang w:val="zh-CN"/>
        </w:rPr>
        <w:t>其参与政府采购活动。</w:t>
      </w:r>
    </w:p>
    <w:p>
      <w:pPr>
        <w:numPr>
          <w:ilvl w:val="0"/>
          <w:numId w:val="31"/>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投标人的信用记录，最终以评标时的“信用中国”网站发布的信息为准。</w:t>
      </w:r>
    </w:p>
    <w:p>
      <w:pPr>
        <w:numPr>
          <w:ilvl w:val="0"/>
          <w:numId w:val="31"/>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在资格审查与评标工作未同日进行的特殊情形下，</w:t>
      </w:r>
      <w:r>
        <w:rPr>
          <w:rFonts w:hint="eastAsia" w:ascii="Helvetica" w:hAnsi="Helvetica" w:eastAsia="宋体" w:cs="Helvetica"/>
          <w:color w:val="auto"/>
          <w:kern w:val="0"/>
          <w:sz w:val="24"/>
          <w:szCs w:val="24"/>
          <w:lang w:val="zh-CN"/>
        </w:rPr>
        <w:t>采购人（或采购代理机构）</w:t>
      </w:r>
      <w:r>
        <w:rPr>
          <w:rFonts w:hint="eastAsia" w:cs="Helvetica" w:asciiTheme="minorEastAsia" w:hAnsiTheme="minorEastAsia"/>
          <w:color w:val="auto"/>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color w:val="auto"/>
          <w:kern w:val="0"/>
          <w:sz w:val="24"/>
          <w:szCs w:val="24"/>
          <w:lang w:val="zh-CN"/>
        </w:rPr>
        <w:t>无效投标处理</w:t>
      </w:r>
      <w:r>
        <w:rPr>
          <w:rFonts w:hint="eastAsia" w:cs="Helvetica" w:asciiTheme="minorEastAsia" w:hAnsiTheme="minorEastAsia"/>
          <w:color w:val="auto"/>
          <w:kern w:val="0"/>
          <w:sz w:val="24"/>
          <w:szCs w:val="24"/>
          <w:lang w:val="zh-CN"/>
        </w:rPr>
        <w:t>。</w:t>
      </w:r>
    </w:p>
    <w:p>
      <w:pPr>
        <w:pStyle w:val="3"/>
        <w:numPr>
          <w:ilvl w:val="0"/>
          <w:numId w:val="3"/>
        </w:numPr>
        <w:spacing w:before="40" w:after="40" w:line="360" w:lineRule="auto"/>
        <w:ind w:left="658" w:hanging="658"/>
        <w:jc w:val="left"/>
        <w:rPr>
          <w:rFonts w:cs="Times New Roman" w:asciiTheme="majorEastAsia" w:hAnsiTheme="majorEastAsia"/>
          <w:bCs w:val="0"/>
          <w:color w:val="auto"/>
          <w:lang w:val="zh-CN"/>
        </w:rPr>
      </w:pPr>
      <w:bookmarkStart w:id="20" w:name="_Toc494561944"/>
      <w:bookmarkStart w:id="21" w:name="_Toc22465"/>
      <w:r>
        <w:rPr>
          <w:rFonts w:cs="Times New Roman" w:asciiTheme="majorEastAsia" w:hAnsiTheme="majorEastAsia"/>
          <w:bCs w:val="0"/>
          <w:color w:val="auto"/>
          <w:lang w:val="zh-CN"/>
        </w:rPr>
        <w:t>中标</w:t>
      </w:r>
      <w:r>
        <w:rPr>
          <w:rFonts w:hint="eastAsia" w:cs="Times New Roman" w:asciiTheme="majorEastAsia" w:hAnsiTheme="majorEastAsia"/>
          <w:bCs w:val="0"/>
          <w:color w:val="auto"/>
          <w:lang w:val="zh-CN"/>
        </w:rPr>
        <w:t>与</w:t>
      </w:r>
      <w:r>
        <w:rPr>
          <w:rFonts w:cs="Times New Roman" w:asciiTheme="majorEastAsia" w:hAnsiTheme="majorEastAsia"/>
          <w:bCs w:val="0"/>
          <w:color w:val="auto"/>
          <w:lang w:val="zh-CN"/>
        </w:rPr>
        <w:t>合同</w:t>
      </w:r>
      <w:bookmarkEnd w:id="20"/>
      <w:bookmarkEnd w:id="21"/>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确定中标人</w:t>
      </w:r>
    </w:p>
    <w:p>
      <w:pPr>
        <w:numPr>
          <w:ilvl w:val="0"/>
          <w:numId w:val="32"/>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采购人收到评标报告</w:t>
      </w:r>
      <w:r>
        <w:rPr>
          <w:rFonts w:ascii="宋体" w:hAnsi="宋体" w:eastAsia="宋体" w:cs="Helvetica"/>
          <w:color w:val="auto"/>
          <w:kern w:val="0"/>
          <w:sz w:val="24"/>
          <w:szCs w:val="24"/>
          <w:lang w:val="zh-CN"/>
        </w:rPr>
        <w:t>5个工作日内，</w:t>
      </w:r>
      <w:r>
        <w:rPr>
          <w:rFonts w:hint="eastAsia" w:ascii="宋体" w:hAnsi="宋体" w:eastAsia="宋体" w:cs="Helvetica"/>
          <w:color w:val="auto"/>
          <w:kern w:val="0"/>
          <w:sz w:val="24"/>
          <w:szCs w:val="24"/>
          <w:lang w:val="zh-CN"/>
        </w:rPr>
        <w:t>按</w:t>
      </w:r>
      <w:r>
        <w:rPr>
          <w:rFonts w:ascii="宋体" w:hAnsi="宋体" w:eastAsia="宋体" w:cs="Helvetica"/>
          <w:color w:val="auto"/>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中标候选人并列的</w:t>
      </w:r>
      <w:r>
        <w:rPr>
          <w:rFonts w:hint="eastAsia" w:ascii="Helvetica" w:hAnsi="Helvetica" w:eastAsia="宋体" w:cs="Helvetica"/>
          <w:color w:val="auto"/>
          <w:kern w:val="0"/>
          <w:sz w:val="24"/>
          <w:szCs w:val="24"/>
          <w:lang w:val="zh-CN"/>
        </w:rPr>
        <w:t>：</w:t>
      </w:r>
    </w:p>
    <w:p>
      <w:pPr>
        <w:numPr>
          <w:ilvl w:val="0"/>
          <w:numId w:val="33"/>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color w:val="auto"/>
          <w:sz w:val="24"/>
          <w:szCs w:val="20"/>
          <w:lang w:val="zh-CN"/>
        </w:rPr>
      </w:pPr>
      <w:r>
        <w:rPr>
          <w:rFonts w:hint="eastAsia" w:ascii="宋体" w:hAnsi="宋体" w:eastAsia="宋体" w:cs="Times New Roman"/>
          <w:color w:val="auto"/>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color w:val="auto"/>
          <w:sz w:val="24"/>
          <w:szCs w:val="20"/>
          <w:lang w:val="zh-CN"/>
        </w:rPr>
      </w:pPr>
      <w:r>
        <w:rPr>
          <w:rFonts w:ascii="Helvetica" w:hAnsi="Helvetica" w:eastAsia="宋体" w:cs="Helvetica"/>
          <w:color w:val="auto"/>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中标人拒绝与采购人签订合同的，采购人可以按照评标报告推荐的中标候选人名单排序，确定下一候选人为中标人，也可以重新开展政府采购活动。</w:t>
      </w:r>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合同授予</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除本章“确定中标人”规定及其他法律规定的情形外，采购人把合同授予被确定为实质上响应招标文件要求且排名第一的中标人。</w:t>
      </w:r>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合同签订</w:t>
      </w:r>
    </w:p>
    <w:p>
      <w:pPr>
        <w:numPr>
          <w:ilvl w:val="0"/>
          <w:numId w:val="34"/>
        </w:numPr>
        <w:spacing w:line="360" w:lineRule="auto"/>
        <w:ind w:left="616" w:hanging="616"/>
        <w:rPr>
          <w:rFonts w:ascii="宋体" w:hAnsi="宋体" w:eastAsia="宋体" w:cs="Times New Roman"/>
          <w:color w:val="auto"/>
          <w:sz w:val="24"/>
          <w:szCs w:val="20"/>
          <w:lang w:val="zh-CN"/>
        </w:rPr>
      </w:pPr>
      <w:bookmarkStart w:id="22" w:name="_Toc278891597"/>
      <w:bookmarkStart w:id="23" w:name="_Toc272247700"/>
      <w:r>
        <w:rPr>
          <w:rFonts w:ascii="宋体" w:hAnsi="宋体" w:eastAsia="宋体" w:cs="Times New Roman"/>
          <w:color w:val="auto"/>
          <w:sz w:val="24"/>
          <w:szCs w:val="20"/>
          <w:lang w:val="zh-CN"/>
        </w:rPr>
        <w:t>采购人应当自中标通知书发出之日起30日内，按照招标文件</w:t>
      </w:r>
      <w:r>
        <w:rPr>
          <w:rFonts w:hint="eastAsia" w:ascii="宋体" w:hAnsi="宋体" w:eastAsia="宋体" w:cs="Times New Roman"/>
          <w:color w:val="auto"/>
          <w:sz w:val="24"/>
          <w:szCs w:val="20"/>
          <w:lang w:val="zh-CN"/>
        </w:rPr>
        <w:t>规定</w:t>
      </w:r>
      <w:r>
        <w:rPr>
          <w:rFonts w:ascii="宋体" w:hAnsi="宋体" w:eastAsia="宋体" w:cs="Times New Roman"/>
          <w:color w:val="auto"/>
          <w:sz w:val="24"/>
          <w:szCs w:val="20"/>
          <w:lang w:val="zh-CN"/>
        </w:rPr>
        <w:t>和中标人投标文件的</w:t>
      </w:r>
      <w:r>
        <w:rPr>
          <w:rFonts w:hint="eastAsia" w:ascii="宋体" w:hAnsi="宋体" w:eastAsia="宋体" w:cs="Times New Roman"/>
          <w:color w:val="auto"/>
          <w:sz w:val="24"/>
          <w:szCs w:val="20"/>
          <w:lang w:val="zh-CN"/>
        </w:rPr>
        <w:t>承诺</w:t>
      </w:r>
      <w:r>
        <w:rPr>
          <w:rFonts w:ascii="宋体" w:hAnsi="宋体" w:eastAsia="宋体" w:cs="Times New Roman"/>
          <w:color w:val="auto"/>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3"/>
        </w:numPr>
        <w:spacing w:before="40" w:after="40" w:line="360" w:lineRule="auto"/>
        <w:ind w:left="658" w:hanging="658"/>
        <w:jc w:val="left"/>
        <w:rPr>
          <w:rFonts w:cs="Times New Roman" w:asciiTheme="majorEastAsia" w:hAnsiTheme="majorEastAsia"/>
          <w:bCs w:val="0"/>
          <w:color w:val="auto"/>
          <w:lang w:val="zh-CN"/>
        </w:rPr>
      </w:pPr>
      <w:bookmarkStart w:id="24" w:name="_Toc494561945"/>
      <w:bookmarkStart w:id="25" w:name="_Toc9919"/>
      <w:r>
        <w:rPr>
          <w:rFonts w:hint="eastAsia" w:cs="Times New Roman" w:asciiTheme="majorEastAsia" w:hAnsiTheme="majorEastAsia"/>
          <w:bCs w:val="0"/>
          <w:color w:val="auto"/>
          <w:lang w:val="zh-CN"/>
        </w:rPr>
        <w:t>采购信息公告</w:t>
      </w:r>
      <w:bookmarkEnd w:id="24"/>
      <w:bookmarkEnd w:id="25"/>
    </w:p>
    <w:p>
      <w:pPr>
        <w:numPr>
          <w:ilvl w:val="0"/>
          <w:numId w:val="4"/>
        </w:numPr>
        <w:spacing w:line="360" w:lineRule="auto"/>
        <w:ind w:left="560" w:hanging="560"/>
        <w:rPr>
          <w:rFonts w:ascii="宋体" w:hAnsi="宋体" w:eastAsia="宋体" w:cs="Helvetica"/>
          <w:b/>
          <w:color w:val="auto"/>
          <w:kern w:val="0"/>
          <w:sz w:val="24"/>
          <w:szCs w:val="24"/>
          <w:lang w:val="zh-CN"/>
        </w:rPr>
      </w:pPr>
      <w:r>
        <w:rPr>
          <w:rFonts w:hint="eastAsia" w:ascii="宋体" w:hAnsi="宋体" w:eastAsia="宋体" w:cs="Helvetica"/>
          <w:b/>
          <w:color w:val="auto"/>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ascii="宋体" w:hAnsi="宋体" w:eastAsia="宋体" w:cs="Times New Roman"/>
          <w:color w:val="auto"/>
          <w:sz w:val="24"/>
          <w:szCs w:val="20"/>
          <w:lang w:val="zh-CN"/>
        </w:rPr>
        <w:t>采购代理机构</w:t>
      </w:r>
      <w:r>
        <w:rPr>
          <w:rFonts w:hint="eastAsia" w:cs="Helvetica" w:asciiTheme="minorEastAsia" w:hAnsiTheme="minorEastAsia"/>
          <w:color w:val="auto"/>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color w:val="auto"/>
          <w:kern w:val="0"/>
          <w:sz w:val="24"/>
          <w:szCs w:val="24"/>
          <w:lang w:val="zh-CN"/>
        </w:rPr>
      </w:pPr>
      <w:r>
        <w:rPr>
          <w:rFonts w:hint="eastAsia" w:ascii="宋体" w:hAnsi="宋体" w:eastAsia="宋体" w:cs="Times New Roman"/>
          <w:color w:val="auto"/>
          <w:sz w:val="24"/>
          <w:szCs w:val="20"/>
          <w:lang w:val="zh-CN"/>
        </w:rPr>
        <w:t>采购代理机构</w:t>
      </w:r>
      <w:r>
        <w:rPr>
          <w:rFonts w:hint="eastAsia" w:cs="Helvetica" w:asciiTheme="minorEastAsia" w:hAnsiTheme="minorEastAsia"/>
          <w:color w:val="auto"/>
          <w:kern w:val="0"/>
          <w:sz w:val="24"/>
          <w:szCs w:val="24"/>
          <w:lang w:val="zh-CN"/>
        </w:rPr>
        <w:t>在自</w:t>
      </w:r>
      <w:r>
        <w:rPr>
          <w:rFonts w:cs="Helvetica" w:asciiTheme="minorEastAsia" w:hAnsiTheme="minorEastAsia"/>
          <w:color w:val="auto"/>
          <w:kern w:val="0"/>
          <w:sz w:val="24"/>
          <w:szCs w:val="24"/>
          <w:lang w:val="zh-CN"/>
        </w:rPr>
        <w:t>中标人确定之日起2个工作日内，</w:t>
      </w:r>
      <w:r>
        <w:rPr>
          <w:rFonts w:hint="eastAsia" w:cs="Helvetica" w:asciiTheme="minorEastAsia" w:hAnsiTheme="minorEastAsia"/>
          <w:color w:val="auto"/>
          <w:kern w:val="0"/>
          <w:sz w:val="24"/>
          <w:szCs w:val="24"/>
          <w:lang w:val="zh-CN"/>
        </w:rPr>
        <w:t>在政府采购监管部门指定媒体上</w:t>
      </w:r>
      <w:r>
        <w:rPr>
          <w:rFonts w:cs="Helvetica" w:asciiTheme="minorEastAsia" w:hAnsiTheme="minorEastAsia"/>
          <w:color w:val="auto"/>
          <w:kern w:val="0"/>
          <w:sz w:val="24"/>
          <w:szCs w:val="24"/>
          <w:lang w:val="zh-CN"/>
        </w:rPr>
        <w:t>公告中标结果</w:t>
      </w:r>
      <w:r>
        <w:rPr>
          <w:rFonts w:hint="eastAsia" w:cs="Helvetica" w:asciiTheme="minorEastAsia" w:hAnsiTheme="minorEastAsia"/>
          <w:color w:val="auto"/>
          <w:kern w:val="0"/>
          <w:sz w:val="24"/>
          <w:szCs w:val="24"/>
          <w:lang w:val="zh-CN"/>
        </w:rPr>
        <w:t>，</w:t>
      </w:r>
      <w:r>
        <w:rPr>
          <w:rFonts w:hint="eastAsia" w:cs="Helvetica" w:asciiTheme="minorEastAsia" w:hAnsiTheme="minorEastAsia"/>
          <w:b/>
          <w:color w:val="auto"/>
          <w:kern w:val="0"/>
          <w:sz w:val="24"/>
          <w:szCs w:val="24"/>
          <w:lang w:val="zh-CN"/>
        </w:rPr>
        <w:t>中标公告的公示期为</w:t>
      </w:r>
      <w:r>
        <w:rPr>
          <w:rFonts w:hint="eastAsia" w:cs="Helvetica" w:asciiTheme="minorEastAsia" w:hAnsiTheme="minorEastAsia"/>
          <w:b/>
          <w:color w:val="auto"/>
          <w:kern w:val="0"/>
          <w:sz w:val="24"/>
          <w:szCs w:val="24"/>
        </w:rPr>
        <w:t>1</w:t>
      </w:r>
      <w:r>
        <w:rPr>
          <w:rFonts w:hint="eastAsia" w:cs="Helvetica" w:asciiTheme="minorEastAsia" w:hAnsiTheme="minorEastAsia"/>
          <w:b/>
          <w:color w:val="auto"/>
          <w:kern w:val="0"/>
          <w:sz w:val="24"/>
          <w:szCs w:val="24"/>
          <w:lang w:val="zh-CN"/>
        </w:rPr>
        <w:t>个工作日。</w:t>
      </w:r>
    </w:p>
    <w:p>
      <w:pPr>
        <w:numPr>
          <w:ilvl w:val="0"/>
          <w:numId w:val="35"/>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资格审查未通过的投标人可在结果公告质疑有效期内按公告中的联系方式获知</w:t>
      </w:r>
      <w:r>
        <w:rPr>
          <w:rFonts w:cs="Helvetica" w:asciiTheme="minorEastAsia" w:hAnsiTheme="minorEastAsia"/>
          <w:color w:val="auto"/>
          <w:kern w:val="0"/>
          <w:sz w:val="24"/>
          <w:szCs w:val="24"/>
          <w:lang w:val="zh-CN"/>
        </w:rPr>
        <w:t>本</w:t>
      </w:r>
      <w:r>
        <w:rPr>
          <w:rFonts w:hint="eastAsia" w:cs="Helvetica" w:asciiTheme="minorEastAsia" w:hAnsiTheme="minorEastAsia"/>
          <w:color w:val="auto"/>
          <w:kern w:val="0"/>
          <w:sz w:val="24"/>
          <w:szCs w:val="24"/>
          <w:lang w:val="zh-CN"/>
        </w:rPr>
        <w:t>单位</w:t>
      </w:r>
      <w:r>
        <w:rPr>
          <w:rFonts w:cs="Helvetica" w:asciiTheme="minorEastAsia" w:hAnsiTheme="minorEastAsia"/>
          <w:color w:val="auto"/>
          <w:kern w:val="0"/>
          <w:sz w:val="24"/>
          <w:szCs w:val="24"/>
          <w:lang w:val="zh-CN"/>
        </w:rPr>
        <w:t>的</w:t>
      </w:r>
      <w:r>
        <w:rPr>
          <w:rFonts w:hint="eastAsia" w:cs="Helvetica" w:asciiTheme="minorEastAsia" w:hAnsiTheme="minorEastAsia"/>
          <w:color w:val="auto"/>
          <w:kern w:val="0"/>
          <w:sz w:val="24"/>
          <w:szCs w:val="24"/>
          <w:lang w:val="zh-CN"/>
        </w:rPr>
        <w:t>资格审查情况</w:t>
      </w:r>
      <w:r>
        <w:rPr>
          <w:rFonts w:cs="Helvetica" w:asciiTheme="minorEastAsia" w:hAnsiTheme="minorEastAsia"/>
          <w:color w:val="auto"/>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color w:val="auto"/>
          <w:kern w:val="0"/>
          <w:sz w:val="24"/>
          <w:szCs w:val="24"/>
          <w:lang w:val="zh-CN"/>
        </w:rPr>
      </w:pPr>
      <w:r>
        <w:rPr>
          <w:rFonts w:cs="Helvetica" w:asciiTheme="minorEastAsia" w:hAnsiTheme="minorEastAsia"/>
          <w:color w:val="auto"/>
          <w:kern w:val="0"/>
          <w:sz w:val="24"/>
          <w:szCs w:val="24"/>
          <w:lang w:val="zh-CN"/>
        </w:rPr>
        <w:t>采用综合评分法评审的</w:t>
      </w:r>
      <w:r>
        <w:rPr>
          <w:rFonts w:hint="eastAsia" w:cs="Helvetica" w:asciiTheme="minorEastAsia" w:hAnsiTheme="minorEastAsia"/>
          <w:color w:val="auto"/>
          <w:kern w:val="0"/>
          <w:sz w:val="24"/>
          <w:szCs w:val="24"/>
          <w:lang w:val="zh-CN"/>
        </w:rPr>
        <w:t>项目</w:t>
      </w:r>
      <w:r>
        <w:rPr>
          <w:rFonts w:cs="Helvetica" w:asciiTheme="minorEastAsia" w:hAnsiTheme="minorEastAsia"/>
          <w:color w:val="auto"/>
          <w:kern w:val="0"/>
          <w:sz w:val="24"/>
          <w:szCs w:val="24"/>
          <w:lang w:val="zh-CN"/>
        </w:rPr>
        <w:t>，</w:t>
      </w:r>
      <w:r>
        <w:rPr>
          <w:rFonts w:hint="eastAsia" w:cs="Helvetica" w:asciiTheme="minorEastAsia" w:hAnsiTheme="minorEastAsia"/>
          <w:color w:val="auto"/>
          <w:kern w:val="0"/>
          <w:sz w:val="24"/>
          <w:szCs w:val="24"/>
          <w:lang w:val="zh-CN"/>
        </w:rPr>
        <w:t>未中标人可在结果公告质疑有效期内按公告中的联系方式获知</w:t>
      </w:r>
      <w:r>
        <w:rPr>
          <w:rFonts w:cs="Helvetica" w:asciiTheme="minorEastAsia" w:hAnsiTheme="minorEastAsia"/>
          <w:color w:val="auto"/>
          <w:kern w:val="0"/>
          <w:sz w:val="24"/>
          <w:szCs w:val="24"/>
          <w:lang w:val="zh-CN"/>
        </w:rPr>
        <w:t>本</w:t>
      </w:r>
      <w:r>
        <w:rPr>
          <w:rFonts w:hint="eastAsia" w:cs="Helvetica" w:asciiTheme="minorEastAsia" w:hAnsiTheme="minorEastAsia"/>
          <w:color w:val="auto"/>
          <w:kern w:val="0"/>
          <w:sz w:val="24"/>
          <w:szCs w:val="24"/>
          <w:lang w:val="zh-CN"/>
        </w:rPr>
        <w:t>单位</w:t>
      </w:r>
      <w:r>
        <w:rPr>
          <w:rFonts w:cs="Helvetica" w:asciiTheme="minorEastAsia" w:hAnsiTheme="minorEastAsia"/>
          <w:color w:val="auto"/>
          <w:kern w:val="0"/>
          <w:sz w:val="24"/>
          <w:szCs w:val="24"/>
          <w:lang w:val="zh-CN"/>
        </w:rPr>
        <w:t>的评审得分与排序。</w:t>
      </w:r>
    </w:p>
    <w:p>
      <w:pPr>
        <w:pStyle w:val="3"/>
        <w:numPr>
          <w:ilvl w:val="0"/>
          <w:numId w:val="3"/>
        </w:numPr>
        <w:spacing w:before="40" w:after="40" w:line="360" w:lineRule="auto"/>
        <w:ind w:left="658" w:hanging="658"/>
        <w:jc w:val="left"/>
        <w:rPr>
          <w:rFonts w:cs="Times New Roman" w:asciiTheme="majorEastAsia" w:hAnsiTheme="majorEastAsia"/>
          <w:bCs w:val="0"/>
          <w:color w:val="auto"/>
          <w:lang w:val="zh-CN"/>
        </w:rPr>
      </w:pPr>
      <w:bookmarkStart w:id="26" w:name="_Toc23702"/>
      <w:bookmarkStart w:id="27" w:name="_Toc494561946"/>
      <w:r>
        <w:rPr>
          <w:rFonts w:hint="eastAsia" w:cs="Times New Roman" w:asciiTheme="majorEastAsia" w:hAnsiTheme="majorEastAsia"/>
          <w:bCs w:val="0"/>
          <w:color w:val="auto"/>
          <w:lang w:val="zh-CN"/>
        </w:rPr>
        <w:t>质疑</w:t>
      </w:r>
      <w:bookmarkEnd w:id="22"/>
      <w:bookmarkEnd w:id="23"/>
      <w:r>
        <w:rPr>
          <w:rFonts w:hint="eastAsia" w:cs="Times New Roman" w:asciiTheme="majorEastAsia" w:hAnsiTheme="majorEastAsia"/>
          <w:bCs w:val="0"/>
          <w:color w:val="auto"/>
          <w:lang w:val="zh-CN"/>
        </w:rPr>
        <w:t>及提交</w:t>
      </w:r>
      <w:bookmarkEnd w:id="26"/>
      <w:bookmarkEnd w:id="27"/>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color w:val="auto"/>
          <w:sz w:val="24"/>
          <w:szCs w:val="20"/>
          <w:lang w:val="zh-CN"/>
        </w:rPr>
        <w:t>向</w:t>
      </w:r>
      <w:r>
        <w:rPr>
          <w:rFonts w:hint="eastAsia" w:ascii="宋体" w:hAnsi="宋体" w:eastAsia="宋体" w:cs="Times New Roman"/>
          <w:color w:val="auto"/>
          <w:sz w:val="24"/>
          <w:szCs w:val="20"/>
          <w:lang w:val="zh-CN"/>
        </w:rPr>
        <w:t>采购人（或</w:t>
      </w: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color w:val="auto"/>
          <w:sz w:val="24"/>
          <w:szCs w:val="20"/>
          <w:lang w:val="zh-CN"/>
        </w:rPr>
        <w:t>）</w:t>
      </w:r>
      <w:r>
        <w:rPr>
          <w:rFonts w:ascii="宋体" w:hAnsi="宋体" w:eastAsia="宋体" w:cs="Times New Roman"/>
          <w:color w:val="auto"/>
          <w:sz w:val="24"/>
          <w:szCs w:val="20"/>
          <w:lang w:val="zh-CN"/>
        </w:rPr>
        <w:t>提出</w:t>
      </w:r>
      <w:r>
        <w:rPr>
          <w:rFonts w:hint="eastAsia" w:ascii="宋体" w:hAnsi="宋体" w:eastAsia="宋体" w:cs="Times New Roman"/>
          <w:color w:val="auto"/>
          <w:sz w:val="24"/>
          <w:szCs w:val="20"/>
          <w:lang w:val="zh-CN"/>
        </w:rPr>
        <w:t>书面</w:t>
      </w:r>
      <w:r>
        <w:rPr>
          <w:rFonts w:ascii="宋体" w:hAnsi="宋体" w:eastAsia="宋体" w:cs="Times New Roman"/>
          <w:color w:val="auto"/>
          <w:sz w:val="24"/>
          <w:szCs w:val="20"/>
          <w:lang w:val="zh-CN"/>
        </w:rPr>
        <w:t>质疑</w:t>
      </w:r>
      <w:r>
        <w:rPr>
          <w:rFonts w:hint="eastAsia" w:ascii="宋体" w:hAnsi="宋体" w:eastAsia="宋体" w:cs="Times New Roman"/>
          <w:color w:val="auto"/>
          <w:sz w:val="24"/>
          <w:szCs w:val="20"/>
          <w:lang w:val="zh-CN"/>
        </w:rPr>
        <w:t>，质疑提出时间以收到之日为准。</w:t>
      </w:r>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投标人</w:t>
      </w:r>
      <w:r>
        <w:rPr>
          <w:rFonts w:ascii="宋体" w:hAnsi="宋体" w:eastAsia="宋体" w:cs="Times New Roman"/>
          <w:b/>
          <w:color w:val="auto"/>
          <w:sz w:val="24"/>
          <w:szCs w:val="20"/>
          <w:lang w:val="zh-CN"/>
        </w:rPr>
        <w:t>应知其权益受到损害之日是指：</w:t>
      </w:r>
    </w:p>
    <w:p>
      <w:pPr>
        <w:numPr>
          <w:ilvl w:val="0"/>
          <w:numId w:val="36"/>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对可以质疑的</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文件提出质疑的，为收到</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文件之日或者</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文件公告期限届满之日</w:t>
      </w:r>
      <w:r>
        <w:rPr>
          <w:rFonts w:hint="eastAsia" w:ascii="宋体" w:hAnsi="宋体" w:eastAsia="宋体" w:cs="Times New Roman"/>
          <w:color w:val="auto"/>
          <w:sz w:val="24"/>
          <w:szCs w:val="20"/>
          <w:lang w:val="zh-CN"/>
        </w:rPr>
        <w:t>；</w:t>
      </w:r>
    </w:p>
    <w:p>
      <w:pPr>
        <w:numPr>
          <w:ilvl w:val="0"/>
          <w:numId w:val="36"/>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过程提出质疑的，为各</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程序环节结束之日</w:t>
      </w:r>
      <w:r>
        <w:rPr>
          <w:rFonts w:hint="eastAsia" w:ascii="宋体" w:hAnsi="宋体" w:eastAsia="宋体" w:cs="Times New Roman"/>
          <w:color w:val="auto"/>
          <w:sz w:val="24"/>
          <w:szCs w:val="20"/>
          <w:lang w:val="zh-CN"/>
        </w:rPr>
        <w:t>；</w:t>
      </w:r>
    </w:p>
    <w:p>
      <w:pPr>
        <w:numPr>
          <w:ilvl w:val="0"/>
          <w:numId w:val="36"/>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对中标结果提出质疑的，为中标公告期限届满之日。</w:t>
      </w:r>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质疑书应当包括下列主要内容：</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提出质疑的日期；</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法人授权委托书（质疑人或法人委托代理人办理质疑事务的，应当提供授权委托书，授权委托书应当载明委托代理的具体权限和事项）。</w:t>
      </w:r>
    </w:p>
    <w:p>
      <w:pPr>
        <w:numPr>
          <w:ilvl w:val="0"/>
          <w:numId w:val="4"/>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不予受理的情形</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投标人未按本章“质疑及提交”规定的时限、内容及方式进行质疑的，采购人（或</w:t>
      </w: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color w:val="auto"/>
          <w:sz w:val="24"/>
          <w:szCs w:val="20"/>
          <w:lang w:val="zh-CN"/>
        </w:rPr>
        <w:t>）不予受理。</w:t>
      </w:r>
    </w:p>
    <w:p>
      <w:pPr>
        <w:pStyle w:val="3"/>
        <w:numPr>
          <w:ilvl w:val="0"/>
          <w:numId w:val="3"/>
        </w:numPr>
        <w:spacing w:before="40" w:after="40" w:line="360" w:lineRule="auto"/>
        <w:ind w:left="658" w:hanging="658"/>
        <w:jc w:val="left"/>
        <w:rPr>
          <w:rFonts w:cs="Times New Roman" w:asciiTheme="majorEastAsia" w:hAnsiTheme="majorEastAsia"/>
          <w:bCs w:val="0"/>
          <w:color w:val="auto"/>
          <w:lang w:val="zh-CN"/>
        </w:rPr>
      </w:pPr>
      <w:bookmarkStart w:id="28" w:name="_Toc494561947"/>
      <w:bookmarkStart w:id="29" w:name="_Toc3466"/>
      <w:r>
        <w:rPr>
          <w:rFonts w:hint="eastAsia" w:cs="Times New Roman" w:asciiTheme="majorEastAsia" w:hAnsiTheme="majorEastAsia"/>
          <w:bCs w:val="0"/>
          <w:color w:val="auto"/>
          <w:lang w:val="zh-CN"/>
        </w:rPr>
        <w:t>相关条文解读</w:t>
      </w:r>
      <w:bookmarkEnd w:id="28"/>
      <w:bookmarkEnd w:id="29"/>
    </w:p>
    <w:p>
      <w:pPr>
        <w:numPr>
          <w:ilvl w:val="0"/>
          <w:numId w:val="4"/>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4"/>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按照财政部《关于规范政府采购行政处罚有关问题的通知》的规定，</w:t>
      </w:r>
      <w:r>
        <w:rPr>
          <w:rFonts w:ascii="宋体" w:hAnsi="宋体" w:eastAsia="宋体" w:cs="Times New Roman"/>
          <w:color w:val="auto"/>
          <w:sz w:val="24"/>
          <w:szCs w:val="20"/>
          <w:lang w:val="zh-CN"/>
        </w:rPr>
        <w:t>各级人民政府财政部门依法对参加政府采购活动的供应商作出的禁止参加政府采购活动等行政处罚决定在全国范围内生效。</w:t>
      </w:r>
    </w:p>
    <w:p>
      <w:pPr>
        <w:numPr>
          <w:ilvl w:val="0"/>
          <w:numId w:val="4"/>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供应商在参加政府采购活动前3年内因违法经营被禁止在一定期限内参加政府采购活动，期限届满的，可以参加政府采购活动。</w:t>
      </w:r>
    </w:p>
    <w:p>
      <w:pPr>
        <w:numPr>
          <w:ilvl w:val="0"/>
          <w:numId w:val="4"/>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根据财政部《政府采购法实施条例》释义中关于供应商资格条件的解释，对于银行、保险、石油石化、电力、电信等有行业特殊情况的，采购人和采购代理机构允许其分支机构参与投标。</w:t>
      </w:r>
    </w:p>
    <w:p>
      <w:pPr>
        <w:pStyle w:val="3"/>
        <w:numPr>
          <w:ilvl w:val="0"/>
          <w:numId w:val="3"/>
        </w:numPr>
        <w:spacing w:before="40" w:after="40" w:line="360" w:lineRule="auto"/>
        <w:ind w:left="658" w:hanging="658"/>
        <w:jc w:val="left"/>
        <w:rPr>
          <w:rFonts w:cs="Times New Roman" w:asciiTheme="majorEastAsia" w:hAnsiTheme="majorEastAsia"/>
          <w:bCs w:val="0"/>
          <w:color w:val="auto"/>
          <w:lang w:val="zh-CN"/>
        </w:rPr>
      </w:pPr>
      <w:bookmarkStart w:id="30" w:name="_Toc494561948"/>
      <w:bookmarkStart w:id="31" w:name="_Toc4720"/>
      <w:r>
        <w:rPr>
          <w:rFonts w:hint="eastAsia" w:cs="Times New Roman" w:asciiTheme="majorEastAsia" w:hAnsiTheme="majorEastAsia"/>
          <w:bCs w:val="0"/>
          <w:color w:val="auto"/>
          <w:lang w:val="zh-CN"/>
        </w:rPr>
        <w:t>其他注意事项</w:t>
      </w:r>
      <w:bookmarkEnd w:id="30"/>
      <w:bookmarkEnd w:id="31"/>
    </w:p>
    <w:p>
      <w:pPr>
        <w:numPr>
          <w:ilvl w:val="0"/>
          <w:numId w:val="4"/>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单位负责人为同一人或者存在直接控股、管理关系的不同供应商，不得参加同一合同项下的政府采购活动。</w:t>
      </w:r>
    </w:p>
    <w:p>
      <w:pPr>
        <w:numPr>
          <w:ilvl w:val="0"/>
          <w:numId w:val="4"/>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3"/>
        </w:numPr>
        <w:spacing w:before="40" w:after="40" w:line="360" w:lineRule="auto"/>
        <w:ind w:left="966" w:hanging="966"/>
        <w:jc w:val="left"/>
        <w:rPr>
          <w:rFonts w:cs="Times New Roman" w:asciiTheme="majorEastAsia" w:hAnsiTheme="majorEastAsia"/>
          <w:bCs w:val="0"/>
          <w:color w:val="auto"/>
          <w:lang w:val="zh-CN"/>
        </w:rPr>
      </w:pPr>
      <w:bookmarkStart w:id="32" w:name="_Toc278891598"/>
      <w:bookmarkStart w:id="33" w:name="_Toc494561949"/>
      <w:bookmarkStart w:id="34" w:name="_Toc272247701"/>
      <w:bookmarkStart w:id="35" w:name="_Toc20201"/>
      <w:r>
        <w:rPr>
          <w:rFonts w:hint="eastAsia" w:cs="Times New Roman" w:asciiTheme="majorEastAsia" w:hAnsiTheme="majorEastAsia"/>
          <w:bCs w:val="0"/>
          <w:color w:val="auto"/>
          <w:lang w:val="zh-CN"/>
        </w:rPr>
        <w:t>适用法律</w:t>
      </w:r>
      <w:bookmarkEnd w:id="32"/>
      <w:bookmarkEnd w:id="33"/>
      <w:bookmarkEnd w:id="34"/>
      <w:bookmarkEnd w:id="35"/>
    </w:p>
    <w:p>
      <w:pPr>
        <w:numPr>
          <w:ilvl w:val="0"/>
          <w:numId w:val="4"/>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采购人、采购代理机构及投标人的一切招标投标活动均适用《政府采购法》、《政府采购法实施条例》、</w:t>
      </w:r>
      <w:r>
        <w:rPr>
          <w:rFonts w:ascii="宋体" w:hAnsi="宋体" w:eastAsia="宋体" w:cs="Times New Roman"/>
          <w:color w:val="auto"/>
          <w:sz w:val="24"/>
          <w:szCs w:val="20"/>
          <w:lang w:val="zh-CN"/>
        </w:rPr>
        <w:t>《政府采购货物和服务招标投标管理办法》</w:t>
      </w:r>
      <w:r>
        <w:rPr>
          <w:rFonts w:hint="eastAsia" w:ascii="宋体" w:hAnsi="宋体" w:eastAsia="宋体" w:cs="Times New Roman"/>
          <w:color w:val="auto"/>
          <w:sz w:val="24"/>
          <w:szCs w:val="20"/>
          <w:lang w:val="zh-CN"/>
        </w:rPr>
        <w:t>及相关法律法规。</w:t>
      </w:r>
    </w:p>
    <w:p>
      <w:pPr>
        <w:numPr>
          <w:ilvl w:val="0"/>
          <w:numId w:val="4"/>
        </w:numPr>
        <w:spacing w:line="360" w:lineRule="auto"/>
        <w:ind w:left="560" w:hanging="560"/>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政府采购合同的履行、违约责任和解决争议的方法等适用《合同法》。</w:t>
      </w:r>
    </w:p>
    <w:p>
      <w:pPr>
        <w:pStyle w:val="3"/>
        <w:numPr>
          <w:ilvl w:val="0"/>
          <w:numId w:val="3"/>
        </w:numPr>
        <w:spacing w:before="40" w:after="40" w:line="360" w:lineRule="auto"/>
        <w:ind w:left="966" w:hanging="966"/>
        <w:jc w:val="left"/>
        <w:rPr>
          <w:rFonts w:cs="Times New Roman" w:asciiTheme="majorEastAsia" w:hAnsiTheme="majorEastAsia"/>
          <w:bCs w:val="0"/>
          <w:color w:val="auto"/>
          <w:lang w:val="zh-CN"/>
        </w:rPr>
      </w:pPr>
      <w:bookmarkStart w:id="36" w:name="_Toc494561950"/>
      <w:bookmarkStart w:id="37" w:name="_Toc278891599"/>
      <w:bookmarkStart w:id="38" w:name="_Toc272247702"/>
      <w:bookmarkStart w:id="39" w:name="_Toc16561"/>
      <w:r>
        <w:rPr>
          <w:rFonts w:hint="eastAsia" w:cs="Times New Roman" w:asciiTheme="majorEastAsia" w:hAnsiTheme="majorEastAsia"/>
          <w:bCs w:val="0"/>
          <w:color w:val="auto"/>
          <w:lang w:val="zh-CN"/>
        </w:rPr>
        <w:t>招标文件的解释权</w:t>
      </w:r>
      <w:bookmarkEnd w:id="36"/>
      <w:bookmarkEnd w:id="37"/>
      <w:bookmarkEnd w:id="38"/>
      <w:bookmarkEnd w:id="39"/>
    </w:p>
    <w:p>
      <w:pPr>
        <w:numPr>
          <w:ilvl w:val="0"/>
          <w:numId w:val="4"/>
        </w:numPr>
        <w:spacing w:line="360" w:lineRule="auto"/>
        <w:ind w:left="560" w:hanging="560"/>
        <w:rPr>
          <w:color w:val="auto"/>
        </w:rPr>
      </w:pPr>
      <w:r>
        <w:rPr>
          <w:rFonts w:hint="eastAsia" w:ascii="宋体" w:hAnsi="宋体" w:eastAsia="宋体" w:cs="Times New Roman"/>
          <w:color w:val="auto"/>
          <w:sz w:val="24"/>
          <w:szCs w:val="20"/>
          <w:lang w:val="zh-CN"/>
        </w:rPr>
        <w:t>招标文件的最终解释权为采购人、采购代理机构所有。</w:t>
      </w:r>
      <w:r>
        <w:rPr>
          <w:color w:val="auto"/>
        </w:rPr>
        <w:br w:type="page"/>
      </w:r>
    </w:p>
    <w:p>
      <w:pPr>
        <w:pStyle w:val="2"/>
        <w:numPr>
          <w:ilvl w:val="0"/>
          <w:numId w:val="1"/>
        </w:numPr>
        <w:jc w:val="center"/>
        <w:rPr>
          <w:rFonts w:ascii="黑体" w:hAnsi="黑体" w:eastAsia="黑体"/>
          <w:color w:val="auto"/>
        </w:rPr>
      </w:pPr>
      <w:bookmarkStart w:id="40" w:name="_Toc7094"/>
      <w:r>
        <w:rPr>
          <w:rFonts w:hint="eastAsia" w:ascii="黑体" w:hAnsi="黑体" w:eastAsia="黑体"/>
          <w:color w:val="auto"/>
        </w:rPr>
        <w:t>项目技术、服务及商务要求</w:t>
      </w:r>
      <w:bookmarkEnd w:id="40"/>
    </w:p>
    <w:p>
      <w:pPr>
        <w:pStyle w:val="3"/>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41" w:name="_Toc18364"/>
      <w:bookmarkStart w:id="42" w:name="_Toc339378680"/>
      <w:bookmarkStart w:id="43" w:name="_Toc338065594"/>
      <w:r>
        <w:rPr>
          <w:rFonts w:hint="eastAsia" w:cs="Times New Roman" w:asciiTheme="majorEastAsia" w:hAnsiTheme="majorEastAsia"/>
          <w:bCs w:val="0"/>
          <w:color w:val="auto"/>
          <w:sz w:val="30"/>
          <w:szCs w:val="30"/>
          <w:lang w:val="zh-CN"/>
        </w:rPr>
        <w:t>采购清单</w:t>
      </w:r>
      <w:bookmarkEnd w:id="41"/>
    </w:p>
    <w:p>
      <w:pPr>
        <w:rPr>
          <w:color w:val="auto"/>
          <w:lang w:val="zh-CN"/>
        </w:rPr>
      </w:pPr>
    </w:p>
    <w:tbl>
      <w:tblPr>
        <w:tblStyle w:val="19"/>
        <w:tblpPr w:leftFromText="180" w:rightFromText="180" w:vertAnchor="text" w:horzAnchor="page" w:tblpXSpec="center" w:tblpY="160"/>
        <w:tblOverlap w:val="never"/>
        <w:tblW w:w="9708" w:type="dxa"/>
        <w:jc w:val="center"/>
        <w:tblInd w:w="0" w:type="dxa"/>
        <w:tblLayout w:type="fixed"/>
        <w:tblCellMar>
          <w:top w:w="0" w:type="dxa"/>
          <w:left w:w="108" w:type="dxa"/>
          <w:bottom w:w="0" w:type="dxa"/>
          <w:right w:w="108" w:type="dxa"/>
        </w:tblCellMar>
      </w:tblPr>
      <w:tblGrid>
        <w:gridCol w:w="634"/>
        <w:gridCol w:w="2800"/>
        <w:gridCol w:w="661"/>
        <w:gridCol w:w="647"/>
        <w:gridCol w:w="3641"/>
        <w:gridCol w:w="1325"/>
      </w:tblGrid>
      <w:tr>
        <w:tblPrEx>
          <w:tblLayout w:type="fixed"/>
          <w:tblCellMar>
            <w:top w:w="0" w:type="dxa"/>
            <w:left w:w="108" w:type="dxa"/>
            <w:bottom w:w="0" w:type="dxa"/>
            <w:right w:w="108" w:type="dxa"/>
          </w:tblCellMar>
        </w:tblPrEx>
        <w:trPr>
          <w:trHeight w:val="26"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color w:val="auto"/>
                <w:sz w:val="24"/>
                <w:szCs w:val="24"/>
              </w:rPr>
            </w:pPr>
            <w:bookmarkStart w:id="44" w:name="_Toc338065593"/>
            <w:bookmarkStart w:id="45" w:name="_Toc494561952"/>
            <w:bookmarkStart w:id="46" w:name="_Toc339378679"/>
            <w:r>
              <w:rPr>
                <w:rFonts w:hint="eastAsia" w:ascii="宋体" w:hAnsi="宋体" w:eastAsia="宋体" w:cs="Times New Roman"/>
                <w:color w:val="auto"/>
                <w:sz w:val="24"/>
                <w:szCs w:val="24"/>
              </w:rPr>
              <w:t>序号</w:t>
            </w:r>
          </w:p>
        </w:tc>
        <w:tc>
          <w:tcPr>
            <w:tcW w:w="2800" w:type="dxa"/>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名称</w:t>
            </w:r>
          </w:p>
        </w:tc>
        <w:tc>
          <w:tcPr>
            <w:tcW w:w="661"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数量</w:t>
            </w:r>
          </w:p>
        </w:tc>
        <w:tc>
          <w:tcPr>
            <w:tcW w:w="647"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单位</w:t>
            </w:r>
          </w:p>
        </w:tc>
        <w:tc>
          <w:tcPr>
            <w:tcW w:w="3641" w:type="dxa"/>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要求/备注</w:t>
            </w:r>
          </w:p>
        </w:tc>
        <w:tc>
          <w:tcPr>
            <w:tcW w:w="1325"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货物/服务</w:t>
            </w:r>
          </w:p>
        </w:tc>
      </w:tr>
      <w:tr>
        <w:tblPrEx>
          <w:tblLayout w:type="fixed"/>
          <w:tblCellMar>
            <w:top w:w="0" w:type="dxa"/>
            <w:left w:w="108" w:type="dxa"/>
            <w:bottom w:w="0" w:type="dxa"/>
            <w:right w:w="108" w:type="dxa"/>
          </w:tblCellMar>
        </w:tblPrEx>
        <w:trPr>
          <w:trHeight w:val="735" w:hRule="atLeast"/>
          <w:jc w:val="center"/>
        </w:trPr>
        <w:tc>
          <w:tcPr>
            <w:tcW w:w="634" w:type="dxa"/>
            <w:tcBorders>
              <w:top w:val="nil"/>
              <w:left w:val="single" w:color="auto" w:sz="4" w:space="0"/>
              <w:bottom w:val="single" w:color="auto" w:sz="4" w:space="0"/>
              <w:right w:val="single" w:color="auto" w:sz="4" w:space="0"/>
            </w:tcBorders>
            <w:shd w:val="clear" w:color="auto" w:fill="auto"/>
            <w:vAlign w:val="center"/>
          </w:tcPr>
          <w:p>
            <w:pPr>
              <w:pStyle w:val="28"/>
              <w:numPr>
                <w:ilvl w:val="0"/>
                <w:numId w:val="39"/>
              </w:numPr>
              <w:tabs>
                <w:tab w:val="left" w:pos="33"/>
              </w:tabs>
              <w:ind w:left="-93" w:right="-48" w:rightChars="-23" w:hanging="3" w:firstLineChars="0"/>
              <w:jc w:val="center"/>
              <w:rPr>
                <w:rFonts w:ascii="宋体" w:hAnsi="宋体" w:eastAsia="宋体" w:cs="Times New Roman"/>
                <w:color w:val="auto"/>
                <w:sz w:val="24"/>
                <w:szCs w:val="24"/>
              </w:rPr>
            </w:pPr>
          </w:p>
        </w:tc>
        <w:tc>
          <w:tcPr>
            <w:tcW w:w="2800"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阳新县王龙港项目策划销售代理服务</w:t>
            </w:r>
          </w:p>
        </w:tc>
        <w:tc>
          <w:tcPr>
            <w:tcW w:w="661"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647"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项</w:t>
            </w:r>
          </w:p>
        </w:tc>
        <w:tc>
          <w:tcPr>
            <w:tcW w:w="3641"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color w:val="auto"/>
                <w:sz w:val="24"/>
                <w:szCs w:val="24"/>
              </w:rPr>
            </w:pPr>
            <w:r>
              <w:rPr>
                <w:rFonts w:hint="eastAsia" w:ascii="宋体" w:hAnsi="宋体" w:eastAsia="宋体" w:cs="Times New Roman"/>
                <w:bCs/>
                <w:color w:val="auto"/>
                <w:sz w:val="24"/>
                <w:szCs w:val="24"/>
              </w:rPr>
              <w:t>本项目位于湖北省黄石市阳新县，房屋可销售面积约为12万㎡</w:t>
            </w:r>
          </w:p>
        </w:tc>
        <w:tc>
          <w:tcPr>
            <w:tcW w:w="1325"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服务</w:t>
            </w:r>
          </w:p>
        </w:tc>
      </w:tr>
      <w:bookmarkEnd w:id="44"/>
      <w:bookmarkEnd w:id="45"/>
      <w:bookmarkEnd w:id="46"/>
    </w:tbl>
    <w:p>
      <w:pPr>
        <w:rPr>
          <w:color w:val="auto"/>
          <w:lang w:val="zh-CN"/>
        </w:rPr>
      </w:pPr>
    </w:p>
    <w:p>
      <w:pPr>
        <w:pStyle w:val="3"/>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47" w:name="_Toc25048"/>
      <w:r>
        <w:rPr>
          <w:rFonts w:hint="eastAsia" w:cs="Times New Roman" w:asciiTheme="majorEastAsia" w:hAnsiTheme="majorEastAsia"/>
          <w:bCs w:val="0"/>
          <w:color w:val="auto"/>
          <w:sz w:val="30"/>
          <w:szCs w:val="30"/>
          <w:lang w:val="zh-CN"/>
        </w:rPr>
        <w:t>招标目的</w:t>
      </w:r>
      <w:bookmarkEnd w:id="47"/>
    </w:p>
    <w:p>
      <w:pPr>
        <w:pStyle w:val="7"/>
        <w:spacing w:line="360" w:lineRule="auto"/>
        <w:ind w:firstLine="480" w:firstLineChars="200"/>
        <w:rPr>
          <w:rFonts w:eastAsia="宋体" w:cs="宋体"/>
          <w:color w:val="auto"/>
          <w:szCs w:val="24"/>
        </w:rPr>
      </w:pPr>
      <w:r>
        <w:rPr>
          <w:rFonts w:hint="eastAsia" w:eastAsia="宋体" w:cs="宋体"/>
          <w:color w:val="auto"/>
          <w:szCs w:val="24"/>
        </w:rPr>
        <w:t>1.为王龙港项目营销代理进行提案，初拟项目营销策划报告，完善并深化项目定位、营销策略及执行报告。</w:t>
      </w:r>
    </w:p>
    <w:p>
      <w:pPr>
        <w:pStyle w:val="7"/>
        <w:spacing w:line="360" w:lineRule="auto"/>
        <w:ind w:firstLine="480" w:firstLineChars="200"/>
        <w:rPr>
          <w:rFonts w:eastAsia="宋体" w:cs="宋体"/>
          <w:color w:val="auto"/>
          <w:szCs w:val="24"/>
        </w:rPr>
      </w:pPr>
      <w:r>
        <w:rPr>
          <w:rFonts w:hint="eastAsia" w:eastAsia="宋体" w:cs="宋体"/>
          <w:color w:val="auto"/>
          <w:szCs w:val="24"/>
        </w:rPr>
        <w:t>2.通过双方通力合作及悉心打造，使王龙港既能实现量价齐升、快速销售的目标，同时通过创新的营销策略及手段，进一步提升王龙港项目在湖北阳新市场的品牌影响力。</w:t>
      </w:r>
    </w:p>
    <w:p>
      <w:pPr>
        <w:pStyle w:val="7"/>
        <w:spacing w:line="360" w:lineRule="auto"/>
        <w:ind w:firstLine="480" w:firstLineChars="200"/>
        <w:rPr>
          <w:rFonts w:eastAsia="宋体" w:cs="宋体"/>
          <w:color w:val="auto"/>
          <w:szCs w:val="24"/>
        </w:rPr>
      </w:pPr>
    </w:p>
    <w:p>
      <w:pPr>
        <w:pStyle w:val="3"/>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48" w:name="_Toc30895"/>
      <w:r>
        <w:rPr>
          <w:rFonts w:hint="eastAsia" w:cs="Times New Roman" w:asciiTheme="majorEastAsia" w:hAnsiTheme="majorEastAsia"/>
          <w:bCs w:val="0"/>
          <w:color w:val="auto"/>
          <w:sz w:val="30"/>
          <w:szCs w:val="30"/>
          <w:lang w:val="zh-CN"/>
        </w:rPr>
        <w:t>需要解决的核心问题</w:t>
      </w:r>
      <w:bookmarkEnd w:id="48"/>
    </w:p>
    <w:p>
      <w:pPr>
        <w:pStyle w:val="7"/>
        <w:spacing w:line="360" w:lineRule="auto"/>
        <w:ind w:firstLine="480" w:firstLineChars="200"/>
        <w:rPr>
          <w:rFonts w:eastAsia="宋体" w:cs="宋体"/>
          <w:color w:val="auto"/>
          <w:szCs w:val="24"/>
        </w:rPr>
      </w:pPr>
      <w:r>
        <w:rPr>
          <w:rFonts w:hint="eastAsia" w:eastAsia="宋体" w:cs="宋体"/>
          <w:color w:val="auto"/>
          <w:szCs w:val="24"/>
        </w:rPr>
        <w:t>1.本项目推出期间，市场同质产品供给较大，如何精准客户定位、价值体系提升、渠道资源有效整合，提升产品营销溢价能力，保障项目销售利润的同时实现快速去化。</w:t>
      </w:r>
    </w:p>
    <w:p>
      <w:pPr>
        <w:pStyle w:val="7"/>
        <w:spacing w:line="360" w:lineRule="auto"/>
        <w:ind w:firstLine="480" w:firstLineChars="200"/>
        <w:rPr>
          <w:rFonts w:eastAsia="宋体" w:cs="宋体"/>
          <w:color w:val="auto"/>
          <w:szCs w:val="24"/>
        </w:rPr>
      </w:pPr>
      <w:r>
        <w:rPr>
          <w:rFonts w:hint="eastAsia" w:eastAsia="宋体" w:cs="宋体"/>
          <w:color w:val="auto"/>
          <w:szCs w:val="24"/>
        </w:rPr>
        <w:t>2.项目所在区域近期市场波动明显，如何顶住市场压力，在区域内异军突起，实现领先于竞品的去化。</w:t>
      </w:r>
    </w:p>
    <w:p>
      <w:pPr>
        <w:pStyle w:val="7"/>
        <w:spacing w:line="360" w:lineRule="auto"/>
        <w:ind w:firstLine="480" w:firstLineChars="200"/>
        <w:rPr>
          <w:rFonts w:eastAsia="宋体" w:cs="宋体"/>
          <w:color w:val="auto"/>
          <w:szCs w:val="24"/>
        </w:rPr>
      </w:pPr>
    </w:p>
    <w:p>
      <w:pPr>
        <w:pStyle w:val="3"/>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49" w:name="_Toc1430"/>
      <w:r>
        <w:rPr>
          <w:rFonts w:hint="eastAsia" w:cs="Times New Roman" w:asciiTheme="majorEastAsia" w:hAnsiTheme="majorEastAsia"/>
          <w:bCs w:val="0"/>
          <w:color w:val="auto"/>
          <w:sz w:val="30"/>
          <w:szCs w:val="30"/>
          <w:lang w:val="zh-CN"/>
        </w:rPr>
        <w:t>合作伙伴的基本要求</w:t>
      </w:r>
      <w:bookmarkEnd w:id="49"/>
    </w:p>
    <w:p>
      <w:pPr>
        <w:autoSpaceDE w:val="0"/>
        <w:autoSpaceDN w:val="0"/>
        <w:adjustRightInd w:val="0"/>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具有地产项目全盘</w:t>
      </w:r>
      <w:r>
        <w:rPr>
          <w:rFonts w:hint="eastAsia" w:ascii="宋体" w:hAnsi="宋体" w:eastAsia="宋体" w:cs="Times New Roman"/>
          <w:color w:val="auto"/>
          <w:sz w:val="24"/>
          <w:szCs w:val="24"/>
        </w:rPr>
        <w:t>营销</w:t>
      </w:r>
      <w:r>
        <w:rPr>
          <w:rFonts w:ascii="宋体" w:hAnsi="宋体" w:eastAsia="宋体"/>
          <w:color w:val="auto"/>
          <w:sz w:val="24"/>
          <w:szCs w:val="24"/>
        </w:rPr>
        <w:t>的操作能力</w:t>
      </w:r>
      <w:r>
        <w:rPr>
          <w:rFonts w:ascii="宋体" w:hAnsi="宋体" w:eastAsia="宋体" w:cs="Times New Roman"/>
          <w:color w:val="auto"/>
          <w:sz w:val="24"/>
          <w:szCs w:val="24"/>
        </w:rPr>
        <w:t>，在</w:t>
      </w:r>
      <w:r>
        <w:rPr>
          <w:rFonts w:hint="eastAsia" w:ascii="宋体" w:hAnsi="宋体" w:eastAsia="宋体" w:cs="Times New Roman"/>
          <w:color w:val="auto"/>
          <w:sz w:val="24"/>
          <w:szCs w:val="24"/>
        </w:rPr>
        <w:t>营销</w:t>
      </w:r>
      <w:r>
        <w:rPr>
          <w:rFonts w:ascii="宋体" w:hAnsi="宋体" w:eastAsia="宋体" w:cs="Times New Roman"/>
          <w:color w:val="auto"/>
          <w:sz w:val="24"/>
          <w:szCs w:val="24"/>
        </w:rPr>
        <w:t>上有强</w:t>
      </w:r>
      <w:r>
        <w:rPr>
          <w:rFonts w:hint="eastAsia" w:ascii="宋体" w:hAnsi="宋体" w:eastAsia="宋体" w:cs="Times New Roman"/>
          <w:color w:val="auto"/>
          <w:sz w:val="24"/>
          <w:szCs w:val="24"/>
        </w:rPr>
        <w:t>效</w:t>
      </w:r>
      <w:r>
        <w:rPr>
          <w:rFonts w:ascii="宋体" w:hAnsi="宋体" w:eastAsia="宋体" w:cs="Times New Roman"/>
          <w:color w:val="auto"/>
          <w:sz w:val="24"/>
          <w:szCs w:val="24"/>
        </w:rPr>
        <w:t>的统筹和执行能力</w:t>
      </w:r>
      <w:r>
        <w:rPr>
          <w:rFonts w:hint="eastAsia" w:ascii="宋体" w:hAnsi="宋体" w:eastAsia="宋体" w:cs="Times New Roman"/>
          <w:color w:val="auto"/>
          <w:sz w:val="24"/>
          <w:szCs w:val="24"/>
        </w:rPr>
        <w:t>。</w:t>
      </w:r>
      <w:r>
        <w:rPr>
          <w:rFonts w:ascii="宋体" w:hAnsi="宋体" w:eastAsia="宋体" w:cs="Times New Roman"/>
          <w:color w:val="auto"/>
          <w:sz w:val="24"/>
          <w:szCs w:val="24"/>
        </w:rPr>
        <w:t>拥有成员</w:t>
      </w:r>
      <w:r>
        <w:rPr>
          <w:rFonts w:hint="eastAsia" w:ascii="宋体" w:hAnsi="宋体" w:eastAsia="宋体" w:cs="Times New Roman"/>
          <w:color w:val="auto"/>
          <w:sz w:val="24"/>
          <w:szCs w:val="24"/>
        </w:rPr>
        <w:t>经验丰富、</w:t>
      </w:r>
      <w:r>
        <w:rPr>
          <w:rFonts w:ascii="宋体" w:hAnsi="宋体" w:eastAsia="宋体" w:cs="Times New Roman"/>
          <w:color w:val="auto"/>
          <w:sz w:val="24"/>
          <w:szCs w:val="24"/>
        </w:rPr>
        <w:t>高效运作的</w:t>
      </w:r>
      <w:r>
        <w:rPr>
          <w:rFonts w:hint="eastAsia" w:ascii="宋体" w:hAnsi="宋体" w:eastAsia="宋体" w:cs="Times New Roman"/>
          <w:color w:val="auto"/>
          <w:sz w:val="24"/>
          <w:szCs w:val="24"/>
        </w:rPr>
        <w:t>营销小组。</w:t>
      </w:r>
      <w:r>
        <w:rPr>
          <w:rFonts w:ascii="宋体" w:hAnsi="宋体" w:eastAsia="宋体" w:cs="Times New Roman"/>
          <w:color w:val="auto"/>
          <w:sz w:val="24"/>
          <w:szCs w:val="24"/>
        </w:rPr>
        <w:t>熟悉</w:t>
      </w:r>
      <w:r>
        <w:rPr>
          <w:rFonts w:hint="eastAsia" w:ascii="宋体" w:hAnsi="宋体" w:eastAsia="宋体"/>
          <w:color w:val="auto"/>
          <w:sz w:val="24"/>
          <w:szCs w:val="24"/>
        </w:rPr>
        <w:t>项目所在地</w:t>
      </w:r>
      <w:r>
        <w:rPr>
          <w:rFonts w:ascii="宋体" w:hAnsi="宋体" w:eastAsia="宋体" w:cs="Times New Roman"/>
          <w:color w:val="auto"/>
          <w:sz w:val="24"/>
          <w:szCs w:val="24"/>
        </w:rPr>
        <w:t>市场，对本项目</w:t>
      </w:r>
      <w:r>
        <w:rPr>
          <w:rFonts w:hint="eastAsia" w:ascii="宋体" w:hAnsi="宋体" w:eastAsia="宋体" w:cs="Times New Roman"/>
          <w:color w:val="auto"/>
          <w:sz w:val="24"/>
          <w:szCs w:val="24"/>
        </w:rPr>
        <w:t>营销</w:t>
      </w:r>
      <w:r>
        <w:rPr>
          <w:rFonts w:ascii="宋体" w:hAnsi="宋体" w:eastAsia="宋体" w:cs="Times New Roman"/>
          <w:color w:val="auto"/>
          <w:sz w:val="24"/>
          <w:szCs w:val="24"/>
        </w:rPr>
        <w:t>有独到的见解</w:t>
      </w:r>
      <w:r>
        <w:rPr>
          <w:rFonts w:hint="eastAsia" w:ascii="宋体" w:hAnsi="宋体" w:eastAsia="宋体" w:cs="Times New Roman"/>
          <w:color w:val="auto"/>
          <w:sz w:val="24"/>
          <w:szCs w:val="24"/>
        </w:rPr>
        <w:t>。</w:t>
      </w:r>
    </w:p>
    <w:p>
      <w:pPr>
        <w:autoSpaceDE w:val="0"/>
        <w:autoSpaceDN w:val="0"/>
        <w:adjustRightInd w:val="0"/>
        <w:spacing w:line="360" w:lineRule="auto"/>
        <w:ind w:firstLine="480" w:firstLineChars="200"/>
        <w:rPr>
          <w:rFonts w:ascii="宋体" w:hAnsi="宋体" w:eastAsia="宋体" w:cs="Times New Roman"/>
          <w:color w:val="auto"/>
          <w:sz w:val="24"/>
          <w:szCs w:val="24"/>
        </w:rPr>
      </w:pPr>
    </w:p>
    <w:p>
      <w:pPr>
        <w:pStyle w:val="3"/>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50" w:name="_Toc10185"/>
      <w:r>
        <w:rPr>
          <w:rFonts w:hint="eastAsia" w:cs="Times New Roman" w:asciiTheme="majorEastAsia" w:hAnsiTheme="majorEastAsia"/>
          <w:bCs w:val="0"/>
          <w:color w:val="auto"/>
          <w:sz w:val="30"/>
          <w:szCs w:val="30"/>
          <w:lang w:val="zh-CN"/>
        </w:rPr>
        <w:t>方案要求</w:t>
      </w:r>
      <w:bookmarkEnd w:id="50"/>
    </w:p>
    <w:p>
      <w:pPr>
        <w:autoSpaceDE w:val="0"/>
        <w:autoSpaceDN w:val="0"/>
        <w:adjustRightInd w:val="0"/>
        <w:spacing w:line="360" w:lineRule="auto"/>
        <w:ind w:firstLine="480" w:firstLineChars="200"/>
        <w:rPr>
          <w:rFonts w:ascii="宋体" w:hAnsi="宋体" w:eastAsia="宋体" w:cs="Times New Roman"/>
          <w:color w:val="auto"/>
          <w:sz w:val="24"/>
          <w:szCs w:val="24"/>
        </w:rPr>
      </w:pPr>
      <w:r>
        <w:rPr>
          <w:rFonts w:ascii="宋体" w:hAnsi="宋体" w:eastAsia="宋体"/>
          <w:color w:val="auto"/>
          <w:sz w:val="24"/>
          <w:szCs w:val="24"/>
        </w:rPr>
        <w:t>对本项目销售分阶段进行总体策划，包括整体及阶段性项目市场分析、项目定位及产品优化、市场推广策略、销售策略、</w:t>
      </w:r>
      <w:r>
        <w:rPr>
          <w:rFonts w:hint="eastAsia" w:ascii="宋体" w:hAnsi="宋体" w:eastAsia="宋体"/>
          <w:color w:val="auto"/>
          <w:sz w:val="24"/>
          <w:szCs w:val="24"/>
        </w:rPr>
        <w:t>微信公众平台及运营策划推广、广告策划、</w:t>
      </w:r>
      <w:r>
        <w:rPr>
          <w:rFonts w:ascii="宋体" w:hAnsi="宋体" w:eastAsia="宋体"/>
          <w:color w:val="auto"/>
          <w:sz w:val="24"/>
          <w:szCs w:val="24"/>
        </w:rPr>
        <w:t>销售执行计划、销售组织及案场管理方案、价格方案、内部认筹方案、开盘方案、推广活动、人员培训、招商资料建议、项目包装方案、营销中心及样板房装修设计建议、物业管理方案建议等围绕项目市场推广及销售各方面提出的专业策划建议等，完成“总体策划方案”。</w:t>
      </w:r>
    </w:p>
    <w:p>
      <w:pPr>
        <w:pStyle w:val="7"/>
        <w:spacing w:line="360" w:lineRule="auto"/>
        <w:ind w:firstLine="0"/>
        <w:rPr>
          <w:rFonts w:eastAsia="宋体" w:cs="宋体"/>
          <w:color w:val="auto"/>
          <w:szCs w:val="24"/>
        </w:rPr>
      </w:pPr>
    </w:p>
    <w:p>
      <w:pPr>
        <w:pStyle w:val="3"/>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51" w:name="_Toc28395"/>
      <w:r>
        <w:rPr>
          <w:rFonts w:hint="eastAsia" w:cs="Times New Roman" w:asciiTheme="majorEastAsia" w:hAnsiTheme="majorEastAsia"/>
          <w:bCs w:val="0"/>
          <w:color w:val="auto"/>
          <w:sz w:val="30"/>
          <w:szCs w:val="30"/>
          <w:lang w:val="zh-CN"/>
        </w:rPr>
        <w:t>营销推广时间（</w:t>
      </w:r>
      <w:r>
        <w:rPr>
          <w:rFonts w:hint="eastAsia" w:cs="Times New Roman" w:asciiTheme="majorEastAsia" w:hAnsiTheme="majorEastAsia"/>
          <w:bCs w:val="0"/>
          <w:color w:val="auto"/>
          <w:sz w:val="30"/>
          <w:szCs w:val="30"/>
        </w:rPr>
        <w:t>待定</w:t>
      </w:r>
      <w:r>
        <w:rPr>
          <w:rFonts w:hint="eastAsia" w:cs="Times New Roman" w:asciiTheme="majorEastAsia" w:hAnsiTheme="majorEastAsia"/>
          <w:bCs w:val="0"/>
          <w:color w:val="auto"/>
          <w:sz w:val="30"/>
          <w:szCs w:val="30"/>
          <w:lang w:val="zh-CN"/>
        </w:rPr>
        <w:t>）</w:t>
      </w:r>
      <w:bookmarkEnd w:id="51"/>
    </w:p>
    <w:p>
      <w:pPr>
        <w:pStyle w:val="7"/>
        <w:spacing w:line="360" w:lineRule="auto"/>
        <w:ind w:firstLine="480" w:firstLineChars="200"/>
        <w:rPr>
          <w:rFonts w:eastAsia="宋体" w:cs="宋体"/>
          <w:color w:val="auto"/>
          <w:szCs w:val="24"/>
        </w:rPr>
      </w:pPr>
      <w:r>
        <w:rPr>
          <w:rFonts w:hint="eastAsia" w:eastAsia="宋体" w:cs="宋体"/>
          <w:color w:val="auto"/>
          <w:szCs w:val="24"/>
        </w:rPr>
        <w:t>1.项目推广起始时间：   年  月  日</w:t>
      </w:r>
    </w:p>
    <w:p>
      <w:pPr>
        <w:pStyle w:val="7"/>
        <w:spacing w:line="360" w:lineRule="auto"/>
        <w:ind w:firstLine="480" w:firstLineChars="200"/>
        <w:rPr>
          <w:rFonts w:eastAsia="宋体" w:cs="宋体"/>
          <w:color w:val="auto"/>
          <w:szCs w:val="24"/>
        </w:rPr>
      </w:pPr>
      <w:r>
        <w:rPr>
          <w:rFonts w:hint="eastAsia" w:eastAsia="宋体" w:cs="宋体"/>
          <w:color w:val="auto"/>
          <w:szCs w:val="24"/>
        </w:rPr>
        <w:t>2.展示条件完成时间：</w:t>
      </w:r>
    </w:p>
    <w:p>
      <w:pPr>
        <w:pStyle w:val="7"/>
        <w:numPr>
          <w:ilvl w:val="0"/>
          <w:numId w:val="40"/>
        </w:numPr>
        <w:spacing w:line="360" w:lineRule="auto"/>
        <w:rPr>
          <w:rFonts w:eastAsia="宋体" w:cs="宋体"/>
          <w:color w:val="auto"/>
          <w:szCs w:val="24"/>
        </w:rPr>
      </w:pPr>
      <w:r>
        <w:rPr>
          <w:rFonts w:hint="eastAsia" w:eastAsia="宋体" w:cs="宋体"/>
          <w:color w:val="auto"/>
          <w:szCs w:val="24"/>
        </w:rPr>
        <w:t xml:space="preserve">    年  月上旬售楼部开放</w:t>
      </w:r>
    </w:p>
    <w:p>
      <w:pPr>
        <w:pStyle w:val="7"/>
        <w:numPr>
          <w:ilvl w:val="0"/>
          <w:numId w:val="40"/>
        </w:numPr>
        <w:spacing w:line="360" w:lineRule="auto"/>
        <w:rPr>
          <w:rFonts w:eastAsia="宋体" w:cs="宋体"/>
          <w:color w:val="auto"/>
          <w:szCs w:val="24"/>
        </w:rPr>
      </w:pPr>
      <w:r>
        <w:rPr>
          <w:rFonts w:hint="eastAsia" w:eastAsia="宋体" w:cs="宋体"/>
          <w:color w:val="auto"/>
          <w:szCs w:val="24"/>
        </w:rPr>
        <w:t xml:space="preserve">    年  月下旬实体样板房开放</w:t>
      </w:r>
    </w:p>
    <w:p>
      <w:pPr>
        <w:pStyle w:val="7"/>
        <w:spacing w:line="360" w:lineRule="auto"/>
        <w:ind w:firstLine="480" w:firstLineChars="200"/>
        <w:rPr>
          <w:rFonts w:eastAsia="宋体" w:cs="宋体"/>
          <w:color w:val="auto"/>
          <w:szCs w:val="24"/>
        </w:rPr>
      </w:pPr>
      <w:r>
        <w:rPr>
          <w:rFonts w:hint="eastAsia" w:eastAsia="宋体" w:cs="宋体"/>
          <w:color w:val="auto"/>
          <w:szCs w:val="24"/>
        </w:rPr>
        <w:t>3.计划开盘时间：首批住宅  年  月下旬开盘</w:t>
      </w:r>
    </w:p>
    <w:p>
      <w:pPr>
        <w:rPr>
          <w:color w:val="auto"/>
          <w:lang w:val="zh-CN"/>
        </w:rPr>
      </w:pPr>
    </w:p>
    <w:bookmarkEnd w:id="42"/>
    <w:bookmarkEnd w:id="43"/>
    <w:p>
      <w:pPr>
        <w:pStyle w:val="3"/>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52" w:name="_Toc494561956"/>
      <w:bookmarkStart w:id="53" w:name="_Toc14086"/>
      <w:r>
        <w:rPr>
          <w:rFonts w:hint="eastAsia" w:cs="Times New Roman" w:asciiTheme="majorEastAsia" w:hAnsiTheme="majorEastAsia"/>
          <w:bCs w:val="0"/>
          <w:color w:val="auto"/>
          <w:sz w:val="30"/>
          <w:szCs w:val="30"/>
          <w:lang w:val="zh-CN"/>
        </w:rPr>
        <w:t>商务要求</w:t>
      </w:r>
      <w:bookmarkEnd w:id="52"/>
      <w:bookmarkEnd w:id="53"/>
    </w:p>
    <w:p>
      <w:pPr>
        <w:pStyle w:val="39"/>
        <w:tabs>
          <w:tab w:val="left" w:pos="824"/>
        </w:tabs>
        <w:spacing w:line="360" w:lineRule="auto"/>
        <w:ind w:firstLine="482"/>
        <w:rPr>
          <w:rFonts w:ascii="宋体" w:hAnsi="宋体" w:eastAsia="宋体" w:cs="宋体"/>
          <w:b/>
          <w:color w:val="auto"/>
          <w:sz w:val="24"/>
          <w:szCs w:val="24"/>
        </w:rPr>
      </w:pPr>
      <w:r>
        <w:rPr>
          <w:rFonts w:hint="eastAsia" w:ascii="宋体" w:hAnsi="宋体" w:eastAsia="宋体" w:cs="宋体"/>
          <w:b/>
          <w:color w:val="auto"/>
          <w:sz w:val="24"/>
          <w:szCs w:val="24"/>
        </w:rPr>
        <w:t>1.付款方式：依据合同条款约定执行。</w:t>
      </w:r>
    </w:p>
    <w:p>
      <w:pPr>
        <w:widowControl/>
        <w:tabs>
          <w:tab w:val="left" w:pos="0"/>
          <w:tab w:val="left" w:pos="1134"/>
        </w:tabs>
        <w:adjustRightInd w:val="0"/>
        <w:snapToGrid w:val="0"/>
        <w:spacing w:line="460" w:lineRule="exact"/>
        <w:ind w:firstLine="480" w:firstLineChars="200"/>
        <w:rPr>
          <w:rFonts w:ascii="宋体" w:hAnsi="宋体" w:eastAsia="宋体" w:cs="宋体"/>
          <w:b/>
          <w:color w:val="auto"/>
          <w:sz w:val="24"/>
          <w:szCs w:val="24"/>
        </w:rPr>
      </w:pPr>
      <w:r>
        <w:rPr>
          <w:rFonts w:hint="eastAsia" w:ascii="宋体" w:hAnsi="宋体" w:eastAsia="宋体" w:cs="宋体"/>
          <w:b/>
          <w:color w:val="auto"/>
          <w:sz w:val="24"/>
          <w:szCs w:val="24"/>
        </w:rPr>
        <w:t>2.其他要求：</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（1）</w:t>
      </w:r>
      <w:r>
        <w:rPr>
          <w:snapToGrid w:val="0"/>
          <w:color w:val="auto"/>
          <w:sz w:val="24"/>
          <w:szCs w:val="24"/>
        </w:rPr>
        <w:t>完成销售指标：</w:t>
      </w:r>
    </w:p>
    <w:tbl>
      <w:tblPr>
        <w:tblStyle w:val="19"/>
        <w:tblW w:w="7551" w:type="dxa"/>
        <w:jc w:val="center"/>
        <w:tblInd w:w="-1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52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2744" w:type="dxa"/>
            <w:vAlign w:val="center"/>
          </w:tcPr>
          <w:p>
            <w:pPr>
              <w:spacing w:line="240" w:lineRule="atLeast"/>
              <w:ind w:firstLine="840" w:firstLineChars="400"/>
              <w:rPr>
                <w:color w:val="auto"/>
                <w:szCs w:val="21"/>
              </w:rPr>
            </w:pPr>
          </w:p>
        </w:tc>
        <w:tc>
          <w:tcPr>
            <w:tcW w:w="2520" w:type="dxa"/>
            <w:vAlign w:val="center"/>
          </w:tcPr>
          <w:p>
            <w:pPr>
              <w:spacing w:line="240" w:lineRule="atLeast"/>
              <w:rPr>
                <w:color w:val="auto"/>
                <w:szCs w:val="21"/>
              </w:rPr>
            </w:pPr>
            <w:r>
              <w:rPr>
                <w:rFonts w:ascii="宋体"/>
                <w:color w:val="auto"/>
                <w:szCs w:val="21"/>
              </w:rPr>
              <w:t>第一阶段</w:t>
            </w:r>
            <w:r>
              <w:rPr>
                <w:rFonts w:hint="eastAsia" w:ascii="宋体"/>
                <w:color w:val="auto"/>
                <w:szCs w:val="21"/>
              </w:rPr>
              <w:t>（当批次开盘</w:t>
            </w:r>
            <w:r>
              <w:rPr>
                <w:rFonts w:hint="eastAsia"/>
                <w:color w:val="auto"/>
                <w:szCs w:val="21"/>
              </w:rPr>
              <w:t>2</w:t>
            </w:r>
            <w:r>
              <w:rPr>
                <w:rFonts w:ascii="宋体"/>
                <w:color w:val="auto"/>
                <w:szCs w:val="21"/>
              </w:rPr>
              <w:t>个月内）</w:t>
            </w:r>
          </w:p>
        </w:tc>
        <w:tc>
          <w:tcPr>
            <w:tcW w:w="2287" w:type="dxa"/>
            <w:vAlign w:val="center"/>
          </w:tcPr>
          <w:p>
            <w:pPr>
              <w:spacing w:line="240" w:lineRule="atLeast"/>
              <w:rPr>
                <w:color w:val="auto"/>
                <w:szCs w:val="21"/>
              </w:rPr>
            </w:pPr>
            <w:r>
              <w:rPr>
                <w:rFonts w:ascii="宋体"/>
                <w:color w:val="auto"/>
                <w:szCs w:val="21"/>
              </w:rPr>
              <w:t>第二阶段（</w:t>
            </w:r>
            <w:r>
              <w:rPr>
                <w:rFonts w:hint="eastAsia" w:ascii="宋体"/>
                <w:color w:val="auto"/>
                <w:szCs w:val="21"/>
              </w:rPr>
              <w:t>首次开盘18</w:t>
            </w:r>
            <w:r>
              <w:rPr>
                <w:rFonts w:ascii="宋体"/>
                <w:color w:val="auto"/>
                <w:szCs w:val="21"/>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4" w:type="dxa"/>
            <w:vAlign w:val="center"/>
          </w:tcPr>
          <w:p>
            <w:pPr>
              <w:spacing w:line="240" w:lineRule="atLeast"/>
              <w:jc w:val="center"/>
              <w:rPr>
                <w:color w:val="auto"/>
                <w:szCs w:val="21"/>
              </w:rPr>
            </w:pPr>
            <w:r>
              <w:rPr>
                <w:rFonts w:ascii="宋体"/>
                <w:color w:val="auto"/>
                <w:szCs w:val="21"/>
              </w:rPr>
              <w:t>房屋套数的销售率</w:t>
            </w:r>
          </w:p>
        </w:tc>
        <w:tc>
          <w:tcPr>
            <w:tcW w:w="2520" w:type="dxa"/>
            <w:vAlign w:val="center"/>
          </w:tcPr>
          <w:p>
            <w:pPr>
              <w:spacing w:line="460" w:lineRule="exact"/>
              <w:jc w:val="center"/>
              <w:rPr>
                <w:color w:val="auto"/>
                <w:szCs w:val="21"/>
              </w:rPr>
            </w:pPr>
            <w:r>
              <w:rPr>
                <w:color w:val="auto"/>
                <w:szCs w:val="21"/>
              </w:rPr>
              <w:t>X≥</w:t>
            </w:r>
            <w:r>
              <w:rPr>
                <w:rFonts w:hint="eastAsia"/>
                <w:color w:val="auto"/>
                <w:szCs w:val="21"/>
              </w:rPr>
              <w:t>60</w:t>
            </w:r>
            <w:r>
              <w:rPr>
                <w:color w:val="auto"/>
                <w:szCs w:val="21"/>
              </w:rPr>
              <w:t>%</w:t>
            </w:r>
          </w:p>
        </w:tc>
        <w:tc>
          <w:tcPr>
            <w:tcW w:w="2287" w:type="dxa"/>
            <w:vAlign w:val="center"/>
          </w:tcPr>
          <w:p>
            <w:pPr>
              <w:spacing w:line="460" w:lineRule="exact"/>
              <w:jc w:val="center"/>
              <w:rPr>
                <w:color w:val="auto"/>
                <w:szCs w:val="21"/>
              </w:rPr>
            </w:pPr>
            <w:r>
              <w:rPr>
                <w:color w:val="auto"/>
                <w:szCs w:val="21"/>
              </w:rPr>
              <w:t>X≥</w:t>
            </w:r>
            <w:r>
              <w:rPr>
                <w:rFonts w:hint="eastAsia"/>
                <w:color w:val="auto"/>
                <w:szCs w:val="21"/>
              </w:rPr>
              <w:t>95</w:t>
            </w:r>
            <w:r>
              <w:rPr>
                <w:color w:val="auto"/>
                <w:szCs w:val="21"/>
              </w:rPr>
              <w:t>%</w:t>
            </w:r>
          </w:p>
        </w:tc>
      </w:tr>
    </w:tbl>
    <w:p>
      <w:pPr>
        <w:pStyle w:val="39"/>
        <w:spacing w:line="360" w:lineRule="auto"/>
        <w:ind w:firstLine="482"/>
        <w:rPr>
          <w:rFonts w:ascii="宋体" w:hAnsi="宋体" w:eastAsia="宋体" w:cs="宋体"/>
          <w:b/>
          <w:color w:val="auto"/>
          <w:sz w:val="24"/>
          <w:szCs w:val="24"/>
        </w:rPr>
      </w:pPr>
    </w:p>
    <w:p>
      <w:pPr>
        <w:pStyle w:val="39"/>
        <w:spacing w:line="360" w:lineRule="auto"/>
        <w:ind w:firstLine="482"/>
        <w:rPr>
          <w:rFonts w:ascii="宋体" w:hAnsi="宋体"/>
          <w:b/>
          <w:color w:val="auto"/>
          <w:sz w:val="24"/>
          <w:szCs w:val="24"/>
        </w:rPr>
      </w:pPr>
      <w:r>
        <w:rPr>
          <w:rFonts w:hint="eastAsia" w:ascii="宋体" w:hAnsi="宋体"/>
          <w:b/>
          <w:color w:val="auto"/>
          <w:sz w:val="24"/>
          <w:szCs w:val="24"/>
        </w:rPr>
        <w:t>（2）本项目最高限价为：</w:t>
      </w:r>
    </w:p>
    <w:p>
      <w:pPr>
        <w:pStyle w:val="39"/>
        <w:spacing w:line="360" w:lineRule="auto"/>
        <w:ind w:firstLine="482"/>
        <w:rPr>
          <w:rFonts w:ascii="宋体" w:hAnsi="宋体" w:eastAsia="宋体" w:cs="宋体"/>
          <w:b/>
          <w:color w:val="auto"/>
          <w:sz w:val="24"/>
          <w:szCs w:val="24"/>
        </w:rPr>
      </w:pPr>
      <w:r>
        <w:rPr>
          <w:rFonts w:hint="eastAsia" w:ascii="宋体" w:hAnsi="宋体" w:eastAsia="宋体" w:cs="Times New Roman"/>
          <w:b/>
          <w:color w:val="auto"/>
          <w:sz w:val="24"/>
          <w:szCs w:val="24"/>
        </w:rPr>
        <w:t>销售代理服务费（含策划费）：全款全额到账的住宅购房款的2%，</w:t>
      </w:r>
      <w:r>
        <w:rPr>
          <w:rFonts w:hint="eastAsia" w:ascii="宋体" w:hAnsi="宋体"/>
          <w:b/>
          <w:color w:val="auto"/>
          <w:sz w:val="24"/>
          <w:szCs w:val="24"/>
        </w:rPr>
        <w:t>超出最高限价将导致其投标无效。</w:t>
      </w:r>
    </w:p>
    <w:p>
      <w:pPr>
        <w:spacing w:line="360" w:lineRule="auto"/>
        <w:ind w:left="716" w:hanging="712" w:hangingChars="297"/>
        <w:rPr>
          <w:rFonts w:ascii="宋体" w:hAnsi="宋体" w:eastAsia="宋体" w:cs="宋体"/>
          <w:b/>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numPr>
          <w:ilvl w:val="0"/>
          <w:numId w:val="1"/>
        </w:numPr>
        <w:jc w:val="center"/>
        <w:rPr>
          <w:rFonts w:ascii="黑体" w:hAnsi="黑体" w:eastAsia="黑体"/>
          <w:color w:val="auto"/>
        </w:rPr>
      </w:pPr>
      <w:bookmarkStart w:id="54" w:name="_Toc21024"/>
      <w:r>
        <w:rPr>
          <w:rFonts w:hint="eastAsia" w:ascii="黑体" w:hAnsi="黑体" w:eastAsia="黑体"/>
          <w:color w:val="auto"/>
        </w:rPr>
        <w:t>资格审查方法及标准</w:t>
      </w:r>
      <w:bookmarkEnd w:id="54"/>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根据《政府采购法》、《政府采购法实施条例》、《政府采购货物和服务招标投标管理办法》等相关法律法规确定以下资格审查方法及标准。</w:t>
      </w:r>
    </w:p>
    <w:p>
      <w:pPr>
        <w:pStyle w:val="3"/>
        <w:numPr>
          <w:ilvl w:val="0"/>
          <w:numId w:val="41"/>
        </w:numPr>
        <w:spacing w:before="0" w:after="0" w:line="360" w:lineRule="auto"/>
        <w:ind w:left="616" w:hanging="616"/>
        <w:jc w:val="left"/>
        <w:rPr>
          <w:rFonts w:cs="Times New Roman" w:asciiTheme="majorEastAsia" w:hAnsiTheme="majorEastAsia"/>
          <w:bCs w:val="0"/>
          <w:color w:val="auto"/>
          <w:sz w:val="30"/>
          <w:szCs w:val="30"/>
          <w:lang w:val="zh-CN"/>
        </w:rPr>
      </w:pPr>
      <w:bookmarkStart w:id="55" w:name="_Toc494561958"/>
      <w:bookmarkStart w:id="56" w:name="_Toc709"/>
      <w:r>
        <w:rPr>
          <w:rFonts w:hint="eastAsia" w:cs="Times New Roman" w:asciiTheme="majorEastAsia" w:hAnsiTheme="majorEastAsia"/>
          <w:bCs w:val="0"/>
          <w:color w:val="auto"/>
          <w:sz w:val="30"/>
          <w:szCs w:val="30"/>
          <w:lang w:val="zh-CN"/>
        </w:rPr>
        <w:t>资格审查方法</w:t>
      </w:r>
      <w:bookmarkEnd w:id="55"/>
      <w:bookmarkEnd w:id="56"/>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公开招标采购项目开标结束后，采购人、采购代理机构成立资格审查小组，依据法律、法规及招标文件的规定，对投标人的资格进行审查，以确定投标人资格是否合格。</w:t>
      </w:r>
    </w:p>
    <w:p>
      <w:pPr>
        <w:pStyle w:val="3"/>
        <w:numPr>
          <w:ilvl w:val="0"/>
          <w:numId w:val="41"/>
        </w:numPr>
        <w:spacing w:before="0" w:after="0" w:line="360" w:lineRule="auto"/>
        <w:ind w:left="616" w:hanging="616"/>
        <w:jc w:val="left"/>
        <w:rPr>
          <w:rFonts w:cs="Times New Roman" w:asciiTheme="majorEastAsia" w:hAnsiTheme="majorEastAsia"/>
          <w:bCs w:val="0"/>
          <w:color w:val="auto"/>
          <w:sz w:val="30"/>
          <w:szCs w:val="30"/>
          <w:lang w:val="zh-CN"/>
        </w:rPr>
      </w:pPr>
      <w:bookmarkStart w:id="57" w:name="_Toc494561959"/>
      <w:bookmarkStart w:id="58" w:name="_Toc5737"/>
      <w:r>
        <w:rPr>
          <w:rFonts w:hint="eastAsia" w:cs="Times New Roman" w:asciiTheme="majorEastAsia" w:hAnsiTheme="majorEastAsia"/>
          <w:bCs w:val="0"/>
          <w:color w:val="auto"/>
          <w:sz w:val="30"/>
          <w:szCs w:val="30"/>
          <w:lang w:val="zh-CN"/>
        </w:rPr>
        <w:t>资格审查标准</w:t>
      </w:r>
      <w:bookmarkEnd w:id="57"/>
      <w:bookmarkEnd w:id="58"/>
    </w:p>
    <w:p>
      <w:pPr>
        <w:numPr>
          <w:ilvl w:val="0"/>
          <w:numId w:val="42"/>
        </w:numPr>
        <w:tabs>
          <w:tab w:val="left" w:pos="616"/>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资格证明文件审查</w:t>
      </w:r>
    </w:p>
    <w:p>
      <w:pPr>
        <w:tabs>
          <w:tab w:val="left" w:pos="616"/>
        </w:tabs>
        <w:spacing w:line="360" w:lineRule="auto"/>
        <w:ind w:firstLine="420"/>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auto"/>
          <w:kern w:val="0"/>
          <w:sz w:val="24"/>
          <w:szCs w:val="24"/>
          <w:lang w:val="zh-CN"/>
        </w:rPr>
        <w:t>无效投标处理：</w:t>
      </w:r>
    </w:p>
    <w:p>
      <w:pPr>
        <w:pStyle w:val="28"/>
        <w:numPr>
          <w:ilvl w:val="0"/>
          <w:numId w:val="43"/>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应具备《政府采购法》第二十二条第一款规定的条件，</w:t>
      </w:r>
      <w:r>
        <w:rPr>
          <w:rFonts w:hint="eastAsia" w:hAnsi="宋体"/>
          <w:color w:val="auto"/>
          <w:sz w:val="24"/>
          <w:szCs w:val="24"/>
        </w:rPr>
        <w:t>提供下列材料</w:t>
      </w:r>
      <w:r>
        <w:rPr>
          <w:rFonts w:hint="eastAsia" w:ascii="宋体" w:hAnsi="宋体" w:eastAsia="宋体" w:cs="Times New Roman"/>
          <w:color w:val="auto"/>
          <w:sz w:val="24"/>
          <w:szCs w:val="24"/>
          <w:lang w:val="zh-CN"/>
        </w:rPr>
        <w:t>：</w:t>
      </w:r>
    </w:p>
    <w:p>
      <w:pPr>
        <w:pStyle w:val="28"/>
        <w:numPr>
          <w:ilvl w:val="0"/>
          <w:numId w:val="44"/>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法人或者其他组织的营业执照等证明文件，自然人的身份证明；</w:t>
      </w:r>
    </w:p>
    <w:p>
      <w:pPr>
        <w:pStyle w:val="28"/>
        <w:numPr>
          <w:ilvl w:val="0"/>
          <w:numId w:val="44"/>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财务状况报告，依法缴纳税收和社会保障资金的相关材料；</w:t>
      </w:r>
    </w:p>
    <w:p>
      <w:pPr>
        <w:pStyle w:val="28"/>
        <w:numPr>
          <w:ilvl w:val="0"/>
          <w:numId w:val="44"/>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具备履行合同所必需的设备和专业技术能力的证明材料；</w:t>
      </w:r>
    </w:p>
    <w:p>
      <w:pPr>
        <w:pStyle w:val="28"/>
        <w:numPr>
          <w:ilvl w:val="0"/>
          <w:numId w:val="44"/>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参加政府采购活动前3年内在经营活动中没有重大违法记录的书面声明；</w:t>
      </w:r>
    </w:p>
    <w:p>
      <w:pPr>
        <w:pStyle w:val="28"/>
        <w:numPr>
          <w:ilvl w:val="0"/>
          <w:numId w:val="44"/>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具备法律、行政法规规定的其他条件的证明材料。</w:t>
      </w:r>
    </w:p>
    <w:p>
      <w:pPr>
        <w:pStyle w:val="28"/>
        <w:numPr>
          <w:ilvl w:val="0"/>
          <w:numId w:val="43"/>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未被“信用中国”网站(www.creditchina.gov.cn)列入失信被执行人、重大税收违法案件当事人名单、政府采购严重违法失信行为记录名单的网站查询结果页面截图；</w:t>
      </w:r>
      <w:r>
        <w:rPr>
          <w:rFonts w:hint="eastAsia" w:ascii="宋体" w:hAnsi="宋体"/>
          <w:color w:val="auto"/>
          <w:sz w:val="24"/>
          <w:szCs w:val="24"/>
        </w:rPr>
        <w:t>未被“中国政府采购网”（www.ccgp.gov.cn）列入政府采购严重违法失信行为记录名单的</w:t>
      </w:r>
      <w:r>
        <w:rPr>
          <w:rFonts w:hint="eastAsia" w:ascii="宋体" w:hAnsi="宋体" w:eastAsia="宋体" w:cs="Times New Roman"/>
          <w:color w:val="auto"/>
          <w:sz w:val="24"/>
          <w:szCs w:val="24"/>
          <w:lang w:val="zh-CN"/>
        </w:rPr>
        <w:t>网站查询结果页面截图。</w:t>
      </w:r>
    </w:p>
    <w:p>
      <w:pPr>
        <w:pStyle w:val="28"/>
        <w:numPr>
          <w:ilvl w:val="0"/>
          <w:numId w:val="43"/>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招标文件第一章“投标人资格要求”中有特殊要求的，投标人应提供其符合特殊要求的证明材料或者情况说明；</w:t>
      </w:r>
    </w:p>
    <w:p>
      <w:pPr>
        <w:pStyle w:val="28"/>
        <w:numPr>
          <w:ilvl w:val="0"/>
          <w:numId w:val="43"/>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不符合联合体投标相关规定和要求的；</w:t>
      </w:r>
    </w:p>
    <w:p>
      <w:pPr>
        <w:pStyle w:val="28"/>
        <w:numPr>
          <w:ilvl w:val="0"/>
          <w:numId w:val="43"/>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投标人认为需提供的其它相关资格证明材料；</w:t>
      </w:r>
    </w:p>
    <w:p>
      <w:pPr>
        <w:pStyle w:val="28"/>
        <w:numPr>
          <w:ilvl w:val="0"/>
          <w:numId w:val="43"/>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资格证明文件正本应为清晰彩色影印件且加盖单位公章。</w:t>
      </w:r>
    </w:p>
    <w:p>
      <w:pPr>
        <w:numPr>
          <w:ilvl w:val="0"/>
          <w:numId w:val="42"/>
        </w:numPr>
        <w:tabs>
          <w:tab w:val="left" w:pos="616"/>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确定资格审查合格投标人</w:t>
      </w:r>
    </w:p>
    <w:p>
      <w:pPr>
        <w:pStyle w:val="28"/>
        <w:numPr>
          <w:ilvl w:val="0"/>
          <w:numId w:val="45"/>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auto"/>
          <w:sz w:val="24"/>
          <w:szCs w:val="24"/>
          <w:lang w:val="zh-CN"/>
        </w:rPr>
        <w:t>形成书面的资格审查报告。</w:t>
      </w:r>
    </w:p>
    <w:p>
      <w:pPr>
        <w:pStyle w:val="28"/>
        <w:numPr>
          <w:ilvl w:val="0"/>
          <w:numId w:val="45"/>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资格审查合格投标人不足3家的，不进行评标。</w:t>
      </w:r>
    </w:p>
    <w:p>
      <w:pPr>
        <w:pStyle w:val="28"/>
        <w:numPr>
          <w:ilvl w:val="0"/>
          <w:numId w:val="45"/>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资格审查未通过的投标人可在结果公告质疑有效期内按公告中的联系方式获知</w:t>
      </w:r>
      <w:r>
        <w:rPr>
          <w:rFonts w:ascii="宋体" w:hAnsi="宋体" w:eastAsia="宋体" w:cs="Times New Roman"/>
          <w:color w:val="auto"/>
          <w:sz w:val="24"/>
          <w:szCs w:val="24"/>
          <w:lang w:val="zh-CN"/>
        </w:rPr>
        <w:t>本</w:t>
      </w:r>
      <w:r>
        <w:rPr>
          <w:rFonts w:hint="eastAsia" w:ascii="宋体" w:hAnsi="宋体" w:eastAsia="宋体" w:cs="Times New Roman"/>
          <w:color w:val="auto"/>
          <w:sz w:val="24"/>
          <w:szCs w:val="24"/>
          <w:lang w:val="zh-CN"/>
        </w:rPr>
        <w:t>单位</w:t>
      </w:r>
      <w:r>
        <w:rPr>
          <w:rFonts w:ascii="宋体" w:hAnsi="宋体" w:eastAsia="宋体" w:cs="Times New Roman"/>
          <w:color w:val="auto"/>
          <w:sz w:val="24"/>
          <w:szCs w:val="24"/>
          <w:lang w:val="zh-CN"/>
        </w:rPr>
        <w:t>的</w:t>
      </w:r>
      <w:r>
        <w:rPr>
          <w:rFonts w:hint="eastAsia" w:ascii="宋体" w:hAnsi="宋体" w:eastAsia="宋体" w:cs="Times New Roman"/>
          <w:color w:val="auto"/>
          <w:sz w:val="24"/>
          <w:szCs w:val="24"/>
          <w:lang w:val="zh-CN"/>
        </w:rPr>
        <w:t>资格审查情况。</w:t>
      </w:r>
    </w:p>
    <w:p>
      <w:pPr>
        <w:pStyle w:val="28"/>
        <w:numPr>
          <w:ilvl w:val="0"/>
          <w:numId w:val="45"/>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采购人已进行资格预审的，不再进行资格审查。未通过资格预审的投标人，采购人、采购代理机构</w:t>
      </w:r>
      <w:r>
        <w:rPr>
          <w:rFonts w:hint="eastAsia" w:ascii="宋体" w:hAnsi="宋体" w:eastAsia="宋体" w:cs="Times New Roman"/>
          <w:b/>
          <w:color w:val="auto"/>
          <w:sz w:val="24"/>
          <w:szCs w:val="24"/>
          <w:lang w:val="zh-CN"/>
        </w:rPr>
        <w:t>拒绝</w:t>
      </w:r>
      <w:r>
        <w:rPr>
          <w:rFonts w:hint="eastAsia" w:ascii="宋体" w:hAnsi="宋体" w:eastAsia="宋体" w:cs="Times New Roman"/>
          <w:color w:val="auto"/>
          <w:sz w:val="24"/>
          <w:szCs w:val="24"/>
          <w:lang w:val="zh-CN"/>
        </w:rPr>
        <w:t>其投标。</w:t>
      </w:r>
    </w:p>
    <w:p>
      <w:pPr>
        <w:rPr>
          <w:color w:val="auto"/>
        </w:rPr>
      </w:pPr>
      <w:r>
        <w:rPr>
          <w:color w:val="auto"/>
        </w:rPr>
        <w:br w:type="page"/>
      </w:r>
    </w:p>
    <w:p>
      <w:pPr>
        <w:pStyle w:val="2"/>
        <w:numPr>
          <w:ilvl w:val="0"/>
          <w:numId w:val="1"/>
        </w:numPr>
        <w:jc w:val="center"/>
        <w:rPr>
          <w:rFonts w:ascii="黑体" w:hAnsi="黑体" w:eastAsia="黑体"/>
          <w:color w:val="auto"/>
        </w:rPr>
      </w:pPr>
      <w:bookmarkStart w:id="59" w:name="_Toc10353"/>
      <w:r>
        <w:rPr>
          <w:rFonts w:hint="eastAsia" w:ascii="黑体" w:hAnsi="黑体" w:eastAsia="黑体"/>
          <w:color w:val="auto"/>
        </w:rPr>
        <w:t>评标方法、程序及标准</w:t>
      </w:r>
      <w:bookmarkEnd w:id="59"/>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根据《政府采购法》、《政府采购法实施条例》、《政府采购货物和服务招标投标管理办法》等相关法律法规确定以下评标办法、程序及标准。</w:t>
      </w:r>
    </w:p>
    <w:p>
      <w:pPr>
        <w:pStyle w:val="3"/>
        <w:numPr>
          <w:ilvl w:val="0"/>
          <w:numId w:val="46"/>
        </w:numPr>
        <w:spacing w:before="0" w:after="0" w:line="360" w:lineRule="auto"/>
        <w:ind w:left="616" w:hanging="616"/>
        <w:jc w:val="left"/>
        <w:rPr>
          <w:rFonts w:cs="Times New Roman" w:asciiTheme="majorEastAsia" w:hAnsiTheme="majorEastAsia"/>
          <w:bCs w:val="0"/>
          <w:color w:val="auto"/>
          <w:sz w:val="30"/>
          <w:szCs w:val="30"/>
          <w:lang w:val="zh-CN"/>
        </w:rPr>
      </w:pPr>
      <w:bookmarkStart w:id="60" w:name="_Toc278891605"/>
      <w:bookmarkStart w:id="61" w:name="_Toc272247708"/>
      <w:bookmarkStart w:id="62" w:name="_Toc494561961"/>
      <w:bookmarkStart w:id="63" w:name="_Toc4715"/>
      <w:r>
        <w:rPr>
          <w:rFonts w:hint="eastAsia" w:cs="Times New Roman" w:asciiTheme="majorEastAsia" w:hAnsiTheme="majorEastAsia"/>
          <w:bCs w:val="0"/>
          <w:color w:val="auto"/>
          <w:sz w:val="30"/>
          <w:szCs w:val="30"/>
          <w:lang w:val="zh-CN"/>
        </w:rPr>
        <w:t>评标</w:t>
      </w:r>
      <w:bookmarkEnd w:id="60"/>
      <w:bookmarkEnd w:id="61"/>
      <w:r>
        <w:rPr>
          <w:rFonts w:hint="eastAsia" w:cs="Times New Roman" w:asciiTheme="majorEastAsia" w:hAnsiTheme="majorEastAsia"/>
          <w:bCs w:val="0"/>
          <w:color w:val="auto"/>
          <w:sz w:val="30"/>
          <w:szCs w:val="30"/>
          <w:lang w:val="zh-CN"/>
        </w:rPr>
        <w:t>方法</w:t>
      </w:r>
      <w:bookmarkEnd w:id="62"/>
      <w:bookmarkEnd w:id="63"/>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本项目评标采用综合评分法，</w:t>
      </w:r>
      <w:r>
        <w:rPr>
          <w:rFonts w:ascii="宋体" w:hAnsi="宋体" w:eastAsia="宋体" w:cs="Times New Roman"/>
          <w:bCs/>
          <w:color w:val="auto"/>
          <w:sz w:val="24"/>
          <w:szCs w:val="20"/>
          <w:lang w:val="zh-CN"/>
        </w:rPr>
        <w:t>是指投标文件满足招标文件全部实质性要求，且按照评审因素的量化指标评审得分最高的投标人为中标候选人的评标方法。</w:t>
      </w:r>
    </w:p>
    <w:p>
      <w:pPr>
        <w:pStyle w:val="3"/>
        <w:numPr>
          <w:ilvl w:val="0"/>
          <w:numId w:val="46"/>
        </w:numPr>
        <w:spacing w:before="0" w:after="0" w:line="360" w:lineRule="auto"/>
        <w:ind w:left="616" w:hanging="616"/>
        <w:jc w:val="left"/>
        <w:rPr>
          <w:rFonts w:cs="Times New Roman" w:asciiTheme="majorEastAsia" w:hAnsiTheme="majorEastAsia"/>
          <w:bCs w:val="0"/>
          <w:color w:val="auto"/>
          <w:sz w:val="30"/>
          <w:szCs w:val="30"/>
          <w:lang w:val="zh-CN"/>
        </w:rPr>
      </w:pPr>
      <w:bookmarkStart w:id="64" w:name="_Toc272247709"/>
      <w:bookmarkStart w:id="65" w:name="_Toc278891606"/>
      <w:bookmarkStart w:id="66" w:name="_Toc494561962"/>
      <w:bookmarkStart w:id="67" w:name="_Toc8059"/>
      <w:r>
        <w:rPr>
          <w:rFonts w:hint="eastAsia" w:cs="Times New Roman" w:asciiTheme="majorEastAsia" w:hAnsiTheme="majorEastAsia"/>
          <w:bCs w:val="0"/>
          <w:color w:val="auto"/>
          <w:sz w:val="30"/>
          <w:szCs w:val="30"/>
          <w:lang w:val="zh-CN"/>
        </w:rPr>
        <w:t>评标程序</w:t>
      </w:r>
      <w:bookmarkEnd w:id="64"/>
      <w:bookmarkEnd w:id="65"/>
      <w:r>
        <w:rPr>
          <w:rFonts w:hint="eastAsia" w:cs="Times New Roman" w:asciiTheme="majorEastAsia" w:hAnsiTheme="majorEastAsia"/>
          <w:bCs w:val="0"/>
          <w:color w:val="auto"/>
          <w:sz w:val="30"/>
          <w:szCs w:val="30"/>
          <w:lang w:val="zh-CN"/>
        </w:rPr>
        <w:t>及标准</w:t>
      </w:r>
      <w:bookmarkEnd w:id="66"/>
      <w:bookmarkEnd w:id="67"/>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评标委员会按以下工作程序进行评标：</w:t>
      </w:r>
      <w:r>
        <w:rPr>
          <w:rFonts w:hint="eastAsia" w:ascii="宋体" w:hAnsi="宋体" w:eastAsia="宋体" w:cs="Times New Roman"/>
          <w:color w:val="auto"/>
          <w:sz w:val="24"/>
          <w:szCs w:val="20"/>
          <w:lang w:val="zh-CN"/>
        </w:rPr>
        <w:t>符合性审查、澄清有关问题、综合比较和评价、确定中标候选人名单。</w:t>
      </w:r>
    </w:p>
    <w:p>
      <w:pPr>
        <w:numPr>
          <w:ilvl w:val="0"/>
          <w:numId w:val="47"/>
        </w:numPr>
        <w:ind w:left="1311" w:leftChars="154" w:hanging="988" w:hangingChars="353"/>
        <w:rPr>
          <w:rFonts w:ascii="宋体" w:hAnsi="宋体" w:eastAsia="宋体" w:cs="Times New Roman"/>
          <w:strike/>
          <w:color w:val="auto"/>
          <w:sz w:val="28"/>
          <w:szCs w:val="28"/>
          <w:lang w:val="zh-CN"/>
        </w:rPr>
      </w:pPr>
      <w:r>
        <w:rPr>
          <w:rFonts w:hint="eastAsia" w:ascii="宋体" w:hAnsi="宋体" w:eastAsia="宋体" w:cs="Times New Roman"/>
          <w:b/>
          <w:color w:val="auto"/>
          <w:sz w:val="28"/>
          <w:szCs w:val="28"/>
          <w:lang w:val="zh-CN"/>
        </w:rPr>
        <w:t>符合性审查</w:t>
      </w:r>
    </w:p>
    <w:p>
      <w:pPr>
        <w:spacing w:line="360" w:lineRule="auto"/>
        <w:ind w:firstLine="470" w:firstLineChars="196"/>
        <w:rPr>
          <w:rFonts w:ascii="宋体" w:hAnsi="宋体" w:eastAsia="宋体" w:cs="Times New Roman"/>
          <w:bCs/>
          <w:color w:val="auto"/>
          <w:sz w:val="24"/>
          <w:szCs w:val="20"/>
          <w:lang w:val="zh-CN"/>
        </w:rPr>
      </w:pPr>
      <w:r>
        <w:rPr>
          <w:rFonts w:ascii="Helvetica" w:hAnsi="Helvetica" w:eastAsia="宋体" w:cs="Helvetica"/>
          <w:color w:val="auto"/>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color w:val="auto"/>
          <w:sz w:val="24"/>
          <w:szCs w:val="20"/>
          <w:lang w:val="zh-CN"/>
        </w:rPr>
        <w:t>符合性审查出现下列情形之一的投标按照</w:t>
      </w:r>
      <w:r>
        <w:rPr>
          <w:rFonts w:hint="eastAsia" w:ascii="宋体" w:hAnsi="宋体" w:eastAsia="宋体" w:cs="Times New Roman"/>
          <w:b/>
          <w:bCs/>
          <w:color w:val="auto"/>
          <w:sz w:val="24"/>
          <w:szCs w:val="20"/>
          <w:lang w:val="zh-CN"/>
        </w:rPr>
        <w:t>无效投标处理</w:t>
      </w:r>
      <w:r>
        <w:rPr>
          <w:rFonts w:hint="eastAsia" w:ascii="宋体" w:hAnsi="宋体" w:eastAsia="宋体" w:cs="Times New Roman"/>
          <w:bCs/>
          <w:color w:val="auto"/>
          <w:sz w:val="24"/>
          <w:szCs w:val="20"/>
          <w:lang w:val="zh-CN"/>
        </w:rPr>
        <w:t>：</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投标总报价超过项目（分包）预算金额或最高限价的；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《投标书》、《法定代表人授权书》、《开标一览表》、《投标报价明细表》未提供或不符合招标文件要求的；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工期（服务期限）、质保期不符合招标文件要求的；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投标保证金的交纳不符合招标文件要求的</w:t>
      </w:r>
      <w:r>
        <w:rPr>
          <w:rFonts w:hint="eastAsia" w:ascii="Times New Roman" w:hAnsi="宋体" w:eastAsia="宋体" w:cs="Times New Roman"/>
          <w:b/>
          <w:color w:val="auto"/>
          <w:sz w:val="24"/>
          <w:szCs w:val="24"/>
          <w:lang w:val="zh-CN"/>
        </w:rPr>
        <w:t>（本项目不适用）</w:t>
      </w:r>
      <w:r>
        <w:rPr>
          <w:rFonts w:hint="eastAsia" w:ascii="Times New Roman" w:hAnsi="宋体" w:eastAsia="宋体" w:cs="Times New Roman"/>
          <w:color w:val="auto"/>
          <w:sz w:val="24"/>
          <w:szCs w:val="24"/>
          <w:lang w:val="zh-CN"/>
        </w:rPr>
        <w:t>；</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出现两个或两个以上不同报价的；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出现两个或两个以上投标方案的（招标文件中要求提供备选方案的除外）；</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投标报价存在缺项、漏项的；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投标有效期不足的；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无法定代表人签字（签章）或签字（签章）人无法定代表人有效授权的；</w:t>
      </w:r>
    </w:p>
    <w:p>
      <w:pPr>
        <w:numPr>
          <w:ilvl w:val="0"/>
          <w:numId w:val="48"/>
        </w:numPr>
        <w:tabs>
          <w:tab w:val="left" w:pos="75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正本未按要求提供加盖公章及签字（签章）原件的；</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符合招标文件第二章“投标人须知”中40条中规定情形，以分公司形式参与投标的，法定代表人授权书未由总公司法定代表人签字（盖章）并加盖公章的；</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未按要求提供招标文件第二章“十一 其他注意事项”中规定的书面声明的；</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r>
        <w:rPr>
          <w:rFonts w:hint="eastAsia" w:ascii="Times New Roman" w:hAnsi="宋体" w:eastAsia="宋体" w:cs="Times New Roman"/>
          <w:b/>
          <w:color w:val="auto"/>
          <w:sz w:val="24"/>
          <w:szCs w:val="24"/>
          <w:lang w:val="zh-CN"/>
        </w:rPr>
        <w:t>（本项目不适用）</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所投货物是通过中国海关报关验放进入中国境内且产自关境外的（招标文件中注明已办理进口产品核准的除外）；</w:t>
      </w:r>
      <w:r>
        <w:rPr>
          <w:rFonts w:hint="eastAsia" w:ascii="Times New Roman" w:hAnsi="宋体" w:eastAsia="宋体" w:cs="Times New Roman"/>
          <w:b/>
          <w:color w:val="auto"/>
          <w:sz w:val="24"/>
          <w:szCs w:val="24"/>
          <w:lang w:val="zh-CN"/>
        </w:rPr>
        <w:t>（本项目不适用）</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未提供所投货物（工程或服务）的具体参数值或功能表述，或原文复制招标文件的技术规格相关部分内容作为其投标文件的一部分的；</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不满足招标文件第三章“项目技术、服务和商务要求”中“★”号条款要求的；</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ascii="Times New Roman" w:hAnsi="宋体" w:eastAsia="宋体" w:cs="Times New Roman"/>
          <w:color w:val="auto"/>
          <w:sz w:val="24"/>
          <w:szCs w:val="24"/>
          <w:lang w:val="zh-CN"/>
        </w:rPr>
        <w:t>含有采购人不能接受的附加条件的</w:t>
      </w:r>
      <w:r>
        <w:rPr>
          <w:rFonts w:hint="eastAsia" w:ascii="Times New Roman" w:hAnsi="宋体" w:eastAsia="宋体" w:cs="Times New Roman"/>
          <w:color w:val="auto"/>
          <w:sz w:val="24"/>
          <w:szCs w:val="24"/>
          <w:lang w:val="zh-CN"/>
        </w:rPr>
        <w:t>；</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ascii="Times New Roman" w:hAnsi="宋体" w:eastAsia="宋体" w:cs="Times New Roman"/>
          <w:color w:val="auto"/>
          <w:sz w:val="24"/>
          <w:szCs w:val="24"/>
          <w:lang w:val="zh-CN"/>
        </w:rPr>
        <w:t>法律、法规</w:t>
      </w:r>
      <w:r>
        <w:rPr>
          <w:rFonts w:hint="eastAsia" w:ascii="Times New Roman" w:hAnsi="宋体" w:eastAsia="宋体" w:cs="Times New Roman"/>
          <w:color w:val="auto"/>
          <w:sz w:val="24"/>
          <w:szCs w:val="24"/>
          <w:lang w:val="zh-CN"/>
        </w:rPr>
        <w:t>和招标文件</w:t>
      </w:r>
      <w:r>
        <w:rPr>
          <w:rFonts w:ascii="Times New Roman" w:hAnsi="宋体" w:eastAsia="宋体" w:cs="Times New Roman"/>
          <w:color w:val="auto"/>
          <w:sz w:val="24"/>
          <w:szCs w:val="24"/>
          <w:lang w:val="zh-CN"/>
        </w:rPr>
        <w:t>规定的其他</w:t>
      </w:r>
      <w:r>
        <w:rPr>
          <w:rFonts w:hint="eastAsia" w:ascii="Times New Roman" w:hAnsi="宋体" w:eastAsia="宋体" w:cs="Times New Roman"/>
          <w:color w:val="auto"/>
          <w:sz w:val="24"/>
          <w:szCs w:val="24"/>
          <w:lang w:val="zh-CN"/>
        </w:rPr>
        <w:t>无效投标</w:t>
      </w:r>
      <w:r>
        <w:rPr>
          <w:rFonts w:ascii="Times New Roman" w:hAnsi="宋体" w:eastAsia="宋体" w:cs="Times New Roman"/>
          <w:color w:val="auto"/>
          <w:sz w:val="24"/>
          <w:szCs w:val="24"/>
          <w:lang w:val="zh-CN"/>
        </w:rPr>
        <w:t>情形。</w:t>
      </w:r>
    </w:p>
    <w:p>
      <w:pPr>
        <w:numPr>
          <w:ilvl w:val="0"/>
          <w:numId w:val="47"/>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澄清有关问题</w:t>
      </w:r>
    </w:p>
    <w:p>
      <w:pPr>
        <w:numPr>
          <w:ilvl w:val="0"/>
          <w:numId w:val="49"/>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评标期间，</w:t>
      </w:r>
      <w:r>
        <w:rPr>
          <w:rFonts w:ascii="Helvetica" w:hAnsi="Helvetica" w:eastAsia="宋体" w:cs="Helvetica"/>
          <w:color w:val="auto"/>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9"/>
        </w:numPr>
        <w:tabs>
          <w:tab w:val="left" w:pos="616"/>
        </w:tabs>
        <w:spacing w:line="360" w:lineRule="auto"/>
        <w:ind w:left="10" w:leftChars="5" w:firstLine="237" w:firstLineChars="99"/>
        <w:rPr>
          <w:rFonts w:ascii="宋体" w:hAnsi="宋体" w:eastAsia="宋体" w:cs="Times New Roman"/>
          <w:bCs/>
          <w:strike/>
          <w:color w:val="auto"/>
          <w:sz w:val="24"/>
          <w:szCs w:val="20"/>
          <w:lang w:val="zh-CN"/>
        </w:rPr>
      </w:pPr>
      <w:r>
        <w:rPr>
          <w:rFonts w:hint="eastAsia" w:ascii="宋体" w:hAnsi="宋体" w:eastAsia="宋体" w:cs="Times New Roman"/>
          <w:bCs/>
          <w:color w:val="auto"/>
          <w:sz w:val="24"/>
          <w:szCs w:val="20"/>
          <w:lang w:val="zh-CN"/>
        </w:rPr>
        <w:t>投标人应按照评标委员会要求的澄清内容在规定时间内做出澄清。</w:t>
      </w:r>
      <w:r>
        <w:rPr>
          <w:rFonts w:ascii="宋体" w:hAnsi="宋体" w:eastAsia="宋体" w:cs="Times New Roman"/>
          <w:color w:val="auto"/>
          <w:sz w:val="24"/>
          <w:szCs w:val="20"/>
          <w:lang w:val="zh-CN"/>
        </w:rPr>
        <w:t>投标文件报价出现前后不一致的</w:t>
      </w:r>
      <w:r>
        <w:rPr>
          <w:rFonts w:hint="eastAsia" w:ascii="宋体" w:hAnsi="宋体" w:eastAsia="宋体" w:cs="Times New Roman"/>
          <w:color w:val="auto"/>
          <w:sz w:val="24"/>
          <w:szCs w:val="20"/>
          <w:lang w:val="zh-CN"/>
        </w:rPr>
        <w:t>，按照本节第3</w:t>
      </w:r>
      <w:r>
        <w:rPr>
          <w:rFonts w:hint="eastAsia" w:ascii="宋体" w:hAnsi="宋体" w:eastAsia="宋体" w:cs="Times New Roman"/>
          <w:bCs/>
          <w:color w:val="auto"/>
          <w:sz w:val="24"/>
          <w:szCs w:val="20"/>
          <w:lang w:val="zh-CN"/>
        </w:rPr>
        <w:t>条规定进行修正，</w:t>
      </w:r>
      <w:r>
        <w:rPr>
          <w:rFonts w:ascii="Helvetica" w:hAnsi="Helvetica" w:eastAsia="宋体" w:cs="Helvetica"/>
          <w:color w:val="auto"/>
          <w:kern w:val="0"/>
          <w:sz w:val="24"/>
          <w:szCs w:val="24"/>
          <w:lang w:val="zh-CN"/>
        </w:rPr>
        <w:t>投标人的澄清、说明或者补正不得超出投标文件的范围或者改变投标文件的实质性内容。</w:t>
      </w:r>
    </w:p>
    <w:p>
      <w:pPr>
        <w:numPr>
          <w:ilvl w:val="0"/>
          <w:numId w:val="49"/>
        </w:numPr>
        <w:tabs>
          <w:tab w:val="left" w:pos="616"/>
        </w:tabs>
        <w:spacing w:line="360" w:lineRule="auto"/>
        <w:ind w:left="10" w:leftChars="5" w:firstLine="237" w:firstLineChars="99"/>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投标文件报价出现前后不一致的，按照下列规定修正：</w:t>
      </w:r>
    </w:p>
    <w:p>
      <w:pPr>
        <w:numPr>
          <w:ilvl w:val="0"/>
          <w:numId w:val="50"/>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投标文件中开标一览表内容与投标文件中相应内容不一致的，以开标一览表为准</w:t>
      </w:r>
      <w:r>
        <w:rPr>
          <w:rFonts w:hint="eastAsia" w:ascii="宋体" w:hAnsi="宋体" w:eastAsia="宋体" w:cs="Times New Roman"/>
          <w:color w:val="auto"/>
          <w:sz w:val="24"/>
          <w:szCs w:val="24"/>
          <w:lang w:val="zh-CN"/>
        </w:rPr>
        <w:t>。</w:t>
      </w:r>
    </w:p>
    <w:p>
      <w:pPr>
        <w:numPr>
          <w:ilvl w:val="0"/>
          <w:numId w:val="50"/>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大写金额和小写金额不一致的，以大写金额为准</w:t>
      </w:r>
      <w:r>
        <w:rPr>
          <w:rFonts w:hint="eastAsia" w:ascii="宋体" w:hAnsi="宋体" w:eastAsia="宋体" w:cs="Times New Roman"/>
          <w:color w:val="auto"/>
          <w:sz w:val="24"/>
          <w:szCs w:val="24"/>
          <w:lang w:val="zh-CN"/>
        </w:rPr>
        <w:t>。</w:t>
      </w:r>
    </w:p>
    <w:p>
      <w:pPr>
        <w:numPr>
          <w:ilvl w:val="0"/>
          <w:numId w:val="50"/>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单价金额小数点或者百分比有明显错位的，以开标一览表的总价为准，并修改单价</w:t>
      </w:r>
      <w:r>
        <w:rPr>
          <w:rFonts w:hint="eastAsia" w:ascii="宋体" w:hAnsi="宋体" w:eastAsia="宋体" w:cs="Times New Roman"/>
          <w:color w:val="auto"/>
          <w:sz w:val="24"/>
          <w:szCs w:val="24"/>
          <w:lang w:val="zh-CN"/>
        </w:rPr>
        <w:t>。</w:t>
      </w:r>
    </w:p>
    <w:p>
      <w:pPr>
        <w:numPr>
          <w:ilvl w:val="0"/>
          <w:numId w:val="50"/>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总价金额与按单价汇总金额不一致的，以单价金额计算结果为准</w:t>
      </w:r>
      <w:r>
        <w:rPr>
          <w:rFonts w:hint="eastAsia" w:ascii="宋体" w:hAnsi="宋体" w:eastAsia="宋体" w:cs="Times New Roman"/>
          <w:color w:val="auto"/>
          <w:sz w:val="24"/>
          <w:szCs w:val="24"/>
          <w:lang w:val="zh-CN"/>
        </w:rPr>
        <w:t>。</w:t>
      </w:r>
    </w:p>
    <w:p>
      <w:pPr>
        <w:numPr>
          <w:ilvl w:val="0"/>
          <w:numId w:val="50"/>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同时出现两种以上不一致的，按照前款规定的顺序修正</w:t>
      </w:r>
      <w:r>
        <w:rPr>
          <w:rFonts w:hint="eastAsia" w:ascii="宋体" w:hAnsi="宋体" w:eastAsia="宋体" w:cs="Times New Roman"/>
          <w:color w:val="auto"/>
          <w:sz w:val="24"/>
          <w:szCs w:val="24"/>
          <w:lang w:val="zh-CN"/>
        </w:rPr>
        <w:t>。</w:t>
      </w:r>
    </w:p>
    <w:p>
      <w:pPr>
        <w:numPr>
          <w:ilvl w:val="0"/>
          <w:numId w:val="50"/>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修正后的报价按照</w:t>
      </w:r>
      <w:r>
        <w:rPr>
          <w:rFonts w:hint="eastAsia" w:ascii="宋体" w:hAnsi="宋体" w:eastAsia="宋体" w:cs="Times New Roman"/>
          <w:color w:val="auto"/>
          <w:sz w:val="24"/>
          <w:szCs w:val="24"/>
          <w:lang w:val="zh-CN"/>
        </w:rPr>
        <w:t>本节第4条规定</w:t>
      </w:r>
      <w:r>
        <w:rPr>
          <w:rFonts w:ascii="宋体" w:hAnsi="宋体" w:eastAsia="宋体" w:cs="Times New Roman"/>
          <w:color w:val="auto"/>
          <w:sz w:val="24"/>
          <w:szCs w:val="24"/>
          <w:lang w:val="zh-CN"/>
        </w:rPr>
        <w:t>经投标人确认后产生约束力，投标人不确认的，</w:t>
      </w:r>
      <w:r>
        <w:rPr>
          <w:rFonts w:hint="eastAsia" w:ascii="宋体" w:hAnsi="宋体" w:eastAsia="宋体" w:cs="Times New Roman"/>
          <w:color w:val="auto"/>
          <w:sz w:val="24"/>
          <w:szCs w:val="24"/>
          <w:lang w:val="zh-CN"/>
        </w:rPr>
        <w:t>按照</w:t>
      </w:r>
      <w:r>
        <w:rPr>
          <w:rFonts w:ascii="宋体" w:hAnsi="宋体" w:eastAsia="宋体" w:cs="Times New Roman"/>
          <w:b/>
          <w:color w:val="auto"/>
          <w:sz w:val="24"/>
          <w:szCs w:val="24"/>
          <w:lang w:val="zh-CN"/>
        </w:rPr>
        <w:t>无效</w:t>
      </w:r>
      <w:r>
        <w:rPr>
          <w:rFonts w:hint="eastAsia" w:ascii="宋体" w:hAnsi="宋体" w:eastAsia="宋体" w:cs="Times New Roman"/>
          <w:b/>
          <w:color w:val="auto"/>
          <w:sz w:val="24"/>
          <w:szCs w:val="24"/>
          <w:lang w:val="zh-CN"/>
        </w:rPr>
        <w:t>投标处理</w:t>
      </w:r>
      <w:r>
        <w:rPr>
          <w:rFonts w:ascii="宋体" w:hAnsi="宋体" w:eastAsia="宋体" w:cs="Times New Roman"/>
          <w:color w:val="auto"/>
          <w:sz w:val="24"/>
          <w:szCs w:val="24"/>
          <w:lang w:val="zh-CN"/>
        </w:rPr>
        <w:t>。</w:t>
      </w:r>
    </w:p>
    <w:p>
      <w:pPr>
        <w:numPr>
          <w:ilvl w:val="0"/>
          <w:numId w:val="49"/>
        </w:numPr>
        <w:tabs>
          <w:tab w:val="left" w:pos="616"/>
        </w:tabs>
        <w:spacing w:line="360" w:lineRule="auto"/>
        <w:ind w:left="10" w:leftChars="5" w:firstLine="237" w:firstLineChars="99"/>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投标人的</w:t>
      </w:r>
      <w:r>
        <w:rPr>
          <w:rFonts w:ascii="Helvetica" w:hAnsi="Helvetica" w:eastAsia="宋体" w:cs="Helvetica"/>
          <w:color w:val="auto"/>
          <w:kern w:val="0"/>
          <w:sz w:val="24"/>
          <w:szCs w:val="24"/>
          <w:lang w:val="zh-CN"/>
        </w:rPr>
        <w:t>澄清、说明或者补正</w:t>
      </w:r>
      <w:r>
        <w:rPr>
          <w:rFonts w:hint="eastAsia" w:ascii="宋体" w:hAnsi="宋体" w:eastAsia="宋体" w:cs="Times New Roman"/>
          <w:color w:val="auto"/>
          <w:sz w:val="24"/>
          <w:szCs w:val="20"/>
          <w:lang w:val="zh-CN"/>
        </w:rPr>
        <w:t>是其投标文件的有效组成部分。</w:t>
      </w:r>
      <w:r>
        <w:rPr>
          <w:rFonts w:ascii="Helvetica" w:hAnsi="Helvetica" w:eastAsia="宋体" w:cs="Helvetica"/>
          <w:color w:val="auto"/>
          <w:kern w:val="0"/>
          <w:sz w:val="24"/>
          <w:szCs w:val="24"/>
          <w:lang w:val="zh-CN"/>
        </w:rPr>
        <w:t>投标人的澄清、说明或者补正应当采用书面形式，并加盖公章，或者由法定代表人或其授权的代表签字。</w:t>
      </w:r>
    </w:p>
    <w:p>
      <w:pPr>
        <w:numPr>
          <w:ilvl w:val="0"/>
          <w:numId w:val="47"/>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综合比较与评价</w:t>
      </w:r>
    </w:p>
    <w:p>
      <w:pPr>
        <w:spacing w:line="360" w:lineRule="auto"/>
        <w:ind w:firstLine="480" w:firstLineChars="200"/>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评标委员会应当按照</w:t>
      </w:r>
      <w:r>
        <w:rPr>
          <w:rFonts w:hint="eastAsia" w:ascii="宋体" w:hAnsi="宋体" w:eastAsia="宋体" w:cs="Times New Roman"/>
          <w:bCs/>
          <w:color w:val="auto"/>
          <w:sz w:val="24"/>
          <w:szCs w:val="20"/>
          <w:lang w:val="zh-CN"/>
        </w:rPr>
        <w:t>本章</w:t>
      </w:r>
      <w:r>
        <w:rPr>
          <w:rFonts w:ascii="宋体" w:hAnsi="宋体" w:eastAsia="宋体" w:cs="Times New Roman"/>
          <w:bCs/>
          <w:color w:val="auto"/>
          <w:sz w:val="24"/>
          <w:szCs w:val="20"/>
          <w:lang w:val="zh-CN"/>
        </w:rPr>
        <w:t>中规定的</w:t>
      </w:r>
      <w:r>
        <w:rPr>
          <w:rFonts w:hint="eastAsia" w:ascii="宋体" w:hAnsi="宋体" w:eastAsia="宋体" w:cs="Times New Roman"/>
          <w:bCs/>
          <w:color w:val="auto"/>
          <w:sz w:val="24"/>
          <w:szCs w:val="20"/>
          <w:lang w:val="zh-CN"/>
        </w:rPr>
        <w:t>评标方法和标准</w:t>
      </w:r>
      <w:r>
        <w:rPr>
          <w:rFonts w:ascii="宋体" w:hAnsi="宋体" w:eastAsia="宋体" w:cs="Times New Roman"/>
          <w:bCs/>
          <w:color w:val="auto"/>
          <w:sz w:val="24"/>
          <w:szCs w:val="20"/>
          <w:lang w:val="zh-CN"/>
        </w:rPr>
        <w:t>，对符合性审查合格的投标文件进行商务和技术</w:t>
      </w:r>
      <w:r>
        <w:rPr>
          <w:rFonts w:hint="eastAsia" w:ascii="宋体" w:hAnsi="宋体" w:eastAsia="宋体" w:cs="Times New Roman"/>
          <w:bCs/>
          <w:color w:val="auto"/>
          <w:sz w:val="24"/>
          <w:szCs w:val="20"/>
          <w:lang w:val="zh-CN"/>
        </w:rPr>
        <w:t>、服务</w:t>
      </w:r>
      <w:r>
        <w:rPr>
          <w:rFonts w:ascii="宋体" w:hAnsi="宋体" w:eastAsia="宋体" w:cs="Times New Roman"/>
          <w:bCs/>
          <w:color w:val="auto"/>
          <w:sz w:val="24"/>
          <w:szCs w:val="20"/>
          <w:lang w:val="zh-CN"/>
        </w:rPr>
        <w:t>评估，综合比较与评价。</w:t>
      </w:r>
    </w:p>
    <w:p>
      <w:pPr>
        <w:numPr>
          <w:ilvl w:val="0"/>
          <w:numId w:val="51"/>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商务评议</w:t>
      </w:r>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评标委员会对符合性审查合格的投标文件进行评议，并依据本章“评审因素及评分标准”中的商务评议进行综合比较和评分。</w:t>
      </w:r>
    </w:p>
    <w:p>
      <w:pPr>
        <w:numPr>
          <w:ilvl w:val="0"/>
          <w:numId w:val="51"/>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技术、服务评议</w:t>
      </w:r>
    </w:p>
    <w:p>
      <w:pPr>
        <w:spacing w:line="360" w:lineRule="auto"/>
        <w:ind w:firstLine="480" w:firstLineChars="200"/>
        <w:rPr>
          <w:rFonts w:ascii="宋体" w:hAnsi="宋体" w:eastAsia="宋体" w:cs="Times New Roman"/>
          <w:color w:val="auto"/>
          <w:kern w:val="0"/>
          <w:sz w:val="24"/>
          <w:szCs w:val="20"/>
          <w:lang w:val="zh-CN"/>
        </w:rPr>
      </w:pPr>
      <w:r>
        <w:rPr>
          <w:rFonts w:hint="eastAsia" w:ascii="宋体" w:hAnsi="宋体" w:eastAsia="宋体" w:cs="Times New Roman"/>
          <w:bCs/>
          <w:color w:val="auto"/>
          <w:sz w:val="24"/>
          <w:szCs w:val="20"/>
          <w:lang w:val="zh-CN"/>
        </w:rPr>
        <w:t>评标委员会对符合性审查合格的投标文件进行评议，并依据本章“评审因素及评分标准”中的技术、服务评议进行综合比较和评分。</w:t>
      </w:r>
    </w:p>
    <w:p>
      <w:pPr>
        <w:numPr>
          <w:ilvl w:val="0"/>
          <w:numId w:val="51"/>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价格评议</w:t>
      </w:r>
    </w:p>
    <w:p>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评标委员会对符合性审查合格的投标文件进行价格评议（</w:t>
      </w:r>
      <w:r>
        <w:rPr>
          <w:rFonts w:hint="eastAsia" w:ascii="宋体" w:hAnsi="宋体" w:eastAsia="宋体" w:cs="Times New Roman"/>
          <w:bCs/>
          <w:color w:val="auto"/>
          <w:sz w:val="24"/>
          <w:szCs w:val="21"/>
          <w:lang w:val="zh-CN"/>
        </w:rPr>
        <w:t>执行国家统一定价标准和采用固定价格采购的项目，其价格不列为评审因素</w:t>
      </w:r>
      <w:r>
        <w:rPr>
          <w:rFonts w:hint="eastAsia" w:ascii="宋体" w:hAnsi="宋体" w:eastAsia="宋体" w:cs="Times New Roman"/>
          <w:bCs/>
          <w:color w:val="auto"/>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2"/>
        </w:numPr>
        <w:adjustRightInd w:val="0"/>
        <w:spacing w:line="360" w:lineRule="auto"/>
        <w:ind w:left="742" w:hanging="493"/>
        <w:rPr>
          <w:rFonts w:ascii="宋体" w:hAnsi="宋体" w:eastAsia="宋体" w:cs="Times New Roman"/>
          <w:bCs/>
          <w:color w:val="auto"/>
          <w:sz w:val="24"/>
          <w:szCs w:val="21"/>
          <w:lang w:val="zh-CN"/>
        </w:rPr>
      </w:pPr>
      <w:r>
        <w:rPr>
          <w:rFonts w:hint="eastAsia" w:ascii="宋体" w:hAnsi="宋体" w:eastAsia="宋体" w:cs="Times New Roman"/>
          <w:b/>
          <w:color w:val="auto"/>
          <w:sz w:val="24"/>
          <w:szCs w:val="24"/>
          <w:lang w:val="zh-CN"/>
        </w:rPr>
        <w:t>报价合理性说明：</w:t>
      </w:r>
      <w:r>
        <w:rPr>
          <w:rFonts w:ascii="宋体" w:hAnsi="宋体" w:eastAsia="宋体" w:cs="Helvetica"/>
          <w:color w:val="auto"/>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auto"/>
          <w:kern w:val="0"/>
          <w:sz w:val="24"/>
          <w:szCs w:val="24"/>
          <w:lang w:val="zh-CN"/>
        </w:rPr>
        <w:t>应当将其作为</w:t>
      </w:r>
      <w:r>
        <w:rPr>
          <w:rFonts w:ascii="宋体" w:hAnsi="宋体" w:eastAsia="宋体" w:cs="Helvetica"/>
          <w:b/>
          <w:color w:val="auto"/>
          <w:kern w:val="0"/>
          <w:sz w:val="24"/>
          <w:szCs w:val="24"/>
          <w:lang w:val="zh-CN"/>
        </w:rPr>
        <w:t>无效投标处理</w:t>
      </w:r>
      <w:r>
        <w:rPr>
          <w:rFonts w:ascii="宋体" w:hAnsi="宋体" w:eastAsia="宋体" w:cs="Helvetica"/>
          <w:color w:val="auto"/>
          <w:kern w:val="0"/>
          <w:sz w:val="24"/>
          <w:szCs w:val="24"/>
          <w:lang w:val="zh-CN"/>
        </w:rPr>
        <w:t>。</w:t>
      </w:r>
    </w:p>
    <w:p>
      <w:pPr>
        <w:numPr>
          <w:ilvl w:val="0"/>
          <w:numId w:val="52"/>
        </w:numPr>
        <w:adjustRightInd w:val="0"/>
        <w:spacing w:line="360" w:lineRule="auto"/>
        <w:ind w:left="742" w:hanging="493"/>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小型和微型企业、监狱企业、残疾人福利性单位价格扣除：</w:t>
      </w:r>
    </w:p>
    <w:p>
      <w:pPr>
        <w:numPr>
          <w:ilvl w:val="0"/>
          <w:numId w:val="53"/>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color w:val="auto"/>
          <w:sz w:val="24"/>
          <w:szCs w:val="20"/>
          <w:lang w:val="zh-CN"/>
        </w:rPr>
        <w:t>6%</w:t>
      </w:r>
      <w:r>
        <w:rPr>
          <w:rFonts w:hint="eastAsia" w:ascii="宋体" w:hAnsi="宋体" w:eastAsia="宋体" w:cs="Times New Roman"/>
          <w:bCs/>
          <w:color w:val="auto"/>
          <w:sz w:val="24"/>
          <w:szCs w:val="20"/>
          <w:lang w:val="zh-CN"/>
        </w:rPr>
        <w:t>的扣除，用扣除后的价格参与评审。</w:t>
      </w:r>
    </w:p>
    <w:p>
      <w:pPr>
        <w:numPr>
          <w:ilvl w:val="0"/>
          <w:numId w:val="53"/>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非专门面向中小企业的工程、服务类采购项目，投标人是小型和微型企业的价格给予</w:t>
      </w:r>
      <w:r>
        <w:rPr>
          <w:rFonts w:hint="eastAsia" w:ascii="宋体" w:hAnsi="宋体" w:eastAsia="宋体" w:cs="Times New Roman"/>
          <w:b/>
          <w:bCs/>
          <w:color w:val="auto"/>
          <w:sz w:val="24"/>
          <w:szCs w:val="20"/>
          <w:lang w:val="zh-CN"/>
        </w:rPr>
        <w:t>6%</w:t>
      </w:r>
      <w:r>
        <w:rPr>
          <w:rFonts w:hint="eastAsia" w:ascii="宋体" w:hAnsi="宋体" w:eastAsia="宋体" w:cs="Times New Roman"/>
          <w:bCs/>
          <w:color w:val="auto"/>
          <w:sz w:val="24"/>
          <w:szCs w:val="20"/>
          <w:lang w:val="zh-CN"/>
        </w:rPr>
        <w:t>的扣除，用扣除后的价格参与评审。</w:t>
      </w:r>
    </w:p>
    <w:p>
      <w:pPr>
        <w:numPr>
          <w:ilvl w:val="0"/>
          <w:numId w:val="53"/>
        </w:numPr>
        <w:spacing w:line="360" w:lineRule="auto"/>
        <w:ind w:left="1134" w:hanging="756"/>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鼓励大中型企业和其他自然人</w:t>
      </w:r>
      <w:r>
        <w:rPr>
          <w:rFonts w:ascii="宋体" w:hAnsi="宋体" w:eastAsia="宋体" w:cs="Times New Roman"/>
          <w:bCs/>
          <w:color w:val="auto"/>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auto"/>
          <w:sz w:val="24"/>
          <w:szCs w:val="20"/>
        </w:rPr>
        <w:t>30%</w:t>
      </w:r>
      <w:r>
        <w:rPr>
          <w:rFonts w:ascii="宋体" w:hAnsi="宋体" w:eastAsia="宋体" w:cs="Times New Roman"/>
          <w:bCs/>
          <w:color w:val="auto"/>
          <w:sz w:val="24"/>
          <w:szCs w:val="20"/>
        </w:rPr>
        <w:t>以上的，可给予联合体</w:t>
      </w:r>
      <w:r>
        <w:rPr>
          <w:rFonts w:ascii="宋体" w:hAnsi="宋体" w:eastAsia="宋体" w:cs="Times New Roman"/>
          <w:b/>
          <w:bCs/>
          <w:color w:val="auto"/>
          <w:sz w:val="24"/>
          <w:szCs w:val="20"/>
          <w:lang w:val="zh-CN"/>
        </w:rPr>
        <w:t>3%</w:t>
      </w:r>
      <w:r>
        <w:rPr>
          <w:rFonts w:ascii="宋体" w:hAnsi="宋体" w:eastAsia="宋体" w:cs="Times New Roman"/>
          <w:bCs/>
          <w:color w:val="auto"/>
          <w:sz w:val="24"/>
          <w:szCs w:val="20"/>
        </w:rPr>
        <w:t>的价格扣除</w:t>
      </w:r>
      <w:r>
        <w:rPr>
          <w:rFonts w:hint="eastAsia" w:ascii="宋体" w:hAnsi="宋体" w:eastAsia="宋体" w:cs="Times New Roman"/>
          <w:bCs/>
          <w:color w:val="auto"/>
          <w:sz w:val="24"/>
          <w:szCs w:val="20"/>
        </w:rPr>
        <w:t>，</w:t>
      </w:r>
      <w:r>
        <w:rPr>
          <w:rFonts w:hint="eastAsia" w:ascii="宋体" w:hAnsi="宋体" w:eastAsia="宋体" w:cs="Times New Roman"/>
          <w:bCs/>
          <w:color w:val="auto"/>
          <w:sz w:val="24"/>
          <w:szCs w:val="20"/>
          <w:lang w:val="zh-CN"/>
        </w:rPr>
        <w:t>不重复享受政策。</w:t>
      </w:r>
    </w:p>
    <w:p>
      <w:pPr>
        <w:numPr>
          <w:ilvl w:val="0"/>
          <w:numId w:val="53"/>
        </w:numPr>
        <w:spacing w:line="360" w:lineRule="auto"/>
        <w:ind w:left="1134" w:hanging="756"/>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监狱企业</w:t>
      </w:r>
      <w:r>
        <w:rPr>
          <w:rFonts w:hint="eastAsia" w:ascii="宋体" w:hAnsi="宋体" w:eastAsia="宋体" w:cs="Times New Roman"/>
          <w:bCs/>
          <w:color w:val="auto"/>
          <w:sz w:val="24"/>
          <w:szCs w:val="20"/>
          <w:lang w:val="zh-CN"/>
        </w:rPr>
        <w:t>、残疾人福利性单位</w:t>
      </w:r>
      <w:r>
        <w:rPr>
          <w:rFonts w:ascii="宋体" w:hAnsi="宋体" w:eastAsia="宋体" w:cs="Times New Roman"/>
          <w:bCs/>
          <w:color w:val="auto"/>
          <w:sz w:val="24"/>
          <w:szCs w:val="20"/>
          <w:lang w:val="zh-CN"/>
        </w:rPr>
        <w:t>视同小型、微型企业，享受预留份额、评审中价格扣除等政府采购促进中小企业发展的政府采购政策</w:t>
      </w:r>
      <w:r>
        <w:rPr>
          <w:rFonts w:hint="eastAsia" w:ascii="宋体" w:hAnsi="宋体" w:eastAsia="宋体" w:cs="Times New Roman"/>
          <w:bCs/>
          <w:color w:val="auto"/>
          <w:sz w:val="24"/>
          <w:szCs w:val="20"/>
          <w:lang w:val="zh-CN"/>
        </w:rPr>
        <w:t>，残疾人福利性单位属于小型、微型企业的，不重复享受政策。</w:t>
      </w:r>
    </w:p>
    <w:p>
      <w:pPr>
        <w:numPr>
          <w:ilvl w:val="0"/>
          <w:numId w:val="53"/>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1"/>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相同品牌处理原则</w:t>
      </w:r>
    </w:p>
    <w:p>
      <w:pPr>
        <w:numPr>
          <w:ilvl w:val="0"/>
          <w:numId w:val="54"/>
        </w:numPr>
        <w:adjustRightInd w:val="0"/>
        <w:spacing w:line="360" w:lineRule="auto"/>
        <w:ind w:left="756" w:hanging="507"/>
        <w:rPr>
          <w:rFonts w:ascii="Helvetica" w:hAnsi="Helvetica" w:eastAsia="宋体" w:cs="Helvetica"/>
          <w:color w:val="auto"/>
          <w:kern w:val="0"/>
          <w:sz w:val="24"/>
          <w:szCs w:val="24"/>
          <w:lang w:val="zh-CN"/>
        </w:rPr>
      </w:pPr>
      <w:r>
        <w:rPr>
          <w:rFonts w:ascii="Helvetica" w:hAnsi="Helvetica" w:eastAsia="宋体" w:cs="Helvetica"/>
          <w:color w:val="auto"/>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确定一个投标人获得中标人推荐资格，其他同品牌投标人不作为中标候选人。</w:t>
      </w:r>
    </w:p>
    <w:p>
      <w:pPr>
        <w:numPr>
          <w:ilvl w:val="0"/>
          <w:numId w:val="54"/>
        </w:numPr>
        <w:adjustRightInd w:val="0"/>
        <w:spacing w:line="360" w:lineRule="auto"/>
        <w:ind w:left="756" w:hanging="507"/>
        <w:rPr>
          <w:rFonts w:ascii="Helvetica" w:hAnsi="Helvetica" w:eastAsia="宋体" w:cs="Helvetica"/>
          <w:color w:val="auto"/>
          <w:kern w:val="0"/>
          <w:sz w:val="24"/>
          <w:szCs w:val="24"/>
          <w:lang w:val="zh-CN"/>
        </w:rPr>
      </w:pPr>
      <w:r>
        <w:rPr>
          <w:rFonts w:ascii="Helvetica" w:hAnsi="Helvetica" w:eastAsia="宋体" w:cs="Helvetica"/>
          <w:color w:val="auto"/>
          <w:kern w:val="0"/>
          <w:sz w:val="24"/>
          <w:szCs w:val="24"/>
          <w:lang w:val="zh-CN"/>
        </w:rPr>
        <w:t>非单一产品采购项目，采购人应当根据采购项目技术构成、产品价格比重等合理确定</w:t>
      </w:r>
      <w:r>
        <w:rPr>
          <w:rFonts w:hint="eastAsia" w:ascii="Helvetica" w:hAnsi="Helvetica" w:eastAsia="宋体" w:cs="Helvetica"/>
          <w:b/>
          <w:color w:val="auto"/>
          <w:kern w:val="0"/>
          <w:sz w:val="24"/>
          <w:szCs w:val="24"/>
          <w:lang w:val="zh-CN"/>
        </w:rPr>
        <w:t>一个</w:t>
      </w:r>
      <w:r>
        <w:rPr>
          <w:rFonts w:ascii="Helvetica" w:hAnsi="Helvetica" w:eastAsia="宋体" w:cs="Helvetica"/>
          <w:b/>
          <w:color w:val="auto"/>
          <w:kern w:val="0"/>
          <w:sz w:val="24"/>
          <w:szCs w:val="24"/>
          <w:lang w:val="zh-CN"/>
        </w:rPr>
        <w:t>核心产品</w:t>
      </w:r>
      <w:r>
        <w:rPr>
          <w:rFonts w:hint="eastAsia" w:ascii="Helvetica" w:hAnsi="Helvetica" w:eastAsia="宋体" w:cs="Helvetica"/>
          <w:color w:val="auto"/>
          <w:kern w:val="0"/>
          <w:sz w:val="24"/>
          <w:szCs w:val="24"/>
          <w:lang w:val="zh-CN"/>
        </w:rPr>
        <w:t>（采购清单中作“相同〈或同一〉品牌”实质性要求的产品，视为一个核心产品），</w:t>
      </w:r>
      <w:r>
        <w:rPr>
          <w:rFonts w:ascii="Helvetica" w:hAnsi="Helvetica" w:eastAsia="宋体" w:cs="Helvetica"/>
          <w:color w:val="auto"/>
          <w:kern w:val="0"/>
          <w:sz w:val="24"/>
          <w:szCs w:val="24"/>
          <w:lang w:val="zh-CN"/>
        </w:rPr>
        <w:t>并</w:t>
      </w:r>
      <w:r>
        <w:rPr>
          <w:rFonts w:hint="eastAsia" w:ascii="Helvetica" w:hAnsi="Helvetica" w:eastAsia="宋体" w:cs="Helvetica"/>
          <w:color w:val="auto"/>
          <w:kern w:val="0"/>
          <w:sz w:val="24"/>
          <w:szCs w:val="24"/>
          <w:lang w:val="zh-CN"/>
        </w:rPr>
        <w:t>以</w:t>
      </w:r>
      <w:r>
        <w:rPr>
          <w:rFonts w:hint="eastAsia" w:ascii="Helvetica" w:hAnsi="Helvetica" w:eastAsia="宋体" w:cs="Helvetica"/>
          <w:b/>
          <w:color w:val="auto"/>
          <w:kern w:val="0"/>
          <w:sz w:val="24"/>
          <w:szCs w:val="24"/>
          <w:lang w:val="zh-CN"/>
        </w:rPr>
        <w:t>“</w:t>
      </w:r>
      <w:r>
        <w:rPr>
          <w:rFonts w:hint="eastAsia" w:ascii="MS Gothic" w:hAnsi="MS Gothic" w:eastAsia="宋体" w:cs="MS Gothic"/>
          <w:b/>
          <w:color w:val="auto"/>
          <w:kern w:val="0"/>
          <w:sz w:val="24"/>
          <w:szCs w:val="24"/>
          <w:lang w:val="zh-CN"/>
        </w:rPr>
        <w:t>核心产品</w:t>
      </w:r>
      <w:r>
        <w:rPr>
          <w:rFonts w:hint="eastAsia" w:ascii="Helvetica" w:hAnsi="Helvetica" w:eastAsia="宋体" w:cs="Helvetica"/>
          <w:b/>
          <w:color w:val="auto"/>
          <w:kern w:val="0"/>
          <w:sz w:val="24"/>
          <w:szCs w:val="24"/>
          <w:lang w:val="zh-CN"/>
        </w:rPr>
        <w:t>”</w:t>
      </w:r>
      <w:r>
        <w:rPr>
          <w:rFonts w:ascii="Helvetica" w:hAnsi="Helvetica" w:eastAsia="宋体" w:cs="Helvetica"/>
          <w:color w:val="auto"/>
          <w:kern w:val="0"/>
          <w:sz w:val="24"/>
          <w:szCs w:val="24"/>
          <w:lang w:val="zh-CN"/>
        </w:rPr>
        <w:t>在招标文件中</w:t>
      </w:r>
      <w:r>
        <w:rPr>
          <w:rFonts w:hint="eastAsia" w:ascii="Helvetica" w:hAnsi="Helvetica" w:eastAsia="宋体" w:cs="Helvetica"/>
          <w:color w:val="auto"/>
          <w:kern w:val="0"/>
          <w:sz w:val="24"/>
          <w:szCs w:val="24"/>
          <w:lang w:val="zh-CN"/>
        </w:rPr>
        <w:t>标注</w:t>
      </w:r>
      <w:r>
        <w:rPr>
          <w:rFonts w:ascii="Helvetica" w:hAnsi="Helvetica" w:eastAsia="宋体" w:cs="Helvetica"/>
          <w:color w:val="auto"/>
          <w:kern w:val="0"/>
          <w:sz w:val="24"/>
          <w:szCs w:val="24"/>
          <w:lang w:val="zh-CN"/>
        </w:rPr>
        <w:t>。</w:t>
      </w:r>
    </w:p>
    <w:p>
      <w:pPr>
        <w:numPr>
          <w:ilvl w:val="0"/>
          <w:numId w:val="51"/>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计分办法</w:t>
      </w:r>
    </w:p>
    <w:p>
      <w:pPr>
        <w:numPr>
          <w:ilvl w:val="0"/>
          <w:numId w:val="55"/>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采购代理机构对各评委的总分进行复核。各项统计结果均精确到小数点后两位。</w:t>
      </w:r>
    </w:p>
    <w:p>
      <w:pPr>
        <w:numPr>
          <w:ilvl w:val="0"/>
          <w:numId w:val="55"/>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各投标人的最终得分为评委所评定分数的算术平均值。</w:t>
      </w:r>
    </w:p>
    <w:p>
      <w:pPr>
        <w:numPr>
          <w:ilvl w:val="0"/>
          <w:numId w:val="47"/>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推荐中标候选人名单或确定中标人</w:t>
      </w:r>
    </w:p>
    <w:p>
      <w:pPr>
        <w:numPr>
          <w:ilvl w:val="0"/>
          <w:numId w:val="56"/>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评标委员会按照招标文件确定的评标方法、程序及标准，对投标文件进行评审。</w:t>
      </w:r>
      <w:r>
        <w:rPr>
          <w:rFonts w:ascii="Helvetica" w:hAnsi="Helvetica" w:eastAsia="宋体" w:cs="Helvetica"/>
          <w:color w:val="auto"/>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6"/>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6"/>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中标候选人并列的，</w:t>
      </w:r>
      <w:r>
        <w:rPr>
          <w:rFonts w:ascii="Helvetica" w:hAnsi="Helvetica" w:eastAsia="宋体" w:cs="Helvetica"/>
          <w:color w:val="auto"/>
          <w:kern w:val="0"/>
          <w:sz w:val="24"/>
          <w:szCs w:val="24"/>
          <w:lang w:val="zh-CN"/>
        </w:rPr>
        <w:t>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确定中标人。</w:t>
      </w:r>
    </w:p>
    <w:p>
      <w:pPr>
        <w:numPr>
          <w:ilvl w:val="0"/>
          <w:numId w:val="56"/>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6"/>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中标人的数量有其他规定的，应在此处明确方法、中标比例等。</w:t>
      </w:r>
    </w:p>
    <w:p>
      <w:pPr>
        <w:tabs>
          <w:tab w:val="left" w:pos="616"/>
        </w:tabs>
        <w:spacing w:line="360" w:lineRule="auto"/>
        <w:rPr>
          <w:rFonts w:ascii="Helvetica" w:hAnsi="Helvetica" w:eastAsia="宋体" w:cs="Helvetica"/>
          <w:color w:val="auto"/>
          <w:kern w:val="0"/>
          <w:sz w:val="24"/>
          <w:szCs w:val="24"/>
          <w:lang w:val="zh-CN"/>
        </w:rPr>
      </w:pPr>
    </w:p>
    <w:p>
      <w:pPr>
        <w:pStyle w:val="3"/>
        <w:numPr>
          <w:ilvl w:val="0"/>
          <w:numId w:val="46"/>
        </w:numPr>
        <w:spacing w:before="0" w:after="0" w:line="360" w:lineRule="auto"/>
        <w:ind w:left="616" w:hanging="616"/>
        <w:jc w:val="left"/>
        <w:rPr>
          <w:rFonts w:cs="Times New Roman" w:asciiTheme="majorEastAsia" w:hAnsiTheme="majorEastAsia"/>
          <w:bCs w:val="0"/>
          <w:color w:val="auto"/>
          <w:sz w:val="30"/>
          <w:szCs w:val="30"/>
          <w:lang w:val="zh-CN"/>
        </w:rPr>
      </w:pPr>
      <w:bookmarkStart w:id="68" w:name="_Toc494561963"/>
      <w:bookmarkStart w:id="69" w:name="_Toc21956"/>
      <w:r>
        <w:rPr>
          <w:rFonts w:hint="eastAsia" w:cs="Times New Roman" w:asciiTheme="majorEastAsia" w:hAnsiTheme="majorEastAsia"/>
          <w:bCs w:val="0"/>
          <w:color w:val="auto"/>
          <w:sz w:val="30"/>
          <w:szCs w:val="30"/>
          <w:lang w:val="zh-CN"/>
        </w:rPr>
        <w:t>评审因素及评分标准</w:t>
      </w:r>
      <w:bookmarkEnd w:id="68"/>
      <w:bookmarkEnd w:id="69"/>
    </w:p>
    <w:tbl>
      <w:tblPr>
        <w:tblStyle w:val="19"/>
        <w:tblW w:w="10143" w:type="dxa"/>
        <w:jc w:val="center"/>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104"/>
        <w:gridCol w:w="563"/>
        <w:gridCol w:w="7262"/>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89" w:type="dxa"/>
            <w:vMerge w:val="restart"/>
            <w:shd w:val="pct10" w:color="auto" w:fill="auto"/>
            <w:vAlign w:val="center"/>
          </w:tcPr>
          <w:p>
            <w:pPr>
              <w:ind w:left="-77" w:leftChars="-37" w:right="-86" w:rightChars="-41"/>
              <w:jc w:val="center"/>
              <w:rPr>
                <w:rFonts w:ascii="宋体" w:hAnsi="宋体" w:eastAsia="宋体" w:cs="Times New Roman"/>
                <w:b/>
                <w:bCs/>
                <w:color w:val="auto"/>
                <w:szCs w:val="21"/>
              </w:rPr>
            </w:pPr>
            <w:r>
              <w:rPr>
                <w:rFonts w:hint="eastAsia" w:ascii="宋体" w:hAnsi="宋体" w:eastAsia="宋体" w:cs="Times New Roman"/>
                <w:b/>
                <w:bCs/>
                <w:color w:val="auto"/>
                <w:szCs w:val="21"/>
              </w:rPr>
              <w:t>商务评议</w:t>
            </w:r>
          </w:p>
          <w:p>
            <w:pPr>
              <w:ind w:left="-77" w:leftChars="-37" w:right="-86" w:rightChars="-41"/>
              <w:jc w:val="center"/>
              <w:rPr>
                <w:rFonts w:ascii="宋体" w:hAnsi="宋体" w:eastAsia="宋体" w:cs="Times New Roman"/>
                <w:b/>
                <w:color w:val="auto"/>
                <w:szCs w:val="21"/>
              </w:rPr>
            </w:pPr>
            <w:r>
              <w:rPr>
                <w:rFonts w:hint="eastAsia" w:ascii="宋体" w:hAnsi="宋体" w:eastAsia="宋体" w:cs="Times New Roman"/>
                <w:b/>
                <w:bCs/>
                <w:color w:val="auto"/>
                <w:szCs w:val="21"/>
              </w:rPr>
              <w:t>50分</w:t>
            </w:r>
          </w:p>
        </w:tc>
        <w:tc>
          <w:tcPr>
            <w:tcW w:w="1104" w:type="dxa"/>
            <w:shd w:val="pct10" w:color="auto" w:fill="auto"/>
            <w:vAlign w:val="center"/>
          </w:tcPr>
          <w:p>
            <w:pPr>
              <w:jc w:val="center"/>
              <w:rPr>
                <w:rFonts w:ascii="宋体" w:hAnsi="宋体" w:eastAsia="宋体" w:cs="Times New Roman"/>
                <w:b/>
                <w:color w:val="auto"/>
                <w:szCs w:val="21"/>
              </w:rPr>
            </w:pPr>
            <w:r>
              <w:rPr>
                <w:rFonts w:hint="eastAsia" w:ascii="宋体" w:hAnsi="宋体" w:eastAsia="宋体" w:cs="Times New Roman"/>
                <w:b/>
                <w:color w:val="auto"/>
                <w:szCs w:val="21"/>
              </w:rPr>
              <w:t>评审因素</w:t>
            </w:r>
          </w:p>
        </w:tc>
        <w:tc>
          <w:tcPr>
            <w:tcW w:w="563" w:type="dxa"/>
            <w:shd w:val="pct10" w:color="auto" w:fill="auto"/>
            <w:vAlign w:val="center"/>
          </w:tcPr>
          <w:p>
            <w:pPr>
              <w:ind w:left="-73" w:leftChars="-35" w:right="-79" w:rightChars="-38"/>
              <w:jc w:val="center"/>
              <w:rPr>
                <w:rFonts w:ascii="宋体" w:hAnsi="宋体" w:eastAsia="宋体" w:cs="Times New Roman"/>
                <w:b/>
                <w:color w:val="auto"/>
                <w:szCs w:val="21"/>
              </w:rPr>
            </w:pPr>
            <w:r>
              <w:rPr>
                <w:rFonts w:hint="eastAsia" w:ascii="宋体" w:hAnsi="宋体" w:eastAsia="宋体" w:cs="Times New Roman"/>
                <w:b/>
                <w:color w:val="auto"/>
                <w:szCs w:val="21"/>
              </w:rPr>
              <w:t>分值</w:t>
            </w:r>
          </w:p>
        </w:tc>
        <w:tc>
          <w:tcPr>
            <w:tcW w:w="7262" w:type="dxa"/>
            <w:shd w:val="pct10" w:color="auto" w:fill="auto"/>
            <w:vAlign w:val="center"/>
          </w:tcPr>
          <w:p>
            <w:pPr>
              <w:jc w:val="center"/>
              <w:rPr>
                <w:rFonts w:ascii="宋体" w:hAnsi="宋体" w:eastAsia="宋体" w:cs="Times New Roman"/>
                <w:b/>
                <w:color w:val="auto"/>
                <w:szCs w:val="21"/>
              </w:rPr>
            </w:pPr>
            <w:r>
              <w:rPr>
                <w:rFonts w:hint="eastAsia" w:ascii="宋体" w:hAnsi="宋体" w:eastAsia="宋体" w:cs="Times New Roman"/>
                <w:b/>
                <w:color w:val="auto"/>
                <w:szCs w:val="21"/>
              </w:rPr>
              <w:t>评分标准</w:t>
            </w:r>
          </w:p>
        </w:tc>
        <w:tc>
          <w:tcPr>
            <w:tcW w:w="725" w:type="dxa"/>
            <w:shd w:val="pct10" w:color="auto" w:fill="auto"/>
            <w:vAlign w:val="center"/>
          </w:tcPr>
          <w:p>
            <w:pPr>
              <w:spacing w:line="280" w:lineRule="exact"/>
              <w:jc w:val="center"/>
              <w:rPr>
                <w:rFonts w:ascii="宋体" w:hAnsi="宋体" w:eastAsia="宋体" w:cs="Times New Roman"/>
                <w:b/>
                <w:color w:val="auto"/>
                <w:szCs w:val="21"/>
              </w:rPr>
            </w:pPr>
            <w:r>
              <w:rPr>
                <w:rFonts w:hint="eastAsia" w:ascii="宋体" w:hAnsi="宋体" w:eastAsia="宋体" w:cs="Times New Roman"/>
                <w:b/>
                <w:color w:val="auto"/>
                <w:szCs w:val="21"/>
              </w:rPr>
              <w:t>因素</w:t>
            </w:r>
          </w:p>
          <w:p>
            <w:pPr>
              <w:spacing w:line="280" w:lineRule="exact"/>
              <w:jc w:val="center"/>
              <w:rPr>
                <w:rFonts w:ascii="宋体" w:hAnsi="宋体" w:eastAsia="宋体" w:cs="Times New Roman"/>
                <w:b/>
                <w:color w:val="auto"/>
                <w:szCs w:val="21"/>
              </w:rPr>
            </w:pPr>
            <w:r>
              <w:rPr>
                <w:rFonts w:hint="eastAsia" w:ascii="宋体" w:hAnsi="宋体" w:eastAsia="宋体" w:cs="Times New Roman"/>
                <w:b/>
                <w:color w:val="auto"/>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9" w:type="dxa"/>
            <w:vMerge w:val="continue"/>
            <w:vAlign w:val="center"/>
          </w:tcPr>
          <w:p>
            <w:pPr>
              <w:numPr>
                <w:ilvl w:val="0"/>
                <w:numId w:val="57"/>
              </w:numPr>
              <w:tabs>
                <w:tab w:val="left" w:pos="322"/>
              </w:tabs>
              <w:spacing w:line="320" w:lineRule="exact"/>
              <w:ind w:left="-42" w:right="-42" w:rightChars="-20" w:firstLine="0"/>
              <w:jc w:val="right"/>
              <w:rPr>
                <w:rFonts w:ascii="宋体" w:hAnsi="宋体" w:eastAsia="宋体" w:cs="Times New Roman"/>
                <w:b/>
                <w:color w:val="auto"/>
                <w:szCs w:val="21"/>
              </w:rPr>
            </w:pPr>
          </w:p>
        </w:tc>
        <w:tc>
          <w:tcPr>
            <w:tcW w:w="1104" w:type="dxa"/>
            <w:vAlign w:val="center"/>
          </w:tcPr>
          <w:p>
            <w:pPr>
              <w:ind w:left="-21" w:leftChars="-10" w:right="-21" w:rightChars="-10"/>
              <w:jc w:val="center"/>
              <w:rPr>
                <w:rFonts w:ascii="宋体" w:hAnsi="宋体" w:eastAsia="宋体" w:cs="Times New Roman"/>
                <w:b/>
                <w:color w:val="auto"/>
                <w:szCs w:val="21"/>
              </w:rPr>
            </w:pPr>
            <w:r>
              <w:rPr>
                <w:rFonts w:hint="eastAsia" w:ascii="宋体" w:hAnsi="宋体" w:eastAsia="宋体" w:cs="Times New Roman"/>
                <w:b/>
                <w:color w:val="auto"/>
                <w:szCs w:val="21"/>
              </w:rPr>
              <w:t>投标文件编制情况</w:t>
            </w: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2</w:t>
            </w:r>
          </w:p>
        </w:tc>
        <w:tc>
          <w:tcPr>
            <w:tcW w:w="7262" w:type="dxa"/>
            <w:vAlign w:val="center"/>
          </w:tcPr>
          <w:p>
            <w:pPr>
              <w:spacing w:line="320" w:lineRule="exact"/>
              <w:rPr>
                <w:rFonts w:ascii="宋体" w:hAnsi="宋体" w:eastAsia="宋体" w:cs="Times New Roman"/>
                <w:color w:val="auto"/>
                <w:szCs w:val="21"/>
              </w:rPr>
            </w:pPr>
            <w:r>
              <w:rPr>
                <w:rFonts w:hint="eastAsia" w:ascii="宋体" w:hAnsi="宋体"/>
                <w:color w:val="auto"/>
                <w:szCs w:val="21"/>
              </w:rPr>
              <w:t>投标文件全面响应招标文件要求，编制完整、非活页装订，且有详细目录、连续页码、目录与有关材料装订顺序对应清晰、查阅方便得2分。编排杂乱无章、叙述答非所问、资料残缺不全、资料模糊不清、前后不一致等，每处扣0.5分，扣完为止；活页装订本项不得分。</w:t>
            </w:r>
          </w:p>
        </w:tc>
        <w:tc>
          <w:tcPr>
            <w:tcW w:w="725" w:type="dxa"/>
            <w:vAlign w:val="center"/>
          </w:tcPr>
          <w:p>
            <w:pPr>
              <w:spacing w:line="320" w:lineRule="exact"/>
              <w:ind w:left="-65" w:leftChars="-31" w:right="-35" w:rightChars="-17"/>
              <w:jc w:val="right"/>
              <w:rPr>
                <w:rFonts w:ascii="宋体" w:hAnsi="宋体" w:eastAsia="宋体"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9" w:type="dxa"/>
            <w:vMerge w:val="continue"/>
            <w:vAlign w:val="center"/>
          </w:tcPr>
          <w:p>
            <w:pPr>
              <w:numPr>
                <w:ilvl w:val="0"/>
                <w:numId w:val="57"/>
              </w:numPr>
              <w:tabs>
                <w:tab w:val="left" w:pos="322"/>
              </w:tabs>
              <w:spacing w:line="320" w:lineRule="exact"/>
              <w:ind w:left="-42" w:right="-42" w:rightChars="-20" w:firstLine="0"/>
              <w:jc w:val="right"/>
              <w:rPr>
                <w:rFonts w:ascii="宋体" w:hAnsi="宋体" w:eastAsia="宋体" w:cs="Times New Roman"/>
                <w:b/>
                <w:color w:val="auto"/>
                <w:szCs w:val="21"/>
              </w:rPr>
            </w:pPr>
          </w:p>
        </w:tc>
        <w:tc>
          <w:tcPr>
            <w:tcW w:w="1104" w:type="dxa"/>
            <w:vAlign w:val="center"/>
          </w:tcPr>
          <w:p>
            <w:pPr>
              <w:ind w:left="-21" w:leftChars="-10" w:right="-21" w:rightChars="-10"/>
              <w:jc w:val="center"/>
              <w:rPr>
                <w:rFonts w:ascii="宋体" w:hAnsi="宋体" w:eastAsia="宋体" w:cs="Times New Roman"/>
                <w:b/>
                <w:color w:val="auto"/>
                <w:szCs w:val="21"/>
              </w:rPr>
            </w:pPr>
            <w:r>
              <w:rPr>
                <w:rFonts w:hint="eastAsia" w:ascii="宋体" w:hAnsi="宋体" w:eastAsia="宋体" w:cs="Times New Roman"/>
                <w:b/>
                <w:color w:val="auto"/>
                <w:szCs w:val="21"/>
              </w:rPr>
              <w:t>企业实力</w:t>
            </w:r>
          </w:p>
        </w:tc>
        <w:tc>
          <w:tcPr>
            <w:tcW w:w="563" w:type="dxa"/>
            <w:vAlign w:val="center"/>
          </w:tcPr>
          <w:p>
            <w:pPr>
              <w:spacing w:line="320" w:lineRule="exact"/>
              <w:ind w:left="-48" w:leftChars="-23" w:right="-35" w:rightChars="-17"/>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5</w:t>
            </w:r>
          </w:p>
        </w:tc>
        <w:tc>
          <w:tcPr>
            <w:tcW w:w="7262" w:type="dxa"/>
            <w:vAlign w:val="center"/>
          </w:tcPr>
          <w:p>
            <w:pPr>
              <w:spacing w:line="320" w:lineRule="exact"/>
              <w:rPr>
                <w:rFonts w:ascii="宋体" w:hAnsi="宋体"/>
                <w:color w:val="auto"/>
                <w:szCs w:val="21"/>
                <w:highlight w:val="none"/>
              </w:rPr>
            </w:pPr>
            <w:r>
              <w:rPr>
                <w:rFonts w:hint="eastAsia" w:ascii="宋体" w:hAnsi="宋体"/>
                <w:color w:val="auto"/>
                <w:szCs w:val="21"/>
                <w:highlight w:val="none"/>
              </w:rPr>
              <w:t>1.投标人是地市级及以上房地产经纪行业协会会员单位的得2分，</w:t>
            </w:r>
            <w:r>
              <w:rPr>
                <w:rFonts w:hint="eastAsia" w:ascii="宋体" w:hAnsi="宋体"/>
                <w:b/>
                <w:color w:val="auto"/>
                <w:szCs w:val="21"/>
                <w:highlight w:val="none"/>
              </w:rPr>
              <w:t>需提供有效证明材料，</w:t>
            </w:r>
            <w:r>
              <w:rPr>
                <w:rFonts w:hint="eastAsia" w:ascii="宋体" w:hAnsi="宋体" w:eastAsia="宋体" w:cs="宋体"/>
                <w:b/>
                <w:bCs/>
                <w:color w:val="auto"/>
                <w:highlight w:val="none"/>
              </w:rPr>
              <w:t>且证明材料须提供真彩扫描打印件。</w:t>
            </w:r>
          </w:p>
          <w:p>
            <w:pPr>
              <w:spacing w:line="320" w:lineRule="exact"/>
              <w:rPr>
                <w:rFonts w:ascii="宋体" w:hAnsi="宋体"/>
                <w:color w:val="auto"/>
                <w:szCs w:val="21"/>
                <w:highlight w:val="none"/>
              </w:rPr>
            </w:pPr>
            <w:r>
              <w:rPr>
                <w:rFonts w:hint="eastAsia" w:ascii="宋体" w:hAnsi="宋体"/>
                <w:color w:val="auto"/>
                <w:szCs w:val="21"/>
                <w:highlight w:val="none"/>
              </w:rPr>
              <w:t>2.投标人拟派的项目组成员（项目负责人除外）具有房地产经纪人从业资格证的，每提供一个得0.5分，最高得3分，</w:t>
            </w:r>
            <w:r>
              <w:rPr>
                <w:rFonts w:hint="eastAsia" w:ascii="宋体" w:hAnsi="宋体"/>
                <w:b/>
                <w:color w:val="auto"/>
                <w:szCs w:val="21"/>
                <w:highlight w:val="none"/>
              </w:rPr>
              <w:t>需提供资格证书和社保证明等有效证明材料，</w:t>
            </w:r>
            <w:r>
              <w:rPr>
                <w:rFonts w:hint="eastAsia" w:ascii="宋体" w:hAnsi="宋体" w:eastAsia="宋体" w:cs="宋体"/>
                <w:b/>
                <w:bCs/>
                <w:color w:val="auto"/>
                <w:highlight w:val="none"/>
              </w:rPr>
              <w:t>且证明材料须提供真彩扫描打印件。</w:t>
            </w:r>
          </w:p>
        </w:tc>
        <w:tc>
          <w:tcPr>
            <w:tcW w:w="725" w:type="dxa"/>
            <w:vAlign w:val="center"/>
          </w:tcPr>
          <w:p>
            <w:pPr>
              <w:spacing w:line="320" w:lineRule="exact"/>
              <w:ind w:left="-65" w:leftChars="-31" w:right="-35" w:rightChars="-17"/>
              <w:jc w:val="right"/>
              <w:rPr>
                <w:rFonts w:ascii="宋体" w:hAnsi="宋体" w:eastAsia="宋体"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489" w:type="dxa"/>
            <w:vMerge w:val="continue"/>
            <w:vAlign w:val="center"/>
          </w:tcPr>
          <w:p>
            <w:pPr>
              <w:numPr>
                <w:ilvl w:val="0"/>
                <w:numId w:val="57"/>
              </w:numPr>
              <w:tabs>
                <w:tab w:val="left" w:pos="322"/>
              </w:tabs>
              <w:spacing w:line="320" w:lineRule="exact"/>
              <w:ind w:left="-42" w:right="-42" w:rightChars="-20" w:firstLine="0"/>
              <w:jc w:val="right"/>
              <w:rPr>
                <w:rFonts w:ascii="宋体" w:hAnsi="宋体" w:eastAsia="宋体" w:cs="Times New Roman"/>
                <w:b/>
                <w:color w:val="auto"/>
                <w:szCs w:val="21"/>
              </w:rPr>
            </w:pPr>
          </w:p>
        </w:tc>
        <w:tc>
          <w:tcPr>
            <w:tcW w:w="1104" w:type="dxa"/>
            <w:vMerge w:val="restart"/>
            <w:vAlign w:val="center"/>
          </w:tcPr>
          <w:p>
            <w:pPr>
              <w:ind w:left="-21" w:leftChars="-10" w:right="-21" w:rightChars="-10"/>
              <w:jc w:val="center"/>
              <w:rPr>
                <w:rFonts w:ascii="宋体" w:hAnsi="宋体" w:eastAsia="宋体" w:cs="Times New Roman"/>
                <w:b/>
                <w:color w:val="auto"/>
                <w:szCs w:val="21"/>
              </w:rPr>
            </w:pPr>
            <w:r>
              <w:rPr>
                <w:rFonts w:ascii="宋体" w:hAnsi="宋体" w:eastAsia="宋体" w:cs="Times New Roman"/>
                <w:b/>
                <w:color w:val="auto"/>
                <w:szCs w:val="21"/>
              </w:rPr>
              <w:t>类似项目</w:t>
            </w:r>
          </w:p>
          <w:p>
            <w:pPr>
              <w:ind w:left="-21" w:leftChars="-10" w:right="-21" w:rightChars="-10"/>
              <w:jc w:val="center"/>
              <w:rPr>
                <w:rFonts w:ascii="宋体" w:hAnsi="宋体" w:eastAsia="宋体" w:cs="Times New Roman"/>
                <w:b/>
                <w:color w:val="auto"/>
                <w:szCs w:val="21"/>
              </w:rPr>
            </w:pPr>
            <w:r>
              <w:rPr>
                <w:rFonts w:hint="eastAsia" w:ascii="宋体" w:hAnsi="宋体" w:eastAsia="宋体" w:cs="Times New Roman"/>
                <w:b/>
                <w:color w:val="auto"/>
                <w:szCs w:val="21"/>
              </w:rPr>
              <w:t>成功案例</w:t>
            </w: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15</w:t>
            </w:r>
          </w:p>
        </w:tc>
        <w:tc>
          <w:tcPr>
            <w:tcW w:w="7262" w:type="dxa"/>
            <w:vAlign w:val="center"/>
          </w:tcPr>
          <w:p>
            <w:pPr>
              <w:rPr>
                <w:rFonts w:ascii="宋体" w:hAnsi="宋体"/>
                <w:color w:val="auto"/>
                <w:szCs w:val="21"/>
              </w:rPr>
            </w:pPr>
            <w:r>
              <w:rPr>
                <w:rFonts w:hint="eastAsia" w:ascii="宋体" w:hAnsi="宋体" w:eastAsia="宋体" w:cs="宋体"/>
                <w:color w:val="auto"/>
              </w:rPr>
              <w:t>投标人近三年（2016年6月至今）承担过10万㎡及以上的住宅楼全过程营销策划及代理销售类似项目成功案例，每提供一个得5分，</w:t>
            </w:r>
            <w:r>
              <w:rPr>
                <w:rFonts w:hint="eastAsia" w:ascii="宋体" w:hAnsi="宋体" w:eastAsia="宋体" w:cs="宋体"/>
                <w:bCs/>
                <w:color w:val="auto"/>
              </w:rPr>
              <w:t>最高得15分，</w:t>
            </w:r>
            <w:r>
              <w:rPr>
                <w:rFonts w:hint="eastAsia" w:ascii="宋体" w:hAnsi="宋体" w:eastAsia="宋体" w:cs="宋体"/>
                <w:b/>
                <w:bCs/>
                <w:color w:val="auto"/>
              </w:rPr>
              <w:t>需提供合同等有效证明材料，且证明材料须提供真彩扫描打印件。</w:t>
            </w:r>
          </w:p>
        </w:tc>
        <w:tc>
          <w:tcPr>
            <w:tcW w:w="725" w:type="dxa"/>
            <w:vAlign w:val="center"/>
          </w:tcPr>
          <w:p>
            <w:pPr>
              <w:spacing w:line="320" w:lineRule="exact"/>
              <w:ind w:left="-65" w:leftChars="-31" w:right="-35" w:rightChars="-17"/>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489" w:type="dxa"/>
            <w:vMerge w:val="continue"/>
            <w:vAlign w:val="center"/>
          </w:tcPr>
          <w:p>
            <w:pPr>
              <w:numPr>
                <w:ilvl w:val="0"/>
                <w:numId w:val="57"/>
              </w:numPr>
              <w:tabs>
                <w:tab w:val="left" w:pos="322"/>
              </w:tabs>
              <w:spacing w:line="320" w:lineRule="exact"/>
              <w:ind w:left="-42" w:right="-42" w:rightChars="-20" w:firstLine="0"/>
              <w:jc w:val="right"/>
              <w:rPr>
                <w:rFonts w:ascii="宋体" w:hAnsi="宋体" w:eastAsia="宋体" w:cs="Times New Roman"/>
                <w:b/>
                <w:color w:val="auto"/>
                <w:szCs w:val="21"/>
              </w:rPr>
            </w:pPr>
          </w:p>
        </w:tc>
        <w:tc>
          <w:tcPr>
            <w:tcW w:w="1104" w:type="dxa"/>
            <w:vMerge w:val="continue"/>
            <w:vAlign w:val="center"/>
          </w:tcPr>
          <w:p>
            <w:pPr>
              <w:ind w:left="-21" w:leftChars="-10" w:right="-21" w:rightChars="-10"/>
              <w:jc w:val="center"/>
              <w:rPr>
                <w:rFonts w:ascii="宋体" w:hAnsi="宋体" w:eastAsia="宋体" w:cs="Times New Roman"/>
                <w:b/>
                <w:color w:val="auto"/>
                <w:szCs w:val="21"/>
              </w:rPr>
            </w:pP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10</w:t>
            </w:r>
          </w:p>
        </w:tc>
        <w:tc>
          <w:tcPr>
            <w:tcW w:w="7262" w:type="dxa"/>
            <w:vAlign w:val="center"/>
          </w:tcPr>
          <w:p>
            <w:pPr>
              <w:spacing w:line="320" w:lineRule="exact"/>
              <w:rPr>
                <w:rFonts w:ascii="宋体" w:hAnsi="宋体"/>
                <w:color w:val="auto"/>
                <w:szCs w:val="21"/>
              </w:rPr>
            </w:pPr>
            <w:r>
              <w:rPr>
                <w:rFonts w:hint="eastAsia" w:ascii="宋体" w:hAnsi="宋体" w:cs="宋体"/>
                <w:color w:val="auto"/>
                <w:kern w:val="0"/>
                <w:szCs w:val="21"/>
              </w:rPr>
              <w:t>投标人</w:t>
            </w:r>
            <w:r>
              <w:rPr>
                <w:rFonts w:hint="eastAsia" w:ascii="宋体" w:hAnsi="宋体" w:eastAsia="宋体" w:cs="宋体"/>
                <w:color w:val="auto"/>
                <w:kern w:val="0"/>
                <w:szCs w:val="21"/>
              </w:rPr>
              <w:t>近三年</w:t>
            </w:r>
            <w:r>
              <w:rPr>
                <w:rFonts w:hint="eastAsia" w:ascii="宋体" w:hAnsi="宋体" w:cs="宋体"/>
                <w:color w:val="auto"/>
                <w:kern w:val="0"/>
                <w:szCs w:val="21"/>
              </w:rPr>
              <w:t>（2016年6月至今）</w:t>
            </w:r>
            <w:r>
              <w:rPr>
                <w:rFonts w:hint="eastAsia" w:ascii="宋体" w:hAnsi="宋体" w:eastAsia="宋体" w:cs="宋体"/>
                <w:color w:val="auto"/>
              </w:rPr>
              <w:t>承担过国企或上市房企住宅楼全过程营销策划及代理销售类似项目成功案例，每提供一个得5分；承担过其他单位住宅楼全过程营销策划及代理销售类似项目成功案例，每提供一个得2分，</w:t>
            </w:r>
            <w:r>
              <w:rPr>
                <w:rFonts w:hint="eastAsia" w:ascii="宋体" w:hAnsi="宋体" w:eastAsia="宋体" w:cs="宋体"/>
                <w:bCs/>
                <w:color w:val="auto"/>
              </w:rPr>
              <w:t>本项最高得10分，</w:t>
            </w:r>
            <w:r>
              <w:rPr>
                <w:rFonts w:hint="eastAsia" w:ascii="宋体" w:hAnsi="宋体" w:eastAsia="宋体" w:cs="宋体"/>
                <w:b/>
                <w:bCs/>
                <w:color w:val="auto"/>
              </w:rPr>
              <w:t>需提供合同等有效证明材料，且证明材料须提供真彩扫描打印件。</w:t>
            </w:r>
          </w:p>
        </w:tc>
        <w:tc>
          <w:tcPr>
            <w:tcW w:w="725" w:type="dxa"/>
            <w:vAlign w:val="center"/>
          </w:tcPr>
          <w:p>
            <w:pPr>
              <w:spacing w:line="320" w:lineRule="exact"/>
              <w:ind w:left="-65" w:leftChars="-31" w:right="-35" w:rightChars="-17"/>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489" w:type="dxa"/>
            <w:vMerge w:val="continue"/>
            <w:vAlign w:val="center"/>
          </w:tcPr>
          <w:p>
            <w:pPr>
              <w:numPr>
                <w:ilvl w:val="0"/>
                <w:numId w:val="57"/>
              </w:numPr>
              <w:tabs>
                <w:tab w:val="left" w:pos="322"/>
              </w:tabs>
              <w:spacing w:line="320" w:lineRule="exact"/>
              <w:ind w:left="-42" w:right="-42" w:rightChars="-20" w:firstLine="0"/>
              <w:jc w:val="right"/>
              <w:rPr>
                <w:rFonts w:ascii="宋体" w:hAnsi="宋体" w:eastAsia="宋体" w:cs="Times New Roman"/>
                <w:b/>
                <w:color w:val="auto"/>
                <w:szCs w:val="21"/>
              </w:rPr>
            </w:pPr>
          </w:p>
        </w:tc>
        <w:tc>
          <w:tcPr>
            <w:tcW w:w="1104" w:type="dxa"/>
            <w:vAlign w:val="center"/>
          </w:tcPr>
          <w:p>
            <w:pPr>
              <w:ind w:left="-21" w:leftChars="-10" w:right="-21" w:rightChars="-10"/>
              <w:jc w:val="center"/>
              <w:rPr>
                <w:rFonts w:ascii="宋体" w:hAnsi="宋体" w:eastAsia="宋体" w:cs="Times New Roman"/>
                <w:b/>
                <w:color w:val="auto"/>
                <w:szCs w:val="21"/>
              </w:rPr>
            </w:pPr>
            <w:r>
              <w:rPr>
                <w:rFonts w:hint="eastAsia" w:ascii="宋体" w:hAnsi="宋体" w:eastAsia="宋体" w:cs="Times New Roman"/>
                <w:b/>
                <w:color w:val="auto"/>
                <w:szCs w:val="21"/>
              </w:rPr>
              <w:t>人员及机构设置</w:t>
            </w: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3</w:t>
            </w:r>
          </w:p>
        </w:tc>
        <w:tc>
          <w:tcPr>
            <w:tcW w:w="7262" w:type="dxa"/>
            <w:vAlign w:val="center"/>
          </w:tcPr>
          <w:p>
            <w:pPr>
              <w:spacing w:line="320" w:lineRule="exact"/>
              <w:rPr>
                <w:rFonts w:ascii="宋体" w:hAnsi="宋体"/>
                <w:color w:val="auto"/>
                <w:szCs w:val="21"/>
              </w:rPr>
            </w:pPr>
            <w:r>
              <w:rPr>
                <w:rFonts w:hint="eastAsia" w:eastAsia="宋体"/>
                <w:color w:val="auto"/>
                <w:szCs w:val="21"/>
              </w:rPr>
              <w:t>根据投标人针对本项目的</w:t>
            </w:r>
            <w:r>
              <w:rPr>
                <w:rFonts w:eastAsia="宋体"/>
                <w:color w:val="auto"/>
                <w:szCs w:val="21"/>
              </w:rPr>
              <w:t>机构</w:t>
            </w:r>
            <w:r>
              <w:rPr>
                <w:rFonts w:hint="eastAsia" w:eastAsia="宋体"/>
                <w:color w:val="auto"/>
                <w:szCs w:val="21"/>
              </w:rPr>
              <w:t>设置情况、管理制度</w:t>
            </w:r>
            <w:r>
              <w:rPr>
                <w:rFonts w:eastAsia="宋体"/>
                <w:color w:val="auto"/>
                <w:szCs w:val="21"/>
              </w:rPr>
              <w:t>、人员</w:t>
            </w:r>
            <w:r>
              <w:rPr>
                <w:rFonts w:hint="eastAsia" w:eastAsia="宋体"/>
                <w:color w:val="auto"/>
                <w:szCs w:val="21"/>
              </w:rPr>
              <w:t>配备情况（</w:t>
            </w:r>
            <w:r>
              <w:rPr>
                <w:rFonts w:eastAsia="宋体"/>
                <w:color w:val="auto"/>
                <w:szCs w:val="21"/>
              </w:rPr>
              <w:t>签约人员</w:t>
            </w:r>
            <w:r>
              <w:rPr>
                <w:rFonts w:hint="eastAsia" w:eastAsia="宋体"/>
                <w:color w:val="auto"/>
                <w:szCs w:val="21"/>
              </w:rPr>
              <w:t>、</w:t>
            </w:r>
            <w:r>
              <w:rPr>
                <w:rFonts w:eastAsia="宋体"/>
                <w:color w:val="auto"/>
                <w:szCs w:val="21"/>
              </w:rPr>
              <w:t>渠道管理</w:t>
            </w:r>
            <w:r>
              <w:rPr>
                <w:rFonts w:hint="eastAsia" w:eastAsia="宋体"/>
                <w:color w:val="auto"/>
                <w:szCs w:val="21"/>
              </w:rPr>
              <w:t>人员</w:t>
            </w:r>
            <w:r>
              <w:rPr>
                <w:rFonts w:eastAsia="宋体"/>
                <w:color w:val="auto"/>
                <w:szCs w:val="21"/>
              </w:rPr>
              <w:t>、广告管理</w:t>
            </w:r>
            <w:r>
              <w:rPr>
                <w:rFonts w:hint="eastAsia" w:eastAsia="宋体"/>
                <w:color w:val="auto"/>
                <w:szCs w:val="21"/>
              </w:rPr>
              <w:t>人员</w:t>
            </w:r>
            <w:r>
              <w:rPr>
                <w:rFonts w:eastAsia="宋体"/>
                <w:color w:val="auto"/>
                <w:szCs w:val="21"/>
              </w:rPr>
              <w:t>、销售秘书等</w:t>
            </w:r>
            <w:r>
              <w:rPr>
                <w:rFonts w:hint="eastAsia" w:eastAsia="宋体"/>
                <w:color w:val="auto"/>
                <w:szCs w:val="21"/>
              </w:rPr>
              <w:t>）等情况</w:t>
            </w:r>
            <w:r>
              <w:rPr>
                <w:rFonts w:hint="eastAsia" w:ascii="宋体" w:hAnsi="宋体"/>
                <w:color w:val="auto"/>
                <w:szCs w:val="21"/>
              </w:rPr>
              <w:t>进行横向比较排名，第一名得3分，第二名得2分，第三名得1分，以此类推</w:t>
            </w:r>
            <w:r>
              <w:rPr>
                <w:rFonts w:hint="eastAsia" w:ascii="宋体" w:hAnsi="宋体" w:eastAsia="宋体" w:cs="宋体"/>
                <w:color w:val="auto"/>
              </w:rPr>
              <w:t>，</w:t>
            </w:r>
            <w:r>
              <w:rPr>
                <w:rFonts w:hint="eastAsia" w:ascii="宋体" w:hAnsi="宋体" w:eastAsia="宋体" w:cs="宋体"/>
                <w:b/>
                <w:bCs/>
                <w:color w:val="auto"/>
              </w:rPr>
              <w:t>需提供劳动合同、人员证书、社保证明等有效证明材料，且证明材料须提供真彩扫描打印件。</w:t>
            </w:r>
          </w:p>
        </w:tc>
        <w:tc>
          <w:tcPr>
            <w:tcW w:w="725" w:type="dxa"/>
            <w:vAlign w:val="center"/>
          </w:tcPr>
          <w:p>
            <w:pPr>
              <w:spacing w:line="320" w:lineRule="exact"/>
              <w:ind w:left="-65" w:leftChars="-31" w:right="-35" w:rightChars="-17"/>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489" w:type="dxa"/>
            <w:vMerge w:val="continue"/>
            <w:vAlign w:val="center"/>
          </w:tcPr>
          <w:p>
            <w:pPr>
              <w:numPr>
                <w:ilvl w:val="0"/>
                <w:numId w:val="57"/>
              </w:numPr>
              <w:tabs>
                <w:tab w:val="left" w:pos="322"/>
              </w:tabs>
              <w:spacing w:line="320" w:lineRule="exact"/>
              <w:ind w:left="-42" w:right="-42" w:rightChars="-20" w:firstLine="0"/>
              <w:jc w:val="right"/>
              <w:rPr>
                <w:rFonts w:ascii="宋体" w:hAnsi="宋体" w:eastAsia="宋体" w:cs="Times New Roman"/>
                <w:b/>
                <w:color w:val="auto"/>
                <w:szCs w:val="21"/>
              </w:rPr>
            </w:pPr>
          </w:p>
        </w:tc>
        <w:tc>
          <w:tcPr>
            <w:tcW w:w="1104" w:type="dxa"/>
            <w:vAlign w:val="center"/>
          </w:tcPr>
          <w:p>
            <w:pPr>
              <w:ind w:left="-21" w:leftChars="-10" w:right="-21" w:rightChars="-10"/>
              <w:jc w:val="center"/>
              <w:rPr>
                <w:rFonts w:ascii="宋体" w:hAnsi="宋体" w:eastAsia="宋体" w:cs="Times New Roman"/>
                <w:b/>
                <w:color w:val="auto"/>
                <w:szCs w:val="21"/>
              </w:rPr>
            </w:pPr>
            <w:r>
              <w:rPr>
                <w:rFonts w:hint="eastAsia" w:ascii="宋体" w:hAnsi="宋体" w:eastAsia="宋体" w:cs="Times New Roman"/>
                <w:b/>
                <w:color w:val="auto"/>
                <w:szCs w:val="21"/>
              </w:rPr>
              <w:t>销售计划承诺</w:t>
            </w: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10</w:t>
            </w:r>
          </w:p>
        </w:tc>
        <w:tc>
          <w:tcPr>
            <w:tcW w:w="7262" w:type="dxa"/>
            <w:vAlign w:val="center"/>
          </w:tcPr>
          <w:p>
            <w:pPr>
              <w:spacing w:line="320" w:lineRule="exact"/>
              <w:rPr>
                <w:rFonts w:ascii="宋体" w:hAnsi="宋体" w:eastAsia="宋体" w:cs="宋体"/>
                <w:color w:val="auto"/>
                <w:kern w:val="0"/>
                <w:szCs w:val="21"/>
              </w:rPr>
            </w:pPr>
            <w:r>
              <w:rPr>
                <w:rFonts w:hint="eastAsia" w:ascii="宋体" w:hAnsi="宋体" w:eastAsia="宋体" w:cs="宋体"/>
                <w:color w:val="auto"/>
                <w:kern w:val="0"/>
                <w:szCs w:val="21"/>
              </w:rPr>
              <w:t>1、当批次开盘2个月内销售率</w:t>
            </w:r>
            <w:r>
              <w:rPr>
                <w:color w:val="auto"/>
                <w:szCs w:val="21"/>
              </w:rPr>
              <w:t>≥</w:t>
            </w:r>
            <w:r>
              <w:rPr>
                <w:rFonts w:hint="eastAsia"/>
                <w:color w:val="auto"/>
                <w:szCs w:val="21"/>
              </w:rPr>
              <w:t>60</w:t>
            </w:r>
            <w:r>
              <w:rPr>
                <w:color w:val="auto"/>
                <w:szCs w:val="21"/>
              </w:rPr>
              <w:t>%</w:t>
            </w:r>
            <w:r>
              <w:rPr>
                <w:rFonts w:hint="eastAsia"/>
                <w:color w:val="auto"/>
                <w:szCs w:val="21"/>
              </w:rPr>
              <w:t>得2分（达不到该要求作废标处理），在此基础上每提高1%奖1分，最多奖3分</w:t>
            </w:r>
          </w:p>
          <w:p>
            <w:pPr>
              <w:spacing w:line="320" w:lineRule="exact"/>
              <w:rPr>
                <w:rFonts w:ascii="宋体" w:hAnsi="宋体" w:cs="宋体"/>
                <w:color w:val="auto"/>
                <w:kern w:val="0"/>
                <w:szCs w:val="21"/>
              </w:rPr>
            </w:pPr>
            <w:r>
              <w:rPr>
                <w:rFonts w:hint="eastAsia" w:ascii="宋体" w:hAnsi="宋体" w:eastAsia="宋体" w:cs="宋体"/>
                <w:color w:val="auto"/>
                <w:kern w:val="0"/>
                <w:szCs w:val="21"/>
              </w:rPr>
              <w:t>2、开盘18个月销售率</w:t>
            </w:r>
            <w:r>
              <w:rPr>
                <w:color w:val="auto"/>
                <w:szCs w:val="21"/>
              </w:rPr>
              <w:t>≥</w:t>
            </w:r>
            <w:r>
              <w:rPr>
                <w:rFonts w:hint="eastAsia"/>
                <w:color w:val="auto"/>
                <w:szCs w:val="21"/>
              </w:rPr>
              <w:t>95</w:t>
            </w:r>
            <w:r>
              <w:rPr>
                <w:color w:val="auto"/>
                <w:szCs w:val="21"/>
              </w:rPr>
              <w:t>%</w:t>
            </w:r>
            <w:r>
              <w:rPr>
                <w:rFonts w:hint="eastAsia"/>
                <w:color w:val="auto"/>
                <w:szCs w:val="21"/>
              </w:rPr>
              <w:t>得2分（达不到该要求作废标处理），在此基础上每提高1%奖1分，最多奖3分</w:t>
            </w:r>
          </w:p>
        </w:tc>
        <w:tc>
          <w:tcPr>
            <w:tcW w:w="725" w:type="dxa"/>
            <w:vAlign w:val="center"/>
          </w:tcPr>
          <w:p>
            <w:pPr>
              <w:spacing w:line="320" w:lineRule="exact"/>
              <w:ind w:left="-65" w:leftChars="-31" w:right="-35" w:rightChars="-17"/>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489" w:type="dxa"/>
            <w:vMerge w:val="continue"/>
            <w:vAlign w:val="center"/>
          </w:tcPr>
          <w:p>
            <w:pPr>
              <w:numPr>
                <w:ilvl w:val="0"/>
                <w:numId w:val="57"/>
              </w:numPr>
              <w:tabs>
                <w:tab w:val="left" w:pos="322"/>
              </w:tabs>
              <w:spacing w:line="320" w:lineRule="exact"/>
              <w:ind w:left="-42" w:right="-42" w:rightChars="-20" w:firstLine="0"/>
              <w:jc w:val="right"/>
              <w:rPr>
                <w:rFonts w:ascii="宋体" w:hAnsi="宋体" w:eastAsia="宋体" w:cs="Times New Roman"/>
                <w:b/>
                <w:color w:val="auto"/>
                <w:szCs w:val="21"/>
              </w:rPr>
            </w:pPr>
          </w:p>
        </w:tc>
        <w:tc>
          <w:tcPr>
            <w:tcW w:w="1104" w:type="dxa"/>
            <w:vMerge w:val="restart"/>
            <w:vAlign w:val="center"/>
          </w:tcPr>
          <w:p>
            <w:pPr>
              <w:ind w:left="-21" w:leftChars="-10" w:right="-21" w:rightChars="-10"/>
              <w:jc w:val="center"/>
              <w:rPr>
                <w:rFonts w:ascii="宋体" w:hAnsi="宋体" w:eastAsia="宋体" w:cs="Times New Roman"/>
                <w:b/>
                <w:color w:val="auto"/>
                <w:szCs w:val="21"/>
              </w:rPr>
            </w:pPr>
            <w:r>
              <w:rPr>
                <w:rFonts w:hint="eastAsia" w:ascii="宋体" w:hAnsi="宋体" w:eastAsia="宋体" w:cs="Times New Roman"/>
                <w:b/>
                <w:color w:val="auto"/>
                <w:szCs w:val="21"/>
              </w:rPr>
              <w:t>其他承诺及保障计划</w:t>
            </w: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1</w:t>
            </w:r>
          </w:p>
        </w:tc>
        <w:tc>
          <w:tcPr>
            <w:tcW w:w="7262" w:type="dxa"/>
            <w:vAlign w:val="center"/>
          </w:tcPr>
          <w:p>
            <w:pPr>
              <w:spacing w:line="320" w:lineRule="exact"/>
              <w:rPr>
                <w:rFonts w:ascii="宋体" w:hAnsi="宋体" w:eastAsia="宋体"/>
                <w:color w:val="auto"/>
                <w:szCs w:val="21"/>
              </w:rPr>
            </w:pPr>
            <w:r>
              <w:rPr>
                <w:rFonts w:hint="eastAsia" w:ascii="宋体" w:hAnsi="宋体" w:eastAsia="宋体" w:cs="宋体"/>
                <w:color w:val="auto"/>
                <w:kern w:val="0"/>
                <w:szCs w:val="21"/>
              </w:rPr>
              <w:t>投标人承诺“</w:t>
            </w:r>
            <w:r>
              <w:rPr>
                <w:rFonts w:hint="eastAsia" w:ascii="宋体" w:hAnsi="宋体" w:cs="宋体"/>
                <w:color w:val="auto"/>
                <w:kern w:val="0"/>
                <w:szCs w:val="21"/>
              </w:rPr>
              <w:t>可</w:t>
            </w:r>
            <w:r>
              <w:rPr>
                <w:rFonts w:hint="eastAsia" w:ascii="宋体" w:hAnsi="宋体" w:eastAsia="宋体" w:cs="宋体"/>
                <w:color w:val="auto"/>
                <w:kern w:val="0"/>
                <w:szCs w:val="21"/>
              </w:rPr>
              <w:t>按采购人</w:t>
            </w:r>
            <w:r>
              <w:rPr>
                <w:rFonts w:hint="eastAsia" w:ascii="宋体" w:hAnsi="宋体" w:cs="宋体"/>
                <w:color w:val="auto"/>
                <w:kern w:val="0"/>
                <w:szCs w:val="21"/>
              </w:rPr>
              <w:t>意愿</w:t>
            </w:r>
            <w:r>
              <w:rPr>
                <w:rFonts w:hint="eastAsia" w:ascii="宋体" w:hAnsi="宋体" w:eastAsia="宋体" w:cs="宋体"/>
                <w:color w:val="auto"/>
                <w:kern w:val="0"/>
                <w:szCs w:val="21"/>
              </w:rPr>
              <w:t>更换或增派现场对接工作人员”的得1分，</w:t>
            </w:r>
            <w:r>
              <w:rPr>
                <w:rFonts w:hint="eastAsia" w:ascii="宋体" w:hAnsi="宋体" w:eastAsia="宋体" w:cs="宋体"/>
                <w:b/>
                <w:bCs/>
                <w:color w:val="auto"/>
                <w:kern w:val="0"/>
                <w:szCs w:val="21"/>
              </w:rPr>
              <w:t>需提供承诺书真彩扫描打印件。</w:t>
            </w:r>
          </w:p>
        </w:tc>
        <w:tc>
          <w:tcPr>
            <w:tcW w:w="725" w:type="dxa"/>
            <w:vAlign w:val="center"/>
          </w:tcPr>
          <w:p>
            <w:pPr>
              <w:spacing w:line="320" w:lineRule="exact"/>
              <w:ind w:left="-65" w:leftChars="-31" w:right="-35" w:rightChars="-17"/>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489" w:type="dxa"/>
            <w:vMerge w:val="continue"/>
            <w:vAlign w:val="center"/>
          </w:tcPr>
          <w:p>
            <w:pPr>
              <w:numPr>
                <w:ilvl w:val="0"/>
                <w:numId w:val="57"/>
              </w:numPr>
              <w:tabs>
                <w:tab w:val="left" w:pos="322"/>
              </w:tabs>
              <w:spacing w:line="320" w:lineRule="exact"/>
              <w:ind w:left="-42" w:right="-42" w:rightChars="-20" w:firstLine="0"/>
              <w:jc w:val="right"/>
              <w:rPr>
                <w:rFonts w:ascii="宋体" w:hAnsi="宋体" w:eastAsia="宋体" w:cs="Times New Roman"/>
                <w:b/>
                <w:color w:val="auto"/>
                <w:szCs w:val="21"/>
              </w:rPr>
            </w:pPr>
          </w:p>
        </w:tc>
        <w:tc>
          <w:tcPr>
            <w:tcW w:w="1104" w:type="dxa"/>
            <w:vMerge w:val="continue"/>
            <w:vAlign w:val="center"/>
          </w:tcPr>
          <w:p>
            <w:pPr>
              <w:ind w:left="-21" w:leftChars="-10" w:right="-21" w:rightChars="-10"/>
              <w:jc w:val="center"/>
              <w:rPr>
                <w:rFonts w:ascii="宋体" w:hAnsi="宋体" w:eastAsia="宋体" w:cs="Times New Roman"/>
                <w:b/>
                <w:color w:val="auto"/>
                <w:szCs w:val="21"/>
              </w:rPr>
            </w:pP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1</w:t>
            </w:r>
          </w:p>
        </w:tc>
        <w:tc>
          <w:tcPr>
            <w:tcW w:w="7262" w:type="dxa"/>
            <w:vAlign w:val="center"/>
          </w:tcPr>
          <w:p>
            <w:pPr>
              <w:spacing w:line="320" w:lineRule="exact"/>
              <w:rPr>
                <w:rFonts w:ascii="宋体" w:hAnsi="宋体" w:eastAsia="宋体"/>
                <w:color w:val="auto"/>
                <w:szCs w:val="21"/>
              </w:rPr>
            </w:pPr>
            <w:r>
              <w:rPr>
                <w:rFonts w:hint="eastAsia" w:ascii="宋体" w:hAnsi="宋体" w:eastAsia="宋体" w:cs="宋体"/>
                <w:color w:val="auto"/>
                <w:kern w:val="0"/>
                <w:szCs w:val="21"/>
              </w:rPr>
              <w:t>投标人承诺“每周定时向采购人汇报策划进度工作推进情况”的得1分，</w:t>
            </w:r>
            <w:r>
              <w:rPr>
                <w:rFonts w:hint="eastAsia" w:ascii="宋体" w:hAnsi="宋体" w:eastAsia="宋体" w:cs="宋体"/>
                <w:b/>
                <w:bCs/>
                <w:color w:val="auto"/>
                <w:kern w:val="0"/>
                <w:szCs w:val="21"/>
              </w:rPr>
              <w:t>需提供承诺书真彩扫描打印件。</w:t>
            </w:r>
          </w:p>
        </w:tc>
        <w:tc>
          <w:tcPr>
            <w:tcW w:w="725" w:type="dxa"/>
            <w:vAlign w:val="center"/>
          </w:tcPr>
          <w:p>
            <w:pPr>
              <w:spacing w:line="320" w:lineRule="exact"/>
              <w:ind w:left="-65" w:leftChars="-31" w:right="-35" w:rightChars="-17"/>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89" w:type="dxa"/>
            <w:vMerge w:val="continue"/>
            <w:vAlign w:val="center"/>
          </w:tcPr>
          <w:p>
            <w:pPr>
              <w:numPr>
                <w:ilvl w:val="0"/>
                <w:numId w:val="57"/>
              </w:numPr>
              <w:tabs>
                <w:tab w:val="left" w:pos="322"/>
              </w:tabs>
              <w:spacing w:line="320" w:lineRule="exact"/>
              <w:ind w:left="-42" w:right="-42" w:rightChars="-20" w:firstLine="0"/>
              <w:jc w:val="right"/>
              <w:rPr>
                <w:rFonts w:ascii="宋体" w:hAnsi="宋体" w:eastAsia="宋体" w:cs="Times New Roman"/>
                <w:b/>
                <w:color w:val="auto"/>
                <w:szCs w:val="21"/>
              </w:rPr>
            </w:pPr>
          </w:p>
        </w:tc>
        <w:tc>
          <w:tcPr>
            <w:tcW w:w="1104" w:type="dxa"/>
            <w:vMerge w:val="continue"/>
            <w:vAlign w:val="center"/>
          </w:tcPr>
          <w:p>
            <w:pPr>
              <w:ind w:left="-21" w:leftChars="-10" w:right="-21" w:rightChars="-10"/>
              <w:jc w:val="center"/>
              <w:rPr>
                <w:rFonts w:ascii="宋体" w:hAnsi="宋体" w:eastAsia="宋体" w:cs="Times New Roman"/>
                <w:b/>
                <w:color w:val="auto"/>
                <w:szCs w:val="21"/>
              </w:rPr>
            </w:pP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3</w:t>
            </w:r>
          </w:p>
        </w:tc>
        <w:tc>
          <w:tcPr>
            <w:tcW w:w="7262" w:type="dxa"/>
            <w:vAlign w:val="center"/>
          </w:tcPr>
          <w:p>
            <w:pPr>
              <w:spacing w:line="320" w:lineRule="exact"/>
              <w:rPr>
                <w:rFonts w:ascii="宋体" w:hAnsi="宋体" w:eastAsia="宋体"/>
                <w:color w:val="auto"/>
                <w:szCs w:val="21"/>
              </w:rPr>
            </w:pPr>
            <w:r>
              <w:rPr>
                <w:rFonts w:hint="eastAsia" w:eastAsia="宋体"/>
                <w:color w:val="auto"/>
              </w:rPr>
              <w:t>根据各投标人</w:t>
            </w:r>
            <w:r>
              <w:rPr>
                <w:rFonts w:eastAsia="宋体"/>
                <w:color w:val="auto"/>
              </w:rPr>
              <w:t>针对本项目制定</w:t>
            </w:r>
            <w:r>
              <w:rPr>
                <w:rFonts w:hint="eastAsia" w:eastAsia="宋体"/>
                <w:color w:val="auto"/>
              </w:rPr>
              <w:t>的</w:t>
            </w:r>
            <w:r>
              <w:rPr>
                <w:rFonts w:eastAsia="宋体"/>
                <w:color w:val="auto"/>
              </w:rPr>
              <w:t>履约保障计划</w:t>
            </w:r>
            <w:r>
              <w:rPr>
                <w:rFonts w:hint="eastAsia"/>
                <w:color w:val="auto"/>
                <w:szCs w:val="21"/>
              </w:rPr>
              <w:t>进行横向比较排名，第一名得3分，第二名得2分，第三名得1分，</w:t>
            </w:r>
            <w:r>
              <w:rPr>
                <w:rFonts w:hint="eastAsia" w:ascii="宋体" w:hAnsi="宋体"/>
                <w:color w:val="auto"/>
                <w:szCs w:val="21"/>
              </w:rPr>
              <w:t>以此类推</w:t>
            </w:r>
            <w:r>
              <w:rPr>
                <w:rFonts w:hint="eastAsia" w:ascii="宋体" w:hAnsi="宋体" w:eastAsia="宋体" w:cs="宋体"/>
                <w:color w:val="auto"/>
              </w:rPr>
              <w:t>，</w:t>
            </w:r>
            <w:r>
              <w:rPr>
                <w:rFonts w:hint="eastAsia"/>
                <w:color w:val="auto"/>
                <w:szCs w:val="21"/>
              </w:rPr>
              <w:t>未提供则不得分。</w:t>
            </w:r>
          </w:p>
        </w:tc>
        <w:tc>
          <w:tcPr>
            <w:tcW w:w="725" w:type="dxa"/>
            <w:vAlign w:val="center"/>
          </w:tcPr>
          <w:p>
            <w:pPr>
              <w:spacing w:line="320" w:lineRule="exact"/>
              <w:ind w:left="-65" w:leftChars="-31" w:right="-35" w:rightChars="-17"/>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156" w:type="dxa"/>
            <w:gridSpan w:val="3"/>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商务分合计</w:t>
            </w:r>
          </w:p>
        </w:tc>
        <w:tc>
          <w:tcPr>
            <w:tcW w:w="7987" w:type="dxa"/>
            <w:gridSpan w:val="2"/>
            <w:vAlign w:val="center"/>
          </w:tcPr>
          <w:p>
            <w:pPr>
              <w:spacing w:line="320" w:lineRule="exact"/>
              <w:jc w:val="center"/>
              <w:rPr>
                <w:rFonts w:ascii="宋体" w:hAnsi="宋体"/>
                <w:b/>
                <w:color w:val="auto"/>
                <w:szCs w:val="21"/>
              </w:rPr>
            </w:pPr>
            <w:r>
              <w:rPr>
                <w:rFonts w:hint="eastAsia" w:ascii="宋体" w:hAnsi="宋体"/>
                <w:b/>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9" w:type="dxa"/>
            <w:vMerge w:val="restart"/>
            <w:shd w:val="pct10" w:color="auto" w:fill="auto"/>
            <w:vAlign w:val="center"/>
          </w:tcPr>
          <w:p>
            <w:pPr>
              <w:tabs>
                <w:tab w:val="left" w:pos="322"/>
              </w:tabs>
              <w:spacing w:line="320" w:lineRule="exact"/>
              <w:ind w:left="-42" w:right="-42" w:rightChars="-20"/>
              <w:jc w:val="center"/>
              <w:rPr>
                <w:rFonts w:ascii="宋体" w:hAnsi="宋体" w:eastAsia="宋体" w:cs="Times New Roman"/>
                <w:b/>
                <w:bCs/>
                <w:color w:val="auto"/>
                <w:szCs w:val="21"/>
              </w:rPr>
            </w:pPr>
            <w:r>
              <w:rPr>
                <w:rFonts w:hint="eastAsia" w:ascii="宋体" w:hAnsi="宋体" w:eastAsia="宋体" w:cs="Times New Roman"/>
                <w:b/>
                <w:bCs/>
                <w:color w:val="auto"/>
                <w:szCs w:val="21"/>
              </w:rPr>
              <w:t>技术服务评议</w:t>
            </w:r>
          </w:p>
          <w:p>
            <w:pPr>
              <w:tabs>
                <w:tab w:val="left" w:pos="322"/>
              </w:tabs>
              <w:spacing w:line="320" w:lineRule="exact"/>
              <w:ind w:left="-42" w:right="-42" w:rightChars="-20"/>
              <w:jc w:val="center"/>
              <w:rPr>
                <w:rFonts w:ascii="宋体" w:hAnsi="宋体" w:eastAsia="宋体" w:cs="Times New Roman"/>
                <w:b/>
                <w:color w:val="auto"/>
                <w:szCs w:val="21"/>
              </w:rPr>
            </w:pPr>
            <w:r>
              <w:rPr>
                <w:rFonts w:hint="eastAsia" w:ascii="宋体" w:hAnsi="宋体" w:eastAsia="宋体" w:cs="Times New Roman"/>
                <w:b/>
                <w:bCs/>
                <w:color w:val="auto"/>
                <w:szCs w:val="21"/>
              </w:rPr>
              <w:t>38分</w:t>
            </w:r>
          </w:p>
        </w:tc>
        <w:tc>
          <w:tcPr>
            <w:tcW w:w="1104" w:type="dxa"/>
            <w:shd w:val="pct10" w:color="auto" w:fill="auto"/>
            <w:vAlign w:val="center"/>
          </w:tcPr>
          <w:p>
            <w:pPr>
              <w:ind w:left="-77" w:leftChars="-37" w:right="-86" w:rightChars="-41"/>
              <w:jc w:val="center"/>
              <w:rPr>
                <w:rFonts w:ascii="宋体" w:hAnsi="宋体" w:eastAsia="宋体" w:cs="Times New Roman"/>
                <w:b/>
                <w:color w:val="auto"/>
                <w:szCs w:val="21"/>
              </w:rPr>
            </w:pPr>
            <w:r>
              <w:rPr>
                <w:rFonts w:hint="eastAsia" w:ascii="宋体" w:hAnsi="宋体" w:eastAsia="宋体" w:cs="Times New Roman"/>
                <w:b/>
                <w:color w:val="auto"/>
                <w:szCs w:val="21"/>
              </w:rPr>
              <w:t>评审因素</w:t>
            </w:r>
          </w:p>
        </w:tc>
        <w:tc>
          <w:tcPr>
            <w:tcW w:w="563" w:type="dxa"/>
            <w:shd w:val="pct10" w:color="auto" w:fill="auto"/>
            <w:vAlign w:val="center"/>
          </w:tcPr>
          <w:p>
            <w:pPr>
              <w:ind w:left="-73" w:leftChars="-35" w:right="-79" w:rightChars="-38"/>
              <w:jc w:val="center"/>
              <w:rPr>
                <w:rFonts w:ascii="宋体" w:hAnsi="宋体" w:eastAsia="宋体" w:cs="Times New Roman"/>
                <w:b/>
                <w:color w:val="auto"/>
                <w:szCs w:val="21"/>
              </w:rPr>
            </w:pPr>
            <w:r>
              <w:rPr>
                <w:rFonts w:hint="eastAsia" w:ascii="宋体" w:hAnsi="宋体" w:eastAsia="宋体" w:cs="Times New Roman"/>
                <w:b/>
                <w:color w:val="auto"/>
                <w:szCs w:val="21"/>
              </w:rPr>
              <w:t>分值</w:t>
            </w:r>
          </w:p>
        </w:tc>
        <w:tc>
          <w:tcPr>
            <w:tcW w:w="7262" w:type="dxa"/>
            <w:shd w:val="pct10" w:color="auto" w:fill="auto"/>
            <w:vAlign w:val="center"/>
          </w:tcPr>
          <w:p>
            <w:pPr>
              <w:spacing w:line="320" w:lineRule="exact"/>
              <w:jc w:val="center"/>
              <w:rPr>
                <w:rFonts w:ascii="宋体" w:hAnsi="宋体"/>
                <w:b/>
                <w:color w:val="auto"/>
                <w:szCs w:val="21"/>
              </w:rPr>
            </w:pPr>
            <w:r>
              <w:rPr>
                <w:rFonts w:hint="eastAsia" w:ascii="宋体" w:hAnsi="宋体"/>
                <w:b/>
                <w:color w:val="auto"/>
                <w:szCs w:val="21"/>
              </w:rPr>
              <w:t>评分标准</w:t>
            </w:r>
          </w:p>
        </w:tc>
        <w:tc>
          <w:tcPr>
            <w:tcW w:w="725" w:type="dxa"/>
            <w:shd w:val="pct10" w:color="auto" w:fill="auto"/>
            <w:vAlign w:val="center"/>
          </w:tcPr>
          <w:p>
            <w:pPr>
              <w:spacing w:line="320" w:lineRule="exact"/>
              <w:jc w:val="center"/>
              <w:rPr>
                <w:rFonts w:ascii="宋体" w:hAnsi="宋体"/>
                <w:b/>
                <w:color w:val="auto"/>
                <w:szCs w:val="21"/>
              </w:rPr>
            </w:pPr>
            <w:r>
              <w:rPr>
                <w:rFonts w:hint="eastAsia" w:ascii="宋体" w:hAnsi="宋体"/>
                <w:b/>
                <w:color w:val="auto"/>
                <w:szCs w:val="21"/>
              </w:rPr>
              <w:t>因素</w:t>
            </w:r>
          </w:p>
          <w:p>
            <w:pPr>
              <w:spacing w:line="320" w:lineRule="exact"/>
              <w:jc w:val="center"/>
              <w:rPr>
                <w:rFonts w:ascii="宋体" w:hAnsi="宋体"/>
                <w:b/>
                <w:color w:val="auto"/>
                <w:szCs w:val="21"/>
              </w:rPr>
            </w:pPr>
            <w:r>
              <w:rPr>
                <w:rFonts w:hint="eastAsia" w:ascii="宋体" w:hAnsi="宋体"/>
                <w:b/>
                <w:color w:val="auto"/>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489" w:type="dxa"/>
            <w:vMerge w:val="continue"/>
            <w:vAlign w:val="center"/>
          </w:tcPr>
          <w:p>
            <w:pPr>
              <w:tabs>
                <w:tab w:val="left" w:pos="322"/>
              </w:tabs>
              <w:spacing w:line="320" w:lineRule="exact"/>
              <w:ind w:left="-42" w:right="-42" w:rightChars="-20"/>
              <w:jc w:val="right"/>
              <w:rPr>
                <w:rFonts w:ascii="宋体" w:hAnsi="宋体" w:eastAsia="宋体" w:cs="Times New Roman"/>
                <w:b/>
                <w:color w:val="auto"/>
                <w:szCs w:val="21"/>
              </w:rPr>
            </w:pPr>
          </w:p>
        </w:tc>
        <w:tc>
          <w:tcPr>
            <w:tcW w:w="1104" w:type="dxa"/>
            <w:vMerge w:val="restart"/>
            <w:vAlign w:val="center"/>
          </w:tcPr>
          <w:p>
            <w:pPr>
              <w:ind w:left="-21" w:leftChars="-10" w:right="-21" w:rightChars="-10"/>
              <w:jc w:val="center"/>
              <w:rPr>
                <w:rFonts w:ascii="宋体" w:hAnsi="宋体" w:eastAsia="宋体" w:cs="Times New Roman"/>
                <w:b/>
                <w:color w:val="auto"/>
                <w:szCs w:val="21"/>
              </w:rPr>
            </w:pPr>
            <w:r>
              <w:rPr>
                <w:rFonts w:hint="eastAsia" w:ascii="宋体" w:hAnsi="宋体" w:eastAsia="宋体" w:cs="Times New Roman"/>
                <w:b/>
                <w:color w:val="auto"/>
                <w:szCs w:val="21"/>
              </w:rPr>
              <w:t>项目营销策划书</w:t>
            </w: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3</w:t>
            </w:r>
          </w:p>
        </w:tc>
        <w:tc>
          <w:tcPr>
            <w:tcW w:w="7262" w:type="dxa"/>
            <w:vAlign w:val="center"/>
          </w:tcPr>
          <w:p>
            <w:pPr>
              <w:spacing w:line="320" w:lineRule="exact"/>
              <w:rPr>
                <w:rFonts w:ascii="宋体" w:hAnsi="宋体"/>
                <w:color w:val="auto"/>
                <w:szCs w:val="21"/>
              </w:rPr>
            </w:pPr>
            <w:r>
              <w:rPr>
                <w:rFonts w:hint="eastAsia" w:eastAsia="宋体"/>
                <w:color w:val="auto"/>
              </w:rPr>
              <w:t>根据各投标人针对本项目提出的区域及整体项目的认识与建议情况</w:t>
            </w:r>
            <w:r>
              <w:rPr>
                <w:rFonts w:hint="eastAsia" w:ascii="宋体" w:hAnsi="宋体"/>
                <w:color w:val="auto"/>
                <w:szCs w:val="21"/>
              </w:rPr>
              <w:t>进行横向比较排名，第一名得3分，第二名得2分，第三名得1分，以此类推。</w:t>
            </w:r>
          </w:p>
        </w:tc>
        <w:tc>
          <w:tcPr>
            <w:tcW w:w="725" w:type="dxa"/>
            <w:vAlign w:val="center"/>
          </w:tcPr>
          <w:p>
            <w:pPr>
              <w:spacing w:line="320" w:lineRule="exact"/>
              <w:ind w:left="-65" w:leftChars="-31" w:right="-35" w:rightChars="-17"/>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489" w:type="dxa"/>
            <w:vMerge w:val="continue"/>
            <w:vAlign w:val="center"/>
          </w:tcPr>
          <w:p>
            <w:pPr>
              <w:tabs>
                <w:tab w:val="left" w:pos="322"/>
              </w:tabs>
              <w:spacing w:line="320" w:lineRule="exact"/>
              <w:ind w:left="-42" w:right="-42" w:rightChars="-20"/>
              <w:jc w:val="right"/>
              <w:rPr>
                <w:rFonts w:ascii="宋体" w:hAnsi="宋体" w:eastAsia="宋体" w:cs="Times New Roman"/>
                <w:b/>
                <w:color w:val="auto"/>
                <w:szCs w:val="21"/>
              </w:rPr>
            </w:pPr>
          </w:p>
        </w:tc>
        <w:tc>
          <w:tcPr>
            <w:tcW w:w="1104" w:type="dxa"/>
            <w:vMerge w:val="continue"/>
            <w:vAlign w:val="center"/>
          </w:tcPr>
          <w:p>
            <w:pPr>
              <w:rPr>
                <w:color w:val="auto"/>
                <w:szCs w:val="21"/>
              </w:rPr>
            </w:pPr>
          </w:p>
        </w:tc>
        <w:tc>
          <w:tcPr>
            <w:tcW w:w="563" w:type="dxa"/>
            <w:vAlign w:val="center"/>
          </w:tcPr>
          <w:p>
            <w:pPr>
              <w:jc w:val="center"/>
              <w:rPr>
                <w:color w:val="auto"/>
                <w:szCs w:val="21"/>
              </w:rPr>
            </w:pPr>
            <w:r>
              <w:rPr>
                <w:rFonts w:hint="eastAsia"/>
                <w:color w:val="auto"/>
                <w:szCs w:val="21"/>
              </w:rPr>
              <w:t>3</w:t>
            </w:r>
          </w:p>
        </w:tc>
        <w:tc>
          <w:tcPr>
            <w:tcW w:w="7262" w:type="dxa"/>
            <w:vAlign w:val="center"/>
          </w:tcPr>
          <w:p>
            <w:pPr>
              <w:rPr>
                <w:color w:val="auto"/>
                <w:szCs w:val="21"/>
              </w:rPr>
            </w:pPr>
            <w:r>
              <w:rPr>
                <w:rFonts w:hint="eastAsia" w:eastAsia="宋体"/>
                <w:color w:val="auto"/>
              </w:rPr>
              <w:t>根据各投标人针对本项目提出的市场风险研判与对策建议情况</w:t>
            </w:r>
            <w:r>
              <w:rPr>
                <w:rFonts w:hint="eastAsia" w:ascii="宋体" w:hAnsi="宋体"/>
                <w:color w:val="auto"/>
                <w:szCs w:val="21"/>
              </w:rPr>
              <w:t>进行横向比较排名，第一名得3分，第二名得2分，第三名得1分，以此类推。</w:t>
            </w:r>
          </w:p>
        </w:tc>
        <w:tc>
          <w:tcPr>
            <w:tcW w:w="725" w:type="dxa"/>
            <w:vAlign w:val="center"/>
          </w:tcPr>
          <w:p>
            <w:pPr>
              <w:spacing w:line="320" w:lineRule="exact"/>
              <w:ind w:left="-65" w:leftChars="-31" w:right="-35" w:rightChars="-17"/>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489" w:type="dxa"/>
            <w:vMerge w:val="continue"/>
            <w:vAlign w:val="center"/>
          </w:tcPr>
          <w:p>
            <w:pPr>
              <w:tabs>
                <w:tab w:val="left" w:pos="322"/>
              </w:tabs>
              <w:spacing w:line="320" w:lineRule="exact"/>
              <w:ind w:left="-42" w:right="-42" w:rightChars="-20"/>
              <w:jc w:val="right"/>
              <w:rPr>
                <w:rFonts w:ascii="宋体" w:hAnsi="宋体" w:eastAsia="宋体" w:cs="Times New Roman"/>
                <w:b/>
                <w:color w:val="auto"/>
                <w:szCs w:val="21"/>
              </w:rPr>
            </w:pPr>
          </w:p>
        </w:tc>
        <w:tc>
          <w:tcPr>
            <w:tcW w:w="1104" w:type="dxa"/>
            <w:vMerge w:val="continue"/>
            <w:vAlign w:val="center"/>
          </w:tcPr>
          <w:p>
            <w:pPr>
              <w:rPr>
                <w:rFonts w:ascii="宋体" w:hAnsi="宋体" w:eastAsia="宋体" w:cs="Times New Roman"/>
                <w:b/>
                <w:color w:val="auto"/>
                <w:szCs w:val="21"/>
              </w:rPr>
            </w:pP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15</w:t>
            </w:r>
          </w:p>
        </w:tc>
        <w:tc>
          <w:tcPr>
            <w:tcW w:w="7262" w:type="dxa"/>
            <w:vAlign w:val="center"/>
          </w:tcPr>
          <w:p>
            <w:pPr>
              <w:spacing w:line="320" w:lineRule="exact"/>
              <w:rPr>
                <w:rFonts w:ascii="宋体" w:hAnsi="宋体"/>
                <w:color w:val="auto"/>
                <w:szCs w:val="21"/>
              </w:rPr>
            </w:pPr>
            <w:r>
              <w:rPr>
                <w:rFonts w:hint="eastAsia" w:eastAsia="宋体"/>
                <w:color w:val="auto"/>
              </w:rPr>
              <w:t>根据各投标人针对本项目提出的营销策略和销售方案</w:t>
            </w:r>
            <w:r>
              <w:rPr>
                <w:rFonts w:hint="eastAsia" w:ascii="宋体" w:hAnsi="宋体"/>
                <w:color w:val="auto"/>
                <w:szCs w:val="21"/>
              </w:rPr>
              <w:t>进行横向比较排名，</w:t>
            </w:r>
            <w:r>
              <w:rPr>
                <w:rFonts w:hint="eastAsia"/>
                <w:color w:val="auto"/>
                <w:szCs w:val="21"/>
              </w:rPr>
              <w:t>第一名得15分，第二名得12分，第三名得9分，第四名6分，第五名3分，未提供则不得分。</w:t>
            </w:r>
          </w:p>
        </w:tc>
        <w:tc>
          <w:tcPr>
            <w:tcW w:w="725" w:type="dxa"/>
            <w:vAlign w:val="center"/>
          </w:tcPr>
          <w:p>
            <w:pPr>
              <w:spacing w:line="320" w:lineRule="exact"/>
              <w:ind w:left="-65" w:leftChars="-31" w:right="-35" w:rightChars="-17"/>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489" w:type="dxa"/>
            <w:vMerge w:val="continue"/>
            <w:vAlign w:val="center"/>
          </w:tcPr>
          <w:p>
            <w:pPr>
              <w:tabs>
                <w:tab w:val="left" w:pos="322"/>
              </w:tabs>
              <w:spacing w:line="320" w:lineRule="exact"/>
              <w:ind w:left="-42" w:right="-42" w:rightChars="-20"/>
              <w:jc w:val="right"/>
              <w:rPr>
                <w:rFonts w:ascii="宋体" w:hAnsi="宋体" w:eastAsia="宋体" w:cs="Times New Roman"/>
                <w:b/>
                <w:color w:val="auto"/>
                <w:szCs w:val="21"/>
              </w:rPr>
            </w:pPr>
          </w:p>
        </w:tc>
        <w:tc>
          <w:tcPr>
            <w:tcW w:w="1104" w:type="dxa"/>
            <w:vMerge w:val="continue"/>
            <w:vAlign w:val="center"/>
          </w:tcPr>
          <w:p>
            <w:pPr>
              <w:rPr>
                <w:color w:val="auto"/>
                <w:szCs w:val="21"/>
              </w:rPr>
            </w:pPr>
          </w:p>
        </w:tc>
        <w:tc>
          <w:tcPr>
            <w:tcW w:w="563" w:type="dxa"/>
            <w:vAlign w:val="center"/>
          </w:tcPr>
          <w:p>
            <w:pPr>
              <w:jc w:val="center"/>
              <w:rPr>
                <w:color w:val="auto"/>
                <w:szCs w:val="21"/>
              </w:rPr>
            </w:pPr>
            <w:r>
              <w:rPr>
                <w:rFonts w:hint="eastAsia"/>
                <w:color w:val="auto"/>
                <w:szCs w:val="21"/>
              </w:rPr>
              <w:t>3</w:t>
            </w:r>
          </w:p>
        </w:tc>
        <w:tc>
          <w:tcPr>
            <w:tcW w:w="7262" w:type="dxa"/>
            <w:vAlign w:val="center"/>
          </w:tcPr>
          <w:p>
            <w:pPr>
              <w:spacing w:line="320" w:lineRule="exact"/>
              <w:rPr>
                <w:color w:val="auto"/>
                <w:szCs w:val="21"/>
              </w:rPr>
            </w:pPr>
            <w:r>
              <w:rPr>
                <w:rFonts w:hint="eastAsia" w:eastAsia="宋体"/>
                <w:color w:val="auto"/>
              </w:rPr>
              <w:t>根据各投标人针对本项目提出的销售渠道的掌控及运用情况</w:t>
            </w:r>
            <w:r>
              <w:rPr>
                <w:rFonts w:hint="eastAsia" w:ascii="宋体" w:hAnsi="宋体"/>
                <w:color w:val="auto"/>
                <w:szCs w:val="21"/>
              </w:rPr>
              <w:t>进行横向比较排名，第一名得3分，第二名得2分，第三名得1分，以此类推。</w:t>
            </w:r>
          </w:p>
        </w:tc>
        <w:tc>
          <w:tcPr>
            <w:tcW w:w="725"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489" w:type="dxa"/>
            <w:vMerge w:val="continue"/>
            <w:vAlign w:val="center"/>
          </w:tcPr>
          <w:p>
            <w:pPr>
              <w:tabs>
                <w:tab w:val="left" w:pos="322"/>
              </w:tabs>
              <w:spacing w:line="320" w:lineRule="exact"/>
              <w:ind w:left="-42" w:right="-42" w:rightChars="-20"/>
              <w:jc w:val="right"/>
              <w:rPr>
                <w:rFonts w:ascii="宋体" w:hAnsi="宋体" w:eastAsia="宋体" w:cs="Times New Roman"/>
                <w:b/>
                <w:color w:val="auto"/>
                <w:szCs w:val="21"/>
              </w:rPr>
            </w:pPr>
          </w:p>
        </w:tc>
        <w:tc>
          <w:tcPr>
            <w:tcW w:w="1104" w:type="dxa"/>
            <w:vMerge w:val="continue"/>
            <w:vAlign w:val="center"/>
          </w:tcPr>
          <w:p>
            <w:pPr>
              <w:rPr>
                <w:rFonts w:ascii="宋体" w:hAnsi="宋体" w:eastAsia="宋体" w:cs="Times New Roman"/>
                <w:b/>
                <w:color w:val="auto"/>
                <w:szCs w:val="21"/>
              </w:rPr>
            </w:pP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3</w:t>
            </w:r>
            <w:bookmarkStart w:id="286" w:name="_GoBack"/>
            <w:bookmarkEnd w:id="286"/>
          </w:p>
        </w:tc>
        <w:tc>
          <w:tcPr>
            <w:tcW w:w="7262" w:type="dxa"/>
            <w:vAlign w:val="center"/>
          </w:tcPr>
          <w:p>
            <w:pPr>
              <w:spacing w:line="320" w:lineRule="exact"/>
              <w:rPr>
                <w:rFonts w:ascii="宋体" w:hAnsi="宋体"/>
                <w:color w:val="auto"/>
                <w:szCs w:val="21"/>
              </w:rPr>
            </w:pPr>
            <w:r>
              <w:rPr>
                <w:rFonts w:hint="eastAsia" w:eastAsia="宋体"/>
                <w:color w:val="auto"/>
              </w:rPr>
              <w:t>根据各投标人针对本项目提出的定位认知及项目销售均价及其销售速度情况</w:t>
            </w:r>
            <w:r>
              <w:rPr>
                <w:rFonts w:hint="eastAsia" w:ascii="宋体" w:hAnsi="宋体"/>
                <w:color w:val="auto"/>
                <w:szCs w:val="21"/>
              </w:rPr>
              <w:t>进行横向比较排名，第一名得3分，第二名得2分，第三名得1分，以此类推。</w:t>
            </w:r>
          </w:p>
        </w:tc>
        <w:tc>
          <w:tcPr>
            <w:tcW w:w="725" w:type="dxa"/>
            <w:vAlign w:val="center"/>
          </w:tcPr>
          <w:p>
            <w:pPr>
              <w:spacing w:line="320" w:lineRule="exact"/>
              <w:ind w:left="-65" w:leftChars="-31" w:right="-35" w:rightChars="-17"/>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489" w:type="dxa"/>
            <w:vMerge w:val="continue"/>
            <w:vAlign w:val="center"/>
          </w:tcPr>
          <w:p>
            <w:pPr>
              <w:tabs>
                <w:tab w:val="left" w:pos="322"/>
              </w:tabs>
              <w:spacing w:line="320" w:lineRule="exact"/>
              <w:ind w:left="-42" w:right="-42" w:rightChars="-20"/>
              <w:jc w:val="right"/>
              <w:rPr>
                <w:rFonts w:ascii="宋体" w:hAnsi="宋体" w:eastAsia="宋体" w:cs="Times New Roman"/>
                <w:b/>
                <w:color w:val="auto"/>
                <w:szCs w:val="21"/>
              </w:rPr>
            </w:pPr>
          </w:p>
        </w:tc>
        <w:tc>
          <w:tcPr>
            <w:tcW w:w="1104" w:type="dxa"/>
            <w:vMerge w:val="continue"/>
            <w:vAlign w:val="center"/>
          </w:tcPr>
          <w:p>
            <w:pPr>
              <w:rPr>
                <w:rFonts w:ascii="宋体" w:hAnsi="宋体" w:eastAsia="宋体" w:cs="Times New Roman"/>
                <w:b/>
                <w:color w:val="auto"/>
                <w:szCs w:val="21"/>
              </w:rPr>
            </w:pPr>
          </w:p>
        </w:tc>
        <w:tc>
          <w:tcPr>
            <w:tcW w:w="563" w:type="dxa"/>
            <w:vMerge w:val="restart"/>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3</w:t>
            </w:r>
          </w:p>
        </w:tc>
        <w:tc>
          <w:tcPr>
            <w:tcW w:w="7262" w:type="dxa"/>
            <w:vMerge w:val="restart"/>
            <w:vAlign w:val="center"/>
          </w:tcPr>
          <w:p>
            <w:pPr>
              <w:spacing w:line="320" w:lineRule="exact"/>
              <w:rPr>
                <w:rFonts w:ascii="宋体" w:hAnsi="宋体"/>
                <w:color w:val="auto"/>
                <w:szCs w:val="21"/>
              </w:rPr>
            </w:pPr>
            <w:r>
              <w:rPr>
                <w:rFonts w:hint="eastAsia" w:eastAsia="宋体"/>
                <w:color w:val="auto"/>
              </w:rPr>
              <w:t>根据各投标人针对本项目提出的重难点问题的专项考虑及解决方案情况</w:t>
            </w:r>
            <w:r>
              <w:rPr>
                <w:rFonts w:hint="eastAsia" w:ascii="宋体" w:hAnsi="宋体"/>
                <w:color w:val="auto"/>
                <w:szCs w:val="21"/>
              </w:rPr>
              <w:t>进行横向比较排名，第一名得3分，第二名得2分，第三名得1分，以此类推。</w:t>
            </w:r>
          </w:p>
        </w:tc>
        <w:tc>
          <w:tcPr>
            <w:tcW w:w="725" w:type="dxa"/>
            <w:vAlign w:val="center"/>
          </w:tcPr>
          <w:p>
            <w:pPr>
              <w:spacing w:line="320" w:lineRule="exact"/>
              <w:ind w:left="-65" w:leftChars="-31" w:right="-35" w:rightChars="-17"/>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489" w:type="dxa"/>
            <w:vMerge w:val="continue"/>
            <w:vAlign w:val="center"/>
          </w:tcPr>
          <w:p>
            <w:pPr>
              <w:tabs>
                <w:tab w:val="left" w:pos="322"/>
              </w:tabs>
              <w:spacing w:line="320" w:lineRule="exact"/>
              <w:ind w:left="-42" w:right="-42" w:rightChars="-20"/>
              <w:jc w:val="right"/>
              <w:rPr>
                <w:rFonts w:ascii="宋体" w:hAnsi="宋体" w:eastAsia="宋体" w:cs="Times New Roman"/>
                <w:b/>
                <w:color w:val="auto"/>
                <w:szCs w:val="21"/>
              </w:rPr>
            </w:pPr>
          </w:p>
        </w:tc>
        <w:tc>
          <w:tcPr>
            <w:tcW w:w="1104" w:type="dxa"/>
            <w:vMerge w:val="continue"/>
            <w:vAlign w:val="center"/>
          </w:tcPr>
          <w:p>
            <w:pPr>
              <w:rPr>
                <w:color w:val="auto"/>
                <w:szCs w:val="21"/>
              </w:rPr>
            </w:pPr>
          </w:p>
        </w:tc>
        <w:tc>
          <w:tcPr>
            <w:tcW w:w="563" w:type="dxa"/>
            <w:vMerge w:val="continue"/>
            <w:vAlign w:val="center"/>
          </w:tcPr>
          <w:p>
            <w:pPr>
              <w:jc w:val="center"/>
              <w:rPr>
                <w:color w:val="auto"/>
                <w:szCs w:val="21"/>
              </w:rPr>
            </w:pPr>
          </w:p>
        </w:tc>
        <w:tc>
          <w:tcPr>
            <w:tcW w:w="7262" w:type="dxa"/>
            <w:vMerge w:val="continue"/>
            <w:vAlign w:val="center"/>
          </w:tcPr>
          <w:p>
            <w:pPr>
              <w:rPr>
                <w:color w:val="auto"/>
                <w:szCs w:val="21"/>
              </w:rPr>
            </w:pPr>
          </w:p>
        </w:tc>
        <w:tc>
          <w:tcPr>
            <w:tcW w:w="725" w:type="dxa"/>
            <w:vAlign w:val="center"/>
          </w:tcPr>
          <w:p>
            <w:pPr>
              <w:spacing w:line="320" w:lineRule="exact"/>
              <w:ind w:left="-65" w:leftChars="-31" w:right="-35" w:rightChars="-17"/>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489" w:type="dxa"/>
            <w:vMerge w:val="continue"/>
            <w:vAlign w:val="center"/>
          </w:tcPr>
          <w:p>
            <w:pPr>
              <w:tabs>
                <w:tab w:val="left" w:pos="322"/>
              </w:tabs>
              <w:spacing w:line="320" w:lineRule="exact"/>
              <w:ind w:left="-42" w:right="-42" w:rightChars="-20"/>
              <w:jc w:val="right"/>
              <w:rPr>
                <w:rFonts w:ascii="宋体" w:hAnsi="宋体" w:eastAsia="宋体" w:cs="Times New Roman"/>
                <w:b/>
                <w:color w:val="auto"/>
                <w:szCs w:val="21"/>
              </w:rPr>
            </w:pPr>
          </w:p>
        </w:tc>
        <w:tc>
          <w:tcPr>
            <w:tcW w:w="1104" w:type="dxa"/>
            <w:vMerge w:val="restart"/>
            <w:vAlign w:val="center"/>
          </w:tcPr>
          <w:p>
            <w:pPr>
              <w:ind w:left="-21" w:leftChars="-10" w:right="-21" w:rightChars="-10"/>
              <w:jc w:val="center"/>
              <w:rPr>
                <w:rFonts w:ascii="宋体" w:hAnsi="宋体" w:eastAsia="宋体" w:cs="Times New Roman"/>
                <w:b/>
                <w:color w:val="auto"/>
                <w:szCs w:val="21"/>
              </w:rPr>
            </w:pPr>
            <w:r>
              <w:rPr>
                <w:rFonts w:hAnsi="宋体" w:eastAsia="宋体"/>
                <w:b/>
                <w:color w:val="auto"/>
              </w:rPr>
              <w:t>项目合作商务书</w:t>
            </w: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4</w:t>
            </w:r>
          </w:p>
        </w:tc>
        <w:tc>
          <w:tcPr>
            <w:tcW w:w="7262" w:type="dxa"/>
            <w:vAlign w:val="center"/>
          </w:tcPr>
          <w:p>
            <w:pPr>
              <w:spacing w:line="320" w:lineRule="exact"/>
              <w:rPr>
                <w:rFonts w:ascii="宋体" w:hAnsi="宋体"/>
                <w:color w:val="auto"/>
                <w:szCs w:val="21"/>
              </w:rPr>
            </w:pPr>
            <w:r>
              <w:rPr>
                <w:rFonts w:hint="eastAsia" w:eastAsia="宋体"/>
                <w:color w:val="auto"/>
              </w:rPr>
              <w:t>根据各投标人针对本项目提出的</w:t>
            </w:r>
            <w:r>
              <w:rPr>
                <w:rFonts w:eastAsia="宋体"/>
                <w:color w:val="auto"/>
                <w:szCs w:val="21"/>
              </w:rPr>
              <w:t>营销服务整体运作流程</w:t>
            </w:r>
            <w:r>
              <w:rPr>
                <w:rFonts w:hint="eastAsia" w:eastAsia="宋体"/>
                <w:color w:val="auto"/>
              </w:rPr>
              <w:t>情况</w:t>
            </w:r>
            <w:r>
              <w:rPr>
                <w:rFonts w:hint="eastAsia" w:ascii="宋体" w:hAnsi="宋体"/>
                <w:color w:val="auto"/>
                <w:szCs w:val="21"/>
              </w:rPr>
              <w:t>进行横向比较排名，第一名得4分，第二名得3分，第三名得2分，以此类推。</w:t>
            </w:r>
          </w:p>
        </w:tc>
        <w:tc>
          <w:tcPr>
            <w:tcW w:w="725" w:type="dxa"/>
            <w:vAlign w:val="center"/>
          </w:tcPr>
          <w:p>
            <w:pPr>
              <w:spacing w:line="320" w:lineRule="exact"/>
              <w:ind w:left="-65" w:leftChars="-31" w:right="-35" w:rightChars="-17"/>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489" w:type="dxa"/>
            <w:vMerge w:val="continue"/>
            <w:vAlign w:val="center"/>
          </w:tcPr>
          <w:p>
            <w:pPr>
              <w:tabs>
                <w:tab w:val="left" w:pos="322"/>
              </w:tabs>
              <w:spacing w:line="320" w:lineRule="exact"/>
              <w:ind w:left="-42" w:right="-42" w:rightChars="-20"/>
              <w:jc w:val="right"/>
              <w:rPr>
                <w:rFonts w:ascii="宋体" w:hAnsi="宋体" w:eastAsia="宋体" w:cs="Times New Roman"/>
                <w:b/>
                <w:color w:val="auto"/>
                <w:szCs w:val="21"/>
              </w:rPr>
            </w:pPr>
          </w:p>
        </w:tc>
        <w:tc>
          <w:tcPr>
            <w:tcW w:w="1104" w:type="dxa"/>
            <w:vMerge w:val="continue"/>
            <w:vAlign w:val="center"/>
          </w:tcPr>
          <w:p>
            <w:pPr>
              <w:ind w:left="-21" w:leftChars="-10" w:right="-21" w:rightChars="-10"/>
              <w:jc w:val="center"/>
              <w:rPr>
                <w:rFonts w:ascii="宋体" w:hAnsi="宋体" w:eastAsia="宋体" w:cs="Times New Roman"/>
                <w:b/>
                <w:color w:val="auto"/>
                <w:szCs w:val="21"/>
              </w:rPr>
            </w:pPr>
          </w:p>
        </w:tc>
        <w:tc>
          <w:tcPr>
            <w:tcW w:w="563" w:type="dxa"/>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4</w:t>
            </w:r>
          </w:p>
        </w:tc>
        <w:tc>
          <w:tcPr>
            <w:tcW w:w="7262" w:type="dxa"/>
            <w:vAlign w:val="center"/>
          </w:tcPr>
          <w:p>
            <w:pPr>
              <w:spacing w:line="320" w:lineRule="exact"/>
              <w:rPr>
                <w:rFonts w:ascii="宋体" w:hAnsi="宋体"/>
                <w:color w:val="auto"/>
                <w:szCs w:val="21"/>
              </w:rPr>
            </w:pPr>
            <w:r>
              <w:rPr>
                <w:rFonts w:hint="eastAsia" w:eastAsia="宋体"/>
                <w:color w:val="auto"/>
              </w:rPr>
              <w:t>根据各投标人针对本项目提出的</w:t>
            </w:r>
            <w:r>
              <w:rPr>
                <w:rFonts w:eastAsia="宋体"/>
                <w:color w:val="auto"/>
                <w:szCs w:val="21"/>
              </w:rPr>
              <w:t>销售配合机制建立及专项保障</w:t>
            </w:r>
            <w:r>
              <w:rPr>
                <w:rFonts w:hint="eastAsia" w:eastAsia="宋体"/>
                <w:color w:val="auto"/>
              </w:rPr>
              <w:t>情况</w:t>
            </w:r>
            <w:r>
              <w:rPr>
                <w:rFonts w:hint="eastAsia" w:ascii="宋体" w:hAnsi="宋体"/>
                <w:color w:val="auto"/>
                <w:szCs w:val="21"/>
              </w:rPr>
              <w:t>进行横向比较排名，第一名得4分，第二名得3分，第三名得2分，以此类推。</w:t>
            </w:r>
          </w:p>
        </w:tc>
        <w:tc>
          <w:tcPr>
            <w:tcW w:w="725" w:type="dxa"/>
            <w:vAlign w:val="center"/>
          </w:tcPr>
          <w:p>
            <w:pPr>
              <w:spacing w:line="320" w:lineRule="exact"/>
              <w:ind w:left="-65" w:leftChars="-31" w:right="-35" w:rightChars="-17"/>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56" w:type="dxa"/>
            <w:gridSpan w:val="3"/>
            <w:vAlign w:val="center"/>
          </w:tcPr>
          <w:p>
            <w:pPr>
              <w:spacing w:line="320" w:lineRule="exact"/>
              <w:ind w:left="-48" w:leftChars="-23"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技术分合计</w:t>
            </w:r>
          </w:p>
        </w:tc>
        <w:tc>
          <w:tcPr>
            <w:tcW w:w="7987" w:type="dxa"/>
            <w:gridSpan w:val="2"/>
            <w:vAlign w:val="center"/>
          </w:tcPr>
          <w:p>
            <w:pPr>
              <w:spacing w:line="320" w:lineRule="exact"/>
              <w:ind w:left="-65" w:leftChars="-31" w:right="-35" w:rightChars="-17"/>
              <w:jc w:val="center"/>
              <w:rPr>
                <w:rFonts w:ascii="宋体" w:hAnsi="宋体" w:eastAsia="宋体" w:cs="Times New Roman"/>
                <w:b/>
                <w:color w:val="auto"/>
                <w:szCs w:val="21"/>
              </w:rPr>
            </w:pPr>
            <w:r>
              <w:rPr>
                <w:rFonts w:hint="eastAsia" w:ascii="宋体" w:hAnsi="宋体" w:eastAsia="宋体" w:cs="Times New Roman"/>
                <w:b/>
                <w:color w:val="auto"/>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jc w:val="center"/>
        </w:trPr>
        <w:tc>
          <w:tcPr>
            <w:tcW w:w="489" w:type="dxa"/>
            <w:vAlign w:val="center"/>
          </w:tcPr>
          <w:p>
            <w:pPr>
              <w:ind w:left="-77" w:leftChars="-37" w:right="-86" w:rightChars="-41"/>
              <w:jc w:val="center"/>
              <w:rPr>
                <w:rFonts w:ascii="宋体" w:hAnsi="宋体" w:eastAsia="宋体" w:cs="Times New Roman"/>
                <w:b/>
                <w:bCs/>
                <w:color w:val="auto"/>
                <w:szCs w:val="21"/>
              </w:rPr>
            </w:pPr>
            <w:r>
              <w:rPr>
                <w:rFonts w:hint="eastAsia" w:ascii="宋体" w:hAnsi="宋体" w:eastAsia="宋体" w:cs="Times New Roman"/>
                <w:b/>
                <w:bCs/>
                <w:color w:val="auto"/>
                <w:szCs w:val="21"/>
              </w:rPr>
              <w:t>价格评议12分</w:t>
            </w:r>
          </w:p>
        </w:tc>
        <w:tc>
          <w:tcPr>
            <w:tcW w:w="1104" w:type="dxa"/>
            <w:vAlign w:val="center"/>
          </w:tcPr>
          <w:p>
            <w:pPr>
              <w:ind w:left="-77" w:leftChars="-37" w:right="-86" w:rightChars="-41"/>
              <w:jc w:val="center"/>
              <w:rPr>
                <w:rFonts w:ascii="宋体" w:hAnsi="宋体" w:eastAsia="宋体" w:cs="Times New Roman"/>
                <w:b/>
                <w:color w:val="auto"/>
                <w:szCs w:val="21"/>
              </w:rPr>
            </w:pPr>
            <w:r>
              <w:rPr>
                <w:rFonts w:hint="eastAsia" w:ascii="宋体" w:hAnsi="宋体" w:eastAsia="宋体" w:cs="Times New Roman"/>
                <w:b/>
                <w:color w:val="auto"/>
                <w:szCs w:val="21"/>
              </w:rPr>
              <w:t>销售代理服务费</w:t>
            </w:r>
          </w:p>
          <w:p>
            <w:pPr>
              <w:ind w:left="-77" w:leftChars="-37" w:right="-86" w:rightChars="-41"/>
              <w:jc w:val="center"/>
              <w:rPr>
                <w:rFonts w:ascii="宋体" w:hAnsi="宋体" w:eastAsia="宋体" w:cs="Times New Roman"/>
                <w:b/>
                <w:bCs/>
                <w:color w:val="auto"/>
                <w:szCs w:val="21"/>
              </w:rPr>
            </w:pPr>
            <w:r>
              <w:rPr>
                <w:rFonts w:hint="eastAsia" w:ascii="宋体" w:hAnsi="宋体" w:eastAsia="宋体" w:cs="Times New Roman"/>
                <w:b/>
                <w:color w:val="auto"/>
                <w:szCs w:val="21"/>
              </w:rPr>
              <w:t>（含策划费）</w:t>
            </w:r>
          </w:p>
        </w:tc>
        <w:tc>
          <w:tcPr>
            <w:tcW w:w="563" w:type="dxa"/>
            <w:vAlign w:val="center"/>
          </w:tcPr>
          <w:p>
            <w:pPr>
              <w:spacing w:line="320" w:lineRule="exact"/>
              <w:jc w:val="center"/>
              <w:rPr>
                <w:rFonts w:ascii="宋体" w:hAnsi="宋体" w:eastAsia="宋体" w:cs="Times New Roman"/>
                <w:color w:val="auto"/>
                <w:kern w:val="0"/>
                <w:szCs w:val="21"/>
              </w:rPr>
            </w:pPr>
            <w:r>
              <w:rPr>
                <w:rFonts w:hint="eastAsia" w:ascii="宋体" w:hAnsi="宋体" w:eastAsia="宋体" w:cs="Times New Roman"/>
                <w:b/>
                <w:bCs/>
                <w:color w:val="auto"/>
                <w:kern w:val="0"/>
                <w:szCs w:val="21"/>
              </w:rPr>
              <w:t>12</w:t>
            </w:r>
          </w:p>
        </w:tc>
        <w:tc>
          <w:tcPr>
            <w:tcW w:w="7987" w:type="dxa"/>
            <w:gridSpan w:val="2"/>
            <w:vAlign w:val="center"/>
          </w:tcPr>
          <w:p>
            <w:pPr>
              <w:adjustRightInd w:val="0"/>
              <w:snapToGrid w:val="0"/>
              <w:rPr>
                <w:rFonts w:ascii="宋体" w:hAnsi="宋体" w:eastAsia="宋体" w:cs="Times New Roman"/>
                <w:bCs/>
                <w:color w:val="auto"/>
                <w:szCs w:val="21"/>
              </w:rPr>
            </w:pPr>
            <w:r>
              <w:rPr>
                <w:rFonts w:hint="eastAsia" w:ascii="宋体" w:hAnsi="宋体" w:eastAsia="宋体" w:cs="Times New Roman"/>
                <w:bCs/>
                <w:color w:val="auto"/>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12。计算时保留两位小数。为保证产品质量，投标报价低于采购预算80%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156" w:type="dxa"/>
            <w:gridSpan w:val="3"/>
            <w:vAlign w:val="center"/>
          </w:tcPr>
          <w:p>
            <w:pPr>
              <w:spacing w:line="32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报价分合计</w:t>
            </w:r>
          </w:p>
        </w:tc>
        <w:tc>
          <w:tcPr>
            <w:tcW w:w="7987" w:type="dxa"/>
            <w:gridSpan w:val="2"/>
            <w:vAlign w:val="center"/>
          </w:tcPr>
          <w:p>
            <w:pPr>
              <w:adjustRightInd w:val="0"/>
              <w:snapToGrid w:val="0"/>
              <w:jc w:val="center"/>
              <w:rPr>
                <w:rFonts w:ascii="宋体" w:hAnsi="宋体" w:eastAsia="宋体" w:cs="Times New Roman"/>
                <w:b/>
                <w:color w:val="auto"/>
                <w:szCs w:val="21"/>
              </w:rPr>
            </w:pPr>
            <w:r>
              <w:rPr>
                <w:rFonts w:hint="eastAsia" w:ascii="宋体" w:hAnsi="宋体" w:eastAsia="宋体" w:cs="Times New Roman"/>
                <w:b/>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156" w:type="dxa"/>
            <w:gridSpan w:val="3"/>
            <w:vAlign w:val="center"/>
          </w:tcPr>
          <w:p>
            <w:pPr>
              <w:spacing w:line="32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得分总计</w:t>
            </w:r>
          </w:p>
        </w:tc>
        <w:tc>
          <w:tcPr>
            <w:tcW w:w="7987" w:type="dxa"/>
            <w:gridSpan w:val="2"/>
            <w:vAlign w:val="center"/>
          </w:tcPr>
          <w:p>
            <w:pPr>
              <w:adjustRightInd w:val="0"/>
              <w:snapToGrid w:val="0"/>
              <w:jc w:val="center"/>
              <w:rPr>
                <w:rFonts w:ascii="宋体" w:hAnsi="宋体" w:eastAsia="宋体" w:cs="Times New Roman"/>
                <w:b/>
                <w:color w:val="auto"/>
                <w:szCs w:val="21"/>
              </w:rPr>
            </w:pPr>
            <w:r>
              <w:rPr>
                <w:rFonts w:hint="eastAsia" w:ascii="宋体" w:hAnsi="宋体" w:eastAsia="宋体" w:cs="Times New Roman"/>
                <w:b/>
                <w:color w:val="auto"/>
                <w:szCs w:val="21"/>
              </w:rPr>
              <w:t>100</w:t>
            </w:r>
          </w:p>
        </w:tc>
      </w:tr>
    </w:tbl>
    <w:p>
      <w:pPr>
        <w:rPr>
          <w:color w:val="auto"/>
        </w:rPr>
      </w:pPr>
    </w:p>
    <w:p>
      <w:pPr>
        <w:rPr>
          <w:color w:val="auto"/>
        </w:rPr>
      </w:pPr>
      <w:r>
        <w:rPr>
          <w:color w:val="auto"/>
        </w:rPr>
        <w:br w:type="page"/>
      </w:r>
    </w:p>
    <w:p>
      <w:pPr>
        <w:pStyle w:val="2"/>
        <w:numPr>
          <w:ilvl w:val="0"/>
          <w:numId w:val="1"/>
        </w:numPr>
        <w:jc w:val="center"/>
        <w:rPr>
          <w:rFonts w:ascii="黑体" w:hAnsi="黑体" w:eastAsia="黑体"/>
          <w:color w:val="auto"/>
        </w:rPr>
      </w:pPr>
      <w:bookmarkStart w:id="70" w:name="_Toc7982"/>
      <w:bookmarkStart w:id="71" w:name="_Toc494721093"/>
      <w:bookmarkStart w:id="72" w:name="_Toc494702263"/>
      <w:bookmarkStart w:id="73" w:name="_Toc494664993"/>
      <w:bookmarkStart w:id="74" w:name="_Toc494745310"/>
      <w:bookmarkStart w:id="75" w:name="_Toc494665943"/>
      <w:bookmarkStart w:id="76" w:name="_Toc494665546"/>
      <w:r>
        <w:rPr>
          <w:rFonts w:hint="eastAsia" w:ascii="黑体" w:hAnsi="黑体" w:eastAsia="黑体"/>
          <w:color w:val="auto"/>
        </w:rPr>
        <w:t>合同书格式</w:t>
      </w:r>
      <w:bookmarkEnd w:id="70"/>
      <w:bookmarkEnd w:id="71"/>
      <w:bookmarkEnd w:id="72"/>
      <w:bookmarkEnd w:id="73"/>
      <w:bookmarkEnd w:id="74"/>
      <w:bookmarkEnd w:id="75"/>
      <w:bookmarkEnd w:id="76"/>
    </w:p>
    <w:p>
      <w:pPr>
        <w:spacing w:line="360" w:lineRule="auto"/>
        <w:ind w:firstLine="480" w:firstLineChars="200"/>
        <w:rPr>
          <w:color w:val="auto"/>
          <w:sz w:val="24"/>
          <w:szCs w:val="24"/>
        </w:rPr>
      </w:pPr>
      <w:r>
        <w:rPr>
          <w:rFonts w:hint="eastAsia"/>
          <w:color w:val="auto"/>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djustRightInd w:val="0"/>
        <w:snapToGrid w:val="0"/>
        <w:spacing w:before="60" w:after="60" w:line="300" w:lineRule="auto"/>
        <w:jc w:val="center"/>
        <w:rPr>
          <w:b/>
          <w:color w:val="auto"/>
          <w:sz w:val="32"/>
          <w:szCs w:val="32"/>
        </w:rPr>
      </w:pPr>
      <w:r>
        <w:rPr>
          <w:b/>
          <w:color w:val="auto"/>
          <w:sz w:val="32"/>
          <w:szCs w:val="32"/>
        </w:rPr>
        <w:t>第一部分  协议书格式</w:t>
      </w:r>
    </w:p>
    <w:p>
      <w:pPr>
        <w:adjustRightInd w:val="0"/>
        <w:snapToGrid w:val="0"/>
        <w:spacing w:line="300" w:lineRule="auto"/>
        <w:rPr>
          <w:color w:val="auto"/>
          <w:sz w:val="24"/>
        </w:rPr>
      </w:pPr>
    </w:p>
    <w:p>
      <w:pPr>
        <w:adjustRightInd w:val="0"/>
        <w:snapToGrid w:val="0"/>
        <w:spacing w:line="500" w:lineRule="exact"/>
        <w:rPr>
          <w:color w:val="auto"/>
          <w:sz w:val="24"/>
        </w:rPr>
      </w:pPr>
      <w:r>
        <w:rPr>
          <w:color w:val="auto"/>
          <w:sz w:val="24"/>
        </w:rPr>
        <w:t>发包人（全称）_________________________（简称甲方）</w:t>
      </w:r>
    </w:p>
    <w:p>
      <w:pPr>
        <w:tabs>
          <w:tab w:val="left" w:pos="630"/>
        </w:tabs>
        <w:adjustRightInd w:val="0"/>
        <w:snapToGrid w:val="0"/>
        <w:spacing w:line="500" w:lineRule="exact"/>
        <w:rPr>
          <w:color w:val="auto"/>
          <w:sz w:val="24"/>
        </w:rPr>
      </w:pPr>
      <w:r>
        <w:rPr>
          <w:color w:val="auto"/>
          <w:sz w:val="24"/>
        </w:rPr>
        <w:t xml:space="preserve">承包人（全称）_________________________（简称乙方） </w:t>
      </w:r>
    </w:p>
    <w:p>
      <w:pPr>
        <w:adjustRightInd w:val="0"/>
        <w:snapToGrid w:val="0"/>
        <w:spacing w:line="500" w:lineRule="exact"/>
        <w:jc w:val="left"/>
        <w:rPr>
          <w:color w:val="auto"/>
          <w:sz w:val="24"/>
          <w:szCs w:val="16"/>
        </w:rPr>
      </w:pPr>
    </w:p>
    <w:p>
      <w:pPr>
        <w:adjustRightInd w:val="0"/>
        <w:snapToGrid w:val="0"/>
        <w:spacing w:line="500" w:lineRule="exact"/>
        <w:ind w:firstLine="480" w:firstLineChars="200"/>
        <w:jc w:val="left"/>
        <w:rPr>
          <w:color w:val="auto"/>
          <w:sz w:val="24"/>
          <w:szCs w:val="24"/>
        </w:rPr>
      </w:pPr>
      <w:r>
        <w:rPr>
          <w:color w:val="auto"/>
          <w:sz w:val="24"/>
          <w:szCs w:val="24"/>
        </w:rPr>
        <w:t>依照《中华人民共和国合同法》、《中华人民共和国建筑法》及其他有关法律、行政法规，遵循平等、自愿、公平和诚实信用的原则，双方就本项目营销策划及销售代理事项协商一致，订立本合同。</w:t>
      </w:r>
    </w:p>
    <w:p>
      <w:pPr>
        <w:numPr>
          <w:ilvl w:val="0"/>
          <w:numId w:val="58"/>
        </w:numPr>
        <w:adjustRightInd w:val="0"/>
        <w:snapToGrid w:val="0"/>
        <w:spacing w:line="500" w:lineRule="exact"/>
        <w:jc w:val="left"/>
        <w:rPr>
          <w:b/>
          <w:color w:val="auto"/>
          <w:sz w:val="24"/>
          <w:szCs w:val="24"/>
        </w:rPr>
      </w:pPr>
      <w:r>
        <w:rPr>
          <w:b/>
          <w:color w:val="auto"/>
          <w:sz w:val="24"/>
          <w:szCs w:val="24"/>
        </w:rPr>
        <w:t>项目名称</w:t>
      </w:r>
    </w:p>
    <w:p>
      <w:pPr>
        <w:adjustRightInd w:val="0"/>
        <w:snapToGrid w:val="0"/>
        <w:spacing w:line="500" w:lineRule="exact"/>
        <w:ind w:firstLine="480" w:firstLineChars="200"/>
        <w:jc w:val="left"/>
        <w:rPr>
          <w:b/>
          <w:color w:val="auto"/>
          <w:sz w:val="24"/>
          <w:szCs w:val="24"/>
        </w:rPr>
      </w:pPr>
      <w:r>
        <w:rPr>
          <w:rFonts w:hint="eastAsia" w:ascii="宋体" w:hAnsi="宋体" w:eastAsia="宋体" w:cs="Times New Roman"/>
          <w:color w:val="auto"/>
          <w:sz w:val="24"/>
          <w:szCs w:val="24"/>
        </w:rPr>
        <w:t>阳新县王龙港项目策划销售代理服务</w:t>
      </w:r>
    </w:p>
    <w:p>
      <w:pPr>
        <w:adjustRightInd w:val="0"/>
        <w:snapToGrid w:val="0"/>
        <w:spacing w:line="500" w:lineRule="exact"/>
        <w:jc w:val="left"/>
        <w:rPr>
          <w:b/>
          <w:color w:val="auto"/>
          <w:sz w:val="24"/>
          <w:szCs w:val="24"/>
        </w:rPr>
      </w:pPr>
      <w:r>
        <w:rPr>
          <w:b/>
          <w:color w:val="auto"/>
          <w:sz w:val="24"/>
          <w:szCs w:val="24"/>
        </w:rPr>
        <w:t xml:space="preserve">二、项目服务范围 </w:t>
      </w:r>
    </w:p>
    <w:p>
      <w:pPr>
        <w:adjustRightInd w:val="0"/>
        <w:snapToGrid w:val="0"/>
        <w:spacing w:line="5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阳新县王龙港项目策划销售代理服务</w:t>
      </w:r>
    </w:p>
    <w:p>
      <w:pPr>
        <w:adjustRightInd w:val="0"/>
        <w:snapToGrid w:val="0"/>
        <w:spacing w:line="500" w:lineRule="exact"/>
        <w:rPr>
          <w:b/>
          <w:color w:val="auto"/>
        </w:rPr>
      </w:pPr>
      <w:r>
        <w:rPr>
          <w:b/>
          <w:color w:val="auto"/>
          <w:sz w:val="24"/>
          <w:szCs w:val="24"/>
        </w:rPr>
        <w:t>三、合同服务期限</w:t>
      </w:r>
    </w:p>
    <w:p>
      <w:pPr>
        <w:adjustRightInd w:val="0"/>
        <w:snapToGrid w:val="0"/>
        <w:spacing w:line="500" w:lineRule="exact"/>
        <w:ind w:firstLine="480" w:firstLineChars="200"/>
        <w:jc w:val="left"/>
        <w:rPr>
          <w:color w:val="auto"/>
          <w:sz w:val="24"/>
          <w:szCs w:val="24"/>
        </w:rPr>
      </w:pPr>
      <w:r>
        <w:rPr>
          <w:color w:val="auto"/>
          <w:sz w:val="24"/>
          <w:szCs w:val="24"/>
        </w:rPr>
        <w:t>自合同签署生效之日起</w:t>
      </w:r>
      <w:r>
        <w:rPr>
          <w:rFonts w:hint="eastAsia"/>
          <w:color w:val="auto"/>
          <w:sz w:val="24"/>
          <w:u w:val="single"/>
        </w:rPr>
        <w:t xml:space="preserve">     </w:t>
      </w:r>
      <w:r>
        <w:rPr>
          <w:color w:val="auto"/>
          <w:sz w:val="24"/>
          <w:szCs w:val="24"/>
        </w:rPr>
        <w:t>个月为止。在上述服务期限内，销售率达到可售房源</w:t>
      </w:r>
      <w:r>
        <w:rPr>
          <w:rFonts w:hint="eastAsia"/>
          <w:color w:val="auto"/>
          <w:sz w:val="24"/>
          <w:szCs w:val="24"/>
          <w:u w:val="single"/>
        </w:rPr>
        <w:t xml:space="preserve">   </w:t>
      </w:r>
      <w:r>
        <w:rPr>
          <w:color w:val="auto"/>
          <w:sz w:val="24"/>
          <w:szCs w:val="24"/>
        </w:rPr>
        <w:t>%。</w:t>
      </w:r>
    </w:p>
    <w:p>
      <w:pPr>
        <w:adjustRightInd w:val="0"/>
        <w:snapToGrid w:val="0"/>
        <w:spacing w:line="500" w:lineRule="exact"/>
        <w:jc w:val="left"/>
        <w:rPr>
          <w:b/>
          <w:color w:val="auto"/>
          <w:sz w:val="24"/>
          <w:szCs w:val="24"/>
        </w:rPr>
      </w:pPr>
      <w:r>
        <w:rPr>
          <w:b/>
          <w:color w:val="auto"/>
          <w:sz w:val="24"/>
          <w:szCs w:val="24"/>
        </w:rPr>
        <w:t>四、合同价款</w:t>
      </w:r>
    </w:p>
    <w:p>
      <w:pPr>
        <w:adjustRightInd w:val="0"/>
        <w:snapToGrid w:val="0"/>
        <w:spacing w:line="500" w:lineRule="exact"/>
        <w:ind w:firstLine="480" w:firstLineChars="200"/>
        <w:jc w:val="left"/>
        <w:rPr>
          <w:color w:val="auto"/>
          <w:sz w:val="24"/>
          <w:szCs w:val="24"/>
        </w:rPr>
      </w:pPr>
      <w:r>
        <w:rPr>
          <w:rFonts w:hint="eastAsia" w:ascii="宋体" w:hAnsi="宋体" w:eastAsia="宋体" w:cs="Times New Roman"/>
          <w:bCs/>
          <w:color w:val="auto"/>
          <w:sz w:val="24"/>
          <w:szCs w:val="24"/>
        </w:rPr>
        <w:t>销售代理服务费（含策划费）</w:t>
      </w:r>
      <w:r>
        <w:rPr>
          <w:color w:val="auto"/>
          <w:sz w:val="24"/>
          <w:szCs w:val="24"/>
        </w:rPr>
        <w:t>为全款全额到账的住宅购房款的</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r>
        <w:rPr>
          <w:color w:val="auto"/>
          <w:sz w:val="24"/>
          <w:szCs w:val="24"/>
        </w:rPr>
        <w:t>％</w:t>
      </w:r>
      <w:r>
        <w:rPr>
          <w:rFonts w:hint="eastAsia"/>
          <w:color w:val="auto"/>
          <w:sz w:val="24"/>
          <w:szCs w:val="24"/>
        </w:rPr>
        <w:t>。</w:t>
      </w:r>
    </w:p>
    <w:p>
      <w:pPr>
        <w:adjustRightInd w:val="0"/>
        <w:snapToGrid w:val="0"/>
        <w:spacing w:line="500" w:lineRule="exact"/>
        <w:jc w:val="left"/>
        <w:rPr>
          <w:b/>
          <w:color w:val="auto"/>
          <w:sz w:val="24"/>
          <w:szCs w:val="24"/>
        </w:rPr>
      </w:pPr>
      <w:r>
        <w:rPr>
          <w:b/>
          <w:color w:val="auto"/>
          <w:sz w:val="24"/>
          <w:szCs w:val="24"/>
        </w:rPr>
        <w:t>五、组成合同的文件</w:t>
      </w:r>
    </w:p>
    <w:p>
      <w:pPr>
        <w:adjustRightInd w:val="0"/>
        <w:snapToGrid w:val="0"/>
        <w:spacing w:line="500" w:lineRule="exact"/>
        <w:ind w:firstLine="480" w:firstLineChars="200"/>
        <w:jc w:val="left"/>
        <w:rPr>
          <w:color w:val="auto"/>
          <w:sz w:val="24"/>
          <w:szCs w:val="24"/>
        </w:rPr>
      </w:pPr>
      <w:r>
        <w:rPr>
          <w:color w:val="auto"/>
          <w:sz w:val="24"/>
          <w:szCs w:val="24"/>
        </w:rPr>
        <w:t>组成本合同的文件包括：</w:t>
      </w:r>
    </w:p>
    <w:p>
      <w:pPr>
        <w:adjustRightInd w:val="0"/>
        <w:snapToGrid w:val="0"/>
        <w:spacing w:line="500" w:lineRule="exact"/>
        <w:ind w:firstLine="679" w:firstLineChars="283"/>
        <w:jc w:val="left"/>
        <w:rPr>
          <w:color w:val="auto"/>
          <w:sz w:val="24"/>
          <w:szCs w:val="24"/>
        </w:rPr>
      </w:pPr>
      <w:r>
        <w:rPr>
          <w:color w:val="auto"/>
          <w:sz w:val="24"/>
          <w:szCs w:val="24"/>
        </w:rPr>
        <w:t xml:space="preserve">1、本合同协议书 </w:t>
      </w:r>
    </w:p>
    <w:p>
      <w:pPr>
        <w:adjustRightInd w:val="0"/>
        <w:snapToGrid w:val="0"/>
        <w:spacing w:line="500" w:lineRule="exact"/>
        <w:ind w:firstLine="679" w:firstLineChars="283"/>
        <w:jc w:val="left"/>
        <w:rPr>
          <w:color w:val="auto"/>
          <w:sz w:val="24"/>
          <w:szCs w:val="24"/>
        </w:rPr>
      </w:pPr>
      <w:r>
        <w:rPr>
          <w:color w:val="auto"/>
          <w:sz w:val="24"/>
          <w:szCs w:val="24"/>
        </w:rPr>
        <w:t>2、本合同条款</w:t>
      </w:r>
    </w:p>
    <w:p>
      <w:pPr>
        <w:adjustRightInd w:val="0"/>
        <w:snapToGrid w:val="0"/>
        <w:spacing w:line="500" w:lineRule="exact"/>
        <w:ind w:firstLine="720" w:firstLineChars="300"/>
        <w:jc w:val="left"/>
        <w:rPr>
          <w:b/>
          <w:color w:val="auto"/>
          <w:sz w:val="24"/>
          <w:szCs w:val="24"/>
        </w:rPr>
      </w:pPr>
      <w:r>
        <w:rPr>
          <w:color w:val="auto"/>
          <w:sz w:val="24"/>
          <w:szCs w:val="24"/>
        </w:rPr>
        <w:t>双方有关洽商、变更等书面协议或文件视为本合同的组成部分。</w:t>
      </w:r>
    </w:p>
    <w:p>
      <w:pPr>
        <w:adjustRightInd w:val="0"/>
        <w:snapToGrid w:val="0"/>
        <w:spacing w:line="500" w:lineRule="exact"/>
        <w:jc w:val="left"/>
        <w:rPr>
          <w:b/>
          <w:color w:val="auto"/>
          <w:sz w:val="24"/>
          <w:szCs w:val="24"/>
        </w:rPr>
      </w:pPr>
      <w:r>
        <w:rPr>
          <w:b/>
          <w:color w:val="auto"/>
          <w:sz w:val="24"/>
          <w:szCs w:val="24"/>
        </w:rPr>
        <w:t>六、承包人向发包人承诺按照合同约定进行策划营销。</w:t>
      </w:r>
    </w:p>
    <w:p>
      <w:pPr>
        <w:adjustRightInd w:val="0"/>
        <w:snapToGrid w:val="0"/>
        <w:spacing w:line="500" w:lineRule="exact"/>
        <w:jc w:val="left"/>
        <w:rPr>
          <w:b/>
          <w:color w:val="auto"/>
          <w:sz w:val="24"/>
          <w:szCs w:val="24"/>
        </w:rPr>
      </w:pPr>
      <w:r>
        <w:rPr>
          <w:b/>
          <w:color w:val="auto"/>
          <w:sz w:val="24"/>
          <w:szCs w:val="24"/>
        </w:rPr>
        <w:t>七、发包人向承包人承诺按照合同约定的期限和方式支付合同价款及其他应当支付的款项。</w:t>
      </w:r>
    </w:p>
    <w:p>
      <w:pPr>
        <w:adjustRightInd w:val="0"/>
        <w:snapToGrid w:val="0"/>
        <w:spacing w:line="500" w:lineRule="exact"/>
        <w:jc w:val="left"/>
        <w:rPr>
          <w:b/>
          <w:color w:val="auto"/>
          <w:sz w:val="24"/>
          <w:szCs w:val="24"/>
        </w:rPr>
      </w:pPr>
      <w:r>
        <w:rPr>
          <w:b/>
          <w:color w:val="auto"/>
          <w:sz w:val="24"/>
          <w:szCs w:val="24"/>
        </w:rPr>
        <w:t>八、合同生效</w:t>
      </w:r>
    </w:p>
    <w:p>
      <w:pPr>
        <w:adjustRightInd w:val="0"/>
        <w:snapToGrid w:val="0"/>
        <w:spacing w:line="500" w:lineRule="exact"/>
        <w:ind w:firstLine="600" w:firstLineChars="250"/>
        <w:jc w:val="left"/>
        <w:rPr>
          <w:color w:val="auto"/>
          <w:sz w:val="24"/>
          <w:szCs w:val="24"/>
        </w:rPr>
      </w:pPr>
      <w:r>
        <w:rPr>
          <w:color w:val="auto"/>
          <w:sz w:val="24"/>
          <w:szCs w:val="24"/>
        </w:rPr>
        <w:t>合同订立时间：</w:t>
      </w:r>
      <w:r>
        <w:rPr>
          <w:color w:val="auto"/>
          <w:sz w:val="24"/>
          <w:szCs w:val="24"/>
          <w:u w:val="single"/>
        </w:rPr>
        <w:t xml:space="preserve">    </w:t>
      </w:r>
      <w:r>
        <w:rPr>
          <w:color w:val="auto"/>
          <w:sz w:val="24"/>
          <w:szCs w:val="24"/>
        </w:rPr>
        <w:t xml:space="preserve">年 </w:t>
      </w:r>
      <w:r>
        <w:rPr>
          <w:color w:val="auto"/>
          <w:sz w:val="24"/>
          <w:szCs w:val="24"/>
          <w:u w:val="single"/>
        </w:rPr>
        <w:t xml:space="preserve">    </w:t>
      </w:r>
      <w:r>
        <w:rPr>
          <w:color w:val="auto"/>
          <w:sz w:val="24"/>
          <w:szCs w:val="24"/>
        </w:rPr>
        <w:t xml:space="preserve">月 </w:t>
      </w:r>
      <w:r>
        <w:rPr>
          <w:color w:val="auto"/>
          <w:sz w:val="24"/>
          <w:szCs w:val="24"/>
          <w:u w:val="single"/>
        </w:rPr>
        <w:t xml:space="preserve">    </w:t>
      </w:r>
      <w:r>
        <w:rPr>
          <w:color w:val="auto"/>
          <w:sz w:val="24"/>
          <w:szCs w:val="24"/>
        </w:rPr>
        <w:t>日</w:t>
      </w:r>
    </w:p>
    <w:p>
      <w:pPr>
        <w:adjustRightInd w:val="0"/>
        <w:snapToGrid w:val="0"/>
        <w:spacing w:line="500" w:lineRule="exact"/>
        <w:ind w:firstLine="600" w:firstLineChars="250"/>
        <w:jc w:val="left"/>
        <w:rPr>
          <w:color w:val="auto"/>
          <w:sz w:val="24"/>
          <w:szCs w:val="24"/>
        </w:rPr>
      </w:pPr>
      <w:r>
        <w:rPr>
          <w:color w:val="auto"/>
          <w:sz w:val="24"/>
          <w:szCs w:val="24"/>
        </w:rPr>
        <w:t>合同订立地点：_____________________</w:t>
      </w:r>
    </w:p>
    <w:p>
      <w:pPr>
        <w:adjustRightInd w:val="0"/>
        <w:snapToGrid w:val="0"/>
        <w:spacing w:line="500" w:lineRule="exact"/>
        <w:ind w:firstLine="600" w:firstLineChars="250"/>
        <w:jc w:val="left"/>
        <w:rPr>
          <w:color w:val="auto"/>
          <w:sz w:val="24"/>
        </w:rPr>
      </w:pPr>
      <w:r>
        <w:rPr>
          <w:color w:val="auto"/>
          <w:sz w:val="24"/>
          <w:szCs w:val="24"/>
        </w:rPr>
        <w:t>本合同双方约定____________________后生效。</w:t>
      </w:r>
    </w:p>
    <w:p>
      <w:pPr>
        <w:adjustRightInd w:val="0"/>
        <w:snapToGrid w:val="0"/>
        <w:spacing w:line="500" w:lineRule="exact"/>
        <w:jc w:val="left"/>
        <w:rPr>
          <w:color w:val="auto"/>
          <w:sz w:val="24"/>
        </w:rPr>
      </w:pPr>
      <w:r>
        <w:rPr>
          <w:color w:val="auto"/>
          <w:sz w:val="24"/>
        </w:rPr>
        <w:t xml:space="preserve"> </w:t>
      </w:r>
    </w:p>
    <w:p>
      <w:pPr>
        <w:adjustRightInd w:val="0"/>
        <w:snapToGrid w:val="0"/>
        <w:spacing w:line="500" w:lineRule="exact"/>
        <w:jc w:val="left"/>
        <w:rPr>
          <w:color w:val="auto"/>
          <w:sz w:val="24"/>
        </w:rPr>
      </w:pPr>
    </w:p>
    <w:p>
      <w:pPr>
        <w:adjustRightInd w:val="0"/>
        <w:snapToGrid w:val="0"/>
        <w:spacing w:line="500" w:lineRule="exact"/>
        <w:jc w:val="left"/>
        <w:rPr>
          <w:color w:val="auto"/>
          <w:sz w:val="24"/>
        </w:rPr>
      </w:pPr>
    </w:p>
    <w:p>
      <w:pPr>
        <w:adjustRightInd w:val="0"/>
        <w:snapToGrid w:val="0"/>
        <w:spacing w:line="500" w:lineRule="exact"/>
        <w:jc w:val="left"/>
        <w:rPr>
          <w:color w:val="auto"/>
          <w:sz w:val="24"/>
        </w:rPr>
      </w:pPr>
      <w:r>
        <w:rPr>
          <w:color w:val="auto"/>
          <w:sz w:val="24"/>
        </w:rPr>
        <w:t>发  包  人：（公章）                      承  包  人：（公章）</w:t>
      </w:r>
    </w:p>
    <w:p>
      <w:pPr>
        <w:adjustRightInd w:val="0"/>
        <w:snapToGrid w:val="0"/>
        <w:spacing w:line="500" w:lineRule="exact"/>
        <w:jc w:val="left"/>
        <w:rPr>
          <w:color w:val="auto"/>
          <w:sz w:val="24"/>
        </w:rPr>
      </w:pPr>
      <w:r>
        <w:rPr>
          <w:color w:val="auto"/>
          <w:sz w:val="24"/>
        </w:rPr>
        <w:t>住      所：                             住      所：</w:t>
      </w:r>
    </w:p>
    <w:p>
      <w:pPr>
        <w:adjustRightInd w:val="0"/>
        <w:snapToGrid w:val="0"/>
        <w:spacing w:line="500" w:lineRule="exact"/>
        <w:jc w:val="left"/>
        <w:rPr>
          <w:color w:val="auto"/>
          <w:sz w:val="24"/>
        </w:rPr>
      </w:pPr>
      <w:r>
        <w:rPr>
          <w:color w:val="auto"/>
          <w:sz w:val="24"/>
        </w:rPr>
        <w:t xml:space="preserve">法定代表人                               法定代表人          </w:t>
      </w:r>
    </w:p>
    <w:p>
      <w:pPr>
        <w:adjustRightInd w:val="0"/>
        <w:snapToGrid w:val="0"/>
        <w:spacing w:line="500" w:lineRule="exact"/>
        <w:jc w:val="left"/>
        <w:rPr>
          <w:color w:val="auto"/>
          <w:sz w:val="24"/>
        </w:rPr>
      </w:pPr>
      <w:r>
        <w:rPr>
          <w:color w:val="auto"/>
          <w:sz w:val="24"/>
        </w:rPr>
        <w:t xml:space="preserve">或委托代表人：                           或委托代表人：                                </w:t>
      </w:r>
    </w:p>
    <w:p>
      <w:pPr>
        <w:adjustRightInd w:val="0"/>
        <w:snapToGrid w:val="0"/>
        <w:spacing w:line="500" w:lineRule="exact"/>
        <w:jc w:val="left"/>
        <w:rPr>
          <w:color w:val="auto"/>
          <w:sz w:val="24"/>
        </w:rPr>
      </w:pPr>
      <w:r>
        <w:rPr>
          <w:color w:val="auto"/>
          <w:sz w:val="24"/>
        </w:rPr>
        <w:t>电      话：                             电      话：</w:t>
      </w:r>
    </w:p>
    <w:p>
      <w:pPr>
        <w:adjustRightInd w:val="0"/>
        <w:snapToGrid w:val="0"/>
        <w:spacing w:line="500" w:lineRule="exact"/>
        <w:jc w:val="left"/>
        <w:rPr>
          <w:color w:val="auto"/>
          <w:sz w:val="24"/>
        </w:rPr>
      </w:pPr>
      <w:r>
        <w:rPr>
          <w:color w:val="auto"/>
          <w:sz w:val="24"/>
        </w:rPr>
        <w:t>传      真：                             传      真：</w:t>
      </w:r>
    </w:p>
    <w:p>
      <w:pPr>
        <w:adjustRightInd w:val="0"/>
        <w:snapToGrid w:val="0"/>
        <w:spacing w:line="500" w:lineRule="exact"/>
        <w:jc w:val="left"/>
        <w:rPr>
          <w:color w:val="auto"/>
          <w:sz w:val="24"/>
        </w:rPr>
      </w:pPr>
      <w:r>
        <w:rPr>
          <w:color w:val="auto"/>
          <w:sz w:val="24"/>
        </w:rPr>
        <w:t>开户银行：                               开户银行：</w:t>
      </w:r>
    </w:p>
    <w:p>
      <w:pPr>
        <w:adjustRightInd w:val="0"/>
        <w:snapToGrid w:val="0"/>
        <w:spacing w:line="500" w:lineRule="exact"/>
        <w:jc w:val="left"/>
        <w:rPr>
          <w:color w:val="auto"/>
          <w:sz w:val="24"/>
        </w:rPr>
      </w:pPr>
      <w:r>
        <w:rPr>
          <w:color w:val="auto"/>
          <w:sz w:val="24"/>
        </w:rPr>
        <w:t xml:space="preserve">帐     号：                              帐     号：    </w:t>
      </w:r>
    </w:p>
    <w:p>
      <w:pPr>
        <w:adjustRightInd w:val="0"/>
        <w:snapToGrid w:val="0"/>
        <w:spacing w:line="500" w:lineRule="exact"/>
        <w:jc w:val="left"/>
        <w:rPr>
          <w:color w:val="auto"/>
          <w:sz w:val="24"/>
        </w:rPr>
      </w:pPr>
      <w:r>
        <w:rPr>
          <w:color w:val="auto"/>
          <w:sz w:val="24"/>
        </w:rPr>
        <w:t>邮政编码：                               邮政编码：</w:t>
      </w: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left"/>
        <w:rPr>
          <w:color w:val="auto"/>
          <w:sz w:val="24"/>
          <w:highlight w:val="yellow"/>
        </w:rPr>
      </w:pPr>
    </w:p>
    <w:p>
      <w:pPr>
        <w:adjustRightInd w:val="0"/>
        <w:snapToGrid w:val="0"/>
        <w:spacing w:line="300" w:lineRule="auto"/>
        <w:jc w:val="center"/>
        <w:rPr>
          <w:b/>
          <w:color w:val="auto"/>
          <w:sz w:val="32"/>
          <w:szCs w:val="32"/>
        </w:rPr>
      </w:pPr>
      <w:r>
        <w:rPr>
          <w:b/>
          <w:color w:val="auto"/>
          <w:sz w:val="32"/>
          <w:szCs w:val="32"/>
        </w:rPr>
        <w:t xml:space="preserve">第二部分  </w:t>
      </w:r>
      <w:r>
        <w:rPr>
          <w:rFonts w:hint="eastAsia"/>
          <w:b/>
          <w:color w:val="auto"/>
          <w:sz w:val="32"/>
          <w:szCs w:val="32"/>
        </w:rPr>
        <w:t>全程策划及营销代理</w:t>
      </w:r>
      <w:r>
        <w:rPr>
          <w:b/>
          <w:color w:val="auto"/>
          <w:sz w:val="32"/>
          <w:szCs w:val="32"/>
        </w:rPr>
        <w:t>合同</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甲方委托乙方对甲方所开发的</w:t>
      </w:r>
      <w:r>
        <w:rPr>
          <w:rFonts w:hint="eastAsia"/>
          <w:color w:val="auto"/>
          <w:sz w:val="24"/>
        </w:rPr>
        <w:t>“</w:t>
      </w:r>
      <w:r>
        <w:rPr>
          <w:rFonts w:hint="eastAsia"/>
          <w:color w:val="auto"/>
          <w:sz w:val="24"/>
          <w:u w:val="single"/>
        </w:rPr>
        <w:t xml:space="preserve">         </w:t>
      </w:r>
      <w:r>
        <w:rPr>
          <w:rFonts w:hint="eastAsia"/>
          <w:color w:val="auto"/>
          <w:sz w:val="24"/>
        </w:rPr>
        <w:t>”建设项目</w:t>
      </w:r>
      <w:r>
        <w:rPr>
          <w:snapToGrid w:val="0"/>
          <w:color w:val="auto"/>
          <w:sz w:val="24"/>
          <w:szCs w:val="24"/>
        </w:rPr>
        <w:t>房源营销策划及销售代理服务，双方在平等互利的基础上，就委托代理之有关事宜形成如下合同条款：</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第一条  委托代理主要事项 </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color w:val="auto"/>
          <w:sz w:val="24"/>
        </w:rPr>
        <w:t>“</w:t>
      </w:r>
      <w:r>
        <w:rPr>
          <w:rFonts w:hint="eastAsia"/>
          <w:color w:val="auto"/>
          <w:sz w:val="24"/>
          <w:u w:val="single"/>
        </w:rPr>
        <w:t xml:space="preserve">         </w:t>
      </w:r>
      <w:r>
        <w:rPr>
          <w:rFonts w:hint="eastAsia"/>
          <w:color w:val="auto"/>
          <w:sz w:val="24"/>
        </w:rPr>
        <w:t>”建设项目</w:t>
      </w:r>
      <w:r>
        <w:rPr>
          <w:snapToGrid w:val="0"/>
          <w:color w:val="auto"/>
          <w:sz w:val="24"/>
          <w:szCs w:val="24"/>
        </w:rPr>
        <w:t>房源销售代理，以及销售期间的营销策划服务。</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第二条  委托代理项目名称、位置、面积</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1、代理项目名称：</w:t>
      </w:r>
      <w:r>
        <w:rPr>
          <w:rFonts w:hint="eastAsia"/>
          <w:color w:val="auto"/>
          <w:sz w:val="24"/>
          <w:u w:val="single"/>
        </w:rPr>
        <w:t xml:space="preserve">                                 </w:t>
      </w:r>
      <w:r>
        <w:rPr>
          <w:snapToGrid w:val="0"/>
          <w:color w:val="auto"/>
          <w:sz w:val="24"/>
          <w:szCs w:val="24"/>
        </w:rPr>
        <w:t>。</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2、代理项目位于</w:t>
      </w:r>
      <w:r>
        <w:rPr>
          <w:rFonts w:hint="eastAsia" w:ascii="宋体" w:hAnsi="宋体" w:cs="宋体"/>
          <w:color w:val="auto"/>
          <w:sz w:val="24"/>
          <w:szCs w:val="24"/>
          <w:u w:val="single"/>
        </w:rPr>
        <w:t xml:space="preserve">                                   </w:t>
      </w:r>
      <w:r>
        <w:rPr>
          <w:snapToGrid w:val="0"/>
          <w:color w:val="auto"/>
          <w:sz w:val="24"/>
          <w:szCs w:val="24"/>
        </w:rPr>
        <w:t>。</w:t>
      </w:r>
    </w:p>
    <w:p>
      <w:pPr>
        <w:tabs>
          <w:tab w:val="left" w:pos="5860"/>
        </w:tabs>
        <w:adjustRightInd w:val="0"/>
        <w:snapToGrid w:val="0"/>
        <w:spacing w:line="500" w:lineRule="exact"/>
        <w:ind w:left="718" w:leftChars="228" w:right="147" w:hanging="240" w:hangingChars="100"/>
        <w:rPr>
          <w:rFonts w:ascii="宋体" w:hAnsi="宋体" w:cs="宋体"/>
          <w:color w:val="auto"/>
          <w:sz w:val="24"/>
        </w:rPr>
      </w:pPr>
      <w:r>
        <w:rPr>
          <w:snapToGrid w:val="0"/>
          <w:color w:val="auto"/>
          <w:sz w:val="24"/>
          <w:szCs w:val="24"/>
        </w:rPr>
        <w:t>3、代理项目面积：</w:t>
      </w:r>
      <w:r>
        <w:rPr>
          <w:rFonts w:hint="eastAsia"/>
          <w:snapToGrid w:val="0"/>
          <w:color w:val="auto"/>
          <w:sz w:val="24"/>
          <w:szCs w:val="24"/>
        </w:rPr>
        <w:t>项目建筑面积</w:t>
      </w:r>
      <w:r>
        <w:rPr>
          <w:rFonts w:hint="eastAsia" w:ascii="宋体" w:hAnsi="宋体" w:cs="宋体"/>
          <w:snapToGrid w:val="0"/>
          <w:color w:val="auto"/>
          <w:sz w:val="24"/>
          <w:szCs w:val="24"/>
        </w:rPr>
        <w:t>约</w:t>
      </w:r>
      <w:r>
        <w:rPr>
          <w:rFonts w:hint="eastAsia" w:ascii="宋体" w:hAnsi="宋体" w:cs="宋体"/>
          <w:snapToGrid w:val="0"/>
          <w:color w:val="auto"/>
          <w:sz w:val="24"/>
          <w:szCs w:val="24"/>
          <w:u w:val="single"/>
        </w:rPr>
        <w:t xml:space="preserve">      </w:t>
      </w:r>
      <w:r>
        <w:rPr>
          <w:rFonts w:hint="eastAsia" w:ascii="宋体" w:hAnsi="宋体" w:cs="宋体"/>
          <w:snapToGrid w:val="0"/>
          <w:color w:val="auto"/>
          <w:sz w:val="24"/>
          <w:szCs w:val="24"/>
        </w:rPr>
        <w:t>㎡，其中住宅销售面积</w:t>
      </w:r>
      <w:r>
        <w:rPr>
          <w:rFonts w:hint="eastAsia" w:ascii="宋体" w:hAnsi="宋体" w:cs="宋体"/>
          <w:snapToGrid w:val="0"/>
          <w:color w:val="auto"/>
          <w:sz w:val="24"/>
          <w:szCs w:val="24"/>
          <w:u w:val="single"/>
        </w:rPr>
        <w:t xml:space="preserve">     </w:t>
      </w:r>
      <w:r>
        <w:rPr>
          <w:rFonts w:hint="eastAsia" w:ascii="宋体" w:hAnsi="宋体" w:cs="宋体"/>
          <w:snapToGrid w:val="0"/>
          <w:color w:val="auto"/>
          <w:sz w:val="24"/>
          <w:szCs w:val="24"/>
        </w:rPr>
        <w:t>㎡</w:t>
      </w:r>
      <w:r>
        <w:rPr>
          <w:rFonts w:hint="eastAsia" w:ascii="宋体" w:hAnsi="宋体" w:cs="宋体"/>
          <w:color w:val="auto"/>
          <w:sz w:val="24"/>
        </w:rPr>
        <w:t>。</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rFonts w:hint="eastAsia"/>
          <w:b/>
          <w:snapToGrid w:val="0"/>
          <w:color w:val="auto"/>
          <w:sz w:val="24"/>
          <w:szCs w:val="24"/>
        </w:rPr>
        <w:t xml:space="preserve">第三条  </w:t>
      </w:r>
      <w:r>
        <w:rPr>
          <w:b/>
          <w:snapToGrid w:val="0"/>
          <w:color w:val="auto"/>
          <w:sz w:val="24"/>
          <w:szCs w:val="24"/>
        </w:rPr>
        <w:t>服务期限</w:t>
      </w:r>
    </w:p>
    <w:p>
      <w:pPr>
        <w:adjustRightInd w:val="0"/>
        <w:snapToGrid w:val="0"/>
        <w:spacing w:line="460" w:lineRule="exact"/>
        <w:ind w:firstLine="480" w:firstLineChars="200"/>
        <w:rPr>
          <w:snapToGrid w:val="0"/>
          <w:color w:val="auto"/>
          <w:sz w:val="24"/>
          <w:szCs w:val="24"/>
        </w:rPr>
      </w:pPr>
      <w:r>
        <w:rPr>
          <w:color w:val="auto"/>
          <w:sz w:val="24"/>
          <w:szCs w:val="24"/>
        </w:rPr>
        <w:t>自合同签署生效之日起</w:t>
      </w:r>
      <w:r>
        <w:rPr>
          <w:rFonts w:hint="eastAsia"/>
          <w:color w:val="auto"/>
          <w:sz w:val="24"/>
          <w:u w:val="single"/>
        </w:rPr>
        <w:t xml:space="preserve">   </w:t>
      </w:r>
      <w:r>
        <w:rPr>
          <w:color w:val="auto"/>
          <w:sz w:val="24"/>
          <w:szCs w:val="24"/>
        </w:rPr>
        <w:t>个月为止。在上述服务期限内，销售率达到可售房源</w:t>
      </w:r>
      <w:r>
        <w:rPr>
          <w:rFonts w:hint="eastAsia"/>
          <w:color w:val="auto"/>
          <w:sz w:val="24"/>
          <w:szCs w:val="24"/>
          <w:u w:val="single"/>
        </w:rPr>
        <w:t xml:space="preserve">   </w:t>
      </w:r>
      <w:r>
        <w:rPr>
          <w:color w:val="auto"/>
          <w:sz w:val="24"/>
          <w:szCs w:val="24"/>
        </w:rPr>
        <w:t>%。</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第四条 项目营销策划期乙方工作及要求</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项目营销策划期内乙方应完成以下工作：</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1、负责对本项目销售分阶段进行总体策划，包括整体及阶段性项目市场分析、项目定位及产品优化、市场推广策略、销售策略、</w:t>
      </w:r>
      <w:r>
        <w:rPr>
          <w:rFonts w:hint="eastAsia"/>
          <w:snapToGrid w:val="0"/>
          <w:color w:val="auto"/>
          <w:sz w:val="24"/>
          <w:szCs w:val="24"/>
        </w:rPr>
        <w:t>普通微信公众号服务平台及运营策划推广、广告策划、</w:t>
      </w:r>
      <w:r>
        <w:rPr>
          <w:snapToGrid w:val="0"/>
          <w:color w:val="auto"/>
          <w:sz w:val="24"/>
          <w:szCs w:val="24"/>
        </w:rPr>
        <w:t>销售执行计划、销售组织及案场管理方案、价格方案、内部认筹方案、开盘方案、推广活动、人员培训、招商资料建议、项目包装方案、营销中心及样板房装修设计建议、物业管理方案建议等围绕项目市场推广及销售各方面提出的专业策划建议等，完成“总体策划方案”。总体策划方案应在本合同生效后甲方要求时间内完成并提交甲方，乙方提交的总体策划方案经甲方审查不符合要求的，乙方应在甲方意见提出后7日内完成修订工作。乙方修订后的策划方案仍不符合要求的，甲方可拒绝接受，并有权解除本合同，但甲方需在解除本合同后7个工作日内无息退还全部履约保函。</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2、负责</w:t>
      </w:r>
      <w:r>
        <w:rPr>
          <w:rFonts w:hint="eastAsia"/>
          <w:color w:val="auto"/>
          <w:sz w:val="24"/>
        </w:rPr>
        <w:t>“</w:t>
      </w:r>
      <w:r>
        <w:rPr>
          <w:rFonts w:hint="eastAsia"/>
          <w:color w:val="auto"/>
          <w:sz w:val="24"/>
          <w:u w:val="single"/>
        </w:rPr>
        <w:t xml:space="preserve">       </w:t>
      </w:r>
      <w:r>
        <w:rPr>
          <w:rFonts w:hint="eastAsia"/>
          <w:color w:val="auto"/>
          <w:sz w:val="24"/>
        </w:rPr>
        <w:t>”建设项目</w:t>
      </w:r>
      <w:r>
        <w:rPr>
          <w:snapToGrid w:val="0"/>
          <w:color w:val="auto"/>
          <w:sz w:val="24"/>
          <w:szCs w:val="24"/>
        </w:rPr>
        <w:t>营销中心及样板房装修设计的相关建议及跟进工作。乙方所有建议及工作报告均以书面形式提交甲方。跟进工作应按每月25日之前向甲方提交工作进展情况报告，同时，乙方应在某一单项工作完成后7日内向甲方提交该单项工作小结报告。</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3、负责各种促销宣传材料的设计，包括项目售楼书、平面图、展览板及单张等促销宣传材料，</w:t>
      </w:r>
      <w:r>
        <w:rPr>
          <w:rFonts w:hint="eastAsia"/>
          <w:snapToGrid w:val="0"/>
          <w:color w:val="auto"/>
          <w:sz w:val="24"/>
          <w:szCs w:val="24"/>
        </w:rPr>
        <w:t>与</w:t>
      </w:r>
      <w:r>
        <w:rPr>
          <w:snapToGrid w:val="0"/>
          <w:color w:val="auto"/>
          <w:sz w:val="24"/>
          <w:szCs w:val="24"/>
        </w:rPr>
        <w:t>广告公司</w:t>
      </w:r>
      <w:r>
        <w:rPr>
          <w:rFonts w:hint="eastAsia"/>
          <w:snapToGrid w:val="0"/>
          <w:color w:val="auto"/>
          <w:sz w:val="24"/>
          <w:szCs w:val="24"/>
        </w:rPr>
        <w:t>对接，监督广告公司督</w:t>
      </w:r>
      <w:r>
        <w:rPr>
          <w:snapToGrid w:val="0"/>
          <w:color w:val="auto"/>
          <w:sz w:val="24"/>
          <w:szCs w:val="24"/>
        </w:rPr>
        <w:t>制作上述促销宣传材料的质量；在广告设计内容与广告公司发布一致的前提下，确保其合法性，如因由此发生的相关问题由乙方承担。促销宣传材料的设计及制作预算需经甲方审查同意后方可实施。即使是经甲方审查同意后实施的广告，如发生违法和涉及到侵权行为的，其责任和损失</w:t>
      </w:r>
      <w:r>
        <w:rPr>
          <w:rFonts w:hint="eastAsia"/>
          <w:snapToGrid w:val="0"/>
          <w:color w:val="auto"/>
          <w:sz w:val="24"/>
          <w:szCs w:val="24"/>
        </w:rPr>
        <w:t>除经审核后广告公司单方责任造成除外</w:t>
      </w:r>
      <w:r>
        <w:rPr>
          <w:snapToGrid w:val="0"/>
          <w:color w:val="auto"/>
          <w:sz w:val="24"/>
          <w:szCs w:val="24"/>
        </w:rPr>
        <w:t>均由乙方负责和承担。</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4、负责市场调研工作并提交市场动态调研报告。乙方每两周一次向甲方提供市场动态调研报告，如发生影响或可能影响项目销售策略的重大事件（如政策变化、项目周边市场发生变化），乙方应在事件发生后7日内，向甲方提交市场调研报告，并提出应对建议方案。</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5、负责制定销售计划、广告推广计划并组织实施本项目各类宣传及营销相关活动，</w:t>
      </w:r>
      <w:r>
        <w:rPr>
          <w:rFonts w:hint="eastAsia"/>
          <w:snapToGrid w:val="0"/>
          <w:color w:val="auto"/>
          <w:sz w:val="24"/>
          <w:szCs w:val="24"/>
        </w:rPr>
        <w:t>负责微信公众平台和运营策划推广方案，</w:t>
      </w:r>
      <w:r>
        <w:rPr>
          <w:snapToGrid w:val="0"/>
          <w:color w:val="auto"/>
          <w:sz w:val="24"/>
          <w:szCs w:val="24"/>
        </w:rPr>
        <w:t>相关资料的备案由甲方向有关部门申请备案。</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6、负责建议、安排及监督本项目的CI、报章、电视、电台广告、户外广告的设计</w:t>
      </w:r>
      <w:r>
        <w:rPr>
          <w:rFonts w:hint="eastAsia"/>
          <w:snapToGrid w:val="0"/>
          <w:color w:val="auto"/>
          <w:sz w:val="24"/>
          <w:szCs w:val="24"/>
        </w:rPr>
        <w:t>策划</w:t>
      </w:r>
      <w:r>
        <w:rPr>
          <w:snapToGrid w:val="0"/>
          <w:color w:val="auto"/>
          <w:sz w:val="24"/>
          <w:szCs w:val="24"/>
        </w:rPr>
        <w:t>工作。</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7、乙方须按本招标文件规定的项目核心成员建立项目营销策划小组，负责营销策划工作，周末、节假日及展销会期间则按实际情况增加工作人员。</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8、乙方保证每天有策划人员驻场，在该项目重大节点（如：样板房开放、开盘前20天），乙方项目组应当安排 2 名以上策划人员驻场办公协助甲方进行前期准备工作。</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9</w:t>
      </w:r>
      <w:r>
        <w:rPr>
          <w:snapToGrid w:val="0"/>
          <w:color w:val="auto"/>
          <w:sz w:val="24"/>
          <w:szCs w:val="24"/>
        </w:rPr>
        <w:t>、根据项目需要，甲方可向乙方下发符合本合同范围内的营销策划相关的工作联系单，乙方应在双方协商确定的工作联系单规定时限内完成工作，乙方未按工作联系函完成工作任务的每发生一次罚款500元。</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10</w:t>
      </w:r>
      <w:r>
        <w:rPr>
          <w:snapToGrid w:val="0"/>
          <w:color w:val="auto"/>
          <w:sz w:val="24"/>
          <w:szCs w:val="24"/>
        </w:rPr>
        <w:t>、乙方制定的</w:t>
      </w:r>
      <w:r>
        <w:rPr>
          <w:rFonts w:hint="eastAsia"/>
          <w:snapToGrid w:val="0"/>
          <w:color w:val="auto"/>
          <w:sz w:val="24"/>
          <w:szCs w:val="24"/>
        </w:rPr>
        <w:t>宣传活动推广方案须配合甲方</w:t>
      </w:r>
      <w:r>
        <w:rPr>
          <w:snapToGrid w:val="0"/>
          <w:color w:val="auto"/>
          <w:sz w:val="24"/>
          <w:szCs w:val="24"/>
        </w:rPr>
        <w:t>及为达到考核销售率进行的广告推广费用不得超过甲方预算批复金额。</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第五条  销售代理期乙方工作及要求</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销售代理期，乙方应分别完成以下工作：</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1、在合同签订时，乙方须向甲方提供销售代理资质证明。本合同中，未明确授权乙方的，乙方不得擅自销售（获得甲方书面同意除外），否则，乙方须负责赔偿甲方一切损失且甲方可单方面解除本合同。</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乙方应保证核心管理人员的稳定性，保证销售经理、营销总监必须专职，不得兼顾其他项目，不得服务其他项目营销、顾问等工作，乙方提供工作小组名单,未经甲方书面同意不得随意更换。若因个人特殊原因不能胜任工作，或与乙方解除劳动合同关系的，乙方需经甲方认可，方可更换相关人员。</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3、负责招聘、筛选及培训销售队伍和管理人员，派遣专职人员到展销会及现场售楼部进行销售工作，现场销售人员接到甲方通知五日内须进入销售现场。</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4、全权</w:t>
      </w:r>
      <w:r>
        <w:rPr>
          <w:snapToGrid w:val="0"/>
          <w:color w:val="auto"/>
          <w:sz w:val="24"/>
          <w:szCs w:val="24"/>
        </w:rPr>
        <w:t>办理</w:t>
      </w:r>
      <w:r>
        <w:rPr>
          <w:rFonts w:hint="eastAsia"/>
          <w:snapToGrid w:val="0"/>
          <w:color w:val="auto"/>
          <w:sz w:val="24"/>
          <w:szCs w:val="24"/>
        </w:rPr>
        <w:t>《商品房买卖合同》</w:t>
      </w:r>
      <w:r>
        <w:rPr>
          <w:snapToGrid w:val="0"/>
          <w:color w:val="auto"/>
          <w:sz w:val="24"/>
          <w:szCs w:val="24"/>
        </w:rPr>
        <w:t>备案等机关手续登记。</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5</w:t>
      </w:r>
      <w:r>
        <w:rPr>
          <w:snapToGrid w:val="0"/>
          <w:color w:val="auto"/>
          <w:sz w:val="24"/>
          <w:szCs w:val="24"/>
        </w:rPr>
        <w:t>、本合同订立后15日内，乙方须提交本项目整体营销及销售计划，以后每月26日提交上月阶段性销售总结及下月月度销售计划（包括市场分析、阶段性销售策略、市场推广策略及实施的计划等），经甲方书面同意后，乙方负责统一组织实施。</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6</w:t>
      </w:r>
      <w:r>
        <w:rPr>
          <w:snapToGrid w:val="0"/>
          <w:color w:val="auto"/>
          <w:sz w:val="24"/>
          <w:szCs w:val="24"/>
        </w:rPr>
        <w:t>、乙方定期向甲方提交当月营销月报、销售周报、销售月报和客户关系月报，报告必须包括收集到的本项目竞争对手的动态销售策略、客户分析、营销策略和销售情况、</w:t>
      </w:r>
      <w:r>
        <w:rPr>
          <w:rFonts w:hint="eastAsia"/>
          <w:snapToGrid w:val="0"/>
          <w:color w:val="auto"/>
          <w:sz w:val="24"/>
          <w:szCs w:val="24"/>
        </w:rPr>
        <w:t>本地</w:t>
      </w:r>
      <w:r>
        <w:rPr>
          <w:snapToGrid w:val="0"/>
          <w:color w:val="auto"/>
          <w:sz w:val="24"/>
          <w:szCs w:val="24"/>
        </w:rPr>
        <w:t>动态的商品房供应量等，进而客观分析</w:t>
      </w:r>
      <w:r>
        <w:rPr>
          <w:rFonts w:hint="eastAsia"/>
          <w:snapToGrid w:val="0"/>
          <w:color w:val="auto"/>
          <w:sz w:val="24"/>
          <w:szCs w:val="24"/>
        </w:rPr>
        <w:t>本地</w:t>
      </w:r>
      <w:r>
        <w:rPr>
          <w:snapToGrid w:val="0"/>
          <w:color w:val="auto"/>
          <w:sz w:val="24"/>
          <w:szCs w:val="24"/>
        </w:rPr>
        <w:t>房地产市场状况，存在及潜在的竞争对手情况，并提出对应策略。乙方有为甲方提供相关专题研究、共享其监控的市场月报、周报及对甲方的销售部门人员进行培训交流的义务。</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7</w:t>
      </w:r>
      <w:r>
        <w:rPr>
          <w:snapToGrid w:val="0"/>
          <w:color w:val="auto"/>
          <w:sz w:val="24"/>
          <w:szCs w:val="24"/>
        </w:rPr>
        <w:t>、所有关于策略、销售资料、销售费用、销售口径、营销广告等均需经甲方签字确认后，乙方方能实施。乙方须严格按照甲方签字确认的价格、折扣及其他销售条件执行，并在销售中与经过甲方认可的统一销售说辞保持一致。未经甲方书面同意乙方不得变更任何甲方确定的价格、折扣幅度以及其他销售条件，亦不得对甲方制作的商品房买卖合同及其补充协议书文本、认购协议书文本以及其他销售资料进行任何形式的修改。</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8</w:t>
      </w:r>
      <w:r>
        <w:rPr>
          <w:snapToGrid w:val="0"/>
          <w:color w:val="auto"/>
          <w:sz w:val="24"/>
          <w:szCs w:val="24"/>
        </w:rPr>
        <w:t>、乙方按照地区相关法律法规及甲方所确定的条件（售价、付款方式及本合同条款、销售手册之内容等）进行如实宣传和销售。</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9</w:t>
      </w:r>
      <w:r>
        <w:rPr>
          <w:snapToGrid w:val="0"/>
          <w:color w:val="auto"/>
          <w:sz w:val="24"/>
          <w:szCs w:val="24"/>
        </w:rPr>
        <w:t>、乙方负责每日收集现场销售人员接待填写的客户资料及跟进客户资料，及时按甲方要求录入销售软件系统；乙方按周、月对成交的客户完成成交分析统计，对未成交的客户完成未成交分析统计。乙方必须保证真实、客观、完整地完成每月的来访客户分析统计，乙方完成信息收集统计后，信息甲乙双方共享，原始资料由甲方保管。</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10</w:t>
      </w:r>
      <w:r>
        <w:rPr>
          <w:snapToGrid w:val="0"/>
          <w:color w:val="auto"/>
          <w:sz w:val="24"/>
          <w:szCs w:val="24"/>
        </w:rPr>
        <w:t>、负责利用各种形式开展多渠道销售活动，乙方可通过自身的资源优势，免费提供项目宣传。</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w:t>
      </w:r>
      <w:r>
        <w:rPr>
          <w:rFonts w:hint="eastAsia"/>
          <w:snapToGrid w:val="0"/>
          <w:color w:val="auto"/>
          <w:sz w:val="24"/>
          <w:szCs w:val="24"/>
        </w:rPr>
        <w:t>1</w:t>
      </w:r>
      <w:r>
        <w:rPr>
          <w:snapToGrid w:val="0"/>
          <w:color w:val="auto"/>
          <w:sz w:val="24"/>
          <w:szCs w:val="24"/>
        </w:rPr>
        <w:t>、负责组织项目展销会，每次展销会结束后的7日向甲方提交书面情况报告，并对后期的销售策略提出建议或部署。</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w:t>
      </w:r>
      <w:r>
        <w:rPr>
          <w:rFonts w:hint="eastAsia"/>
          <w:snapToGrid w:val="0"/>
          <w:color w:val="auto"/>
          <w:sz w:val="24"/>
          <w:szCs w:val="24"/>
        </w:rPr>
        <w:t>2</w:t>
      </w:r>
      <w:r>
        <w:rPr>
          <w:snapToGrid w:val="0"/>
          <w:color w:val="auto"/>
          <w:sz w:val="24"/>
          <w:szCs w:val="24"/>
        </w:rPr>
        <w:t>、负责审查认购书填写内容（含合同附件）和《商品房买卖合同》内容（含合同附件），协助甲方签署项目之销售单位认购书及合同书。（负责审查并填写《商品房买卖合同》内容（含合同附件），并协助甲方签署正式《商品房买卖合同》（包括预售合同）。乙方应确保按照甲方审核通过的《商品房买卖合同》条款与小业主签订协议，不得擅自更改合同条款，否则，由此造成的小业主与甲方之间的争议及赔偿，均由乙方承担。</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w:t>
      </w:r>
      <w:r>
        <w:rPr>
          <w:rFonts w:hint="eastAsia"/>
          <w:snapToGrid w:val="0"/>
          <w:color w:val="auto"/>
          <w:sz w:val="24"/>
          <w:szCs w:val="24"/>
        </w:rPr>
        <w:t>3</w:t>
      </w:r>
      <w:r>
        <w:rPr>
          <w:snapToGrid w:val="0"/>
          <w:color w:val="auto"/>
          <w:sz w:val="24"/>
          <w:szCs w:val="24"/>
        </w:rPr>
        <w:t>、在本合同约定范围内，完成有关销售、推广及宣传活动，乙方</w:t>
      </w:r>
      <w:r>
        <w:rPr>
          <w:rFonts w:hint="eastAsia"/>
          <w:snapToGrid w:val="0"/>
          <w:color w:val="auto"/>
          <w:sz w:val="24"/>
          <w:szCs w:val="24"/>
        </w:rPr>
        <w:t>负责</w:t>
      </w:r>
      <w:r>
        <w:rPr>
          <w:snapToGrid w:val="0"/>
          <w:color w:val="auto"/>
          <w:sz w:val="24"/>
          <w:szCs w:val="24"/>
        </w:rPr>
        <w:t>成交客户及时办理相关手续（如各类变更手续、按揭手续、销售回款、入伙、房产证办理等）。</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w:t>
      </w:r>
      <w:r>
        <w:rPr>
          <w:rFonts w:hint="eastAsia"/>
          <w:snapToGrid w:val="0"/>
          <w:color w:val="auto"/>
          <w:sz w:val="24"/>
          <w:szCs w:val="24"/>
        </w:rPr>
        <w:t>4</w:t>
      </w:r>
      <w:r>
        <w:rPr>
          <w:snapToGrid w:val="0"/>
          <w:color w:val="auto"/>
          <w:sz w:val="24"/>
          <w:szCs w:val="24"/>
        </w:rPr>
        <w:t>、客户签订房屋《认购协议书》后，乙方</w:t>
      </w:r>
      <w:r>
        <w:rPr>
          <w:rFonts w:hint="eastAsia"/>
          <w:snapToGrid w:val="0"/>
          <w:color w:val="auto"/>
          <w:sz w:val="24"/>
          <w:szCs w:val="24"/>
        </w:rPr>
        <w:t>负责</w:t>
      </w:r>
      <w:r>
        <w:rPr>
          <w:snapToGrid w:val="0"/>
          <w:color w:val="auto"/>
          <w:sz w:val="24"/>
          <w:szCs w:val="24"/>
        </w:rPr>
        <w:t>按《认购协议书》约定的时间督促客户签约，并负责购房款和违约金（如有）的催收工作、协助客户办妥银行或公积金按揭贷款手续等；在客户付清房款、办理完银行或公积金按揭贷款手续后，乙方负责完成客户与甲方签署买卖合同等手续的办理。</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w:t>
      </w:r>
      <w:r>
        <w:rPr>
          <w:rFonts w:hint="eastAsia"/>
          <w:snapToGrid w:val="0"/>
          <w:color w:val="auto"/>
          <w:sz w:val="24"/>
          <w:szCs w:val="24"/>
        </w:rPr>
        <w:t>5</w:t>
      </w:r>
      <w:r>
        <w:rPr>
          <w:snapToGrid w:val="0"/>
          <w:color w:val="auto"/>
          <w:sz w:val="24"/>
          <w:szCs w:val="24"/>
        </w:rPr>
        <w:t>、定期催收客户应付楼款。需于每月第五个工作日前，就前一个月客户催收情况向甲方通报并确定下一步追收工作，以切实保证甲方资金回笼。</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w:t>
      </w:r>
      <w:r>
        <w:rPr>
          <w:rFonts w:hint="eastAsia"/>
          <w:snapToGrid w:val="0"/>
          <w:color w:val="auto"/>
          <w:sz w:val="24"/>
          <w:szCs w:val="24"/>
        </w:rPr>
        <w:t>6</w:t>
      </w:r>
      <w:r>
        <w:rPr>
          <w:snapToGrid w:val="0"/>
          <w:color w:val="auto"/>
          <w:sz w:val="24"/>
          <w:szCs w:val="24"/>
        </w:rPr>
        <w:t>、交楼前，协助甲方与物业管理公司办理楼宇交收手续及客户资料搜集准备。</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w:t>
      </w:r>
      <w:r>
        <w:rPr>
          <w:rFonts w:hint="eastAsia"/>
          <w:snapToGrid w:val="0"/>
          <w:color w:val="auto"/>
          <w:sz w:val="24"/>
          <w:szCs w:val="24"/>
        </w:rPr>
        <w:t>7</w:t>
      </w:r>
      <w:r>
        <w:rPr>
          <w:snapToGrid w:val="0"/>
          <w:color w:val="auto"/>
          <w:sz w:val="24"/>
          <w:szCs w:val="24"/>
        </w:rPr>
        <w:t>、根据项目需要，甲方可向乙方下发合同范围内工作联系单，乙方应在双方协商确定的工作联系单规定时限内完成工作，乙方未按工作联系函完成工作任务的每发生一次罚款500元。</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w:t>
      </w:r>
      <w:r>
        <w:rPr>
          <w:rFonts w:hint="eastAsia"/>
          <w:snapToGrid w:val="0"/>
          <w:color w:val="auto"/>
          <w:sz w:val="24"/>
          <w:szCs w:val="24"/>
        </w:rPr>
        <w:t>8</w:t>
      </w:r>
      <w:r>
        <w:rPr>
          <w:snapToGrid w:val="0"/>
          <w:color w:val="auto"/>
          <w:sz w:val="24"/>
          <w:szCs w:val="24"/>
        </w:rPr>
        <w:t>、乙方的销售代理权不得转让，否则甲方有权不支付任何代理佣金并单方面解除本合同，由此造成甲方损失的，甲方有权要求乙方赔偿。</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第六条 销售方案</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1、确定住宅部分的销售价格体系及付款方式的销售方案，由乙方提供建议方案，甲方审查乙方建议方案制订最终方案，乙方按甲方制订的最终方案实施。</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2、根据项目销售情况或市场情况，甲乙双方协商调整销售方案，但不涉及销售基准价的调整，乙方按调整后的方案实施。</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3、各期的销售基准价双方在各期正式开盘日前一个月内另行商定。</w:t>
      </w:r>
      <w:r>
        <w:rPr>
          <w:bCs/>
          <w:color w:val="auto"/>
          <w:sz w:val="24"/>
          <w:szCs w:val="24"/>
        </w:rPr>
        <w:t>乙方应在正式开盘日前根据销售基准价、每套代销房屋的面积、朝向和其他相关条件制作的每套代销房屋对外销售的最低售价，形成销售基准价表，并提交甲方，经甲方盖章确认作为对外销售的依据。</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4、根据项目销售情况或市场情况，乙方可向甲方提出销售方案的建议，建议被甲方接受的，按建议方案实施；建议未被接受的，按原方案实施。</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5、特殊情况下对个别客户的销售价格调整，必须经甲方书面批准。</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第七条  销售计划</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乙方承诺按以下计划完成销售指标：</w:t>
      </w:r>
    </w:p>
    <w:tbl>
      <w:tblPr>
        <w:tblStyle w:val="19"/>
        <w:tblW w:w="7551" w:type="dxa"/>
        <w:jc w:val="center"/>
        <w:tblInd w:w="-1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52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2744" w:type="dxa"/>
            <w:vAlign w:val="center"/>
          </w:tcPr>
          <w:p>
            <w:pPr>
              <w:spacing w:line="240" w:lineRule="atLeast"/>
              <w:ind w:firstLine="840" w:firstLineChars="400"/>
              <w:rPr>
                <w:color w:val="auto"/>
                <w:szCs w:val="21"/>
              </w:rPr>
            </w:pPr>
          </w:p>
        </w:tc>
        <w:tc>
          <w:tcPr>
            <w:tcW w:w="2520" w:type="dxa"/>
            <w:vAlign w:val="center"/>
          </w:tcPr>
          <w:p>
            <w:pPr>
              <w:spacing w:line="240" w:lineRule="atLeast"/>
              <w:rPr>
                <w:color w:val="auto"/>
                <w:szCs w:val="21"/>
              </w:rPr>
            </w:pPr>
            <w:r>
              <w:rPr>
                <w:rFonts w:ascii="宋体"/>
                <w:color w:val="auto"/>
                <w:szCs w:val="21"/>
              </w:rPr>
              <w:t>第一阶段</w:t>
            </w:r>
            <w:r>
              <w:rPr>
                <w:rFonts w:hint="eastAsia" w:ascii="宋体"/>
                <w:color w:val="auto"/>
                <w:szCs w:val="21"/>
              </w:rPr>
              <w:t>（当批次开盘</w:t>
            </w:r>
            <w:r>
              <w:rPr>
                <w:rFonts w:hint="eastAsia"/>
                <w:color w:val="auto"/>
                <w:szCs w:val="21"/>
              </w:rPr>
              <w:t>2</w:t>
            </w:r>
            <w:r>
              <w:rPr>
                <w:rFonts w:ascii="宋体"/>
                <w:color w:val="auto"/>
                <w:szCs w:val="21"/>
              </w:rPr>
              <w:t>个月内）</w:t>
            </w:r>
          </w:p>
        </w:tc>
        <w:tc>
          <w:tcPr>
            <w:tcW w:w="2287" w:type="dxa"/>
            <w:vAlign w:val="center"/>
          </w:tcPr>
          <w:p>
            <w:pPr>
              <w:spacing w:line="240" w:lineRule="atLeast"/>
              <w:rPr>
                <w:color w:val="auto"/>
                <w:szCs w:val="21"/>
              </w:rPr>
            </w:pPr>
            <w:r>
              <w:rPr>
                <w:rFonts w:ascii="宋体"/>
                <w:color w:val="auto"/>
                <w:szCs w:val="21"/>
              </w:rPr>
              <w:t>第二阶段（</w:t>
            </w:r>
            <w:r>
              <w:rPr>
                <w:rFonts w:hint="eastAsia" w:ascii="宋体"/>
                <w:color w:val="auto"/>
                <w:szCs w:val="21"/>
              </w:rPr>
              <w:t>首次开盘18</w:t>
            </w:r>
            <w:r>
              <w:rPr>
                <w:rFonts w:ascii="宋体"/>
                <w:color w:val="auto"/>
                <w:szCs w:val="21"/>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4" w:type="dxa"/>
            <w:vAlign w:val="center"/>
          </w:tcPr>
          <w:p>
            <w:pPr>
              <w:spacing w:line="240" w:lineRule="atLeast"/>
              <w:jc w:val="center"/>
              <w:rPr>
                <w:color w:val="auto"/>
                <w:szCs w:val="21"/>
              </w:rPr>
            </w:pPr>
            <w:r>
              <w:rPr>
                <w:rFonts w:ascii="宋体"/>
                <w:color w:val="auto"/>
                <w:szCs w:val="21"/>
              </w:rPr>
              <w:t>房屋套数的销售率</w:t>
            </w:r>
          </w:p>
        </w:tc>
        <w:tc>
          <w:tcPr>
            <w:tcW w:w="2520" w:type="dxa"/>
            <w:vAlign w:val="center"/>
          </w:tcPr>
          <w:p>
            <w:pPr>
              <w:spacing w:line="460" w:lineRule="exact"/>
              <w:jc w:val="center"/>
              <w:rPr>
                <w:color w:val="auto"/>
                <w:szCs w:val="21"/>
              </w:rPr>
            </w:pPr>
            <w:r>
              <w:rPr>
                <w:color w:val="auto"/>
                <w:szCs w:val="21"/>
              </w:rPr>
              <w:t>X≥</w:t>
            </w:r>
            <w:r>
              <w:rPr>
                <w:rFonts w:hint="eastAsia"/>
                <w:color w:val="auto"/>
                <w:szCs w:val="21"/>
              </w:rPr>
              <w:t>60</w:t>
            </w:r>
            <w:r>
              <w:rPr>
                <w:color w:val="auto"/>
                <w:szCs w:val="21"/>
              </w:rPr>
              <w:t>%</w:t>
            </w:r>
          </w:p>
        </w:tc>
        <w:tc>
          <w:tcPr>
            <w:tcW w:w="2287" w:type="dxa"/>
            <w:vAlign w:val="center"/>
          </w:tcPr>
          <w:p>
            <w:pPr>
              <w:spacing w:line="460" w:lineRule="exact"/>
              <w:jc w:val="center"/>
              <w:rPr>
                <w:color w:val="auto"/>
                <w:szCs w:val="21"/>
              </w:rPr>
            </w:pPr>
            <w:r>
              <w:rPr>
                <w:color w:val="auto"/>
                <w:szCs w:val="21"/>
              </w:rPr>
              <w:t>X≥</w:t>
            </w:r>
            <w:r>
              <w:rPr>
                <w:rFonts w:hint="eastAsia"/>
                <w:color w:val="auto"/>
                <w:szCs w:val="21"/>
              </w:rPr>
              <w:t>95</w:t>
            </w:r>
            <w:r>
              <w:rPr>
                <w:color w:val="auto"/>
                <w:szCs w:val="21"/>
              </w:rPr>
              <w:t>%</w:t>
            </w:r>
          </w:p>
        </w:tc>
      </w:tr>
    </w:tbl>
    <w:p>
      <w:pPr>
        <w:widowControl/>
        <w:tabs>
          <w:tab w:val="left" w:pos="0"/>
          <w:tab w:val="left" w:pos="1134"/>
        </w:tabs>
        <w:adjustRightInd w:val="0"/>
        <w:snapToGrid w:val="0"/>
        <w:spacing w:line="460" w:lineRule="exact"/>
        <w:ind w:firstLine="480" w:firstLineChars="200"/>
        <w:rPr>
          <w:snapToGrid w:val="0"/>
          <w:color w:val="auto"/>
          <w:sz w:val="24"/>
          <w:szCs w:val="24"/>
        </w:rPr>
      </w:pPr>
      <w:r>
        <w:rPr>
          <w:b/>
          <w:bCs/>
          <w:snapToGrid w:val="0"/>
          <w:color w:val="auto"/>
          <w:sz w:val="24"/>
          <w:szCs w:val="24"/>
        </w:rPr>
        <w:t>未完成销售指标的处罚金额：（应销售代理费－实际销售代理费）×</w:t>
      </w:r>
      <w:r>
        <w:rPr>
          <w:rFonts w:hint="eastAsia"/>
          <w:b/>
          <w:bCs/>
          <w:snapToGrid w:val="0"/>
          <w:color w:val="auto"/>
          <w:sz w:val="24"/>
          <w:szCs w:val="24"/>
        </w:rPr>
        <w:t>3</w:t>
      </w:r>
      <w:r>
        <w:rPr>
          <w:b/>
          <w:bCs/>
          <w:snapToGrid w:val="0"/>
          <w:color w:val="auto"/>
          <w:sz w:val="24"/>
          <w:szCs w:val="24"/>
        </w:rPr>
        <w:t>0%（注：处罚金额在当期结算款中予以扣除）</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乙方在开盘日前60天提出建议销售方案，经甲方确认后执行。销售方案执行过程中，因国家产业政策调整，销售方案经甲乙双方协商调整。</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第八条  甲方权利与义务</w:t>
      </w:r>
    </w:p>
    <w:p>
      <w:pPr>
        <w:adjustRightInd w:val="0"/>
        <w:snapToGrid w:val="0"/>
        <w:spacing w:line="460" w:lineRule="exact"/>
        <w:ind w:firstLine="600" w:firstLineChars="250"/>
        <w:rPr>
          <w:bCs/>
          <w:color w:val="auto"/>
          <w:sz w:val="24"/>
          <w:szCs w:val="24"/>
        </w:rPr>
      </w:pPr>
      <w:r>
        <w:rPr>
          <w:snapToGrid w:val="0"/>
          <w:color w:val="auto"/>
          <w:sz w:val="24"/>
          <w:szCs w:val="24"/>
        </w:rPr>
        <w:t>1、甲方须保证“本项目”之合法性，同时负责办理“本项目”销售的相关手续并承担相应责任，并按规定程序进行买卖。</w:t>
      </w:r>
      <w:r>
        <w:rPr>
          <w:bCs/>
          <w:color w:val="auto"/>
          <w:sz w:val="24"/>
          <w:szCs w:val="24"/>
        </w:rPr>
        <w:t>甲方承诺，截止本合同签署时，该地块未被司法机关施以强制措施，没有设定可能影响本项目销售的权利限制，据甲方所知亦不存在发生前述情形的潜在可能性。</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2、向乙方提供有效的营业执照、开发资质</w:t>
      </w:r>
      <w:r>
        <w:rPr>
          <w:rFonts w:hint="eastAsia"/>
          <w:snapToGrid w:val="0"/>
          <w:color w:val="auto"/>
          <w:sz w:val="24"/>
          <w:szCs w:val="24"/>
        </w:rPr>
        <w:t>证</w:t>
      </w:r>
      <w:r>
        <w:rPr>
          <w:snapToGrid w:val="0"/>
          <w:color w:val="auto"/>
          <w:sz w:val="24"/>
          <w:szCs w:val="24"/>
        </w:rPr>
        <w:t>书、政府有关部门对开发建设项目批准的有关证照（包括：国有土地使用权证书、建设用地批准书和规划许可证、施工许可证、建设工程规划许可证）和销售本项目的商品房预售证复印件，并应确保所提供资料的真实性、合法性、准确性和完整性。</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3、向乙方提供项目有关资料及说明（包括：外形图、平面图、建筑模型、地理位置图、室内外设备、建设标准、装修标准、电器配备、楼层高度、面积规格、销售价格等）。</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4、向乙方提供房屋认购书、《商品房买卖合同》范本，所需的认购书、合同数量以实际使用的为准，余数全部退给甲方。</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5、甲方应为乙方的销售工作提供便利条件，如需场外发售，甲方应在发售期负责提供一间售楼场所、样板间及其它销售所需的相关设施等；商品展销登记证及有关工商手续由乙方代为办理。在委托乙方代理销售期间，</w:t>
      </w:r>
      <w:r>
        <w:rPr>
          <w:rFonts w:hint="eastAsia"/>
          <w:snapToGrid w:val="0"/>
          <w:color w:val="auto"/>
          <w:sz w:val="24"/>
          <w:szCs w:val="24"/>
        </w:rPr>
        <w:t>甲方</w:t>
      </w:r>
      <w:r>
        <w:rPr>
          <w:snapToGrid w:val="0"/>
          <w:color w:val="auto"/>
          <w:sz w:val="24"/>
          <w:szCs w:val="24"/>
        </w:rPr>
        <w:t>负责提供本项目售楼处的办公设备（包括</w:t>
      </w:r>
      <w:r>
        <w:rPr>
          <w:rFonts w:hint="eastAsia"/>
          <w:snapToGrid w:val="0"/>
          <w:color w:val="auto"/>
          <w:sz w:val="24"/>
          <w:szCs w:val="24"/>
        </w:rPr>
        <w:t>但不限于</w:t>
      </w:r>
      <w:r>
        <w:rPr>
          <w:snapToGrid w:val="0"/>
          <w:color w:val="auto"/>
          <w:sz w:val="24"/>
          <w:szCs w:val="24"/>
        </w:rPr>
        <w:t>销售所需的电脑、打印机、传真机、复印机、电话机</w:t>
      </w:r>
      <w:r>
        <w:rPr>
          <w:rFonts w:hint="eastAsia"/>
          <w:snapToGrid w:val="0"/>
          <w:color w:val="auto"/>
          <w:sz w:val="24"/>
          <w:szCs w:val="24"/>
        </w:rPr>
        <w:t>、办公家具</w:t>
      </w:r>
      <w:r>
        <w:rPr>
          <w:snapToGrid w:val="0"/>
          <w:color w:val="auto"/>
          <w:sz w:val="24"/>
          <w:szCs w:val="24"/>
        </w:rPr>
        <w:t>等）</w:t>
      </w:r>
      <w:r>
        <w:rPr>
          <w:rFonts w:hint="eastAsia"/>
          <w:snapToGrid w:val="0"/>
          <w:color w:val="auto"/>
          <w:sz w:val="24"/>
          <w:szCs w:val="24"/>
        </w:rPr>
        <w:t>、</w:t>
      </w:r>
      <w:r>
        <w:rPr>
          <w:rFonts w:hint="eastAsia"/>
          <w:snapToGrid w:val="0"/>
          <w:color w:val="auto"/>
          <w:sz w:val="24"/>
          <w:szCs w:val="24"/>
          <w:u w:val="single"/>
        </w:rPr>
        <w:t>销售软件及</w:t>
      </w:r>
      <w:r>
        <w:rPr>
          <w:snapToGrid w:val="0"/>
          <w:color w:val="auto"/>
          <w:sz w:val="24"/>
          <w:szCs w:val="24"/>
          <w:u w:val="single"/>
        </w:rPr>
        <w:t>售楼处</w:t>
      </w:r>
      <w:r>
        <w:rPr>
          <w:rFonts w:hint="eastAsia"/>
          <w:snapToGrid w:val="0"/>
          <w:color w:val="auto"/>
          <w:sz w:val="24"/>
          <w:szCs w:val="24"/>
          <w:u w:val="single"/>
        </w:rPr>
        <w:t>样板房</w:t>
      </w:r>
      <w:r>
        <w:rPr>
          <w:snapToGrid w:val="0"/>
          <w:color w:val="auto"/>
          <w:sz w:val="24"/>
          <w:szCs w:val="24"/>
          <w:u w:val="single"/>
        </w:rPr>
        <w:t>发生的水电费</w:t>
      </w:r>
      <w:r>
        <w:rPr>
          <w:rFonts w:hint="eastAsia"/>
          <w:snapToGrid w:val="0"/>
          <w:color w:val="auto"/>
          <w:sz w:val="24"/>
          <w:szCs w:val="24"/>
          <w:u w:val="single"/>
        </w:rPr>
        <w:t>由甲方承担。</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6、宣传、策划及销售过程，乙方提交的方案及预算经甲方认可后，执行方案发生的有关费用由甲方承担，上述费用包括：</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（1）各种广告和宣传资料的制作及发布费用</w:t>
      </w:r>
      <w:r>
        <w:rPr>
          <w:rFonts w:hint="eastAsia"/>
          <w:snapToGrid w:val="0"/>
          <w:color w:val="auto"/>
          <w:sz w:val="24"/>
          <w:szCs w:val="24"/>
        </w:rPr>
        <w:t>。</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（2）各种推广活动、展销会场地及有关设备的租用、布置等费用。</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7、安排专人负责与乙方的沟通配合工作，并对乙方提出的建议及时作出反馈意见。</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8、派出专人配合销售，协助办理银行按揭手续，协助乙方审定商品房买卖合同，负责房屋买卖合同的签署，负责收取认购方交付的一切购楼款及各项费用。认购方</w:t>
      </w:r>
      <w:r>
        <w:rPr>
          <w:rFonts w:hint="eastAsia"/>
          <w:snapToGrid w:val="0"/>
          <w:color w:val="auto"/>
          <w:sz w:val="24"/>
          <w:szCs w:val="24"/>
        </w:rPr>
        <w:t>只能</w:t>
      </w:r>
      <w:r>
        <w:rPr>
          <w:snapToGrid w:val="0"/>
          <w:color w:val="auto"/>
          <w:sz w:val="24"/>
          <w:szCs w:val="24"/>
        </w:rPr>
        <w:t>用</w:t>
      </w:r>
      <w:r>
        <w:rPr>
          <w:rFonts w:hint="eastAsia"/>
          <w:snapToGrid w:val="0"/>
          <w:color w:val="auto"/>
          <w:sz w:val="24"/>
          <w:szCs w:val="24"/>
        </w:rPr>
        <w:t>银行储蓄卡</w:t>
      </w:r>
      <w:r>
        <w:rPr>
          <w:snapToGrid w:val="0"/>
          <w:color w:val="auto"/>
          <w:sz w:val="24"/>
          <w:szCs w:val="24"/>
        </w:rPr>
        <w:t>支付诚意金、定金或购房款。</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9、甲方有权考察考核乙方所有营销、策划、销售等人员的管理能力、专业能力及工作状态等，对于甲方经过考察考核认为不合适的人员，甲方有权要求予以撤换，乙方须自接到甲方通知之日起</w:t>
      </w:r>
      <w:r>
        <w:rPr>
          <w:rFonts w:hint="eastAsia"/>
          <w:snapToGrid w:val="0"/>
          <w:color w:val="auto"/>
          <w:sz w:val="24"/>
          <w:szCs w:val="24"/>
        </w:rPr>
        <w:t>7</w:t>
      </w:r>
      <w:r>
        <w:rPr>
          <w:snapToGrid w:val="0"/>
          <w:color w:val="auto"/>
          <w:sz w:val="24"/>
          <w:szCs w:val="24"/>
        </w:rPr>
        <w:t>日内更换到位。甲方有权以各种方式检查乙方销售人员的销售口径。</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10、对乙方违反本合同的行为或其他不当行为，甲方有权向乙方下发指正函。乙方不按甲方指正函要求纠正的每发生一次罚款500元。</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11、在乙方按合同约定完全履行义务的前提下，甲方需按合同约定支付乙方销售代理费。</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12、甲方承诺，本项目各期开盘时具备如下条件：项目各期具有预售许可证；符合办理银行按揭条件；售楼处、样板房交付使用，并尽可能做到销售区域和施工区域有效隔离；甲乙双方确认销售计划指标销售基准价表和交房标准。</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13、甲方提供的售楼处应符合国家法律法规规定的安全生产有关条件。</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14、甲方对因该物业本身权属、质量或销售资格而引致的纠纷自行承担责任。</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15、甲方提供给乙方的一切商业秘密资料、知识产权资料属于甲方所有。甲方因履行合同需要提供给乙方的上述各项资料仅为乙方履行相关合同义务需要，不表示甲方的其它任何授权或转让。</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w:t>
      </w:r>
      <w:r>
        <w:rPr>
          <w:rFonts w:hint="eastAsia"/>
          <w:snapToGrid w:val="0"/>
          <w:color w:val="auto"/>
          <w:sz w:val="24"/>
          <w:szCs w:val="24"/>
        </w:rPr>
        <w:t xml:space="preserve">6 </w:t>
      </w:r>
      <w:r>
        <w:rPr>
          <w:snapToGrid w:val="0"/>
          <w:color w:val="auto"/>
          <w:sz w:val="24"/>
          <w:szCs w:val="24"/>
        </w:rPr>
        <w:t>、合同签订后，乙方不满足甲方要求的，甲方有权解除合同。</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第九条  乙方权利与义务</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1、乙方有责任为甲方保守相关的商业秘密包括但不限于：项目成本、客户资料、营销方案等及甲方不愿向外透露的其他信息。</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2、按本合同约定计划完成</w:t>
      </w:r>
      <w:r>
        <w:rPr>
          <w:rFonts w:hint="eastAsia"/>
          <w:snapToGrid w:val="0"/>
          <w:color w:val="auto"/>
          <w:sz w:val="24"/>
          <w:szCs w:val="24"/>
        </w:rPr>
        <w:t>全程</w:t>
      </w:r>
      <w:r>
        <w:rPr>
          <w:snapToGrid w:val="0"/>
          <w:color w:val="auto"/>
          <w:sz w:val="24"/>
          <w:szCs w:val="24"/>
        </w:rPr>
        <w:t>策划</w:t>
      </w:r>
      <w:r>
        <w:rPr>
          <w:rFonts w:hint="eastAsia"/>
          <w:snapToGrid w:val="0"/>
          <w:color w:val="auto"/>
          <w:sz w:val="24"/>
          <w:szCs w:val="24"/>
        </w:rPr>
        <w:t>及</w:t>
      </w:r>
      <w:r>
        <w:rPr>
          <w:snapToGrid w:val="0"/>
          <w:color w:val="auto"/>
          <w:sz w:val="24"/>
          <w:szCs w:val="24"/>
        </w:rPr>
        <w:t>销售工作。按照有关法律规定和本合同约定为甲方提供</w:t>
      </w:r>
      <w:r>
        <w:rPr>
          <w:rFonts w:hint="eastAsia"/>
          <w:snapToGrid w:val="0"/>
          <w:color w:val="auto"/>
          <w:sz w:val="24"/>
          <w:szCs w:val="24"/>
        </w:rPr>
        <w:t>策划及</w:t>
      </w:r>
      <w:r>
        <w:rPr>
          <w:snapToGrid w:val="0"/>
          <w:color w:val="auto"/>
          <w:sz w:val="24"/>
          <w:szCs w:val="24"/>
        </w:rPr>
        <w:t>销售代理服务，对甲方所委托事项按时、保质、准确完成。</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3、不得以甲方的名义进行本合同约定之外的业务，不得借甲方的客户资源发展各种客户俱乐部或用于与本项目无关的任何其他用途；不得超出甲方认可的宣传资料范围进行宣传和推广；</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4、乙方应严格执行双方同意后的有关项目市场策划、销售各方面的策略和决定。如乙方有异议，应及时以书面形式向甲方提出；如甲方坚持原策略和决定不变，应无条件执行甲方的策略和决定。</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5、乙方在销售过程中，应按照双方书面确认销售资料、认购方式、销售价格、付款方式、销售策略、促销、折扣办法等执行有关现场接待、销售认购等工作，非经甲方书面同意，乙方不得更改执行任何有关规定或决议，不得夸大、隐瞒、虚假、过度承诺、抬价、擅自收佣等行为。因乙方不当的销售行为，引起的客户投诉或纠纷所产生的所有费用及后果均由乙方承担。</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6、乙方应对每一个专项销售人员（包括乙方后期补充的销售人员）进行全面售前培训，保证每一销售人员具有符合行业标准和法律规定的专业质素和综合素质，如有关销售人员不合格或不称职，甲方有权要求乙方予以撤换处理，同时乙方应承担由此导致的一切损失和责任。</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7、因乙方原因导致甲方退还购房款、向认购者支付违约金及赔偿损失的，或因乙方原因导致甲方直接损失的（如售楼款减少或损失），乙方应向甲方承担赔偿责任。乙方原因引起认购者索赔或直接造成甲方损失，包括但不限于以下情形：</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乙方填写或审查《商品房买卖合同》出现疏漏。包括但不限于以下情形：价格填写错误，面积填写错误，交付期限填写错误，标的物（如楼号、房号、楼层等）确定错误，房屋结构、环境、附属设施等承诺或约定错误，合同留有空白栏目被他人恶意填充对甲方不利内容，合同留有空白栏目给甲方履行合同带来障碍（如认购人联系方式空白等）。无论甲方人员是否协助乙方审查合同，乙方均不得推卸审查合同出现疏漏的过失责任。</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（2）重复销售（一房两卖或多卖）。</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（3）乙方或乙方销售人员进行虚假宣传或虚假承诺（包括口头方式），经甲方查证属实，属误导认购者签订合同。</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（4）乙方或乙方销售人员自行收取房款或其他费用。</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（5）因乙方原因造成与认购者结算错误。</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（6）经甲方确认的商业机密、客户相关资料，乙方泄漏给第三方，给甲方或项目造成损失的。</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（7）因乙方其他原因导致甲方与认购者发生纠纷造成甲方损失。</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8、乙方在经营活动中，应当自觉维护和提升甲方企业形象；</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9、乙方自行承担以下费用：</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（1）乙方负责提供本项目销售人员在现场所</w:t>
      </w:r>
      <w:r>
        <w:rPr>
          <w:rFonts w:hint="eastAsia"/>
          <w:snapToGrid w:val="0"/>
          <w:color w:val="auto"/>
          <w:sz w:val="24"/>
          <w:szCs w:val="24"/>
        </w:rPr>
        <w:t>需</w:t>
      </w:r>
      <w:r>
        <w:rPr>
          <w:snapToGrid w:val="0"/>
          <w:color w:val="auto"/>
          <w:sz w:val="24"/>
          <w:szCs w:val="24"/>
        </w:rPr>
        <w:t>的个人办公</w:t>
      </w:r>
      <w:r>
        <w:rPr>
          <w:rFonts w:hint="eastAsia"/>
          <w:snapToGrid w:val="0"/>
          <w:color w:val="auto"/>
          <w:sz w:val="24"/>
          <w:szCs w:val="24"/>
        </w:rPr>
        <w:t>用品</w:t>
      </w:r>
      <w:r>
        <w:rPr>
          <w:snapToGrid w:val="0"/>
          <w:color w:val="auto"/>
          <w:sz w:val="24"/>
          <w:szCs w:val="24"/>
        </w:rPr>
        <w:t>（</w:t>
      </w:r>
      <w:r>
        <w:rPr>
          <w:rFonts w:hint="eastAsia"/>
          <w:snapToGrid w:val="0"/>
          <w:color w:val="auto"/>
          <w:sz w:val="24"/>
          <w:szCs w:val="24"/>
        </w:rPr>
        <w:t>包括但不限于电脑、</w:t>
      </w:r>
      <w:r>
        <w:rPr>
          <w:snapToGrid w:val="0"/>
          <w:color w:val="auto"/>
          <w:sz w:val="24"/>
          <w:szCs w:val="24"/>
        </w:rPr>
        <w:t>名片、工牌、笔、文件夹、文件栏、计算器、膳杂费等）由乙方自行承担。</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（2）</w:t>
      </w:r>
      <w:r>
        <w:rPr>
          <w:rFonts w:hint="eastAsia"/>
          <w:snapToGrid w:val="0"/>
          <w:color w:val="auto"/>
          <w:sz w:val="24"/>
          <w:szCs w:val="24"/>
        </w:rPr>
        <w:t>乙方</w:t>
      </w:r>
      <w:r>
        <w:rPr>
          <w:snapToGrid w:val="0"/>
          <w:color w:val="auto"/>
          <w:sz w:val="24"/>
          <w:szCs w:val="24"/>
        </w:rPr>
        <w:t>负责项目售楼的办公设备</w:t>
      </w:r>
      <w:r>
        <w:rPr>
          <w:rFonts w:hint="eastAsia"/>
          <w:snapToGrid w:val="0"/>
          <w:color w:val="auto"/>
          <w:sz w:val="24"/>
          <w:szCs w:val="24"/>
        </w:rPr>
        <w:t>、设施</w:t>
      </w:r>
      <w:r>
        <w:rPr>
          <w:snapToGrid w:val="0"/>
          <w:color w:val="auto"/>
          <w:sz w:val="24"/>
          <w:szCs w:val="24"/>
        </w:rPr>
        <w:t>（包括</w:t>
      </w:r>
      <w:r>
        <w:rPr>
          <w:rFonts w:hint="eastAsia"/>
          <w:snapToGrid w:val="0"/>
          <w:color w:val="auto"/>
          <w:sz w:val="24"/>
          <w:szCs w:val="24"/>
        </w:rPr>
        <w:t>但不限于</w:t>
      </w:r>
      <w:r>
        <w:rPr>
          <w:snapToGrid w:val="0"/>
          <w:color w:val="auto"/>
          <w:sz w:val="24"/>
          <w:szCs w:val="24"/>
        </w:rPr>
        <w:t>销售所需的电脑、打印机、传真机、复印机、电话机</w:t>
      </w:r>
      <w:r>
        <w:rPr>
          <w:rFonts w:hint="eastAsia"/>
          <w:snapToGrid w:val="0"/>
          <w:color w:val="auto"/>
          <w:sz w:val="24"/>
          <w:szCs w:val="24"/>
        </w:rPr>
        <w:t>、办公家具</w:t>
      </w:r>
      <w:r>
        <w:rPr>
          <w:snapToGrid w:val="0"/>
          <w:color w:val="auto"/>
          <w:sz w:val="24"/>
          <w:szCs w:val="24"/>
        </w:rPr>
        <w:t>等）</w:t>
      </w:r>
      <w:r>
        <w:rPr>
          <w:rFonts w:hint="eastAsia"/>
          <w:snapToGrid w:val="0"/>
          <w:color w:val="auto"/>
          <w:sz w:val="24"/>
          <w:szCs w:val="24"/>
        </w:rPr>
        <w:t>使用过程中所需的耗材及维护维修费。</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w:t>
      </w:r>
      <w:r>
        <w:rPr>
          <w:rFonts w:hint="eastAsia"/>
          <w:snapToGrid w:val="0"/>
          <w:color w:val="auto"/>
          <w:sz w:val="24"/>
          <w:szCs w:val="24"/>
        </w:rPr>
        <w:t>3</w:t>
      </w:r>
      <w:r>
        <w:rPr>
          <w:snapToGrid w:val="0"/>
          <w:color w:val="auto"/>
          <w:sz w:val="24"/>
          <w:szCs w:val="24"/>
        </w:rPr>
        <w:t>）乙方</w:t>
      </w:r>
      <w:r>
        <w:rPr>
          <w:rFonts w:hint="eastAsia"/>
          <w:snapToGrid w:val="0"/>
          <w:color w:val="auto"/>
          <w:sz w:val="24"/>
          <w:szCs w:val="24"/>
        </w:rPr>
        <w:t>负责售楼部、样板房的物业和保安费用。</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w:t>
      </w:r>
      <w:r>
        <w:rPr>
          <w:rFonts w:hint="eastAsia"/>
          <w:snapToGrid w:val="0"/>
          <w:color w:val="auto"/>
          <w:sz w:val="24"/>
          <w:szCs w:val="24"/>
        </w:rPr>
        <w:t>4</w:t>
      </w:r>
      <w:r>
        <w:rPr>
          <w:snapToGrid w:val="0"/>
          <w:color w:val="auto"/>
          <w:sz w:val="24"/>
          <w:szCs w:val="24"/>
        </w:rPr>
        <w:t>）</w:t>
      </w:r>
      <w:r>
        <w:rPr>
          <w:rFonts w:hint="eastAsia"/>
          <w:snapToGrid w:val="0"/>
          <w:color w:val="auto"/>
          <w:sz w:val="24"/>
          <w:szCs w:val="24"/>
        </w:rPr>
        <w:t>乙方负责售楼部、样板房装饰设计费。</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w:t>
      </w:r>
      <w:r>
        <w:rPr>
          <w:rFonts w:hint="eastAsia"/>
          <w:snapToGrid w:val="0"/>
          <w:color w:val="auto"/>
          <w:sz w:val="24"/>
          <w:szCs w:val="24"/>
        </w:rPr>
        <w:t>5</w:t>
      </w:r>
      <w:r>
        <w:rPr>
          <w:snapToGrid w:val="0"/>
          <w:color w:val="auto"/>
          <w:sz w:val="24"/>
          <w:szCs w:val="24"/>
        </w:rPr>
        <w:t>）乙方负责</w:t>
      </w:r>
      <w:r>
        <w:rPr>
          <w:rFonts w:hint="eastAsia"/>
          <w:snapToGrid w:val="0"/>
          <w:color w:val="auto"/>
          <w:sz w:val="24"/>
          <w:szCs w:val="24"/>
        </w:rPr>
        <w:t>普通微信公众平台的建立及公众平台运营策划推广费用。</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w:t>
      </w:r>
      <w:r>
        <w:rPr>
          <w:rFonts w:hint="eastAsia"/>
          <w:snapToGrid w:val="0"/>
          <w:color w:val="auto"/>
          <w:sz w:val="24"/>
          <w:szCs w:val="24"/>
        </w:rPr>
        <w:t>6</w:t>
      </w:r>
      <w:r>
        <w:rPr>
          <w:snapToGrid w:val="0"/>
          <w:color w:val="auto"/>
          <w:sz w:val="24"/>
          <w:szCs w:val="24"/>
        </w:rPr>
        <w:t>）除非本合同另有约定，乙方自行承担其履行本合同约定的相应义务所产生的一切费用和责任。乙方派驻项目销售现场的工作人员及其他人员，其所有费用与劳保责任（包括但不限于工资、福利、奖金、交通费、差旅费、各类补贴及其他费用等）均由乙方负责。</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w:t>
      </w:r>
      <w:r>
        <w:rPr>
          <w:rFonts w:hint="eastAsia"/>
          <w:snapToGrid w:val="0"/>
          <w:color w:val="auto"/>
          <w:sz w:val="24"/>
          <w:szCs w:val="24"/>
        </w:rPr>
        <w:t>7</w:t>
      </w:r>
      <w:r>
        <w:rPr>
          <w:snapToGrid w:val="0"/>
          <w:color w:val="auto"/>
          <w:sz w:val="24"/>
          <w:szCs w:val="24"/>
        </w:rPr>
        <w:t>）乙方指派到项目销售现场的工作人员，均须统一佩戴甲方要求的工作牌，</w:t>
      </w:r>
    </w:p>
    <w:p>
      <w:pPr>
        <w:widowControl/>
        <w:tabs>
          <w:tab w:val="left" w:pos="0"/>
          <w:tab w:val="left" w:pos="1134"/>
        </w:tabs>
        <w:adjustRightInd w:val="0"/>
        <w:snapToGrid w:val="0"/>
        <w:spacing w:line="460" w:lineRule="exact"/>
        <w:rPr>
          <w:snapToGrid w:val="0"/>
          <w:color w:val="auto"/>
          <w:sz w:val="24"/>
          <w:szCs w:val="24"/>
        </w:rPr>
      </w:pPr>
      <w:r>
        <w:rPr>
          <w:snapToGrid w:val="0"/>
          <w:color w:val="auto"/>
          <w:sz w:val="24"/>
          <w:szCs w:val="24"/>
        </w:rPr>
        <w:t>乙方未经甲方认可不得擅自更换。乙方制服应与甲方保持统一，乙方自行承担乙方人员服装制作费用。</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10、乙方应保证策划或代销工作符合相关法律、法规、规章和其他规范性文件，因乙方工作违法、违规造成的责任及后果（包括行政罚款、对第三方侵权或违约的赔偿等），均由乙方承担。</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11、在销售过程中如遇意外或紧急情况，除非双方已协商明确，否则乙方有关工作人员应先听从甲方的有关安排和指挥，不得擅自做主，否则甲方有权不予追认，由此产生的后果由乙方承担。</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12、乙方负责营销策划及销售人员（包括临时聘用人员）的人身财产安全工作，发生乙方人员人身伤害或财产损失的，甲方不承担责任。</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13、乙方应按甲方下发的指正函的规定，纠正违约行为或不当行为。</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14、乙方未经甲方同意私收房款、预订款以及其它挪用行为，按发生金额的十倍给予处罚。</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第十条  项目广告及营销推广费用</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1</w:t>
      </w:r>
      <w:r>
        <w:rPr>
          <w:snapToGrid w:val="0"/>
          <w:color w:val="auto"/>
          <w:sz w:val="24"/>
          <w:szCs w:val="24"/>
        </w:rPr>
        <w:t>、</w:t>
      </w:r>
      <w:r>
        <w:rPr>
          <w:rFonts w:hint="eastAsia"/>
          <w:snapToGrid w:val="0"/>
          <w:color w:val="auto"/>
          <w:sz w:val="24"/>
          <w:szCs w:val="24"/>
        </w:rPr>
        <w:t>项目营销推广费不得高于销售总额的1%，</w:t>
      </w:r>
      <w:r>
        <w:rPr>
          <w:snapToGrid w:val="0"/>
          <w:color w:val="auto"/>
          <w:sz w:val="24"/>
          <w:szCs w:val="24"/>
        </w:rPr>
        <w:t>项目广告及项目营销推广费用</w:t>
      </w:r>
      <w:r>
        <w:rPr>
          <w:rFonts w:hint="eastAsia"/>
          <w:snapToGrid w:val="0"/>
          <w:color w:val="auto"/>
          <w:sz w:val="24"/>
          <w:szCs w:val="24"/>
        </w:rPr>
        <w:t>不含售楼部、样板房的装修、微信公众平台及</w:t>
      </w:r>
      <w:r>
        <w:rPr>
          <w:snapToGrid w:val="0"/>
          <w:color w:val="auto"/>
          <w:sz w:val="24"/>
          <w:szCs w:val="24"/>
        </w:rPr>
        <w:t>制作费用由甲方承担，由甲方直接向业务承揽单位支付。</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2、本项目乙方提交的项目广告和营销推广方案，需经甲方同意后方可实施。</w:t>
      </w:r>
    </w:p>
    <w:p>
      <w:pPr>
        <w:widowControl/>
        <w:tabs>
          <w:tab w:val="left" w:pos="0"/>
          <w:tab w:val="left" w:pos="1134"/>
        </w:tabs>
        <w:adjustRightInd w:val="0"/>
        <w:snapToGrid w:val="0"/>
        <w:spacing w:line="460" w:lineRule="exact"/>
        <w:ind w:firstLine="470" w:firstLineChars="196"/>
        <w:rPr>
          <w:b/>
          <w:snapToGrid w:val="0"/>
          <w:color w:val="auto"/>
          <w:sz w:val="24"/>
          <w:szCs w:val="24"/>
        </w:rPr>
      </w:pPr>
      <w:r>
        <w:rPr>
          <w:b/>
          <w:snapToGrid w:val="0"/>
          <w:color w:val="auto"/>
          <w:sz w:val="24"/>
          <w:szCs w:val="24"/>
        </w:rPr>
        <w:t>第十一条  项目策划费</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甲方委托乙方策划并代理销售，其全部收费仅限为销售代理费，乙方本项目策划服务费包含在销售代理费内，不另行支付。</w:t>
      </w:r>
    </w:p>
    <w:p>
      <w:pPr>
        <w:widowControl/>
        <w:tabs>
          <w:tab w:val="left" w:pos="0"/>
          <w:tab w:val="left" w:pos="1134"/>
        </w:tabs>
        <w:adjustRightInd w:val="0"/>
        <w:snapToGrid w:val="0"/>
        <w:spacing w:line="460" w:lineRule="exact"/>
        <w:ind w:firstLine="470" w:firstLineChars="196"/>
        <w:rPr>
          <w:b/>
          <w:snapToGrid w:val="0"/>
          <w:color w:val="auto"/>
          <w:sz w:val="24"/>
          <w:szCs w:val="24"/>
        </w:rPr>
      </w:pPr>
      <w:r>
        <w:rPr>
          <w:b/>
          <w:snapToGrid w:val="0"/>
          <w:color w:val="auto"/>
          <w:sz w:val="24"/>
          <w:szCs w:val="24"/>
        </w:rPr>
        <w:t>第十二条   </w:t>
      </w:r>
      <w:r>
        <w:rPr>
          <w:rFonts w:hint="eastAsia"/>
          <w:b/>
          <w:snapToGrid w:val="0"/>
          <w:color w:val="auto"/>
          <w:sz w:val="24"/>
          <w:szCs w:val="24"/>
        </w:rPr>
        <w:t>策划及</w:t>
      </w:r>
      <w:r>
        <w:rPr>
          <w:b/>
          <w:snapToGrid w:val="0"/>
          <w:color w:val="auto"/>
          <w:sz w:val="24"/>
          <w:szCs w:val="24"/>
        </w:rPr>
        <w:t>销售代理费及支付</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1、取费标准：</w:t>
      </w:r>
      <w:r>
        <w:rPr>
          <w:rFonts w:hint="eastAsia"/>
          <w:snapToGrid w:val="0"/>
          <w:color w:val="auto"/>
          <w:sz w:val="24"/>
          <w:szCs w:val="24"/>
        </w:rPr>
        <w:t xml:space="preserve"> </w:t>
      </w:r>
      <w:r>
        <w:rPr>
          <w:snapToGrid w:val="0"/>
          <w:color w:val="auto"/>
          <w:sz w:val="24"/>
          <w:szCs w:val="24"/>
        </w:rPr>
        <w:t>（代理佣金均已含税金</w:t>
      </w:r>
      <w:r>
        <w:rPr>
          <w:rFonts w:hint="eastAsia"/>
          <w:snapToGrid w:val="0"/>
          <w:color w:val="auto"/>
          <w:sz w:val="24"/>
          <w:szCs w:val="24"/>
        </w:rPr>
        <w:t>等全部费用</w:t>
      </w:r>
      <w:r>
        <w:rPr>
          <w:snapToGrid w:val="0"/>
          <w:color w:val="auto"/>
          <w:sz w:val="24"/>
          <w:szCs w:val="24"/>
        </w:rPr>
        <w:t>）</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2、策划及销售代理费的支付方式：</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（1）销售代理</w:t>
      </w:r>
      <w:r>
        <w:rPr>
          <w:rFonts w:hint="eastAsia"/>
          <w:snapToGrid w:val="0"/>
          <w:color w:val="auto"/>
          <w:sz w:val="24"/>
          <w:szCs w:val="24"/>
        </w:rPr>
        <w:t>服务</w:t>
      </w:r>
      <w:r>
        <w:rPr>
          <w:snapToGrid w:val="0"/>
          <w:color w:val="auto"/>
          <w:sz w:val="24"/>
          <w:szCs w:val="24"/>
        </w:rPr>
        <w:t>费按照合同约定销售代理费率收取。甲方按月向乙方支付</w:t>
      </w:r>
      <w:r>
        <w:rPr>
          <w:rFonts w:hint="eastAsia"/>
          <w:snapToGrid w:val="0"/>
          <w:color w:val="auto"/>
          <w:sz w:val="24"/>
          <w:szCs w:val="24"/>
        </w:rPr>
        <w:t>策划及</w:t>
      </w:r>
      <w:r>
        <w:rPr>
          <w:snapToGrid w:val="0"/>
          <w:color w:val="auto"/>
          <w:sz w:val="24"/>
          <w:szCs w:val="24"/>
        </w:rPr>
        <w:t>销售代理费。本月应付</w:t>
      </w:r>
      <w:r>
        <w:rPr>
          <w:rFonts w:hint="eastAsia"/>
          <w:snapToGrid w:val="0"/>
          <w:color w:val="auto"/>
          <w:sz w:val="24"/>
          <w:szCs w:val="24"/>
        </w:rPr>
        <w:t>策划及</w:t>
      </w:r>
      <w:r>
        <w:rPr>
          <w:snapToGrid w:val="0"/>
          <w:color w:val="auto"/>
          <w:sz w:val="24"/>
          <w:szCs w:val="24"/>
        </w:rPr>
        <w:t>销售代理费=</w:t>
      </w:r>
      <w:r>
        <w:rPr>
          <w:rFonts w:hint="eastAsia"/>
          <w:snapToGrid w:val="0"/>
          <w:color w:val="auto"/>
          <w:sz w:val="24"/>
          <w:szCs w:val="24"/>
        </w:rPr>
        <w:t>实际回款</w:t>
      </w:r>
      <w:r>
        <w:rPr>
          <w:snapToGrid w:val="0"/>
          <w:color w:val="auto"/>
          <w:sz w:val="24"/>
          <w:szCs w:val="24"/>
        </w:rPr>
        <w:t>到账购房款</w:t>
      </w:r>
      <w:r>
        <w:rPr>
          <w:rFonts w:hint="eastAsia"/>
          <w:snapToGrid w:val="0"/>
          <w:color w:val="auto"/>
          <w:sz w:val="24"/>
          <w:szCs w:val="24"/>
        </w:rPr>
        <w:t>的70%</w:t>
      </w:r>
      <w:r>
        <w:rPr>
          <w:snapToGrid w:val="0"/>
          <w:color w:val="auto"/>
          <w:sz w:val="24"/>
          <w:szCs w:val="24"/>
        </w:rPr>
        <w:t>×</w:t>
      </w:r>
      <w:r>
        <w:rPr>
          <w:rFonts w:hint="eastAsia"/>
          <w:snapToGrid w:val="0"/>
          <w:color w:val="auto"/>
          <w:sz w:val="24"/>
          <w:szCs w:val="24"/>
        </w:rPr>
        <w:t>销售</w:t>
      </w:r>
      <w:r>
        <w:rPr>
          <w:rFonts w:hint="eastAsia"/>
          <w:snapToGrid w:val="0"/>
          <w:color w:val="auto"/>
          <w:sz w:val="24"/>
          <w:szCs w:val="24"/>
          <w:u w:val="single"/>
        </w:rPr>
        <w:t>代理服务费率</w:t>
      </w:r>
    </w:p>
    <w:p>
      <w:pPr>
        <w:widowControl/>
        <w:numPr>
          <w:ilvl w:val="0"/>
          <w:numId w:val="59"/>
        </w:numPr>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乙方在每月30日前</w:t>
      </w:r>
      <w:r>
        <w:rPr>
          <w:rFonts w:hint="eastAsia"/>
          <w:snapToGrid w:val="0"/>
          <w:color w:val="auto"/>
          <w:sz w:val="24"/>
          <w:szCs w:val="24"/>
        </w:rPr>
        <w:t>将上月购房客户签订《商品房预（销）售合同》，交清购房首付款并到达甲方指定账户并办理万按揭手续</w:t>
      </w:r>
      <w:r>
        <w:rPr>
          <w:snapToGrid w:val="0"/>
          <w:color w:val="auto"/>
          <w:sz w:val="24"/>
          <w:szCs w:val="24"/>
        </w:rPr>
        <w:t>，报甲方审核，经审核无误后，甲方将于下月20日之前将该笔</w:t>
      </w:r>
      <w:r>
        <w:rPr>
          <w:rFonts w:hint="eastAsia"/>
          <w:snapToGrid w:val="0"/>
          <w:color w:val="auto"/>
          <w:sz w:val="24"/>
          <w:szCs w:val="24"/>
        </w:rPr>
        <w:t>实际回款</w:t>
      </w:r>
      <w:r>
        <w:rPr>
          <w:snapToGrid w:val="0"/>
          <w:color w:val="auto"/>
          <w:sz w:val="24"/>
          <w:szCs w:val="24"/>
        </w:rPr>
        <w:t>到账购房款销售代理费的</w:t>
      </w:r>
      <w:r>
        <w:rPr>
          <w:rFonts w:hint="eastAsia"/>
          <w:snapToGrid w:val="0"/>
          <w:color w:val="auto"/>
          <w:sz w:val="24"/>
          <w:szCs w:val="24"/>
          <w:u w:val="single"/>
        </w:rPr>
        <w:t xml:space="preserve"> 20 </w:t>
      </w:r>
      <w:r>
        <w:rPr>
          <w:snapToGrid w:val="0"/>
          <w:color w:val="auto"/>
          <w:sz w:val="24"/>
          <w:szCs w:val="24"/>
        </w:rPr>
        <w:t>%支付给乙方。</w:t>
      </w:r>
      <w:r>
        <w:rPr>
          <w:rFonts w:hint="eastAsia"/>
          <w:snapToGrid w:val="0"/>
          <w:color w:val="auto"/>
          <w:sz w:val="24"/>
          <w:szCs w:val="24"/>
        </w:rPr>
        <w:t>剩余10%清盘后按合同销售考核指标予以结算。</w:t>
      </w:r>
    </w:p>
    <w:p>
      <w:pPr>
        <w:widowControl/>
        <w:numPr>
          <w:ilvl w:val="0"/>
          <w:numId w:val="59"/>
        </w:numPr>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甲方每次向乙方支付服务报酬前，乙方应向甲方开具合法有效等额发票，否则甲方有权顺延付款期限，乙方不得因此拒绝或中止提供服务。</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2、结算条件：</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（1）按揭或公积金付款的单位：客户付清首期款并签订买卖合同，按揭贷款</w:t>
      </w:r>
      <w:r>
        <w:rPr>
          <w:rFonts w:hint="eastAsia"/>
          <w:snapToGrid w:val="0"/>
          <w:color w:val="auto"/>
          <w:sz w:val="24"/>
          <w:szCs w:val="24"/>
        </w:rPr>
        <w:t>或公积金贷款全额到账</w:t>
      </w:r>
      <w:r>
        <w:rPr>
          <w:snapToGrid w:val="0"/>
          <w:color w:val="auto"/>
          <w:sz w:val="24"/>
          <w:szCs w:val="24"/>
        </w:rPr>
        <w:t>。</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（2）一次性付款的单位：客户付清全部房款并签订买卖合同，且完成房地局备案及预告登记。</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（3）分期付款或其他方式付款的单位，客户付清全部房款并签订买卖合同，且完成房产局备案及预告登记。</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3、乙方在销售期间不得以任何形式向购房客户收取其他费用。乙方在本项目的全部收入仅限于本合同约定销售代理佣金，本合同中所有佣金均以人民币结算。乙方若出现向客户收取未经甲方同意的其他费用，则视为乙方违约。</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4、由于乙方责任造成客户退房，甲方有权扣除乙方的销售代理费，如果已经计提该房佣金，甲方将从下一笔佣金中扣除等额该房已计提佣金。造成甲方损失的由乙方承担赔偿责任。</w:t>
      </w:r>
    </w:p>
    <w:p>
      <w:pPr>
        <w:widowControl/>
        <w:tabs>
          <w:tab w:val="left" w:pos="0"/>
          <w:tab w:val="left" w:pos="1134"/>
        </w:tabs>
        <w:adjustRightInd w:val="0"/>
        <w:snapToGrid w:val="0"/>
        <w:spacing w:line="460" w:lineRule="exact"/>
        <w:ind w:firstLine="360" w:firstLineChars="150"/>
        <w:rPr>
          <w:snapToGrid w:val="0"/>
          <w:color w:val="auto"/>
          <w:sz w:val="24"/>
          <w:szCs w:val="24"/>
        </w:rPr>
      </w:pPr>
      <w:r>
        <w:rPr>
          <w:snapToGrid w:val="0"/>
          <w:color w:val="auto"/>
          <w:sz w:val="24"/>
          <w:szCs w:val="24"/>
        </w:rPr>
        <w:t>5、认购者签署认购书违约退房，其被没收的定金甲乙双方各分一半；认购者签署《商品房买卖合同》后违约，则认购者所承担的违约金归甲方所有。</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第十三条  合同的提前解除</w:t>
      </w:r>
    </w:p>
    <w:p>
      <w:pPr>
        <w:widowControl/>
        <w:tabs>
          <w:tab w:val="left" w:pos="0"/>
          <w:tab w:val="left" w:pos="1134"/>
        </w:tabs>
        <w:adjustRightInd w:val="0"/>
        <w:snapToGrid w:val="0"/>
        <w:spacing w:line="460" w:lineRule="exact"/>
        <w:ind w:firstLine="600" w:firstLineChars="250"/>
        <w:rPr>
          <w:snapToGrid w:val="0"/>
          <w:color w:val="auto"/>
          <w:sz w:val="24"/>
          <w:szCs w:val="24"/>
        </w:rPr>
      </w:pPr>
      <w:r>
        <w:rPr>
          <w:snapToGrid w:val="0"/>
          <w:color w:val="auto"/>
          <w:sz w:val="24"/>
          <w:szCs w:val="24"/>
        </w:rPr>
        <w:t>1、有以下情形之一，甲方可提前解除本合同，本合同自甲方解除合同通知到达乙方之日起即行解除：</w:t>
      </w:r>
    </w:p>
    <w:p>
      <w:pPr>
        <w:widowControl/>
        <w:tabs>
          <w:tab w:val="left" w:pos="0"/>
          <w:tab w:val="left" w:pos="1134"/>
        </w:tabs>
        <w:adjustRightInd w:val="0"/>
        <w:snapToGrid w:val="0"/>
        <w:spacing w:line="460" w:lineRule="exact"/>
        <w:ind w:firstLine="523" w:firstLineChars="218"/>
        <w:rPr>
          <w:snapToGrid w:val="0"/>
          <w:color w:val="auto"/>
          <w:sz w:val="24"/>
          <w:szCs w:val="24"/>
        </w:rPr>
      </w:pPr>
      <w:r>
        <w:rPr>
          <w:snapToGrid w:val="0"/>
          <w:color w:val="auto"/>
          <w:sz w:val="24"/>
          <w:szCs w:val="24"/>
        </w:rPr>
        <w:t>（1）乙方向甲方提供的项目总体策划方案不符合甲方要求，乙方按甲方意见修订后仍不符合要求的；</w:t>
      </w:r>
    </w:p>
    <w:p>
      <w:pPr>
        <w:widowControl/>
        <w:tabs>
          <w:tab w:val="left" w:pos="0"/>
          <w:tab w:val="left" w:pos="1134"/>
        </w:tabs>
        <w:adjustRightInd w:val="0"/>
        <w:snapToGrid w:val="0"/>
        <w:spacing w:line="460" w:lineRule="exact"/>
        <w:ind w:firstLine="523" w:firstLineChars="218"/>
        <w:rPr>
          <w:snapToGrid w:val="0"/>
          <w:color w:val="auto"/>
          <w:sz w:val="24"/>
          <w:szCs w:val="24"/>
        </w:rPr>
      </w:pPr>
      <w:r>
        <w:rPr>
          <w:snapToGrid w:val="0"/>
          <w:color w:val="auto"/>
          <w:sz w:val="24"/>
          <w:szCs w:val="24"/>
        </w:rPr>
        <w:t>（2）乙方某一销售计划期销售房屋面积少于本合同第七条规定计划任务的；</w:t>
      </w:r>
    </w:p>
    <w:p>
      <w:pPr>
        <w:widowControl/>
        <w:tabs>
          <w:tab w:val="left" w:pos="0"/>
          <w:tab w:val="left" w:pos="1134"/>
        </w:tabs>
        <w:adjustRightInd w:val="0"/>
        <w:snapToGrid w:val="0"/>
        <w:spacing w:line="460" w:lineRule="exact"/>
        <w:ind w:firstLine="523" w:firstLineChars="218"/>
        <w:rPr>
          <w:snapToGrid w:val="0"/>
          <w:color w:val="auto"/>
          <w:sz w:val="24"/>
          <w:szCs w:val="24"/>
        </w:rPr>
      </w:pPr>
      <w:r>
        <w:rPr>
          <w:snapToGrid w:val="0"/>
          <w:color w:val="auto"/>
          <w:sz w:val="24"/>
          <w:szCs w:val="24"/>
        </w:rPr>
        <w:t>（3）乙方在销售过程中，连续</w:t>
      </w:r>
      <w:r>
        <w:rPr>
          <w:snapToGrid w:val="0"/>
          <w:color w:val="auto"/>
          <w:sz w:val="24"/>
          <w:szCs w:val="24"/>
          <w:u w:val="single"/>
        </w:rPr>
        <w:t xml:space="preserve"> </w:t>
      </w:r>
      <w:r>
        <w:rPr>
          <w:rFonts w:hint="eastAsia"/>
          <w:snapToGrid w:val="0"/>
          <w:color w:val="auto"/>
          <w:sz w:val="24"/>
          <w:szCs w:val="24"/>
          <w:u w:val="single"/>
        </w:rPr>
        <w:t xml:space="preserve">  </w:t>
      </w:r>
      <w:r>
        <w:rPr>
          <w:snapToGrid w:val="0"/>
          <w:color w:val="auto"/>
          <w:sz w:val="24"/>
          <w:szCs w:val="24"/>
          <w:u w:val="single"/>
        </w:rPr>
        <w:t xml:space="preserve"> </w:t>
      </w:r>
      <w:r>
        <w:rPr>
          <w:snapToGrid w:val="0"/>
          <w:color w:val="auto"/>
          <w:sz w:val="24"/>
          <w:szCs w:val="24"/>
        </w:rPr>
        <w:t>次未能完成所规定的销售考核任务；</w:t>
      </w:r>
    </w:p>
    <w:p>
      <w:pPr>
        <w:widowControl/>
        <w:tabs>
          <w:tab w:val="left" w:pos="0"/>
          <w:tab w:val="left" w:pos="1134"/>
        </w:tabs>
        <w:adjustRightInd w:val="0"/>
        <w:snapToGrid w:val="0"/>
        <w:spacing w:line="460" w:lineRule="exact"/>
        <w:ind w:firstLine="523" w:firstLineChars="218"/>
        <w:rPr>
          <w:snapToGrid w:val="0"/>
          <w:color w:val="auto"/>
          <w:sz w:val="24"/>
          <w:szCs w:val="24"/>
        </w:rPr>
      </w:pPr>
      <w:r>
        <w:rPr>
          <w:snapToGrid w:val="0"/>
          <w:color w:val="auto"/>
          <w:sz w:val="24"/>
          <w:szCs w:val="24"/>
        </w:rPr>
        <w:t>（4）未经甲方同意，在代理期限内接受其他与本合同项下楼盘具有竞争关系楼盘的销售代理委托的；</w:t>
      </w:r>
    </w:p>
    <w:p>
      <w:pPr>
        <w:widowControl/>
        <w:tabs>
          <w:tab w:val="left" w:pos="0"/>
          <w:tab w:val="left" w:pos="1134"/>
        </w:tabs>
        <w:adjustRightInd w:val="0"/>
        <w:snapToGrid w:val="0"/>
        <w:spacing w:line="460" w:lineRule="exact"/>
        <w:ind w:firstLine="523" w:firstLineChars="218"/>
        <w:rPr>
          <w:snapToGrid w:val="0"/>
          <w:color w:val="auto"/>
          <w:sz w:val="24"/>
          <w:szCs w:val="24"/>
        </w:rPr>
      </w:pPr>
      <w:r>
        <w:rPr>
          <w:snapToGrid w:val="0"/>
          <w:color w:val="auto"/>
          <w:sz w:val="24"/>
          <w:szCs w:val="24"/>
        </w:rPr>
        <w:t xml:space="preserve">（5）乙方未按甲方工作联系单完成工作任务，累计达三次或以上的； </w:t>
      </w:r>
    </w:p>
    <w:p>
      <w:pPr>
        <w:widowControl/>
        <w:tabs>
          <w:tab w:val="left" w:pos="0"/>
          <w:tab w:val="left" w:pos="1134"/>
        </w:tabs>
        <w:adjustRightInd w:val="0"/>
        <w:snapToGrid w:val="0"/>
        <w:spacing w:line="460" w:lineRule="exact"/>
        <w:ind w:firstLine="523" w:firstLineChars="218"/>
        <w:rPr>
          <w:snapToGrid w:val="0"/>
          <w:color w:val="auto"/>
          <w:sz w:val="24"/>
          <w:szCs w:val="24"/>
        </w:rPr>
      </w:pPr>
      <w:r>
        <w:rPr>
          <w:snapToGrid w:val="0"/>
          <w:color w:val="auto"/>
          <w:sz w:val="24"/>
          <w:szCs w:val="24"/>
        </w:rPr>
        <w:t>（6）乙方不按甲方指正函要求纠正，累计达三次或以上的；</w:t>
      </w:r>
    </w:p>
    <w:p>
      <w:pPr>
        <w:widowControl/>
        <w:tabs>
          <w:tab w:val="left" w:pos="0"/>
          <w:tab w:val="left" w:pos="1134"/>
        </w:tabs>
        <w:adjustRightInd w:val="0"/>
        <w:snapToGrid w:val="0"/>
        <w:spacing w:line="460" w:lineRule="exact"/>
        <w:ind w:firstLine="523" w:firstLineChars="218"/>
        <w:rPr>
          <w:snapToGrid w:val="0"/>
          <w:color w:val="auto"/>
          <w:sz w:val="24"/>
          <w:szCs w:val="24"/>
        </w:rPr>
      </w:pPr>
      <w:r>
        <w:rPr>
          <w:snapToGrid w:val="0"/>
          <w:color w:val="auto"/>
          <w:sz w:val="24"/>
          <w:szCs w:val="24"/>
        </w:rPr>
        <w:t>（7）乙方未经甲方同意私收房款、预订款或其它挪用行为累计达三次以上的；</w:t>
      </w:r>
    </w:p>
    <w:p>
      <w:pPr>
        <w:widowControl/>
        <w:tabs>
          <w:tab w:val="left" w:pos="0"/>
          <w:tab w:val="left" w:pos="1134"/>
        </w:tabs>
        <w:adjustRightInd w:val="0"/>
        <w:snapToGrid w:val="0"/>
        <w:spacing w:line="460" w:lineRule="exact"/>
        <w:ind w:firstLine="523" w:firstLineChars="218"/>
        <w:rPr>
          <w:snapToGrid w:val="0"/>
          <w:color w:val="auto"/>
          <w:sz w:val="24"/>
          <w:szCs w:val="24"/>
        </w:rPr>
      </w:pPr>
      <w:r>
        <w:rPr>
          <w:snapToGrid w:val="0"/>
          <w:color w:val="auto"/>
          <w:sz w:val="24"/>
          <w:szCs w:val="24"/>
        </w:rPr>
        <w:t>（8）因乙方工作人员的不当行为造成客户聚集事件或引起法律诉讼（仲裁）或索赔的。</w:t>
      </w:r>
    </w:p>
    <w:p>
      <w:pPr>
        <w:widowControl/>
        <w:tabs>
          <w:tab w:val="left" w:pos="0"/>
          <w:tab w:val="left" w:pos="1134"/>
        </w:tabs>
        <w:adjustRightInd w:val="0"/>
        <w:snapToGrid w:val="0"/>
        <w:spacing w:line="460" w:lineRule="exact"/>
        <w:ind w:firstLine="523" w:firstLineChars="218"/>
        <w:rPr>
          <w:snapToGrid w:val="0"/>
          <w:color w:val="auto"/>
          <w:sz w:val="24"/>
          <w:szCs w:val="24"/>
        </w:rPr>
      </w:pPr>
      <w:r>
        <w:rPr>
          <w:snapToGrid w:val="0"/>
          <w:color w:val="auto"/>
          <w:sz w:val="24"/>
          <w:szCs w:val="24"/>
        </w:rPr>
        <w:t>（9）在代理销售过程中乙方有作弊行为等其他严重损害甲方利益的行为的。乙方超越代理权限的。</w:t>
      </w:r>
    </w:p>
    <w:p>
      <w:pPr>
        <w:widowControl/>
        <w:tabs>
          <w:tab w:val="left" w:pos="0"/>
          <w:tab w:val="left" w:pos="1134"/>
        </w:tabs>
        <w:adjustRightInd w:val="0"/>
        <w:snapToGrid w:val="0"/>
        <w:spacing w:line="460" w:lineRule="exact"/>
        <w:ind w:firstLine="523" w:firstLineChars="218"/>
        <w:rPr>
          <w:snapToGrid w:val="0"/>
          <w:color w:val="auto"/>
          <w:sz w:val="24"/>
          <w:szCs w:val="24"/>
        </w:rPr>
      </w:pPr>
      <w:r>
        <w:rPr>
          <w:snapToGrid w:val="0"/>
          <w:color w:val="auto"/>
          <w:sz w:val="24"/>
          <w:szCs w:val="24"/>
        </w:rPr>
        <w:t>（10）乙方在约定期限内没有履行合同义务，在被允许延迟履行的合理期限内仍未履行合同的；</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2、因乙方违约导致合同解除或变更的，给甲方造成的损失以及产生的其他任何费用和后果均由乙方负责承担。</w:t>
      </w:r>
    </w:p>
    <w:p>
      <w:pPr>
        <w:widowControl/>
        <w:tabs>
          <w:tab w:val="left" w:pos="0"/>
          <w:tab w:val="left" w:pos="1134"/>
        </w:tabs>
        <w:adjustRightInd w:val="0"/>
        <w:snapToGrid w:val="0"/>
        <w:spacing w:line="460" w:lineRule="exact"/>
        <w:ind w:firstLine="523" w:firstLineChars="218"/>
        <w:rPr>
          <w:snapToGrid w:val="0"/>
          <w:color w:val="auto"/>
          <w:sz w:val="24"/>
          <w:szCs w:val="24"/>
        </w:rPr>
      </w:pPr>
      <w:r>
        <w:rPr>
          <w:snapToGrid w:val="0"/>
          <w:color w:val="auto"/>
          <w:sz w:val="24"/>
          <w:szCs w:val="24"/>
        </w:rPr>
        <w:t>3、合同解除后，乙方人员应在8小时内撤出销售现场并在三日内向甲方移交全部文件和材料，否则，每逾期一天向甲方缴纳 5000元赔偿金，因乙方滞后退场给甲方造成的损失大于5000元的，甲方有权继续追偿不足部分。</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4、甲方按本合同本条第1款约定提前解除合同的：合同解除发生在代理销售期的，对于全款到帐的房屋所对应的销售代理费，甲乙双方应进行核对，确认尚未支付部分，甲方应在合同解除后向乙方支付该笔款项；对于已签署了《商品房买卖合同》，并按《商品房买卖合同》相关条款要求支付了相应首付款的房屋，甲乙双方应核对实际到帐金额，甲方应在合同解除后7日内向乙方支付该金额所对应的销售代理费（即到帐金额×销售代理费率</w:t>
      </w:r>
      <w:r>
        <w:rPr>
          <w:rFonts w:hint="eastAsia"/>
          <w:snapToGrid w:val="0"/>
          <w:color w:val="auto"/>
          <w:sz w:val="24"/>
          <w:szCs w:val="24"/>
        </w:rPr>
        <w:t>70%</w:t>
      </w:r>
      <w:r>
        <w:rPr>
          <w:snapToGrid w:val="0"/>
          <w:color w:val="auto"/>
          <w:sz w:val="24"/>
          <w:szCs w:val="24"/>
        </w:rPr>
        <w:t>）。</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第十</w:t>
      </w:r>
      <w:r>
        <w:rPr>
          <w:rFonts w:hint="eastAsia"/>
          <w:b/>
          <w:snapToGrid w:val="0"/>
          <w:color w:val="auto"/>
          <w:sz w:val="24"/>
          <w:szCs w:val="24"/>
        </w:rPr>
        <w:t>四</w:t>
      </w:r>
      <w:r>
        <w:rPr>
          <w:b/>
          <w:snapToGrid w:val="0"/>
          <w:color w:val="auto"/>
          <w:sz w:val="24"/>
          <w:szCs w:val="24"/>
        </w:rPr>
        <w:t>条</w:t>
      </w:r>
      <w:r>
        <w:rPr>
          <w:rFonts w:hint="eastAsia"/>
          <w:b/>
          <w:snapToGrid w:val="0"/>
          <w:color w:val="auto"/>
          <w:sz w:val="24"/>
          <w:szCs w:val="24"/>
        </w:rPr>
        <w:t xml:space="preserve"> </w:t>
      </w:r>
      <w:r>
        <w:rPr>
          <w:b/>
          <w:snapToGrid w:val="0"/>
          <w:color w:val="auto"/>
          <w:sz w:val="24"/>
          <w:szCs w:val="24"/>
        </w:rPr>
        <w:t>违约责任</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1、甲方无故解除合同的，对于全款到帐的房屋所对应的销售代理费，甲乙双方应进行核对，确认尚未支付部分，并甲方应在合同解除后7日内向乙方支付该笔款项；对于已签署了</w:t>
      </w:r>
      <w:r>
        <w:rPr>
          <w:rFonts w:hint="eastAsia"/>
          <w:snapToGrid w:val="0"/>
          <w:color w:val="auto"/>
          <w:sz w:val="24"/>
          <w:szCs w:val="24"/>
        </w:rPr>
        <w:t>《商品房买卖合同》</w:t>
      </w:r>
      <w:r>
        <w:rPr>
          <w:snapToGrid w:val="0"/>
          <w:color w:val="auto"/>
          <w:sz w:val="24"/>
          <w:szCs w:val="24"/>
        </w:rPr>
        <w:t>，并按</w:t>
      </w:r>
      <w:r>
        <w:rPr>
          <w:rFonts w:hint="eastAsia"/>
          <w:snapToGrid w:val="0"/>
          <w:color w:val="auto"/>
          <w:sz w:val="24"/>
          <w:szCs w:val="24"/>
        </w:rPr>
        <w:t>《商品房买卖合同》</w:t>
      </w:r>
      <w:r>
        <w:rPr>
          <w:snapToGrid w:val="0"/>
          <w:color w:val="auto"/>
          <w:sz w:val="24"/>
          <w:szCs w:val="24"/>
        </w:rPr>
        <w:t>相关条款要求支付了相应首付款的房屋，甲乙双方应核对实际到帐金额，甲方应在合同解除后7日内向乙方支付该金额所对应的销售代理费。</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2、乙方不能在合理时间内及时、保质提供相关服务的，甲方可要求乙方撤换相关人员。情节严重导致甲方延误商机或造成其他较大损失的，乙方承担相应赔偿责任，并且甲方可随时单方解除本合同。</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3、甲方如发现乙方在销售代理过程中有任何未经甲方许可的销售行为时，甲方有权即时责令乙方停止继续销售该物业，并书面通知乙方终止本合同，由此造成甲方损失的，乙方须全额赔偿。</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4、在销售代理过程中如有因乙方言行不当造成对客户的误导、欺诈等，由此引起法律诉讼或索赔要求时，乙方须负全责，并赔偿甲方因此遭受的损失。如因乙方言行不当对甲方或本项目造成恶劣影响，则甲方有权单方面解除合同，并有权要求乙方采取措施消除对甲方或本项目造成的恶劣影响，并要求乙方赔偿因此导致的全部损失。</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5、因电话回访客户表示不满意乙方接待质量而投诉或因乙方在现场由于接待质量造成客户投诉，甲方有权视情况进行扣分，甲方有权将客户资源重新分配。</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6、乙方销售人员超越代理权限、销售承诺不符、违反国家规定或服务态度恶劣造成客户投诉或相关行政职能部门行政处罚的，乙方应负责解决并承担行政罚款及处理相关问题的费用，由此造成客户或甲方损失的，乙方应当予以赔偿；由此导致客户退房的，甲方向客户支付的违约金及其他赔偿应由乙方赔偿，且甲方有权解除合同。</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7、乙方违反本合同其他条款的，甲方提出整改通知或意见后，乙方应于5个工作日内及时整改，超过5个工作日仍未整改或整改达不到甲方要求的，甲方有权暂缓支付销售佣金或随时书面通知乙方解除本合同。</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8、未经甲方书面同意乙方不得变更任何甲方确定的价格、折扣幅度以及其他销售条件，亦不得对甲方制作的商品房买卖合同及其补充协议书文本、认购协议书文本以及其他销售资料进行任何形式的修改。否则，造成的损失由乙方承担赔偿责任，情节严重时，甲方有权解除本合同。</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9、如出现乙方及乙方相关人员导致甲方客户信息资料外泄，视为乙方管理不善，甲方将扣除乙方</w:t>
      </w:r>
      <w:r>
        <w:rPr>
          <w:rFonts w:hint="eastAsia"/>
          <w:snapToGrid w:val="0"/>
          <w:color w:val="auto"/>
          <w:sz w:val="24"/>
          <w:szCs w:val="24"/>
          <w:u w:val="single"/>
        </w:rPr>
        <w:t xml:space="preserve">  </w:t>
      </w:r>
      <w:r>
        <w:rPr>
          <w:snapToGrid w:val="0"/>
          <w:color w:val="auto"/>
          <w:sz w:val="24"/>
          <w:szCs w:val="24"/>
        </w:rPr>
        <w:t>万元佣金作为违约金，如造成甲方或客户的损失的，乙方应承担赔偿责任。</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10、乙方必须严格规范销售接待及管理工作，并须满足甲方如下月度考核指标：</w:t>
      </w:r>
    </w:p>
    <w:p>
      <w:pPr>
        <w:widowControl/>
        <w:snapToGrid w:val="0"/>
        <w:spacing w:line="460" w:lineRule="exact"/>
        <w:ind w:firstLine="480" w:firstLineChars="200"/>
        <w:rPr>
          <w:snapToGrid w:val="0"/>
          <w:color w:val="auto"/>
          <w:sz w:val="24"/>
          <w:szCs w:val="24"/>
        </w:rPr>
      </w:pPr>
      <w:r>
        <w:rPr>
          <w:snapToGrid w:val="0"/>
          <w:color w:val="auto"/>
          <w:sz w:val="24"/>
          <w:szCs w:val="24"/>
        </w:rPr>
        <w:t>（1）销售接待服务质量投诉率≤</w:t>
      </w:r>
      <w:r>
        <w:rPr>
          <w:rFonts w:hint="eastAsia"/>
          <w:snapToGrid w:val="0"/>
          <w:color w:val="auto"/>
          <w:sz w:val="24"/>
          <w:szCs w:val="24"/>
          <w:u w:val="single"/>
        </w:rPr>
        <w:t xml:space="preserve">   </w:t>
      </w:r>
      <w:r>
        <w:rPr>
          <w:snapToGrid w:val="0"/>
          <w:color w:val="auto"/>
          <w:sz w:val="24"/>
          <w:szCs w:val="24"/>
        </w:rPr>
        <w:t>%，有关销售服务质量客户投诉的处理率达到100%；</w:t>
      </w:r>
    </w:p>
    <w:p>
      <w:pPr>
        <w:widowControl/>
        <w:snapToGrid w:val="0"/>
        <w:spacing w:line="460" w:lineRule="exact"/>
        <w:ind w:firstLine="480" w:firstLineChars="200"/>
        <w:rPr>
          <w:snapToGrid w:val="0"/>
          <w:color w:val="auto"/>
          <w:sz w:val="24"/>
          <w:szCs w:val="24"/>
        </w:rPr>
      </w:pPr>
      <w:r>
        <w:rPr>
          <w:snapToGrid w:val="0"/>
          <w:color w:val="auto"/>
          <w:sz w:val="24"/>
          <w:szCs w:val="24"/>
        </w:rPr>
        <w:t>（2）来访客户信息采集率达到</w:t>
      </w:r>
      <w:r>
        <w:rPr>
          <w:rFonts w:hint="eastAsia"/>
          <w:snapToGrid w:val="0"/>
          <w:color w:val="auto"/>
          <w:sz w:val="24"/>
          <w:szCs w:val="24"/>
          <w:u w:val="single"/>
        </w:rPr>
        <w:t xml:space="preserve">    </w:t>
      </w:r>
      <w:r>
        <w:rPr>
          <w:snapToGrid w:val="0"/>
          <w:color w:val="auto"/>
          <w:sz w:val="24"/>
          <w:szCs w:val="24"/>
        </w:rPr>
        <w:t>%，认筹客户信息采集表及时，准确率达到100%。</w:t>
      </w:r>
    </w:p>
    <w:p>
      <w:pPr>
        <w:widowControl/>
        <w:snapToGrid w:val="0"/>
        <w:spacing w:line="460" w:lineRule="exact"/>
        <w:ind w:firstLine="480" w:firstLineChars="200"/>
        <w:rPr>
          <w:snapToGrid w:val="0"/>
          <w:color w:val="auto"/>
          <w:sz w:val="24"/>
          <w:szCs w:val="24"/>
        </w:rPr>
      </w:pPr>
      <w:r>
        <w:rPr>
          <w:rFonts w:hint="eastAsia"/>
          <w:snapToGrid w:val="0"/>
          <w:color w:val="auto"/>
          <w:sz w:val="24"/>
          <w:szCs w:val="24"/>
        </w:rPr>
        <w:t>（3）</w:t>
      </w:r>
      <w:r>
        <w:rPr>
          <w:snapToGrid w:val="0"/>
          <w:color w:val="auto"/>
          <w:sz w:val="24"/>
          <w:szCs w:val="24"/>
        </w:rPr>
        <w:t>成交客户信息采集表录入及时、准确率达到100%。</w:t>
      </w:r>
    </w:p>
    <w:p>
      <w:pPr>
        <w:widowControl/>
        <w:snapToGrid w:val="0"/>
        <w:spacing w:line="460" w:lineRule="exact"/>
        <w:ind w:firstLine="480" w:firstLineChars="200"/>
        <w:rPr>
          <w:snapToGrid w:val="0"/>
          <w:color w:val="auto"/>
          <w:sz w:val="24"/>
          <w:szCs w:val="24"/>
        </w:rPr>
      </w:pPr>
      <w:r>
        <w:rPr>
          <w:rFonts w:hint="eastAsia"/>
          <w:snapToGrid w:val="0"/>
          <w:color w:val="auto"/>
          <w:sz w:val="24"/>
          <w:szCs w:val="24"/>
        </w:rPr>
        <w:t>（4）</w:t>
      </w:r>
      <w:r>
        <w:rPr>
          <w:snapToGrid w:val="0"/>
          <w:color w:val="auto"/>
          <w:sz w:val="24"/>
          <w:szCs w:val="24"/>
        </w:rPr>
        <w:t>客户明源信息（暂定）录入（含客户信息、特殊情况、信息变更、问卷调查、认购资料、来访及成交、问卷调查、销售日志等认筹及成交等）及时，准确率达到100%。</w:t>
      </w:r>
    </w:p>
    <w:p>
      <w:pPr>
        <w:widowControl/>
        <w:snapToGrid w:val="0"/>
        <w:spacing w:line="460" w:lineRule="exact"/>
        <w:ind w:firstLine="480" w:firstLineChars="200"/>
        <w:rPr>
          <w:snapToGrid w:val="0"/>
          <w:color w:val="auto"/>
          <w:sz w:val="24"/>
          <w:szCs w:val="24"/>
        </w:rPr>
      </w:pPr>
      <w:r>
        <w:rPr>
          <w:rFonts w:hint="eastAsia"/>
          <w:snapToGrid w:val="0"/>
          <w:color w:val="auto"/>
          <w:sz w:val="24"/>
          <w:szCs w:val="24"/>
        </w:rPr>
        <w:t>（5）</w:t>
      </w:r>
      <w:r>
        <w:rPr>
          <w:snapToGrid w:val="0"/>
          <w:color w:val="auto"/>
          <w:sz w:val="24"/>
          <w:szCs w:val="24"/>
        </w:rPr>
        <w:t>客户投诉回复及时率达到100%。</w:t>
      </w:r>
    </w:p>
    <w:p>
      <w:pPr>
        <w:spacing w:line="460" w:lineRule="exact"/>
        <w:rPr>
          <w:snapToGrid w:val="0"/>
          <w:color w:val="auto"/>
          <w:sz w:val="24"/>
          <w:szCs w:val="24"/>
        </w:rPr>
      </w:pPr>
      <w:r>
        <w:rPr>
          <w:snapToGrid w:val="0"/>
          <w:color w:val="auto"/>
          <w:sz w:val="24"/>
          <w:szCs w:val="24"/>
        </w:rPr>
        <w:t xml:space="preserve">    </w:t>
      </w:r>
      <w:r>
        <w:rPr>
          <w:rFonts w:hint="eastAsia"/>
          <w:snapToGrid w:val="0"/>
          <w:color w:val="auto"/>
          <w:sz w:val="24"/>
          <w:szCs w:val="24"/>
        </w:rPr>
        <w:t>（6）</w:t>
      </w:r>
      <w:r>
        <w:rPr>
          <w:snapToGrid w:val="0"/>
          <w:color w:val="auto"/>
          <w:sz w:val="24"/>
          <w:szCs w:val="24"/>
        </w:rPr>
        <w:t>不允许乙方销售办理更名，换房套数应控制在当月销售套数的</w:t>
      </w:r>
      <w:r>
        <w:rPr>
          <w:rFonts w:hint="eastAsia"/>
          <w:snapToGrid w:val="0"/>
          <w:color w:val="auto"/>
          <w:sz w:val="24"/>
          <w:szCs w:val="24"/>
          <w:u w:val="single"/>
        </w:rPr>
        <w:t xml:space="preserve">   </w:t>
      </w:r>
      <w:r>
        <w:rPr>
          <w:snapToGrid w:val="0"/>
          <w:color w:val="auto"/>
          <w:sz w:val="24"/>
          <w:szCs w:val="24"/>
        </w:rPr>
        <w:t>%以内。</w:t>
      </w:r>
    </w:p>
    <w:p>
      <w:pPr>
        <w:spacing w:line="460" w:lineRule="exact"/>
        <w:ind w:firstLine="480" w:firstLineChars="200"/>
        <w:rPr>
          <w:snapToGrid w:val="0"/>
          <w:color w:val="auto"/>
          <w:sz w:val="24"/>
          <w:szCs w:val="24"/>
        </w:rPr>
      </w:pPr>
      <w:r>
        <w:rPr>
          <w:snapToGrid w:val="0"/>
          <w:color w:val="auto"/>
          <w:sz w:val="24"/>
          <w:szCs w:val="24"/>
        </w:rPr>
        <w:t>如乙方未达到上述指标，甲方有权扣除当月佣金的</w:t>
      </w:r>
      <w:r>
        <w:rPr>
          <w:rFonts w:hint="eastAsia"/>
          <w:snapToGrid w:val="0"/>
          <w:color w:val="auto"/>
          <w:sz w:val="24"/>
          <w:szCs w:val="24"/>
          <w:u w:val="single"/>
        </w:rPr>
        <w:t xml:space="preserve">   </w:t>
      </w:r>
      <w:r>
        <w:rPr>
          <w:snapToGrid w:val="0"/>
          <w:color w:val="auto"/>
          <w:sz w:val="24"/>
          <w:szCs w:val="24"/>
        </w:rPr>
        <w:t xml:space="preserve"> %作为违约金，违约金仍无法弥补甲方遭受损失的，乙方仍应承担赔偿责任。</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12、乙方因服务过程中的相关违约、处罚、罚款等费用甲方有权从应付乙方佣金中直接扣除乙方应支付给甲方的违约金等费用，如佣金不够支付相关费用的，甲方有权向乙方追偿。</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13、如发生以下情形的，甲方有权依据现场管理制度进行违约处理，如给甲方或客户造成损失的，乙方应承担赔偿责任，乙方不得有任何异议：</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（1）</w:t>
      </w:r>
      <w:r>
        <w:rPr>
          <w:snapToGrid w:val="0"/>
          <w:color w:val="auto"/>
          <w:sz w:val="24"/>
          <w:szCs w:val="24"/>
        </w:rPr>
        <w:t>甲方有权委托第三方或其员工进行销售现场暗访，如出现接待流程不规范、销售口径与销售手册不符等情况（以录音或视频为据）；</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（2）</w:t>
      </w:r>
      <w:r>
        <w:rPr>
          <w:snapToGrid w:val="0"/>
          <w:color w:val="auto"/>
          <w:sz w:val="24"/>
          <w:szCs w:val="24"/>
        </w:rPr>
        <w:t>乙方各类报表出现错误，发生延期上交或出现表格错误；</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（3）</w:t>
      </w:r>
      <w:r>
        <w:rPr>
          <w:snapToGrid w:val="0"/>
          <w:color w:val="auto"/>
          <w:sz w:val="24"/>
          <w:szCs w:val="24"/>
        </w:rPr>
        <w:t>乙方在销售过程中销售文件签署出现瑕疵。</w:t>
      </w:r>
    </w:p>
    <w:p>
      <w:pPr>
        <w:widowControl/>
        <w:tabs>
          <w:tab w:val="left" w:pos="0"/>
          <w:tab w:val="left" w:pos="1134"/>
        </w:tabs>
        <w:adjustRightInd w:val="0"/>
        <w:snapToGrid w:val="0"/>
        <w:spacing w:line="460" w:lineRule="exact"/>
        <w:ind w:firstLine="480" w:firstLineChars="200"/>
        <w:rPr>
          <w:snapToGrid w:val="0"/>
          <w:color w:val="auto"/>
          <w:sz w:val="24"/>
          <w:szCs w:val="24"/>
        </w:rPr>
      </w:pPr>
      <w:r>
        <w:rPr>
          <w:rFonts w:hint="eastAsia"/>
          <w:snapToGrid w:val="0"/>
          <w:color w:val="auto"/>
          <w:sz w:val="24"/>
          <w:szCs w:val="24"/>
        </w:rPr>
        <w:t>（4）</w:t>
      </w:r>
      <w:r>
        <w:rPr>
          <w:snapToGrid w:val="0"/>
          <w:color w:val="auto"/>
          <w:sz w:val="24"/>
          <w:szCs w:val="24"/>
        </w:rPr>
        <w:t xml:space="preserve"> 如乙方无故终止本合同，乙方不得要求甲方返还履约保证金，不得要求甲方结算销售代理费。</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第十六条</w:t>
      </w:r>
      <w:r>
        <w:rPr>
          <w:rFonts w:hint="eastAsia"/>
          <w:b/>
          <w:snapToGrid w:val="0"/>
          <w:color w:val="auto"/>
          <w:sz w:val="24"/>
          <w:szCs w:val="24"/>
        </w:rPr>
        <w:t xml:space="preserve">  </w:t>
      </w:r>
      <w:r>
        <w:rPr>
          <w:b/>
          <w:snapToGrid w:val="0"/>
          <w:color w:val="auto"/>
          <w:sz w:val="24"/>
          <w:szCs w:val="24"/>
        </w:rPr>
        <w:t>保密责任</w:t>
      </w:r>
    </w:p>
    <w:p>
      <w:pPr>
        <w:widowControl/>
        <w:tabs>
          <w:tab w:val="left" w:pos="0"/>
          <w:tab w:val="left" w:pos="1134"/>
        </w:tabs>
        <w:adjustRightInd w:val="0"/>
        <w:snapToGrid w:val="0"/>
        <w:spacing w:line="460" w:lineRule="exact"/>
        <w:ind w:firstLine="480" w:firstLineChars="200"/>
        <w:rPr>
          <w:b/>
          <w:bCs/>
          <w:snapToGrid w:val="0"/>
          <w:color w:val="auto"/>
          <w:sz w:val="24"/>
          <w:szCs w:val="24"/>
        </w:rPr>
      </w:pPr>
      <w:r>
        <w:rPr>
          <w:snapToGrid w:val="0"/>
          <w:color w:val="auto"/>
          <w:sz w:val="24"/>
          <w:szCs w:val="24"/>
        </w:rPr>
        <w:t>为履行本合同，甲方向乙方提供的经营、业务、产品、技术等有关的文件、信息、图纸及软件等，乙方对甲方所提供的上述资料负有无偿保密义务，并采取一切合理的措施以使其所接受的资料免于散发、传播、披露、复制、滥用及被无关人员接触。</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第十七条</w:t>
      </w:r>
      <w:r>
        <w:rPr>
          <w:rFonts w:hint="eastAsia"/>
          <w:b/>
          <w:snapToGrid w:val="0"/>
          <w:color w:val="auto"/>
          <w:sz w:val="24"/>
          <w:szCs w:val="24"/>
        </w:rPr>
        <w:t xml:space="preserve">  </w:t>
      </w:r>
      <w:r>
        <w:rPr>
          <w:b/>
          <w:snapToGrid w:val="0"/>
          <w:color w:val="auto"/>
          <w:sz w:val="24"/>
          <w:szCs w:val="24"/>
        </w:rPr>
        <w:t>免责条款</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 xml:space="preserve">1、如因不可抗力致使乙方不能按期完成本合同项下之服务内容，乙方不负违约责任； </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2、如因不可抗力致使甲方不能按期履行本合同，甲方不负违约责任。</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第十八条</w:t>
      </w:r>
      <w:r>
        <w:rPr>
          <w:rFonts w:hint="eastAsia"/>
          <w:b/>
          <w:snapToGrid w:val="0"/>
          <w:color w:val="auto"/>
          <w:sz w:val="24"/>
          <w:szCs w:val="24"/>
        </w:rPr>
        <w:t xml:space="preserve">  </w:t>
      </w:r>
      <w:r>
        <w:rPr>
          <w:b/>
          <w:snapToGrid w:val="0"/>
          <w:color w:val="auto"/>
          <w:sz w:val="24"/>
          <w:szCs w:val="24"/>
        </w:rPr>
        <w:t>合同的修改及补充</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本合同条款系由双方在平等、自愿的基础上经过协商并达成一致意见后形成的，未经双方认可，任何一方不得对本合同条款做出修改或补充。一方提出变更并向对方发出书面文字，在双方没有签订补充协议之前，双方仍应履行本合同。</w:t>
      </w:r>
    </w:p>
    <w:p>
      <w:pPr>
        <w:widowControl/>
        <w:tabs>
          <w:tab w:val="left" w:pos="0"/>
          <w:tab w:val="left" w:pos="1134"/>
        </w:tabs>
        <w:adjustRightInd w:val="0"/>
        <w:snapToGrid w:val="0"/>
        <w:spacing w:line="460" w:lineRule="exact"/>
        <w:ind w:firstLine="480" w:firstLineChars="200"/>
        <w:rPr>
          <w:b/>
          <w:snapToGrid w:val="0"/>
          <w:color w:val="auto"/>
          <w:sz w:val="24"/>
          <w:szCs w:val="24"/>
        </w:rPr>
      </w:pPr>
      <w:r>
        <w:rPr>
          <w:b/>
          <w:snapToGrid w:val="0"/>
          <w:color w:val="auto"/>
          <w:sz w:val="24"/>
          <w:szCs w:val="24"/>
        </w:rPr>
        <w:t>第十九条 文件交接及联络</w:t>
      </w:r>
    </w:p>
    <w:p>
      <w:pPr>
        <w:widowControl/>
        <w:tabs>
          <w:tab w:val="left" w:pos="0"/>
          <w:tab w:val="left" w:pos="1134"/>
        </w:tabs>
        <w:adjustRightInd w:val="0"/>
        <w:snapToGrid w:val="0"/>
        <w:spacing w:line="460" w:lineRule="exact"/>
        <w:ind w:firstLine="480" w:firstLineChars="200"/>
        <w:rPr>
          <w:snapToGrid w:val="0"/>
          <w:color w:val="auto"/>
          <w:sz w:val="24"/>
          <w:szCs w:val="24"/>
        </w:rPr>
      </w:pPr>
      <w:r>
        <w:rPr>
          <w:snapToGrid w:val="0"/>
          <w:color w:val="auto"/>
          <w:sz w:val="24"/>
          <w:szCs w:val="24"/>
        </w:rPr>
        <w:t>一方向对方当面提交的任何书面文件，文件接受方均应在文件复印件上注明“原件已收”并签名签署时间。签署文件者，双方另行协商。</w:t>
      </w:r>
    </w:p>
    <w:p>
      <w:pPr>
        <w:adjustRightInd w:val="0"/>
        <w:snapToGrid w:val="0"/>
        <w:spacing w:line="460" w:lineRule="exact"/>
        <w:ind w:firstLine="480" w:firstLineChars="200"/>
        <w:rPr>
          <w:color w:val="auto"/>
          <w:sz w:val="24"/>
          <w:szCs w:val="24"/>
        </w:rPr>
      </w:pPr>
    </w:p>
    <w:p>
      <w:pPr>
        <w:adjustRightInd w:val="0"/>
        <w:snapToGrid w:val="0"/>
        <w:spacing w:line="460" w:lineRule="exact"/>
        <w:ind w:firstLine="480" w:firstLineChars="200"/>
        <w:rPr>
          <w:color w:val="auto"/>
          <w:sz w:val="24"/>
          <w:szCs w:val="24"/>
        </w:rPr>
      </w:pPr>
      <w:r>
        <w:rPr>
          <w:color w:val="auto"/>
          <w:sz w:val="24"/>
          <w:szCs w:val="24"/>
        </w:rPr>
        <w:t>甲方：</w:t>
      </w:r>
    </w:p>
    <w:p>
      <w:pPr>
        <w:adjustRightInd w:val="0"/>
        <w:snapToGrid w:val="0"/>
        <w:spacing w:line="460" w:lineRule="exact"/>
        <w:ind w:firstLine="480" w:firstLineChars="200"/>
        <w:rPr>
          <w:color w:val="auto"/>
          <w:sz w:val="24"/>
          <w:szCs w:val="24"/>
        </w:rPr>
      </w:pPr>
      <w:r>
        <w:rPr>
          <w:color w:val="auto"/>
          <w:sz w:val="24"/>
          <w:szCs w:val="24"/>
        </w:rPr>
        <w:t>联系地址：</w:t>
      </w:r>
    </w:p>
    <w:p>
      <w:pPr>
        <w:adjustRightInd w:val="0"/>
        <w:snapToGrid w:val="0"/>
        <w:spacing w:line="460" w:lineRule="exact"/>
        <w:ind w:firstLine="480" w:firstLineChars="200"/>
        <w:rPr>
          <w:color w:val="auto"/>
          <w:sz w:val="24"/>
          <w:szCs w:val="24"/>
        </w:rPr>
      </w:pPr>
      <w:r>
        <w:rPr>
          <w:color w:val="auto"/>
          <w:sz w:val="24"/>
          <w:szCs w:val="24"/>
        </w:rPr>
        <w:t>联系人：      联系方式：    传真：</w:t>
      </w:r>
    </w:p>
    <w:p>
      <w:pPr>
        <w:adjustRightInd w:val="0"/>
        <w:snapToGrid w:val="0"/>
        <w:spacing w:line="460" w:lineRule="exact"/>
        <w:ind w:firstLine="480" w:firstLineChars="200"/>
        <w:rPr>
          <w:color w:val="auto"/>
          <w:sz w:val="24"/>
          <w:szCs w:val="24"/>
        </w:rPr>
      </w:pPr>
      <w:r>
        <w:rPr>
          <w:color w:val="auto"/>
          <w:sz w:val="24"/>
          <w:szCs w:val="24"/>
        </w:rPr>
        <w:t xml:space="preserve">乙方： </w:t>
      </w:r>
    </w:p>
    <w:p>
      <w:pPr>
        <w:adjustRightInd w:val="0"/>
        <w:snapToGrid w:val="0"/>
        <w:spacing w:line="460" w:lineRule="exact"/>
        <w:ind w:firstLine="480" w:firstLineChars="200"/>
        <w:rPr>
          <w:color w:val="auto"/>
          <w:sz w:val="24"/>
          <w:szCs w:val="24"/>
        </w:rPr>
      </w:pPr>
      <w:r>
        <w:rPr>
          <w:color w:val="auto"/>
          <w:sz w:val="24"/>
          <w:szCs w:val="24"/>
        </w:rPr>
        <w:t>联系地址:</w:t>
      </w:r>
    </w:p>
    <w:p>
      <w:pPr>
        <w:adjustRightInd w:val="0"/>
        <w:snapToGrid w:val="0"/>
        <w:spacing w:line="460" w:lineRule="exact"/>
        <w:ind w:firstLine="480" w:firstLineChars="200"/>
        <w:rPr>
          <w:color w:val="auto"/>
          <w:sz w:val="24"/>
          <w:szCs w:val="24"/>
        </w:rPr>
      </w:pPr>
      <w:r>
        <w:rPr>
          <w:color w:val="auto"/>
          <w:sz w:val="24"/>
          <w:szCs w:val="24"/>
        </w:rPr>
        <w:t xml:space="preserve">联系人：      联系方式：     传真：     </w:t>
      </w:r>
    </w:p>
    <w:p>
      <w:pPr>
        <w:adjustRightInd w:val="0"/>
        <w:snapToGrid w:val="0"/>
        <w:spacing w:line="460" w:lineRule="exact"/>
        <w:rPr>
          <w:color w:val="auto"/>
          <w:sz w:val="24"/>
          <w:szCs w:val="24"/>
        </w:rPr>
      </w:pPr>
      <w:r>
        <w:rPr>
          <w:color w:val="auto"/>
          <w:sz w:val="24"/>
          <w:szCs w:val="24"/>
        </w:rPr>
        <w:t xml:space="preserve">   甲乙双方因履行本合同而相互发出或者提供的所有通知、文件、资料，均以本条所列明的地址、传真送达，一方如果迁址或者变更电话，应当书面通知对方，否则变更方应对此造成的一切后果承担责任。</w:t>
      </w:r>
    </w:p>
    <w:p>
      <w:pPr>
        <w:adjustRightInd w:val="0"/>
        <w:snapToGrid w:val="0"/>
        <w:spacing w:line="460" w:lineRule="exact"/>
        <w:rPr>
          <w:color w:val="auto"/>
          <w:sz w:val="24"/>
          <w:szCs w:val="24"/>
        </w:rPr>
      </w:pPr>
      <w:r>
        <w:rPr>
          <w:color w:val="auto"/>
          <w:sz w:val="24"/>
          <w:szCs w:val="24"/>
        </w:rPr>
        <w:t xml:space="preserve">   通过传真方式的，在发出传真时视为送达；以邮寄方式的，挂号寄出或者投邮当时视为送达。</w:t>
      </w:r>
    </w:p>
    <w:p>
      <w:pPr>
        <w:widowControl/>
        <w:tabs>
          <w:tab w:val="left" w:pos="0"/>
          <w:tab w:val="left" w:pos="1134"/>
        </w:tabs>
        <w:adjustRightInd w:val="0"/>
        <w:snapToGrid w:val="0"/>
        <w:spacing w:line="460" w:lineRule="exact"/>
        <w:ind w:firstLine="480" w:firstLineChars="200"/>
        <w:rPr>
          <w:snapToGrid w:val="0"/>
          <w:color w:val="auto"/>
          <w:sz w:val="24"/>
          <w:szCs w:val="24"/>
        </w:rPr>
      </w:pPr>
      <w:r>
        <w:rPr>
          <w:b/>
          <w:snapToGrid w:val="0"/>
          <w:color w:val="auto"/>
          <w:sz w:val="24"/>
          <w:szCs w:val="24"/>
        </w:rPr>
        <w:t xml:space="preserve">第二十条  </w:t>
      </w:r>
      <w:r>
        <w:rPr>
          <w:snapToGrid w:val="0"/>
          <w:color w:val="auto"/>
          <w:sz w:val="24"/>
          <w:szCs w:val="24"/>
        </w:rPr>
        <w:t>甲、乙双方在履行本合同过程中发生争议，由甲、乙双方协商解决，协商不成的，向项目所在地有管辖权的人民法院提起诉讼。</w:t>
      </w:r>
    </w:p>
    <w:p>
      <w:pPr>
        <w:widowControl/>
        <w:tabs>
          <w:tab w:val="left" w:pos="3915"/>
          <w:tab w:val="left" w:pos="7015"/>
        </w:tabs>
        <w:adjustRightInd w:val="0"/>
        <w:snapToGrid w:val="0"/>
        <w:spacing w:line="460" w:lineRule="exact"/>
        <w:ind w:firstLine="480" w:firstLineChars="200"/>
        <w:jc w:val="left"/>
        <w:rPr>
          <w:snapToGrid w:val="0"/>
          <w:color w:val="auto"/>
          <w:sz w:val="24"/>
          <w:szCs w:val="24"/>
        </w:rPr>
      </w:pPr>
      <w:r>
        <w:rPr>
          <w:b/>
          <w:snapToGrid w:val="0"/>
          <w:color w:val="auto"/>
          <w:sz w:val="24"/>
          <w:szCs w:val="24"/>
        </w:rPr>
        <w:t xml:space="preserve">第二十一条 </w:t>
      </w:r>
      <w:r>
        <w:rPr>
          <w:snapToGrid w:val="0"/>
          <w:color w:val="auto"/>
          <w:sz w:val="24"/>
          <w:szCs w:val="24"/>
        </w:rPr>
        <w:t xml:space="preserve"> 合同一式八份，甲执六份、乙方执二份，双方签字盖章且乙方支付履约保函后开始生效。</w:t>
      </w:r>
    </w:p>
    <w:p>
      <w:pPr>
        <w:widowControl/>
        <w:tabs>
          <w:tab w:val="left" w:pos="3915"/>
          <w:tab w:val="left" w:pos="7015"/>
        </w:tabs>
        <w:adjustRightInd w:val="0"/>
        <w:snapToGrid w:val="0"/>
        <w:spacing w:line="460" w:lineRule="exact"/>
        <w:jc w:val="left"/>
        <w:rPr>
          <w:snapToGrid w:val="0"/>
          <w:color w:val="auto"/>
          <w:sz w:val="24"/>
          <w:szCs w:val="24"/>
        </w:rPr>
      </w:pPr>
    </w:p>
    <w:p>
      <w:pPr>
        <w:widowControl/>
        <w:tabs>
          <w:tab w:val="left" w:pos="3915"/>
          <w:tab w:val="left" w:pos="7015"/>
        </w:tabs>
        <w:adjustRightInd w:val="0"/>
        <w:snapToGrid w:val="0"/>
        <w:spacing w:line="460" w:lineRule="exact"/>
        <w:ind w:firstLine="195"/>
        <w:jc w:val="left"/>
        <w:rPr>
          <w:snapToGrid w:val="0"/>
          <w:color w:val="auto"/>
          <w:sz w:val="24"/>
          <w:szCs w:val="24"/>
        </w:rPr>
      </w:pPr>
      <w:r>
        <w:rPr>
          <w:snapToGrid w:val="0"/>
          <w:color w:val="auto"/>
          <w:sz w:val="24"/>
          <w:szCs w:val="24"/>
        </w:rPr>
        <w:t>甲方（盖章）：                                 乙方（盖章）：</w:t>
      </w:r>
    </w:p>
    <w:p>
      <w:pPr>
        <w:widowControl/>
        <w:tabs>
          <w:tab w:val="left" w:pos="3915"/>
          <w:tab w:val="left" w:pos="7015"/>
        </w:tabs>
        <w:adjustRightInd w:val="0"/>
        <w:snapToGrid w:val="0"/>
        <w:spacing w:line="460" w:lineRule="exact"/>
        <w:ind w:firstLine="195"/>
        <w:jc w:val="left"/>
        <w:rPr>
          <w:snapToGrid w:val="0"/>
          <w:color w:val="auto"/>
          <w:sz w:val="24"/>
          <w:szCs w:val="24"/>
        </w:rPr>
      </w:pPr>
      <w:r>
        <w:rPr>
          <w:snapToGrid w:val="0"/>
          <w:color w:val="auto"/>
          <w:sz w:val="24"/>
          <w:szCs w:val="24"/>
        </w:rPr>
        <w:t>法定代表人或                                  法定代表人或</w:t>
      </w:r>
    </w:p>
    <w:p>
      <w:pPr>
        <w:widowControl/>
        <w:tabs>
          <w:tab w:val="left" w:pos="3915"/>
          <w:tab w:val="left" w:pos="7015"/>
        </w:tabs>
        <w:adjustRightInd w:val="0"/>
        <w:snapToGrid w:val="0"/>
        <w:spacing w:line="460" w:lineRule="exact"/>
        <w:ind w:firstLine="195"/>
        <w:jc w:val="left"/>
        <w:rPr>
          <w:snapToGrid w:val="0"/>
          <w:color w:val="auto"/>
          <w:sz w:val="24"/>
          <w:szCs w:val="24"/>
        </w:rPr>
      </w:pPr>
      <w:r>
        <w:rPr>
          <w:snapToGrid w:val="0"/>
          <w:color w:val="auto"/>
          <w:sz w:val="24"/>
          <w:szCs w:val="24"/>
        </w:rPr>
        <w:t xml:space="preserve">委托代理人：                           委托代理人：  </w:t>
      </w:r>
    </w:p>
    <w:p>
      <w:pPr>
        <w:widowControl/>
        <w:tabs>
          <w:tab w:val="left" w:pos="3915"/>
          <w:tab w:val="left" w:pos="7015"/>
        </w:tabs>
        <w:adjustRightInd w:val="0"/>
        <w:snapToGrid w:val="0"/>
        <w:spacing w:line="460" w:lineRule="exact"/>
        <w:ind w:firstLine="195"/>
        <w:jc w:val="left"/>
        <w:rPr>
          <w:snapToGrid w:val="0"/>
          <w:color w:val="auto"/>
          <w:sz w:val="24"/>
          <w:szCs w:val="24"/>
        </w:rPr>
      </w:pPr>
      <w:r>
        <w:rPr>
          <w:snapToGrid w:val="0"/>
          <w:color w:val="auto"/>
          <w:sz w:val="24"/>
          <w:szCs w:val="24"/>
        </w:rPr>
        <w:t>                </w:t>
      </w:r>
    </w:p>
    <w:p>
      <w:pPr>
        <w:widowControl/>
        <w:tabs>
          <w:tab w:val="left" w:pos="3915"/>
          <w:tab w:val="left" w:pos="7015"/>
        </w:tabs>
        <w:adjustRightInd w:val="0"/>
        <w:snapToGrid w:val="0"/>
        <w:spacing w:line="460" w:lineRule="exact"/>
        <w:ind w:firstLine="4920" w:firstLineChars="2050"/>
        <w:jc w:val="left"/>
        <w:rPr>
          <w:snapToGrid w:val="0"/>
          <w:color w:val="auto"/>
          <w:sz w:val="24"/>
          <w:szCs w:val="24"/>
        </w:rPr>
      </w:pPr>
    </w:p>
    <w:p>
      <w:pPr>
        <w:widowControl/>
        <w:tabs>
          <w:tab w:val="left" w:pos="3915"/>
          <w:tab w:val="left" w:pos="7015"/>
        </w:tabs>
        <w:adjustRightInd w:val="0"/>
        <w:snapToGrid w:val="0"/>
        <w:spacing w:line="460" w:lineRule="exact"/>
        <w:ind w:firstLine="4920" w:firstLineChars="2050"/>
        <w:jc w:val="left"/>
        <w:rPr>
          <w:snapToGrid w:val="0"/>
          <w:color w:val="auto"/>
          <w:sz w:val="24"/>
          <w:szCs w:val="24"/>
        </w:rPr>
      </w:pPr>
      <w:r>
        <w:rPr>
          <w:snapToGrid w:val="0"/>
          <w:color w:val="auto"/>
          <w:sz w:val="24"/>
          <w:szCs w:val="24"/>
        </w:rPr>
        <w:t>签约地点：</w:t>
      </w:r>
    </w:p>
    <w:p>
      <w:pPr>
        <w:tabs>
          <w:tab w:val="left" w:pos="0"/>
          <w:tab w:val="left" w:pos="993"/>
          <w:tab w:val="left" w:pos="1134"/>
        </w:tabs>
        <w:adjustRightInd w:val="0"/>
        <w:snapToGrid w:val="0"/>
        <w:spacing w:line="460" w:lineRule="exact"/>
        <w:jc w:val="center"/>
        <w:rPr>
          <w:snapToGrid w:val="0"/>
          <w:color w:val="auto"/>
          <w:sz w:val="24"/>
          <w:szCs w:val="24"/>
        </w:rPr>
      </w:pPr>
      <w:r>
        <w:rPr>
          <w:snapToGrid w:val="0"/>
          <w:color w:val="auto"/>
          <w:sz w:val="24"/>
          <w:szCs w:val="24"/>
        </w:rPr>
        <w:t xml:space="preserve">                                         签约时间：       年  月   日</w:t>
      </w: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tabs>
          <w:tab w:val="left" w:pos="0"/>
          <w:tab w:val="left" w:pos="993"/>
          <w:tab w:val="left" w:pos="1134"/>
        </w:tabs>
        <w:adjustRightInd w:val="0"/>
        <w:snapToGrid w:val="0"/>
        <w:spacing w:line="460" w:lineRule="exact"/>
        <w:jc w:val="center"/>
        <w:rPr>
          <w:snapToGrid w:val="0"/>
          <w:color w:val="auto"/>
          <w:sz w:val="24"/>
          <w:szCs w:val="24"/>
          <w:highlight w:val="yellow"/>
        </w:rPr>
      </w:pPr>
    </w:p>
    <w:p>
      <w:pPr>
        <w:pStyle w:val="2"/>
        <w:numPr>
          <w:ilvl w:val="0"/>
          <w:numId w:val="1"/>
        </w:numPr>
        <w:jc w:val="center"/>
        <w:rPr>
          <w:rFonts w:ascii="黑体" w:hAnsi="黑体" w:eastAsia="黑体"/>
          <w:color w:val="auto"/>
        </w:rPr>
      </w:pPr>
      <w:bookmarkStart w:id="77" w:name="_Toc12307"/>
      <w:bookmarkStart w:id="78" w:name="_Toc494745311"/>
      <w:bookmarkStart w:id="79" w:name="_Toc494665547"/>
      <w:bookmarkStart w:id="80" w:name="_Toc494665944"/>
      <w:bookmarkStart w:id="81" w:name="_Toc494702264"/>
      <w:bookmarkStart w:id="82" w:name="_Toc494721094"/>
      <w:bookmarkStart w:id="83" w:name="_Toc494664994"/>
      <w:r>
        <w:rPr>
          <w:rFonts w:hint="eastAsia" w:ascii="黑体" w:hAnsi="黑体" w:eastAsia="黑体"/>
          <w:color w:val="auto"/>
        </w:rPr>
        <w:t>投标文件格式（参考）</w:t>
      </w:r>
      <w:bookmarkEnd w:id="77"/>
      <w:bookmarkEnd w:id="78"/>
      <w:bookmarkEnd w:id="79"/>
      <w:bookmarkEnd w:id="80"/>
      <w:bookmarkEnd w:id="81"/>
      <w:bookmarkEnd w:id="82"/>
      <w:bookmarkEnd w:id="83"/>
    </w:p>
    <w:p>
      <w:pPr>
        <w:spacing w:afterLines="250"/>
        <w:jc w:val="center"/>
        <w:rPr>
          <w:rFonts w:ascii="黑体" w:hAnsi="黑体" w:eastAsia="黑体"/>
          <w:b/>
          <w:color w:val="auto"/>
          <w:sz w:val="56"/>
          <w:szCs w:val="56"/>
        </w:rPr>
      </w:pPr>
      <w:r>
        <w:rPr>
          <w:rFonts w:hint="eastAsia" w:ascii="黑体" w:hAnsi="黑体" w:eastAsia="黑体"/>
          <w:b/>
          <w:color w:val="auto"/>
          <w:sz w:val="56"/>
          <w:szCs w:val="56"/>
        </w:rPr>
        <w:t>阳新县县级政府采购</w:t>
      </w:r>
    </w:p>
    <w:p>
      <w:pPr>
        <w:spacing w:afterLines="200"/>
        <w:jc w:val="center"/>
        <w:rPr>
          <w:rFonts w:ascii="黑体" w:hAnsi="黑体" w:eastAsia="黑体"/>
          <w:b/>
          <w:color w:val="auto"/>
          <w:sz w:val="144"/>
          <w:szCs w:val="144"/>
        </w:rPr>
      </w:pPr>
      <w:r>
        <w:rPr>
          <w:rFonts w:hint="eastAsia" w:ascii="黑体" w:hAnsi="黑体" w:eastAsia="黑体"/>
          <w:b/>
          <w:color w:val="auto"/>
          <w:sz w:val="144"/>
          <w:szCs w:val="144"/>
        </w:rPr>
        <w:t>投 标 文 件</w:t>
      </w:r>
    </w:p>
    <w:p>
      <w:pPr>
        <w:spacing w:afterLines="200"/>
        <w:jc w:val="center"/>
        <w:rPr>
          <w:rFonts w:ascii="黑体" w:hAnsi="黑体" w:eastAsia="黑体"/>
          <w:b/>
          <w:color w:val="auto"/>
          <w:sz w:val="144"/>
          <w:szCs w:val="144"/>
        </w:rPr>
      </w:pPr>
    </w:p>
    <w:p>
      <w:pPr>
        <w:pStyle w:val="3"/>
        <w:spacing w:before="340" w:after="480" w:line="360" w:lineRule="auto"/>
        <w:jc w:val="center"/>
        <w:rPr>
          <w:rFonts w:cs="Times New Roman" w:asciiTheme="majorEastAsia" w:hAnsiTheme="majorEastAsia"/>
          <w:bCs w:val="0"/>
          <w:color w:val="auto"/>
          <w:sz w:val="44"/>
          <w:szCs w:val="44"/>
          <w:lang w:val="zh-CN"/>
        </w:rPr>
      </w:pPr>
      <w:bookmarkStart w:id="84" w:name="_Toc24613"/>
      <w:bookmarkStart w:id="85" w:name="_Toc494702265"/>
      <w:bookmarkStart w:id="86" w:name="_Toc494665548"/>
      <w:bookmarkStart w:id="87" w:name="_Toc494745312"/>
      <w:bookmarkStart w:id="88" w:name="_Toc494721095"/>
      <w:bookmarkStart w:id="89" w:name="_Toc494664995"/>
      <w:bookmarkStart w:id="90" w:name="_Toc494665945"/>
      <w:r>
        <w:rPr>
          <w:rFonts w:hint="eastAsia" w:cs="Times New Roman" w:asciiTheme="majorEastAsia" w:hAnsiTheme="majorEastAsia"/>
          <w:bCs w:val="0"/>
          <w:color w:val="auto"/>
          <w:sz w:val="44"/>
          <w:szCs w:val="44"/>
          <w:lang w:val="zh-CN"/>
        </w:rPr>
        <w:t>第一部分 资格证明文件</w:t>
      </w:r>
      <w:bookmarkEnd w:id="84"/>
      <w:bookmarkEnd w:id="85"/>
      <w:bookmarkEnd w:id="86"/>
      <w:bookmarkEnd w:id="87"/>
      <w:bookmarkEnd w:id="88"/>
      <w:bookmarkEnd w:id="89"/>
      <w:bookmarkEnd w:id="90"/>
    </w:p>
    <w:p>
      <w:pPr>
        <w:spacing w:line="360" w:lineRule="auto"/>
        <w:ind w:left="2051" w:leftChars="619" w:right="1299" w:rightChars="619" w:hanging="752"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rPr>
      </w:pPr>
      <w:r>
        <w:rPr>
          <w:rFonts w:hint="eastAsia" w:cs="Times New Roman" w:asciiTheme="minorEastAsia" w:hAnsiTheme="minorEastAsia"/>
          <w:b/>
          <w:bCs/>
          <w:color w:val="auto"/>
          <w:sz w:val="36"/>
          <w:szCs w:val="24"/>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采购人：</w:t>
      </w:r>
    </w:p>
    <w:p>
      <w:pPr>
        <w:spacing w:line="360" w:lineRule="auto"/>
        <w:ind w:left="2051" w:leftChars="619" w:right="1299" w:rightChars="619" w:hanging="752"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采购内容：</w:t>
      </w:r>
    </w:p>
    <w:p>
      <w:pPr>
        <w:spacing w:line="360" w:lineRule="auto"/>
        <w:ind w:right="1287" w:rightChars="613"/>
        <w:jc w:val="center"/>
        <w:rPr>
          <w:rFonts w:cs="Times New Roman" w:asciiTheme="minorEastAsia" w:hAnsiTheme="minorEastAsia"/>
          <w:b/>
          <w:bCs/>
          <w:color w:val="auto"/>
          <w:sz w:val="96"/>
          <w:szCs w:val="96"/>
        </w:rPr>
      </w:pPr>
      <w:r>
        <w:rPr>
          <w:rFonts w:hint="eastAsia" w:cs="Times New Roman" w:asciiTheme="minorEastAsia" w:hAnsiTheme="minorEastAsia"/>
          <w:b/>
          <w:bCs/>
          <w:color w:val="auto"/>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Lines="100" w:afterLines="100" w:line="360" w:lineRule="auto"/>
        <w:ind w:left="2256" w:leftChars="466" w:right="466" w:hanging="1278" w:hangingChars="355"/>
        <w:jc w:val="center"/>
        <w:rPr>
          <w:rFonts w:ascii="宋体" w:hAnsi="宋体"/>
          <w:b/>
          <w:color w:val="auto"/>
          <w:sz w:val="36"/>
          <w:szCs w:val="36"/>
        </w:rPr>
      </w:pPr>
      <w:r>
        <w:rPr>
          <w:rFonts w:hint="eastAsia" w:ascii="宋体" w:hAnsi="宋体" w:eastAsia="宋体" w:cs="Times New Roman"/>
          <w:b/>
          <w:bCs/>
          <w:color w:val="auto"/>
          <w:sz w:val="36"/>
          <w:szCs w:val="36"/>
        </w:rPr>
        <w:t>二0一</w:t>
      </w:r>
      <w:r>
        <w:rPr>
          <w:rFonts w:hint="eastAsia" w:ascii="宋体" w:hAnsi="宋体"/>
          <w:b/>
          <w:color w:val="auto"/>
          <w:sz w:val="36"/>
          <w:szCs w:val="36"/>
        </w:rPr>
        <w:t xml:space="preserve">  年 月</w:t>
      </w:r>
    </w:p>
    <w:p>
      <w:pPr>
        <w:spacing w:beforeLines="100" w:line="360" w:lineRule="auto"/>
        <w:jc w:val="left"/>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91" w:name="_Toc494665549"/>
      <w:bookmarkStart w:id="92" w:name="_Toc494745313"/>
      <w:bookmarkStart w:id="93" w:name="_Toc494664996"/>
      <w:bookmarkStart w:id="94" w:name="_Toc494702266"/>
      <w:bookmarkStart w:id="95" w:name="_Toc494721096"/>
      <w:bookmarkStart w:id="96" w:name="_Toc494665946"/>
      <w:r>
        <w:rPr>
          <w:rFonts w:hint="eastAsia" w:ascii="黑体" w:hAnsi="黑体" w:eastAsia="黑体" w:cs="Times New Roman"/>
          <w:b/>
          <w:color w:val="auto"/>
          <w:sz w:val="36"/>
          <w:szCs w:val="36"/>
        </w:rPr>
        <w:t>资格证明文件组成</w:t>
      </w:r>
      <w:bookmarkEnd w:id="91"/>
      <w:bookmarkEnd w:id="92"/>
      <w:bookmarkEnd w:id="93"/>
      <w:bookmarkEnd w:id="94"/>
      <w:bookmarkEnd w:id="95"/>
      <w:bookmarkEnd w:id="96"/>
    </w:p>
    <w:p>
      <w:pPr>
        <w:autoSpaceDE w:val="0"/>
        <w:autoSpaceDN w:val="0"/>
        <w:adjustRightInd w:val="0"/>
        <w:spacing w:beforeLines="50" w:afterLines="50" w:line="360" w:lineRule="auto"/>
        <w:ind w:firstLine="480"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由各投标人根据参考格式要求自行编写。目录清晰、内容详尽、易于理解和审查。具体内容应包括但不限于以下内容：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资格证明文件目录</w:t>
      </w:r>
      <w:r>
        <w:rPr>
          <w:rFonts w:hint="eastAsia" w:ascii="宋体" w:hAnsi="宋体" w:eastAsia="宋体" w:cs="Times New Roman"/>
          <w:b/>
          <w:color w:val="auto"/>
          <w:kern w:val="0"/>
          <w:sz w:val="24"/>
          <w:szCs w:val="32"/>
        </w:rPr>
        <w:t>（目录应涵盖下述所有资料，页码清晰以便查阅）</w:t>
      </w:r>
      <w:r>
        <w:rPr>
          <w:rFonts w:hint="eastAsia" w:ascii="宋体" w:hAnsi="宋体" w:eastAsia="宋体" w:cs="Times New Roman"/>
          <w:color w:val="auto"/>
          <w:kern w:val="0"/>
          <w:sz w:val="24"/>
          <w:szCs w:val="32"/>
        </w:rPr>
        <w:t>；</w:t>
      </w:r>
    </w:p>
    <w:p>
      <w:pPr>
        <w:numPr>
          <w:ilvl w:val="0"/>
          <w:numId w:val="60"/>
        </w:numPr>
        <w:autoSpaceDE w:val="0"/>
        <w:autoSpaceDN w:val="0"/>
        <w:adjustRightInd w:val="0"/>
        <w:spacing w:line="360" w:lineRule="auto"/>
        <w:ind w:left="490" w:hanging="370"/>
        <w:rPr>
          <w:rFonts w:ascii="宋体" w:hAnsi="宋体" w:eastAsia="宋体" w:cs="Times New Roman"/>
          <w:b/>
          <w:color w:val="auto"/>
          <w:kern w:val="0"/>
          <w:sz w:val="24"/>
          <w:szCs w:val="32"/>
        </w:rPr>
      </w:pPr>
      <w:r>
        <w:rPr>
          <w:rFonts w:hint="eastAsia" w:ascii="宋体" w:hAnsi="宋体"/>
          <w:color w:val="auto"/>
          <w:kern w:val="0"/>
          <w:sz w:val="24"/>
          <w:szCs w:val="32"/>
        </w:rPr>
        <w:t>应具备《政府采购法》第二十二条第一款规定的条件，提供下列材料：</w:t>
      </w:r>
    </w:p>
    <w:p>
      <w:pPr>
        <w:pStyle w:val="28"/>
        <w:numPr>
          <w:ilvl w:val="0"/>
          <w:numId w:val="61"/>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法人或者其他组织的营业执照等证明文件，自然人的身份证明；</w:t>
      </w:r>
    </w:p>
    <w:p>
      <w:pPr>
        <w:pStyle w:val="28"/>
        <w:numPr>
          <w:ilvl w:val="0"/>
          <w:numId w:val="61"/>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财务状况报告，依法缴纳税收和社会保障资金的相关材料；</w:t>
      </w:r>
    </w:p>
    <w:p>
      <w:pPr>
        <w:pStyle w:val="28"/>
        <w:numPr>
          <w:ilvl w:val="0"/>
          <w:numId w:val="61"/>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具备履行合同所必需的设备和专业技术能力的证明材料；</w:t>
      </w:r>
    </w:p>
    <w:p>
      <w:pPr>
        <w:pStyle w:val="28"/>
        <w:numPr>
          <w:ilvl w:val="0"/>
          <w:numId w:val="61"/>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参加政府采购活动前3年内在经营活动中没有重大违法记录的书面声明；</w:t>
      </w:r>
    </w:p>
    <w:p>
      <w:pPr>
        <w:pStyle w:val="28"/>
        <w:numPr>
          <w:ilvl w:val="0"/>
          <w:numId w:val="61"/>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具备法律、行政法规规定的其他条件的证明材料；</w:t>
      </w:r>
    </w:p>
    <w:p>
      <w:pPr>
        <w:numPr>
          <w:ilvl w:val="0"/>
          <w:numId w:val="60"/>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未被“信用中国”网站(www.creditchina.gov.cn)列入失信被执行人、重大税收违法案件当事人名单、政府采购严重违法失信行为记录名单的网站查询结果页面截图；</w:t>
      </w:r>
      <w:r>
        <w:rPr>
          <w:rFonts w:hint="eastAsia" w:ascii="宋体" w:hAnsi="宋体"/>
          <w:color w:val="auto"/>
          <w:sz w:val="24"/>
          <w:szCs w:val="24"/>
        </w:rPr>
        <w:t>未被“中国政府采购网”（www.ccgp.gov.cn）列入政府采购严重违法失信行为记录名单的</w:t>
      </w:r>
      <w:r>
        <w:rPr>
          <w:rFonts w:hint="eastAsia" w:ascii="宋体" w:hAnsi="宋体" w:eastAsia="宋体" w:cs="Times New Roman"/>
          <w:color w:val="auto"/>
          <w:sz w:val="24"/>
          <w:szCs w:val="24"/>
          <w:lang w:val="zh-CN"/>
        </w:rPr>
        <w:t>网站查询结果页面截图。</w:t>
      </w:r>
    </w:p>
    <w:p>
      <w:pPr>
        <w:numPr>
          <w:ilvl w:val="0"/>
          <w:numId w:val="60"/>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招标文件第一章“投标人资格要求”中有特殊要求的，投标人应提供其符合特殊要求的证明材料或者情况说明；</w:t>
      </w:r>
    </w:p>
    <w:p>
      <w:pPr>
        <w:numPr>
          <w:ilvl w:val="0"/>
          <w:numId w:val="60"/>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不符合联合体投标相关规定和要求的（适用于接受联合体投标的项目）；</w:t>
      </w:r>
    </w:p>
    <w:p>
      <w:pPr>
        <w:numPr>
          <w:ilvl w:val="0"/>
          <w:numId w:val="60"/>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auto"/>
          <w:sz w:val="24"/>
          <w:szCs w:val="24"/>
        </w:rPr>
      </w:pPr>
    </w:p>
    <w:p>
      <w:pPr>
        <w:autoSpaceDE w:val="0"/>
        <w:autoSpaceDN w:val="0"/>
        <w:adjustRightInd w:val="0"/>
        <w:spacing w:line="400" w:lineRule="exact"/>
        <w:ind w:left="490"/>
        <w:rPr>
          <w:rFonts w:ascii="Calibri" w:hAnsi="宋体" w:eastAsia="宋体" w:cs="Times New Roman"/>
          <w:color w:val="auto"/>
          <w:sz w:val="24"/>
          <w:szCs w:val="24"/>
        </w:rPr>
      </w:pPr>
    </w:p>
    <w:p>
      <w:pPr>
        <w:rPr>
          <w:color w:val="auto"/>
        </w:rPr>
      </w:pPr>
      <w:r>
        <w:rPr>
          <w:rFonts w:hint="eastAsia" w:ascii="宋体" w:hAnsi="宋体" w:eastAsia="宋体" w:cs="Times New Roman"/>
          <w:color w:val="auto"/>
          <w:sz w:val="24"/>
          <w:szCs w:val="24"/>
        </w:rPr>
        <w:t>说明：资格证明文件正本应为清晰彩色影印件且加盖单位公章，否则</w:t>
      </w:r>
      <w:r>
        <w:rPr>
          <w:rFonts w:hint="eastAsia" w:ascii="Helvetica" w:hAnsi="Helvetica" w:eastAsia="宋体" w:cs="Helvetica"/>
          <w:color w:val="auto"/>
          <w:kern w:val="0"/>
          <w:sz w:val="24"/>
          <w:szCs w:val="24"/>
        </w:rPr>
        <w:t>按照</w:t>
      </w:r>
      <w:r>
        <w:rPr>
          <w:rFonts w:hint="eastAsia" w:ascii="Helvetica" w:hAnsi="Helvetica" w:eastAsia="宋体" w:cs="Helvetica"/>
          <w:b/>
          <w:color w:val="auto"/>
          <w:kern w:val="0"/>
          <w:sz w:val="24"/>
          <w:szCs w:val="24"/>
        </w:rPr>
        <w:t>无效投标处理</w:t>
      </w:r>
      <w:r>
        <w:rPr>
          <w:rFonts w:hint="eastAsia" w:ascii="宋体" w:hAnsi="宋体" w:eastAsia="宋体" w:cs="Times New Roman"/>
          <w:b/>
          <w:color w:val="auto"/>
          <w:sz w:val="24"/>
          <w:szCs w:val="24"/>
        </w:rPr>
        <w:t>。</w:t>
      </w:r>
    </w:p>
    <w:p>
      <w:pPr>
        <w:rPr>
          <w:color w:val="auto"/>
        </w:rPr>
      </w:pPr>
      <w:r>
        <w:rPr>
          <w:color w:val="auto"/>
        </w:rPr>
        <w:br w:type="page"/>
      </w:r>
    </w:p>
    <w:p>
      <w:pPr>
        <w:spacing w:beforeLines="100" w:afterLines="250"/>
        <w:jc w:val="center"/>
        <w:rPr>
          <w:rFonts w:ascii="黑体" w:hAnsi="黑体" w:eastAsia="黑体"/>
          <w:b/>
          <w:color w:val="auto"/>
          <w:sz w:val="72"/>
          <w:szCs w:val="72"/>
        </w:rPr>
      </w:pPr>
      <w:r>
        <w:rPr>
          <w:rFonts w:hint="eastAsia" w:ascii="黑体" w:hAnsi="黑体" w:eastAsia="黑体"/>
          <w:b/>
          <w:color w:val="auto"/>
          <w:sz w:val="72"/>
          <w:szCs w:val="72"/>
        </w:rPr>
        <w:t>阳新县县级政府采购</w:t>
      </w:r>
    </w:p>
    <w:p>
      <w:pPr>
        <w:spacing w:afterLines="200"/>
        <w:jc w:val="center"/>
        <w:rPr>
          <w:rFonts w:ascii="黑体" w:hAnsi="黑体" w:eastAsia="黑体"/>
          <w:b/>
          <w:color w:val="auto"/>
          <w:sz w:val="144"/>
          <w:szCs w:val="144"/>
        </w:rPr>
      </w:pPr>
      <w:r>
        <w:rPr>
          <w:rFonts w:hint="eastAsia" w:ascii="黑体" w:hAnsi="黑体" w:eastAsia="黑体"/>
          <w:b/>
          <w:color w:val="auto"/>
          <w:sz w:val="144"/>
          <w:szCs w:val="144"/>
        </w:rPr>
        <w:t>投 标 文 件</w:t>
      </w:r>
    </w:p>
    <w:p>
      <w:pPr>
        <w:pStyle w:val="3"/>
        <w:spacing w:before="340" w:after="480" w:line="360" w:lineRule="auto"/>
        <w:jc w:val="center"/>
        <w:rPr>
          <w:rFonts w:cs="Times New Roman" w:asciiTheme="majorEastAsia" w:hAnsiTheme="majorEastAsia"/>
          <w:bCs w:val="0"/>
          <w:color w:val="auto"/>
          <w:sz w:val="44"/>
          <w:szCs w:val="44"/>
          <w:lang w:val="zh-CN"/>
        </w:rPr>
      </w:pPr>
      <w:bookmarkStart w:id="97" w:name="_Toc494721097"/>
      <w:bookmarkStart w:id="98" w:name="_Toc494665550"/>
      <w:bookmarkStart w:id="99" w:name="_Toc494702267"/>
      <w:bookmarkStart w:id="100" w:name="_Toc494745314"/>
      <w:bookmarkStart w:id="101" w:name="_Toc494664997"/>
      <w:bookmarkStart w:id="102" w:name="_Toc494665947"/>
    </w:p>
    <w:p>
      <w:pPr>
        <w:pStyle w:val="3"/>
        <w:spacing w:before="340" w:after="480" w:line="360" w:lineRule="auto"/>
        <w:jc w:val="center"/>
        <w:rPr>
          <w:rFonts w:cs="Times New Roman" w:asciiTheme="majorEastAsia" w:hAnsiTheme="majorEastAsia"/>
          <w:bCs w:val="0"/>
          <w:color w:val="auto"/>
          <w:sz w:val="44"/>
          <w:szCs w:val="44"/>
          <w:lang w:val="zh-CN"/>
        </w:rPr>
      </w:pPr>
    </w:p>
    <w:p>
      <w:pPr>
        <w:pStyle w:val="3"/>
        <w:spacing w:before="340" w:after="480" w:line="360" w:lineRule="auto"/>
        <w:jc w:val="center"/>
        <w:rPr>
          <w:rFonts w:cs="Times New Roman" w:asciiTheme="majorEastAsia" w:hAnsiTheme="majorEastAsia"/>
          <w:bCs w:val="0"/>
          <w:color w:val="auto"/>
          <w:sz w:val="44"/>
          <w:szCs w:val="44"/>
          <w:lang w:val="zh-CN"/>
        </w:rPr>
      </w:pPr>
    </w:p>
    <w:p>
      <w:pPr>
        <w:pStyle w:val="3"/>
        <w:spacing w:before="340" w:after="480" w:line="360" w:lineRule="auto"/>
        <w:jc w:val="center"/>
        <w:rPr>
          <w:rFonts w:cs="Times New Roman" w:asciiTheme="majorEastAsia" w:hAnsiTheme="majorEastAsia"/>
          <w:bCs w:val="0"/>
          <w:color w:val="auto"/>
          <w:sz w:val="44"/>
          <w:szCs w:val="44"/>
          <w:lang w:val="zh-CN"/>
        </w:rPr>
      </w:pPr>
      <w:bookmarkStart w:id="103" w:name="_Toc26906"/>
      <w:r>
        <w:rPr>
          <w:rFonts w:hint="eastAsia" w:cs="Times New Roman" w:asciiTheme="majorEastAsia" w:hAnsiTheme="majorEastAsia"/>
          <w:bCs w:val="0"/>
          <w:color w:val="auto"/>
          <w:sz w:val="44"/>
          <w:szCs w:val="44"/>
          <w:lang w:val="zh-CN"/>
        </w:rPr>
        <w:t>第二部分 商务文件</w:t>
      </w:r>
      <w:bookmarkEnd w:id="97"/>
      <w:bookmarkEnd w:id="98"/>
      <w:bookmarkEnd w:id="99"/>
      <w:bookmarkEnd w:id="100"/>
      <w:bookmarkEnd w:id="101"/>
      <w:bookmarkEnd w:id="102"/>
      <w:bookmarkEnd w:id="103"/>
    </w:p>
    <w:p>
      <w:pPr>
        <w:spacing w:line="360" w:lineRule="auto"/>
        <w:ind w:left="2051" w:leftChars="619" w:right="1299" w:rightChars="619" w:hanging="752"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rPr>
      </w:pPr>
      <w:r>
        <w:rPr>
          <w:rFonts w:hint="eastAsia" w:cs="Times New Roman" w:asciiTheme="minorEastAsia" w:hAnsiTheme="minorEastAsia"/>
          <w:b/>
          <w:bCs/>
          <w:color w:val="auto"/>
          <w:sz w:val="36"/>
          <w:szCs w:val="24"/>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采购人：</w:t>
      </w:r>
    </w:p>
    <w:p>
      <w:pPr>
        <w:spacing w:line="360" w:lineRule="auto"/>
        <w:ind w:left="2051" w:leftChars="619" w:right="1299" w:rightChars="619" w:hanging="752"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采购内容：</w:t>
      </w:r>
    </w:p>
    <w:p>
      <w:pPr>
        <w:spacing w:line="360" w:lineRule="auto"/>
        <w:ind w:left="2057" w:leftChars="613" w:right="1287" w:rightChars="613" w:hanging="770" w:hangingChars="214"/>
        <w:rPr>
          <w:rFonts w:ascii="宋体" w:hAnsi="宋体" w:eastAsia="宋体" w:cs="Times New Roman"/>
          <w:color w:val="auto"/>
          <w:sz w:val="36"/>
          <w:szCs w:val="36"/>
        </w:rPr>
      </w:pPr>
    </w:p>
    <w:p>
      <w:pPr>
        <w:spacing w:line="360" w:lineRule="auto"/>
        <w:ind w:left="3341" w:leftChars="613" w:right="1287" w:rightChars="613" w:hanging="2054" w:hangingChars="214"/>
        <w:rPr>
          <w:rFonts w:cs="Times New Roman" w:asciiTheme="minorEastAsia" w:hAnsiTheme="minorEastAsia"/>
          <w:b/>
          <w:bCs/>
          <w:color w:val="auto"/>
          <w:sz w:val="96"/>
          <w:szCs w:val="96"/>
        </w:rPr>
      </w:pPr>
      <w:r>
        <w:rPr>
          <w:rFonts w:hint="eastAsia" w:cs="Times New Roman" w:asciiTheme="minorEastAsia" w:hAnsiTheme="minorEastAsia"/>
          <w:b/>
          <w:bCs/>
          <w:color w:val="auto"/>
          <w:sz w:val="96"/>
          <w:szCs w:val="96"/>
        </w:rPr>
        <w:t>投标人（盖章）</w:t>
      </w:r>
    </w:p>
    <w:p>
      <w:pPr>
        <w:spacing w:line="360" w:lineRule="auto"/>
        <w:ind w:left="1971" w:leftChars="613" w:right="1287" w:rightChars="613" w:hanging="684"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Lines="100" w:afterLines="100" w:line="360" w:lineRule="auto"/>
        <w:ind w:left="2256" w:leftChars="466" w:right="466" w:hanging="1278" w:hangingChars="355"/>
        <w:jc w:val="center"/>
        <w:rPr>
          <w:rFonts w:ascii="宋体" w:hAnsi="宋体"/>
          <w:b/>
          <w:color w:val="auto"/>
          <w:sz w:val="36"/>
          <w:szCs w:val="36"/>
        </w:rPr>
      </w:pPr>
      <w:r>
        <w:rPr>
          <w:rFonts w:hint="eastAsia" w:ascii="宋体" w:hAnsi="宋体" w:eastAsia="宋体" w:cs="Times New Roman"/>
          <w:b/>
          <w:bCs/>
          <w:color w:val="auto"/>
          <w:sz w:val="36"/>
          <w:szCs w:val="36"/>
        </w:rPr>
        <w:t>二0一</w:t>
      </w:r>
      <w:r>
        <w:rPr>
          <w:rFonts w:hint="eastAsia" w:ascii="宋体" w:hAnsi="宋体"/>
          <w:b/>
          <w:color w:val="auto"/>
          <w:sz w:val="36"/>
          <w:szCs w:val="36"/>
        </w:rPr>
        <w:t xml:space="preserve">  年 月</w:t>
      </w:r>
    </w:p>
    <w:p>
      <w:pPr>
        <w:spacing w:beforeLines="100" w:line="360" w:lineRule="auto"/>
        <w:jc w:val="left"/>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104" w:name="_Toc494745315"/>
      <w:bookmarkStart w:id="105" w:name="_Toc494721098"/>
      <w:bookmarkStart w:id="106" w:name="_Toc494702268"/>
      <w:bookmarkStart w:id="107" w:name="_Toc494665948"/>
      <w:bookmarkStart w:id="108" w:name="_Toc494664998"/>
      <w:bookmarkStart w:id="109" w:name="_Toc494665551"/>
      <w:r>
        <w:rPr>
          <w:rFonts w:hint="eastAsia" w:ascii="黑体" w:hAnsi="黑体" w:eastAsia="黑体" w:cs="Times New Roman"/>
          <w:b/>
          <w:color w:val="auto"/>
          <w:sz w:val="36"/>
          <w:szCs w:val="36"/>
        </w:rPr>
        <w:t>商务文件组成</w:t>
      </w:r>
      <w:bookmarkEnd w:id="104"/>
      <w:bookmarkEnd w:id="105"/>
      <w:bookmarkEnd w:id="106"/>
      <w:bookmarkEnd w:id="107"/>
      <w:bookmarkEnd w:id="108"/>
      <w:bookmarkEnd w:id="109"/>
    </w:p>
    <w:p>
      <w:pPr>
        <w:autoSpaceDE w:val="0"/>
        <w:autoSpaceDN w:val="0"/>
        <w:adjustRightInd w:val="0"/>
        <w:spacing w:beforeLines="50" w:afterLines="50" w:line="360" w:lineRule="auto"/>
        <w:ind w:firstLine="480"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商务文件目录</w:t>
      </w:r>
      <w:r>
        <w:rPr>
          <w:rFonts w:hint="eastAsia" w:ascii="宋体" w:hAnsi="宋体" w:eastAsia="宋体" w:cs="Times New Roman"/>
          <w:b/>
          <w:color w:val="auto"/>
          <w:kern w:val="0"/>
          <w:sz w:val="24"/>
          <w:szCs w:val="32"/>
        </w:rPr>
        <w:t>（目录应涵盖下述所有资料，页码清晰以便查阅）</w:t>
      </w:r>
      <w:r>
        <w:rPr>
          <w:rFonts w:hint="eastAsia" w:ascii="宋体" w:hAnsi="宋体" w:eastAsia="宋体" w:cs="Times New Roman"/>
          <w:color w:val="auto"/>
          <w:kern w:val="0"/>
          <w:sz w:val="24"/>
          <w:szCs w:val="32"/>
        </w:rPr>
        <w:t>；</w:t>
      </w:r>
    </w:p>
    <w:p>
      <w:pPr>
        <w:numPr>
          <w:ilvl w:val="0"/>
          <w:numId w:val="62"/>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投标书（附件一）；</w:t>
      </w:r>
    </w:p>
    <w:p>
      <w:pPr>
        <w:numPr>
          <w:ilvl w:val="0"/>
          <w:numId w:val="62"/>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制造商中小企业声明函（附件二）；</w:t>
      </w:r>
    </w:p>
    <w:p>
      <w:pPr>
        <w:numPr>
          <w:ilvl w:val="0"/>
          <w:numId w:val="62"/>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中小企业声明函（附件三）；</w:t>
      </w:r>
    </w:p>
    <w:p>
      <w:pPr>
        <w:numPr>
          <w:ilvl w:val="0"/>
          <w:numId w:val="62"/>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残疾人福利性单位声明函（附件四）</w:t>
      </w:r>
    </w:p>
    <w:p>
      <w:pPr>
        <w:numPr>
          <w:ilvl w:val="0"/>
          <w:numId w:val="62"/>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开标一览表（附件五）；</w:t>
      </w:r>
    </w:p>
    <w:p>
      <w:pPr>
        <w:numPr>
          <w:ilvl w:val="0"/>
          <w:numId w:val="62"/>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投标报价明细表（附件六）；</w:t>
      </w:r>
    </w:p>
    <w:p>
      <w:pPr>
        <w:numPr>
          <w:ilvl w:val="0"/>
          <w:numId w:val="62"/>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小型和微型企业、监狱企业、残疾人福利性单位货物汇总表（附件七）；</w:t>
      </w:r>
    </w:p>
    <w:p>
      <w:pPr>
        <w:numPr>
          <w:ilvl w:val="0"/>
          <w:numId w:val="62"/>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投标货物、服务清单（附件八）；</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交纳投标保证金的银行凭证</w:t>
      </w:r>
      <w:r>
        <w:rPr>
          <w:rFonts w:hint="eastAsia" w:ascii="宋体" w:hAnsi="宋体" w:eastAsia="宋体" w:cs="Courier New"/>
          <w:b/>
          <w:bCs/>
          <w:color w:val="auto"/>
          <w:sz w:val="24"/>
          <w:szCs w:val="24"/>
        </w:rPr>
        <w:t>（附件九，适用招标文件有交纳要求的应当提供）；</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法定代表人授权书（附件十）；</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关于不存在招标文件第二章“十一 其他注意事项”中规定禁止情形的书面声明；</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投标人的资格声明（附件十一）；</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项目负责人、技术负责人简历表（附件十二）；</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项目班子成员情况表（附件十三）；</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投标人类似项目业绩表（附件十四）；</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承诺完成销售指标：</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招标文件要求提供或投标人认为需提供的其它资料；</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符合性审查对照表（附件十五）；</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商务要求响应、偏离说明表（附件十六）；</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商务要求“★”号条款响应、偏离说明表（附件十七）</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商务评议对照表（附件十八）。</w:t>
      </w:r>
    </w:p>
    <w:p>
      <w:pPr>
        <w:rPr>
          <w:color w:val="auto"/>
        </w:rPr>
      </w:pPr>
      <w:r>
        <w:rPr>
          <w:color w:val="auto"/>
        </w:rPr>
        <w:br w:type="page"/>
      </w:r>
    </w:p>
    <w:p>
      <w:pPr>
        <w:spacing w:beforeLines="100" w:afterLines="250"/>
        <w:jc w:val="center"/>
        <w:rPr>
          <w:rFonts w:ascii="黑体" w:hAnsi="黑体" w:eastAsia="黑体"/>
          <w:b/>
          <w:color w:val="auto"/>
          <w:sz w:val="72"/>
          <w:szCs w:val="72"/>
        </w:rPr>
      </w:pPr>
      <w:r>
        <w:rPr>
          <w:rFonts w:hint="eastAsia" w:ascii="黑体" w:hAnsi="黑体" w:eastAsia="黑体"/>
          <w:b/>
          <w:color w:val="auto"/>
          <w:sz w:val="72"/>
          <w:szCs w:val="72"/>
        </w:rPr>
        <w:t>阳新县县级政府采购</w:t>
      </w:r>
    </w:p>
    <w:p>
      <w:pPr>
        <w:spacing w:afterLines="200"/>
        <w:jc w:val="center"/>
        <w:rPr>
          <w:rFonts w:ascii="黑体" w:hAnsi="黑体" w:eastAsia="黑体"/>
          <w:b/>
          <w:color w:val="auto"/>
          <w:sz w:val="144"/>
          <w:szCs w:val="144"/>
        </w:rPr>
      </w:pPr>
      <w:r>
        <w:rPr>
          <w:rFonts w:hint="eastAsia" w:ascii="黑体" w:hAnsi="黑体" w:eastAsia="黑体"/>
          <w:b/>
          <w:color w:val="auto"/>
          <w:sz w:val="144"/>
          <w:szCs w:val="144"/>
        </w:rPr>
        <w:t>投 标 文 件</w:t>
      </w:r>
    </w:p>
    <w:p>
      <w:pPr>
        <w:pStyle w:val="3"/>
        <w:spacing w:before="340" w:after="480" w:line="360" w:lineRule="auto"/>
        <w:jc w:val="center"/>
        <w:rPr>
          <w:rFonts w:cs="Times New Roman" w:asciiTheme="majorEastAsia" w:hAnsiTheme="majorEastAsia"/>
          <w:bCs w:val="0"/>
          <w:color w:val="auto"/>
          <w:sz w:val="44"/>
          <w:szCs w:val="44"/>
          <w:lang w:val="zh-CN"/>
        </w:rPr>
      </w:pPr>
      <w:bookmarkStart w:id="110" w:name="_Toc494665949"/>
      <w:bookmarkStart w:id="111" w:name="_Toc494665552"/>
      <w:bookmarkStart w:id="112" w:name="_Toc494664999"/>
      <w:bookmarkStart w:id="113" w:name="_Toc494702269"/>
      <w:bookmarkStart w:id="114" w:name="_Toc494745316"/>
      <w:bookmarkStart w:id="115" w:name="_Toc494721099"/>
    </w:p>
    <w:p>
      <w:pPr>
        <w:pStyle w:val="3"/>
        <w:spacing w:before="340" w:after="480" w:line="360" w:lineRule="auto"/>
        <w:jc w:val="center"/>
        <w:rPr>
          <w:rFonts w:cs="Times New Roman" w:asciiTheme="majorEastAsia" w:hAnsiTheme="majorEastAsia"/>
          <w:bCs w:val="0"/>
          <w:color w:val="auto"/>
          <w:sz w:val="44"/>
          <w:szCs w:val="44"/>
          <w:lang w:val="zh-CN"/>
        </w:rPr>
      </w:pPr>
    </w:p>
    <w:p>
      <w:pPr>
        <w:pStyle w:val="3"/>
        <w:spacing w:before="340" w:after="480" w:line="360" w:lineRule="auto"/>
        <w:jc w:val="center"/>
        <w:rPr>
          <w:rFonts w:cs="Times New Roman" w:asciiTheme="majorEastAsia" w:hAnsiTheme="majorEastAsia"/>
          <w:bCs w:val="0"/>
          <w:color w:val="auto"/>
          <w:sz w:val="44"/>
          <w:szCs w:val="44"/>
          <w:lang w:val="zh-CN"/>
        </w:rPr>
      </w:pPr>
      <w:bookmarkStart w:id="116" w:name="_Toc32362"/>
      <w:r>
        <w:rPr>
          <w:rFonts w:hint="eastAsia" w:cs="Times New Roman" w:asciiTheme="majorEastAsia" w:hAnsiTheme="majorEastAsia"/>
          <w:bCs w:val="0"/>
          <w:color w:val="auto"/>
          <w:sz w:val="44"/>
          <w:szCs w:val="44"/>
          <w:lang w:val="zh-CN"/>
        </w:rPr>
        <w:t>第三部分 技术、服务文件</w:t>
      </w:r>
      <w:bookmarkEnd w:id="110"/>
      <w:bookmarkEnd w:id="111"/>
      <w:bookmarkEnd w:id="112"/>
      <w:bookmarkEnd w:id="113"/>
      <w:bookmarkEnd w:id="114"/>
      <w:bookmarkEnd w:id="115"/>
      <w:bookmarkEnd w:id="116"/>
    </w:p>
    <w:p>
      <w:pPr>
        <w:spacing w:line="360" w:lineRule="auto"/>
        <w:ind w:left="2051" w:leftChars="619" w:right="1299" w:rightChars="619" w:hanging="752"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rPr>
      </w:pPr>
      <w:r>
        <w:rPr>
          <w:rFonts w:hint="eastAsia" w:cs="Times New Roman" w:asciiTheme="minorEastAsia" w:hAnsiTheme="minorEastAsia"/>
          <w:b/>
          <w:bCs/>
          <w:color w:val="auto"/>
          <w:sz w:val="36"/>
          <w:szCs w:val="24"/>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采购人：</w:t>
      </w:r>
    </w:p>
    <w:p>
      <w:pPr>
        <w:spacing w:line="360" w:lineRule="auto"/>
        <w:ind w:left="2051" w:leftChars="619" w:right="1299" w:rightChars="619" w:hanging="752"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采购内容：</w:t>
      </w:r>
    </w:p>
    <w:p>
      <w:pPr>
        <w:spacing w:line="360" w:lineRule="auto"/>
        <w:ind w:left="2057" w:leftChars="613" w:right="1287" w:rightChars="613" w:hanging="770" w:hangingChars="214"/>
        <w:rPr>
          <w:rFonts w:ascii="宋体" w:hAnsi="宋体" w:eastAsia="宋体" w:cs="Times New Roman"/>
          <w:color w:val="auto"/>
          <w:sz w:val="36"/>
          <w:szCs w:val="36"/>
        </w:rPr>
      </w:pPr>
    </w:p>
    <w:p>
      <w:pPr>
        <w:spacing w:line="360" w:lineRule="auto"/>
        <w:ind w:left="3341" w:leftChars="613" w:right="1287" w:rightChars="613" w:hanging="2054" w:hangingChars="214"/>
        <w:rPr>
          <w:rFonts w:cs="Times New Roman" w:asciiTheme="minorEastAsia" w:hAnsiTheme="minorEastAsia"/>
          <w:b/>
          <w:bCs/>
          <w:color w:val="auto"/>
          <w:sz w:val="96"/>
          <w:szCs w:val="96"/>
        </w:rPr>
      </w:pPr>
      <w:r>
        <w:rPr>
          <w:rFonts w:hint="eastAsia" w:cs="Times New Roman" w:asciiTheme="minorEastAsia" w:hAnsiTheme="minorEastAsia"/>
          <w:b/>
          <w:bCs/>
          <w:color w:val="auto"/>
          <w:sz w:val="96"/>
          <w:szCs w:val="96"/>
        </w:rPr>
        <w:t>投标人（盖章）</w:t>
      </w:r>
    </w:p>
    <w:p>
      <w:pPr>
        <w:spacing w:line="360" w:lineRule="auto"/>
        <w:ind w:left="1971" w:leftChars="613" w:right="1287" w:rightChars="613" w:hanging="684"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Lines="100" w:afterLines="100" w:line="360" w:lineRule="auto"/>
        <w:ind w:left="2256" w:leftChars="466" w:right="466" w:hanging="1278" w:hangingChars="355"/>
        <w:jc w:val="center"/>
        <w:rPr>
          <w:rFonts w:ascii="宋体" w:hAnsi="宋体"/>
          <w:b/>
          <w:color w:val="auto"/>
          <w:sz w:val="36"/>
          <w:szCs w:val="36"/>
        </w:rPr>
      </w:pPr>
      <w:r>
        <w:rPr>
          <w:rFonts w:hint="eastAsia" w:ascii="宋体" w:hAnsi="宋体" w:eastAsia="宋体" w:cs="Times New Roman"/>
          <w:b/>
          <w:bCs/>
          <w:color w:val="auto"/>
          <w:sz w:val="36"/>
          <w:szCs w:val="36"/>
        </w:rPr>
        <w:t>二0一</w:t>
      </w:r>
      <w:r>
        <w:rPr>
          <w:rFonts w:hint="eastAsia" w:ascii="宋体" w:hAnsi="宋体"/>
          <w:b/>
          <w:color w:val="auto"/>
          <w:sz w:val="36"/>
          <w:szCs w:val="36"/>
        </w:rPr>
        <w:t xml:space="preserve">  年 月</w:t>
      </w:r>
    </w:p>
    <w:p>
      <w:pPr>
        <w:rPr>
          <w:color w:val="auto"/>
        </w:rPr>
      </w:pPr>
      <w:r>
        <w:rPr>
          <w:color w:val="auto"/>
        </w:rPr>
        <w:br w:type="page"/>
      </w:r>
    </w:p>
    <w:p>
      <w:pPr>
        <w:spacing w:beforeLines="100" w:line="360" w:lineRule="auto"/>
        <w:jc w:val="left"/>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117" w:name="_Toc494665553"/>
      <w:bookmarkStart w:id="118" w:name="_Toc494721100"/>
      <w:bookmarkStart w:id="119" w:name="_Toc494745317"/>
      <w:bookmarkStart w:id="120" w:name="_Toc494665000"/>
      <w:bookmarkStart w:id="121" w:name="_Toc494665950"/>
      <w:bookmarkStart w:id="122" w:name="_Toc494702270"/>
      <w:r>
        <w:rPr>
          <w:rFonts w:hint="eastAsia" w:ascii="黑体" w:hAnsi="黑体" w:eastAsia="黑体" w:cs="Times New Roman"/>
          <w:b/>
          <w:bCs/>
          <w:color w:val="auto"/>
          <w:sz w:val="36"/>
          <w:szCs w:val="36"/>
          <w:lang w:val="zh-CN"/>
        </w:rPr>
        <w:t>技术</w:t>
      </w:r>
      <w:r>
        <w:rPr>
          <w:rFonts w:hint="eastAsia" w:ascii="黑体" w:hAnsi="黑体" w:eastAsia="黑体" w:cs="Times New Roman"/>
          <w:b/>
          <w:color w:val="auto"/>
          <w:sz w:val="36"/>
          <w:szCs w:val="36"/>
        </w:rPr>
        <w:t>、服务文件组成</w:t>
      </w:r>
      <w:bookmarkEnd w:id="117"/>
      <w:bookmarkEnd w:id="118"/>
      <w:bookmarkEnd w:id="119"/>
      <w:bookmarkEnd w:id="120"/>
      <w:bookmarkEnd w:id="121"/>
      <w:bookmarkEnd w:id="122"/>
    </w:p>
    <w:p>
      <w:pPr>
        <w:autoSpaceDE w:val="0"/>
        <w:autoSpaceDN w:val="0"/>
        <w:adjustRightInd w:val="0"/>
        <w:spacing w:beforeLines="50" w:afterLines="50" w:line="360" w:lineRule="auto"/>
        <w:ind w:firstLine="480"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3"/>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技术、服务文件目录（目录应涵盖下述所有资料，页码清晰以便查阅）；</w:t>
      </w:r>
    </w:p>
    <w:p>
      <w:pPr>
        <w:numPr>
          <w:ilvl w:val="0"/>
          <w:numId w:val="63"/>
        </w:numPr>
        <w:autoSpaceDE w:val="0"/>
        <w:autoSpaceDN w:val="0"/>
        <w:adjustRightInd w:val="0"/>
        <w:spacing w:line="360" w:lineRule="auto"/>
        <w:ind w:left="488" w:hanging="369"/>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投标货物（工程或服务）介绍，项目建设（服务）方案；</w:t>
      </w:r>
    </w:p>
    <w:p>
      <w:pPr>
        <w:numPr>
          <w:ilvl w:val="0"/>
          <w:numId w:val="63"/>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技术、服务要求响应、偏离说明表（附件十九）；</w:t>
      </w:r>
    </w:p>
    <w:p>
      <w:pPr>
        <w:numPr>
          <w:ilvl w:val="0"/>
          <w:numId w:val="63"/>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技术、服务要求“★”号条款响应、偏离说明表（附件二十）；</w:t>
      </w:r>
    </w:p>
    <w:p>
      <w:pPr>
        <w:numPr>
          <w:ilvl w:val="0"/>
          <w:numId w:val="63"/>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技术、服务评议对照表（附件二十一）；</w:t>
      </w:r>
    </w:p>
    <w:p>
      <w:pPr>
        <w:numPr>
          <w:ilvl w:val="0"/>
          <w:numId w:val="63"/>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color w:val="auto"/>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auto"/>
        </w:rPr>
      </w:pPr>
      <w:r>
        <w:rPr>
          <w:color w:val="auto"/>
        </w:rPr>
        <w:br w:type="page"/>
      </w:r>
    </w:p>
    <w:p>
      <w:pPr>
        <w:pStyle w:val="3"/>
        <w:numPr>
          <w:ilvl w:val="0"/>
          <w:numId w:val="64"/>
        </w:numPr>
        <w:spacing w:before="100" w:beforeAutospacing="1" w:afterLines="50" w:line="360" w:lineRule="auto"/>
        <w:ind w:left="1288" w:hanging="1288"/>
        <w:rPr>
          <w:rFonts w:ascii="宋体" w:hAnsi="宋体" w:eastAsia="宋体"/>
          <w:color w:val="auto"/>
        </w:rPr>
      </w:pPr>
      <w:bookmarkStart w:id="123" w:name="_Toc494745318"/>
      <w:bookmarkStart w:id="124" w:name="_Toc494721101"/>
      <w:bookmarkStart w:id="125" w:name="_Toc31455"/>
      <w:bookmarkStart w:id="126" w:name="_Toc494665001"/>
      <w:bookmarkStart w:id="127" w:name="_Toc494702271"/>
      <w:bookmarkStart w:id="128" w:name="_Toc494665554"/>
      <w:bookmarkStart w:id="129" w:name="_Toc494665951"/>
      <w:bookmarkStart w:id="130" w:name="_Toc236473298"/>
      <w:bookmarkStart w:id="131" w:name="_Toc238276242"/>
      <w:r>
        <w:rPr>
          <w:rFonts w:hint="eastAsia" w:ascii="宋体" w:hAnsi="宋体" w:eastAsia="宋体"/>
          <w:color w:val="auto"/>
        </w:rPr>
        <w:t>投标书</w:t>
      </w:r>
      <w:bookmarkEnd w:id="123"/>
      <w:bookmarkEnd w:id="124"/>
      <w:bookmarkEnd w:id="125"/>
      <w:bookmarkEnd w:id="126"/>
      <w:bookmarkEnd w:id="127"/>
      <w:bookmarkEnd w:id="128"/>
      <w:bookmarkEnd w:id="129"/>
      <w:bookmarkEnd w:id="130"/>
      <w:bookmarkEnd w:id="131"/>
    </w:p>
    <w:p>
      <w:pPr>
        <w:spacing w:line="360" w:lineRule="auto"/>
        <w:rPr>
          <w:b/>
          <w:color w:val="auto"/>
          <w:sz w:val="28"/>
          <w:szCs w:val="28"/>
        </w:rPr>
      </w:pPr>
      <w:r>
        <w:rPr>
          <w:rFonts w:hint="eastAsia"/>
          <w:b/>
          <w:color w:val="auto"/>
          <w:sz w:val="28"/>
          <w:szCs w:val="28"/>
        </w:rPr>
        <w:t>采购人（或采购代理机构）：</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依据贵方___</w:t>
      </w:r>
      <w:r>
        <w:rPr>
          <w:rFonts w:hint="eastAsia" w:asciiTheme="minorEastAsia" w:hAnsiTheme="minorEastAsia"/>
          <w:color w:val="auto"/>
          <w:sz w:val="24"/>
          <w:szCs w:val="24"/>
          <w:u w:val="single"/>
        </w:rPr>
        <w:t xml:space="preserve">  _</w:t>
      </w:r>
      <w:r>
        <w:rPr>
          <w:rFonts w:hint="eastAsia" w:asciiTheme="minorEastAsia" w:hAnsiTheme="minorEastAsia"/>
          <w:color w:val="auto"/>
          <w:sz w:val="24"/>
          <w:szCs w:val="24"/>
        </w:rPr>
        <w:t>项目（项目编号：_____）招标的投标邀请，我方代表</w:t>
      </w:r>
      <w:r>
        <w:rPr>
          <w:rFonts w:hint="eastAsia" w:asciiTheme="minorEastAsia" w:hAnsiTheme="minorEastAsia"/>
          <w:color w:val="auto"/>
          <w:sz w:val="24"/>
          <w:szCs w:val="24"/>
          <w:u w:val="single"/>
        </w:rPr>
        <w:t>（姓名、职务）</w:t>
      </w:r>
      <w:r>
        <w:rPr>
          <w:rFonts w:hint="eastAsia" w:asciiTheme="minorEastAsia" w:hAnsiTheme="minorEastAsia"/>
          <w:color w:val="auto"/>
          <w:sz w:val="24"/>
          <w:szCs w:val="24"/>
        </w:rPr>
        <w:t>经正式授权并代表投标人</w:t>
      </w:r>
      <w:r>
        <w:rPr>
          <w:rFonts w:hint="eastAsia" w:asciiTheme="minorEastAsia" w:hAnsiTheme="minorEastAsia"/>
          <w:color w:val="auto"/>
          <w:sz w:val="24"/>
          <w:szCs w:val="24"/>
          <w:u w:val="single"/>
        </w:rPr>
        <w:t>（投标人全称 ）</w:t>
      </w:r>
      <w:r>
        <w:rPr>
          <w:rFonts w:hint="eastAsia" w:asciiTheme="minorEastAsia" w:hAnsiTheme="minorEastAsia"/>
          <w:color w:val="auto"/>
          <w:sz w:val="24"/>
          <w:szCs w:val="24"/>
        </w:rPr>
        <w:t>提交</w:t>
      </w:r>
      <w:r>
        <w:rPr>
          <w:rFonts w:hint="eastAsia" w:ascii="宋体" w:hAnsi="宋体"/>
          <w:color w:val="auto"/>
          <w:kern w:val="0"/>
          <w:sz w:val="24"/>
        </w:rPr>
        <w:t>“开标一览表”信封和下述文件正本份，副本份。</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 xml:space="preserve">1.资格证明文件； </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2.商务文件；</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3.技术、服务文件。</w:t>
      </w:r>
    </w:p>
    <w:p>
      <w:pPr>
        <w:spacing w:line="360" w:lineRule="auto"/>
        <w:rPr>
          <w:rFonts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在此，我方宣布同意如下：</w:t>
      </w:r>
    </w:p>
    <w:p>
      <w:pPr>
        <w:numPr>
          <w:ilvl w:val="0"/>
          <w:numId w:val="65"/>
        </w:numPr>
        <w:spacing w:line="360" w:lineRule="auto"/>
        <w:ind w:left="490"/>
        <w:rPr>
          <w:rFonts w:asciiTheme="minorEastAsia" w:hAnsiTheme="minorEastAsia"/>
          <w:color w:val="auto"/>
          <w:sz w:val="24"/>
          <w:szCs w:val="24"/>
        </w:rPr>
      </w:pPr>
      <w:r>
        <w:rPr>
          <w:rFonts w:hint="eastAsia" w:asciiTheme="minorEastAsia" w:hAnsiTheme="minorEastAsia"/>
          <w:color w:val="auto"/>
          <w:sz w:val="24"/>
          <w:szCs w:val="24"/>
        </w:rPr>
        <w:t>《开标一览表》中规定的应提交和交付的</w:t>
      </w:r>
      <w:r>
        <w:rPr>
          <w:rFonts w:hint="eastAsia" w:asciiTheme="minorEastAsia" w:hAnsiTheme="minorEastAsia"/>
          <w:color w:val="auto"/>
          <w:sz w:val="24"/>
          <w:szCs w:val="24"/>
          <w:u w:val="single"/>
        </w:rPr>
        <w:t xml:space="preserve">  （包号）  </w:t>
      </w:r>
      <w:r>
        <w:rPr>
          <w:rFonts w:hint="eastAsia" w:asciiTheme="minorEastAsia" w:hAnsiTheme="minorEastAsia"/>
          <w:color w:val="auto"/>
          <w:sz w:val="24"/>
          <w:szCs w:val="24"/>
        </w:rPr>
        <w:t>货物（工程或服务）投标报价为：</w:t>
      </w:r>
    </w:p>
    <w:p>
      <w:pPr>
        <w:spacing w:line="360" w:lineRule="auto"/>
        <w:ind w:left="490"/>
        <w:rPr>
          <w:rFonts w:ascii="宋体" w:hAnsi="宋体" w:eastAsia="宋体" w:cs="Times New Roman"/>
          <w:bCs/>
          <w:color w:val="auto"/>
          <w:sz w:val="24"/>
          <w:szCs w:val="24"/>
        </w:rPr>
      </w:pPr>
      <w:r>
        <w:rPr>
          <w:rFonts w:hint="eastAsia" w:ascii="宋体" w:hAnsi="宋体" w:eastAsia="宋体" w:cs="Times New Roman"/>
          <w:bCs/>
          <w:color w:val="auto"/>
          <w:sz w:val="24"/>
          <w:szCs w:val="24"/>
        </w:rPr>
        <w:t>销售代理服务费（含策划费）：全款全额到账的住宅购房款的</w:t>
      </w:r>
      <w:r>
        <w:rPr>
          <w:rFonts w:hint="eastAsia" w:ascii="宋体" w:hAnsi="宋体" w:eastAsia="宋体" w:cs="Times New Roman"/>
          <w:bCs/>
          <w:color w:val="auto"/>
          <w:sz w:val="24"/>
          <w:szCs w:val="24"/>
          <w:u w:val="single"/>
        </w:rPr>
        <w:t xml:space="preserve">   </w:t>
      </w:r>
      <w:r>
        <w:rPr>
          <w:rFonts w:hint="eastAsia" w:ascii="宋体" w:hAnsi="宋体" w:eastAsia="宋体" w:cs="Times New Roman"/>
          <w:bCs/>
          <w:color w:val="auto"/>
          <w:sz w:val="24"/>
          <w:szCs w:val="24"/>
        </w:rPr>
        <w:t>%；</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2．按招标文件的约定履行合同责任和义务；</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3．已详细审查全部招标文件，包括</w:t>
      </w:r>
      <w:r>
        <w:rPr>
          <w:rFonts w:hint="eastAsia" w:asciiTheme="minorEastAsia" w:hAnsiTheme="minorEastAsia"/>
          <w:color w:val="auto"/>
          <w:sz w:val="24"/>
          <w:szCs w:val="24"/>
          <w:u w:val="single"/>
        </w:rPr>
        <w:t>（修正或补充文件）（如果有的话）</w:t>
      </w:r>
      <w:r>
        <w:rPr>
          <w:rFonts w:hint="eastAsia" w:asciiTheme="minorEastAsia" w:hAnsiTheme="minorEastAsia"/>
          <w:color w:val="auto"/>
          <w:sz w:val="24"/>
          <w:szCs w:val="24"/>
        </w:rPr>
        <w:t>，对此无异议；</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4．投标有效期为自</w:t>
      </w:r>
      <w:r>
        <w:rPr>
          <w:rFonts w:hint="eastAsia" w:ascii="宋体" w:hAnsi="宋体"/>
          <w:color w:val="auto"/>
          <w:kern w:val="0"/>
          <w:sz w:val="24"/>
        </w:rPr>
        <w:t>递交投标文件截止之日</w:t>
      </w:r>
      <w:r>
        <w:rPr>
          <w:rFonts w:hint="eastAsia" w:asciiTheme="minorEastAsia" w:hAnsiTheme="minorEastAsia"/>
          <w:color w:val="auto"/>
          <w:sz w:val="24"/>
          <w:szCs w:val="24"/>
        </w:rPr>
        <w:t>起，共个日历日；</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5．接受招标文件关于不予退还投标保证金的约定；</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6．提供按照贵方可能要求的与投标有关的一切数据或资料；</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color w:val="auto"/>
          <w:kern w:val="0"/>
          <w:sz w:val="24"/>
          <w:szCs w:val="24"/>
        </w:rPr>
      </w:pP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投标人：</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地  址：</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电话/传真：</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电子邮件：</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投标人(公章)：</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投标人授权代表（签字）：</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日    期：</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开户银行：</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帐号/行号：</w:t>
      </w:r>
    </w:p>
    <w:p>
      <w:pPr>
        <w:rPr>
          <w:color w:val="auto"/>
        </w:rPr>
      </w:pPr>
      <w:r>
        <w:rPr>
          <w:color w:val="auto"/>
        </w:rPr>
        <w:br w:type="page"/>
      </w:r>
    </w:p>
    <w:p>
      <w:pPr>
        <w:pStyle w:val="3"/>
        <w:numPr>
          <w:ilvl w:val="0"/>
          <w:numId w:val="64"/>
        </w:numPr>
        <w:spacing w:before="100" w:beforeAutospacing="1" w:afterLines="50" w:line="360" w:lineRule="auto"/>
        <w:ind w:left="1288" w:hanging="1288"/>
        <w:rPr>
          <w:rFonts w:ascii="宋体" w:hAnsi="宋体" w:eastAsia="宋体"/>
          <w:color w:val="auto"/>
        </w:rPr>
      </w:pPr>
      <w:bookmarkStart w:id="132" w:name="_Toc494665952"/>
      <w:bookmarkStart w:id="133" w:name="_Toc494745319"/>
      <w:bookmarkStart w:id="134" w:name="_Toc494702272"/>
      <w:bookmarkStart w:id="135" w:name="_Toc494721102"/>
      <w:bookmarkStart w:id="136" w:name="_Toc494665555"/>
      <w:bookmarkStart w:id="137" w:name="_Toc10626"/>
      <w:bookmarkStart w:id="138" w:name="_Toc494665002"/>
      <w:r>
        <w:rPr>
          <w:rFonts w:hint="eastAsia" w:ascii="宋体" w:hAnsi="宋体" w:eastAsia="宋体"/>
          <w:color w:val="auto"/>
        </w:rPr>
        <w:t>制造商中小企业声明函</w:t>
      </w:r>
      <w:bookmarkEnd w:id="132"/>
      <w:bookmarkEnd w:id="133"/>
      <w:bookmarkEnd w:id="134"/>
      <w:bookmarkEnd w:id="135"/>
      <w:bookmarkEnd w:id="136"/>
      <w:bookmarkEnd w:id="137"/>
      <w:bookmarkEnd w:id="138"/>
    </w:p>
    <w:p>
      <w:pPr>
        <w:adjustRightInd w:val="0"/>
        <w:snapToGrid w:val="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制造商中小企业声明函</w:t>
      </w:r>
    </w:p>
    <w:p>
      <w:pPr>
        <w:adjustRightInd w:val="0"/>
        <w:snapToGrid w:val="0"/>
        <w:spacing w:beforeLines="50"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（适用于货物类项目）</w:t>
      </w:r>
    </w:p>
    <w:p>
      <w:pPr>
        <w:spacing w:line="360" w:lineRule="auto"/>
        <w:rPr>
          <w:b/>
          <w:color w:val="auto"/>
          <w:sz w:val="28"/>
          <w:szCs w:val="28"/>
        </w:rPr>
      </w:pPr>
      <w:r>
        <w:rPr>
          <w:rFonts w:hint="eastAsia"/>
          <w:b/>
          <w:color w:val="auto"/>
          <w:sz w:val="28"/>
          <w:szCs w:val="28"/>
        </w:rPr>
        <w:t>采购人（或采购代理机构）：</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auto"/>
          <w:sz w:val="24"/>
        </w:rPr>
        <w:t>（详见《中小企业划型标准》）</w:t>
      </w:r>
      <w:r>
        <w:rPr>
          <w:rFonts w:hint="eastAsia" w:ascii="宋体" w:hAnsi="宋体" w:eastAsia="宋体" w:cs="Times New Roman"/>
          <w:color w:val="auto"/>
          <w:sz w:val="24"/>
          <w:szCs w:val="21"/>
          <w:lang w:val="zh-CN"/>
        </w:rPr>
        <w:t>，本公司为______（请填写：中型、小型、微型）企业。</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2.本公司授权</w:t>
      </w:r>
      <w:r>
        <w:rPr>
          <w:rFonts w:hint="eastAsia" w:ascii="宋体" w:hAnsi="宋体" w:eastAsia="宋体" w:cs="Times New Roman"/>
          <w:color w:val="auto"/>
          <w:sz w:val="24"/>
          <w:szCs w:val="21"/>
          <w:u w:val="single"/>
          <w:lang w:val="zh-CN"/>
        </w:rPr>
        <w:t xml:space="preserve">  （投标人）  </w:t>
      </w:r>
      <w:r>
        <w:rPr>
          <w:rFonts w:hint="eastAsia" w:ascii="宋体" w:hAnsi="宋体" w:eastAsia="宋体" w:cs="Times New Roman"/>
          <w:color w:val="auto"/>
          <w:sz w:val="24"/>
          <w:szCs w:val="21"/>
          <w:lang w:val="zh-CN"/>
        </w:rPr>
        <w:t>参加_</w:t>
      </w:r>
      <w:r>
        <w:rPr>
          <w:rFonts w:hint="eastAsia" w:ascii="宋体" w:hAnsi="宋体" w:eastAsia="宋体" w:cs="Times New Roman"/>
          <w:color w:val="auto"/>
          <w:sz w:val="24"/>
          <w:szCs w:val="21"/>
          <w:u w:val="single"/>
          <w:lang w:val="zh-CN"/>
        </w:rPr>
        <w:t>_（采购人）_</w:t>
      </w:r>
      <w:r>
        <w:rPr>
          <w:rFonts w:hint="eastAsia" w:ascii="宋体" w:hAnsi="宋体" w:eastAsia="宋体" w:cs="Times New Roman"/>
          <w:color w:val="auto"/>
          <w:sz w:val="24"/>
          <w:szCs w:val="21"/>
          <w:lang w:val="zh-CN"/>
        </w:rPr>
        <w:t>的__</w:t>
      </w:r>
      <w:r>
        <w:rPr>
          <w:rFonts w:hint="eastAsia" w:ascii="宋体" w:hAnsi="宋体" w:eastAsia="宋体" w:cs="Times New Roman"/>
          <w:color w:val="auto"/>
          <w:sz w:val="24"/>
          <w:szCs w:val="21"/>
          <w:u w:val="single"/>
          <w:lang w:val="zh-CN"/>
        </w:rPr>
        <w:t>__</w:t>
      </w:r>
      <w:r>
        <w:rPr>
          <w:rFonts w:hint="eastAsia" w:ascii="宋体" w:hAnsi="宋体" w:eastAsia="宋体" w:cs="Times New Roman"/>
          <w:color w:val="auto"/>
          <w:sz w:val="24"/>
          <w:szCs w:val="21"/>
          <w:lang w:val="zh-CN"/>
        </w:rPr>
        <w:t>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lang w:val="zh-CN"/>
        </w:rPr>
        <w:t>3</w:t>
      </w:r>
      <w:r>
        <w:rPr>
          <w:rFonts w:hint="eastAsia" w:ascii="宋体" w:hAnsi="宋体" w:eastAsia="宋体" w:cs="Times New Roman"/>
          <w:bCs/>
          <w:color w:val="auto"/>
          <w:sz w:val="24"/>
          <w:szCs w:val="24"/>
        </w:rPr>
        <w:t>.由本公司制造的货物清单见下表：</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ind w:left="-2" w:firstLine="2"/>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ind w:left="-2" w:firstLine="2"/>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r>
    </w:tbl>
    <w:p>
      <w:pPr>
        <w:spacing w:beforeLines="50"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本公司对上述声明的真实性负责。如有虚假，将依法承担相应责任。</w:t>
      </w:r>
    </w:p>
    <w:p>
      <w:pPr>
        <w:spacing w:line="360" w:lineRule="auto"/>
        <w:rPr>
          <w:rFonts w:ascii="宋体" w:hAnsi="宋体" w:eastAsia="宋体" w:cs="Times New Roman"/>
          <w:bCs/>
          <w:color w:val="auto"/>
          <w:sz w:val="24"/>
          <w:szCs w:val="24"/>
        </w:rPr>
      </w:pPr>
    </w:p>
    <w:p>
      <w:pPr>
        <w:pStyle w:val="9"/>
        <w:spacing w:line="360" w:lineRule="auto"/>
        <w:ind w:left="960" w:hanging="960" w:hangingChars="400"/>
        <w:jc w:val="left"/>
        <w:rPr>
          <w:rFonts w:hAnsi="宋体" w:cs="Corbel"/>
          <w:color w:val="auto"/>
          <w:sz w:val="24"/>
        </w:rPr>
      </w:pPr>
      <w:r>
        <w:rPr>
          <w:rFonts w:hint="eastAsia" w:hAnsi="宋体" w:eastAsia="宋体" w:cs="Times New Roman"/>
          <w:bCs/>
          <w:color w:val="auto"/>
          <w:sz w:val="24"/>
          <w:szCs w:val="24"/>
        </w:rPr>
        <w:t>说明：</w:t>
      </w:r>
      <w:r>
        <w:rPr>
          <w:rFonts w:hint="eastAsia" w:hAnsi="宋体" w:cs="Corbel"/>
          <w:color w:val="auto"/>
          <w:sz w:val="24"/>
        </w:rPr>
        <w:t>1、投标人所投货物为自己制造的，也应按本声明函格式填写。</w:t>
      </w:r>
    </w:p>
    <w:p>
      <w:pPr>
        <w:pStyle w:val="9"/>
        <w:spacing w:line="360" w:lineRule="auto"/>
        <w:ind w:left="958" w:leftChars="342" w:hanging="240" w:hangingChars="100"/>
        <w:jc w:val="left"/>
        <w:rPr>
          <w:rFonts w:hAnsi="宋体"/>
          <w:color w:val="auto"/>
          <w:sz w:val="24"/>
        </w:rPr>
      </w:pPr>
      <w:r>
        <w:rPr>
          <w:rFonts w:hint="eastAsia" w:hAnsi="宋体"/>
          <w:color w:val="auto"/>
          <w:sz w:val="24"/>
        </w:rPr>
        <w:t>2、组成联合体的大中型企业和其他自然人、法人或者其他组织，与小型、微型企业之间不得存在投资关系。</w:t>
      </w:r>
    </w:p>
    <w:p>
      <w:pPr>
        <w:pStyle w:val="9"/>
        <w:spacing w:line="360" w:lineRule="auto"/>
        <w:ind w:left="958" w:leftChars="342" w:hanging="240" w:hangingChars="100"/>
        <w:jc w:val="left"/>
        <w:rPr>
          <w:rFonts w:hAnsi="宋体" w:eastAsia="宋体" w:cs="Times New Roman"/>
          <w:bCs/>
          <w:color w:val="auto"/>
          <w:sz w:val="24"/>
          <w:szCs w:val="24"/>
        </w:rPr>
      </w:pPr>
      <w:r>
        <w:rPr>
          <w:rFonts w:hint="eastAsia" w:hAnsi="宋体"/>
          <w:color w:val="auto"/>
          <w:sz w:val="24"/>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制造商法定代表人（</w:t>
      </w:r>
      <w:r>
        <w:rPr>
          <w:rFonts w:hint="eastAsia" w:ascii="宋体" w:hAnsi="宋体" w:eastAsia="宋体" w:cs="Times New Roman"/>
          <w:b/>
          <w:color w:val="auto"/>
          <w:sz w:val="24"/>
          <w:szCs w:val="21"/>
          <w:lang w:val="zh-CN"/>
        </w:rPr>
        <w:t>签字或盖章</w:t>
      </w:r>
      <w:r>
        <w:rPr>
          <w:rFonts w:hint="eastAsia" w:ascii="宋体" w:hAnsi="宋体" w:eastAsia="宋体" w:cs="Times New Roman"/>
          <w:b/>
          <w:bCs/>
          <w:color w:val="auto"/>
          <w:sz w:val="24"/>
          <w:szCs w:val="21"/>
          <w:lang w:val="zh-CN"/>
        </w:rPr>
        <w:t>）：</w:t>
      </w:r>
    </w:p>
    <w:p>
      <w:pPr>
        <w:spacing w:before="100" w:beforeAutospacing="1" w:after="100" w:afterAutospacing="1" w:line="360" w:lineRule="auto"/>
        <w:ind w:firstLine="3316" w:firstLineChars="1382"/>
        <w:rPr>
          <w:color w:val="auto"/>
        </w:rPr>
      </w:pPr>
      <w:r>
        <w:rPr>
          <w:rFonts w:hint="eastAsia" w:ascii="Times New Roman" w:hAnsi="宋体" w:eastAsia="宋体" w:cs="Times New Roman"/>
          <w:b/>
          <w:color w:val="auto"/>
          <w:sz w:val="24"/>
          <w:szCs w:val="24"/>
        </w:rPr>
        <w:t>日   期：</w:t>
      </w:r>
    </w:p>
    <w:p>
      <w:pPr>
        <w:rPr>
          <w:color w:val="auto"/>
        </w:rPr>
      </w:pPr>
      <w:r>
        <w:rPr>
          <w:color w:val="auto"/>
        </w:rPr>
        <w:br w:type="page"/>
      </w:r>
    </w:p>
    <w:p>
      <w:pPr>
        <w:pStyle w:val="3"/>
        <w:numPr>
          <w:ilvl w:val="0"/>
          <w:numId w:val="64"/>
        </w:numPr>
        <w:spacing w:before="100" w:beforeAutospacing="1" w:afterLines="50" w:line="360" w:lineRule="auto"/>
        <w:ind w:left="1288" w:hanging="1288"/>
        <w:rPr>
          <w:rFonts w:ascii="宋体" w:hAnsi="宋体" w:eastAsia="宋体"/>
          <w:color w:val="auto"/>
        </w:rPr>
      </w:pPr>
      <w:bookmarkStart w:id="139" w:name="_Toc494665003"/>
      <w:bookmarkStart w:id="140" w:name="_Toc494721103"/>
      <w:bookmarkStart w:id="141" w:name="_Toc494665953"/>
      <w:bookmarkStart w:id="142" w:name="_Toc494745320"/>
      <w:bookmarkStart w:id="143" w:name="_Toc494665556"/>
      <w:bookmarkStart w:id="144" w:name="_Toc456264006"/>
      <w:bookmarkStart w:id="145" w:name="_Toc494702273"/>
      <w:bookmarkStart w:id="146" w:name="_Toc26113"/>
      <w:r>
        <w:rPr>
          <w:rFonts w:hint="eastAsia" w:ascii="宋体" w:hAnsi="宋体" w:eastAsia="宋体"/>
          <w:color w:val="auto"/>
        </w:rPr>
        <w:t>中小企业声明函</w:t>
      </w:r>
      <w:bookmarkEnd w:id="139"/>
      <w:bookmarkEnd w:id="140"/>
      <w:bookmarkEnd w:id="141"/>
      <w:bookmarkEnd w:id="142"/>
      <w:bookmarkEnd w:id="143"/>
      <w:bookmarkEnd w:id="144"/>
      <w:bookmarkEnd w:id="145"/>
      <w:bookmarkEnd w:id="146"/>
    </w:p>
    <w:p>
      <w:pPr>
        <w:adjustRightInd w:val="0"/>
        <w:snapToGrid w:val="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中小企业声明函</w:t>
      </w:r>
    </w:p>
    <w:p>
      <w:pPr>
        <w:adjustRightInd w:val="0"/>
        <w:snapToGrid w:val="0"/>
        <w:spacing w:beforeLines="50"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（适用于工程类、服务类项目）</w:t>
      </w:r>
    </w:p>
    <w:p>
      <w:pPr>
        <w:spacing w:line="360" w:lineRule="auto"/>
        <w:rPr>
          <w:b/>
          <w:color w:val="auto"/>
          <w:sz w:val="28"/>
          <w:szCs w:val="28"/>
        </w:rPr>
      </w:pPr>
      <w:r>
        <w:rPr>
          <w:rFonts w:hint="eastAsia"/>
          <w:b/>
          <w:color w:val="auto"/>
          <w:sz w:val="28"/>
          <w:szCs w:val="28"/>
        </w:rPr>
        <w:t>采购人（或采购代理机构）：</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auto"/>
          <w:sz w:val="24"/>
        </w:rPr>
        <w:t>（详见《中小企业划型标准》）</w:t>
      </w:r>
      <w:r>
        <w:rPr>
          <w:rFonts w:hint="eastAsia" w:ascii="宋体" w:hAnsi="宋体" w:eastAsia="宋体" w:cs="Times New Roman"/>
          <w:color w:val="auto"/>
          <w:sz w:val="24"/>
          <w:szCs w:val="21"/>
          <w:lang w:val="zh-CN"/>
        </w:rPr>
        <w:t>，本公司为______（请填写：中型、小型、微型）企业。</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2.本公司参加_</w:t>
      </w:r>
      <w:r>
        <w:rPr>
          <w:rFonts w:hint="eastAsia" w:ascii="宋体" w:hAnsi="宋体" w:eastAsia="宋体" w:cs="Times New Roman"/>
          <w:color w:val="auto"/>
          <w:sz w:val="24"/>
          <w:szCs w:val="21"/>
          <w:u w:val="single"/>
          <w:lang w:val="zh-CN"/>
        </w:rPr>
        <w:t>_（采购人）</w:t>
      </w:r>
      <w:r>
        <w:rPr>
          <w:rFonts w:hint="eastAsia" w:ascii="宋体" w:hAnsi="宋体" w:eastAsia="宋体" w:cs="Times New Roman"/>
          <w:color w:val="auto"/>
          <w:sz w:val="24"/>
          <w:szCs w:val="21"/>
          <w:lang w:val="zh-CN"/>
        </w:rPr>
        <w:t>的__</w:t>
      </w:r>
      <w:r>
        <w:rPr>
          <w:rFonts w:hint="eastAsia" w:ascii="宋体" w:hAnsi="宋体" w:eastAsia="宋体" w:cs="Times New Roman"/>
          <w:color w:val="auto"/>
          <w:sz w:val="24"/>
          <w:szCs w:val="21"/>
          <w:u w:val="single"/>
          <w:lang w:val="zh-CN"/>
        </w:rPr>
        <w:t>__</w:t>
      </w:r>
      <w:r>
        <w:rPr>
          <w:rFonts w:hint="eastAsia" w:ascii="宋体" w:hAnsi="宋体" w:eastAsia="宋体" w:cs="Times New Roman"/>
          <w:color w:val="auto"/>
          <w:sz w:val="24"/>
          <w:szCs w:val="21"/>
          <w:lang w:val="zh-CN"/>
        </w:rPr>
        <w:t>项目（项目编号：______）采购活动由本企业承担工程（或提供服务）。</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color w:val="auto"/>
          <w:sz w:val="28"/>
          <w:szCs w:val="24"/>
        </w:rPr>
      </w:pPr>
    </w:p>
    <w:p>
      <w:pPr>
        <w:adjustRightInd w:val="0"/>
        <w:snapToGrid w:val="0"/>
        <w:spacing w:line="360" w:lineRule="auto"/>
        <w:rPr>
          <w:rFonts w:ascii="宋体" w:hAnsi="宋体" w:eastAsia="宋体" w:cs="Times New Roman"/>
          <w:color w:val="auto"/>
          <w:sz w:val="28"/>
          <w:szCs w:val="24"/>
        </w:rPr>
      </w:pPr>
    </w:p>
    <w:p>
      <w:pPr>
        <w:spacing w:line="360" w:lineRule="auto"/>
        <w:ind w:left="950" w:hanging="950" w:hangingChars="396"/>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color w:val="auto"/>
          <w:sz w:val="24"/>
          <w:szCs w:val="21"/>
          <w:lang w:val="zh-CN"/>
        </w:rPr>
      </w:pPr>
    </w:p>
    <w:p>
      <w:pPr>
        <w:spacing w:line="360" w:lineRule="auto"/>
        <w:ind w:firstLine="480" w:firstLineChars="200"/>
        <w:jc w:val="left"/>
        <w:rPr>
          <w:rFonts w:ascii="宋体" w:hAnsi="宋体" w:eastAsia="宋体" w:cs="Times New Roman"/>
          <w:color w:val="auto"/>
          <w:sz w:val="24"/>
          <w:szCs w:val="21"/>
          <w:lang w:val="zh-CN"/>
        </w:rPr>
      </w:pPr>
    </w:p>
    <w:p>
      <w:pPr>
        <w:spacing w:line="360" w:lineRule="auto"/>
        <w:ind w:firstLine="480" w:firstLineChars="200"/>
        <w:jc w:val="left"/>
        <w:rPr>
          <w:rFonts w:ascii="宋体" w:hAnsi="宋体" w:eastAsia="宋体" w:cs="Times New Roman"/>
          <w:color w:val="auto"/>
          <w:sz w:val="24"/>
          <w:szCs w:val="21"/>
          <w:lang w:val="zh-CN"/>
        </w:rPr>
      </w:pP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投标时间：</w:t>
      </w:r>
    </w:p>
    <w:p>
      <w:pPr>
        <w:rPr>
          <w:color w:val="auto"/>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rPr>
          <w:color w:val="auto"/>
        </w:rPr>
        <w:br w:type="page"/>
      </w:r>
    </w:p>
    <w:p>
      <w:pPr>
        <w:spacing w:line="240" w:lineRule="atLeast"/>
        <w:ind w:left="-48" w:leftChars="-23" w:right="-65" w:rightChars="-31"/>
        <w:jc w:val="center"/>
        <w:rPr>
          <w:rFonts w:ascii="宋体" w:hAnsi="宋体" w:eastAsia="宋体" w:cs="Times New Roman"/>
          <w:b/>
          <w:color w:val="auto"/>
          <w:sz w:val="30"/>
          <w:szCs w:val="30"/>
          <w:lang w:val="zh-CN"/>
        </w:rPr>
      </w:pPr>
      <w:bookmarkStart w:id="147" w:name="_Toc476153619"/>
      <w:r>
        <w:rPr>
          <w:rFonts w:hint="eastAsia" w:ascii="宋体" w:hAnsi="宋体" w:eastAsia="宋体" w:cs="Times New Roman"/>
          <w:b/>
          <w:color w:val="auto"/>
          <w:sz w:val="30"/>
          <w:szCs w:val="30"/>
          <w:lang w:val="zh-CN"/>
        </w:rPr>
        <w:t>中小企业划型标准</w:t>
      </w:r>
      <w:bookmarkEnd w:id="147"/>
    </w:p>
    <w:tbl>
      <w:tblPr>
        <w:tblStyle w:val="19"/>
        <w:tblW w:w="14470" w:type="dxa"/>
        <w:jc w:val="center"/>
        <w:tblInd w:w="0" w:type="dxa"/>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Layout w:type="fixed"/>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微型企业</w:t>
            </w:r>
          </w:p>
        </w:tc>
      </w:tr>
      <w:tr>
        <w:tblPrEx>
          <w:tblLayout w:type="fixed"/>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color w:val="auto"/>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r>
      <w:tr>
        <w:tblPrEx>
          <w:tblLayout w:type="fixed"/>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r>
      <w:tr>
        <w:tblPrEx>
          <w:tblLayout w:type="fixed"/>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Layout w:type="fixed"/>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或,＜2000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或,＜100</w:t>
            </w:r>
          </w:p>
        </w:tc>
      </w:tr>
      <w:tr>
        <w:tblPrEx>
          <w:tblLayout w:type="fixed"/>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bl>
    <w:p>
      <w:pPr>
        <w:rPr>
          <w:color w:val="auto"/>
        </w:rPr>
        <w:sectPr>
          <w:pgSz w:w="16838" w:h="11906" w:orient="landscape"/>
          <w:pgMar w:top="1191" w:right="1134" w:bottom="1191" w:left="1134" w:header="851" w:footer="851" w:gutter="0"/>
          <w:cols w:space="425" w:num="1"/>
          <w:docGrid w:type="lines" w:linePitch="312" w:charSpace="0"/>
        </w:sectPr>
      </w:pPr>
      <w:r>
        <w:rPr>
          <w:color w:val="auto"/>
        </w:rPr>
        <w:br w:type="page"/>
      </w:r>
    </w:p>
    <w:p>
      <w:pPr>
        <w:pStyle w:val="3"/>
        <w:numPr>
          <w:ilvl w:val="0"/>
          <w:numId w:val="64"/>
        </w:numPr>
        <w:spacing w:before="100" w:beforeAutospacing="1" w:afterLines="50" w:line="360" w:lineRule="auto"/>
        <w:ind w:left="1288" w:hanging="1288"/>
        <w:rPr>
          <w:rFonts w:ascii="宋体" w:hAnsi="宋体" w:eastAsia="宋体"/>
          <w:color w:val="auto"/>
        </w:rPr>
      </w:pPr>
      <w:bookmarkStart w:id="148" w:name="_Toc31226"/>
      <w:bookmarkStart w:id="149" w:name="_Toc494665004"/>
      <w:bookmarkStart w:id="150" w:name="_Toc494721104"/>
      <w:bookmarkStart w:id="151" w:name="_Toc494665557"/>
      <w:bookmarkStart w:id="152" w:name="_Toc494745321"/>
      <w:bookmarkStart w:id="153" w:name="_Toc494702274"/>
      <w:bookmarkStart w:id="154" w:name="_Toc494665954"/>
      <w:r>
        <w:rPr>
          <w:rFonts w:hint="eastAsia" w:ascii="宋体" w:hAnsi="宋体" w:eastAsia="宋体"/>
          <w:color w:val="auto"/>
        </w:rPr>
        <w:t>残疾人福利性单位声明函</w:t>
      </w:r>
      <w:bookmarkEnd w:id="148"/>
      <w:bookmarkEnd w:id="149"/>
      <w:bookmarkEnd w:id="150"/>
      <w:bookmarkEnd w:id="151"/>
      <w:bookmarkEnd w:id="152"/>
      <w:bookmarkEnd w:id="153"/>
      <w:bookmarkEnd w:id="154"/>
    </w:p>
    <w:p>
      <w:pPr>
        <w:adjustRightInd w:val="0"/>
        <w:snapToGrid w:val="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残疾人福利性单位声明函</w:t>
      </w:r>
    </w:p>
    <w:p>
      <w:pPr>
        <w:adjustRightInd w:val="0"/>
        <w:snapToGrid w:val="0"/>
        <w:spacing w:beforeLines="50"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（适用于货物类项目）</w:t>
      </w:r>
    </w:p>
    <w:p>
      <w:pPr>
        <w:spacing w:line="360" w:lineRule="auto"/>
        <w:rPr>
          <w:b/>
          <w:color w:val="auto"/>
          <w:sz w:val="28"/>
          <w:szCs w:val="28"/>
        </w:rPr>
      </w:pPr>
      <w:r>
        <w:rPr>
          <w:rFonts w:hint="eastAsia"/>
          <w:b/>
          <w:color w:val="auto"/>
          <w:sz w:val="28"/>
          <w:szCs w:val="28"/>
        </w:rPr>
        <w:t>采购人（或采购代理机构）：</w:t>
      </w:r>
    </w:p>
    <w:p>
      <w:pPr>
        <w:pStyle w:val="9"/>
        <w:spacing w:line="360" w:lineRule="auto"/>
        <w:ind w:firstLine="475" w:firstLineChars="198"/>
        <w:jc w:val="left"/>
        <w:rPr>
          <w:rFonts w:hAnsi="宋体"/>
          <w:color w:val="auto"/>
          <w:sz w:val="24"/>
        </w:rPr>
      </w:pPr>
      <w:r>
        <w:rPr>
          <w:rFonts w:hint="eastAsia" w:hAnsi="宋体"/>
          <w:color w:val="auto"/>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9"/>
        <w:spacing w:line="360" w:lineRule="auto"/>
        <w:ind w:firstLine="475" w:firstLineChars="198"/>
        <w:jc w:val="left"/>
        <w:rPr>
          <w:rFonts w:hAnsi="宋体"/>
          <w:color w:val="auto"/>
          <w:sz w:val="24"/>
        </w:rPr>
      </w:pPr>
      <w:r>
        <w:rPr>
          <w:rFonts w:hint="eastAsia" w:hAnsi="宋体"/>
          <w:color w:val="auto"/>
          <w:sz w:val="24"/>
        </w:rPr>
        <w:t>1.本单位授权</w:t>
      </w:r>
      <w:r>
        <w:rPr>
          <w:rFonts w:hint="eastAsia" w:hAnsi="宋体"/>
          <w:color w:val="auto"/>
          <w:sz w:val="24"/>
          <w:u w:val="single"/>
        </w:rPr>
        <w:t xml:space="preserve"> （投标人） </w:t>
      </w:r>
      <w:r>
        <w:rPr>
          <w:rFonts w:hint="eastAsia" w:hAnsi="宋体"/>
          <w:color w:val="auto"/>
          <w:sz w:val="24"/>
        </w:rPr>
        <w:t>参加_</w:t>
      </w:r>
      <w:r>
        <w:rPr>
          <w:rFonts w:hint="eastAsia" w:hAnsi="宋体"/>
          <w:color w:val="auto"/>
          <w:sz w:val="24"/>
          <w:u w:val="single"/>
        </w:rPr>
        <w:t>（采购人）</w:t>
      </w:r>
      <w:r>
        <w:rPr>
          <w:rFonts w:hint="eastAsia" w:hAnsi="宋体"/>
          <w:color w:val="auto"/>
          <w:sz w:val="24"/>
        </w:rPr>
        <w:t>的__</w:t>
      </w:r>
      <w:r>
        <w:rPr>
          <w:rFonts w:hint="eastAsia" w:hAnsi="宋体"/>
          <w:color w:val="auto"/>
          <w:sz w:val="24"/>
          <w:u w:val="single"/>
        </w:rPr>
        <w:t>_ _</w:t>
      </w:r>
      <w:r>
        <w:rPr>
          <w:rFonts w:hint="eastAsia" w:hAnsi="宋体"/>
          <w:color w:val="auto"/>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auto"/>
          <w:sz w:val="24"/>
        </w:rPr>
      </w:pPr>
      <w:r>
        <w:rPr>
          <w:rFonts w:hint="eastAsia" w:ascii="宋体" w:hAnsi="宋体"/>
          <w:bCs/>
          <w:color w:val="auto"/>
          <w:sz w:val="24"/>
          <w:lang w:val="zh-CN"/>
        </w:rPr>
        <w:t>2</w:t>
      </w:r>
      <w:r>
        <w:rPr>
          <w:rFonts w:hint="eastAsia" w:ascii="宋体" w:hAnsi="宋体"/>
          <w:bCs/>
          <w:color w:val="auto"/>
          <w:sz w:val="24"/>
        </w:rPr>
        <w:t>.由本单位制造的货物清单见下表：</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ind w:left="-2" w:firstLine="2"/>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r>
    </w:tbl>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本单位对上述声明的真实性负责。如有虚假，将依法承担相应责任。</w:t>
      </w:r>
    </w:p>
    <w:p>
      <w:pPr>
        <w:spacing w:line="360" w:lineRule="auto"/>
        <w:rPr>
          <w:rFonts w:ascii="宋体" w:hAnsi="宋体" w:eastAsia="宋体" w:cs="Times New Roman"/>
          <w:bCs/>
          <w:color w:val="auto"/>
          <w:sz w:val="24"/>
          <w:szCs w:val="24"/>
        </w:rPr>
      </w:pPr>
    </w:p>
    <w:p>
      <w:pPr>
        <w:pStyle w:val="9"/>
        <w:spacing w:line="360" w:lineRule="auto"/>
        <w:jc w:val="left"/>
        <w:rPr>
          <w:rFonts w:hAnsi="宋体" w:cs="Corbel"/>
          <w:color w:val="auto"/>
          <w:sz w:val="24"/>
        </w:rPr>
      </w:pPr>
      <w:r>
        <w:rPr>
          <w:rFonts w:hint="eastAsia" w:hAnsi="宋体" w:eastAsia="宋体" w:cs="Times New Roman"/>
          <w:bCs/>
          <w:color w:val="auto"/>
          <w:sz w:val="24"/>
          <w:szCs w:val="24"/>
        </w:rPr>
        <w:t>说明：</w:t>
      </w:r>
      <w:r>
        <w:rPr>
          <w:rFonts w:hint="eastAsia" w:hAnsi="宋体" w:cs="Corbel"/>
          <w:color w:val="auto"/>
          <w:sz w:val="24"/>
        </w:rPr>
        <w:t>1、投标人所投货物为自己制造的，也应按本声明函格式填写。</w:t>
      </w:r>
    </w:p>
    <w:p>
      <w:pPr>
        <w:pStyle w:val="9"/>
        <w:spacing w:line="360" w:lineRule="auto"/>
        <w:ind w:left="1078" w:leftChars="342" w:hanging="360" w:hangingChars="150"/>
        <w:jc w:val="left"/>
        <w:rPr>
          <w:rFonts w:hAnsi="宋体"/>
          <w:color w:val="auto"/>
          <w:sz w:val="24"/>
        </w:rPr>
      </w:pPr>
      <w:r>
        <w:rPr>
          <w:rFonts w:hint="eastAsia" w:hAnsi="宋体"/>
          <w:color w:val="auto"/>
          <w:sz w:val="24"/>
        </w:rPr>
        <w:t>2、组成联合体的大中型企业和其他自然人、法人或者其他组织，与残疾人福利性单位之间不得存在投资关系。</w:t>
      </w:r>
    </w:p>
    <w:p>
      <w:pPr>
        <w:pStyle w:val="9"/>
        <w:spacing w:line="360" w:lineRule="auto"/>
        <w:ind w:left="1078" w:leftChars="342" w:hanging="360" w:hangingChars="150"/>
        <w:jc w:val="left"/>
        <w:rPr>
          <w:rFonts w:hAnsi="宋体"/>
          <w:color w:val="auto"/>
          <w:sz w:val="24"/>
        </w:rPr>
      </w:pPr>
      <w:r>
        <w:rPr>
          <w:rFonts w:hint="eastAsia" w:hAnsi="宋体"/>
          <w:color w:val="auto"/>
          <w:sz w:val="24"/>
        </w:rPr>
        <w:t>3、以联合体方式参与本项目投标的供应商，应由联合体双方签字盖章。</w:t>
      </w:r>
    </w:p>
    <w:p>
      <w:pPr>
        <w:spacing w:line="360" w:lineRule="auto"/>
        <w:rPr>
          <w:rFonts w:ascii="宋体" w:hAnsi="宋体"/>
          <w:color w:val="auto"/>
          <w:sz w:val="24"/>
        </w:rPr>
      </w:pP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制造商法定代表人（</w:t>
      </w:r>
      <w:r>
        <w:rPr>
          <w:rFonts w:hint="eastAsia" w:ascii="宋体" w:hAnsi="宋体" w:eastAsia="宋体" w:cs="Times New Roman"/>
          <w:b/>
          <w:color w:val="auto"/>
          <w:sz w:val="24"/>
          <w:szCs w:val="21"/>
          <w:lang w:val="zh-CN"/>
        </w:rPr>
        <w:t>签字或盖章</w:t>
      </w:r>
      <w:r>
        <w:rPr>
          <w:rFonts w:hint="eastAsia" w:ascii="宋体" w:hAnsi="宋体" w:eastAsia="宋体" w:cs="Times New Roman"/>
          <w:b/>
          <w:bCs/>
          <w:color w:val="auto"/>
          <w:sz w:val="24"/>
          <w:szCs w:val="21"/>
          <w:lang w:val="zh-CN"/>
        </w:rPr>
        <w:t>）：</w:t>
      </w:r>
    </w:p>
    <w:p>
      <w:pPr>
        <w:spacing w:before="100" w:beforeAutospacing="1" w:after="100" w:afterAutospacing="1" w:line="360" w:lineRule="auto"/>
        <w:ind w:firstLine="3316" w:firstLineChars="1382"/>
        <w:rPr>
          <w:color w:val="auto"/>
        </w:rPr>
      </w:pPr>
      <w:r>
        <w:rPr>
          <w:rFonts w:hint="eastAsia" w:ascii="Times New Roman" w:hAnsi="宋体" w:eastAsia="宋体" w:cs="Times New Roman"/>
          <w:b/>
          <w:color w:val="auto"/>
          <w:sz w:val="24"/>
          <w:szCs w:val="24"/>
        </w:rPr>
        <w:t>日   期：</w:t>
      </w:r>
    </w:p>
    <w:p>
      <w:pPr>
        <w:rPr>
          <w:color w:val="auto"/>
        </w:rPr>
      </w:pPr>
      <w:r>
        <w:rPr>
          <w:color w:val="auto"/>
        </w:rPr>
        <w:br w:type="page"/>
      </w:r>
    </w:p>
    <w:p>
      <w:pPr>
        <w:adjustRightInd w:val="0"/>
        <w:snapToGrid w:val="0"/>
        <w:jc w:val="center"/>
        <w:rPr>
          <w:rFonts w:ascii="宋体" w:hAnsi="宋体" w:eastAsia="宋体" w:cs="Times New Roman"/>
          <w:b/>
          <w:color w:val="auto"/>
          <w:sz w:val="30"/>
          <w:szCs w:val="30"/>
          <w:lang w:val="zh-CN"/>
        </w:rPr>
      </w:pPr>
    </w:p>
    <w:p>
      <w:pPr>
        <w:adjustRightInd w:val="0"/>
        <w:snapToGrid w:val="0"/>
        <w:spacing w:beforeLines="10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残疾人福利性单位声明函</w:t>
      </w:r>
    </w:p>
    <w:p>
      <w:pPr>
        <w:adjustRightInd w:val="0"/>
        <w:snapToGrid w:val="0"/>
        <w:spacing w:beforeLines="50"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（适用于工程类、服务类项目）</w:t>
      </w:r>
    </w:p>
    <w:p>
      <w:pPr>
        <w:spacing w:line="360" w:lineRule="auto"/>
        <w:rPr>
          <w:b/>
          <w:color w:val="auto"/>
          <w:sz w:val="28"/>
          <w:szCs w:val="28"/>
        </w:rPr>
      </w:pPr>
      <w:r>
        <w:rPr>
          <w:rFonts w:hint="eastAsia"/>
          <w:b/>
          <w:color w:val="auto"/>
          <w:sz w:val="28"/>
          <w:szCs w:val="28"/>
        </w:rPr>
        <w:t>采购人（或采购代理机构）：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本单位郑重声明，根据《财政部 民政部 中国残疾人联合会关于促进残疾人就业政府采购政策的通知》（财库〔2017〕141号）的规定，本单位为符合条件的残疾人福利性单位</w:t>
      </w:r>
      <w:r>
        <w:rPr>
          <w:rFonts w:hint="eastAsia" w:hAnsi="宋体"/>
          <w:color w:val="auto"/>
          <w:sz w:val="24"/>
        </w:rPr>
        <w:t>（详见“残疾人福利性单位应当满足的条件”）</w:t>
      </w:r>
      <w:r>
        <w:rPr>
          <w:rFonts w:hint="eastAsia" w:ascii="宋体" w:hAnsi="宋体" w:eastAsia="宋体" w:cs="Times New Roman"/>
          <w:color w:val="auto"/>
          <w:sz w:val="24"/>
          <w:szCs w:val="24"/>
        </w:rPr>
        <w:t>，且本单位参加</w:t>
      </w:r>
      <w:r>
        <w:rPr>
          <w:rFonts w:hint="eastAsia" w:ascii="宋体" w:hAnsi="宋体" w:eastAsia="宋体" w:cs="Times New Roman"/>
          <w:color w:val="auto"/>
          <w:sz w:val="24"/>
          <w:szCs w:val="24"/>
          <w:u w:val="single"/>
        </w:rPr>
        <w:t xml:space="preserve">  （</w:t>
      </w:r>
      <w:r>
        <w:rPr>
          <w:rFonts w:hint="eastAsia" w:ascii="Times New Roman" w:hAnsi="宋体" w:eastAsia="宋体" w:cs="Times New Roman"/>
          <w:color w:val="auto"/>
          <w:sz w:val="24"/>
          <w:szCs w:val="24"/>
          <w:u w:val="single"/>
        </w:rPr>
        <w:t>采购</w:t>
      </w:r>
      <w:r>
        <w:rPr>
          <w:rFonts w:hint="eastAsia" w:ascii="宋体" w:hAnsi="宋体" w:eastAsia="宋体" w:cs="Times New Roman"/>
          <w:color w:val="auto"/>
          <w:sz w:val="24"/>
          <w:szCs w:val="24"/>
          <w:u w:val="single"/>
        </w:rPr>
        <w:t>人）</w:t>
      </w:r>
      <w:r>
        <w:rPr>
          <w:rFonts w:hint="eastAsia" w:ascii="Times New Roman" w:hAnsi="宋体" w:eastAsia="宋体" w:cs="Times New Roman"/>
          <w:color w:val="auto"/>
          <w:sz w:val="24"/>
          <w:szCs w:val="24"/>
        </w:rPr>
        <w:t>的</w:t>
      </w:r>
      <w:r>
        <w:rPr>
          <w:rFonts w:hint="eastAsia" w:cs="Times New Roman" w:asciiTheme="minorEastAsia" w:hAnsiTheme="minorEastAsia"/>
          <w:color w:val="auto"/>
          <w:sz w:val="24"/>
          <w:szCs w:val="24"/>
          <w:u w:val="single"/>
        </w:rPr>
        <w:t>__   _</w:t>
      </w:r>
      <w:r>
        <w:rPr>
          <w:rFonts w:hint="eastAsia" w:ascii="Times New Roman" w:hAnsi="宋体" w:eastAsia="宋体" w:cs="Times New Roman"/>
          <w:color w:val="auto"/>
          <w:sz w:val="24"/>
          <w:szCs w:val="24"/>
        </w:rPr>
        <w:t>项目（项目编号：______）</w:t>
      </w:r>
      <w:r>
        <w:rPr>
          <w:rFonts w:hint="eastAsia" w:ascii="宋体" w:hAnsi="宋体" w:eastAsia="宋体" w:cs="Times New Roman"/>
          <w:color w:val="auto"/>
          <w:sz w:val="24"/>
          <w:szCs w:val="24"/>
        </w:rPr>
        <w:t>采购活动由本单位承担工程（或提供服务）。</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本单位对上述声明的真实性负责。如有虚假，将依法承担相应责任。</w:t>
      </w: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ind w:left="1080" w:hanging="1080" w:hangingChars="450"/>
        <w:jc w:val="left"/>
        <w:rPr>
          <w:rFonts w:ascii="宋体" w:hAnsi="宋体" w:cs="Courier New"/>
          <w:color w:val="auto"/>
          <w:sz w:val="24"/>
          <w:szCs w:val="21"/>
        </w:rPr>
      </w:pPr>
      <w:r>
        <w:rPr>
          <w:rFonts w:hint="eastAsia" w:ascii="宋体" w:hAnsi="宋体" w:cs="Courier New"/>
          <w:color w:val="auto"/>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auto"/>
          <w:sz w:val="24"/>
          <w:szCs w:val="24"/>
        </w:rPr>
      </w:pPr>
      <w:r>
        <w:rPr>
          <w:rFonts w:hint="eastAsia" w:ascii="宋体" w:hAnsi="宋体" w:cs="Courier New"/>
          <w:color w:val="auto"/>
          <w:sz w:val="24"/>
          <w:szCs w:val="21"/>
        </w:rPr>
        <w:t>2、以联合体方式参与本项目投标的供应商，应由联合体双方签字盖章。</w:t>
      </w: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color w:val="auto"/>
          <w:sz w:val="24"/>
          <w:szCs w:val="24"/>
          <w:u w:val="single"/>
        </w:rPr>
      </w:pPr>
      <w:r>
        <w:rPr>
          <w:rFonts w:hint="eastAsia" w:ascii="Times New Roman" w:hAnsi="宋体" w:eastAsia="宋体" w:cs="Times New Roman"/>
          <w:b/>
          <w:color w:val="auto"/>
          <w:sz w:val="24"/>
          <w:szCs w:val="24"/>
        </w:rPr>
        <w:t>日   期：</w:t>
      </w:r>
    </w:p>
    <w:p>
      <w:pPr>
        <w:rPr>
          <w:color w:val="auto"/>
        </w:rPr>
      </w:pPr>
      <w:r>
        <w:rPr>
          <w:color w:val="auto"/>
        </w:rPr>
        <w:br w:type="page"/>
      </w:r>
    </w:p>
    <w:p>
      <w:pPr>
        <w:spacing w:line="600" w:lineRule="exact"/>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auto"/>
        </w:rPr>
      </w:pPr>
    </w:p>
    <w:p>
      <w:pPr>
        <w:rPr>
          <w:color w:val="auto"/>
        </w:rPr>
      </w:pPr>
      <w:r>
        <w:rPr>
          <w:color w:val="auto"/>
        </w:rPr>
        <w:br w:type="page"/>
      </w:r>
    </w:p>
    <w:p>
      <w:pPr>
        <w:pStyle w:val="3"/>
        <w:numPr>
          <w:ilvl w:val="0"/>
          <w:numId w:val="64"/>
        </w:numPr>
        <w:spacing w:before="100" w:beforeAutospacing="1" w:afterLines="50" w:line="360" w:lineRule="auto"/>
        <w:ind w:left="1288" w:hanging="1288"/>
        <w:rPr>
          <w:rFonts w:ascii="宋体" w:hAnsi="宋体" w:eastAsia="宋体"/>
          <w:color w:val="auto"/>
        </w:rPr>
      </w:pPr>
      <w:bookmarkStart w:id="155" w:name="_Toc14753"/>
      <w:bookmarkStart w:id="156" w:name="_Toc494577410"/>
      <w:bookmarkStart w:id="157" w:name="_Toc494665558"/>
      <w:bookmarkStart w:id="158" w:name="_Toc494721105"/>
      <w:bookmarkStart w:id="159" w:name="_Toc494702275"/>
      <w:bookmarkStart w:id="160" w:name="_Toc494665005"/>
      <w:bookmarkStart w:id="161" w:name="_Toc494745322"/>
      <w:bookmarkStart w:id="162" w:name="_Toc494665955"/>
      <w:r>
        <w:rPr>
          <w:rFonts w:hint="eastAsia" w:ascii="宋体" w:hAnsi="宋体" w:eastAsia="宋体"/>
          <w:color w:val="auto"/>
        </w:rPr>
        <w:t>开标一览表</w:t>
      </w:r>
      <w:bookmarkEnd w:id="155"/>
      <w:bookmarkEnd w:id="156"/>
      <w:bookmarkEnd w:id="157"/>
      <w:bookmarkEnd w:id="158"/>
      <w:bookmarkEnd w:id="159"/>
      <w:bookmarkEnd w:id="160"/>
      <w:bookmarkEnd w:id="161"/>
      <w:bookmarkEnd w:id="162"/>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投 标 人：</w:t>
      </w:r>
    </w:p>
    <w:p>
      <w:pPr>
        <w:spacing w:line="360" w:lineRule="auto"/>
        <w:jc w:val="left"/>
        <w:rPr>
          <w:rFonts w:ascii="宋体" w:hAnsi="宋体" w:eastAsia="宋体" w:cs="Times New Roman"/>
          <w:b/>
          <w:color w:val="auto"/>
          <w:sz w:val="24"/>
          <w:szCs w:val="21"/>
          <w:lang w:val="zh-CN"/>
        </w:rPr>
      </w:pPr>
      <w:r>
        <w:rPr>
          <w:rFonts w:hint="eastAsia" w:ascii="宋体" w:hAnsi="宋体" w:eastAsia="宋体" w:cs="Times New Roman"/>
          <w:b/>
          <w:color w:val="auto"/>
          <w:sz w:val="24"/>
          <w:szCs w:val="21"/>
          <w:lang w:val="zh-CN"/>
        </w:rPr>
        <w:t>项目名称：</w:t>
      </w:r>
    </w:p>
    <w:p>
      <w:pPr>
        <w:spacing w:line="360" w:lineRule="auto"/>
        <w:jc w:val="left"/>
        <w:rPr>
          <w:rFonts w:ascii="宋体" w:hAnsi="宋体" w:eastAsia="宋体" w:cs="Times New Roman"/>
          <w:b/>
          <w:bCs/>
          <w:color w:val="auto"/>
          <w:sz w:val="24"/>
          <w:szCs w:val="21"/>
          <w:u w:val="single"/>
          <w:lang w:val="zh-CN"/>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76"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9"/>
        <w:gridCol w:w="2993"/>
        <w:gridCol w:w="15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9" w:type="dxa"/>
            <w:tcBorders>
              <w:top w:val="double" w:color="auto" w:sz="4" w:space="0"/>
              <w:left w:val="double" w:color="auto" w:sz="4" w:space="0"/>
              <w:bottom w:val="single" w:color="auto" w:sz="4" w:space="0"/>
              <w:right w:val="double" w:color="auto" w:sz="4" w:space="0"/>
            </w:tcBorders>
            <w:shd w:val="clear" w:color="auto" w:fill="EEECE1"/>
            <w:vAlign w:val="center"/>
          </w:tcPr>
          <w:p>
            <w:pPr>
              <w:spacing w:line="360" w:lineRule="auto"/>
              <w:ind w:right="-65" w:rightChars="-31"/>
              <w:jc w:val="center"/>
              <w:rPr>
                <w:rFonts w:ascii="宋体" w:hAnsi="宋体" w:cs="宋体"/>
                <w:b/>
                <w:bCs/>
                <w:color w:val="auto"/>
                <w:kern w:val="0"/>
                <w:sz w:val="24"/>
              </w:rPr>
            </w:pPr>
            <w:r>
              <w:rPr>
                <w:rFonts w:hint="eastAsia" w:ascii="宋体" w:hAnsi="宋体" w:cs="宋体"/>
                <w:b/>
                <w:bCs/>
                <w:color w:val="auto"/>
                <w:kern w:val="0"/>
                <w:sz w:val="24"/>
              </w:rPr>
              <w:t>报价类别</w:t>
            </w:r>
          </w:p>
        </w:tc>
        <w:tc>
          <w:tcPr>
            <w:tcW w:w="2993" w:type="dxa"/>
            <w:tcBorders>
              <w:top w:val="double" w:color="auto" w:sz="4" w:space="0"/>
              <w:left w:val="double" w:color="auto" w:sz="4" w:space="0"/>
              <w:bottom w:val="single" w:color="auto" w:sz="4" w:space="0"/>
              <w:right w:val="double" w:color="auto" w:sz="4" w:space="0"/>
            </w:tcBorders>
            <w:shd w:val="clear" w:color="auto" w:fill="EEECE1"/>
            <w:vAlign w:val="center"/>
          </w:tcPr>
          <w:p>
            <w:pPr>
              <w:spacing w:line="360" w:lineRule="auto"/>
              <w:ind w:right="-65" w:rightChars="-31"/>
              <w:jc w:val="center"/>
              <w:rPr>
                <w:rFonts w:ascii="宋体" w:hAnsi="宋体" w:cs="宋体"/>
                <w:b/>
                <w:bCs/>
                <w:color w:val="auto"/>
                <w:kern w:val="0"/>
                <w:sz w:val="24"/>
              </w:rPr>
            </w:pPr>
            <w:r>
              <w:rPr>
                <w:rFonts w:hint="eastAsia" w:ascii="宋体" w:hAnsi="宋体" w:cs="宋体"/>
                <w:b/>
                <w:bCs/>
                <w:color w:val="auto"/>
                <w:kern w:val="0"/>
                <w:sz w:val="24"/>
              </w:rPr>
              <w:t>报价</w:t>
            </w:r>
          </w:p>
        </w:tc>
        <w:tc>
          <w:tcPr>
            <w:tcW w:w="1584" w:type="dxa"/>
            <w:tcBorders>
              <w:top w:val="double" w:color="auto" w:sz="4" w:space="0"/>
              <w:left w:val="double" w:color="auto" w:sz="4" w:space="0"/>
              <w:bottom w:val="single" w:color="auto" w:sz="4" w:space="0"/>
              <w:right w:val="double" w:color="auto" w:sz="4" w:space="0"/>
            </w:tcBorders>
            <w:shd w:val="clear" w:color="auto" w:fill="EEECE1"/>
            <w:vAlign w:val="center"/>
          </w:tcPr>
          <w:p>
            <w:pPr>
              <w:spacing w:line="360" w:lineRule="auto"/>
              <w:ind w:right="-65" w:rightChars="-31"/>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3" w:hRule="atLeast"/>
        </w:trPr>
        <w:tc>
          <w:tcPr>
            <w:tcW w:w="4999" w:type="dxa"/>
            <w:tcBorders>
              <w:top w:val="single" w:color="auto" w:sz="4" w:space="0"/>
              <w:left w:val="double" w:color="auto" w:sz="4" w:space="0"/>
              <w:right w:val="double" w:color="auto" w:sz="4" w:space="0"/>
            </w:tcBorders>
            <w:vAlign w:val="center"/>
          </w:tcPr>
          <w:p>
            <w:pPr>
              <w:spacing w:line="360" w:lineRule="auto"/>
              <w:ind w:left="490"/>
              <w:jc w:val="center"/>
              <w:rPr>
                <w:rFonts w:ascii="宋体" w:hAnsi="宋体" w:eastAsia="宋体" w:cs="宋体"/>
                <w:b/>
                <w:color w:val="auto"/>
                <w:kern w:val="0"/>
                <w:sz w:val="24"/>
                <w:szCs w:val="24"/>
              </w:rPr>
            </w:pPr>
            <w:r>
              <w:rPr>
                <w:rFonts w:hint="eastAsia" w:ascii="宋体" w:hAnsi="宋体" w:eastAsia="宋体" w:cs="Times New Roman"/>
                <w:b/>
                <w:color w:val="auto"/>
                <w:sz w:val="24"/>
                <w:szCs w:val="24"/>
              </w:rPr>
              <w:t>销售代理服务费（含策划费）</w:t>
            </w:r>
          </w:p>
        </w:tc>
        <w:tc>
          <w:tcPr>
            <w:tcW w:w="2993" w:type="dxa"/>
            <w:tcBorders>
              <w:top w:val="single" w:color="auto" w:sz="4" w:space="0"/>
              <w:left w:val="double" w:color="auto" w:sz="4" w:space="0"/>
              <w:right w:val="double" w:color="auto" w:sz="4" w:space="0"/>
            </w:tcBorders>
            <w:vAlign w:val="center"/>
          </w:tcPr>
          <w:p>
            <w:pPr>
              <w:spacing w:line="240" w:lineRule="atLeast"/>
              <w:ind w:left="-48" w:leftChars="-23" w:right="-65" w:rightChars="-31" w:firstLine="240" w:firstLineChars="100"/>
              <w:jc w:val="center"/>
              <w:rPr>
                <w:rFonts w:ascii="宋体" w:hAnsi="宋体" w:eastAsia="宋体" w:cs="宋体"/>
                <w:color w:val="auto"/>
                <w:kern w:val="0"/>
                <w:sz w:val="24"/>
                <w:szCs w:val="24"/>
              </w:rPr>
            </w:pPr>
            <w:r>
              <w:rPr>
                <w:rFonts w:hint="eastAsia" w:ascii="宋体" w:hAnsi="宋体" w:eastAsia="宋体" w:cs="Times New Roman"/>
                <w:b/>
                <w:color w:val="auto"/>
                <w:sz w:val="24"/>
                <w:szCs w:val="24"/>
              </w:rPr>
              <w:t>全款全额到账购房款的</w:t>
            </w:r>
            <w:r>
              <w:rPr>
                <w:rFonts w:hint="eastAsia" w:ascii="宋体" w:hAnsi="宋体" w:eastAsia="宋体" w:cs="Times New Roman"/>
                <w:b/>
                <w:color w:val="auto"/>
                <w:sz w:val="24"/>
                <w:szCs w:val="24"/>
                <w:u w:val="single"/>
              </w:rPr>
              <w:t xml:space="preserve">    </w:t>
            </w:r>
            <w:r>
              <w:rPr>
                <w:rFonts w:hint="eastAsia" w:ascii="宋体" w:hAnsi="宋体" w:eastAsia="宋体" w:cs="Times New Roman"/>
                <w:b/>
                <w:color w:val="auto"/>
                <w:sz w:val="24"/>
                <w:szCs w:val="24"/>
              </w:rPr>
              <w:t>%</w:t>
            </w:r>
          </w:p>
        </w:tc>
        <w:tc>
          <w:tcPr>
            <w:tcW w:w="1584" w:type="dxa"/>
            <w:tcBorders>
              <w:top w:val="single" w:color="auto" w:sz="4" w:space="0"/>
              <w:left w:val="double" w:color="auto" w:sz="4" w:space="0"/>
              <w:right w:val="double" w:color="auto" w:sz="4" w:space="0"/>
            </w:tcBorders>
            <w:vAlign w:val="center"/>
          </w:tcPr>
          <w:p>
            <w:pPr>
              <w:spacing w:line="240" w:lineRule="atLeast"/>
              <w:ind w:left="-48" w:leftChars="-23" w:right="-65" w:rightChars="-31" w:firstLine="240" w:firstLineChars="100"/>
              <w:jc w:val="center"/>
              <w:rPr>
                <w:rFonts w:ascii="宋体" w:hAnsi="宋体" w:eastAsia="宋体" w:cs="宋体"/>
                <w:color w:val="auto"/>
                <w:kern w:val="0"/>
                <w:sz w:val="24"/>
                <w:szCs w:val="24"/>
              </w:rPr>
            </w:pPr>
          </w:p>
        </w:tc>
      </w:tr>
    </w:tbl>
    <w:p>
      <w:pPr>
        <w:spacing w:line="360" w:lineRule="auto"/>
        <w:ind w:left="1049" w:hanging="1048" w:hangingChars="437"/>
        <w:jc w:val="left"/>
        <w:rPr>
          <w:rFonts w:ascii="宋体" w:hAnsi="宋体"/>
          <w:color w:val="auto"/>
          <w:sz w:val="24"/>
        </w:rPr>
      </w:pPr>
      <w:r>
        <w:rPr>
          <w:rFonts w:hint="eastAsia" w:ascii="宋体" w:hAnsi="宋体"/>
          <w:color w:val="auto"/>
          <w:sz w:val="24"/>
        </w:rPr>
        <w:t>说明：1．项目最高限价：</w:t>
      </w:r>
    </w:p>
    <w:p>
      <w:pPr>
        <w:spacing w:line="360" w:lineRule="auto"/>
        <w:ind w:left="1134" w:leftChars="540"/>
        <w:rPr>
          <w:rFonts w:ascii="宋体" w:hAnsi="宋体" w:eastAsia="宋体" w:cs="Times New Roman"/>
          <w:bCs/>
          <w:color w:val="auto"/>
          <w:sz w:val="24"/>
          <w:szCs w:val="24"/>
        </w:rPr>
      </w:pPr>
      <w:r>
        <w:rPr>
          <w:rFonts w:hint="eastAsia" w:ascii="宋体" w:hAnsi="宋体" w:eastAsia="宋体" w:cs="Times New Roman"/>
          <w:bCs/>
          <w:color w:val="auto"/>
          <w:sz w:val="24"/>
          <w:szCs w:val="24"/>
        </w:rPr>
        <w:t>销售代理服务费（含策划费）：全款全额到账的住宅购房款的2%</w:t>
      </w:r>
      <w:r>
        <w:rPr>
          <w:rFonts w:hint="eastAsia" w:ascii="宋体" w:hAnsi="宋体"/>
          <w:b/>
          <w:color w:val="auto"/>
          <w:sz w:val="24"/>
          <w:szCs w:val="24"/>
        </w:rPr>
        <w:t>（超出最高限价将导致其投标无效）。</w:t>
      </w:r>
    </w:p>
    <w:p>
      <w:pPr>
        <w:spacing w:line="360" w:lineRule="auto"/>
        <w:ind w:left="1061" w:leftChars="339" w:hanging="350" w:hangingChars="146"/>
        <w:jc w:val="left"/>
        <w:rPr>
          <w:rFonts w:ascii="宋体" w:hAnsi="宋体" w:eastAsia="宋体" w:cs="Times New Roman"/>
          <w:b/>
          <w:color w:val="auto"/>
          <w:sz w:val="24"/>
          <w:szCs w:val="24"/>
        </w:rPr>
      </w:pPr>
      <w:r>
        <w:rPr>
          <w:rFonts w:hint="eastAsia" w:ascii="宋体" w:hAnsi="宋体" w:eastAsia="宋体" w:cs="Times New Roman"/>
          <w:color w:val="auto"/>
          <w:sz w:val="24"/>
          <w:szCs w:val="24"/>
        </w:rPr>
        <w:t>2．为方便开标时唱标，投标人应另附《开标一览表》及《交纳投标保证金的银行凭证》（如有交纳保证金要求的）各一份一并</w:t>
      </w:r>
      <w:r>
        <w:rPr>
          <w:rFonts w:hint="eastAsia" w:ascii="宋体" w:hAnsi="宋体" w:eastAsia="宋体" w:cs="Times New Roman"/>
          <w:color w:val="auto"/>
          <w:spacing w:val="-6"/>
          <w:kern w:val="0"/>
          <w:sz w:val="24"/>
          <w:szCs w:val="24"/>
        </w:rPr>
        <w:t>装入一个信封，单独密封提交</w:t>
      </w:r>
      <w:r>
        <w:rPr>
          <w:rFonts w:hint="eastAsia" w:ascii="宋体" w:hAnsi="宋体" w:eastAsia="宋体" w:cs="Times New Roman"/>
          <w:color w:val="auto"/>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color w:val="auto"/>
          <w:sz w:val="24"/>
          <w:szCs w:val="20"/>
          <w:lang w:val="zh-CN"/>
        </w:rPr>
        <w:t>的采购代理机构</w:t>
      </w:r>
      <w:r>
        <w:rPr>
          <w:rFonts w:hint="eastAsia" w:ascii="宋体" w:hAnsi="宋体" w:eastAsia="宋体" w:cs="Times New Roman"/>
          <w:b/>
          <w:color w:val="auto"/>
          <w:sz w:val="24"/>
          <w:szCs w:val="20"/>
          <w:lang w:val="zh-CN"/>
        </w:rPr>
        <w:t>拒绝</w:t>
      </w:r>
      <w:r>
        <w:rPr>
          <w:rFonts w:hint="eastAsia" w:ascii="宋体" w:hAnsi="宋体" w:eastAsia="宋体" w:cs="Times New Roman"/>
          <w:color w:val="auto"/>
          <w:sz w:val="24"/>
          <w:szCs w:val="20"/>
          <w:lang w:val="zh-CN"/>
        </w:rPr>
        <w:t>其投标。</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3. 本表应按要求由投标人法人授权代表签字，并加盖投标单位公章，否则将被视为非响应性投标，将按照</w:t>
      </w:r>
      <w:r>
        <w:rPr>
          <w:rFonts w:hint="eastAsia" w:ascii="宋体" w:hAnsi="宋体" w:eastAsia="宋体" w:cs="Times New Roman"/>
          <w:b/>
          <w:color w:val="auto"/>
          <w:sz w:val="24"/>
          <w:szCs w:val="24"/>
        </w:rPr>
        <w:t>无效投标处理</w:t>
      </w:r>
      <w:r>
        <w:rPr>
          <w:rFonts w:hint="eastAsia" w:ascii="宋体" w:hAnsi="宋体" w:eastAsia="宋体" w:cs="Times New Roman"/>
          <w:color w:val="auto"/>
          <w:sz w:val="24"/>
          <w:szCs w:val="24"/>
        </w:rPr>
        <w:t>。</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投标时间：</w:t>
      </w:r>
    </w:p>
    <w:p>
      <w:pPr>
        <w:rPr>
          <w:color w:val="auto"/>
        </w:rPr>
      </w:pPr>
      <w:r>
        <w:rPr>
          <w:color w:val="auto"/>
        </w:rPr>
        <w:br w:type="page"/>
      </w:r>
    </w:p>
    <w:p>
      <w:pPr>
        <w:pStyle w:val="3"/>
        <w:numPr>
          <w:ilvl w:val="0"/>
          <w:numId w:val="64"/>
        </w:numPr>
        <w:spacing w:before="100" w:beforeAutospacing="1" w:afterLines="50" w:line="360" w:lineRule="auto"/>
        <w:ind w:left="1288" w:hanging="1288"/>
        <w:rPr>
          <w:rFonts w:ascii="宋体" w:hAnsi="宋体" w:eastAsia="宋体"/>
          <w:color w:val="auto"/>
        </w:rPr>
      </w:pPr>
      <w:bookmarkStart w:id="163" w:name="_Toc494721106"/>
      <w:bookmarkStart w:id="164" w:name="_Toc494702276"/>
      <w:bookmarkStart w:id="165" w:name="_Toc494745323"/>
      <w:bookmarkStart w:id="166" w:name="_Toc494665559"/>
      <w:bookmarkStart w:id="167" w:name="_Toc494665956"/>
      <w:bookmarkStart w:id="168" w:name="_Toc494665006"/>
      <w:bookmarkStart w:id="169" w:name="_Toc494577411"/>
      <w:bookmarkStart w:id="170" w:name="_Toc16425"/>
      <w:r>
        <w:rPr>
          <w:rFonts w:hint="eastAsia" w:ascii="宋体" w:hAnsi="宋体" w:eastAsia="宋体"/>
          <w:color w:val="auto"/>
        </w:rPr>
        <w:t>投标报价明细表</w:t>
      </w:r>
      <w:bookmarkEnd w:id="163"/>
      <w:bookmarkEnd w:id="164"/>
      <w:bookmarkEnd w:id="165"/>
      <w:bookmarkEnd w:id="166"/>
      <w:bookmarkEnd w:id="167"/>
      <w:bookmarkEnd w:id="168"/>
      <w:bookmarkEnd w:id="169"/>
      <w:r>
        <w:rPr>
          <w:rFonts w:hint="eastAsia" w:ascii="宋体" w:hAnsi="宋体" w:eastAsia="宋体"/>
          <w:color w:val="auto"/>
        </w:rPr>
        <w:t>（本项目不适用）</w:t>
      </w:r>
      <w:bookmarkEnd w:id="170"/>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投 标 人：</w:t>
      </w:r>
    </w:p>
    <w:p>
      <w:pPr>
        <w:spacing w:line="360" w:lineRule="auto"/>
        <w:jc w:val="left"/>
        <w:rPr>
          <w:rFonts w:ascii="宋体" w:hAnsi="宋体" w:eastAsia="宋体" w:cs="Times New Roman"/>
          <w:b/>
          <w:color w:val="auto"/>
          <w:sz w:val="24"/>
          <w:szCs w:val="21"/>
          <w:lang w:val="zh-CN"/>
        </w:rPr>
      </w:pPr>
      <w:r>
        <w:rPr>
          <w:rFonts w:hint="eastAsia" w:ascii="宋体" w:hAnsi="宋体" w:eastAsia="宋体" w:cs="Times New Roman"/>
          <w:b/>
          <w:color w:val="auto"/>
          <w:sz w:val="24"/>
          <w:szCs w:val="21"/>
          <w:lang w:val="zh-CN"/>
        </w:rPr>
        <w:t>项目名称：</w:t>
      </w:r>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auto"/>
                <w:kern w:val="0"/>
                <w:sz w:val="24"/>
              </w:rPr>
            </w:pPr>
            <w:r>
              <w:rPr>
                <w:rFonts w:hint="eastAsia" w:ascii="宋体" w:hAnsi="宋体"/>
                <w:color w:val="auto"/>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8"/>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color w:val="auto"/>
                <w:sz w:val="24"/>
              </w:rPr>
            </w:pPr>
            <w:r>
              <w:rPr>
                <w:rFonts w:hint="eastAsia" w:ascii="宋体" w:hAnsi="宋体"/>
                <w:color w:val="auto"/>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8"/>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8"/>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8"/>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8"/>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8"/>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8"/>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r>
    </w:tbl>
    <w:p>
      <w:pPr>
        <w:spacing w:line="360" w:lineRule="auto"/>
        <w:ind w:left="1049" w:hanging="1048" w:hangingChars="437"/>
        <w:jc w:val="left"/>
        <w:rPr>
          <w:rFonts w:ascii="宋体" w:hAnsi="宋体"/>
          <w:color w:val="auto"/>
          <w:sz w:val="24"/>
        </w:rPr>
      </w:pPr>
      <w:r>
        <w:rPr>
          <w:rFonts w:hint="eastAsia" w:ascii="宋体" w:hAnsi="宋体"/>
          <w:color w:val="auto"/>
          <w:sz w:val="24"/>
        </w:rPr>
        <w:t>说明：1．所有价格均用人民币表示，单位为元。</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2．报价明细表合计应与《开标一览表》中的投标总报价一致。</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3．未提供详细的货物（工程或服务）报价明细</w:t>
      </w:r>
      <w:r>
        <w:rPr>
          <w:rFonts w:hint="eastAsia" w:ascii="宋体" w:hAnsi="宋体" w:cs="Corbel"/>
          <w:color w:val="auto"/>
          <w:sz w:val="24"/>
        </w:rPr>
        <w:t>，</w:t>
      </w:r>
      <w:r>
        <w:rPr>
          <w:rFonts w:hint="eastAsia" w:ascii="宋体" w:hAnsi="宋体"/>
          <w:color w:val="auto"/>
          <w:sz w:val="24"/>
        </w:rPr>
        <w:t>导致的后果由投标人自行承担。</w:t>
      </w:r>
    </w:p>
    <w:p>
      <w:pPr>
        <w:spacing w:line="360" w:lineRule="auto"/>
        <w:ind w:left="950" w:hanging="950" w:hangingChars="396"/>
        <w:jc w:val="left"/>
        <w:rPr>
          <w:rFonts w:ascii="宋体" w:hAnsi="宋体" w:eastAsia="宋体" w:cs="Times New Roman"/>
          <w:color w:val="auto"/>
          <w:sz w:val="24"/>
          <w:szCs w:val="24"/>
        </w:rPr>
      </w:pPr>
    </w:p>
    <w:p>
      <w:pPr>
        <w:spacing w:line="360" w:lineRule="auto"/>
        <w:ind w:left="950" w:hanging="950" w:hangingChars="396"/>
        <w:jc w:val="left"/>
        <w:rPr>
          <w:rFonts w:ascii="宋体" w:hAnsi="宋体" w:eastAsia="宋体" w:cs="Times New Roman"/>
          <w:color w:val="auto"/>
          <w:sz w:val="24"/>
          <w:szCs w:val="24"/>
        </w:rPr>
      </w:pPr>
    </w:p>
    <w:p>
      <w:pPr>
        <w:spacing w:line="360" w:lineRule="auto"/>
        <w:ind w:left="950" w:hanging="950" w:hangingChars="396"/>
        <w:jc w:val="left"/>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3"/>
        <w:numPr>
          <w:ilvl w:val="0"/>
          <w:numId w:val="64"/>
        </w:numPr>
        <w:spacing w:before="100" w:beforeAutospacing="1" w:afterLines="50" w:line="360" w:lineRule="auto"/>
        <w:ind w:left="1288" w:hanging="1288"/>
        <w:rPr>
          <w:rFonts w:ascii="宋体" w:hAnsi="宋体" w:eastAsia="宋体"/>
          <w:color w:val="auto"/>
          <w:sz w:val="31"/>
          <w:szCs w:val="31"/>
        </w:rPr>
      </w:pPr>
      <w:bookmarkStart w:id="171" w:name="_Toc494721107"/>
      <w:bookmarkStart w:id="172" w:name="_Toc494665560"/>
      <w:bookmarkStart w:id="173" w:name="_Toc494702277"/>
      <w:bookmarkStart w:id="174" w:name="_Toc494577412"/>
      <w:bookmarkStart w:id="175" w:name="_Toc494665007"/>
      <w:bookmarkStart w:id="176" w:name="_Toc29572"/>
      <w:bookmarkStart w:id="177" w:name="_Toc494665957"/>
      <w:bookmarkStart w:id="178" w:name="_Toc494745324"/>
      <w:r>
        <w:rPr>
          <w:rFonts w:hint="eastAsia" w:ascii="宋体" w:hAnsi="宋体" w:eastAsia="宋体"/>
          <w:color w:val="auto"/>
          <w:sz w:val="31"/>
          <w:szCs w:val="31"/>
        </w:rPr>
        <w:t>小型和微型企业、监狱企业、残疾人福利性单位货物汇总表</w:t>
      </w:r>
      <w:bookmarkEnd w:id="171"/>
      <w:bookmarkEnd w:id="172"/>
      <w:bookmarkEnd w:id="173"/>
      <w:bookmarkEnd w:id="174"/>
      <w:bookmarkEnd w:id="175"/>
      <w:bookmarkEnd w:id="176"/>
      <w:bookmarkEnd w:id="177"/>
      <w:bookmarkEnd w:id="178"/>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分项</w:t>
            </w:r>
          </w:p>
          <w:p>
            <w:pPr>
              <w:adjustRightInd w:val="0"/>
              <w:snapToGrid w:val="0"/>
              <w:ind w:left="-88" w:leftChars="-42"/>
              <w:jc w:val="center"/>
              <w:rPr>
                <w:rFonts w:ascii="宋体" w:hAnsi="宋体"/>
                <w:color w:val="auto"/>
                <w:sz w:val="24"/>
              </w:rPr>
            </w:pPr>
            <w:r>
              <w:rPr>
                <w:rFonts w:hint="eastAsia" w:ascii="宋体" w:hAnsi="宋体"/>
                <w:color w:val="auto"/>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1</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2</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3</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4</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5</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6</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7</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color w:val="auto"/>
                <w:sz w:val="24"/>
              </w:rPr>
            </w:pPr>
            <w:r>
              <w:rPr>
                <w:rFonts w:hint="eastAsia" w:ascii="宋体" w:hAnsi="宋体"/>
                <w:bCs/>
                <w:color w:val="auto"/>
                <w:sz w:val="24"/>
              </w:rPr>
              <w:t>合计</w:t>
            </w:r>
          </w:p>
        </w:tc>
        <w:tc>
          <w:tcPr>
            <w:tcW w:w="2602" w:type="dxa"/>
            <w:gridSpan w:val="2"/>
            <w:shd w:val="clear" w:color="auto" w:fill="auto"/>
            <w:vAlign w:val="center"/>
          </w:tcPr>
          <w:p>
            <w:pPr>
              <w:spacing w:line="360" w:lineRule="auto"/>
              <w:jc w:val="left"/>
              <w:rPr>
                <w:rFonts w:ascii="宋体" w:hAnsi="宋体"/>
                <w:bCs/>
                <w:color w:val="auto"/>
                <w:sz w:val="24"/>
              </w:rPr>
            </w:pPr>
          </w:p>
        </w:tc>
      </w:tr>
    </w:tbl>
    <w:p>
      <w:pPr>
        <w:spacing w:line="360" w:lineRule="auto"/>
        <w:ind w:left="1049" w:hanging="1048" w:hangingChars="437"/>
        <w:jc w:val="left"/>
        <w:rPr>
          <w:rFonts w:ascii="宋体" w:hAnsi="宋体"/>
          <w:color w:val="auto"/>
          <w:sz w:val="24"/>
        </w:rPr>
      </w:pPr>
      <w:r>
        <w:rPr>
          <w:rFonts w:hint="eastAsia" w:ascii="宋体" w:hAnsi="宋体"/>
          <w:color w:val="auto"/>
          <w:sz w:val="24"/>
        </w:rPr>
        <w:t>说明：1</w:t>
      </w:r>
      <w:r>
        <w:rPr>
          <w:rFonts w:hint="eastAsia" w:ascii="宋体" w:hAnsi="宋体" w:eastAsia="宋体" w:cs="Times New Roman"/>
          <w:color w:val="auto"/>
          <w:sz w:val="24"/>
          <w:szCs w:val="24"/>
        </w:rPr>
        <w:t>．</w:t>
      </w:r>
      <w:r>
        <w:rPr>
          <w:rFonts w:hint="eastAsia" w:ascii="宋体" w:hAnsi="宋体"/>
          <w:color w:val="auto"/>
          <w:sz w:val="24"/>
        </w:rPr>
        <w:t>所有价格均用人民币表示，单位为元。</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2</w:t>
      </w:r>
      <w:r>
        <w:rPr>
          <w:rFonts w:hint="eastAsia" w:ascii="宋体" w:hAnsi="宋体" w:eastAsia="宋体" w:cs="Times New Roman"/>
          <w:color w:val="auto"/>
          <w:sz w:val="24"/>
          <w:szCs w:val="24"/>
        </w:rPr>
        <w:t>．</w:t>
      </w:r>
      <w:r>
        <w:rPr>
          <w:rFonts w:hint="eastAsia" w:ascii="宋体" w:hAnsi="宋体"/>
          <w:color w:val="auto"/>
          <w:sz w:val="24"/>
        </w:rPr>
        <w:t>投标人提供的相关证明文件对应页码填写到上表“投标文件对应的页码”中。</w:t>
      </w:r>
      <w:r>
        <w:rPr>
          <w:rFonts w:hint="eastAsia" w:ascii="宋体" w:hAnsi="宋体" w:cs="Corbel"/>
          <w:color w:val="auto"/>
          <w:sz w:val="24"/>
        </w:rPr>
        <w:t>如未提供页码或内容页码完全不一致的，</w:t>
      </w:r>
      <w:r>
        <w:rPr>
          <w:rFonts w:hint="eastAsia" w:ascii="宋体" w:hAnsi="宋体"/>
          <w:color w:val="auto"/>
          <w:sz w:val="24"/>
        </w:rPr>
        <w:t>导致的后果由投标人自行承担。</w:t>
      </w: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3"/>
        <w:numPr>
          <w:ilvl w:val="0"/>
          <w:numId w:val="64"/>
        </w:numPr>
        <w:spacing w:before="100" w:beforeAutospacing="1" w:afterLines="50" w:line="360" w:lineRule="auto"/>
        <w:ind w:left="1288" w:hanging="1288"/>
        <w:rPr>
          <w:rFonts w:ascii="宋体" w:hAnsi="宋体" w:eastAsia="宋体"/>
          <w:color w:val="auto"/>
        </w:rPr>
      </w:pPr>
      <w:bookmarkStart w:id="179" w:name="_Toc494665561"/>
      <w:bookmarkStart w:id="180" w:name="_Toc494665008"/>
      <w:bookmarkStart w:id="181" w:name="_Toc494745325"/>
      <w:bookmarkStart w:id="182" w:name="_Toc494721108"/>
      <w:bookmarkStart w:id="183" w:name="_Toc494665958"/>
      <w:bookmarkStart w:id="184" w:name="_Toc494702278"/>
      <w:bookmarkStart w:id="185" w:name="_Toc32331"/>
      <w:r>
        <w:rPr>
          <w:rFonts w:hint="eastAsia" w:ascii="宋体" w:hAnsi="宋体" w:eastAsia="宋体"/>
          <w:color w:val="auto"/>
        </w:rPr>
        <w:t>投标货物（工程或服务）清单</w:t>
      </w:r>
      <w:bookmarkEnd w:id="179"/>
      <w:bookmarkEnd w:id="180"/>
      <w:bookmarkEnd w:id="181"/>
      <w:bookmarkEnd w:id="182"/>
      <w:bookmarkEnd w:id="183"/>
      <w:bookmarkEnd w:id="184"/>
      <w:bookmarkEnd w:id="185"/>
    </w:p>
    <w:p>
      <w:pPr>
        <w:adjustRightInd w:val="0"/>
        <w:snapToGrid w:val="0"/>
        <w:spacing w:line="360" w:lineRule="auto"/>
        <w:rPr>
          <w:rFonts w:ascii="宋体" w:hAnsi="宋体"/>
          <w:b/>
          <w:color w:val="auto"/>
          <w:sz w:val="24"/>
        </w:rPr>
      </w:pPr>
      <w:r>
        <w:rPr>
          <w:rFonts w:hint="eastAsia" w:ascii="宋体" w:hAnsi="宋体"/>
          <w:b/>
          <w:color w:val="auto"/>
          <w:sz w:val="24"/>
        </w:rPr>
        <w:t>投 标 人：</w:t>
      </w:r>
    </w:p>
    <w:p>
      <w:pPr>
        <w:adjustRightInd w:val="0"/>
        <w:snapToGrid w:val="0"/>
        <w:spacing w:line="360" w:lineRule="auto"/>
        <w:rPr>
          <w:rFonts w:ascii="宋体"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auto"/>
                <w:kern w:val="0"/>
                <w:sz w:val="24"/>
              </w:rPr>
            </w:pPr>
            <w:r>
              <w:rPr>
                <w:rFonts w:hint="eastAsia" w:ascii="宋体" w:hAnsi="宋体" w:cs="宋体"/>
                <w:color w:val="auto"/>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color w:val="auto"/>
                <w:sz w:val="24"/>
              </w:rPr>
            </w:pPr>
          </w:p>
        </w:tc>
        <w:tc>
          <w:tcPr>
            <w:tcW w:w="2459" w:type="dxa"/>
            <w:tcBorders>
              <w:top w:val="single" w:color="auto" w:sz="4" w:space="0"/>
            </w:tcBorders>
            <w:vAlign w:val="center"/>
          </w:tcPr>
          <w:p>
            <w:pPr>
              <w:adjustRightInd w:val="0"/>
              <w:snapToGrid w:val="0"/>
              <w:jc w:val="center"/>
              <w:rPr>
                <w:rFonts w:ascii="宋体" w:hAnsi="宋体"/>
                <w:color w:val="auto"/>
                <w:sz w:val="24"/>
              </w:rPr>
            </w:pPr>
          </w:p>
        </w:tc>
        <w:tc>
          <w:tcPr>
            <w:tcW w:w="851" w:type="dxa"/>
            <w:tcBorders>
              <w:top w:val="single" w:color="auto" w:sz="4" w:space="0"/>
            </w:tcBorders>
            <w:vAlign w:val="center"/>
          </w:tcPr>
          <w:p>
            <w:pPr>
              <w:adjustRightInd w:val="0"/>
              <w:snapToGrid w:val="0"/>
              <w:jc w:val="center"/>
              <w:rPr>
                <w:rFonts w:ascii="宋体" w:hAnsi="宋体"/>
                <w:color w:val="auto"/>
                <w:sz w:val="24"/>
              </w:rPr>
            </w:pPr>
          </w:p>
        </w:tc>
        <w:tc>
          <w:tcPr>
            <w:tcW w:w="2593" w:type="dxa"/>
            <w:tcBorders>
              <w:top w:val="single" w:color="auto" w:sz="4" w:space="0"/>
            </w:tcBorders>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2</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3</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ind w:left="-88" w:leftChars="-42"/>
              <w:jc w:val="center"/>
              <w:rPr>
                <w:rFonts w:ascii="宋体" w:hAnsi="宋体"/>
                <w:color w:val="auto"/>
                <w:sz w:val="24"/>
              </w:rPr>
            </w:pPr>
          </w:p>
        </w:tc>
        <w:tc>
          <w:tcPr>
            <w:tcW w:w="851" w:type="dxa"/>
            <w:vAlign w:val="center"/>
          </w:tcPr>
          <w:p>
            <w:pPr>
              <w:adjustRightInd w:val="0"/>
              <w:snapToGrid w:val="0"/>
              <w:ind w:left="-88" w:leftChars="-42"/>
              <w:jc w:val="center"/>
              <w:rPr>
                <w:rFonts w:ascii="宋体" w:hAnsi="宋体"/>
                <w:color w:val="auto"/>
                <w:sz w:val="24"/>
              </w:rPr>
            </w:pPr>
          </w:p>
        </w:tc>
        <w:tc>
          <w:tcPr>
            <w:tcW w:w="2593" w:type="dxa"/>
            <w:vAlign w:val="center"/>
          </w:tcPr>
          <w:p>
            <w:pPr>
              <w:adjustRightInd w:val="0"/>
              <w:snapToGrid w:val="0"/>
              <w:ind w:left="-88" w:leftChars="-4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4</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5</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6</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7</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bl>
    <w:p>
      <w:pPr>
        <w:spacing w:line="360" w:lineRule="auto"/>
        <w:ind w:left="1078" w:hanging="1077" w:hangingChars="449"/>
        <w:jc w:val="left"/>
        <w:rPr>
          <w:rFonts w:ascii="宋体" w:hAnsi="宋体"/>
          <w:color w:val="auto"/>
          <w:sz w:val="24"/>
        </w:rPr>
      </w:pPr>
      <w:r>
        <w:rPr>
          <w:rFonts w:hint="eastAsia" w:ascii="宋体" w:hAnsi="宋体"/>
          <w:color w:val="auto"/>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3"/>
        <w:numPr>
          <w:ilvl w:val="0"/>
          <w:numId w:val="64"/>
        </w:numPr>
        <w:spacing w:before="100" w:beforeAutospacing="1" w:afterLines="50" w:line="360" w:lineRule="auto"/>
        <w:ind w:left="1288" w:hanging="1288"/>
        <w:rPr>
          <w:rFonts w:ascii="宋体" w:hAnsi="宋体" w:eastAsia="宋体"/>
          <w:color w:val="auto"/>
        </w:rPr>
      </w:pPr>
      <w:bookmarkStart w:id="186" w:name="_Toc494702279"/>
      <w:bookmarkStart w:id="187" w:name="_Toc494665959"/>
      <w:bookmarkStart w:id="188" w:name="_Toc494665009"/>
      <w:bookmarkStart w:id="189" w:name="_Toc494745326"/>
      <w:bookmarkStart w:id="190" w:name="_Toc494665562"/>
      <w:bookmarkStart w:id="191" w:name="_Toc494721109"/>
      <w:bookmarkStart w:id="192" w:name="_Toc16990"/>
      <w:r>
        <w:rPr>
          <w:rFonts w:hint="eastAsia" w:ascii="宋体" w:hAnsi="宋体" w:eastAsia="宋体"/>
          <w:color w:val="auto"/>
        </w:rPr>
        <w:t>交纳投标保证金的银行凭证</w:t>
      </w:r>
      <w:bookmarkEnd w:id="186"/>
      <w:bookmarkEnd w:id="187"/>
      <w:bookmarkEnd w:id="188"/>
      <w:bookmarkEnd w:id="189"/>
      <w:bookmarkEnd w:id="190"/>
      <w:bookmarkEnd w:id="191"/>
      <w:r>
        <w:rPr>
          <w:rFonts w:hint="eastAsia" w:ascii="宋体" w:hAnsi="宋体" w:eastAsia="宋体"/>
          <w:color w:val="auto"/>
        </w:rPr>
        <w:t>（本项目不需提供）</w:t>
      </w:r>
      <w:bookmarkEnd w:id="192"/>
    </w:p>
    <w:p>
      <w:pPr>
        <w:spacing w:line="480" w:lineRule="auto"/>
        <w:rPr>
          <w:rFonts w:ascii="宋体" w:hAnsi="宋体" w:cs="Courier New"/>
          <w:b/>
          <w:color w:val="auto"/>
          <w:sz w:val="28"/>
          <w:szCs w:val="28"/>
        </w:rPr>
      </w:pPr>
      <w:r>
        <w:rPr>
          <w:rFonts w:hint="eastAsia"/>
          <w:b/>
          <w:color w:val="auto"/>
          <w:sz w:val="28"/>
          <w:szCs w:val="28"/>
        </w:rPr>
        <w:t>采购人（或采购代理机构）</w:t>
      </w:r>
      <w:r>
        <w:rPr>
          <w:rFonts w:hint="eastAsia" w:ascii="宋体" w:hAnsi="宋体" w:cs="Courier New"/>
          <w:b/>
          <w:color w:val="auto"/>
          <w:sz w:val="28"/>
          <w:szCs w:val="28"/>
        </w:rPr>
        <w:t>：</w:t>
      </w:r>
    </w:p>
    <w:p>
      <w:pPr>
        <w:spacing w:line="360" w:lineRule="auto"/>
        <w:ind w:firstLine="489" w:firstLineChars="204"/>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u w:val="single"/>
          <w:lang w:val="zh-CN"/>
        </w:rPr>
        <w:t xml:space="preserve">  （投标人全称）  </w:t>
      </w:r>
      <w:r>
        <w:rPr>
          <w:rFonts w:hint="eastAsia" w:ascii="宋体" w:hAnsi="宋体" w:eastAsia="宋体" w:cs="Times New Roman"/>
          <w:color w:val="auto"/>
          <w:sz w:val="24"/>
          <w:szCs w:val="21"/>
          <w:lang w:val="zh-CN"/>
        </w:rPr>
        <w:t>参加贵方组织的__</w:t>
      </w:r>
      <w:r>
        <w:rPr>
          <w:rFonts w:hint="eastAsia" w:ascii="宋体" w:hAnsi="宋体" w:eastAsia="宋体" w:cs="Times New Roman"/>
          <w:color w:val="auto"/>
          <w:sz w:val="24"/>
          <w:szCs w:val="21"/>
          <w:u w:val="single"/>
          <w:lang w:val="zh-CN"/>
        </w:rPr>
        <w:t>__</w:t>
      </w:r>
      <w:r>
        <w:rPr>
          <w:rFonts w:hint="eastAsia" w:ascii="宋体" w:hAnsi="宋体" w:eastAsia="宋体" w:cs="Times New Roman"/>
          <w:color w:val="auto"/>
          <w:sz w:val="24"/>
          <w:szCs w:val="21"/>
          <w:lang w:val="zh-CN"/>
        </w:rPr>
        <w:t>项目（项目编号：______）的政府采购活动。按招标文件的规定，已递交人民币（大写）__</w:t>
      </w:r>
      <w:r>
        <w:rPr>
          <w:rFonts w:hint="eastAsia" w:ascii="宋体" w:hAnsi="宋体" w:eastAsia="宋体" w:cs="Times New Roman"/>
          <w:color w:val="auto"/>
          <w:sz w:val="24"/>
          <w:szCs w:val="21"/>
          <w:u w:val="single"/>
          <w:lang w:val="zh-CN"/>
        </w:rPr>
        <w:t>__</w:t>
      </w:r>
      <w:r>
        <w:rPr>
          <w:rFonts w:hint="eastAsia" w:ascii="宋体" w:hAnsi="宋体" w:eastAsia="宋体" w:cs="Times New Roman"/>
          <w:color w:val="auto"/>
          <w:sz w:val="24"/>
          <w:szCs w:val="21"/>
          <w:lang w:val="zh-CN"/>
        </w:rPr>
        <w:t>万元的投标保证金。</w:t>
      </w:r>
    </w:p>
    <w:tbl>
      <w:tblPr>
        <w:tblStyle w:val="19"/>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投标人</w:t>
            </w: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全  称</w:t>
            </w:r>
          </w:p>
        </w:tc>
        <w:tc>
          <w:tcPr>
            <w:tcW w:w="7123" w:type="dxa"/>
            <w:gridSpan w:val="3"/>
            <w:vAlign w:val="center"/>
          </w:tcPr>
          <w:p>
            <w:pPr>
              <w:widowControl/>
              <w:spacing w:line="360" w:lineRule="auto"/>
              <w:jc w:val="left"/>
              <w:rPr>
                <w:rFonts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地  址</w:t>
            </w:r>
          </w:p>
        </w:tc>
        <w:tc>
          <w:tcPr>
            <w:tcW w:w="7123" w:type="dxa"/>
            <w:gridSpan w:val="3"/>
            <w:vAlign w:val="center"/>
          </w:tcPr>
          <w:p>
            <w:pPr>
              <w:widowControl/>
              <w:spacing w:line="360" w:lineRule="auto"/>
              <w:jc w:val="left"/>
              <w:rPr>
                <w:rFonts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邮  编</w:t>
            </w:r>
          </w:p>
        </w:tc>
        <w:tc>
          <w:tcPr>
            <w:tcW w:w="7123" w:type="dxa"/>
            <w:gridSpan w:val="3"/>
            <w:vAlign w:val="center"/>
          </w:tcPr>
          <w:p>
            <w:pPr>
              <w:widowControl/>
              <w:spacing w:line="360" w:lineRule="auto"/>
              <w:jc w:val="left"/>
              <w:rPr>
                <w:rFonts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联 系 人</w:t>
            </w:r>
          </w:p>
        </w:tc>
        <w:tc>
          <w:tcPr>
            <w:tcW w:w="2160" w:type="dxa"/>
            <w:vAlign w:val="center"/>
          </w:tcPr>
          <w:p>
            <w:pPr>
              <w:widowControl/>
              <w:spacing w:line="360" w:lineRule="auto"/>
              <w:jc w:val="left"/>
              <w:rPr>
                <w:rFonts w:ascii="宋体" w:hAnsi="宋体" w:eastAsia="宋体" w:cs="宋体"/>
                <w:color w:val="auto"/>
                <w:kern w:val="0"/>
                <w:sz w:val="24"/>
                <w:szCs w:val="21"/>
              </w:rPr>
            </w:pPr>
          </w:p>
        </w:tc>
        <w:tc>
          <w:tcPr>
            <w:tcW w:w="1440"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联系电话</w:t>
            </w:r>
          </w:p>
        </w:tc>
        <w:tc>
          <w:tcPr>
            <w:tcW w:w="3523" w:type="dxa"/>
            <w:vAlign w:val="center"/>
          </w:tcPr>
          <w:p>
            <w:pPr>
              <w:widowControl/>
              <w:spacing w:line="360" w:lineRule="auto"/>
              <w:jc w:val="left"/>
              <w:rPr>
                <w:rFonts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开 户 银 行</w:t>
            </w:r>
          </w:p>
        </w:tc>
        <w:tc>
          <w:tcPr>
            <w:tcW w:w="7123" w:type="dxa"/>
            <w:gridSpan w:val="3"/>
            <w:vAlign w:val="center"/>
          </w:tcPr>
          <w:p>
            <w:pPr>
              <w:widowControl/>
              <w:spacing w:line="360" w:lineRule="auto"/>
              <w:jc w:val="left"/>
              <w:rPr>
                <w:rFonts w:ascii="宋体" w:hAnsi="宋体" w:eastAsia="宋体" w:cs="Arial"/>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帐  号</w:t>
            </w:r>
          </w:p>
        </w:tc>
        <w:tc>
          <w:tcPr>
            <w:tcW w:w="7123" w:type="dxa"/>
            <w:gridSpan w:val="3"/>
            <w:vAlign w:val="center"/>
          </w:tcPr>
          <w:p>
            <w:pPr>
              <w:widowControl/>
              <w:spacing w:line="360" w:lineRule="auto"/>
              <w:jc w:val="left"/>
              <w:rPr>
                <w:rFonts w:ascii="宋体" w:hAnsi="宋体" w:eastAsia="宋体" w:cs="Arial"/>
                <w:color w:val="auto"/>
                <w:kern w:val="0"/>
                <w:sz w:val="24"/>
                <w:szCs w:val="21"/>
              </w:rPr>
            </w:pPr>
          </w:p>
        </w:tc>
      </w:tr>
    </w:tbl>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tbl>
      <w:tblPr>
        <w:tblStyle w:val="19"/>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粘贴转帐、电汇或网上银行凭证（清晰影印件）</w:t>
            </w: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ind w:left="110" w:leftChars="38" w:hanging="31" w:hangingChars="13"/>
              <w:rPr>
                <w:rFonts w:ascii="宋体" w:hAnsi="宋体" w:eastAsia="宋体" w:cs="Times New Roman"/>
                <w:b/>
                <w:color w:val="auto"/>
                <w:sz w:val="24"/>
                <w:szCs w:val="20"/>
                <w:lang w:val="zh-CN"/>
              </w:rPr>
            </w:pPr>
            <w:r>
              <w:rPr>
                <w:rFonts w:hint="eastAsia" w:ascii="宋体" w:hAnsi="宋体" w:eastAsia="宋体" w:cs="Times New Roman"/>
                <w:color w:val="auto"/>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说明：投标人应认真填写银行信息，与转帐或电汇银行凭证的相关信息一致，采购代理机构将依据此凭证信息查退投标保证金。</w:t>
      </w:r>
    </w:p>
    <w:p>
      <w:pPr>
        <w:rPr>
          <w:color w:val="auto"/>
        </w:rPr>
      </w:pPr>
      <w:r>
        <w:rPr>
          <w:color w:val="auto"/>
        </w:rPr>
        <w:br w:type="page"/>
      </w:r>
    </w:p>
    <w:p>
      <w:pPr>
        <w:pStyle w:val="3"/>
        <w:numPr>
          <w:ilvl w:val="0"/>
          <w:numId w:val="64"/>
        </w:numPr>
        <w:spacing w:before="100" w:beforeAutospacing="1" w:afterLines="50" w:line="360" w:lineRule="auto"/>
        <w:ind w:left="1288" w:hanging="1288"/>
        <w:rPr>
          <w:rFonts w:ascii="宋体" w:hAnsi="宋体" w:eastAsia="宋体"/>
          <w:color w:val="auto"/>
        </w:rPr>
      </w:pPr>
      <w:bookmarkStart w:id="193" w:name="_Toc494665563"/>
      <w:bookmarkStart w:id="194" w:name="_Toc238276247"/>
      <w:bookmarkStart w:id="195" w:name="_Toc494745327"/>
      <w:bookmarkStart w:id="196" w:name="_Toc494665010"/>
      <w:bookmarkStart w:id="197" w:name="_Toc494665960"/>
      <w:bookmarkStart w:id="198" w:name="_Toc494721110"/>
      <w:bookmarkStart w:id="199" w:name="_Toc236473303"/>
      <w:bookmarkStart w:id="200" w:name="_Toc494702280"/>
      <w:bookmarkStart w:id="201" w:name="_Toc4125"/>
      <w:r>
        <w:rPr>
          <w:rFonts w:hint="eastAsia" w:ascii="宋体" w:hAnsi="宋体" w:eastAsia="宋体"/>
          <w:color w:val="auto"/>
        </w:rPr>
        <w:t>法定代表人授权书</w:t>
      </w:r>
      <w:bookmarkEnd w:id="193"/>
      <w:bookmarkEnd w:id="194"/>
      <w:bookmarkEnd w:id="195"/>
      <w:bookmarkEnd w:id="196"/>
      <w:bookmarkEnd w:id="197"/>
      <w:bookmarkEnd w:id="198"/>
      <w:bookmarkEnd w:id="199"/>
      <w:bookmarkEnd w:id="200"/>
      <w:bookmarkEnd w:id="201"/>
    </w:p>
    <w:p>
      <w:pPr>
        <w:spacing w:line="480" w:lineRule="auto"/>
        <w:rPr>
          <w:rFonts w:ascii="宋体" w:hAnsi="宋体" w:eastAsia="宋体" w:cs="Times New Roman"/>
          <w:b/>
          <w:color w:val="auto"/>
          <w:sz w:val="24"/>
          <w:szCs w:val="24"/>
        </w:rPr>
      </w:pPr>
      <w:r>
        <w:rPr>
          <w:rFonts w:hint="eastAsia"/>
          <w:b/>
          <w:color w:val="auto"/>
          <w:sz w:val="28"/>
          <w:szCs w:val="28"/>
        </w:rPr>
        <w:t>采购人（或采购代理机构）</w:t>
      </w:r>
      <w:r>
        <w:rPr>
          <w:rFonts w:hint="eastAsia" w:ascii="宋体" w:hAnsi="宋体" w:cs="Courier New"/>
          <w:b/>
          <w:color w:val="auto"/>
          <w:sz w:val="28"/>
          <w:szCs w:val="28"/>
        </w:rPr>
        <w:t>：</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兹授权</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同志为我单位参加贵方组织的</w:t>
      </w:r>
      <w:r>
        <w:rPr>
          <w:rFonts w:hint="eastAsia" w:ascii="Times New Roman" w:hAnsi="宋体" w:eastAsia="宋体" w:cs="Times New Roman"/>
          <w:color w:val="auto"/>
          <w:sz w:val="24"/>
          <w:szCs w:val="24"/>
        </w:rPr>
        <w:t>____项目（项目编号：______）</w:t>
      </w:r>
      <w:r>
        <w:rPr>
          <w:rFonts w:hint="eastAsia" w:ascii="宋体" w:hAnsi="宋体" w:eastAsia="宋体" w:cs="Times New Roman"/>
          <w:color w:val="auto"/>
          <w:sz w:val="24"/>
          <w:szCs w:val="24"/>
        </w:rPr>
        <w:t>采购活动的投标人授权代表，全权代表我公司处理在</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项目采购活动中的一切事宜。代理期限从</w:t>
      </w:r>
      <w:r>
        <w:rPr>
          <w:rFonts w:hint="eastAsia" w:ascii="Times New Roman" w:hAnsi="宋体" w:eastAsia="宋体" w:cs="Times New Roman"/>
          <w:color w:val="auto"/>
          <w:sz w:val="24"/>
          <w:szCs w:val="24"/>
        </w:rPr>
        <w:t>__</w:t>
      </w:r>
      <w:r>
        <w:rPr>
          <w:rFonts w:hint="eastAsia" w:ascii="宋体" w:hAnsi="宋体" w:eastAsia="宋体" w:cs="Times New Roman"/>
          <w:color w:val="auto"/>
          <w:sz w:val="24"/>
          <w:szCs w:val="24"/>
        </w:rPr>
        <w:t>年</w:t>
      </w:r>
      <w:r>
        <w:rPr>
          <w:rFonts w:hint="eastAsia" w:ascii="Times New Roman" w:hAnsi="宋体" w:eastAsia="宋体" w:cs="Times New Roman"/>
          <w:color w:val="auto"/>
          <w:sz w:val="24"/>
          <w:szCs w:val="24"/>
        </w:rPr>
        <w:t>__</w:t>
      </w:r>
      <w:r>
        <w:rPr>
          <w:rFonts w:hint="eastAsia" w:ascii="宋体" w:hAnsi="宋体" w:eastAsia="宋体" w:cs="Times New Roman"/>
          <w:color w:val="auto"/>
          <w:sz w:val="24"/>
          <w:szCs w:val="24"/>
        </w:rPr>
        <w:t>月</w:t>
      </w:r>
      <w:r>
        <w:rPr>
          <w:rFonts w:hint="eastAsia" w:ascii="Times New Roman" w:hAnsi="宋体" w:eastAsia="宋体" w:cs="Times New Roman"/>
          <w:color w:val="auto"/>
          <w:sz w:val="24"/>
          <w:szCs w:val="24"/>
        </w:rPr>
        <w:t>__</w:t>
      </w:r>
      <w:r>
        <w:rPr>
          <w:rFonts w:hint="eastAsia" w:ascii="宋体" w:hAnsi="宋体" w:eastAsia="宋体" w:cs="Times New Roman"/>
          <w:color w:val="auto"/>
          <w:sz w:val="24"/>
          <w:szCs w:val="24"/>
        </w:rPr>
        <w:t>日起至</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年</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月</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 xml:space="preserve">日止。 </w:t>
      </w:r>
    </w:p>
    <w:p>
      <w:pPr>
        <w:spacing w:line="360" w:lineRule="auto"/>
        <w:ind w:firstLine="540" w:firstLineChars="225"/>
        <w:rPr>
          <w:rFonts w:ascii="宋体" w:hAnsi="宋体" w:eastAsia="宋体" w:cs="Times New Roman"/>
          <w:color w:val="auto"/>
          <w:sz w:val="24"/>
          <w:szCs w:val="24"/>
        </w:rPr>
      </w:pPr>
      <w:r>
        <w:rPr>
          <w:rFonts w:hint="eastAsia" w:ascii="宋体" w:hAnsi="宋体" w:eastAsia="宋体" w:cs="Times New Roman"/>
          <w:color w:val="auto"/>
          <w:sz w:val="24"/>
          <w:szCs w:val="24"/>
        </w:rPr>
        <w:t>被授权代表无转委托权。</w:t>
      </w:r>
    </w:p>
    <w:p>
      <w:pPr>
        <w:spacing w:line="360" w:lineRule="auto"/>
        <w:ind w:firstLine="540" w:firstLineChars="225"/>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授权单位（公章）：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法定代表人（签字或盖章）</w:t>
      </w:r>
      <w:r>
        <w:rPr>
          <w:rFonts w:hint="eastAsia" w:hAnsi="宋体"/>
          <w:b/>
          <w:bCs/>
          <w:color w:val="auto"/>
          <w:sz w:val="24"/>
        </w:rPr>
        <w:t>：</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color w:val="auto"/>
          <w:sz w:val="24"/>
          <w:szCs w:val="21"/>
          <w:lang w:val="zh-CN"/>
        </w:rPr>
        <w:t>签发日期：</w:t>
      </w:r>
      <w:r>
        <w:rPr>
          <w:rFonts w:hint="eastAsia" w:ascii="Times New Roman" w:hAnsi="宋体" w:eastAsia="宋体" w:cs="Times New Roman"/>
          <w:color w:val="auto"/>
          <w:sz w:val="24"/>
          <w:szCs w:val="24"/>
        </w:rPr>
        <w:t>____</w:t>
      </w:r>
      <w:r>
        <w:rPr>
          <w:rFonts w:hint="eastAsia" w:ascii="宋体" w:hAnsi="宋体" w:eastAsia="宋体" w:cs="Times New Roman"/>
          <w:b/>
          <w:color w:val="auto"/>
          <w:sz w:val="24"/>
          <w:szCs w:val="21"/>
          <w:lang w:val="zh-CN"/>
        </w:rPr>
        <w:t>年</w:t>
      </w:r>
      <w:r>
        <w:rPr>
          <w:rFonts w:hint="eastAsia" w:ascii="Times New Roman" w:hAnsi="宋体" w:eastAsia="宋体" w:cs="Times New Roman"/>
          <w:color w:val="auto"/>
          <w:sz w:val="24"/>
          <w:szCs w:val="24"/>
        </w:rPr>
        <w:t>____</w:t>
      </w:r>
      <w:r>
        <w:rPr>
          <w:rFonts w:hint="eastAsia" w:ascii="宋体" w:hAnsi="宋体" w:eastAsia="宋体" w:cs="Times New Roman"/>
          <w:b/>
          <w:color w:val="auto"/>
          <w:sz w:val="24"/>
          <w:szCs w:val="21"/>
          <w:lang w:val="zh-CN"/>
        </w:rPr>
        <w:t>月</w:t>
      </w:r>
      <w:r>
        <w:rPr>
          <w:rFonts w:hint="eastAsia" w:ascii="Times New Roman" w:hAnsi="宋体" w:eastAsia="宋体" w:cs="Times New Roman"/>
          <w:color w:val="auto"/>
          <w:sz w:val="24"/>
          <w:szCs w:val="24"/>
        </w:rPr>
        <w:t>____</w:t>
      </w:r>
      <w:r>
        <w:rPr>
          <w:rFonts w:hint="eastAsia" w:ascii="宋体" w:hAnsi="宋体" w:eastAsia="宋体" w:cs="Times New Roman"/>
          <w:b/>
          <w:color w:val="auto"/>
          <w:sz w:val="24"/>
          <w:szCs w:val="21"/>
          <w:lang w:val="zh-CN"/>
        </w:rPr>
        <w:t>日</w:t>
      </w:r>
    </w:p>
    <w:p>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投标人授权代表单位名称：</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职务： 性别：</w:t>
      </w:r>
    </w:p>
    <w:p>
      <w:pPr>
        <w:spacing w:line="360" w:lineRule="auto"/>
        <w:ind w:firstLine="480" w:firstLineChars="200"/>
        <w:rPr>
          <w:rFonts w:ascii="宋体" w:hAnsi="宋体" w:eastAsia="宋体" w:cs="Times New Roman"/>
          <w:color w:val="auto"/>
          <w:sz w:val="24"/>
          <w:szCs w:val="24"/>
          <w:u w:val="single"/>
        </w:rPr>
      </w:pPr>
      <w:r>
        <w:rPr>
          <w:rFonts w:hint="eastAsia" w:ascii="宋体" w:hAnsi="宋体" w:eastAsia="宋体" w:cs="Times New Roman"/>
          <w:color w:val="auto"/>
          <w:sz w:val="24"/>
          <w:szCs w:val="24"/>
        </w:rPr>
        <w:t>身份证号码：</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电话：</w:t>
      </w:r>
    </w:p>
    <w:tbl>
      <w:tblPr>
        <w:tblStyle w:val="19"/>
        <w:tblW w:w="9532"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color w:val="auto"/>
                <w:sz w:val="24"/>
                <w:szCs w:val="24"/>
              </w:rPr>
            </w:pPr>
            <w:r>
              <w:rPr>
                <w:rFonts w:hint="eastAsia" w:ascii="宋体" w:hAnsi="宋体" w:eastAsia="宋体" w:cs="Times New Roman"/>
                <w:color w:val="auto"/>
                <w:sz w:val="24"/>
                <w:szCs w:val="24"/>
              </w:rPr>
              <w:t>粘贴被授权人身份证（清晰影印件）</w:t>
            </w:r>
          </w:p>
        </w:tc>
      </w:tr>
    </w:tbl>
    <w:p>
      <w:pPr>
        <w:rPr>
          <w:color w:val="auto"/>
        </w:rPr>
      </w:pPr>
      <w:r>
        <w:rPr>
          <w:color w:val="auto"/>
        </w:rPr>
        <w:br w:type="page"/>
      </w:r>
    </w:p>
    <w:p>
      <w:pPr>
        <w:pStyle w:val="3"/>
        <w:numPr>
          <w:ilvl w:val="0"/>
          <w:numId w:val="64"/>
        </w:numPr>
        <w:spacing w:before="100" w:beforeAutospacing="1" w:afterLines="50" w:line="360" w:lineRule="auto"/>
        <w:ind w:left="1610" w:hanging="1610"/>
        <w:rPr>
          <w:rFonts w:ascii="宋体" w:hAnsi="宋体" w:eastAsia="宋体"/>
          <w:color w:val="auto"/>
        </w:rPr>
      </w:pPr>
      <w:bookmarkStart w:id="202" w:name="_Toc494665011"/>
      <w:bookmarkStart w:id="203" w:name="_Toc238276248"/>
      <w:bookmarkStart w:id="204" w:name="_Toc494702281"/>
      <w:bookmarkStart w:id="205" w:name="_Toc494665564"/>
      <w:bookmarkStart w:id="206" w:name="_Toc494665961"/>
      <w:bookmarkStart w:id="207" w:name="_Toc494745328"/>
      <w:bookmarkStart w:id="208" w:name="_Toc494721111"/>
      <w:bookmarkStart w:id="209" w:name="_Toc236473304"/>
      <w:bookmarkStart w:id="210" w:name="_Toc17257"/>
      <w:r>
        <w:rPr>
          <w:rFonts w:hint="eastAsia" w:ascii="宋体" w:hAnsi="宋体" w:eastAsia="宋体"/>
          <w:color w:val="auto"/>
        </w:rPr>
        <w:t>投标人的资格声明</w:t>
      </w:r>
      <w:bookmarkEnd w:id="202"/>
      <w:bookmarkEnd w:id="203"/>
      <w:bookmarkEnd w:id="204"/>
      <w:bookmarkEnd w:id="205"/>
      <w:bookmarkEnd w:id="206"/>
      <w:bookmarkEnd w:id="207"/>
      <w:bookmarkEnd w:id="208"/>
      <w:bookmarkEnd w:id="209"/>
      <w:bookmarkEnd w:id="210"/>
    </w:p>
    <w:p>
      <w:pPr>
        <w:spacing w:line="360" w:lineRule="auto"/>
        <w:ind w:left="1078" w:hanging="1077" w:hangingChars="449"/>
        <w:jc w:val="left"/>
        <w:rPr>
          <w:rFonts w:ascii="宋体" w:hAnsi="宋体" w:eastAsia="宋体" w:cs="Times New Roman"/>
          <w:color w:val="auto"/>
          <w:sz w:val="24"/>
          <w:szCs w:val="24"/>
        </w:rPr>
      </w:pPr>
      <w:r>
        <w:rPr>
          <w:rFonts w:hint="eastAsia" w:ascii="宋体" w:hAnsi="宋体" w:eastAsia="宋体" w:cs="Times New Roman"/>
          <w:color w:val="auto"/>
          <w:sz w:val="24"/>
          <w:szCs w:val="24"/>
        </w:rPr>
        <w:t>1．名称及基本情况：</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（1）投标人：</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（2）地址：     邮编：</w:t>
      </w:r>
    </w:p>
    <w:p>
      <w:pPr>
        <w:spacing w:line="360" w:lineRule="exact"/>
        <w:ind w:firstLine="840" w:firstLineChars="350"/>
        <w:rPr>
          <w:rFonts w:ascii="宋体" w:hAnsi="宋体" w:eastAsia="宋体" w:cs="Times New Roman"/>
          <w:color w:val="auto"/>
          <w:sz w:val="24"/>
          <w:szCs w:val="24"/>
          <w:u w:val="single"/>
        </w:rPr>
      </w:pPr>
      <w:r>
        <w:rPr>
          <w:rFonts w:hint="eastAsia" w:ascii="宋体" w:hAnsi="宋体" w:eastAsia="宋体" w:cs="Times New Roman"/>
          <w:color w:val="auto"/>
          <w:sz w:val="24"/>
          <w:szCs w:val="24"/>
        </w:rPr>
        <w:t>电话：     传真：</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（3）成立或注册日期：</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（4）单位性质：</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（5）法定代表人或主要负责人：</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（6）员工人数：</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（7）注册资本：</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（8）实收资本：</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（9）上年末资产负债表：</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1）固定资产</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原   值：    净   值： </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2）流动资金：</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3）长期负债：</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4）短期负债：</w:t>
      </w:r>
    </w:p>
    <w:p>
      <w:pPr>
        <w:spacing w:line="3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2．与投标货物的生产、销售和服务有关的情况： </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（1）关于制造投标货物的设施及其它情况：</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bl>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（3）销售、服务网点分布（可另行附表）：</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bl>
    <w:p>
      <w:pPr>
        <w:spacing w:line="3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3．投标人认为需要声明的其它情况：                         </w:t>
      </w:r>
    </w:p>
    <w:p>
      <w:pPr>
        <w:spacing w:line="360" w:lineRule="exact"/>
        <w:ind w:firstLine="475" w:firstLineChars="198"/>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投标人</w:t>
      </w:r>
      <w:r>
        <w:rPr>
          <w:rFonts w:hint="eastAsia" w:ascii="Times New Roman" w:hAnsi="宋体" w:eastAsia="宋体" w:cs="Times New Roman"/>
          <w:b/>
          <w:color w:val="auto"/>
          <w:sz w:val="24"/>
          <w:szCs w:val="24"/>
        </w:rPr>
        <w:t>（公章）</w:t>
      </w:r>
      <w:r>
        <w:rPr>
          <w:rFonts w:hint="eastAsia" w:ascii="宋体" w:hAnsi="宋体" w:eastAsia="宋体" w:cs="Times New Roman"/>
          <w:b/>
          <w:color w:val="auto"/>
          <w:sz w:val="24"/>
          <w:szCs w:val="24"/>
        </w:rPr>
        <w:t>：</w:t>
      </w:r>
    </w:p>
    <w:p>
      <w:pPr>
        <w:spacing w:line="360" w:lineRule="auto"/>
        <w:ind w:left="504" w:leftChars="240"/>
        <w:rPr>
          <w:rFonts w:ascii="宋体" w:hAnsi="宋体" w:eastAsia="宋体" w:cs="Times New Roman"/>
          <w:b/>
          <w:color w:val="auto"/>
          <w:sz w:val="24"/>
          <w:szCs w:val="24"/>
        </w:rPr>
      </w:pPr>
      <w:r>
        <w:rPr>
          <w:rFonts w:hint="eastAsia" w:ascii="Times New Roman" w:hAnsi="宋体" w:eastAsia="宋体" w:cs="Times New Roman"/>
          <w:b/>
          <w:color w:val="auto"/>
          <w:sz w:val="24"/>
          <w:szCs w:val="24"/>
        </w:rPr>
        <w:t>法定代表人（签字或盖章）</w:t>
      </w:r>
      <w:r>
        <w:rPr>
          <w:rFonts w:hint="eastAsia" w:ascii="宋体" w:hAnsi="宋体" w:eastAsia="宋体" w:cs="Times New Roman"/>
          <w:b/>
          <w:color w:val="auto"/>
          <w:sz w:val="24"/>
          <w:szCs w:val="24"/>
        </w:rPr>
        <w:t>：</w:t>
      </w:r>
    </w:p>
    <w:p>
      <w:pPr>
        <w:spacing w:line="360" w:lineRule="auto"/>
        <w:ind w:left="504"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电    话：</w:t>
      </w:r>
    </w:p>
    <w:p>
      <w:pPr>
        <w:spacing w:line="360" w:lineRule="auto"/>
        <w:ind w:left="504" w:leftChars="240"/>
        <w:rPr>
          <w:rFonts w:ascii="宋体" w:hAnsi="宋体" w:eastAsia="宋体" w:cs="Times New Roman"/>
          <w:b/>
          <w:color w:val="auto"/>
          <w:sz w:val="24"/>
          <w:szCs w:val="24"/>
          <w:u w:val="single"/>
        </w:rPr>
      </w:pPr>
      <w:r>
        <w:rPr>
          <w:rFonts w:hint="eastAsia" w:ascii="宋体" w:hAnsi="宋体" w:eastAsia="宋体" w:cs="Times New Roman"/>
          <w:b/>
          <w:color w:val="auto"/>
          <w:sz w:val="24"/>
          <w:szCs w:val="24"/>
        </w:rPr>
        <w:t>传    真：</w:t>
      </w:r>
    </w:p>
    <w:p>
      <w:pPr>
        <w:spacing w:line="360" w:lineRule="auto"/>
        <w:ind w:left="504"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日    期：年月 日</w:t>
      </w:r>
    </w:p>
    <w:p>
      <w:pPr>
        <w:pStyle w:val="3"/>
        <w:numPr>
          <w:ilvl w:val="0"/>
          <w:numId w:val="64"/>
        </w:numPr>
        <w:spacing w:before="100" w:beforeAutospacing="1" w:afterLines="50" w:line="360" w:lineRule="auto"/>
        <w:ind w:left="1610" w:hanging="1610"/>
        <w:rPr>
          <w:rFonts w:ascii="宋体" w:hAnsi="宋体" w:eastAsia="宋体"/>
          <w:color w:val="auto"/>
        </w:rPr>
      </w:pPr>
      <w:bookmarkStart w:id="211" w:name="_Toc494665962"/>
      <w:bookmarkStart w:id="212" w:name="_Toc494702282"/>
      <w:bookmarkStart w:id="213" w:name="_Toc494721112"/>
      <w:bookmarkStart w:id="214" w:name="_Toc494745329"/>
      <w:bookmarkStart w:id="215" w:name="_Toc494665012"/>
      <w:bookmarkStart w:id="216" w:name="_Toc494665565"/>
      <w:bookmarkStart w:id="217" w:name="_Toc21660"/>
      <w:r>
        <w:rPr>
          <w:rFonts w:hint="eastAsia" w:ascii="宋体" w:hAnsi="宋体" w:eastAsia="宋体"/>
          <w:color w:val="auto"/>
        </w:rPr>
        <w:t>项目负责人、技术负责人简历表</w:t>
      </w:r>
      <w:bookmarkEnd w:id="211"/>
      <w:bookmarkEnd w:id="212"/>
      <w:bookmarkEnd w:id="213"/>
      <w:bookmarkEnd w:id="214"/>
      <w:bookmarkEnd w:id="215"/>
      <w:bookmarkEnd w:id="216"/>
      <w:bookmarkEnd w:id="217"/>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参加工作</w:t>
            </w:r>
          </w:p>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bl>
    <w:p>
      <w:pPr>
        <w:spacing w:line="360" w:lineRule="auto"/>
        <w:ind w:left="720" w:hanging="720" w:hangingChars="300"/>
        <w:jc w:val="left"/>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auto"/>
          <w:sz w:val="24"/>
          <w:szCs w:val="24"/>
          <w:lang w:val="zh-CN"/>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3"/>
        <w:numPr>
          <w:ilvl w:val="0"/>
          <w:numId w:val="64"/>
        </w:numPr>
        <w:spacing w:before="100" w:beforeAutospacing="1" w:afterLines="50" w:line="360" w:lineRule="auto"/>
        <w:ind w:left="1610" w:hanging="1610"/>
        <w:rPr>
          <w:rFonts w:ascii="宋体" w:hAnsi="宋体" w:eastAsia="宋体"/>
          <w:color w:val="auto"/>
        </w:rPr>
      </w:pPr>
      <w:bookmarkStart w:id="218" w:name="_Toc494702283"/>
      <w:bookmarkStart w:id="219" w:name="_Toc23983"/>
      <w:bookmarkStart w:id="220" w:name="_Toc238276251"/>
      <w:bookmarkStart w:id="221" w:name="_Toc494665013"/>
      <w:bookmarkStart w:id="222" w:name="_Toc494721113"/>
      <w:bookmarkStart w:id="223" w:name="_Toc236473307"/>
      <w:bookmarkStart w:id="224" w:name="_Toc494745330"/>
      <w:bookmarkStart w:id="225" w:name="_Toc494665963"/>
      <w:bookmarkStart w:id="226" w:name="_Toc494665566"/>
      <w:r>
        <w:rPr>
          <w:rFonts w:hint="eastAsia" w:ascii="宋体" w:hAnsi="宋体" w:eastAsia="宋体"/>
          <w:color w:val="auto"/>
        </w:rPr>
        <w:t>项目班子成员情况表</w:t>
      </w:r>
      <w:bookmarkEnd w:id="218"/>
      <w:bookmarkEnd w:id="219"/>
      <w:bookmarkEnd w:id="220"/>
      <w:bookmarkEnd w:id="221"/>
      <w:bookmarkEnd w:id="222"/>
      <w:bookmarkEnd w:id="223"/>
      <w:bookmarkEnd w:id="224"/>
      <w:bookmarkEnd w:id="225"/>
      <w:bookmarkEnd w:id="226"/>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 w:val="24"/>
                <w:szCs w:val="24"/>
              </w:rPr>
            </w:pPr>
            <w:r>
              <w:rPr>
                <w:rFonts w:ascii="宋体" w:hAnsi="宋体" w:eastAsia="宋体" w:cs="Times New Roman"/>
                <w:b/>
                <w:color w:val="auto"/>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r>
    </w:tbl>
    <w:p>
      <w:pPr>
        <w:spacing w:line="360" w:lineRule="auto"/>
        <w:ind w:left="720" w:hanging="720" w:hangingChars="300"/>
        <w:jc w:val="left"/>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说明：投标文件正本应附完整的相关证明材料清晰影印件，</w:t>
      </w:r>
      <w:r>
        <w:rPr>
          <w:rFonts w:hint="eastAsia" w:ascii="宋体" w:hAnsi="宋体" w:eastAsia="宋体" w:cs="Corbel"/>
          <w:color w:val="auto"/>
          <w:sz w:val="24"/>
          <w:szCs w:val="21"/>
          <w:lang w:val="zh-CN"/>
        </w:rPr>
        <w:t>未按照要求详细完整填写此表，</w:t>
      </w:r>
      <w:r>
        <w:rPr>
          <w:rFonts w:hint="eastAsia" w:ascii="宋体" w:hAnsi="宋体" w:eastAsia="宋体" w:cs="Times New Roman"/>
          <w:color w:val="auto"/>
          <w:sz w:val="24"/>
          <w:szCs w:val="21"/>
          <w:lang w:val="zh-CN"/>
        </w:rPr>
        <w:t>导致的后果由投标人自行承担。</w:t>
      </w: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3"/>
        <w:numPr>
          <w:ilvl w:val="0"/>
          <w:numId w:val="64"/>
        </w:numPr>
        <w:spacing w:before="100" w:beforeAutospacing="1" w:afterLines="50" w:line="360" w:lineRule="auto"/>
        <w:ind w:left="1610" w:hanging="1610"/>
        <w:rPr>
          <w:rFonts w:ascii="宋体" w:hAnsi="宋体" w:eastAsia="宋体"/>
          <w:color w:val="auto"/>
        </w:rPr>
      </w:pPr>
      <w:bookmarkStart w:id="227" w:name="_Toc494721114"/>
      <w:bookmarkStart w:id="228" w:name="_Toc238276256"/>
      <w:bookmarkStart w:id="229" w:name="_Toc494745331"/>
      <w:bookmarkStart w:id="230" w:name="_Toc494665014"/>
      <w:bookmarkStart w:id="231" w:name="_Toc4769"/>
      <w:bookmarkStart w:id="232" w:name="_Toc494665964"/>
      <w:bookmarkStart w:id="233" w:name="_Toc494702284"/>
      <w:bookmarkStart w:id="234" w:name="_Toc236473312"/>
      <w:bookmarkStart w:id="235" w:name="_Toc494665567"/>
      <w:r>
        <w:rPr>
          <w:rFonts w:hint="eastAsia" w:ascii="宋体" w:hAnsi="宋体" w:eastAsia="宋体"/>
          <w:color w:val="auto"/>
        </w:rPr>
        <w:t>投标人类似项目业绩表</w:t>
      </w:r>
      <w:bookmarkEnd w:id="227"/>
      <w:bookmarkEnd w:id="228"/>
      <w:bookmarkEnd w:id="229"/>
      <w:bookmarkEnd w:id="230"/>
      <w:bookmarkEnd w:id="231"/>
      <w:bookmarkEnd w:id="232"/>
      <w:bookmarkEnd w:id="233"/>
      <w:bookmarkEnd w:id="234"/>
      <w:bookmarkEnd w:id="235"/>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项目单位名称</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项目名称</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项目单位联系人姓名及联系方式</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项目金额</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项目负责人姓名</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9"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项目时间</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项目内容</w:t>
            </w:r>
          </w:p>
        </w:tc>
        <w:tc>
          <w:tcPr>
            <w:tcW w:w="7200" w:type="dxa"/>
            <w:shd w:val="clear" w:color="auto" w:fill="auto"/>
          </w:tcPr>
          <w:p>
            <w:pPr>
              <w:rPr>
                <w:rFonts w:ascii="宋体" w:hAnsi="宋体" w:eastAsia="宋体" w:cs="Courier New"/>
                <w:color w:val="auto"/>
                <w:sz w:val="24"/>
                <w:szCs w:val="24"/>
              </w:rPr>
            </w:pPr>
          </w:p>
        </w:tc>
      </w:tr>
    </w:tbl>
    <w:p>
      <w:pPr>
        <w:spacing w:line="360" w:lineRule="auto"/>
        <w:ind w:left="1092" w:hanging="1092" w:hangingChars="455"/>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说明：1．每个合同应单独附表，并附上相关证明材料，</w:t>
      </w:r>
      <w:r>
        <w:rPr>
          <w:rFonts w:hint="eastAsia" w:ascii="宋体" w:hAnsi="宋体" w:eastAsia="宋体" w:cs="Corbel"/>
          <w:color w:val="auto"/>
          <w:sz w:val="24"/>
          <w:szCs w:val="24"/>
        </w:rPr>
        <w:t>未按照要求详细完整填写此表，</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2．项目内容请详细说明所承担的具体工作内容等。</w:t>
      </w:r>
    </w:p>
    <w:p>
      <w:pPr>
        <w:spacing w:line="360" w:lineRule="auto"/>
        <w:ind w:firstLine="720" w:firstLineChars="300"/>
        <w:rPr>
          <w:rFonts w:ascii="宋体" w:hAnsi="宋体" w:eastAsia="宋体" w:cs="Times New Roman"/>
          <w:color w:val="auto"/>
          <w:sz w:val="24"/>
          <w:szCs w:val="24"/>
        </w:rPr>
      </w:pPr>
    </w:p>
    <w:p>
      <w:pPr>
        <w:spacing w:line="360" w:lineRule="auto"/>
        <w:ind w:firstLine="720" w:firstLineChars="300"/>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3"/>
        <w:numPr>
          <w:ilvl w:val="0"/>
          <w:numId w:val="64"/>
        </w:numPr>
        <w:spacing w:before="100" w:beforeAutospacing="1" w:afterLines="50" w:line="360" w:lineRule="auto"/>
        <w:ind w:left="1610" w:hanging="1610"/>
        <w:rPr>
          <w:rFonts w:ascii="宋体" w:hAnsi="宋体" w:eastAsia="宋体"/>
          <w:color w:val="auto"/>
        </w:rPr>
      </w:pPr>
      <w:bookmarkStart w:id="236" w:name="_Toc494745332"/>
      <w:bookmarkStart w:id="237" w:name="_Toc494665015"/>
      <w:bookmarkStart w:id="238" w:name="_Toc494702285"/>
      <w:bookmarkStart w:id="239" w:name="_Toc494665568"/>
      <w:bookmarkStart w:id="240" w:name="_Toc494665965"/>
      <w:bookmarkStart w:id="241" w:name="_Toc494721115"/>
      <w:bookmarkStart w:id="242" w:name="_Toc12470"/>
      <w:r>
        <w:rPr>
          <w:rFonts w:hint="eastAsia" w:ascii="宋体" w:hAnsi="宋体" w:eastAsia="宋体"/>
          <w:color w:val="auto"/>
        </w:rPr>
        <w:t>符合性审查对照表</w:t>
      </w:r>
      <w:bookmarkEnd w:id="236"/>
      <w:bookmarkEnd w:id="237"/>
      <w:bookmarkEnd w:id="238"/>
      <w:bookmarkEnd w:id="239"/>
      <w:bookmarkEnd w:id="240"/>
      <w:bookmarkEnd w:id="241"/>
      <w:bookmarkEnd w:id="242"/>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02"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Times New Roman"/>
          <w:b/>
          <w:color w:val="auto"/>
          <w:sz w:val="24"/>
          <w:szCs w:val="24"/>
        </w:rPr>
      </w:pPr>
      <w:r>
        <w:rPr>
          <w:rFonts w:hint="eastAsia" w:ascii="宋体" w:hAnsi="宋体" w:eastAsia="宋体" w:cs="Times New Roman"/>
          <w:color w:val="auto"/>
          <w:sz w:val="24"/>
          <w:szCs w:val="24"/>
        </w:rPr>
        <w:t>说明</w:t>
      </w:r>
      <w:r>
        <w:rPr>
          <w:rFonts w:hint="eastAsia" w:ascii="宋体" w:hAnsi="宋体" w:eastAsia="宋体" w:cs="Corbel"/>
          <w:color w:val="auto"/>
          <w:sz w:val="24"/>
          <w:szCs w:val="24"/>
        </w:rPr>
        <w:t>：1</w:t>
      </w:r>
      <w:r>
        <w:rPr>
          <w:rFonts w:hint="eastAsia" w:ascii="宋体" w:hAnsi="宋体" w:eastAsia="宋体" w:cs="Times New Roman"/>
          <w:color w:val="auto"/>
          <w:sz w:val="24"/>
          <w:szCs w:val="24"/>
        </w:rPr>
        <w:t>．</w:t>
      </w:r>
      <w:r>
        <w:rPr>
          <w:rFonts w:hint="eastAsia" w:ascii="宋体" w:hAnsi="宋体" w:eastAsia="宋体" w:cs="Corbel"/>
          <w:color w:val="auto"/>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Times New Roman"/>
          <w:b/>
          <w:color w:val="auto"/>
          <w:sz w:val="24"/>
          <w:szCs w:val="24"/>
        </w:rPr>
      </w:pPr>
      <w:r>
        <w:rPr>
          <w:rFonts w:hint="eastAsia" w:ascii="宋体" w:hAnsi="宋体" w:eastAsia="宋体" w:cs="Corbel"/>
          <w:color w:val="auto"/>
          <w:sz w:val="24"/>
          <w:szCs w:val="24"/>
        </w:rPr>
        <w:t>2．</w:t>
      </w:r>
      <w:r>
        <w:rPr>
          <w:rFonts w:hint="eastAsia" w:ascii="宋体" w:hAnsi="宋体" w:eastAsia="宋体" w:cs="Times New Roman"/>
          <w:color w:val="auto"/>
          <w:sz w:val="24"/>
          <w:szCs w:val="24"/>
        </w:rPr>
        <w:t>投标人</w:t>
      </w:r>
      <w:r>
        <w:rPr>
          <w:rFonts w:hint="eastAsia" w:ascii="宋体" w:hAnsi="宋体" w:eastAsia="宋体" w:cs="Corbel"/>
          <w:color w:val="auto"/>
          <w:sz w:val="24"/>
          <w:szCs w:val="24"/>
        </w:rPr>
        <w:t>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3"/>
        <w:numPr>
          <w:ilvl w:val="0"/>
          <w:numId w:val="64"/>
        </w:numPr>
        <w:spacing w:before="100" w:beforeAutospacing="1" w:afterLines="50" w:line="360" w:lineRule="auto"/>
        <w:ind w:left="1610" w:hanging="1610"/>
        <w:rPr>
          <w:rFonts w:ascii="宋体" w:hAnsi="宋体" w:eastAsia="宋体"/>
          <w:color w:val="auto"/>
        </w:rPr>
      </w:pPr>
      <w:bookmarkStart w:id="243" w:name="_Toc494702286"/>
      <w:bookmarkStart w:id="244" w:name="_Toc494665966"/>
      <w:bookmarkStart w:id="245" w:name="_Toc22378"/>
      <w:bookmarkStart w:id="246" w:name="_Toc494665569"/>
      <w:bookmarkStart w:id="247" w:name="_Toc494665016"/>
      <w:bookmarkStart w:id="248" w:name="_Toc494721116"/>
      <w:bookmarkStart w:id="249" w:name="_Toc494745333"/>
      <w:r>
        <w:rPr>
          <w:rFonts w:hint="eastAsia" w:ascii="宋体" w:hAnsi="宋体" w:eastAsia="宋体"/>
          <w:color w:val="auto"/>
        </w:rPr>
        <w:t>商务要求响应、偏离说明表</w:t>
      </w:r>
      <w:bookmarkEnd w:id="243"/>
      <w:bookmarkEnd w:id="244"/>
      <w:bookmarkEnd w:id="245"/>
      <w:bookmarkEnd w:id="246"/>
      <w:bookmarkEnd w:id="247"/>
      <w:bookmarkEnd w:id="248"/>
      <w:bookmarkEnd w:id="249"/>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w:t>
      </w:r>
      <w:r>
        <w:rPr>
          <w:rFonts w:hint="eastAsia" w:ascii="宋体" w:hAnsi="宋体" w:eastAsia="宋体" w:cs="Corbel"/>
          <w:color w:val="auto"/>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Corbel"/>
          <w:color w:val="auto"/>
          <w:sz w:val="24"/>
          <w:szCs w:val="24"/>
        </w:rPr>
        <w:t>2．投标人</w:t>
      </w:r>
      <w:r>
        <w:rPr>
          <w:rFonts w:hint="eastAsia" w:ascii="宋体" w:hAnsi="宋体" w:eastAsia="宋体" w:cs="Times New Roman"/>
          <w:color w:val="auto"/>
          <w:sz w:val="24"/>
          <w:szCs w:val="24"/>
        </w:rPr>
        <w:t>提供</w:t>
      </w:r>
      <w:r>
        <w:rPr>
          <w:rFonts w:hint="eastAsia" w:ascii="宋体" w:hAnsi="宋体" w:eastAsia="宋体" w:cs="Corbel"/>
          <w:color w:val="auto"/>
          <w:sz w:val="24"/>
          <w:szCs w:val="24"/>
        </w:rPr>
        <w:t>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rFonts w:ascii="宋体" w:hAnsi="宋体" w:eastAsia="宋体"/>
          <w:color w:val="auto"/>
        </w:rPr>
      </w:pPr>
      <w:r>
        <w:rPr>
          <w:color w:val="auto"/>
        </w:rPr>
        <w:br w:type="page"/>
      </w:r>
      <w:bookmarkStart w:id="250" w:name="_Toc494665967"/>
      <w:bookmarkStart w:id="251" w:name="_Toc494665017"/>
      <w:bookmarkStart w:id="252" w:name="_Toc494745334"/>
      <w:bookmarkStart w:id="253" w:name="_Toc494665570"/>
      <w:bookmarkStart w:id="254" w:name="_Toc494702287"/>
      <w:bookmarkStart w:id="255" w:name="_Toc494721117"/>
    </w:p>
    <w:p>
      <w:pPr>
        <w:pStyle w:val="3"/>
        <w:numPr>
          <w:ilvl w:val="0"/>
          <w:numId w:val="64"/>
        </w:numPr>
        <w:spacing w:before="100" w:beforeAutospacing="1" w:afterLines="50" w:line="360" w:lineRule="auto"/>
        <w:ind w:left="1610" w:hanging="1610"/>
        <w:rPr>
          <w:rFonts w:ascii="宋体" w:hAnsi="宋体" w:eastAsia="宋体"/>
          <w:color w:val="auto"/>
        </w:rPr>
      </w:pPr>
      <w:bookmarkStart w:id="256" w:name="_Toc31079"/>
      <w:r>
        <w:rPr>
          <w:rFonts w:hint="eastAsia" w:ascii="宋体" w:hAnsi="宋体" w:eastAsia="宋体"/>
          <w:color w:val="auto"/>
        </w:rPr>
        <w:t>商务要求“★”号条款响应、偏离说明表</w:t>
      </w:r>
      <w:bookmarkEnd w:id="250"/>
      <w:bookmarkEnd w:id="251"/>
      <w:bookmarkEnd w:id="252"/>
      <w:bookmarkEnd w:id="253"/>
      <w:bookmarkEnd w:id="254"/>
      <w:bookmarkEnd w:id="255"/>
      <w:bookmarkEnd w:id="256"/>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3"/>
        <w:numPr>
          <w:ilvl w:val="0"/>
          <w:numId w:val="64"/>
        </w:numPr>
        <w:spacing w:before="100" w:beforeAutospacing="1" w:afterLines="50" w:line="360" w:lineRule="auto"/>
        <w:ind w:left="1610" w:hanging="1610"/>
        <w:rPr>
          <w:rFonts w:ascii="宋体" w:hAnsi="宋体" w:eastAsia="宋体"/>
          <w:color w:val="auto"/>
        </w:rPr>
      </w:pPr>
      <w:bookmarkStart w:id="257" w:name="_Toc494665018"/>
      <w:bookmarkStart w:id="258" w:name="_Toc494665571"/>
      <w:bookmarkStart w:id="259" w:name="_Toc494721118"/>
      <w:bookmarkStart w:id="260" w:name="_Toc494745335"/>
      <w:bookmarkStart w:id="261" w:name="_Toc494665968"/>
      <w:bookmarkStart w:id="262" w:name="_Toc494702288"/>
      <w:bookmarkStart w:id="263" w:name="_Toc17998"/>
      <w:r>
        <w:rPr>
          <w:rFonts w:hint="eastAsia" w:ascii="宋体" w:hAnsi="宋体" w:eastAsia="宋体"/>
          <w:color w:val="auto"/>
        </w:rPr>
        <w:t>商务评议对照表</w:t>
      </w:r>
      <w:bookmarkEnd w:id="257"/>
      <w:bookmarkEnd w:id="258"/>
      <w:bookmarkEnd w:id="259"/>
      <w:bookmarkEnd w:id="260"/>
      <w:bookmarkEnd w:id="261"/>
      <w:bookmarkEnd w:id="262"/>
      <w:bookmarkEnd w:id="263"/>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9"/>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9"/>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9"/>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9"/>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661" w:type="dxa"/>
            <w:vAlign w:val="center"/>
          </w:tcPr>
          <w:p>
            <w:pPr>
              <w:numPr>
                <w:ilvl w:val="0"/>
                <w:numId w:val="69"/>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9"/>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3"/>
        <w:numPr>
          <w:ilvl w:val="0"/>
          <w:numId w:val="64"/>
        </w:numPr>
        <w:spacing w:before="100" w:beforeAutospacing="1" w:afterLines="50" w:line="360" w:lineRule="auto"/>
        <w:ind w:left="1610" w:hanging="1610"/>
        <w:rPr>
          <w:rFonts w:ascii="宋体" w:hAnsi="宋体" w:eastAsia="宋体"/>
          <w:color w:val="auto"/>
        </w:rPr>
      </w:pPr>
      <w:bookmarkStart w:id="264" w:name="_Toc494702289"/>
      <w:bookmarkStart w:id="265" w:name="_Toc494745336"/>
      <w:bookmarkStart w:id="266" w:name="_Toc494665572"/>
      <w:bookmarkStart w:id="267" w:name="_Toc494665969"/>
      <w:bookmarkStart w:id="268" w:name="_Toc494721119"/>
      <w:bookmarkStart w:id="269" w:name="_Toc494665019"/>
      <w:bookmarkStart w:id="270" w:name="_Toc10099"/>
      <w:r>
        <w:rPr>
          <w:rFonts w:hint="eastAsia" w:ascii="宋体" w:hAnsi="宋体" w:eastAsia="宋体"/>
          <w:color w:val="auto"/>
        </w:rPr>
        <w:t>技术、服务要求响应、偏离说明表</w:t>
      </w:r>
      <w:bookmarkEnd w:id="264"/>
      <w:bookmarkEnd w:id="265"/>
      <w:bookmarkEnd w:id="266"/>
      <w:bookmarkEnd w:id="267"/>
      <w:bookmarkEnd w:id="268"/>
      <w:bookmarkEnd w:id="269"/>
      <w:bookmarkEnd w:id="270"/>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Times New Roman"/>
          <w:color w:val="auto"/>
          <w:sz w:val="24"/>
          <w:szCs w:val="24"/>
        </w:rPr>
      </w:pPr>
      <w:r>
        <w:rPr>
          <w:rFonts w:hint="eastAsia" w:ascii="宋体" w:hAnsi="宋体" w:eastAsia="宋体" w:cs="Corbel"/>
          <w:color w:val="auto"/>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3"/>
        <w:numPr>
          <w:ilvl w:val="0"/>
          <w:numId w:val="64"/>
        </w:numPr>
        <w:spacing w:before="100" w:beforeAutospacing="1" w:afterLines="50" w:line="360" w:lineRule="auto"/>
        <w:ind w:left="1610" w:hanging="1610"/>
        <w:rPr>
          <w:rFonts w:ascii="宋体" w:hAnsi="宋体" w:eastAsia="宋体"/>
          <w:color w:val="auto"/>
        </w:rPr>
      </w:pPr>
      <w:bookmarkStart w:id="271" w:name="_Toc494745337"/>
      <w:bookmarkStart w:id="272" w:name="_Toc494665970"/>
      <w:bookmarkStart w:id="273" w:name="_Toc494702290"/>
      <w:bookmarkStart w:id="274" w:name="_Toc494665020"/>
      <w:bookmarkStart w:id="275" w:name="_Toc494665573"/>
      <w:bookmarkStart w:id="276" w:name="_Toc494721120"/>
      <w:bookmarkStart w:id="277" w:name="_Toc19244"/>
      <w:bookmarkStart w:id="278" w:name="_Toc329859066"/>
      <w:r>
        <w:rPr>
          <w:rFonts w:hint="eastAsia" w:ascii="宋体" w:hAnsi="宋体" w:eastAsia="宋体"/>
          <w:color w:val="auto"/>
        </w:rPr>
        <w:t>技术、服务要求“★”号条款响应、偏离说明表</w:t>
      </w:r>
      <w:bookmarkEnd w:id="271"/>
      <w:bookmarkEnd w:id="272"/>
      <w:bookmarkEnd w:id="273"/>
      <w:bookmarkEnd w:id="274"/>
      <w:bookmarkEnd w:id="275"/>
      <w:bookmarkEnd w:id="276"/>
      <w:bookmarkEnd w:id="277"/>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936" w:hanging="936" w:hangingChars="390"/>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说明：1．投标人应按招标文件第三章“项目技术、服务及商务要求”中技术、服务要求</w:t>
      </w:r>
      <w:r>
        <w:rPr>
          <w:rFonts w:hint="eastAsia" w:ascii="Times New Roman" w:hAnsi="宋体" w:eastAsia="宋体" w:cs="Times New Roman"/>
          <w:color w:val="auto"/>
          <w:sz w:val="24"/>
          <w:szCs w:val="24"/>
        </w:rPr>
        <w:t>“★”号</w:t>
      </w:r>
      <w:r>
        <w:rPr>
          <w:rFonts w:hint="eastAsia" w:ascii="宋体" w:hAnsi="宋体" w:eastAsia="宋体" w:cs="Corbel"/>
          <w:color w:val="auto"/>
          <w:sz w:val="24"/>
          <w:szCs w:val="24"/>
        </w:rPr>
        <w:t>条款进行逐项说明是否满足要求，如有偏离,投标人应详细说明。未按照要求填写此表或仅注明“符合”、“满足”的，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06" w:leftChars="306" w:hanging="364" w:hangingChars="152"/>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bookmarkEnd w:id="278"/>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3"/>
        <w:numPr>
          <w:ilvl w:val="0"/>
          <w:numId w:val="64"/>
        </w:numPr>
        <w:spacing w:before="100" w:beforeAutospacing="1" w:afterLines="50" w:line="360" w:lineRule="auto"/>
        <w:ind w:left="1610" w:hanging="1610"/>
        <w:rPr>
          <w:rFonts w:ascii="宋体" w:hAnsi="宋体" w:eastAsia="宋体"/>
          <w:color w:val="auto"/>
        </w:rPr>
      </w:pPr>
      <w:bookmarkStart w:id="279" w:name="_Toc494721121"/>
      <w:bookmarkStart w:id="280" w:name="_Toc494665971"/>
      <w:bookmarkStart w:id="281" w:name="_Toc494745338"/>
      <w:bookmarkStart w:id="282" w:name="_Toc494665021"/>
      <w:bookmarkStart w:id="283" w:name="_Toc494665574"/>
      <w:bookmarkStart w:id="284" w:name="_Toc494702291"/>
      <w:bookmarkStart w:id="285" w:name="_Toc28278"/>
      <w:r>
        <w:rPr>
          <w:rFonts w:hint="eastAsia" w:ascii="宋体" w:hAnsi="宋体" w:eastAsia="宋体"/>
          <w:color w:val="auto"/>
        </w:rPr>
        <w:t>技术、服务评议对照表</w:t>
      </w:r>
      <w:bookmarkEnd w:id="279"/>
      <w:bookmarkEnd w:id="280"/>
      <w:bookmarkEnd w:id="281"/>
      <w:bookmarkEnd w:id="282"/>
      <w:bookmarkEnd w:id="283"/>
      <w:bookmarkEnd w:id="284"/>
      <w:bookmarkEnd w:id="285"/>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983"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0"/>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0"/>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0"/>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0"/>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659" w:type="dxa"/>
            <w:vAlign w:val="center"/>
          </w:tcPr>
          <w:p>
            <w:pPr>
              <w:numPr>
                <w:ilvl w:val="0"/>
                <w:numId w:val="70"/>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0"/>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06" w:leftChars="306" w:hanging="364" w:hangingChars="152"/>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adjustRightInd w:val="0"/>
        <w:snapToGrid w:val="0"/>
        <w:spacing w:line="300" w:lineRule="auto"/>
        <w:ind w:left="720" w:hanging="720" w:hangingChars="300"/>
        <w:rPr>
          <w:rFonts w:ascii="宋体" w:hAnsi="宋体" w:eastAsia="宋体" w:cs="Corbel"/>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altName w:val="楷体_GB2312"/>
    <w:panose1 w:val="02010609060101010101"/>
    <w:charset w:val="86"/>
    <w:family w:val="modern"/>
    <w:pitch w:val="default"/>
    <w:sig w:usb0="00000000" w:usb1="00000000" w:usb2="00000016" w:usb3="00000000" w:csb0="00040001" w:csb1="00000000"/>
  </w:font>
  <w:font w:name="MS Gothic">
    <w:panose1 w:val="020B0609070205080204"/>
    <w:charset w:val="80"/>
    <w:family w:val="modern"/>
    <w:pitch w:val="default"/>
    <w:sig w:usb0="A00002BF" w:usb1="68C7FCFB" w:usb2="00000010" w:usb3="00000000" w:csb0="4002009F" w:csb1="DFD70000"/>
  </w:font>
  <w:font w:name="Corbel">
    <w:panose1 w:val="020B0503020204020204"/>
    <w:charset w:val="00"/>
    <w:family w:val="swiss"/>
    <w:pitch w:val="default"/>
    <w:sig w:usb0="A00002EF" w:usb1="40002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3"/>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72</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武汉富纳工程咨询有限公司制</w:t>
    </w:r>
  </w:p>
  <w:p>
    <w:pPr>
      <w:pStyle w:val="13"/>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76</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76</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000000" w:themeColor="text1" w:sz="0" w:space="1"/>
      </w:pBdr>
      <w:tabs>
        <w:tab w:val="clear" w:pos="4153"/>
      </w:tabs>
      <w:jc w:val="left"/>
      <w:rPr>
        <w:b/>
      </w:rPr>
    </w:pPr>
    <w:r>
      <w:rPr>
        <w:rFonts w:hint="eastAsia"/>
        <w:b/>
      </w:rPr>
      <w:t>项目名称：阳新县王龙港项目策划销售代理服务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D432C"/>
    <w:multiLevelType w:val="singleLevel"/>
    <w:tmpl w:val="840D432C"/>
    <w:lvl w:ilvl="0" w:tentative="0">
      <w:start w:val="1"/>
      <w:numFmt w:val="decimal"/>
      <w:suff w:val="nothing"/>
      <w:lvlText w:val="%1．"/>
      <w:lvlJc w:val="left"/>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1">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2DAF52F2"/>
    <w:multiLevelType w:val="multilevel"/>
    <w:tmpl w:val="2DAF52F2"/>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8">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1">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E169859"/>
    <w:multiLevelType w:val="singleLevel"/>
    <w:tmpl w:val="3E169859"/>
    <w:lvl w:ilvl="0" w:tentative="0">
      <w:start w:val="2"/>
      <w:numFmt w:val="decimal"/>
      <w:suff w:val="nothing"/>
      <w:lvlText w:val="（%1）"/>
      <w:lvlJc w:val="left"/>
    </w:lvl>
  </w:abstractNum>
  <w:abstractNum w:abstractNumId="38">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9">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0">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1">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4567563F"/>
    <w:multiLevelType w:val="multilevel"/>
    <w:tmpl w:val="4567563F"/>
    <w:lvl w:ilvl="0" w:tentative="0">
      <w:start w:val="1"/>
      <w:numFmt w:val="decimal"/>
      <w:lvlText w:val="17.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4">
    <w:nsid w:val="45948F2B"/>
    <w:multiLevelType w:val="singleLevel"/>
    <w:tmpl w:val="45948F2B"/>
    <w:lvl w:ilvl="0" w:tentative="0">
      <w:start w:val="1"/>
      <w:numFmt w:val="chineseCounting"/>
      <w:suff w:val="nothing"/>
      <w:lvlText w:val="%1、"/>
      <w:lvlJc w:val="left"/>
      <w:rPr>
        <w:rFonts w:hint="eastAsia"/>
      </w:rPr>
    </w:lvl>
  </w:abstractNum>
  <w:abstractNum w:abstractNumId="45">
    <w:nsid w:val="475A1545"/>
    <w:multiLevelType w:val="multilevel"/>
    <w:tmpl w:val="475A1545"/>
    <w:lvl w:ilvl="0" w:tentative="0">
      <w:start w:val="1"/>
      <w:numFmt w:val="decimal"/>
      <w:lvlText w:val="17.8.%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6">
    <w:nsid w:val="49C131F2"/>
    <w:multiLevelType w:val="multilevel"/>
    <w:tmpl w:val="49C131F2"/>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3">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4">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5">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6">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8">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4">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5">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8">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7"/>
  </w:num>
  <w:num w:numId="2">
    <w:abstractNumId w:val="31"/>
  </w:num>
  <w:num w:numId="3">
    <w:abstractNumId w:val="3"/>
  </w:num>
  <w:num w:numId="4">
    <w:abstractNumId w:val="41"/>
  </w:num>
  <w:num w:numId="5">
    <w:abstractNumId w:val="15"/>
  </w:num>
  <w:num w:numId="6">
    <w:abstractNumId w:val="6"/>
  </w:num>
  <w:num w:numId="7">
    <w:abstractNumId w:val="57"/>
  </w:num>
  <w:num w:numId="8">
    <w:abstractNumId w:val="34"/>
  </w:num>
  <w:num w:numId="9">
    <w:abstractNumId w:val="53"/>
  </w:num>
  <w:num w:numId="10">
    <w:abstractNumId w:val="30"/>
  </w:num>
  <w:num w:numId="11">
    <w:abstractNumId w:val="5"/>
  </w:num>
  <w:num w:numId="12">
    <w:abstractNumId w:val="22"/>
  </w:num>
  <w:num w:numId="13">
    <w:abstractNumId w:val="23"/>
  </w:num>
  <w:num w:numId="14">
    <w:abstractNumId w:val="10"/>
  </w:num>
  <w:num w:numId="15">
    <w:abstractNumId w:val="9"/>
  </w:num>
  <w:num w:numId="16">
    <w:abstractNumId w:val="65"/>
  </w:num>
  <w:num w:numId="17">
    <w:abstractNumId w:val="46"/>
  </w:num>
  <w:num w:numId="18">
    <w:abstractNumId w:val="43"/>
  </w:num>
  <w:num w:numId="19">
    <w:abstractNumId w:val="45"/>
  </w:num>
  <w:num w:numId="20">
    <w:abstractNumId w:val="11"/>
  </w:num>
  <w:num w:numId="21">
    <w:abstractNumId w:val="29"/>
  </w:num>
  <w:num w:numId="22">
    <w:abstractNumId w:val="36"/>
  </w:num>
  <w:num w:numId="23">
    <w:abstractNumId w:val="40"/>
  </w:num>
  <w:num w:numId="24">
    <w:abstractNumId w:val="68"/>
  </w:num>
  <w:num w:numId="25">
    <w:abstractNumId w:val="50"/>
  </w:num>
  <w:num w:numId="26">
    <w:abstractNumId w:val="61"/>
  </w:num>
  <w:num w:numId="27">
    <w:abstractNumId w:val="66"/>
  </w:num>
  <w:num w:numId="28">
    <w:abstractNumId w:val="49"/>
  </w:num>
  <w:num w:numId="29">
    <w:abstractNumId w:val="8"/>
  </w:num>
  <w:num w:numId="30">
    <w:abstractNumId w:val="19"/>
  </w:num>
  <w:num w:numId="31">
    <w:abstractNumId w:val="62"/>
  </w:num>
  <w:num w:numId="32">
    <w:abstractNumId w:val="58"/>
  </w:num>
  <w:num w:numId="33">
    <w:abstractNumId w:val="39"/>
  </w:num>
  <w:num w:numId="34">
    <w:abstractNumId w:val="56"/>
  </w:num>
  <w:num w:numId="35">
    <w:abstractNumId w:val="24"/>
  </w:num>
  <w:num w:numId="36">
    <w:abstractNumId w:val="59"/>
  </w:num>
  <w:num w:numId="37">
    <w:abstractNumId w:val="2"/>
  </w:num>
  <w:num w:numId="38">
    <w:abstractNumId w:val="32"/>
  </w:num>
  <w:num w:numId="39">
    <w:abstractNumId w:val="7"/>
  </w:num>
  <w:num w:numId="40">
    <w:abstractNumId w:val="27"/>
  </w:num>
  <w:num w:numId="41">
    <w:abstractNumId w:val="51"/>
  </w:num>
  <w:num w:numId="42">
    <w:abstractNumId w:val="26"/>
  </w:num>
  <w:num w:numId="43">
    <w:abstractNumId w:val="48"/>
  </w:num>
  <w:num w:numId="44">
    <w:abstractNumId w:val="33"/>
  </w:num>
  <w:num w:numId="45">
    <w:abstractNumId w:val="42"/>
  </w:num>
  <w:num w:numId="46">
    <w:abstractNumId w:val="35"/>
  </w:num>
  <w:num w:numId="47">
    <w:abstractNumId w:val="17"/>
  </w:num>
  <w:num w:numId="48">
    <w:abstractNumId w:val="55"/>
  </w:num>
  <w:num w:numId="49">
    <w:abstractNumId w:val="69"/>
  </w:num>
  <w:num w:numId="50">
    <w:abstractNumId w:val="18"/>
  </w:num>
  <w:num w:numId="51">
    <w:abstractNumId w:val="16"/>
  </w:num>
  <w:num w:numId="52">
    <w:abstractNumId w:val="1"/>
  </w:num>
  <w:num w:numId="53">
    <w:abstractNumId w:val="54"/>
    <w:lvlOverride w:ilvl="0">
      <w:startOverride w:val="1"/>
    </w:lvlOverride>
  </w:num>
  <w:num w:numId="54">
    <w:abstractNumId w:val="13"/>
  </w:num>
  <w:num w:numId="55">
    <w:abstractNumId w:val="25"/>
  </w:num>
  <w:num w:numId="56">
    <w:abstractNumId w:val="67"/>
  </w:num>
  <w:num w:numId="57">
    <w:abstractNumId w:val="52"/>
  </w:num>
  <w:num w:numId="58">
    <w:abstractNumId w:val="44"/>
  </w:num>
  <w:num w:numId="59">
    <w:abstractNumId w:val="37"/>
  </w:num>
  <w:num w:numId="60">
    <w:abstractNumId w:val="21"/>
  </w:num>
  <w:num w:numId="61">
    <w:abstractNumId w:val="63"/>
  </w:num>
  <w:num w:numId="62">
    <w:abstractNumId w:val="38"/>
  </w:num>
  <w:num w:numId="63">
    <w:abstractNumId w:val="64"/>
  </w:num>
  <w:num w:numId="64">
    <w:abstractNumId w:val="12"/>
  </w:num>
  <w:num w:numId="65">
    <w:abstractNumId w:val="0"/>
  </w:num>
  <w:num w:numId="66">
    <w:abstractNumId w:val="60"/>
  </w:num>
  <w:num w:numId="67">
    <w:abstractNumId w:val="20"/>
  </w:num>
  <w:num w:numId="68">
    <w:abstractNumId w:val="4"/>
  </w:num>
  <w:num w:numId="69">
    <w:abstractNumId w:val="14"/>
  </w:num>
  <w:num w:numId="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5415"/>
    <w:rsid w:val="00002E95"/>
    <w:rsid w:val="00016562"/>
    <w:rsid w:val="00017BE8"/>
    <w:rsid w:val="00020344"/>
    <w:rsid w:val="00021C0F"/>
    <w:rsid w:val="000254ED"/>
    <w:rsid w:val="00026775"/>
    <w:rsid w:val="00031AA6"/>
    <w:rsid w:val="00032FD5"/>
    <w:rsid w:val="0003405D"/>
    <w:rsid w:val="00040B72"/>
    <w:rsid w:val="00046CAA"/>
    <w:rsid w:val="00050B48"/>
    <w:rsid w:val="00052043"/>
    <w:rsid w:val="00052335"/>
    <w:rsid w:val="000617FF"/>
    <w:rsid w:val="000658A4"/>
    <w:rsid w:val="00066A72"/>
    <w:rsid w:val="000714D0"/>
    <w:rsid w:val="00075213"/>
    <w:rsid w:val="00077E85"/>
    <w:rsid w:val="000812D6"/>
    <w:rsid w:val="00081EFC"/>
    <w:rsid w:val="00084571"/>
    <w:rsid w:val="000855FE"/>
    <w:rsid w:val="00086F2A"/>
    <w:rsid w:val="00092450"/>
    <w:rsid w:val="00095415"/>
    <w:rsid w:val="000955C5"/>
    <w:rsid w:val="000A15E3"/>
    <w:rsid w:val="000A7255"/>
    <w:rsid w:val="000A7FFD"/>
    <w:rsid w:val="000B1EA5"/>
    <w:rsid w:val="000B3053"/>
    <w:rsid w:val="000B42CE"/>
    <w:rsid w:val="000B4B13"/>
    <w:rsid w:val="000B695F"/>
    <w:rsid w:val="000C1DBB"/>
    <w:rsid w:val="000C2224"/>
    <w:rsid w:val="000C26A7"/>
    <w:rsid w:val="000C46E9"/>
    <w:rsid w:val="000D274B"/>
    <w:rsid w:val="000E00D0"/>
    <w:rsid w:val="000E0271"/>
    <w:rsid w:val="000E36E2"/>
    <w:rsid w:val="000E4686"/>
    <w:rsid w:val="000E6D7E"/>
    <w:rsid w:val="000F14BA"/>
    <w:rsid w:val="000F64E0"/>
    <w:rsid w:val="00100585"/>
    <w:rsid w:val="00105BC5"/>
    <w:rsid w:val="0010781B"/>
    <w:rsid w:val="00116564"/>
    <w:rsid w:val="00122C84"/>
    <w:rsid w:val="001259CC"/>
    <w:rsid w:val="00125AB4"/>
    <w:rsid w:val="00133220"/>
    <w:rsid w:val="001338E8"/>
    <w:rsid w:val="00156561"/>
    <w:rsid w:val="00161C85"/>
    <w:rsid w:val="00162A4F"/>
    <w:rsid w:val="001641C9"/>
    <w:rsid w:val="00177C62"/>
    <w:rsid w:val="00183383"/>
    <w:rsid w:val="00185E9A"/>
    <w:rsid w:val="0019225C"/>
    <w:rsid w:val="001A0AB1"/>
    <w:rsid w:val="001A1335"/>
    <w:rsid w:val="001A2B2A"/>
    <w:rsid w:val="001A54E8"/>
    <w:rsid w:val="001B03BB"/>
    <w:rsid w:val="001B215E"/>
    <w:rsid w:val="001B38CD"/>
    <w:rsid w:val="001B785A"/>
    <w:rsid w:val="001C08CD"/>
    <w:rsid w:val="001C7B23"/>
    <w:rsid w:val="001D21E0"/>
    <w:rsid w:val="001D2460"/>
    <w:rsid w:val="001D3EE7"/>
    <w:rsid w:val="001D5838"/>
    <w:rsid w:val="001D7598"/>
    <w:rsid w:val="001E157C"/>
    <w:rsid w:val="001E5D69"/>
    <w:rsid w:val="001E7CEA"/>
    <w:rsid w:val="001F002C"/>
    <w:rsid w:val="00220470"/>
    <w:rsid w:val="00220E09"/>
    <w:rsid w:val="00222B0D"/>
    <w:rsid w:val="00223408"/>
    <w:rsid w:val="00224D8E"/>
    <w:rsid w:val="00225534"/>
    <w:rsid w:val="002334D5"/>
    <w:rsid w:val="00236772"/>
    <w:rsid w:val="002426EA"/>
    <w:rsid w:val="002446C6"/>
    <w:rsid w:val="0025443B"/>
    <w:rsid w:val="0026033C"/>
    <w:rsid w:val="00262673"/>
    <w:rsid w:val="0026342E"/>
    <w:rsid w:val="0027390B"/>
    <w:rsid w:val="00275A17"/>
    <w:rsid w:val="00276CFD"/>
    <w:rsid w:val="00277541"/>
    <w:rsid w:val="00293211"/>
    <w:rsid w:val="00295F64"/>
    <w:rsid w:val="002A4FA3"/>
    <w:rsid w:val="002B4B7D"/>
    <w:rsid w:val="002B5397"/>
    <w:rsid w:val="002B7581"/>
    <w:rsid w:val="002C38E4"/>
    <w:rsid w:val="002C7FA6"/>
    <w:rsid w:val="002D02DD"/>
    <w:rsid w:val="002D07BB"/>
    <w:rsid w:val="002D412B"/>
    <w:rsid w:val="002D51AC"/>
    <w:rsid w:val="002D6763"/>
    <w:rsid w:val="002E637A"/>
    <w:rsid w:val="002F3D16"/>
    <w:rsid w:val="002F3D56"/>
    <w:rsid w:val="002F6E1D"/>
    <w:rsid w:val="00310B7E"/>
    <w:rsid w:val="00310F98"/>
    <w:rsid w:val="00314B08"/>
    <w:rsid w:val="00315DEA"/>
    <w:rsid w:val="00316026"/>
    <w:rsid w:val="00320ACF"/>
    <w:rsid w:val="00323F1C"/>
    <w:rsid w:val="00333225"/>
    <w:rsid w:val="0033323B"/>
    <w:rsid w:val="00344E95"/>
    <w:rsid w:val="00352AE1"/>
    <w:rsid w:val="00353542"/>
    <w:rsid w:val="003540BC"/>
    <w:rsid w:val="0035551A"/>
    <w:rsid w:val="00357998"/>
    <w:rsid w:val="00360712"/>
    <w:rsid w:val="0036309F"/>
    <w:rsid w:val="0036474B"/>
    <w:rsid w:val="00364CE9"/>
    <w:rsid w:val="003661C8"/>
    <w:rsid w:val="003667C1"/>
    <w:rsid w:val="00366E30"/>
    <w:rsid w:val="00370D03"/>
    <w:rsid w:val="00377B5F"/>
    <w:rsid w:val="00380351"/>
    <w:rsid w:val="00383221"/>
    <w:rsid w:val="00386A49"/>
    <w:rsid w:val="00393BE4"/>
    <w:rsid w:val="00393E94"/>
    <w:rsid w:val="00395608"/>
    <w:rsid w:val="00395A8C"/>
    <w:rsid w:val="003A1634"/>
    <w:rsid w:val="003B0D5A"/>
    <w:rsid w:val="003B176B"/>
    <w:rsid w:val="003B4F8E"/>
    <w:rsid w:val="003B718F"/>
    <w:rsid w:val="003B7826"/>
    <w:rsid w:val="003B7A0D"/>
    <w:rsid w:val="003C2008"/>
    <w:rsid w:val="003C2241"/>
    <w:rsid w:val="003C6083"/>
    <w:rsid w:val="003C7B81"/>
    <w:rsid w:val="003D090A"/>
    <w:rsid w:val="003D1759"/>
    <w:rsid w:val="003D2AC4"/>
    <w:rsid w:val="003D5E80"/>
    <w:rsid w:val="003E1CB8"/>
    <w:rsid w:val="003E4EC5"/>
    <w:rsid w:val="003F2B92"/>
    <w:rsid w:val="003F3007"/>
    <w:rsid w:val="0040329E"/>
    <w:rsid w:val="0040679C"/>
    <w:rsid w:val="00406BC4"/>
    <w:rsid w:val="004110F8"/>
    <w:rsid w:val="00414A80"/>
    <w:rsid w:val="004161BA"/>
    <w:rsid w:val="00417820"/>
    <w:rsid w:val="00421E21"/>
    <w:rsid w:val="00425487"/>
    <w:rsid w:val="004349F3"/>
    <w:rsid w:val="0043503C"/>
    <w:rsid w:val="00436CC2"/>
    <w:rsid w:val="0044287A"/>
    <w:rsid w:val="004475F1"/>
    <w:rsid w:val="00457308"/>
    <w:rsid w:val="004605F3"/>
    <w:rsid w:val="00461CD8"/>
    <w:rsid w:val="00461DFE"/>
    <w:rsid w:val="00476E59"/>
    <w:rsid w:val="004871A8"/>
    <w:rsid w:val="00494380"/>
    <w:rsid w:val="004A2F6B"/>
    <w:rsid w:val="004A4F81"/>
    <w:rsid w:val="004A660D"/>
    <w:rsid w:val="004B0CC2"/>
    <w:rsid w:val="004B118F"/>
    <w:rsid w:val="004B4385"/>
    <w:rsid w:val="004B4BED"/>
    <w:rsid w:val="004C1027"/>
    <w:rsid w:val="004C62F7"/>
    <w:rsid w:val="004C750B"/>
    <w:rsid w:val="004D1EEE"/>
    <w:rsid w:val="004D49CB"/>
    <w:rsid w:val="004D548F"/>
    <w:rsid w:val="004E00F2"/>
    <w:rsid w:val="004E40B4"/>
    <w:rsid w:val="004E48AF"/>
    <w:rsid w:val="004E5A44"/>
    <w:rsid w:val="004E6483"/>
    <w:rsid w:val="004F21F4"/>
    <w:rsid w:val="004F43AD"/>
    <w:rsid w:val="005025B6"/>
    <w:rsid w:val="00502EAD"/>
    <w:rsid w:val="00506DDC"/>
    <w:rsid w:val="00511E96"/>
    <w:rsid w:val="005130B9"/>
    <w:rsid w:val="0051321C"/>
    <w:rsid w:val="00522A02"/>
    <w:rsid w:val="00522D80"/>
    <w:rsid w:val="00525A93"/>
    <w:rsid w:val="00541163"/>
    <w:rsid w:val="005413FF"/>
    <w:rsid w:val="005437D7"/>
    <w:rsid w:val="005445A9"/>
    <w:rsid w:val="00545B0F"/>
    <w:rsid w:val="00545EDA"/>
    <w:rsid w:val="00552BFE"/>
    <w:rsid w:val="00556850"/>
    <w:rsid w:val="00560FA5"/>
    <w:rsid w:val="00562BD4"/>
    <w:rsid w:val="00566AC4"/>
    <w:rsid w:val="00572AB0"/>
    <w:rsid w:val="00573437"/>
    <w:rsid w:val="0057573F"/>
    <w:rsid w:val="005761D0"/>
    <w:rsid w:val="0057644C"/>
    <w:rsid w:val="00580FFF"/>
    <w:rsid w:val="0058110A"/>
    <w:rsid w:val="005813AA"/>
    <w:rsid w:val="0058186D"/>
    <w:rsid w:val="005967BA"/>
    <w:rsid w:val="005A209B"/>
    <w:rsid w:val="005A58A0"/>
    <w:rsid w:val="005A7D3E"/>
    <w:rsid w:val="005B12FC"/>
    <w:rsid w:val="005B6D3E"/>
    <w:rsid w:val="005B713A"/>
    <w:rsid w:val="005C31D8"/>
    <w:rsid w:val="005D6632"/>
    <w:rsid w:val="005D6D24"/>
    <w:rsid w:val="005D7359"/>
    <w:rsid w:val="005E1521"/>
    <w:rsid w:val="005E3CD4"/>
    <w:rsid w:val="005F1588"/>
    <w:rsid w:val="005F2449"/>
    <w:rsid w:val="005F2B8B"/>
    <w:rsid w:val="005F30B4"/>
    <w:rsid w:val="005F31A9"/>
    <w:rsid w:val="005F4BD4"/>
    <w:rsid w:val="005F7949"/>
    <w:rsid w:val="00601112"/>
    <w:rsid w:val="00601990"/>
    <w:rsid w:val="00605C0D"/>
    <w:rsid w:val="0061528F"/>
    <w:rsid w:val="00623CBB"/>
    <w:rsid w:val="006263C6"/>
    <w:rsid w:val="006302AC"/>
    <w:rsid w:val="00630B34"/>
    <w:rsid w:val="00632C11"/>
    <w:rsid w:val="006440C5"/>
    <w:rsid w:val="00651541"/>
    <w:rsid w:val="00652F08"/>
    <w:rsid w:val="00655314"/>
    <w:rsid w:val="00656F4A"/>
    <w:rsid w:val="006620FA"/>
    <w:rsid w:val="00663B35"/>
    <w:rsid w:val="006641CB"/>
    <w:rsid w:val="00666B23"/>
    <w:rsid w:val="00674132"/>
    <w:rsid w:val="0067786F"/>
    <w:rsid w:val="00680A96"/>
    <w:rsid w:val="00682652"/>
    <w:rsid w:val="00685713"/>
    <w:rsid w:val="00690659"/>
    <w:rsid w:val="006A5069"/>
    <w:rsid w:val="006A6C1D"/>
    <w:rsid w:val="006A6C51"/>
    <w:rsid w:val="006A7A3D"/>
    <w:rsid w:val="006B0B84"/>
    <w:rsid w:val="006C0B5F"/>
    <w:rsid w:val="006C0B7B"/>
    <w:rsid w:val="006C1AF1"/>
    <w:rsid w:val="006C6FDC"/>
    <w:rsid w:val="006C7037"/>
    <w:rsid w:val="006D1D6E"/>
    <w:rsid w:val="006E2B8F"/>
    <w:rsid w:val="006F0D07"/>
    <w:rsid w:val="006F5BC7"/>
    <w:rsid w:val="00701012"/>
    <w:rsid w:val="00715E44"/>
    <w:rsid w:val="00720747"/>
    <w:rsid w:val="00722075"/>
    <w:rsid w:val="00722AAC"/>
    <w:rsid w:val="00722F57"/>
    <w:rsid w:val="00723103"/>
    <w:rsid w:val="00725899"/>
    <w:rsid w:val="00725F67"/>
    <w:rsid w:val="007308BA"/>
    <w:rsid w:val="00730CB6"/>
    <w:rsid w:val="007318D6"/>
    <w:rsid w:val="00732E91"/>
    <w:rsid w:val="00737211"/>
    <w:rsid w:val="00767F44"/>
    <w:rsid w:val="0077270B"/>
    <w:rsid w:val="00773A2C"/>
    <w:rsid w:val="00774EB7"/>
    <w:rsid w:val="00775A96"/>
    <w:rsid w:val="00780DBA"/>
    <w:rsid w:val="00781943"/>
    <w:rsid w:val="00782541"/>
    <w:rsid w:val="00784AEB"/>
    <w:rsid w:val="00784ED7"/>
    <w:rsid w:val="00786E84"/>
    <w:rsid w:val="007916F7"/>
    <w:rsid w:val="007917A2"/>
    <w:rsid w:val="00792A26"/>
    <w:rsid w:val="00793CB2"/>
    <w:rsid w:val="007A27DA"/>
    <w:rsid w:val="007A2D91"/>
    <w:rsid w:val="007A427D"/>
    <w:rsid w:val="007A6B1E"/>
    <w:rsid w:val="007A6F5F"/>
    <w:rsid w:val="007A78B2"/>
    <w:rsid w:val="007B24C4"/>
    <w:rsid w:val="007B5393"/>
    <w:rsid w:val="007B6141"/>
    <w:rsid w:val="007C0DA7"/>
    <w:rsid w:val="007C132C"/>
    <w:rsid w:val="007C1D03"/>
    <w:rsid w:val="007C4F14"/>
    <w:rsid w:val="007C6E5E"/>
    <w:rsid w:val="007D053D"/>
    <w:rsid w:val="007D440A"/>
    <w:rsid w:val="007D72CF"/>
    <w:rsid w:val="007E3D3C"/>
    <w:rsid w:val="007E3EFD"/>
    <w:rsid w:val="007F1A8B"/>
    <w:rsid w:val="007F504A"/>
    <w:rsid w:val="007F6863"/>
    <w:rsid w:val="007F6F97"/>
    <w:rsid w:val="00802536"/>
    <w:rsid w:val="00804419"/>
    <w:rsid w:val="00810E69"/>
    <w:rsid w:val="0081114F"/>
    <w:rsid w:val="00816910"/>
    <w:rsid w:val="00816AE2"/>
    <w:rsid w:val="00820E08"/>
    <w:rsid w:val="008226B4"/>
    <w:rsid w:val="0082486D"/>
    <w:rsid w:val="008456E3"/>
    <w:rsid w:val="00863EDD"/>
    <w:rsid w:val="00873259"/>
    <w:rsid w:val="00874267"/>
    <w:rsid w:val="00876E59"/>
    <w:rsid w:val="00877211"/>
    <w:rsid w:val="0088473F"/>
    <w:rsid w:val="0088586B"/>
    <w:rsid w:val="00886A46"/>
    <w:rsid w:val="008879F9"/>
    <w:rsid w:val="00891868"/>
    <w:rsid w:val="008966BE"/>
    <w:rsid w:val="008A1AF7"/>
    <w:rsid w:val="008A30BA"/>
    <w:rsid w:val="008A6CD8"/>
    <w:rsid w:val="008B1A1F"/>
    <w:rsid w:val="008B4F32"/>
    <w:rsid w:val="008B5601"/>
    <w:rsid w:val="008B6529"/>
    <w:rsid w:val="008C3F7A"/>
    <w:rsid w:val="008D2370"/>
    <w:rsid w:val="008D35F1"/>
    <w:rsid w:val="008D3612"/>
    <w:rsid w:val="008D5777"/>
    <w:rsid w:val="008D7D59"/>
    <w:rsid w:val="008E2203"/>
    <w:rsid w:val="008F1B81"/>
    <w:rsid w:val="008F3383"/>
    <w:rsid w:val="00901279"/>
    <w:rsid w:val="00901362"/>
    <w:rsid w:val="009020C7"/>
    <w:rsid w:val="0090240A"/>
    <w:rsid w:val="00903A2D"/>
    <w:rsid w:val="00907388"/>
    <w:rsid w:val="00914F14"/>
    <w:rsid w:val="009200B1"/>
    <w:rsid w:val="00933750"/>
    <w:rsid w:val="00935E05"/>
    <w:rsid w:val="0093723A"/>
    <w:rsid w:val="009402E6"/>
    <w:rsid w:val="00943F98"/>
    <w:rsid w:val="00947542"/>
    <w:rsid w:val="00947AAD"/>
    <w:rsid w:val="00952E42"/>
    <w:rsid w:val="00954A2F"/>
    <w:rsid w:val="00956AAC"/>
    <w:rsid w:val="0096138B"/>
    <w:rsid w:val="00964EB5"/>
    <w:rsid w:val="0096639D"/>
    <w:rsid w:val="00967D22"/>
    <w:rsid w:val="0097080D"/>
    <w:rsid w:val="009714FE"/>
    <w:rsid w:val="00973398"/>
    <w:rsid w:val="00973E87"/>
    <w:rsid w:val="00982AD3"/>
    <w:rsid w:val="00983958"/>
    <w:rsid w:val="009849C0"/>
    <w:rsid w:val="0098774A"/>
    <w:rsid w:val="009944A9"/>
    <w:rsid w:val="009945BC"/>
    <w:rsid w:val="00995ACC"/>
    <w:rsid w:val="00996DEE"/>
    <w:rsid w:val="0099779F"/>
    <w:rsid w:val="009A534A"/>
    <w:rsid w:val="009A6E28"/>
    <w:rsid w:val="009A7D37"/>
    <w:rsid w:val="009B11C0"/>
    <w:rsid w:val="009B3048"/>
    <w:rsid w:val="009B3424"/>
    <w:rsid w:val="009B44B7"/>
    <w:rsid w:val="009B45A9"/>
    <w:rsid w:val="009B5F5D"/>
    <w:rsid w:val="009B6DC6"/>
    <w:rsid w:val="009D36C0"/>
    <w:rsid w:val="009D496D"/>
    <w:rsid w:val="009D5647"/>
    <w:rsid w:val="009E04AF"/>
    <w:rsid w:val="009E0ECF"/>
    <w:rsid w:val="009F0A1F"/>
    <w:rsid w:val="009F3858"/>
    <w:rsid w:val="009F522E"/>
    <w:rsid w:val="009F6870"/>
    <w:rsid w:val="00A00810"/>
    <w:rsid w:val="00A05AF5"/>
    <w:rsid w:val="00A0777C"/>
    <w:rsid w:val="00A24198"/>
    <w:rsid w:val="00A30AE5"/>
    <w:rsid w:val="00A30DFD"/>
    <w:rsid w:val="00A325E4"/>
    <w:rsid w:val="00A33A80"/>
    <w:rsid w:val="00A3568F"/>
    <w:rsid w:val="00A36FFA"/>
    <w:rsid w:val="00A40BC9"/>
    <w:rsid w:val="00A46DEF"/>
    <w:rsid w:val="00A51D8F"/>
    <w:rsid w:val="00A52326"/>
    <w:rsid w:val="00A52A2B"/>
    <w:rsid w:val="00A62860"/>
    <w:rsid w:val="00A6435A"/>
    <w:rsid w:val="00A66C3E"/>
    <w:rsid w:val="00A678FB"/>
    <w:rsid w:val="00A67948"/>
    <w:rsid w:val="00A70BA1"/>
    <w:rsid w:val="00A813D2"/>
    <w:rsid w:val="00A81616"/>
    <w:rsid w:val="00A879DB"/>
    <w:rsid w:val="00AA0867"/>
    <w:rsid w:val="00AA5C5D"/>
    <w:rsid w:val="00AA5C66"/>
    <w:rsid w:val="00AB2B17"/>
    <w:rsid w:val="00AB3343"/>
    <w:rsid w:val="00AC399F"/>
    <w:rsid w:val="00AC584B"/>
    <w:rsid w:val="00AD03BF"/>
    <w:rsid w:val="00AD18FC"/>
    <w:rsid w:val="00AD338C"/>
    <w:rsid w:val="00AD52A3"/>
    <w:rsid w:val="00AD634F"/>
    <w:rsid w:val="00AE02A5"/>
    <w:rsid w:val="00AF18BF"/>
    <w:rsid w:val="00B002B6"/>
    <w:rsid w:val="00B0070A"/>
    <w:rsid w:val="00B03B10"/>
    <w:rsid w:val="00B04237"/>
    <w:rsid w:val="00B161F2"/>
    <w:rsid w:val="00B16C8C"/>
    <w:rsid w:val="00B20FD9"/>
    <w:rsid w:val="00B36D9B"/>
    <w:rsid w:val="00B52520"/>
    <w:rsid w:val="00B5643F"/>
    <w:rsid w:val="00B5682D"/>
    <w:rsid w:val="00B6583F"/>
    <w:rsid w:val="00B67CCB"/>
    <w:rsid w:val="00B73233"/>
    <w:rsid w:val="00B81E1B"/>
    <w:rsid w:val="00B82783"/>
    <w:rsid w:val="00B84A3B"/>
    <w:rsid w:val="00B956F2"/>
    <w:rsid w:val="00BA438A"/>
    <w:rsid w:val="00BA4681"/>
    <w:rsid w:val="00BB27FF"/>
    <w:rsid w:val="00BB6F18"/>
    <w:rsid w:val="00BB78CC"/>
    <w:rsid w:val="00BC386C"/>
    <w:rsid w:val="00BC3AA1"/>
    <w:rsid w:val="00BC55B9"/>
    <w:rsid w:val="00BD0C54"/>
    <w:rsid w:val="00BD2144"/>
    <w:rsid w:val="00BD62C1"/>
    <w:rsid w:val="00BD681B"/>
    <w:rsid w:val="00BE3563"/>
    <w:rsid w:val="00BF5732"/>
    <w:rsid w:val="00C0257A"/>
    <w:rsid w:val="00C040D1"/>
    <w:rsid w:val="00C04566"/>
    <w:rsid w:val="00C10AB9"/>
    <w:rsid w:val="00C139A6"/>
    <w:rsid w:val="00C1592E"/>
    <w:rsid w:val="00C37FEA"/>
    <w:rsid w:val="00C4038F"/>
    <w:rsid w:val="00C41AFC"/>
    <w:rsid w:val="00C469B0"/>
    <w:rsid w:val="00C51BB3"/>
    <w:rsid w:val="00C52140"/>
    <w:rsid w:val="00C579A4"/>
    <w:rsid w:val="00C634A1"/>
    <w:rsid w:val="00C64D3E"/>
    <w:rsid w:val="00C6643D"/>
    <w:rsid w:val="00C6680F"/>
    <w:rsid w:val="00C66ACC"/>
    <w:rsid w:val="00C71832"/>
    <w:rsid w:val="00C72415"/>
    <w:rsid w:val="00C76EE7"/>
    <w:rsid w:val="00C77E82"/>
    <w:rsid w:val="00C84529"/>
    <w:rsid w:val="00C8468C"/>
    <w:rsid w:val="00C9289E"/>
    <w:rsid w:val="00C92F51"/>
    <w:rsid w:val="00C93D1B"/>
    <w:rsid w:val="00C93ED0"/>
    <w:rsid w:val="00C95418"/>
    <w:rsid w:val="00CA0EE5"/>
    <w:rsid w:val="00CA0F95"/>
    <w:rsid w:val="00CA1D73"/>
    <w:rsid w:val="00CA6FF1"/>
    <w:rsid w:val="00CB10F9"/>
    <w:rsid w:val="00CB3DF8"/>
    <w:rsid w:val="00CB413B"/>
    <w:rsid w:val="00CB53FF"/>
    <w:rsid w:val="00CC092B"/>
    <w:rsid w:val="00CD44F1"/>
    <w:rsid w:val="00CE2AAD"/>
    <w:rsid w:val="00CE78E2"/>
    <w:rsid w:val="00CF76A5"/>
    <w:rsid w:val="00D00129"/>
    <w:rsid w:val="00D0131F"/>
    <w:rsid w:val="00D02837"/>
    <w:rsid w:val="00D0398B"/>
    <w:rsid w:val="00D04FDD"/>
    <w:rsid w:val="00D11769"/>
    <w:rsid w:val="00D123DC"/>
    <w:rsid w:val="00D14987"/>
    <w:rsid w:val="00D14E3A"/>
    <w:rsid w:val="00D204F5"/>
    <w:rsid w:val="00D24CA2"/>
    <w:rsid w:val="00D32F66"/>
    <w:rsid w:val="00D40D7F"/>
    <w:rsid w:val="00D44A40"/>
    <w:rsid w:val="00D5042D"/>
    <w:rsid w:val="00D64AB9"/>
    <w:rsid w:val="00D7177A"/>
    <w:rsid w:val="00D90694"/>
    <w:rsid w:val="00D9318A"/>
    <w:rsid w:val="00D94CD4"/>
    <w:rsid w:val="00DA4143"/>
    <w:rsid w:val="00DB00B6"/>
    <w:rsid w:val="00DB3C8A"/>
    <w:rsid w:val="00DB5466"/>
    <w:rsid w:val="00DB6F5B"/>
    <w:rsid w:val="00DC4938"/>
    <w:rsid w:val="00DD6657"/>
    <w:rsid w:val="00DE24A5"/>
    <w:rsid w:val="00DE4A9E"/>
    <w:rsid w:val="00E02B75"/>
    <w:rsid w:val="00E05B42"/>
    <w:rsid w:val="00E0726C"/>
    <w:rsid w:val="00E14D3C"/>
    <w:rsid w:val="00E15A50"/>
    <w:rsid w:val="00E22388"/>
    <w:rsid w:val="00E2369D"/>
    <w:rsid w:val="00E258CD"/>
    <w:rsid w:val="00E32C21"/>
    <w:rsid w:val="00E34D2C"/>
    <w:rsid w:val="00E3763E"/>
    <w:rsid w:val="00E41743"/>
    <w:rsid w:val="00E4316C"/>
    <w:rsid w:val="00E46441"/>
    <w:rsid w:val="00E54453"/>
    <w:rsid w:val="00E54FFA"/>
    <w:rsid w:val="00E71EB0"/>
    <w:rsid w:val="00E73CD1"/>
    <w:rsid w:val="00E80AF7"/>
    <w:rsid w:val="00E9477B"/>
    <w:rsid w:val="00E9571D"/>
    <w:rsid w:val="00E971BC"/>
    <w:rsid w:val="00EA0C6D"/>
    <w:rsid w:val="00EA6699"/>
    <w:rsid w:val="00EA75A5"/>
    <w:rsid w:val="00EB1E3A"/>
    <w:rsid w:val="00EB4033"/>
    <w:rsid w:val="00EB73C3"/>
    <w:rsid w:val="00EC2D57"/>
    <w:rsid w:val="00ED0545"/>
    <w:rsid w:val="00EE3C83"/>
    <w:rsid w:val="00EE715C"/>
    <w:rsid w:val="00EF6CB8"/>
    <w:rsid w:val="00F04B4C"/>
    <w:rsid w:val="00F05FC4"/>
    <w:rsid w:val="00F152FA"/>
    <w:rsid w:val="00F15579"/>
    <w:rsid w:val="00F17360"/>
    <w:rsid w:val="00F23D05"/>
    <w:rsid w:val="00F242DA"/>
    <w:rsid w:val="00F24BF3"/>
    <w:rsid w:val="00F30B5D"/>
    <w:rsid w:val="00F3360F"/>
    <w:rsid w:val="00F42684"/>
    <w:rsid w:val="00F47226"/>
    <w:rsid w:val="00F51FF4"/>
    <w:rsid w:val="00F5567D"/>
    <w:rsid w:val="00F57280"/>
    <w:rsid w:val="00F57CE0"/>
    <w:rsid w:val="00F61E63"/>
    <w:rsid w:val="00F62FB3"/>
    <w:rsid w:val="00F63420"/>
    <w:rsid w:val="00F64C40"/>
    <w:rsid w:val="00F71A8D"/>
    <w:rsid w:val="00F71D83"/>
    <w:rsid w:val="00F7221A"/>
    <w:rsid w:val="00F81609"/>
    <w:rsid w:val="00F94995"/>
    <w:rsid w:val="00FB214A"/>
    <w:rsid w:val="00FB2B31"/>
    <w:rsid w:val="00FB3056"/>
    <w:rsid w:val="00FC2E73"/>
    <w:rsid w:val="00FC6E6C"/>
    <w:rsid w:val="00FD44A8"/>
    <w:rsid w:val="00FE2024"/>
    <w:rsid w:val="00FE508B"/>
    <w:rsid w:val="00FE51C1"/>
    <w:rsid w:val="00FE6556"/>
    <w:rsid w:val="00FE72EE"/>
    <w:rsid w:val="00FF4FBA"/>
    <w:rsid w:val="00FF6E00"/>
    <w:rsid w:val="0212178A"/>
    <w:rsid w:val="025B3FE7"/>
    <w:rsid w:val="030C692F"/>
    <w:rsid w:val="038900C3"/>
    <w:rsid w:val="04330246"/>
    <w:rsid w:val="0714786B"/>
    <w:rsid w:val="073A56D6"/>
    <w:rsid w:val="07D739A5"/>
    <w:rsid w:val="07E63835"/>
    <w:rsid w:val="0A913F20"/>
    <w:rsid w:val="0CA9746B"/>
    <w:rsid w:val="0DF113EA"/>
    <w:rsid w:val="0F542EE9"/>
    <w:rsid w:val="10504299"/>
    <w:rsid w:val="11923040"/>
    <w:rsid w:val="12310883"/>
    <w:rsid w:val="127869F6"/>
    <w:rsid w:val="12B845EB"/>
    <w:rsid w:val="132832D7"/>
    <w:rsid w:val="13417651"/>
    <w:rsid w:val="14D4388D"/>
    <w:rsid w:val="159A33B0"/>
    <w:rsid w:val="16797425"/>
    <w:rsid w:val="18A63E09"/>
    <w:rsid w:val="1A601531"/>
    <w:rsid w:val="1B2705CA"/>
    <w:rsid w:val="218C7FF3"/>
    <w:rsid w:val="23037D7F"/>
    <w:rsid w:val="242B47D1"/>
    <w:rsid w:val="26F855C1"/>
    <w:rsid w:val="28B8132C"/>
    <w:rsid w:val="28CE17A4"/>
    <w:rsid w:val="2A98281C"/>
    <w:rsid w:val="2B79296C"/>
    <w:rsid w:val="2C161B43"/>
    <w:rsid w:val="2E325B5B"/>
    <w:rsid w:val="2EFC1772"/>
    <w:rsid w:val="30140A81"/>
    <w:rsid w:val="31614F93"/>
    <w:rsid w:val="32AE7FD7"/>
    <w:rsid w:val="352E1ADC"/>
    <w:rsid w:val="37BD531B"/>
    <w:rsid w:val="38F378FB"/>
    <w:rsid w:val="398E785E"/>
    <w:rsid w:val="39E13F49"/>
    <w:rsid w:val="3A6311DE"/>
    <w:rsid w:val="3DA603AE"/>
    <w:rsid w:val="407C6AB8"/>
    <w:rsid w:val="41C32F69"/>
    <w:rsid w:val="43893ACA"/>
    <w:rsid w:val="469C5CCB"/>
    <w:rsid w:val="46D107AB"/>
    <w:rsid w:val="47C5424D"/>
    <w:rsid w:val="47CB3F21"/>
    <w:rsid w:val="49B56826"/>
    <w:rsid w:val="4A653DEE"/>
    <w:rsid w:val="4D746A03"/>
    <w:rsid w:val="50657BC5"/>
    <w:rsid w:val="51AA0566"/>
    <w:rsid w:val="51DD0C39"/>
    <w:rsid w:val="524205F6"/>
    <w:rsid w:val="533C152C"/>
    <w:rsid w:val="53423C96"/>
    <w:rsid w:val="547776C1"/>
    <w:rsid w:val="569F03CB"/>
    <w:rsid w:val="57C9433C"/>
    <w:rsid w:val="5BEB4CF4"/>
    <w:rsid w:val="5C522BB1"/>
    <w:rsid w:val="5D7431ED"/>
    <w:rsid w:val="5D7D3AE9"/>
    <w:rsid w:val="5F01496B"/>
    <w:rsid w:val="5F7D7E4D"/>
    <w:rsid w:val="5FE1587C"/>
    <w:rsid w:val="60631D5E"/>
    <w:rsid w:val="61B72149"/>
    <w:rsid w:val="625D3FF7"/>
    <w:rsid w:val="626A0D3A"/>
    <w:rsid w:val="63912D10"/>
    <w:rsid w:val="660E29AC"/>
    <w:rsid w:val="665259C3"/>
    <w:rsid w:val="67B14EC9"/>
    <w:rsid w:val="6AEE01CB"/>
    <w:rsid w:val="6B7E1AD5"/>
    <w:rsid w:val="6BEC0988"/>
    <w:rsid w:val="6C1172E5"/>
    <w:rsid w:val="6D1E19C3"/>
    <w:rsid w:val="70FD05DA"/>
    <w:rsid w:val="7278686B"/>
    <w:rsid w:val="764A4885"/>
    <w:rsid w:val="766B2714"/>
    <w:rsid w:val="79244AB2"/>
    <w:rsid w:val="795B59AB"/>
    <w:rsid w:val="7A856043"/>
    <w:rsid w:val="7AAF30D6"/>
    <w:rsid w:val="7D883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37"/>
    <w:qFormat/>
    <w:uiPriority w:val="0"/>
    <w:pPr>
      <w:ind w:firstLine="420"/>
    </w:pPr>
  </w:style>
  <w:style w:type="paragraph" w:styleId="5">
    <w:name w:val="annotation text"/>
    <w:basedOn w:val="1"/>
    <w:link w:val="31"/>
    <w:unhideWhenUsed/>
    <w:qFormat/>
    <w:uiPriority w:val="99"/>
    <w:pPr>
      <w:jc w:val="left"/>
    </w:pPr>
  </w:style>
  <w:style w:type="paragraph" w:styleId="6">
    <w:name w:val="Body Text"/>
    <w:basedOn w:val="1"/>
    <w:link w:val="43"/>
    <w:semiHidden/>
    <w:unhideWhenUsed/>
    <w:qFormat/>
    <w:uiPriority w:val="99"/>
    <w:pPr>
      <w:spacing w:after="120"/>
    </w:pPr>
  </w:style>
  <w:style w:type="paragraph" w:styleId="7">
    <w:name w:val="Body Text Indent"/>
    <w:basedOn w:val="1"/>
    <w:qFormat/>
    <w:uiPriority w:val="0"/>
    <w:pPr>
      <w:ind w:firstLine="570"/>
    </w:pPr>
    <w:rPr>
      <w:rFonts w:ascii="宋体" w:hAnsi="宋体"/>
      <w:sz w:val="24"/>
    </w:r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Plain Text"/>
    <w:basedOn w:val="1"/>
    <w:link w:val="34"/>
    <w:qFormat/>
    <w:uiPriority w:val="0"/>
    <w:rPr>
      <w:rFonts w:ascii="宋体" w:hAnsi="Courier New" w:cs="Courier New"/>
      <w:szCs w:val="21"/>
    </w:rPr>
  </w:style>
  <w:style w:type="paragraph" w:styleId="10">
    <w:name w:val="Body Text Indent 2"/>
    <w:basedOn w:val="1"/>
    <w:link w:val="42"/>
    <w:qFormat/>
    <w:uiPriority w:val="0"/>
    <w:pPr>
      <w:adjustRightInd w:val="0"/>
      <w:spacing w:line="312" w:lineRule="atLeast"/>
      <w:ind w:firstLine="454"/>
      <w:textAlignment w:val="baseline"/>
    </w:pPr>
    <w:rPr>
      <w:rFonts w:ascii="宋体" w:hAnsi="宋体" w:eastAsia="宋体" w:cs="Times New Roman"/>
      <w:kern w:val="0"/>
      <w:sz w:val="28"/>
      <w:szCs w:val="20"/>
    </w:rPr>
  </w:style>
  <w:style w:type="paragraph" w:styleId="11">
    <w:name w:val="endnote text"/>
    <w:basedOn w:val="1"/>
    <w:link w:val="33"/>
    <w:unhideWhenUsed/>
    <w:qFormat/>
    <w:uiPriority w:val="99"/>
    <w:pPr>
      <w:snapToGrid w:val="0"/>
      <w:jc w:val="left"/>
    </w:pPr>
  </w:style>
  <w:style w:type="paragraph" w:styleId="12">
    <w:name w:val="Balloon Text"/>
    <w:basedOn w:val="1"/>
    <w:link w:val="27"/>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6"/>
    <w:next w:val="2"/>
    <w:unhideWhenUsed/>
    <w:qFormat/>
    <w:uiPriority w:val="39"/>
    <w:pPr>
      <w:widowControl/>
      <w:spacing w:line="440" w:lineRule="exact"/>
      <w:jc w:val="left"/>
    </w:pPr>
    <w:rPr>
      <w:rFonts w:eastAsia="黑体"/>
      <w:b/>
      <w:i w:val="0"/>
      <w:kern w:val="0"/>
      <w:sz w:val="28"/>
    </w:rPr>
  </w:style>
  <w:style w:type="paragraph" w:customStyle="1" w:styleId="16">
    <w:name w:val="引用1"/>
    <w:basedOn w:val="1"/>
    <w:next w:val="1"/>
    <w:link w:val="36"/>
    <w:qFormat/>
    <w:uiPriority w:val="29"/>
    <w:rPr>
      <w:i/>
      <w:iCs/>
      <w:color w:val="000000" w:themeColor="text1"/>
    </w:rPr>
  </w:style>
  <w:style w:type="paragraph" w:styleId="17">
    <w:name w:val="toc 2"/>
    <w:basedOn w:val="16"/>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8">
    <w:name w:val="annotation subject"/>
    <w:basedOn w:val="5"/>
    <w:next w:val="5"/>
    <w:link w:val="38"/>
    <w:unhideWhenUsed/>
    <w:qFormat/>
    <w:uiPriority w:val="99"/>
    <w:rPr>
      <w:b/>
      <w:bCs/>
    </w:rPr>
  </w:style>
  <w:style w:type="character" w:styleId="21">
    <w:name w:val="Strong"/>
    <w:qFormat/>
    <w:uiPriority w:val="22"/>
    <w:rPr>
      <w:b/>
    </w:rPr>
  </w:style>
  <w:style w:type="character" w:styleId="22">
    <w:name w:val="endnote reference"/>
    <w:basedOn w:val="20"/>
    <w:unhideWhenUsed/>
    <w:qFormat/>
    <w:uiPriority w:val="99"/>
    <w:rPr>
      <w:vertAlign w:val="superscript"/>
    </w:rPr>
  </w:style>
  <w:style w:type="character" w:styleId="23">
    <w:name w:val="Hyperlink"/>
    <w:basedOn w:val="20"/>
    <w:unhideWhenUsed/>
    <w:qFormat/>
    <w:uiPriority w:val="99"/>
    <w:rPr>
      <w:color w:val="0000FF" w:themeColor="hyperlink"/>
      <w:u w:val="single"/>
    </w:rPr>
  </w:style>
  <w:style w:type="character" w:styleId="24">
    <w:name w:val="annotation reference"/>
    <w:qFormat/>
    <w:uiPriority w:val="99"/>
    <w:rPr>
      <w:sz w:val="21"/>
    </w:rPr>
  </w:style>
  <w:style w:type="character" w:customStyle="1" w:styleId="25">
    <w:name w:val="页眉 Char"/>
    <w:basedOn w:val="20"/>
    <w:link w:val="14"/>
    <w:qFormat/>
    <w:uiPriority w:val="99"/>
    <w:rPr>
      <w:sz w:val="18"/>
      <w:szCs w:val="18"/>
    </w:rPr>
  </w:style>
  <w:style w:type="character" w:customStyle="1" w:styleId="26">
    <w:name w:val="页脚 Char"/>
    <w:basedOn w:val="20"/>
    <w:link w:val="13"/>
    <w:qFormat/>
    <w:uiPriority w:val="99"/>
    <w:rPr>
      <w:sz w:val="18"/>
      <w:szCs w:val="18"/>
    </w:rPr>
  </w:style>
  <w:style w:type="character" w:customStyle="1" w:styleId="27">
    <w:name w:val="批注框文本 Char"/>
    <w:basedOn w:val="20"/>
    <w:link w:val="12"/>
    <w:semiHidden/>
    <w:qFormat/>
    <w:uiPriority w:val="99"/>
    <w:rPr>
      <w:sz w:val="18"/>
      <w:szCs w:val="18"/>
    </w:rPr>
  </w:style>
  <w:style w:type="paragraph" w:customStyle="1" w:styleId="28">
    <w:name w:val="列出段落1"/>
    <w:basedOn w:val="1"/>
    <w:qFormat/>
    <w:uiPriority w:val="34"/>
    <w:pPr>
      <w:ind w:firstLine="420" w:firstLineChars="200"/>
    </w:pPr>
  </w:style>
  <w:style w:type="character" w:customStyle="1" w:styleId="29">
    <w:name w:val="标题 1 Char"/>
    <w:basedOn w:val="20"/>
    <w:link w:val="2"/>
    <w:qFormat/>
    <w:uiPriority w:val="9"/>
    <w:rPr>
      <w:b/>
      <w:bCs/>
      <w:kern w:val="44"/>
      <w:sz w:val="44"/>
      <w:szCs w:val="44"/>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文字 Char"/>
    <w:basedOn w:val="20"/>
    <w:link w:val="5"/>
    <w:qFormat/>
    <w:uiPriority w:val="99"/>
  </w:style>
  <w:style w:type="character" w:customStyle="1" w:styleId="32">
    <w:name w:val="标题 2 Char"/>
    <w:basedOn w:val="20"/>
    <w:link w:val="3"/>
    <w:qFormat/>
    <w:uiPriority w:val="9"/>
    <w:rPr>
      <w:rFonts w:asciiTheme="majorHAnsi" w:hAnsiTheme="majorHAnsi" w:eastAsiaTheme="majorEastAsia" w:cstheme="majorBidi"/>
      <w:b/>
      <w:bCs/>
      <w:sz w:val="32"/>
      <w:szCs w:val="32"/>
    </w:rPr>
  </w:style>
  <w:style w:type="character" w:customStyle="1" w:styleId="33">
    <w:name w:val="尾注文本 Char"/>
    <w:basedOn w:val="20"/>
    <w:link w:val="11"/>
    <w:semiHidden/>
    <w:qFormat/>
    <w:uiPriority w:val="99"/>
  </w:style>
  <w:style w:type="character" w:customStyle="1" w:styleId="34">
    <w:name w:val="纯文本 Char"/>
    <w:link w:val="9"/>
    <w:qFormat/>
    <w:uiPriority w:val="0"/>
    <w:rPr>
      <w:rFonts w:ascii="宋体" w:hAnsi="Courier New" w:cs="Courier New"/>
      <w:szCs w:val="21"/>
    </w:rPr>
  </w:style>
  <w:style w:type="character" w:customStyle="1" w:styleId="35">
    <w:name w:val="纯文本 Char1"/>
    <w:basedOn w:val="20"/>
    <w:semiHidden/>
    <w:qFormat/>
    <w:uiPriority w:val="99"/>
    <w:rPr>
      <w:rFonts w:ascii="宋体" w:hAnsi="Courier New" w:eastAsia="宋体" w:cs="Courier New"/>
      <w:szCs w:val="21"/>
    </w:rPr>
  </w:style>
  <w:style w:type="character" w:customStyle="1" w:styleId="36">
    <w:name w:val="引用 Char"/>
    <w:basedOn w:val="20"/>
    <w:link w:val="16"/>
    <w:qFormat/>
    <w:uiPriority w:val="29"/>
    <w:rPr>
      <w:i/>
      <w:iCs/>
      <w:color w:val="000000" w:themeColor="text1"/>
    </w:rPr>
  </w:style>
  <w:style w:type="character" w:customStyle="1" w:styleId="37">
    <w:name w:val="正文缩进 Char"/>
    <w:link w:val="4"/>
    <w:qFormat/>
    <w:uiPriority w:val="0"/>
  </w:style>
  <w:style w:type="character" w:customStyle="1" w:styleId="38">
    <w:name w:val="批注主题 Char"/>
    <w:basedOn w:val="31"/>
    <w:link w:val="18"/>
    <w:semiHidden/>
    <w:qFormat/>
    <w:uiPriority w:val="99"/>
    <w:rPr>
      <w:b/>
      <w:bCs/>
    </w:rPr>
  </w:style>
  <w:style w:type="paragraph" w:styleId="39">
    <w:name w:val="List Paragraph"/>
    <w:basedOn w:val="1"/>
    <w:unhideWhenUsed/>
    <w:qFormat/>
    <w:uiPriority w:val="34"/>
    <w:pPr>
      <w:ind w:firstLine="420" w:firstLineChars="200"/>
    </w:pPr>
  </w:style>
  <w:style w:type="paragraph" w:customStyle="1" w:styleId="40">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Table Paragraph"/>
    <w:basedOn w:val="1"/>
    <w:qFormat/>
    <w:uiPriority w:val="1"/>
    <w:pPr>
      <w:spacing w:line="360" w:lineRule="auto"/>
      <w:jc w:val="left"/>
    </w:pPr>
    <w:rPr>
      <w:rFonts w:ascii="Calibri" w:hAnsi="Calibri" w:eastAsia="宋体" w:cs="Times New Roman"/>
      <w:kern w:val="0"/>
      <w:lang w:eastAsia="en-US"/>
    </w:rPr>
  </w:style>
  <w:style w:type="character" w:customStyle="1" w:styleId="42">
    <w:name w:val="正文文本缩进 2 Char"/>
    <w:basedOn w:val="20"/>
    <w:link w:val="10"/>
    <w:qFormat/>
    <w:uiPriority w:val="0"/>
    <w:rPr>
      <w:rFonts w:ascii="宋体" w:hAnsi="宋体"/>
      <w:sz w:val="28"/>
    </w:rPr>
  </w:style>
  <w:style w:type="character" w:customStyle="1" w:styleId="43">
    <w:name w:val="正文文本 Char"/>
    <w:basedOn w:val="20"/>
    <w:link w:val="6"/>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37AB3-6C07-4133-B914-F5F258C392E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76</Pages>
  <Words>7043</Words>
  <Characters>40147</Characters>
  <Lines>334</Lines>
  <Paragraphs>94</Paragraphs>
  <TotalTime>11</TotalTime>
  <ScaleCrop>false</ScaleCrop>
  <LinksUpToDate>false</LinksUpToDate>
  <CharactersWithSpaces>47096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Administrator</cp:lastModifiedBy>
  <cp:lastPrinted>2019-05-27T03:19:00Z</cp:lastPrinted>
  <dcterms:modified xsi:type="dcterms:W3CDTF">2019-06-03T08:20:13Z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