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afterLines="300"/>
        <w:jc w:val="center"/>
        <w:rPr>
          <w:rFonts w:ascii="黑体" w:hAnsi="黑体" w:eastAsia="黑体"/>
          <w:b/>
          <w:sz w:val="72"/>
          <w:szCs w:val="72"/>
        </w:rPr>
      </w:pPr>
    </w:p>
    <w:p>
      <w:pPr>
        <w:spacing w:afterLines="300"/>
        <w:jc w:val="center"/>
        <w:rPr>
          <w:rFonts w:ascii="黑体" w:hAnsi="黑体" w:eastAsia="黑体"/>
          <w:b/>
          <w:sz w:val="96"/>
          <w:szCs w:val="96"/>
        </w:rPr>
      </w:pPr>
      <w:r>
        <w:rPr>
          <w:rFonts w:hint="eastAsia" w:ascii="黑体" w:hAnsi="黑体" w:eastAsia="黑体"/>
          <w:b/>
          <w:sz w:val="72"/>
          <w:szCs w:val="72"/>
        </w:rPr>
        <w:t>阳新县政府采购项目</w:t>
      </w:r>
    </w:p>
    <w:p>
      <w:pPr>
        <w:spacing w:afterLines="300"/>
        <w:jc w:val="center"/>
        <w:rPr>
          <w:rFonts w:ascii="黑体" w:hAnsi="黑体" w:eastAsia="黑体"/>
          <w:b/>
          <w:sz w:val="72"/>
          <w:szCs w:val="72"/>
        </w:rPr>
      </w:pPr>
      <w:r>
        <w:rPr>
          <w:rFonts w:hint="eastAsia" w:ascii="黑体" w:hAnsi="黑体" w:eastAsia="黑体"/>
          <w:b/>
          <w:sz w:val="72"/>
          <w:szCs w:val="72"/>
        </w:rPr>
        <w:t>招 标 文 件</w:t>
      </w:r>
    </w:p>
    <w:p>
      <w:pPr>
        <w:spacing w:line="360" w:lineRule="auto"/>
        <w:ind w:firstLine="1260" w:firstLineChars="350"/>
        <w:rPr>
          <w:rFonts w:ascii="宋体" w:hAnsi="宋体" w:eastAsia="宋体" w:cs="Times New Roman"/>
          <w:sz w:val="36"/>
          <w:szCs w:val="36"/>
        </w:rPr>
      </w:pPr>
      <w:r>
        <w:rPr>
          <w:rFonts w:hint="eastAsia" w:ascii="黑体" w:hAnsi="黑体" w:eastAsia="黑体" w:cs="Times New Roman"/>
          <w:b/>
          <w:bCs/>
          <w:sz w:val="36"/>
          <w:szCs w:val="24"/>
        </w:rPr>
        <w:t>项目编号：</w:t>
      </w:r>
      <w:r>
        <w:rPr>
          <w:rFonts w:hint="eastAsia" w:ascii="宋体" w:hAnsi="宋体" w:eastAsia="宋体" w:cs="Times New Roman"/>
          <w:sz w:val="36"/>
          <w:szCs w:val="36"/>
        </w:rPr>
        <w:t>131－Zcg·2019－</w:t>
      </w:r>
    </w:p>
    <w:p>
      <w:pPr>
        <w:spacing w:line="360" w:lineRule="auto"/>
        <w:ind w:right="703" w:rightChars="335" w:firstLine="1260" w:firstLineChars="350"/>
        <w:rPr>
          <w:rFonts w:hint="eastAsia" w:ascii="宋体" w:hAnsi="宋体" w:eastAsia="宋体" w:cs="Times New Roman"/>
          <w:bCs/>
          <w:sz w:val="36"/>
          <w:szCs w:val="24"/>
          <w:lang w:eastAsia="zh-CN"/>
        </w:rPr>
      </w:pPr>
      <w:r>
        <w:rPr>
          <w:rFonts w:hint="eastAsia" w:ascii="黑体" w:hAnsi="黑体" w:eastAsia="黑体" w:cs="Times New Roman"/>
          <w:b/>
          <w:bCs/>
          <w:sz w:val="36"/>
          <w:szCs w:val="24"/>
        </w:rPr>
        <w:t>项目名称：</w:t>
      </w:r>
      <w:r>
        <w:rPr>
          <w:rFonts w:hint="eastAsia" w:ascii="宋体" w:hAnsi="宋体" w:eastAsia="宋体" w:cs="Times New Roman"/>
          <w:sz w:val="36"/>
          <w:szCs w:val="36"/>
        </w:rPr>
        <w:t>阳新县地名志编纂出版</w:t>
      </w:r>
      <w:r>
        <w:rPr>
          <w:rFonts w:hint="eastAsia" w:ascii="宋体" w:hAnsi="宋体" w:eastAsia="宋体" w:cs="Times New Roman"/>
          <w:sz w:val="36"/>
          <w:szCs w:val="36"/>
          <w:lang w:eastAsia="zh-CN"/>
        </w:rPr>
        <w:t>采购项目</w:t>
      </w:r>
    </w:p>
    <w:p>
      <w:pPr>
        <w:spacing w:line="360" w:lineRule="auto"/>
        <w:ind w:firstLine="1260" w:firstLineChars="350"/>
        <w:rPr>
          <w:rFonts w:ascii="宋体" w:hAnsi="宋体" w:eastAsia="黑体" w:cs="Times New Roman"/>
          <w:sz w:val="36"/>
          <w:szCs w:val="36"/>
        </w:rPr>
      </w:pPr>
      <w:r>
        <w:rPr>
          <w:rFonts w:hint="eastAsia" w:ascii="黑体" w:hAnsi="黑体" w:eastAsia="黑体" w:cs="Times New Roman"/>
          <w:b/>
          <w:bCs/>
          <w:sz w:val="36"/>
          <w:szCs w:val="24"/>
        </w:rPr>
        <w:t>招标内容：</w:t>
      </w:r>
      <w:r>
        <w:rPr>
          <w:rFonts w:hint="eastAsia" w:ascii="宋体" w:hAnsi="宋体" w:eastAsia="宋体" w:cs="Times New Roman"/>
          <w:sz w:val="36"/>
          <w:szCs w:val="36"/>
        </w:rPr>
        <w:t>地名志编纂出版</w:t>
      </w:r>
    </w:p>
    <w:p>
      <w:pPr>
        <w:spacing w:afterLines="600" w:line="360" w:lineRule="auto"/>
        <w:ind w:left="2347" w:leftChars="271" w:right="569" w:rightChars="271" w:hanging="1778" w:hangingChars="494"/>
        <w:jc w:val="center"/>
        <w:rPr>
          <w:rFonts w:ascii="宋体" w:hAnsi="宋体" w:eastAsia="宋体" w:cs="Times New Roman"/>
          <w:sz w:val="36"/>
          <w:szCs w:val="36"/>
        </w:rPr>
      </w:pPr>
    </w:p>
    <w:p>
      <w:pPr>
        <w:spacing w:afterLines="600" w:line="360" w:lineRule="auto"/>
        <w:ind w:left="2347" w:leftChars="271" w:right="569" w:rightChars="271" w:hanging="1778" w:hangingChars="494"/>
        <w:jc w:val="center"/>
        <w:rPr>
          <w:rFonts w:ascii="宋体" w:hAnsi="宋体" w:eastAsia="宋体" w:cs="Times New Roman"/>
          <w:sz w:val="36"/>
          <w:szCs w:val="36"/>
        </w:rPr>
      </w:pPr>
    </w:p>
    <w:p>
      <w:pPr>
        <w:tabs>
          <w:tab w:val="left" w:pos="7939"/>
        </w:tabs>
        <w:spacing w:line="360" w:lineRule="auto"/>
        <w:jc w:val="center"/>
        <w:rPr>
          <w:rFonts w:ascii="黑体" w:hAnsi="黑体" w:eastAsia="黑体"/>
          <w:b/>
          <w:sz w:val="44"/>
        </w:rPr>
      </w:pPr>
      <w:r>
        <w:rPr>
          <w:rFonts w:hint="eastAsia" w:ascii="黑体" w:hAnsi="黑体" w:eastAsia="黑体"/>
          <w:b/>
          <w:sz w:val="44"/>
        </w:rPr>
        <w:t>阳新县公共资源交易中心</w:t>
      </w:r>
    </w:p>
    <w:p>
      <w:pPr>
        <w:jc w:val="center"/>
        <w:rPr>
          <w:rFonts w:ascii="黑体" w:hAnsi="黑体" w:eastAsia="黑体"/>
          <w:b/>
          <w:color w:val="FF0000"/>
          <w:sz w:val="44"/>
        </w:rPr>
      </w:pPr>
      <w:r>
        <w:rPr>
          <w:rFonts w:hint="eastAsia" w:ascii="黑体" w:hAnsi="黑体" w:eastAsia="黑体"/>
          <w:b/>
          <w:sz w:val="44"/>
        </w:rPr>
        <w:t>二0一九年七月</w:t>
      </w:r>
    </w:p>
    <w:p>
      <w:pPr>
        <w:widowControl/>
        <w:jc w:val="left"/>
        <w:sectPr>
          <w:headerReference r:id="rId3" w:type="default"/>
          <w:footerReference r:id="rId4" w:type="default"/>
          <w:pgSz w:w="11906" w:h="16838"/>
          <w:pgMar w:top="1134" w:right="1191" w:bottom="1134" w:left="1191" w:header="851" w:footer="851" w:gutter="0"/>
          <w:pgNumType w:start="1"/>
          <w:cols w:space="425" w:num="1"/>
          <w:docGrid w:type="linesAndChars" w:linePitch="312" w:charSpace="0"/>
        </w:sectPr>
      </w:pPr>
    </w:p>
    <w:p>
      <w:pPr>
        <w:spacing w:beforeLines="100"/>
        <w:rPr>
          <w:rFonts w:ascii="黑体" w:hAnsi="黑体" w:eastAsia="黑体"/>
          <w:sz w:val="44"/>
          <w:szCs w:val="44"/>
        </w:rPr>
        <w:sectPr>
          <w:footerReference r:id="rId5" w:type="default"/>
          <w:pgSz w:w="11906" w:h="16838"/>
          <w:pgMar w:top="1134" w:right="1191" w:bottom="1134" w:left="1191" w:header="851" w:footer="851" w:gutter="0"/>
          <w:pgNumType w:start="1"/>
          <w:cols w:space="425" w:num="1"/>
          <w:docGrid w:type="linesAndChars" w:linePitch="312" w:charSpace="0"/>
        </w:sectPr>
      </w:pPr>
      <w:bookmarkStart w:id="248" w:name="_GoBack"/>
      <w:bookmarkEnd w:id="248"/>
    </w:p>
    <w:p>
      <w:pPr>
        <w:spacing w:beforeLines="100"/>
        <w:jc w:val="center"/>
        <w:rPr>
          <w:rFonts w:ascii="黑体" w:hAnsi="黑体" w:eastAsia="黑体"/>
          <w:sz w:val="44"/>
          <w:szCs w:val="44"/>
        </w:rPr>
      </w:pPr>
      <w:r>
        <w:rPr>
          <w:rFonts w:hint="eastAsia" w:ascii="黑体" w:hAnsi="黑体" w:eastAsia="黑体"/>
          <w:sz w:val="44"/>
          <w:szCs w:val="44"/>
        </w:rPr>
        <w:t>目   录</w:t>
      </w:r>
    </w:p>
    <w:sdt>
      <w:sdtPr>
        <w:rPr>
          <w:lang w:val="zh-CN"/>
        </w:rPr>
        <w:id w:val="1482579200"/>
      </w:sdtPr>
      <w:sdtEndPr>
        <w:rPr>
          <w:b w:val="0"/>
          <w:bCs/>
          <w:lang w:val="zh-CN"/>
        </w:rPr>
      </w:sdtEndPr>
      <w:sdtContent>
        <w:p>
          <w:pPr>
            <w:pStyle w:val="15"/>
            <w:tabs>
              <w:tab w:val="left" w:pos="1260"/>
              <w:tab w:val="right" w:leader="dot" w:pos="9514"/>
            </w:tabs>
            <w:rPr>
              <w:rFonts w:eastAsia="黑体" w:asciiTheme="minorHAnsi" w:hAnsiTheme="minorHAnsi" w:cstheme="minorBidi"/>
              <w:b/>
              <w:i w:val="0"/>
              <w:iCs/>
              <w:color w:val="000000" w:themeColor="text1"/>
              <w:kern w:val="0"/>
              <w:sz w:val="28"/>
              <w:szCs w:val="22"/>
              <w:lang w:val="en-US" w:eastAsia="zh-CN" w:bidi="ar-SA"/>
            </w:rPr>
          </w:pPr>
          <w:r>
            <w:fldChar w:fldCharType="begin"/>
          </w:r>
          <w:r>
            <w:instrText xml:space="preserve"> TOC \o "1-2" \h \z \u </w:instrText>
          </w:r>
          <w:r>
            <w:fldChar w:fldCharType="separate"/>
          </w:r>
        </w:p>
        <w:p>
          <w:pPr>
            <w:pStyle w:val="15"/>
            <w:tabs>
              <w:tab w:val="right" w:leader="dot" w:pos="9524"/>
            </w:tabs>
          </w:pPr>
          <w:r>
            <w:fldChar w:fldCharType="begin"/>
          </w:r>
          <w:r>
            <w:instrText xml:space="preserve"> HYPERLINK \l _Toc24144 </w:instrText>
          </w:r>
          <w:r>
            <w:fldChar w:fldCharType="separate"/>
          </w:r>
          <w:r>
            <w:rPr>
              <w:rFonts w:hint="eastAsia" w:ascii="黑体" w:hAnsi="黑体" w:eastAsia="黑体"/>
            </w:rPr>
            <w:t>第一章 投标邀请书</w:t>
          </w:r>
          <w:r>
            <w:tab/>
          </w:r>
          <w:r>
            <w:fldChar w:fldCharType="begin"/>
          </w:r>
          <w:r>
            <w:instrText xml:space="preserve"> PAGEREF _Toc24144 </w:instrText>
          </w:r>
          <w:r>
            <w:fldChar w:fldCharType="separate"/>
          </w:r>
          <w:r>
            <w:t>1</w:t>
          </w:r>
          <w:r>
            <w:fldChar w:fldCharType="end"/>
          </w:r>
          <w:r>
            <w:fldChar w:fldCharType="end"/>
          </w:r>
        </w:p>
        <w:p>
          <w:pPr>
            <w:pStyle w:val="15"/>
            <w:tabs>
              <w:tab w:val="right" w:leader="dot" w:pos="9524"/>
            </w:tabs>
          </w:pPr>
          <w:r>
            <w:fldChar w:fldCharType="begin"/>
          </w:r>
          <w:r>
            <w:instrText xml:space="preserve"> HYPERLINK \l _Toc7150 </w:instrText>
          </w:r>
          <w:r>
            <w:fldChar w:fldCharType="separate"/>
          </w:r>
          <w:r>
            <w:rPr>
              <w:rFonts w:hint="eastAsia" w:ascii="黑体" w:hAnsi="黑体" w:eastAsia="黑体"/>
            </w:rPr>
            <w:t>第二章 投标人须知</w:t>
          </w:r>
          <w:r>
            <w:tab/>
          </w:r>
          <w:r>
            <w:fldChar w:fldCharType="begin"/>
          </w:r>
          <w:r>
            <w:instrText xml:space="preserve"> PAGEREF _Toc7150 </w:instrText>
          </w:r>
          <w:r>
            <w:fldChar w:fldCharType="separate"/>
          </w:r>
          <w:r>
            <w:t>3</w:t>
          </w:r>
          <w:r>
            <w:fldChar w:fldCharType="end"/>
          </w:r>
          <w:r>
            <w:fldChar w:fldCharType="end"/>
          </w:r>
        </w:p>
        <w:p>
          <w:pPr>
            <w:pStyle w:val="17"/>
            <w:tabs>
              <w:tab w:val="right" w:leader="dot" w:pos="9524"/>
              <w:tab w:val="clear" w:pos="756"/>
              <w:tab w:val="clear" w:pos="966"/>
              <w:tab w:val="clear" w:pos="1204"/>
              <w:tab w:val="clear" w:pos="1442"/>
              <w:tab w:val="clear" w:pos="9514"/>
            </w:tabs>
          </w:pPr>
          <w:r>
            <w:fldChar w:fldCharType="begin"/>
          </w:r>
          <w:r>
            <w:instrText xml:space="preserve"> HYPERLINK \l _Toc375 </w:instrText>
          </w:r>
          <w:r>
            <w:fldChar w:fldCharType="separate"/>
          </w:r>
          <w:r>
            <w:rPr>
              <w:rFonts w:cs="Times New Roman" w:asciiTheme="majorEastAsia" w:hAnsiTheme="majorEastAsia" w:eastAsiaTheme="majorEastAsia"/>
              <w:bCs/>
              <w:szCs w:val="32"/>
              <w:lang w:val="zh-CN"/>
            </w:rPr>
            <w:t>投标须知前附表</w:t>
          </w:r>
          <w:r>
            <w:tab/>
          </w:r>
          <w:r>
            <w:fldChar w:fldCharType="begin"/>
          </w:r>
          <w:r>
            <w:instrText xml:space="preserve"> PAGEREF _Toc375 </w:instrText>
          </w:r>
          <w:r>
            <w:fldChar w:fldCharType="separate"/>
          </w:r>
          <w:r>
            <w:t>3</w:t>
          </w:r>
          <w:r>
            <w:fldChar w:fldCharType="end"/>
          </w:r>
          <w:r>
            <w:fldChar w:fldCharType="end"/>
          </w:r>
        </w:p>
        <w:p>
          <w:pPr>
            <w:pStyle w:val="17"/>
            <w:tabs>
              <w:tab w:val="right" w:leader="dot" w:pos="9524"/>
              <w:tab w:val="clear" w:pos="756"/>
              <w:tab w:val="clear" w:pos="966"/>
              <w:tab w:val="clear" w:pos="1204"/>
              <w:tab w:val="clear" w:pos="1442"/>
              <w:tab w:val="clear" w:pos="9514"/>
            </w:tabs>
          </w:pPr>
          <w:r>
            <w:fldChar w:fldCharType="begin"/>
          </w:r>
          <w:r>
            <w:instrText xml:space="preserve"> HYPERLINK \l _Toc13474 </w:instrText>
          </w:r>
          <w:r>
            <w:fldChar w:fldCharType="separate"/>
          </w:r>
          <w:r>
            <w:rPr>
              <w:rFonts w:hint="default" w:ascii="黑体" w:hAnsi="黑体" w:eastAsia="黑体" w:cs="Times New Roman"/>
              <w:bCs/>
              <w:strike w:val="0"/>
              <w:szCs w:val="32"/>
              <w:lang w:val="zh-CN"/>
            </w:rPr>
            <w:t xml:space="preserve">一、 </w:t>
          </w:r>
          <w:r>
            <w:tab/>
          </w:r>
          <w:r>
            <w:fldChar w:fldCharType="begin"/>
          </w:r>
          <w:r>
            <w:instrText xml:space="preserve"> PAGEREF _Toc13474 </w:instrText>
          </w:r>
          <w:r>
            <w:fldChar w:fldCharType="separate"/>
          </w:r>
          <w:r>
            <w:t>3</w:t>
          </w:r>
          <w:r>
            <w:fldChar w:fldCharType="end"/>
          </w:r>
          <w:r>
            <w:fldChar w:fldCharType="end"/>
          </w:r>
        </w:p>
        <w:p>
          <w:pPr>
            <w:pStyle w:val="17"/>
            <w:tabs>
              <w:tab w:val="right" w:leader="dot" w:pos="9524"/>
              <w:tab w:val="clear" w:pos="756"/>
              <w:tab w:val="clear" w:pos="966"/>
              <w:tab w:val="clear" w:pos="1204"/>
              <w:tab w:val="clear" w:pos="1442"/>
              <w:tab w:val="clear" w:pos="9514"/>
            </w:tabs>
          </w:pPr>
          <w:r>
            <w:fldChar w:fldCharType="begin"/>
          </w:r>
          <w:r>
            <w:instrText xml:space="preserve"> HYPERLINK \l _Toc29436 </w:instrText>
          </w:r>
          <w:r>
            <w:fldChar w:fldCharType="separate"/>
          </w:r>
          <w:r>
            <w:rPr>
              <w:rFonts w:hint="eastAsia" w:cs="Times New Roman" w:asciiTheme="majorEastAsia" w:hAnsiTheme="majorEastAsia"/>
              <w:bCs w:val="0"/>
              <w:szCs w:val="30"/>
              <w:lang w:val="zh-CN"/>
            </w:rPr>
            <w:t xml:space="preserve">一、 </w:t>
          </w:r>
          <w:r>
            <w:rPr>
              <w:rFonts w:hint="eastAsia" w:cs="Times New Roman" w:asciiTheme="majorEastAsia" w:hAnsiTheme="majorEastAsia"/>
              <w:bCs w:val="0"/>
              <w:lang w:val="zh-CN"/>
            </w:rPr>
            <w:t>说  明</w:t>
          </w:r>
          <w:r>
            <w:tab/>
          </w:r>
          <w:r>
            <w:fldChar w:fldCharType="begin"/>
          </w:r>
          <w:r>
            <w:instrText xml:space="preserve"> PAGEREF _Toc29436 </w:instrText>
          </w:r>
          <w:r>
            <w:fldChar w:fldCharType="separate"/>
          </w:r>
          <w:r>
            <w:t>4</w:t>
          </w:r>
          <w:r>
            <w:fldChar w:fldCharType="end"/>
          </w:r>
          <w:r>
            <w:fldChar w:fldCharType="end"/>
          </w:r>
        </w:p>
        <w:p>
          <w:pPr>
            <w:pStyle w:val="17"/>
            <w:tabs>
              <w:tab w:val="right" w:leader="dot" w:pos="9524"/>
              <w:tab w:val="clear" w:pos="756"/>
              <w:tab w:val="clear" w:pos="966"/>
              <w:tab w:val="clear" w:pos="1204"/>
              <w:tab w:val="clear" w:pos="1442"/>
              <w:tab w:val="clear" w:pos="9514"/>
            </w:tabs>
          </w:pPr>
          <w:r>
            <w:fldChar w:fldCharType="begin"/>
          </w:r>
          <w:r>
            <w:instrText xml:space="preserve"> HYPERLINK \l _Toc26319 </w:instrText>
          </w:r>
          <w:r>
            <w:fldChar w:fldCharType="separate"/>
          </w:r>
          <w:r>
            <w:rPr>
              <w:rFonts w:hint="eastAsia" w:cs="Times New Roman" w:asciiTheme="majorEastAsia" w:hAnsiTheme="majorEastAsia"/>
              <w:bCs w:val="0"/>
              <w:szCs w:val="30"/>
              <w:lang w:val="zh-CN"/>
            </w:rPr>
            <w:t xml:space="preserve">二、 </w:t>
          </w:r>
          <w:r>
            <w:rPr>
              <w:rFonts w:hint="eastAsia" w:cs="Times New Roman" w:asciiTheme="majorEastAsia" w:hAnsiTheme="majorEastAsia"/>
              <w:bCs w:val="0"/>
              <w:lang w:val="zh-CN"/>
            </w:rPr>
            <w:t>招标文件</w:t>
          </w:r>
          <w:r>
            <w:tab/>
          </w:r>
          <w:r>
            <w:fldChar w:fldCharType="begin"/>
          </w:r>
          <w:r>
            <w:instrText xml:space="preserve"> PAGEREF _Toc26319 </w:instrText>
          </w:r>
          <w:r>
            <w:fldChar w:fldCharType="separate"/>
          </w:r>
          <w:r>
            <w:t>4</w:t>
          </w:r>
          <w:r>
            <w:fldChar w:fldCharType="end"/>
          </w:r>
          <w:r>
            <w:fldChar w:fldCharType="end"/>
          </w:r>
        </w:p>
        <w:p>
          <w:pPr>
            <w:pStyle w:val="17"/>
            <w:tabs>
              <w:tab w:val="right" w:leader="dot" w:pos="9524"/>
              <w:tab w:val="clear" w:pos="756"/>
              <w:tab w:val="clear" w:pos="966"/>
              <w:tab w:val="clear" w:pos="1204"/>
              <w:tab w:val="clear" w:pos="1442"/>
              <w:tab w:val="clear" w:pos="9514"/>
            </w:tabs>
          </w:pPr>
          <w:r>
            <w:fldChar w:fldCharType="begin"/>
          </w:r>
          <w:r>
            <w:instrText xml:space="preserve"> HYPERLINK \l _Toc7015 </w:instrText>
          </w:r>
          <w:r>
            <w:fldChar w:fldCharType="separate"/>
          </w:r>
          <w:r>
            <w:rPr>
              <w:rFonts w:hint="eastAsia" w:cs="Times New Roman" w:asciiTheme="majorEastAsia" w:hAnsiTheme="majorEastAsia"/>
              <w:bCs w:val="0"/>
              <w:szCs w:val="30"/>
              <w:lang w:val="zh-CN"/>
            </w:rPr>
            <w:t xml:space="preserve">三、 </w:t>
          </w:r>
          <w:r>
            <w:rPr>
              <w:rFonts w:hint="eastAsia" w:cs="Times New Roman" w:asciiTheme="majorEastAsia" w:hAnsiTheme="majorEastAsia"/>
              <w:bCs w:val="0"/>
              <w:lang w:val="zh-CN"/>
            </w:rPr>
            <w:t>投标文件</w:t>
          </w:r>
          <w:r>
            <w:tab/>
          </w:r>
          <w:r>
            <w:fldChar w:fldCharType="begin"/>
          </w:r>
          <w:r>
            <w:instrText xml:space="preserve"> PAGEREF _Toc7015 </w:instrText>
          </w:r>
          <w:r>
            <w:fldChar w:fldCharType="separate"/>
          </w:r>
          <w:r>
            <w:t>6</w:t>
          </w:r>
          <w:r>
            <w:fldChar w:fldCharType="end"/>
          </w:r>
          <w:r>
            <w:fldChar w:fldCharType="end"/>
          </w:r>
        </w:p>
        <w:p>
          <w:pPr>
            <w:pStyle w:val="17"/>
            <w:tabs>
              <w:tab w:val="right" w:leader="dot" w:pos="9524"/>
              <w:tab w:val="clear" w:pos="756"/>
              <w:tab w:val="clear" w:pos="966"/>
              <w:tab w:val="clear" w:pos="1204"/>
              <w:tab w:val="clear" w:pos="1442"/>
              <w:tab w:val="clear" w:pos="9514"/>
            </w:tabs>
          </w:pPr>
          <w:r>
            <w:fldChar w:fldCharType="begin"/>
          </w:r>
          <w:r>
            <w:instrText xml:space="preserve"> HYPERLINK \l _Toc14168 </w:instrText>
          </w:r>
          <w:r>
            <w:fldChar w:fldCharType="separate"/>
          </w:r>
          <w:r>
            <w:rPr>
              <w:rFonts w:hint="eastAsia" w:cs="Times New Roman" w:asciiTheme="majorEastAsia" w:hAnsiTheme="majorEastAsia"/>
              <w:bCs w:val="0"/>
              <w:szCs w:val="30"/>
              <w:lang w:val="zh-CN"/>
            </w:rPr>
            <w:t xml:space="preserve">四、 </w:t>
          </w:r>
          <w:r>
            <w:rPr>
              <w:rFonts w:hint="eastAsia" w:cs="Times New Roman" w:asciiTheme="majorEastAsia" w:hAnsiTheme="majorEastAsia"/>
              <w:bCs w:val="0"/>
              <w:lang w:val="zh-CN"/>
            </w:rPr>
            <w:t>开标与评标</w:t>
          </w:r>
          <w:r>
            <w:tab/>
          </w:r>
          <w:r>
            <w:fldChar w:fldCharType="begin"/>
          </w:r>
          <w:r>
            <w:instrText xml:space="preserve"> PAGEREF _Toc14168 </w:instrText>
          </w:r>
          <w:r>
            <w:fldChar w:fldCharType="separate"/>
          </w:r>
          <w:r>
            <w:t>10</w:t>
          </w:r>
          <w:r>
            <w:fldChar w:fldCharType="end"/>
          </w:r>
          <w:r>
            <w:fldChar w:fldCharType="end"/>
          </w:r>
        </w:p>
        <w:p>
          <w:pPr>
            <w:pStyle w:val="17"/>
            <w:tabs>
              <w:tab w:val="right" w:leader="dot" w:pos="9524"/>
              <w:tab w:val="clear" w:pos="756"/>
              <w:tab w:val="clear" w:pos="966"/>
              <w:tab w:val="clear" w:pos="1204"/>
              <w:tab w:val="clear" w:pos="1442"/>
              <w:tab w:val="clear" w:pos="9514"/>
            </w:tabs>
          </w:pPr>
          <w:r>
            <w:fldChar w:fldCharType="begin"/>
          </w:r>
          <w:r>
            <w:instrText xml:space="preserve"> HYPERLINK \l _Toc14470 </w:instrText>
          </w:r>
          <w:r>
            <w:fldChar w:fldCharType="separate"/>
          </w:r>
          <w:r>
            <w:rPr>
              <w:rFonts w:hint="eastAsia" w:cs="Times New Roman" w:asciiTheme="majorEastAsia" w:hAnsiTheme="majorEastAsia"/>
              <w:bCs w:val="0"/>
              <w:szCs w:val="30"/>
              <w:lang w:val="zh-CN"/>
            </w:rPr>
            <w:t xml:space="preserve">五、 </w:t>
          </w:r>
          <w:r>
            <w:rPr>
              <w:rFonts w:hint="eastAsia" w:cs="Times New Roman" w:asciiTheme="majorEastAsia" w:hAnsiTheme="majorEastAsia"/>
              <w:bCs w:val="0"/>
              <w:lang w:val="zh-CN"/>
            </w:rPr>
            <w:t>投标人信用信息及查询</w:t>
          </w:r>
          <w:r>
            <w:tab/>
          </w:r>
          <w:r>
            <w:fldChar w:fldCharType="begin"/>
          </w:r>
          <w:r>
            <w:instrText xml:space="preserve"> PAGEREF _Toc14470 </w:instrText>
          </w:r>
          <w:r>
            <w:fldChar w:fldCharType="separate"/>
          </w:r>
          <w:r>
            <w:t>11</w:t>
          </w:r>
          <w:r>
            <w:fldChar w:fldCharType="end"/>
          </w:r>
          <w:r>
            <w:fldChar w:fldCharType="end"/>
          </w:r>
        </w:p>
        <w:p>
          <w:pPr>
            <w:pStyle w:val="17"/>
            <w:tabs>
              <w:tab w:val="right" w:leader="dot" w:pos="9524"/>
              <w:tab w:val="clear" w:pos="756"/>
              <w:tab w:val="clear" w:pos="966"/>
              <w:tab w:val="clear" w:pos="1204"/>
              <w:tab w:val="clear" w:pos="1442"/>
              <w:tab w:val="clear" w:pos="9514"/>
            </w:tabs>
          </w:pPr>
          <w:r>
            <w:fldChar w:fldCharType="begin"/>
          </w:r>
          <w:r>
            <w:instrText xml:space="preserve"> HYPERLINK \l _Toc28526 </w:instrText>
          </w:r>
          <w:r>
            <w:fldChar w:fldCharType="separate"/>
          </w:r>
          <w:r>
            <w:rPr>
              <w:rFonts w:hint="eastAsia" w:cs="Times New Roman" w:asciiTheme="majorEastAsia" w:hAnsiTheme="majorEastAsia"/>
              <w:bCs w:val="0"/>
              <w:szCs w:val="30"/>
              <w:lang w:val="zh-CN"/>
            </w:rPr>
            <w:t xml:space="preserve">六、 </w:t>
          </w:r>
          <w:r>
            <w:rPr>
              <w:rFonts w:cs="Times New Roman" w:asciiTheme="majorEastAsia" w:hAnsiTheme="majorEastAsia"/>
              <w:bCs w:val="0"/>
              <w:lang w:val="zh-CN"/>
            </w:rPr>
            <w:t>中标</w:t>
          </w:r>
          <w:r>
            <w:rPr>
              <w:rFonts w:hint="eastAsia" w:cs="Times New Roman" w:asciiTheme="majorEastAsia" w:hAnsiTheme="majorEastAsia"/>
              <w:bCs w:val="0"/>
              <w:lang w:val="zh-CN"/>
            </w:rPr>
            <w:t>与</w:t>
          </w:r>
          <w:r>
            <w:rPr>
              <w:rFonts w:cs="Times New Roman" w:asciiTheme="majorEastAsia" w:hAnsiTheme="majorEastAsia"/>
              <w:bCs w:val="0"/>
              <w:lang w:val="zh-CN"/>
            </w:rPr>
            <w:t>合同</w:t>
          </w:r>
          <w:r>
            <w:tab/>
          </w:r>
          <w:r>
            <w:fldChar w:fldCharType="begin"/>
          </w:r>
          <w:r>
            <w:instrText xml:space="preserve"> PAGEREF _Toc28526 </w:instrText>
          </w:r>
          <w:r>
            <w:fldChar w:fldCharType="separate"/>
          </w:r>
          <w:r>
            <w:t>12</w:t>
          </w:r>
          <w:r>
            <w:fldChar w:fldCharType="end"/>
          </w:r>
          <w:r>
            <w:fldChar w:fldCharType="end"/>
          </w:r>
        </w:p>
        <w:p>
          <w:pPr>
            <w:pStyle w:val="17"/>
            <w:tabs>
              <w:tab w:val="right" w:leader="dot" w:pos="9524"/>
              <w:tab w:val="clear" w:pos="756"/>
              <w:tab w:val="clear" w:pos="966"/>
              <w:tab w:val="clear" w:pos="1204"/>
              <w:tab w:val="clear" w:pos="1442"/>
              <w:tab w:val="clear" w:pos="9514"/>
            </w:tabs>
          </w:pPr>
          <w:r>
            <w:fldChar w:fldCharType="begin"/>
          </w:r>
          <w:r>
            <w:instrText xml:space="preserve"> HYPERLINK \l _Toc12050 </w:instrText>
          </w:r>
          <w:r>
            <w:fldChar w:fldCharType="separate"/>
          </w:r>
          <w:r>
            <w:rPr>
              <w:rFonts w:hint="eastAsia" w:cs="Times New Roman" w:asciiTheme="majorEastAsia" w:hAnsiTheme="majorEastAsia"/>
              <w:bCs w:val="0"/>
              <w:szCs w:val="30"/>
              <w:lang w:val="zh-CN"/>
            </w:rPr>
            <w:t xml:space="preserve">七、 </w:t>
          </w:r>
          <w:r>
            <w:rPr>
              <w:rFonts w:hint="eastAsia" w:cs="Times New Roman" w:asciiTheme="majorEastAsia" w:hAnsiTheme="majorEastAsia"/>
              <w:bCs w:val="0"/>
              <w:lang w:val="zh-CN"/>
            </w:rPr>
            <w:t>采购信息公告</w:t>
          </w:r>
          <w:r>
            <w:tab/>
          </w:r>
          <w:r>
            <w:fldChar w:fldCharType="begin"/>
          </w:r>
          <w:r>
            <w:instrText xml:space="preserve"> PAGEREF _Toc12050 </w:instrText>
          </w:r>
          <w:r>
            <w:fldChar w:fldCharType="separate"/>
          </w:r>
          <w:r>
            <w:t>13</w:t>
          </w:r>
          <w:r>
            <w:fldChar w:fldCharType="end"/>
          </w:r>
          <w:r>
            <w:fldChar w:fldCharType="end"/>
          </w:r>
        </w:p>
        <w:p>
          <w:pPr>
            <w:pStyle w:val="17"/>
            <w:tabs>
              <w:tab w:val="right" w:leader="dot" w:pos="9524"/>
              <w:tab w:val="clear" w:pos="756"/>
              <w:tab w:val="clear" w:pos="966"/>
              <w:tab w:val="clear" w:pos="1204"/>
              <w:tab w:val="clear" w:pos="1442"/>
              <w:tab w:val="clear" w:pos="9514"/>
            </w:tabs>
          </w:pPr>
          <w:r>
            <w:fldChar w:fldCharType="begin"/>
          </w:r>
          <w:r>
            <w:instrText xml:space="preserve"> HYPERLINK \l _Toc18432 </w:instrText>
          </w:r>
          <w:r>
            <w:fldChar w:fldCharType="separate"/>
          </w:r>
          <w:r>
            <w:rPr>
              <w:rFonts w:hint="eastAsia" w:cs="Times New Roman" w:asciiTheme="majorEastAsia" w:hAnsiTheme="majorEastAsia"/>
              <w:bCs w:val="0"/>
              <w:szCs w:val="30"/>
              <w:lang w:val="zh-CN"/>
            </w:rPr>
            <w:t xml:space="preserve">八、 </w:t>
          </w:r>
          <w:r>
            <w:rPr>
              <w:rFonts w:hint="eastAsia" w:cs="Times New Roman" w:asciiTheme="majorEastAsia" w:hAnsiTheme="majorEastAsia"/>
              <w:bCs w:val="0"/>
              <w:lang w:val="zh-CN"/>
            </w:rPr>
            <w:t>质疑及提交</w:t>
          </w:r>
          <w:r>
            <w:tab/>
          </w:r>
          <w:r>
            <w:fldChar w:fldCharType="begin"/>
          </w:r>
          <w:r>
            <w:instrText xml:space="preserve"> PAGEREF _Toc18432 </w:instrText>
          </w:r>
          <w:r>
            <w:fldChar w:fldCharType="separate"/>
          </w:r>
          <w:r>
            <w:t>13</w:t>
          </w:r>
          <w:r>
            <w:fldChar w:fldCharType="end"/>
          </w:r>
          <w:r>
            <w:fldChar w:fldCharType="end"/>
          </w:r>
        </w:p>
        <w:p>
          <w:pPr>
            <w:pStyle w:val="17"/>
            <w:tabs>
              <w:tab w:val="right" w:leader="dot" w:pos="9524"/>
              <w:tab w:val="clear" w:pos="756"/>
              <w:tab w:val="clear" w:pos="966"/>
              <w:tab w:val="clear" w:pos="1204"/>
              <w:tab w:val="clear" w:pos="1442"/>
              <w:tab w:val="clear" w:pos="9514"/>
            </w:tabs>
          </w:pPr>
          <w:r>
            <w:fldChar w:fldCharType="begin"/>
          </w:r>
          <w:r>
            <w:instrText xml:space="preserve"> HYPERLINK \l _Toc9943 </w:instrText>
          </w:r>
          <w:r>
            <w:fldChar w:fldCharType="separate"/>
          </w:r>
          <w:r>
            <w:rPr>
              <w:rFonts w:hint="eastAsia" w:cs="Times New Roman" w:asciiTheme="majorEastAsia" w:hAnsiTheme="majorEastAsia"/>
              <w:bCs w:val="0"/>
              <w:szCs w:val="30"/>
              <w:lang w:val="zh-CN"/>
            </w:rPr>
            <w:t xml:space="preserve">九、 </w:t>
          </w:r>
          <w:r>
            <w:rPr>
              <w:rFonts w:hint="eastAsia" w:cs="Times New Roman" w:asciiTheme="majorEastAsia" w:hAnsiTheme="majorEastAsia"/>
              <w:bCs w:val="0"/>
              <w:lang w:val="zh-CN"/>
            </w:rPr>
            <w:t>相关条文解读</w:t>
          </w:r>
          <w:r>
            <w:tab/>
          </w:r>
          <w:r>
            <w:fldChar w:fldCharType="begin"/>
          </w:r>
          <w:r>
            <w:instrText xml:space="preserve"> PAGEREF _Toc9943 </w:instrText>
          </w:r>
          <w:r>
            <w:fldChar w:fldCharType="separate"/>
          </w:r>
          <w:r>
            <w:t>14</w:t>
          </w:r>
          <w:r>
            <w:fldChar w:fldCharType="end"/>
          </w:r>
          <w:r>
            <w:fldChar w:fldCharType="end"/>
          </w:r>
        </w:p>
        <w:p>
          <w:pPr>
            <w:pStyle w:val="17"/>
            <w:tabs>
              <w:tab w:val="right" w:leader="dot" w:pos="9524"/>
              <w:tab w:val="clear" w:pos="756"/>
              <w:tab w:val="clear" w:pos="966"/>
              <w:tab w:val="clear" w:pos="1204"/>
              <w:tab w:val="clear" w:pos="1442"/>
              <w:tab w:val="clear" w:pos="9514"/>
            </w:tabs>
          </w:pPr>
          <w:r>
            <w:fldChar w:fldCharType="begin"/>
          </w:r>
          <w:r>
            <w:instrText xml:space="preserve"> HYPERLINK \l _Toc14817 </w:instrText>
          </w:r>
          <w:r>
            <w:fldChar w:fldCharType="separate"/>
          </w:r>
          <w:r>
            <w:rPr>
              <w:rFonts w:hint="eastAsia" w:cs="Times New Roman" w:asciiTheme="majorEastAsia" w:hAnsiTheme="majorEastAsia"/>
              <w:bCs w:val="0"/>
              <w:szCs w:val="30"/>
              <w:lang w:val="zh-CN"/>
            </w:rPr>
            <w:t xml:space="preserve">十、 </w:t>
          </w:r>
          <w:r>
            <w:rPr>
              <w:rFonts w:hint="eastAsia" w:cs="Times New Roman" w:asciiTheme="majorEastAsia" w:hAnsiTheme="majorEastAsia"/>
              <w:bCs w:val="0"/>
              <w:lang w:val="zh-CN"/>
            </w:rPr>
            <w:t>其他注意事项</w:t>
          </w:r>
          <w:r>
            <w:tab/>
          </w:r>
          <w:r>
            <w:fldChar w:fldCharType="begin"/>
          </w:r>
          <w:r>
            <w:instrText xml:space="preserve"> PAGEREF _Toc14817 </w:instrText>
          </w:r>
          <w:r>
            <w:fldChar w:fldCharType="separate"/>
          </w:r>
          <w:r>
            <w:t>15</w:t>
          </w:r>
          <w:r>
            <w:fldChar w:fldCharType="end"/>
          </w:r>
          <w:r>
            <w:fldChar w:fldCharType="end"/>
          </w:r>
        </w:p>
        <w:p>
          <w:pPr>
            <w:pStyle w:val="17"/>
            <w:tabs>
              <w:tab w:val="right" w:leader="dot" w:pos="9524"/>
              <w:tab w:val="clear" w:pos="756"/>
              <w:tab w:val="clear" w:pos="966"/>
              <w:tab w:val="clear" w:pos="1204"/>
              <w:tab w:val="clear" w:pos="1442"/>
              <w:tab w:val="clear" w:pos="9514"/>
            </w:tabs>
          </w:pPr>
          <w:r>
            <w:fldChar w:fldCharType="begin"/>
          </w:r>
          <w:r>
            <w:instrText xml:space="preserve"> HYPERLINK \l _Toc11461 </w:instrText>
          </w:r>
          <w:r>
            <w:fldChar w:fldCharType="separate"/>
          </w:r>
          <w:r>
            <w:rPr>
              <w:rFonts w:hint="eastAsia" w:cs="Times New Roman" w:asciiTheme="majorEastAsia" w:hAnsiTheme="majorEastAsia"/>
              <w:bCs w:val="0"/>
              <w:szCs w:val="30"/>
              <w:lang w:val="zh-CN"/>
            </w:rPr>
            <w:t xml:space="preserve">十一、 </w:t>
          </w:r>
          <w:r>
            <w:rPr>
              <w:rFonts w:hint="eastAsia" w:cs="Times New Roman" w:asciiTheme="majorEastAsia" w:hAnsiTheme="majorEastAsia"/>
              <w:bCs w:val="0"/>
              <w:lang w:val="zh-CN"/>
            </w:rPr>
            <w:t>适用法律</w:t>
          </w:r>
          <w:r>
            <w:tab/>
          </w:r>
          <w:r>
            <w:fldChar w:fldCharType="begin"/>
          </w:r>
          <w:r>
            <w:instrText xml:space="preserve"> PAGEREF _Toc11461 </w:instrText>
          </w:r>
          <w:r>
            <w:fldChar w:fldCharType="separate"/>
          </w:r>
          <w:r>
            <w:t>15</w:t>
          </w:r>
          <w:r>
            <w:fldChar w:fldCharType="end"/>
          </w:r>
          <w:r>
            <w:fldChar w:fldCharType="end"/>
          </w:r>
        </w:p>
        <w:p>
          <w:pPr>
            <w:pStyle w:val="17"/>
            <w:tabs>
              <w:tab w:val="right" w:leader="dot" w:pos="9524"/>
              <w:tab w:val="clear" w:pos="756"/>
              <w:tab w:val="clear" w:pos="966"/>
              <w:tab w:val="clear" w:pos="1204"/>
              <w:tab w:val="clear" w:pos="1442"/>
              <w:tab w:val="clear" w:pos="9514"/>
            </w:tabs>
          </w:pPr>
          <w:r>
            <w:fldChar w:fldCharType="begin"/>
          </w:r>
          <w:r>
            <w:instrText xml:space="preserve"> HYPERLINK \l _Toc24575 </w:instrText>
          </w:r>
          <w:r>
            <w:fldChar w:fldCharType="separate"/>
          </w:r>
          <w:r>
            <w:rPr>
              <w:rFonts w:hint="eastAsia" w:cs="Times New Roman" w:asciiTheme="majorEastAsia" w:hAnsiTheme="majorEastAsia"/>
              <w:bCs w:val="0"/>
              <w:szCs w:val="30"/>
              <w:lang w:val="zh-CN"/>
            </w:rPr>
            <w:t xml:space="preserve">十二、 </w:t>
          </w:r>
          <w:r>
            <w:rPr>
              <w:rFonts w:hint="eastAsia" w:cs="Times New Roman" w:asciiTheme="majorEastAsia" w:hAnsiTheme="majorEastAsia"/>
              <w:bCs w:val="0"/>
              <w:lang w:val="zh-CN"/>
            </w:rPr>
            <w:t>招标文件的解释权</w:t>
          </w:r>
          <w:r>
            <w:tab/>
          </w:r>
          <w:r>
            <w:fldChar w:fldCharType="begin"/>
          </w:r>
          <w:r>
            <w:instrText xml:space="preserve"> PAGEREF _Toc24575 </w:instrText>
          </w:r>
          <w:r>
            <w:fldChar w:fldCharType="separate"/>
          </w:r>
          <w:r>
            <w:t>15</w:t>
          </w:r>
          <w:r>
            <w:fldChar w:fldCharType="end"/>
          </w:r>
          <w:r>
            <w:fldChar w:fldCharType="end"/>
          </w:r>
        </w:p>
        <w:p>
          <w:pPr>
            <w:pStyle w:val="15"/>
            <w:tabs>
              <w:tab w:val="right" w:leader="dot" w:pos="9524"/>
            </w:tabs>
          </w:pPr>
          <w:r>
            <w:fldChar w:fldCharType="begin"/>
          </w:r>
          <w:r>
            <w:instrText xml:space="preserve"> HYPERLINK \l _Toc13008 </w:instrText>
          </w:r>
          <w:r>
            <w:fldChar w:fldCharType="separate"/>
          </w:r>
          <w:r>
            <w:rPr>
              <w:rFonts w:hint="eastAsia" w:ascii="黑体" w:hAnsi="黑体" w:eastAsia="黑体"/>
            </w:rPr>
            <w:t>第三章 项目技术、服务及商务要求</w:t>
          </w:r>
          <w:r>
            <w:tab/>
          </w:r>
          <w:r>
            <w:fldChar w:fldCharType="begin"/>
          </w:r>
          <w:r>
            <w:instrText xml:space="preserve"> PAGEREF _Toc13008 </w:instrText>
          </w:r>
          <w:r>
            <w:fldChar w:fldCharType="separate"/>
          </w:r>
          <w:r>
            <w:t>16</w:t>
          </w:r>
          <w:r>
            <w:fldChar w:fldCharType="end"/>
          </w:r>
          <w:r>
            <w:fldChar w:fldCharType="end"/>
          </w:r>
        </w:p>
        <w:p>
          <w:pPr>
            <w:pStyle w:val="17"/>
            <w:tabs>
              <w:tab w:val="right" w:leader="dot" w:pos="9524"/>
              <w:tab w:val="clear" w:pos="756"/>
              <w:tab w:val="clear" w:pos="966"/>
              <w:tab w:val="clear" w:pos="1204"/>
              <w:tab w:val="clear" w:pos="1442"/>
              <w:tab w:val="clear" w:pos="9514"/>
            </w:tabs>
          </w:pPr>
          <w:r>
            <w:fldChar w:fldCharType="begin"/>
          </w:r>
          <w:r>
            <w:instrText xml:space="preserve"> HYPERLINK \l _Toc1109 </w:instrText>
          </w:r>
          <w:r>
            <w:fldChar w:fldCharType="separate"/>
          </w:r>
          <w:r>
            <w:rPr>
              <w:rFonts w:hint="eastAsia" w:ascii="宋体" w:hAnsi="宋体" w:eastAsia="宋体"/>
              <w:bCs/>
              <w:szCs w:val="28"/>
            </w:rPr>
            <w:t xml:space="preserve">一、 </w:t>
          </w:r>
          <w:r>
            <w:rPr>
              <w:rFonts w:hint="eastAsia" w:ascii="宋体" w:hAnsi="宋体" w:eastAsia="黑体"/>
              <w:bCs/>
              <w:szCs w:val="28"/>
            </w:rPr>
            <w:t>技术要求</w:t>
          </w:r>
          <w:r>
            <w:tab/>
          </w:r>
          <w:r>
            <w:fldChar w:fldCharType="begin"/>
          </w:r>
          <w:r>
            <w:instrText xml:space="preserve"> PAGEREF _Toc1109 </w:instrText>
          </w:r>
          <w:r>
            <w:fldChar w:fldCharType="separate"/>
          </w:r>
          <w:r>
            <w:t>16</w:t>
          </w:r>
          <w:r>
            <w:fldChar w:fldCharType="end"/>
          </w:r>
          <w:r>
            <w:fldChar w:fldCharType="end"/>
          </w:r>
        </w:p>
        <w:p>
          <w:pPr>
            <w:pStyle w:val="17"/>
            <w:tabs>
              <w:tab w:val="right" w:leader="dot" w:pos="9524"/>
              <w:tab w:val="clear" w:pos="756"/>
              <w:tab w:val="clear" w:pos="966"/>
              <w:tab w:val="clear" w:pos="1204"/>
              <w:tab w:val="clear" w:pos="1442"/>
              <w:tab w:val="clear" w:pos="9514"/>
            </w:tabs>
          </w:pPr>
          <w:r>
            <w:fldChar w:fldCharType="begin"/>
          </w:r>
          <w:r>
            <w:instrText xml:space="preserve"> HYPERLINK \l _Toc17290 </w:instrText>
          </w:r>
          <w:r>
            <w:fldChar w:fldCharType="separate"/>
          </w:r>
          <w:r>
            <w:rPr>
              <w:rFonts w:hint="eastAsia" w:ascii="宋体" w:hAnsi="宋体" w:eastAsia="宋体"/>
              <w:bCs/>
              <w:szCs w:val="28"/>
            </w:rPr>
            <w:t xml:space="preserve">二、 </w:t>
          </w:r>
          <w:r>
            <w:rPr>
              <w:rFonts w:hint="eastAsia" w:ascii="黑体" w:hAnsi="黑体" w:eastAsia="黑体" w:cs="黑体"/>
              <w:szCs w:val="28"/>
            </w:rPr>
            <w:t>商务要求</w:t>
          </w:r>
          <w:r>
            <w:tab/>
          </w:r>
          <w:r>
            <w:fldChar w:fldCharType="begin"/>
          </w:r>
          <w:r>
            <w:instrText xml:space="preserve"> PAGEREF _Toc17290 </w:instrText>
          </w:r>
          <w:r>
            <w:fldChar w:fldCharType="separate"/>
          </w:r>
          <w:r>
            <w:t>17</w:t>
          </w:r>
          <w:r>
            <w:fldChar w:fldCharType="end"/>
          </w:r>
          <w:r>
            <w:fldChar w:fldCharType="end"/>
          </w:r>
        </w:p>
        <w:p>
          <w:pPr>
            <w:pStyle w:val="15"/>
            <w:tabs>
              <w:tab w:val="right" w:leader="dot" w:pos="9524"/>
            </w:tabs>
          </w:pPr>
          <w:r>
            <w:fldChar w:fldCharType="begin"/>
          </w:r>
          <w:r>
            <w:instrText xml:space="preserve"> HYPERLINK \l _Toc30091 </w:instrText>
          </w:r>
          <w:r>
            <w:fldChar w:fldCharType="separate"/>
          </w:r>
          <w:r>
            <w:rPr>
              <w:rFonts w:hint="eastAsia" w:ascii="黑体" w:hAnsi="黑体" w:eastAsia="黑体"/>
            </w:rPr>
            <w:t>第四章 资格审查方法及标准</w:t>
          </w:r>
          <w:r>
            <w:tab/>
          </w:r>
          <w:r>
            <w:fldChar w:fldCharType="begin"/>
          </w:r>
          <w:r>
            <w:instrText xml:space="preserve"> PAGEREF _Toc30091 </w:instrText>
          </w:r>
          <w:r>
            <w:fldChar w:fldCharType="separate"/>
          </w:r>
          <w:r>
            <w:t>18</w:t>
          </w:r>
          <w:r>
            <w:fldChar w:fldCharType="end"/>
          </w:r>
          <w:r>
            <w:fldChar w:fldCharType="end"/>
          </w:r>
        </w:p>
        <w:p>
          <w:pPr>
            <w:pStyle w:val="17"/>
            <w:tabs>
              <w:tab w:val="right" w:leader="dot" w:pos="9524"/>
              <w:tab w:val="clear" w:pos="756"/>
              <w:tab w:val="clear" w:pos="966"/>
              <w:tab w:val="clear" w:pos="1204"/>
              <w:tab w:val="clear" w:pos="1442"/>
              <w:tab w:val="clear" w:pos="9514"/>
            </w:tabs>
          </w:pPr>
          <w:r>
            <w:fldChar w:fldCharType="begin"/>
          </w:r>
          <w:r>
            <w:instrText xml:space="preserve"> HYPERLINK \l _Toc12254 </w:instrText>
          </w:r>
          <w:r>
            <w:fldChar w:fldCharType="separate"/>
          </w:r>
          <w:r>
            <w:rPr>
              <w:rFonts w:hint="eastAsia" w:cs="Times New Roman" w:asciiTheme="majorEastAsia" w:hAnsiTheme="majorEastAsia"/>
              <w:bCs w:val="0"/>
              <w:szCs w:val="30"/>
              <w:lang w:val="zh-CN"/>
            </w:rPr>
            <w:t>一、 资格审查方法</w:t>
          </w:r>
          <w:r>
            <w:tab/>
          </w:r>
          <w:r>
            <w:fldChar w:fldCharType="begin"/>
          </w:r>
          <w:r>
            <w:instrText xml:space="preserve"> PAGEREF _Toc12254 </w:instrText>
          </w:r>
          <w:r>
            <w:fldChar w:fldCharType="separate"/>
          </w:r>
          <w:r>
            <w:t>18</w:t>
          </w:r>
          <w:r>
            <w:fldChar w:fldCharType="end"/>
          </w:r>
          <w:r>
            <w:fldChar w:fldCharType="end"/>
          </w:r>
        </w:p>
        <w:p>
          <w:pPr>
            <w:pStyle w:val="17"/>
            <w:tabs>
              <w:tab w:val="right" w:leader="dot" w:pos="9524"/>
              <w:tab w:val="clear" w:pos="756"/>
              <w:tab w:val="clear" w:pos="966"/>
              <w:tab w:val="clear" w:pos="1204"/>
              <w:tab w:val="clear" w:pos="1442"/>
              <w:tab w:val="clear" w:pos="9514"/>
            </w:tabs>
          </w:pPr>
          <w:r>
            <w:fldChar w:fldCharType="begin"/>
          </w:r>
          <w:r>
            <w:instrText xml:space="preserve"> HYPERLINK \l _Toc29268 </w:instrText>
          </w:r>
          <w:r>
            <w:fldChar w:fldCharType="separate"/>
          </w:r>
          <w:r>
            <w:rPr>
              <w:rFonts w:hint="eastAsia" w:cs="Times New Roman" w:asciiTheme="majorEastAsia" w:hAnsiTheme="majorEastAsia"/>
              <w:bCs w:val="0"/>
              <w:szCs w:val="30"/>
              <w:lang w:val="zh-CN"/>
            </w:rPr>
            <w:t>二、 资格审查标准</w:t>
          </w:r>
          <w:r>
            <w:tab/>
          </w:r>
          <w:r>
            <w:fldChar w:fldCharType="begin"/>
          </w:r>
          <w:r>
            <w:instrText xml:space="preserve"> PAGEREF _Toc29268 </w:instrText>
          </w:r>
          <w:r>
            <w:fldChar w:fldCharType="separate"/>
          </w:r>
          <w:r>
            <w:t>18</w:t>
          </w:r>
          <w:r>
            <w:fldChar w:fldCharType="end"/>
          </w:r>
          <w:r>
            <w:fldChar w:fldCharType="end"/>
          </w:r>
        </w:p>
        <w:p>
          <w:pPr>
            <w:pStyle w:val="15"/>
            <w:tabs>
              <w:tab w:val="right" w:leader="dot" w:pos="9524"/>
            </w:tabs>
          </w:pPr>
          <w:r>
            <w:fldChar w:fldCharType="begin"/>
          </w:r>
          <w:r>
            <w:instrText xml:space="preserve"> HYPERLINK \l _Toc28502 </w:instrText>
          </w:r>
          <w:r>
            <w:fldChar w:fldCharType="separate"/>
          </w:r>
          <w:r>
            <w:rPr>
              <w:rFonts w:hint="eastAsia" w:ascii="黑体" w:hAnsi="黑体" w:eastAsia="黑体"/>
            </w:rPr>
            <w:t>第五章 评标方法、程序及标准</w:t>
          </w:r>
          <w:r>
            <w:tab/>
          </w:r>
          <w:r>
            <w:fldChar w:fldCharType="begin"/>
          </w:r>
          <w:r>
            <w:instrText xml:space="preserve"> PAGEREF _Toc28502 </w:instrText>
          </w:r>
          <w:r>
            <w:fldChar w:fldCharType="separate"/>
          </w:r>
          <w:r>
            <w:t>20</w:t>
          </w:r>
          <w:r>
            <w:fldChar w:fldCharType="end"/>
          </w:r>
          <w:r>
            <w:fldChar w:fldCharType="end"/>
          </w:r>
        </w:p>
        <w:p>
          <w:pPr>
            <w:pStyle w:val="17"/>
            <w:tabs>
              <w:tab w:val="right" w:leader="dot" w:pos="9524"/>
              <w:tab w:val="clear" w:pos="756"/>
              <w:tab w:val="clear" w:pos="966"/>
              <w:tab w:val="clear" w:pos="1204"/>
              <w:tab w:val="clear" w:pos="1442"/>
              <w:tab w:val="clear" w:pos="9514"/>
            </w:tabs>
          </w:pPr>
          <w:r>
            <w:fldChar w:fldCharType="begin"/>
          </w:r>
          <w:r>
            <w:instrText xml:space="preserve"> HYPERLINK \l _Toc8464 </w:instrText>
          </w:r>
          <w:r>
            <w:fldChar w:fldCharType="separate"/>
          </w:r>
          <w:r>
            <w:rPr>
              <w:rFonts w:hint="eastAsia" w:cs="Times New Roman" w:asciiTheme="majorEastAsia" w:hAnsiTheme="majorEastAsia"/>
              <w:bCs w:val="0"/>
              <w:szCs w:val="30"/>
              <w:lang w:val="zh-CN"/>
            </w:rPr>
            <w:t>一、 评标方法</w:t>
          </w:r>
          <w:r>
            <w:tab/>
          </w:r>
          <w:r>
            <w:fldChar w:fldCharType="begin"/>
          </w:r>
          <w:r>
            <w:instrText xml:space="preserve"> PAGEREF _Toc8464 </w:instrText>
          </w:r>
          <w:r>
            <w:fldChar w:fldCharType="separate"/>
          </w:r>
          <w:r>
            <w:t>20</w:t>
          </w:r>
          <w:r>
            <w:fldChar w:fldCharType="end"/>
          </w:r>
          <w:r>
            <w:fldChar w:fldCharType="end"/>
          </w:r>
        </w:p>
        <w:p>
          <w:pPr>
            <w:pStyle w:val="17"/>
            <w:tabs>
              <w:tab w:val="right" w:leader="dot" w:pos="9524"/>
              <w:tab w:val="clear" w:pos="756"/>
              <w:tab w:val="clear" w:pos="966"/>
              <w:tab w:val="clear" w:pos="1204"/>
              <w:tab w:val="clear" w:pos="1442"/>
              <w:tab w:val="clear" w:pos="9514"/>
            </w:tabs>
          </w:pPr>
          <w:r>
            <w:fldChar w:fldCharType="begin"/>
          </w:r>
          <w:r>
            <w:instrText xml:space="preserve"> HYPERLINK \l _Toc28622 </w:instrText>
          </w:r>
          <w:r>
            <w:fldChar w:fldCharType="separate"/>
          </w:r>
          <w:r>
            <w:rPr>
              <w:rFonts w:hint="eastAsia" w:cs="Times New Roman" w:asciiTheme="majorEastAsia" w:hAnsiTheme="majorEastAsia"/>
              <w:bCs w:val="0"/>
              <w:szCs w:val="30"/>
              <w:lang w:val="zh-CN"/>
            </w:rPr>
            <w:t>二、 评标程序及标准</w:t>
          </w:r>
          <w:r>
            <w:tab/>
          </w:r>
          <w:r>
            <w:fldChar w:fldCharType="begin"/>
          </w:r>
          <w:r>
            <w:instrText xml:space="preserve"> PAGEREF _Toc28622 </w:instrText>
          </w:r>
          <w:r>
            <w:fldChar w:fldCharType="separate"/>
          </w:r>
          <w:r>
            <w:t>20</w:t>
          </w:r>
          <w:r>
            <w:fldChar w:fldCharType="end"/>
          </w:r>
          <w:r>
            <w:fldChar w:fldCharType="end"/>
          </w:r>
        </w:p>
        <w:p>
          <w:pPr>
            <w:pStyle w:val="17"/>
            <w:tabs>
              <w:tab w:val="right" w:leader="dot" w:pos="9524"/>
              <w:tab w:val="clear" w:pos="756"/>
              <w:tab w:val="clear" w:pos="966"/>
              <w:tab w:val="clear" w:pos="1204"/>
              <w:tab w:val="clear" w:pos="1442"/>
              <w:tab w:val="clear" w:pos="9514"/>
            </w:tabs>
          </w:pPr>
          <w:r>
            <w:fldChar w:fldCharType="begin"/>
          </w:r>
          <w:r>
            <w:instrText xml:space="preserve"> HYPERLINK \l _Toc32067 </w:instrText>
          </w:r>
          <w:r>
            <w:fldChar w:fldCharType="separate"/>
          </w:r>
          <w:r>
            <w:rPr>
              <w:rFonts w:hint="eastAsia" w:cs="Times New Roman" w:asciiTheme="majorEastAsia" w:hAnsiTheme="majorEastAsia"/>
              <w:bCs w:val="0"/>
              <w:szCs w:val="30"/>
              <w:lang w:val="zh-CN"/>
            </w:rPr>
            <w:t>三、 评审因素及评分标准</w:t>
          </w:r>
          <w:r>
            <w:tab/>
          </w:r>
          <w:r>
            <w:fldChar w:fldCharType="begin"/>
          </w:r>
          <w:r>
            <w:instrText xml:space="preserve"> PAGEREF _Toc32067 </w:instrText>
          </w:r>
          <w:r>
            <w:fldChar w:fldCharType="separate"/>
          </w:r>
          <w:r>
            <w:t>24</w:t>
          </w:r>
          <w:r>
            <w:fldChar w:fldCharType="end"/>
          </w:r>
          <w:r>
            <w:fldChar w:fldCharType="end"/>
          </w:r>
        </w:p>
        <w:p>
          <w:pPr>
            <w:pStyle w:val="15"/>
            <w:tabs>
              <w:tab w:val="right" w:leader="dot" w:pos="9524"/>
            </w:tabs>
          </w:pPr>
          <w:r>
            <w:fldChar w:fldCharType="begin"/>
          </w:r>
          <w:r>
            <w:instrText xml:space="preserve"> HYPERLINK \l _Toc14212 </w:instrText>
          </w:r>
          <w:r>
            <w:fldChar w:fldCharType="separate"/>
          </w:r>
          <w:r>
            <w:rPr>
              <w:rFonts w:hint="eastAsia" w:ascii="黑体" w:hAnsi="黑体" w:eastAsia="黑体"/>
            </w:rPr>
            <w:t>第六章 合同书格式（参考）</w:t>
          </w:r>
          <w:r>
            <w:tab/>
          </w:r>
          <w:r>
            <w:fldChar w:fldCharType="begin"/>
          </w:r>
          <w:r>
            <w:instrText xml:space="preserve"> PAGEREF _Toc14212 </w:instrText>
          </w:r>
          <w:r>
            <w:fldChar w:fldCharType="separate"/>
          </w:r>
          <w:r>
            <w:t>26</w:t>
          </w:r>
          <w:r>
            <w:fldChar w:fldCharType="end"/>
          </w:r>
          <w:r>
            <w:fldChar w:fldCharType="end"/>
          </w:r>
        </w:p>
        <w:p>
          <w:pPr>
            <w:pStyle w:val="15"/>
            <w:tabs>
              <w:tab w:val="right" w:leader="dot" w:pos="9524"/>
            </w:tabs>
          </w:pPr>
          <w:r>
            <w:fldChar w:fldCharType="begin"/>
          </w:r>
          <w:r>
            <w:instrText xml:space="preserve"> HYPERLINK \l _Toc12754 </w:instrText>
          </w:r>
          <w:r>
            <w:fldChar w:fldCharType="separate"/>
          </w:r>
          <w:r>
            <w:rPr>
              <w:rFonts w:hint="eastAsia" w:ascii="黑体" w:hAnsi="黑体" w:eastAsia="黑体"/>
            </w:rPr>
            <w:t>第七章 投标文件格式（参考）</w:t>
          </w:r>
          <w:r>
            <w:tab/>
          </w:r>
          <w:r>
            <w:fldChar w:fldCharType="begin"/>
          </w:r>
          <w:r>
            <w:instrText xml:space="preserve"> PAGEREF _Toc12754 </w:instrText>
          </w:r>
          <w:r>
            <w:fldChar w:fldCharType="separate"/>
          </w:r>
          <w:r>
            <w:t>30</w:t>
          </w:r>
          <w:r>
            <w:fldChar w:fldCharType="end"/>
          </w:r>
          <w:r>
            <w:fldChar w:fldCharType="end"/>
          </w:r>
        </w:p>
        <w:p>
          <w:pPr>
            <w:pStyle w:val="17"/>
            <w:tabs>
              <w:tab w:val="right" w:leader="dot" w:pos="9524"/>
              <w:tab w:val="clear" w:pos="756"/>
              <w:tab w:val="clear" w:pos="966"/>
              <w:tab w:val="clear" w:pos="1204"/>
              <w:tab w:val="clear" w:pos="1442"/>
              <w:tab w:val="clear" w:pos="9514"/>
            </w:tabs>
          </w:pPr>
          <w:r>
            <w:fldChar w:fldCharType="begin"/>
          </w:r>
          <w:r>
            <w:instrText xml:space="preserve"> HYPERLINK \l _Toc5347 </w:instrText>
          </w:r>
          <w:r>
            <w:fldChar w:fldCharType="separate"/>
          </w:r>
          <w:r>
            <w:rPr>
              <w:rFonts w:hint="eastAsia" w:cs="Times New Roman" w:asciiTheme="majorEastAsia" w:hAnsiTheme="majorEastAsia"/>
              <w:bCs w:val="0"/>
              <w:szCs w:val="44"/>
              <w:lang w:val="zh-CN"/>
            </w:rPr>
            <w:t>第一部分 资格证明文件</w:t>
          </w:r>
          <w:r>
            <w:tab/>
          </w:r>
          <w:r>
            <w:fldChar w:fldCharType="begin"/>
          </w:r>
          <w:r>
            <w:instrText xml:space="preserve"> PAGEREF _Toc5347 </w:instrText>
          </w:r>
          <w:r>
            <w:fldChar w:fldCharType="separate"/>
          </w:r>
          <w:r>
            <w:t>30</w:t>
          </w:r>
          <w:r>
            <w:fldChar w:fldCharType="end"/>
          </w:r>
          <w:r>
            <w:fldChar w:fldCharType="end"/>
          </w:r>
        </w:p>
        <w:p>
          <w:pPr>
            <w:pStyle w:val="17"/>
            <w:tabs>
              <w:tab w:val="right" w:leader="dot" w:pos="9524"/>
              <w:tab w:val="clear" w:pos="756"/>
              <w:tab w:val="clear" w:pos="966"/>
              <w:tab w:val="clear" w:pos="1204"/>
              <w:tab w:val="clear" w:pos="1442"/>
              <w:tab w:val="clear" w:pos="9514"/>
            </w:tabs>
          </w:pPr>
          <w:r>
            <w:fldChar w:fldCharType="begin"/>
          </w:r>
          <w:r>
            <w:instrText xml:space="preserve"> HYPERLINK \l _Toc20015 </w:instrText>
          </w:r>
          <w:r>
            <w:fldChar w:fldCharType="separate"/>
          </w:r>
          <w:r>
            <w:rPr>
              <w:rFonts w:hint="eastAsia" w:cs="Times New Roman" w:asciiTheme="majorEastAsia" w:hAnsiTheme="majorEastAsia"/>
              <w:bCs w:val="0"/>
              <w:szCs w:val="44"/>
              <w:lang w:val="zh-CN"/>
            </w:rPr>
            <w:t>第二部分 商务文件</w:t>
          </w:r>
          <w:r>
            <w:tab/>
          </w:r>
          <w:r>
            <w:fldChar w:fldCharType="begin"/>
          </w:r>
          <w:r>
            <w:instrText xml:space="preserve"> PAGEREF _Toc20015 </w:instrText>
          </w:r>
          <w:r>
            <w:fldChar w:fldCharType="separate"/>
          </w:r>
          <w:r>
            <w:t>32</w:t>
          </w:r>
          <w:r>
            <w:fldChar w:fldCharType="end"/>
          </w:r>
          <w:r>
            <w:fldChar w:fldCharType="end"/>
          </w:r>
        </w:p>
        <w:p>
          <w:pPr>
            <w:pStyle w:val="17"/>
            <w:tabs>
              <w:tab w:val="right" w:leader="dot" w:pos="9524"/>
              <w:tab w:val="clear" w:pos="756"/>
              <w:tab w:val="clear" w:pos="966"/>
              <w:tab w:val="clear" w:pos="1204"/>
              <w:tab w:val="clear" w:pos="1442"/>
              <w:tab w:val="clear" w:pos="9514"/>
            </w:tabs>
          </w:pPr>
          <w:r>
            <w:fldChar w:fldCharType="begin"/>
          </w:r>
          <w:r>
            <w:instrText xml:space="preserve"> HYPERLINK \l _Toc12674 </w:instrText>
          </w:r>
          <w:r>
            <w:fldChar w:fldCharType="separate"/>
          </w:r>
          <w:r>
            <w:rPr>
              <w:rFonts w:hint="eastAsia" w:cs="Times New Roman" w:asciiTheme="majorEastAsia" w:hAnsiTheme="majorEastAsia"/>
              <w:bCs w:val="0"/>
              <w:szCs w:val="44"/>
              <w:lang w:val="zh-CN"/>
            </w:rPr>
            <w:t>第三部分 技术、服务文件</w:t>
          </w:r>
          <w:r>
            <w:tab/>
          </w:r>
          <w:r>
            <w:fldChar w:fldCharType="begin"/>
          </w:r>
          <w:r>
            <w:instrText xml:space="preserve"> PAGEREF _Toc12674 </w:instrText>
          </w:r>
          <w:r>
            <w:fldChar w:fldCharType="separate"/>
          </w:r>
          <w:r>
            <w:t>34</w:t>
          </w:r>
          <w:r>
            <w:fldChar w:fldCharType="end"/>
          </w:r>
          <w:r>
            <w:fldChar w:fldCharType="end"/>
          </w:r>
        </w:p>
        <w:p>
          <w:pPr>
            <w:pStyle w:val="17"/>
            <w:tabs>
              <w:tab w:val="right" w:leader="dot" w:pos="9524"/>
              <w:tab w:val="clear" w:pos="756"/>
              <w:tab w:val="clear" w:pos="966"/>
              <w:tab w:val="clear" w:pos="1204"/>
              <w:tab w:val="clear" w:pos="1442"/>
              <w:tab w:val="clear" w:pos="9514"/>
            </w:tabs>
          </w:pPr>
          <w:r>
            <w:fldChar w:fldCharType="begin"/>
          </w:r>
          <w:r>
            <w:instrText xml:space="preserve"> HYPERLINK \l _Toc30165 </w:instrText>
          </w:r>
          <w:r>
            <w:fldChar w:fldCharType="separate"/>
          </w:r>
          <w:r>
            <w:rPr>
              <w:rFonts w:hint="eastAsia" w:ascii="宋体" w:hAnsi="宋体" w:eastAsia="宋体"/>
              <w:i w:val="0"/>
            </w:rPr>
            <w:t xml:space="preserve">附件一、 </w:t>
          </w:r>
          <w:r>
            <w:rPr>
              <w:rFonts w:hint="eastAsia" w:ascii="宋体" w:hAnsi="宋体" w:eastAsia="宋体"/>
            </w:rPr>
            <w:t>投标书</w:t>
          </w:r>
          <w:r>
            <w:tab/>
          </w:r>
          <w:r>
            <w:fldChar w:fldCharType="begin"/>
          </w:r>
          <w:r>
            <w:instrText xml:space="preserve"> PAGEREF _Toc30165 </w:instrText>
          </w:r>
          <w:r>
            <w:fldChar w:fldCharType="separate"/>
          </w:r>
          <w:r>
            <w:t>36</w:t>
          </w:r>
          <w:r>
            <w:fldChar w:fldCharType="end"/>
          </w:r>
          <w:r>
            <w:fldChar w:fldCharType="end"/>
          </w:r>
        </w:p>
        <w:p>
          <w:pPr>
            <w:pStyle w:val="17"/>
            <w:tabs>
              <w:tab w:val="right" w:leader="dot" w:pos="9524"/>
              <w:tab w:val="clear" w:pos="756"/>
              <w:tab w:val="clear" w:pos="966"/>
              <w:tab w:val="clear" w:pos="1204"/>
              <w:tab w:val="clear" w:pos="1442"/>
              <w:tab w:val="clear" w:pos="9514"/>
            </w:tabs>
          </w:pPr>
          <w:r>
            <w:fldChar w:fldCharType="begin"/>
          </w:r>
          <w:r>
            <w:instrText xml:space="preserve"> HYPERLINK \l _Toc18982 </w:instrText>
          </w:r>
          <w:r>
            <w:fldChar w:fldCharType="separate"/>
          </w:r>
          <w:r>
            <w:rPr>
              <w:rFonts w:hint="eastAsia" w:ascii="宋体" w:hAnsi="宋体" w:eastAsia="宋体"/>
              <w:i w:val="0"/>
            </w:rPr>
            <w:t xml:space="preserve">附件二、 </w:t>
          </w:r>
          <w:r>
            <w:rPr>
              <w:rFonts w:hint="eastAsia" w:ascii="宋体" w:hAnsi="宋体" w:eastAsia="宋体"/>
            </w:rPr>
            <w:t>开标一览表</w:t>
          </w:r>
          <w:r>
            <w:tab/>
          </w:r>
          <w:r>
            <w:fldChar w:fldCharType="begin"/>
          </w:r>
          <w:r>
            <w:instrText xml:space="preserve"> PAGEREF _Toc18982 </w:instrText>
          </w:r>
          <w:r>
            <w:fldChar w:fldCharType="separate"/>
          </w:r>
          <w:r>
            <w:t>37</w:t>
          </w:r>
          <w:r>
            <w:fldChar w:fldCharType="end"/>
          </w:r>
          <w:r>
            <w:fldChar w:fldCharType="end"/>
          </w:r>
        </w:p>
        <w:p>
          <w:pPr>
            <w:pStyle w:val="17"/>
            <w:tabs>
              <w:tab w:val="right" w:leader="dot" w:pos="9524"/>
              <w:tab w:val="clear" w:pos="756"/>
              <w:tab w:val="clear" w:pos="966"/>
              <w:tab w:val="clear" w:pos="1204"/>
              <w:tab w:val="clear" w:pos="1442"/>
              <w:tab w:val="clear" w:pos="9514"/>
            </w:tabs>
          </w:pPr>
          <w:r>
            <w:fldChar w:fldCharType="begin"/>
          </w:r>
          <w:r>
            <w:instrText xml:space="preserve"> HYPERLINK \l _Toc25801 </w:instrText>
          </w:r>
          <w:r>
            <w:fldChar w:fldCharType="separate"/>
          </w:r>
          <w:r>
            <w:rPr>
              <w:rFonts w:hint="eastAsia" w:ascii="宋体" w:hAnsi="宋体" w:eastAsia="宋体"/>
              <w:i w:val="0"/>
            </w:rPr>
            <w:t xml:space="preserve">附件三、 </w:t>
          </w:r>
          <w:r>
            <w:rPr>
              <w:rFonts w:hint="eastAsia" w:ascii="宋体" w:hAnsi="宋体" w:eastAsia="宋体"/>
            </w:rPr>
            <w:t>投标货物（工程或服务）清单</w:t>
          </w:r>
          <w:r>
            <w:tab/>
          </w:r>
          <w:r>
            <w:fldChar w:fldCharType="begin"/>
          </w:r>
          <w:r>
            <w:instrText xml:space="preserve"> PAGEREF _Toc25801 </w:instrText>
          </w:r>
          <w:r>
            <w:fldChar w:fldCharType="separate"/>
          </w:r>
          <w:r>
            <w:t>38</w:t>
          </w:r>
          <w:r>
            <w:fldChar w:fldCharType="end"/>
          </w:r>
          <w:r>
            <w:fldChar w:fldCharType="end"/>
          </w:r>
        </w:p>
        <w:p>
          <w:pPr>
            <w:pStyle w:val="17"/>
            <w:tabs>
              <w:tab w:val="right" w:leader="dot" w:pos="9524"/>
              <w:tab w:val="clear" w:pos="756"/>
              <w:tab w:val="clear" w:pos="966"/>
              <w:tab w:val="clear" w:pos="1204"/>
              <w:tab w:val="clear" w:pos="1442"/>
              <w:tab w:val="clear" w:pos="9514"/>
            </w:tabs>
          </w:pPr>
          <w:r>
            <w:fldChar w:fldCharType="begin"/>
          </w:r>
          <w:r>
            <w:instrText xml:space="preserve"> HYPERLINK \l _Toc7115 </w:instrText>
          </w:r>
          <w:r>
            <w:fldChar w:fldCharType="separate"/>
          </w:r>
          <w:r>
            <w:rPr>
              <w:rFonts w:hint="eastAsia" w:ascii="宋体" w:hAnsi="宋体" w:eastAsia="宋体"/>
              <w:i w:val="0"/>
            </w:rPr>
            <w:t xml:space="preserve">附件四、 </w:t>
          </w:r>
          <w:r>
            <w:rPr>
              <w:rFonts w:hint="eastAsia" w:ascii="宋体" w:hAnsi="宋体" w:eastAsia="宋体"/>
            </w:rPr>
            <w:t>交纳投标保证金的银行凭证</w:t>
          </w:r>
          <w:r>
            <w:tab/>
          </w:r>
          <w:r>
            <w:fldChar w:fldCharType="begin"/>
          </w:r>
          <w:r>
            <w:instrText xml:space="preserve"> PAGEREF _Toc7115 </w:instrText>
          </w:r>
          <w:r>
            <w:fldChar w:fldCharType="separate"/>
          </w:r>
          <w:r>
            <w:t>39</w:t>
          </w:r>
          <w:r>
            <w:fldChar w:fldCharType="end"/>
          </w:r>
          <w:r>
            <w:fldChar w:fldCharType="end"/>
          </w:r>
        </w:p>
        <w:p>
          <w:pPr>
            <w:pStyle w:val="17"/>
            <w:tabs>
              <w:tab w:val="right" w:leader="dot" w:pos="9524"/>
              <w:tab w:val="clear" w:pos="756"/>
              <w:tab w:val="clear" w:pos="966"/>
              <w:tab w:val="clear" w:pos="1204"/>
              <w:tab w:val="clear" w:pos="1442"/>
              <w:tab w:val="clear" w:pos="9514"/>
            </w:tabs>
          </w:pPr>
          <w:r>
            <w:fldChar w:fldCharType="begin"/>
          </w:r>
          <w:r>
            <w:instrText xml:space="preserve"> HYPERLINK \l _Toc14586 </w:instrText>
          </w:r>
          <w:r>
            <w:fldChar w:fldCharType="separate"/>
          </w:r>
          <w:r>
            <w:rPr>
              <w:rFonts w:hint="eastAsia" w:ascii="宋体" w:hAnsi="宋体" w:eastAsia="宋体"/>
              <w:i w:val="0"/>
            </w:rPr>
            <w:t xml:space="preserve">附件五、 </w:t>
          </w:r>
          <w:r>
            <w:rPr>
              <w:rFonts w:hint="eastAsia" w:ascii="宋体" w:hAnsi="宋体" w:eastAsia="宋体"/>
            </w:rPr>
            <w:t>法定代表人授权书</w:t>
          </w:r>
          <w:r>
            <w:tab/>
          </w:r>
          <w:r>
            <w:fldChar w:fldCharType="begin"/>
          </w:r>
          <w:r>
            <w:instrText xml:space="preserve"> PAGEREF _Toc14586 </w:instrText>
          </w:r>
          <w:r>
            <w:fldChar w:fldCharType="separate"/>
          </w:r>
          <w:r>
            <w:t>40</w:t>
          </w:r>
          <w:r>
            <w:fldChar w:fldCharType="end"/>
          </w:r>
          <w:r>
            <w:fldChar w:fldCharType="end"/>
          </w:r>
        </w:p>
        <w:p>
          <w:pPr>
            <w:pStyle w:val="17"/>
            <w:tabs>
              <w:tab w:val="right" w:leader="dot" w:pos="9524"/>
              <w:tab w:val="clear" w:pos="756"/>
              <w:tab w:val="clear" w:pos="966"/>
              <w:tab w:val="clear" w:pos="1204"/>
              <w:tab w:val="clear" w:pos="1442"/>
              <w:tab w:val="clear" w:pos="9514"/>
            </w:tabs>
          </w:pPr>
          <w:r>
            <w:fldChar w:fldCharType="begin"/>
          </w:r>
          <w:r>
            <w:instrText xml:space="preserve"> HYPERLINK \l _Toc22014 </w:instrText>
          </w:r>
          <w:r>
            <w:fldChar w:fldCharType="separate"/>
          </w:r>
          <w:r>
            <w:rPr>
              <w:rFonts w:hint="eastAsia" w:ascii="宋体" w:hAnsi="宋体" w:eastAsia="宋体"/>
              <w:i w:val="0"/>
            </w:rPr>
            <w:t xml:space="preserve">附件六、 </w:t>
          </w:r>
          <w:r>
            <w:rPr>
              <w:rFonts w:hint="eastAsia" w:ascii="宋体" w:hAnsi="宋体" w:eastAsia="宋体"/>
            </w:rPr>
            <w:t>投标人的资格声明</w:t>
          </w:r>
          <w:r>
            <w:tab/>
          </w:r>
          <w:r>
            <w:fldChar w:fldCharType="begin"/>
          </w:r>
          <w:r>
            <w:instrText xml:space="preserve"> PAGEREF _Toc22014 </w:instrText>
          </w:r>
          <w:r>
            <w:fldChar w:fldCharType="separate"/>
          </w:r>
          <w:r>
            <w:t>41</w:t>
          </w:r>
          <w:r>
            <w:fldChar w:fldCharType="end"/>
          </w:r>
          <w:r>
            <w:fldChar w:fldCharType="end"/>
          </w:r>
        </w:p>
        <w:p>
          <w:pPr>
            <w:pStyle w:val="17"/>
            <w:tabs>
              <w:tab w:val="right" w:leader="dot" w:pos="9524"/>
              <w:tab w:val="clear" w:pos="756"/>
              <w:tab w:val="clear" w:pos="966"/>
              <w:tab w:val="clear" w:pos="1204"/>
              <w:tab w:val="clear" w:pos="1442"/>
              <w:tab w:val="clear" w:pos="9514"/>
            </w:tabs>
          </w:pPr>
          <w:r>
            <w:fldChar w:fldCharType="begin"/>
          </w:r>
          <w:r>
            <w:instrText xml:space="preserve"> HYPERLINK \l _Toc12206 </w:instrText>
          </w:r>
          <w:r>
            <w:fldChar w:fldCharType="separate"/>
          </w:r>
          <w:r>
            <w:rPr>
              <w:rFonts w:hint="eastAsia" w:ascii="宋体" w:hAnsi="宋体" w:eastAsia="宋体"/>
              <w:i w:val="0"/>
            </w:rPr>
            <w:t xml:space="preserve">附件七、 </w:t>
          </w:r>
          <w:r>
            <w:rPr>
              <w:rFonts w:hint="eastAsia" w:ascii="宋体" w:hAnsi="宋体" w:eastAsia="宋体"/>
            </w:rPr>
            <w:t>项目负责人、技术负责人简历表</w:t>
          </w:r>
          <w:r>
            <w:tab/>
          </w:r>
          <w:r>
            <w:fldChar w:fldCharType="begin"/>
          </w:r>
          <w:r>
            <w:instrText xml:space="preserve"> PAGEREF _Toc12206 </w:instrText>
          </w:r>
          <w:r>
            <w:fldChar w:fldCharType="separate"/>
          </w:r>
          <w:r>
            <w:t>42</w:t>
          </w:r>
          <w:r>
            <w:fldChar w:fldCharType="end"/>
          </w:r>
          <w:r>
            <w:fldChar w:fldCharType="end"/>
          </w:r>
        </w:p>
        <w:p>
          <w:pPr>
            <w:pStyle w:val="17"/>
            <w:tabs>
              <w:tab w:val="right" w:leader="dot" w:pos="9524"/>
              <w:tab w:val="clear" w:pos="756"/>
              <w:tab w:val="clear" w:pos="966"/>
              <w:tab w:val="clear" w:pos="1204"/>
              <w:tab w:val="clear" w:pos="1442"/>
              <w:tab w:val="clear" w:pos="9514"/>
            </w:tabs>
          </w:pPr>
          <w:r>
            <w:fldChar w:fldCharType="begin"/>
          </w:r>
          <w:r>
            <w:instrText xml:space="preserve"> HYPERLINK \l _Toc9493 </w:instrText>
          </w:r>
          <w:r>
            <w:fldChar w:fldCharType="separate"/>
          </w:r>
          <w:r>
            <w:rPr>
              <w:rFonts w:hint="eastAsia" w:ascii="宋体" w:hAnsi="宋体" w:eastAsia="宋体"/>
              <w:i w:val="0"/>
            </w:rPr>
            <w:t xml:space="preserve">附件八、 </w:t>
          </w:r>
          <w:r>
            <w:rPr>
              <w:rFonts w:hint="eastAsia" w:ascii="宋体" w:hAnsi="宋体" w:eastAsia="宋体"/>
            </w:rPr>
            <w:t>项目班子成员情况表</w:t>
          </w:r>
          <w:r>
            <w:tab/>
          </w:r>
          <w:r>
            <w:fldChar w:fldCharType="begin"/>
          </w:r>
          <w:r>
            <w:instrText xml:space="preserve"> PAGEREF _Toc9493 </w:instrText>
          </w:r>
          <w:r>
            <w:fldChar w:fldCharType="separate"/>
          </w:r>
          <w:r>
            <w:t>44</w:t>
          </w:r>
          <w:r>
            <w:fldChar w:fldCharType="end"/>
          </w:r>
          <w:r>
            <w:fldChar w:fldCharType="end"/>
          </w:r>
        </w:p>
        <w:p>
          <w:pPr>
            <w:pStyle w:val="17"/>
            <w:tabs>
              <w:tab w:val="right" w:leader="dot" w:pos="9524"/>
              <w:tab w:val="clear" w:pos="756"/>
              <w:tab w:val="clear" w:pos="966"/>
              <w:tab w:val="clear" w:pos="1204"/>
              <w:tab w:val="clear" w:pos="1442"/>
              <w:tab w:val="clear" w:pos="9514"/>
            </w:tabs>
          </w:pPr>
          <w:r>
            <w:fldChar w:fldCharType="begin"/>
          </w:r>
          <w:r>
            <w:instrText xml:space="preserve"> HYPERLINK \l _Toc16234 </w:instrText>
          </w:r>
          <w:r>
            <w:fldChar w:fldCharType="separate"/>
          </w:r>
          <w:r>
            <w:rPr>
              <w:rFonts w:hint="eastAsia" w:ascii="宋体" w:hAnsi="宋体" w:eastAsia="宋体"/>
              <w:i w:val="0"/>
            </w:rPr>
            <w:t xml:space="preserve">附件九、 </w:t>
          </w:r>
          <w:r>
            <w:rPr>
              <w:rFonts w:hint="eastAsia" w:ascii="宋体" w:hAnsi="宋体" w:eastAsia="宋体"/>
            </w:rPr>
            <w:t>投标人类似项目业绩表</w:t>
          </w:r>
          <w:r>
            <w:tab/>
          </w:r>
          <w:r>
            <w:fldChar w:fldCharType="begin"/>
          </w:r>
          <w:r>
            <w:instrText xml:space="preserve"> PAGEREF _Toc16234 </w:instrText>
          </w:r>
          <w:r>
            <w:fldChar w:fldCharType="separate"/>
          </w:r>
          <w:r>
            <w:t>45</w:t>
          </w:r>
          <w:r>
            <w:fldChar w:fldCharType="end"/>
          </w:r>
          <w:r>
            <w:fldChar w:fldCharType="end"/>
          </w:r>
        </w:p>
        <w:p>
          <w:pPr>
            <w:pStyle w:val="17"/>
            <w:tabs>
              <w:tab w:val="right" w:leader="dot" w:pos="9524"/>
              <w:tab w:val="clear" w:pos="756"/>
              <w:tab w:val="clear" w:pos="966"/>
              <w:tab w:val="clear" w:pos="1204"/>
              <w:tab w:val="clear" w:pos="1442"/>
              <w:tab w:val="clear" w:pos="9514"/>
            </w:tabs>
          </w:pPr>
          <w:r>
            <w:fldChar w:fldCharType="begin"/>
          </w:r>
          <w:r>
            <w:instrText xml:space="preserve"> HYPERLINK \l _Toc15104 </w:instrText>
          </w:r>
          <w:r>
            <w:fldChar w:fldCharType="separate"/>
          </w:r>
          <w:r>
            <w:rPr>
              <w:rFonts w:hint="eastAsia" w:ascii="宋体" w:hAnsi="宋体" w:eastAsia="宋体"/>
              <w:i w:val="0"/>
            </w:rPr>
            <w:t xml:space="preserve">附件十、 </w:t>
          </w:r>
          <w:r>
            <w:rPr>
              <w:rFonts w:hint="eastAsia" w:ascii="宋体" w:hAnsi="宋体" w:eastAsia="宋体"/>
            </w:rPr>
            <w:t>符合性审查对照表</w:t>
          </w:r>
          <w:r>
            <w:tab/>
          </w:r>
          <w:r>
            <w:fldChar w:fldCharType="begin"/>
          </w:r>
          <w:r>
            <w:instrText xml:space="preserve"> PAGEREF _Toc15104 </w:instrText>
          </w:r>
          <w:r>
            <w:fldChar w:fldCharType="separate"/>
          </w:r>
          <w:r>
            <w:t>46</w:t>
          </w:r>
          <w:r>
            <w:fldChar w:fldCharType="end"/>
          </w:r>
          <w:r>
            <w:fldChar w:fldCharType="end"/>
          </w:r>
        </w:p>
        <w:p>
          <w:pPr>
            <w:pStyle w:val="17"/>
            <w:tabs>
              <w:tab w:val="right" w:leader="dot" w:pos="9524"/>
              <w:tab w:val="clear" w:pos="756"/>
              <w:tab w:val="clear" w:pos="966"/>
              <w:tab w:val="clear" w:pos="1204"/>
              <w:tab w:val="clear" w:pos="1442"/>
              <w:tab w:val="clear" w:pos="9514"/>
            </w:tabs>
          </w:pPr>
          <w:r>
            <w:fldChar w:fldCharType="begin"/>
          </w:r>
          <w:r>
            <w:instrText xml:space="preserve"> HYPERLINK \l _Toc31212 </w:instrText>
          </w:r>
          <w:r>
            <w:fldChar w:fldCharType="separate"/>
          </w:r>
          <w:r>
            <w:rPr>
              <w:rFonts w:hint="eastAsia" w:ascii="宋体" w:hAnsi="宋体" w:eastAsia="宋体"/>
              <w:i w:val="0"/>
            </w:rPr>
            <w:t xml:space="preserve">附件十一、 </w:t>
          </w:r>
          <w:r>
            <w:rPr>
              <w:rFonts w:hint="eastAsia" w:ascii="宋体" w:hAnsi="宋体" w:eastAsia="宋体"/>
            </w:rPr>
            <w:t>商务要求响应、偏离说明表</w:t>
          </w:r>
          <w:r>
            <w:tab/>
          </w:r>
          <w:r>
            <w:fldChar w:fldCharType="begin"/>
          </w:r>
          <w:r>
            <w:instrText xml:space="preserve"> PAGEREF _Toc31212 </w:instrText>
          </w:r>
          <w:r>
            <w:fldChar w:fldCharType="separate"/>
          </w:r>
          <w:r>
            <w:t>48</w:t>
          </w:r>
          <w:r>
            <w:fldChar w:fldCharType="end"/>
          </w:r>
          <w:r>
            <w:fldChar w:fldCharType="end"/>
          </w:r>
        </w:p>
        <w:p>
          <w:pPr>
            <w:pStyle w:val="17"/>
            <w:tabs>
              <w:tab w:val="right" w:leader="dot" w:pos="9524"/>
              <w:tab w:val="clear" w:pos="756"/>
              <w:tab w:val="clear" w:pos="966"/>
              <w:tab w:val="clear" w:pos="1204"/>
              <w:tab w:val="clear" w:pos="1442"/>
              <w:tab w:val="clear" w:pos="9514"/>
            </w:tabs>
          </w:pPr>
          <w:r>
            <w:fldChar w:fldCharType="begin"/>
          </w:r>
          <w:r>
            <w:instrText xml:space="preserve"> HYPERLINK \l _Toc13259 </w:instrText>
          </w:r>
          <w:r>
            <w:fldChar w:fldCharType="separate"/>
          </w:r>
          <w:r>
            <w:rPr>
              <w:rFonts w:hint="eastAsia" w:ascii="宋体" w:hAnsi="宋体" w:eastAsia="宋体"/>
              <w:i w:val="0"/>
            </w:rPr>
            <w:t xml:space="preserve">附件十二、 </w:t>
          </w:r>
          <w:r>
            <w:rPr>
              <w:rFonts w:hint="eastAsia" w:ascii="宋体" w:hAnsi="宋体" w:eastAsia="宋体"/>
            </w:rPr>
            <w:t>商务要求“★”号条款响应、偏离说明表</w:t>
          </w:r>
          <w:r>
            <w:tab/>
          </w:r>
          <w:r>
            <w:fldChar w:fldCharType="begin"/>
          </w:r>
          <w:r>
            <w:instrText xml:space="preserve"> PAGEREF _Toc13259 </w:instrText>
          </w:r>
          <w:r>
            <w:fldChar w:fldCharType="separate"/>
          </w:r>
          <w:r>
            <w:t>49</w:t>
          </w:r>
          <w:r>
            <w:fldChar w:fldCharType="end"/>
          </w:r>
          <w:r>
            <w:fldChar w:fldCharType="end"/>
          </w:r>
        </w:p>
        <w:p>
          <w:pPr>
            <w:pStyle w:val="17"/>
            <w:tabs>
              <w:tab w:val="right" w:leader="dot" w:pos="9524"/>
              <w:tab w:val="clear" w:pos="756"/>
              <w:tab w:val="clear" w:pos="966"/>
              <w:tab w:val="clear" w:pos="1204"/>
              <w:tab w:val="clear" w:pos="1442"/>
              <w:tab w:val="clear" w:pos="9514"/>
            </w:tabs>
          </w:pPr>
          <w:r>
            <w:fldChar w:fldCharType="begin"/>
          </w:r>
          <w:r>
            <w:instrText xml:space="preserve"> HYPERLINK \l _Toc16183 </w:instrText>
          </w:r>
          <w:r>
            <w:fldChar w:fldCharType="separate"/>
          </w:r>
          <w:r>
            <w:rPr>
              <w:rFonts w:hint="eastAsia" w:ascii="宋体" w:hAnsi="宋体" w:eastAsia="宋体"/>
              <w:i w:val="0"/>
            </w:rPr>
            <w:t xml:space="preserve">附件十三、 </w:t>
          </w:r>
          <w:r>
            <w:rPr>
              <w:rFonts w:hint="eastAsia" w:ascii="宋体" w:hAnsi="宋体" w:eastAsia="宋体"/>
            </w:rPr>
            <w:t>商务评议对照表</w:t>
          </w:r>
          <w:r>
            <w:tab/>
          </w:r>
          <w:r>
            <w:fldChar w:fldCharType="begin"/>
          </w:r>
          <w:r>
            <w:instrText xml:space="preserve"> PAGEREF _Toc16183 </w:instrText>
          </w:r>
          <w:r>
            <w:fldChar w:fldCharType="separate"/>
          </w:r>
          <w:r>
            <w:t>50</w:t>
          </w:r>
          <w:r>
            <w:fldChar w:fldCharType="end"/>
          </w:r>
          <w:r>
            <w:fldChar w:fldCharType="end"/>
          </w:r>
        </w:p>
        <w:p>
          <w:pPr>
            <w:pStyle w:val="17"/>
            <w:tabs>
              <w:tab w:val="right" w:leader="dot" w:pos="9524"/>
              <w:tab w:val="clear" w:pos="756"/>
              <w:tab w:val="clear" w:pos="966"/>
              <w:tab w:val="clear" w:pos="1204"/>
              <w:tab w:val="clear" w:pos="1442"/>
              <w:tab w:val="clear" w:pos="9514"/>
            </w:tabs>
          </w:pPr>
          <w:r>
            <w:fldChar w:fldCharType="begin"/>
          </w:r>
          <w:r>
            <w:instrText xml:space="preserve"> HYPERLINK \l _Toc23304 </w:instrText>
          </w:r>
          <w:r>
            <w:fldChar w:fldCharType="separate"/>
          </w:r>
          <w:r>
            <w:rPr>
              <w:rFonts w:hint="eastAsia" w:ascii="宋体" w:hAnsi="宋体" w:eastAsia="宋体"/>
              <w:i w:val="0"/>
            </w:rPr>
            <w:t xml:space="preserve">附件十四、 </w:t>
          </w:r>
          <w:r>
            <w:rPr>
              <w:rFonts w:hint="eastAsia" w:ascii="宋体" w:hAnsi="宋体" w:eastAsia="宋体"/>
            </w:rPr>
            <w:t>技术、服务要求响应、偏离说明表</w:t>
          </w:r>
          <w:r>
            <w:tab/>
          </w:r>
          <w:r>
            <w:fldChar w:fldCharType="begin"/>
          </w:r>
          <w:r>
            <w:instrText xml:space="preserve"> PAGEREF _Toc23304 </w:instrText>
          </w:r>
          <w:r>
            <w:fldChar w:fldCharType="separate"/>
          </w:r>
          <w:r>
            <w:t>51</w:t>
          </w:r>
          <w:r>
            <w:fldChar w:fldCharType="end"/>
          </w:r>
          <w:r>
            <w:fldChar w:fldCharType="end"/>
          </w:r>
        </w:p>
        <w:p>
          <w:pPr>
            <w:pStyle w:val="17"/>
            <w:tabs>
              <w:tab w:val="right" w:leader="dot" w:pos="9524"/>
              <w:tab w:val="clear" w:pos="756"/>
              <w:tab w:val="clear" w:pos="966"/>
              <w:tab w:val="clear" w:pos="1204"/>
              <w:tab w:val="clear" w:pos="1442"/>
              <w:tab w:val="clear" w:pos="9514"/>
            </w:tabs>
          </w:pPr>
          <w:r>
            <w:fldChar w:fldCharType="begin"/>
          </w:r>
          <w:r>
            <w:instrText xml:space="preserve"> HYPERLINK \l _Toc20930 </w:instrText>
          </w:r>
          <w:r>
            <w:fldChar w:fldCharType="separate"/>
          </w:r>
          <w:r>
            <w:rPr>
              <w:rFonts w:hint="eastAsia" w:ascii="宋体" w:hAnsi="宋体" w:eastAsia="宋体"/>
              <w:i w:val="0"/>
            </w:rPr>
            <w:t xml:space="preserve">附件十五、 </w:t>
          </w:r>
          <w:r>
            <w:rPr>
              <w:rFonts w:hint="eastAsia" w:ascii="宋体" w:hAnsi="宋体" w:eastAsia="宋体"/>
            </w:rPr>
            <w:t>技术、服务要求“★”号条款响应、偏离说明表</w:t>
          </w:r>
          <w:r>
            <w:tab/>
          </w:r>
          <w:r>
            <w:fldChar w:fldCharType="begin"/>
          </w:r>
          <w:r>
            <w:instrText xml:space="preserve"> PAGEREF _Toc20930 </w:instrText>
          </w:r>
          <w:r>
            <w:fldChar w:fldCharType="separate"/>
          </w:r>
          <w:r>
            <w:t>52</w:t>
          </w:r>
          <w:r>
            <w:fldChar w:fldCharType="end"/>
          </w:r>
          <w:r>
            <w:fldChar w:fldCharType="end"/>
          </w:r>
        </w:p>
        <w:p>
          <w:pPr>
            <w:pStyle w:val="17"/>
            <w:tabs>
              <w:tab w:val="right" w:leader="dot" w:pos="9524"/>
              <w:tab w:val="clear" w:pos="756"/>
              <w:tab w:val="clear" w:pos="966"/>
              <w:tab w:val="clear" w:pos="1204"/>
              <w:tab w:val="clear" w:pos="1442"/>
              <w:tab w:val="clear" w:pos="9514"/>
            </w:tabs>
          </w:pPr>
          <w:r>
            <w:fldChar w:fldCharType="begin"/>
          </w:r>
          <w:r>
            <w:instrText xml:space="preserve"> HYPERLINK \l _Toc16829 </w:instrText>
          </w:r>
          <w:r>
            <w:fldChar w:fldCharType="separate"/>
          </w:r>
          <w:r>
            <w:rPr>
              <w:rFonts w:hint="eastAsia" w:ascii="宋体" w:hAnsi="宋体" w:eastAsia="宋体"/>
              <w:i w:val="0"/>
            </w:rPr>
            <w:t xml:space="preserve">附件十六、 </w:t>
          </w:r>
          <w:r>
            <w:rPr>
              <w:rFonts w:hint="eastAsia" w:ascii="宋体" w:hAnsi="宋体" w:eastAsia="宋体"/>
            </w:rPr>
            <w:t>技术、服务评议对照表</w:t>
          </w:r>
          <w:r>
            <w:tab/>
          </w:r>
          <w:r>
            <w:fldChar w:fldCharType="begin"/>
          </w:r>
          <w:r>
            <w:instrText xml:space="preserve"> PAGEREF _Toc16829 </w:instrText>
          </w:r>
          <w:r>
            <w:fldChar w:fldCharType="separate"/>
          </w:r>
          <w:r>
            <w:t>53</w:t>
          </w:r>
          <w:r>
            <w:fldChar w:fldCharType="end"/>
          </w:r>
          <w:r>
            <w:fldChar w:fldCharType="end"/>
          </w:r>
        </w:p>
        <w:p>
          <w:pPr>
            <w:pStyle w:val="15"/>
            <w:tabs>
              <w:tab w:val="left" w:pos="1260"/>
              <w:tab w:val="right" w:leader="dot" w:pos="9514"/>
            </w:tabs>
          </w:pPr>
          <w:r>
            <w:fldChar w:fldCharType="end"/>
          </w:r>
          <w:r>
            <w:rPr>
              <w:b w:val="0"/>
              <w:bCs/>
              <w:lang w:val="zh-CN"/>
            </w:rPr>
            <w:tab/>
          </w:r>
        </w:p>
      </w:sdtContent>
    </w:sdt>
    <w:p>
      <w:pPr>
        <w:pStyle w:val="4"/>
        <w:numPr>
          <w:ilvl w:val="0"/>
          <w:numId w:val="2"/>
        </w:numPr>
        <w:spacing w:before="240" w:after="120"/>
        <w:ind w:left="883" w:hanging="880" w:hangingChars="200"/>
        <w:jc w:val="center"/>
        <w:rPr>
          <w:rFonts w:ascii="黑体" w:hAnsi="黑体" w:eastAsia="黑体"/>
        </w:rPr>
        <w:sectPr>
          <w:footerReference r:id="rId6" w:type="default"/>
          <w:pgSz w:w="11906" w:h="16838"/>
          <w:pgMar w:top="1134" w:right="1191" w:bottom="1134" w:left="1191" w:header="851" w:footer="851" w:gutter="0"/>
          <w:pgNumType w:start="1"/>
          <w:cols w:space="425" w:num="1"/>
          <w:docGrid w:type="linesAndChars" w:linePitch="312" w:charSpace="0"/>
        </w:sectPr>
      </w:pPr>
    </w:p>
    <w:p>
      <w:pPr>
        <w:pStyle w:val="4"/>
        <w:numPr>
          <w:ilvl w:val="0"/>
          <w:numId w:val="2"/>
        </w:numPr>
        <w:spacing w:before="240" w:after="120"/>
        <w:ind w:left="885" w:hanging="880" w:hangingChars="200"/>
        <w:jc w:val="center"/>
        <w:rPr>
          <w:rFonts w:ascii="黑体" w:hAnsi="黑体" w:eastAsia="黑体"/>
        </w:rPr>
      </w:pPr>
      <w:bookmarkStart w:id="0" w:name="_Toc24144"/>
      <w:r>
        <w:rPr>
          <w:rFonts w:hint="eastAsia" w:ascii="黑体" w:hAnsi="黑体" w:eastAsia="黑体"/>
        </w:rPr>
        <w:t>投标邀请书</w:t>
      </w:r>
      <w:bookmarkEnd w:id="0"/>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50" w:afterAutospacing="0" w:line="360" w:lineRule="auto"/>
        <w:ind w:left="0" w:right="0" w:firstLine="482"/>
        <w:jc w:val="both"/>
        <w:textAlignment w:val="auto"/>
        <w:outlineLvl w:val="9"/>
        <w:rPr>
          <w:rFonts w:hint="default" w:ascii="Segoe UI" w:hAnsi="Segoe UI" w:eastAsia="Segoe UI" w:cs="Segoe UI"/>
          <w:b w:val="0"/>
          <w:i w:val="0"/>
          <w:caps w:val="0"/>
          <w:color w:val="333333"/>
          <w:spacing w:val="0"/>
          <w:sz w:val="24"/>
          <w:szCs w:val="24"/>
        </w:rPr>
      </w:pPr>
      <w:r>
        <w:rPr>
          <w:rFonts w:hint="default" w:ascii="Segoe UI" w:hAnsi="Segoe UI" w:eastAsia="Segoe UI" w:cs="Segoe UI"/>
          <w:b w:val="0"/>
          <w:i w:val="0"/>
          <w:caps w:val="0"/>
          <w:color w:val="333333"/>
          <w:spacing w:val="0"/>
          <w:kern w:val="0"/>
          <w:sz w:val="24"/>
          <w:szCs w:val="24"/>
          <w:shd w:val="clear" w:fill="FFFFFF"/>
          <w:lang w:val="en-US" w:eastAsia="zh-CN" w:bidi="ar"/>
        </w:rPr>
        <w:t>依据</w:t>
      </w:r>
      <w:r>
        <w:rPr>
          <w:rFonts w:hint="eastAsia" w:ascii="宋体" w:hAnsi="宋体" w:eastAsia="宋体" w:cs="Times New Roman"/>
          <w:sz w:val="24"/>
          <w:szCs w:val="24"/>
        </w:rPr>
        <w:t>阳财采计备[201</w:t>
      </w:r>
      <w:r>
        <w:rPr>
          <w:rFonts w:hint="eastAsia" w:ascii="宋体" w:hAnsi="宋体" w:eastAsia="宋体" w:cs="Times New Roman"/>
          <w:sz w:val="24"/>
          <w:szCs w:val="24"/>
          <w:lang w:val="en-US" w:eastAsia="zh-CN"/>
        </w:rPr>
        <w:t>9</w:t>
      </w:r>
      <w:r>
        <w:rPr>
          <w:rFonts w:hint="eastAsia" w:ascii="宋体" w:hAnsi="宋体" w:eastAsia="宋体" w:cs="Times New Roman"/>
          <w:sz w:val="24"/>
          <w:szCs w:val="24"/>
        </w:rPr>
        <w:t>]A</w:t>
      </w:r>
      <w:r>
        <w:rPr>
          <w:rFonts w:hint="eastAsia" w:ascii="宋体" w:hAnsi="宋体" w:eastAsia="宋体" w:cs="Times New Roman"/>
          <w:sz w:val="24"/>
          <w:szCs w:val="24"/>
          <w:lang w:val="en-US" w:eastAsia="zh-CN"/>
        </w:rPr>
        <w:t>49</w:t>
      </w:r>
      <w:r>
        <w:rPr>
          <w:rFonts w:hint="eastAsia" w:ascii="宋体" w:hAnsi="宋体" w:eastAsia="宋体" w:cs="Times New Roman"/>
          <w:sz w:val="24"/>
          <w:szCs w:val="24"/>
        </w:rPr>
        <w:t>号</w:t>
      </w:r>
      <w:r>
        <w:rPr>
          <w:rFonts w:hint="default" w:ascii="Segoe UI" w:hAnsi="Segoe UI" w:eastAsia="Segoe UI" w:cs="Segoe UI"/>
          <w:b w:val="0"/>
          <w:i w:val="0"/>
          <w:caps w:val="0"/>
          <w:color w:val="333333"/>
          <w:spacing w:val="0"/>
          <w:kern w:val="0"/>
          <w:sz w:val="24"/>
          <w:szCs w:val="24"/>
          <w:shd w:val="clear" w:fill="FFFFFF"/>
          <w:lang w:val="en-US" w:eastAsia="zh-CN" w:bidi="ar"/>
        </w:rPr>
        <w:t>的要求，</w:t>
      </w:r>
      <w:r>
        <w:rPr>
          <w:rFonts w:hint="eastAsia" w:ascii="Segoe UI" w:hAnsi="Segoe UI" w:eastAsia="Segoe UI" w:cs="Segoe UI"/>
          <w:b w:val="0"/>
          <w:i w:val="0"/>
          <w:caps w:val="0"/>
          <w:color w:val="333333"/>
          <w:spacing w:val="0"/>
          <w:kern w:val="0"/>
          <w:sz w:val="24"/>
          <w:szCs w:val="24"/>
          <w:shd w:val="clear" w:fill="FFFFFF"/>
          <w:lang w:val="en-US" w:eastAsia="zh-CN" w:bidi="ar"/>
        </w:rPr>
        <w:t>阳新县公共资源交易中心</w:t>
      </w:r>
      <w:r>
        <w:rPr>
          <w:rFonts w:hint="default" w:ascii="Segoe UI" w:hAnsi="Segoe UI" w:eastAsia="Segoe UI" w:cs="Segoe UI"/>
          <w:b w:val="0"/>
          <w:i w:val="0"/>
          <w:caps w:val="0"/>
          <w:color w:val="333333"/>
          <w:spacing w:val="0"/>
          <w:kern w:val="0"/>
          <w:sz w:val="24"/>
          <w:szCs w:val="24"/>
          <w:shd w:val="clear" w:fill="FFFFFF"/>
          <w:lang w:val="en-US" w:eastAsia="zh-CN" w:bidi="ar"/>
        </w:rPr>
        <w:t>受</w:t>
      </w:r>
      <w:r>
        <w:rPr>
          <w:rFonts w:hint="eastAsia" w:ascii="Segoe UI" w:hAnsi="Segoe UI" w:eastAsia="Segoe UI" w:cs="Segoe UI"/>
          <w:b w:val="0"/>
          <w:i w:val="0"/>
          <w:caps w:val="0"/>
          <w:color w:val="333333"/>
          <w:spacing w:val="0"/>
          <w:kern w:val="0"/>
          <w:sz w:val="24"/>
          <w:szCs w:val="24"/>
          <w:shd w:val="clear" w:fill="FFFFFF"/>
          <w:lang w:val="en-US" w:eastAsia="zh-CN" w:bidi="ar"/>
        </w:rPr>
        <w:t>阳新县民政局</w:t>
      </w:r>
      <w:r>
        <w:rPr>
          <w:rFonts w:hint="default" w:ascii="Segoe UI" w:hAnsi="Segoe UI" w:eastAsia="Segoe UI" w:cs="Segoe UI"/>
          <w:b w:val="0"/>
          <w:i w:val="0"/>
          <w:caps w:val="0"/>
          <w:color w:val="333333"/>
          <w:spacing w:val="0"/>
          <w:kern w:val="0"/>
          <w:sz w:val="24"/>
          <w:szCs w:val="24"/>
          <w:shd w:val="clear" w:fill="FFFFFF"/>
          <w:lang w:val="en-US" w:eastAsia="zh-CN" w:bidi="ar"/>
        </w:rPr>
        <w:t>的委托，就</w:t>
      </w:r>
      <w:r>
        <w:rPr>
          <w:rFonts w:hint="eastAsia" w:ascii="Segoe UI" w:hAnsi="Segoe UI" w:eastAsia="Segoe UI" w:cs="Segoe UI"/>
          <w:b w:val="0"/>
          <w:i w:val="0"/>
          <w:caps w:val="0"/>
          <w:color w:val="333333"/>
          <w:spacing w:val="0"/>
          <w:kern w:val="0"/>
          <w:sz w:val="24"/>
          <w:szCs w:val="24"/>
          <w:shd w:val="clear" w:fill="FFFFFF"/>
          <w:lang w:val="en-US" w:eastAsia="zh-CN" w:bidi="ar"/>
        </w:rPr>
        <w:t>阳新县地名志编纂出版招标项目</w:t>
      </w:r>
      <w:r>
        <w:rPr>
          <w:rFonts w:hint="default" w:ascii="Segoe UI" w:hAnsi="Segoe UI" w:eastAsia="Segoe UI" w:cs="Segoe UI"/>
          <w:b w:val="0"/>
          <w:i w:val="0"/>
          <w:caps w:val="0"/>
          <w:color w:val="333333"/>
          <w:spacing w:val="0"/>
          <w:kern w:val="0"/>
          <w:sz w:val="24"/>
          <w:szCs w:val="24"/>
          <w:shd w:val="clear" w:fill="FFFFFF"/>
          <w:lang w:val="en-US" w:eastAsia="zh-CN" w:bidi="ar"/>
        </w:rPr>
        <w:t>进行公开招标采购，欢迎符合条件的供应商投标。</w:t>
      </w:r>
    </w:p>
    <w:p>
      <w:pPr>
        <w:keepNext w:val="0"/>
        <w:keepLines w:val="0"/>
        <w:pageBreakBefore w:val="0"/>
        <w:widowControl/>
        <w:numPr>
          <w:ilvl w:val="0"/>
          <w:numId w:val="3"/>
        </w:numPr>
        <w:suppressLineNumbers w:val="0"/>
        <w:shd w:val="clear" w:fill="FFFFFF"/>
        <w:kinsoku/>
        <w:wordWrap/>
        <w:overflowPunct/>
        <w:topLinePunct w:val="0"/>
        <w:autoSpaceDE/>
        <w:autoSpaceDN/>
        <w:bidi w:val="0"/>
        <w:adjustRightInd/>
        <w:snapToGrid/>
        <w:spacing w:before="0" w:beforeAutospacing="0" w:after="150" w:afterAutospacing="0" w:line="300" w:lineRule="exact"/>
        <w:ind w:left="490" w:right="0" w:hanging="490"/>
        <w:jc w:val="both"/>
        <w:textAlignment w:val="auto"/>
        <w:outlineLvl w:val="9"/>
        <w:rPr>
          <w:rFonts w:hint="eastAsia" w:ascii="Segoe UI" w:hAnsi="Segoe UI" w:eastAsia="Segoe UI" w:cs="Segoe UI"/>
          <w:b w:val="0"/>
          <w:i w:val="0"/>
          <w:caps w:val="0"/>
          <w:color w:val="333333"/>
          <w:spacing w:val="0"/>
          <w:kern w:val="0"/>
          <w:sz w:val="24"/>
          <w:szCs w:val="24"/>
          <w:shd w:val="clear" w:fill="FFFFFF"/>
          <w:lang w:val="en-US" w:eastAsia="zh-CN" w:bidi="ar"/>
        </w:rPr>
      </w:pPr>
      <w:r>
        <w:rPr>
          <w:rFonts w:hint="default" w:ascii="Segoe UI" w:hAnsi="Segoe UI" w:eastAsia="Segoe UI" w:cs="Segoe UI"/>
          <w:b/>
          <w:i w:val="0"/>
          <w:caps w:val="0"/>
          <w:color w:val="333333"/>
          <w:spacing w:val="0"/>
          <w:kern w:val="0"/>
          <w:sz w:val="24"/>
          <w:szCs w:val="24"/>
          <w:shd w:val="clear" w:fill="FFFFFF"/>
          <w:lang w:val="en-US" w:eastAsia="zh-CN" w:bidi="ar"/>
        </w:rPr>
        <w:t>项目编号：</w:t>
      </w:r>
      <w:r>
        <w:rPr>
          <w:rFonts w:hint="default" w:ascii="Segoe UI" w:hAnsi="Segoe UI" w:eastAsia="Segoe UI" w:cs="Segoe UI"/>
          <w:b w:val="0"/>
          <w:i w:val="0"/>
          <w:caps w:val="0"/>
          <w:color w:val="333333"/>
          <w:spacing w:val="0"/>
          <w:kern w:val="0"/>
          <w:sz w:val="24"/>
          <w:szCs w:val="24"/>
          <w:shd w:val="clear" w:fill="FFFFFF"/>
          <w:lang w:val="en-US" w:eastAsia="zh-CN" w:bidi="ar"/>
        </w:rPr>
        <w:t>131－Zcg.201</w:t>
      </w:r>
      <w:r>
        <w:rPr>
          <w:rFonts w:hint="eastAsia" w:ascii="Segoe UI" w:hAnsi="Segoe UI" w:eastAsia="Segoe UI" w:cs="Segoe UI"/>
          <w:b w:val="0"/>
          <w:i w:val="0"/>
          <w:caps w:val="0"/>
          <w:color w:val="333333"/>
          <w:spacing w:val="0"/>
          <w:kern w:val="0"/>
          <w:sz w:val="24"/>
          <w:szCs w:val="24"/>
          <w:shd w:val="clear" w:fill="FFFFFF"/>
          <w:lang w:val="en-US" w:eastAsia="zh-CN" w:bidi="ar"/>
        </w:rPr>
        <w:t>9</w:t>
      </w:r>
      <w:r>
        <w:rPr>
          <w:rFonts w:hint="default" w:ascii="Segoe UI" w:hAnsi="Segoe UI" w:eastAsia="Segoe UI" w:cs="Segoe UI"/>
          <w:b w:val="0"/>
          <w:i w:val="0"/>
          <w:caps w:val="0"/>
          <w:color w:val="333333"/>
          <w:spacing w:val="0"/>
          <w:kern w:val="0"/>
          <w:sz w:val="24"/>
          <w:szCs w:val="24"/>
          <w:shd w:val="clear" w:fill="FFFFFF"/>
          <w:lang w:val="en-US" w:eastAsia="zh-CN" w:bidi="ar"/>
        </w:rPr>
        <w:t>－</w:t>
      </w:r>
      <w:r>
        <w:rPr>
          <w:rFonts w:hint="eastAsia" w:ascii="Segoe UI" w:hAnsi="Segoe UI" w:eastAsia="Segoe UI" w:cs="Segoe UI"/>
          <w:b w:val="0"/>
          <w:i w:val="0"/>
          <w:caps w:val="0"/>
          <w:color w:val="333333"/>
          <w:spacing w:val="0"/>
          <w:kern w:val="0"/>
          <w:sz w:val="24"/>
          <w:szCs w:val="24"/>
          <w:shd w:val="clear" w:fill="FFFFFF"/>
          <w:lang w:val="en-US" w:eastAsia="zh-CN" w:bidi="ar"/>
        </w:rPr>
        <w:t>98</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0" w:beforeAutospacing="0" w:after="150" w:afterAutospacing="0" w:line="300" w:lineRule="exact"/>
        <w:ind w:leftChars="0" w:right="0" w:rightChars="0"/>
        <w:jc w:val="both"/>
        <w:textAlignment w:val="auto"/>
        <w:outlineLvl w:val="9"/>
        <w:rPr>
          <w:rFonts w:hint="default" w:ascii="Segoe UI" w:hAnsi="Segoe UI" w:eastAsia="Segoe UI" w:cs="Segoe UI"/>
          <w:b w:val="0"/>
          <w:i w:val="0"/>
          <w:caps w:val="0"/>
          <w:color w:val="333333"/>
          <w:spacing w:val="0"/>
          <w:sz w:val="24"/>
          <w:szCs w:val="24"/>
        </w:rPr>
      </w:pPr>
      <w:r>
        <w:rPr>
          <w:rFonts w:hint="default" w:ascii="Segoe UI" w:hAnsi="Segoe UI" w:eastAsia="Segoe UI" w:cs="Segoe UI"/>
          <w:b w:val="0"/>
          <w:i w:val="0"/>
          <w:caps w:val="0"/>
          <w:color w:val="333333"/>
          <w:spacing w:val="0"/>
          <w:kern w:val="0"/>
          <w:sz w:val="24"/>
          <w:szCs w:val="24"/>
          <w:shd w:val="clear" w:fill="FFFFFF"/>
          <w:lang w:val="en-US" w:eastAsia="zh-CN" w:bidi="ar"/>
        </w:rPr>
        <w:t>二、</w:t>
      </w:r>
      <w:r>
        <w:rPr>
          <w:rFonts w:hint="default" w:ascii="Segoe UI" w:hAnsi="Segoe UI" w:eastAsia="Segoe UI" w:cs="Segoe UI"/>
          <w:b/>
          <w:i w:val="0"/>
          <w:caps w:val="0"/>
          <w:color w:val="333333"/>
          <w:spacing w:val="0"/>
          <w:kern w:val="0"/>
          <w:sz w:val="24"/>
          <w:szCs w:val="24"/>
          <w:shd w:val="clear" w:fill="FFFFFF"/>
          <w:lang w:val="en-US" w:eastAsia="zh-CN" w:bidi="ar"/>
        </w:rPr>
        <w:t>项目名称：</w:t>
      </w:r>
      <w:r>
        <w:rPr>
          <w:rFonts w:hint="eastAsia" w:ascii="Segoe UI" w:hAnsi="Segoe UI" w:eastAsia="Segoe UI" w:cs="Segoe UI"/>
          <w:b w:val="0"/>
          <w:i w:val="0"/>
          <w:caps w:val="0"/>
          <w:color w:val="333333"/>
          <w:spacing w:val="0"/>
          <w:kern w:val="0"/>
          <w:sz w:val="24"/>
          <w:szCs w:val="24"/>
          <w:shd w:val="clear" w:fill="FFFFFF"/>
          <w:lang w:val="en-US" w:eastAsia="zh-CN" w:bidi="ar"/>
        </w:rPr>
        <w:t>阳新县地名志编纂出版招标项目</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50" w:afterAutospacing="0" w:line="300" w:lineRule="exact"/>
        <w:ind w:left="490" w:right="0" w:hanging="490"/>
        <w:jc w:val="both"/>
        <w:textAlignment w:val="auto"/>
        <w:outlineLvl w:val="9"/>
        <w:rPr>
          <w:rFonts w:hint="default" w:ascii="Segoe UI" w:hAnsi="Segoe UI" w:eastAsia="Segoe UI" w:cs="Segoe UI"/>
          <w:b w:val="0"/>
          <w:i w:val="0"/>
          <w:caps w:val="0"/>
          <w:color w:val="333333"/>
          <w:spacing w:val="0"/>
          <w:sz w:val="24"/>
          <w:szCs w:val="24"/>
        </w:rPr>
      </w:pPr>
      <w:r>
        <w:rPr>
          <w:rFonts w:hint="default" w:ascii="Segoe UI" w:hAnsi="Segoe UI" w:eastAsia="Segoe UI" w:cs="Segoe UI"/>
          <w:b w:val="0"/>
          <w:i w:val="0"/>
          <w:caps w:val="0"/>
          <w:color w:val="333333"/>
          <w:spacing w:val="0"/>
          <w:kern w:val="0"/>
          <w:sz w:val="24"/>
          <w:szCs w:val="24"/>
          <w:shd w:val="clear" w:fill="FFFFFF"/>
          <w:lang w:val="en-US" w:eastAsia="zh-CN" w:bidi="ar"/>
        </w:rPr>
        <w:t>三、</w:t>
      </w:r>
      <w:r>
        <w:rPr>
          <w:rFonts w:hint="default" w:ascii="Segoe UI" w:hAnsi="Segoe UI" w:eastAsia="Segoe UI" w:cs="Segoe UI"/>
          <w:b/>
          <w:i w:val="0"/>
          <w:caps w:val="0"/>
          <w:color w:val="333333"/>
          <w:spacing w:val="0"/>
          <w:kern w:val="0"/>
          <w:sz w:val="24"/>
          <w:szCs w:val="24"/>
          <w:shd w:val="clear" w:fill="FFFFFF"/>
          <w:lang w:val="en-US" w:eastAsia="zh-CN" w:bidi="ar"/>
        </w:rPr>
        <w:t>招标内容：</w:t>
      </w:r>
      <w:r>
        <w:rPr>
          <w:rFonts w:hint="eastAsia" w:ascii="Segoe UI" w:hAnsi="Segoe UI" w:eastAsia="Segoe UI" w:cs="Segoe UI"/>
          <w:b w:val="0"/>
          <w:i w:val="0"/>
          <w:caps w:val="0"/>
          <w:color w:val="333333"/>
          <w:spacing w:val="0"/>
          <w:kern w:val="0"/>
          <w:sz w:val="24"/>
          <w:szCs w:val="24"/>
          <w:shd w:val="clear" w:fill="FFFFFF"/>
          <w:lang w:val="en-US" w:eastAsia="zh-CN" w:bidi="ar"/>
        </w:rPr>
        <w:t>地名志编纂出版</w:t>
      </w:r>
      <w:r>
        <w:rPr>
          <w:rFonts w:hint="default" w:ascii="Segoe UI" w:hAnsi="Segoe UI" w:eastAsia="Segoe UI" w:cs="Segoe UI"/>
          <w:b w:val="0"/>
          <w:i w:val="0"/>
          <w:caps w:val="0"/>
          <w:color w:val="333333"/>
          <w:spacing w:val="0"/>
          <w:kern w:val="0"/>
          <w:sz w:val="24"/>
          <w:szCs w:val="24"/>
          <w:shd w:val="clear" w:fill="FFFFFF"/>
          <w:lang w:val="en-US" w:eastAsia="zh-CN" w:bidi="ar"/>
        </w:rPr>
        <w:t>详见招标文件《采购清单》</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50" w:afterAutospacing="0" w:line="300" w:lineRule="exact"/>
        <w:ind w:left="490" w:right="0" w:hanging="490"/>
        <w:jc w:val="both"/>
        <w:textAlignment w:val="auto"/>
        <w:outlineLvl w:val="9"/>
        <w:rPr>
          <w:rFonts w:hint="default" w:ascii="Segoe UI" w:hAnsi="Segoe UI" w:eastAsia="Segoe UI" w:cs="Segoe UI"/>
          <w:b w:val="0"/>
          <w:i w:val="0"/>
          <w:caps w:val="0"/>
          <w:color w:val="333333"/>
          <w:spacing w:val="0"/>
          <w:sz w:val="24"/>
          <w:szCs w:val="24"/>
        </w:rPr>
      </w:pPr>
      <w:r>
        <w:rPr>
          <w:rFonts w:hint="default" w:ascii="Segoe UI" w:hAnsi="Segoe UI" w:eastAsia="Segoe UI" w:cs="Segoe UI"/>
          <w:b w:val="0"/>
          <w:i w:val="0"/>
          <w:caps w:val="0"/>
          <w:color w:val="333333"/>
          <w:spacing w:val="0"/>
          <w:kern w:val="0"/>
          <w:sz w:val="24"/>
          <w:szCs w:val="24"/>
          <w:shd w:val="clear" w:fill="FFFFFF"/>
          <w:lang w:val="en-US" w:eastAsia="zh-CN" w:bidi="ar"/>
        </w:rPr>
        <w:t>四、</w:t>
      </w:r>
      <w:r>
        <w:rPr>
          <w:rFonts w:hint="default" w:ascii="Segoe UI" w:hAnsi="Segoe UI" w:eastAsia="Segoe UI" w:cs="Segoe UI"/>
          <w:b/>
          <w:i w:val="0"/>
          <w:caps w:val="0"/>
          <w:color w:val="333333"/>
          <w:spacing w:val="0"/>
          <w:kern w:val="0"/>
          <w:sz w:val="24"/>
          <w:szCs w:val="24"/>
          <w:shd w:val="clear" w:fill="FFFFFF"/>
          <w:lang w:val="en-US" w:eastAsia="zh-CN" w:bidi="ar"/>
        </w:rPr>
        <w:t>采购预算：</w:t>
      </w:r>
      <w:r>
        <w:rPr>
          <w:rFonts w:hint="default" w:ascii="Segoe UI" w:hAnsi="Segoe UI" w:eastAsia="Segoe UI" w:cs="Segoe UI"/>
          <w:b w:val="0"/>
          <w:i w:val="0"/>
          <w:caps w:val="0"/>
          <w:color w:val="333333"/>
          <w:spacing w:val="0"/>
          <w:kern w:val="0"/>
          <w:sz w:val="24"/>
          <w:szCs w:val="24"/>
          <w:shd w:val="clear" w:fill="FFFFFF"/>
          <w:lang w:val="en-US" w:eastAsia="zh-CN" w:bidi="ar"/>
        </w:rPr>
        <w:t>人民币</w:t>
      </w:r>
      <w:r>
        <w:rPr>
          <w:rFonts w:hint="eastAsia" w:ascii="Segoe UI" w:hAnsi="Segoe UI" w:eastAsia="Segoe UI" w:cs="Segoe UI"/>
          <w:b w:val="0"/>
          <w:i w:val="0"/>
          <w:caps w:val="0"/>
          <w:color w:val="333333"/>
          <w:spacing w:val="0"/>
          <w:kern w:val="0"/>
          <w:sz w:val="24"/>
          <w:szCs w:val="24"/>
          <w:shd w:val="clear" w:fill="FFFFFF"/>
          <w:lang w:val="en-US" w:eastAsia="zh-CN" w:bidi="ar"/>
        </w:rPr>
        <w:t>35</w:t>
      </w:r>
      <w:r>
        <w:rPr>
          <w:rFonts w:hint="default" w:ascii="Segoe UI" w:hAnsi="Segoe UI" w:eastAsia="Segoe UI" w:cs="Segoe UI"/>
          <w:b w:val="0"/>
          <w:i w:val="0"/>
          <w:caps w:val="0"/>
          <w:color w:val="333333"/>
          <w:spacing w:val="0"/>
          <w:kern w:val="0"/>
          <w:sz w:val="24"/>
          <w:szCs w:val="24"/>
          <w:shd w:val="clear" w:fill="FFFFFF"/>
          <w:lang w:val="en-US" w:eastAsia="zh-CN" w:bidi="ar"/>
        </w:rPr>
        <w:t>万元整。</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50" w:afterAutospacing="0" w:line="300" w:lineRule="exact"/>
        <w:ind w:left="490" w:right="0" w:hanging="490"/>
        <w:jc w:val="both"/>
        <w:textAlignment w:val="auto"/>
        <w:outlineLvl w:val="9"/>
        <w:rPr>
          <w:rFonts w:hint="default" w:ascii="Segoe UI" w:hAnsi="Segoe UI" w:eastAsia="Segoe UI" w:cs="Segoe UI"/>
          <w:b w:val="0"/>
          <w:i w:val="0"/>
          <w:caps w:val="0"/>
          <w:color w:val="333333"/>
          <w:spacing w:val="0"/>
          <w:sz w:val="24"/>
          <w:szCs w:val="24"/>
        </w:rPr>
      </w:pPr>
      <w:r>
        <w:rPr>
          <w:rFonts w:hint="default" w:ascii="Segoe UI" w:hAnsi="Segoe UI" w:eastAsia="Segoe UI" w:cs="Segoe UI"/>
          <w:b w:val="0"/>
          <w:i w:val="0"/>
          <w:caps w:val="0"/>
          <w:color w:val="333333"/>
          <w:spacing w:val="0"/>
          <w:kern w:val="0"/>
          <w:sz w:val="24"/>
          <w:szCs w:val="24"/>
          <w:shd w:val="clear" w:fill="FFFFFF"/>
          <w:lang w:val="en-US" w:eastAsia="zh-CN" w:bidi="ar"/>
        </w:rPr>
        <w:t>五、</w:t>
      </w:r>
      <w:r>
        <w:rPr>
          <w:rFonts w:hint="default" w:ascii="Segoe UI" w:hAnsi="Segoe UI" w:eastAsia="Segoe UI" w:cs="Segoe UI"/>
          <w:b/>
          <w:i w:val="0"/>
          <w:caps w:val="0"/>
          <w:color w:val="333333"/>
          <w:spacing w:val="0"/>
          <w:kern w:val="0"/>
          <w:sz w:val="24"/>
          <w:szCs w:val="24"/>
          <w:shd w:val="clear" w:fill="FFFFFF"/>
          <w:lang w:val="en-US" w:eastAsia="zh-CN" w:bidi="ar"/>
        </w:rPr>
        <w:t>资金来源：</w:t>
      </w:r>
      <w:r>
        <w:rPr>
          <w:rFonts w:hint="eastAsia" w:ascii="宋体" w:hAnsi="宋体" w:eastAsia="宋体" w:cs="Times New Roman"/>
          <w:sz w:val="24"/>
          <w:szCs w:val="24"/>
        </w:rPr>
        <w:t>财政性资金</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50" w:afterAutospacing="0" w:line="300" w:lineRule="exact"/>
        <w:ind w:left="490" w:right="0" w:hanging="490"/>
        <w:jc w:val="both"/>
        <w:textAlignment w:val="auto"/>
        <w:outlineLvl w:val="9"/>
        <w:rPr>
          <w:rFonts w:hint="default" w:ascii="Segoe UI" w:hAnsi="Segoe UI" w:eastAsia="Segoe UI" w:cs="Segoe UI"/>
          <w:b w:val="0"/>
          <w:i w:val="0"/>
          <w:caps w:val="0"/>
          <w:color w:val="333333"/>
          <w:spacing w:val="0"/>
          <w:sz w:val="24"/>
          <w:szCs w:val="24"/>
        </w:rPr>
      </w:pPr>
      <w:r>
        <w:rPr>
          <w:rFonts w:hint="default" w:ascii="Segoe UI" w:hAnsi="Segoe UI" w:eastAsia="Segoe UI" w:cs="Segoe UI"/>
          <w:b w:val="0"/>
          <w:i w:val="0"/>
          <w:caps w:val="0"/>
          <w:color w:val="333333"/>
          <w:spacing w:val="0"/>
          <w:kern w:val="0"/>
          <w:sz w:val="24"/>
          <w:szCs w:val="24"/>
          <w:shd w:val="clear" w:fill="FFFFFF"/>
          <w:lang w:val="en-US" w:eastAsia="zh-CN" w:bidi="ar"/>
        </w:rPr>
        <w:t>六、</w:t>
      </w:r>
      <w:r>
        <w:rPr>
          <w:rFonts w:hint="default" w:ascii="Segoe UI" w:hAnsi="Segoe UI" w:eastAsia="Segoe UI" w:cs="Segoe UI"/>
          <w:b/>
          <w:i w:val="0"/>
          <w:caps w:val="0"/>
          <w:color w:val="333333"/>
          <w:spacing w:val="0"/>
          <w:kern w:val="0"/>
          <w:sz w:val="24"/>
          <w:szCs w:val="24"/>
          <w:shd w:val="clear" w:fill="FFFFFF"/>
          <w:lang w:val="en-US" w:eastAsia="zh-CN" w:bidi="ar"/>
        </w:rPr>
        <w:t>政府集中采购项目：</w:t>
      </w:r>
      <w:r>
        <w:rPr>
          <w:rFonts w:hint="default" w:ascii="Segoe UI" w:hAnsi="Segoe UI" w:eastAsia="Segoe UI" w:cs="Segoe UI"/>
          <w:b w:val="0"/>
          <w:bCs/>
          <w:i w:val="0"/>
          <w:caps w:val="0"/>
          <w:color w:val="333333"/>
          <w:spacing w:val="0"/>
          <w:kern w:val="0"/>
          <w:sz w:val="24"/>
          <w:szCs w:val="24"/>
          <w:shd w:val="clear" w:fill="FFFFFF"/>
          <w:lang w:val="en-US" w:eastAsia="zh-CN" w:bidi="ar"/>
        </w:rPr>
        <w:t>是</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50" w:afterAutospacing="0" w:line="300" w:lineRule="exact"/>
        <w:ind w:left="490" w:right="0" w:hanging="490"/>
        <w:jc w:val="both"/>
        <w:textAlignment w:val="auto"/>
        <w:outlineLvl w:val="9"/>
        <w:rPr>
          <w:rFonts w:hint="default" w:ascii="Segoe UI" w:hAnsi="Segoe UI" w:eastAsia="Segoe UI" w:cs="Segoe UI"/>
          <w:b w:val="0"/>
          <w:i w:val="0"/>
          <w:caps w:val="0"/>
          <w:color w:val="333333"/>
          <w:spacing w:val="0"/>
          <w:sz w:val="24"/>
          <w:szCs w:val="24"/>
        </w:rPr>
      </w:pPr>
      <w:r>
        <w:rPr>
          <w:rFonts w:hint="default" w:ascii="Segoe UI" w:hAnsi="Segoe UI" w:eastAsia="Segoe UI" w:cs="Segoe UI"/>
          <w:b w:val="0"/>
          <w:i w:val="0"/>
          <w:caps w:val="0"/>
          <w:color w:val="333333"/>
          <w:spacing w:val="0"/>
          <w:kern w:val="0"/>
          <w:sz w:val="24"/>
          <w:szCs w:val="24"/>
          <w:shd w:val="clear" w:fill="FFFFFF"/>
          <w:lang w:val="en-US" w:eastAsia="zh-CN" w:bidi="ar"/>
        </w:rPr>
        <w:t>七、</w:t>
      </w:r>
      <w:r>
        <w:rPr>
          <w:rFonts w:hint="default" w:ascii="Segoe UI" w:hAnsi="Segoe UI" w:eastAsia="Segoe UI" w:cs="Segoe UI"/>
          <w:b/>
          <w:i w:val="0"/>
          <w:caps w:val="0"/>
          <w:color w:val="333333"/>
          <w:spacing w:val="0"/>
          <w:kern w:val="0"/>
          <w:sz w:val="24"/>
          <w:szCs w:val="24"/>
          <w:shd w:val="clear" w:fill="FFFFFF"/>
          <w:lang w:val="en-US" w:eastAsia="zh-CN" w:bidi="ar"/>
        </w:rPr>
        <w:t>投标人资格要求：</w:t>
      </w:r>
    </w:p>
    <w:p>
      <w:pPr>
        <w:numPr>
          <w:ilvl w:val="0"/>
          <w:numId w:val="4"/>
        </w:numPr>
        <w:tabs>
          <w:tab w:val="left" w:pos="896"/>
        </w:tabs>
        <w:spacing w:line="360" w:lineRule="auto"/>
        <w:rPr>
          <w:rFonts w:ascii="宋体" w:hAnsi="宋体" w:eastAsia="宋体" w:cs="Times New Roman"/>
          <w:sz w:val="24"/>
          <w:szCs w:val="24"/>
        </w:rPr>
      </w:pPr>
      <w:r>
        <w:rPr>
          <w:rFonts w:hint="eastAsia" w:ascii="宋体" w:hAnsi="宋体" w:eastAsia="宋体" w:cs="Times New Roman"/>
          <w:sz w:val="24"/>
          <w:szCs w:val="24"/>
        </w:rPr>
        <w:t>应具备《政府采购法》第二十二条第一款规定的条件；</w:t>
      </w:r>
    </w:p>
    <w:p>
      <w:pPr>
        <w:numPr>
          <w:ilvl w:val="0"/>
          <w:numId w:val="4"/>
        </w:numPr>
        <w:tabs>
          <w:tab w:val="left" w:pos="896"/>
        </w:tabs>
        <w:spacing w:line="360" w:lineRule="auto"/>
        <w:rPr>
          <w:rFonts w:ascii="宋体" w:hAnsi="宋体" w:eastAsia="宋体" w:cs="Times New Roman"/>
          <w:color w:val="0D0D0D"/>
          <w:sz w:val="24"/>
          <w:szCs w:val="24"/>
        </w:rPr>
      </w:pPr>
      <w:r>
        <w:rPr>
          <w:rFonts w:hint="eastAsia" w:ascii="宋体" w:hAnsi="宋体" w:eastAsia="宋体" w:cs="Times New Roman"/>
          <w:sz w:val="24"/>
          <w:szCs w:val="24"/>
        </w:rPr>
        <w:t>未被“信用中国”网站(www.creditchina.gov.cn)列入失信被执行人、重大税收</w:t>
      </w:r>
      <w:r>
        <w:rPr>
          <w:rFonts w:hint="eastAsia" w:ascii="宋体" w:hAnsi="宋体" w:eastAsia="宋体" w:cs="Times New Roman"/>
          <w:color w:val="0D0D0D"/>
          <w:sz w:val="24"/>
          <w:szCs w:val="24"/>
        </w:rPr>
        <w:t>违法案件当事人名单、政府采购严重违法失信行为记录名单；</w:t>
      </w:r>
    </w:p>
    <w:p>
      <w:pPr>
        <w:numPr>
          <w:ilvl w:val="0"/>
          <w:numId w:val="4"/>
        </w:numPr>
        <w:tabs>
          <w:tab w:val="left" w:pos="896"/>
        </w:tabs>
        <w:spacing w:line="360" w:lineRule="auto"/>
        <w:rPr>
          <w:rFonts w:ascii="宋体" w:hAnsi="宋体" w:eastAsia="宋体" w:cs="宋体"/>
          <w:b/>
          <w:kern w:val="0"/>
          <w:sz w:val="24"/>
          <w:szCs w:val="24"/>
        </w:rPr>
      </w:pPr>
      <w:r>
        <w:rPr>
          <w:rFonts w:hint="eastAsia" w:ascii="宋体" w:hAnsi="宋体" w:eastAsia="宋体" w:cs="Times New Roman"/>
          <w:color w:val="0D0D0D"/>
          <w:sz w:val="24"/>
          <w:szCs w:val="24"/>
        </w:rPr>
        <w:t>不接</w:t>
      </w:r>
      <w:r>
        <w:rPr>
          <w:rFonts w:hint="eastAsia" w:ascii="宋体" w:hAnsi="宋体" w:eastAsia="宋体" w:cs="Times New Roman"/>
          <w:sz w:val="24"/>
          <w:szCs w:val="24"/>
        </w:rPr>
        <w:t>受联合体形式的投标。</w:t>
      </w:r>
    </w:p>
    <w:p>
      <w:pPr>
        <w:numPr>
          <w:ilvl w:val="0"/>
          <w:numId w:val="0"/>
        </w:numPr>
        <w:tabs>
          <w:tab w:val="left" w:pos="896"/>
        </w:tabs>
        <w:spacing w:line="360" w:lineRule="auto"/>
        <w:rPr>
          <w:rFonts w:ascii="宋体" w:hAnsi="宋体" w:eastAsia="宋体" w:cs="宋体"/>
          <w:b/>
          <w:kern w:val="0"/>
          <w:sz w:val="24"/>
          <w:szCs w:val="24"/>
        </w:rPr>
      </w:pPr>
      <w:r>
        <w:rPr>
          <w:rFonts w:hint="eastAsia" w:ascii="宋体" w:hAnsi="宋体" w:eastAsia="宋体" w:cs="Times New Roman"/>
          <w:sz w:val="24"/>
          <w:szCs w:val="24"/>
          <w:lang w:eastAsia="zh-CN"/>
        </w:rPr>
        <w:t>八、</w:t>
      </w:r>
      <w:r>
        <w:rPr>
          <w:rFonts w:hint="eastAsia" w:ascii="宋体" w:hAnsi="宋体" w:eastAsia="宋体" w:cs="宋体"/>
          <w:b/>
          <w:kern w:val="0"/>
          <w:sz w:val="24"/>
          <w:szCs w:val="24"/>
          <w:lang w:val="zh-CN"/>
        </w:rPr>
        <w:t>招标文件获取</w:t>
      </w:r>
      <w:r>
        <w:rPr>
          <w:rFonts w:hint="eastAsia" w:ascii="宋体" w:hAnsi="宋体" w:eastAsia="宋体" w:cs="宋体"/>
          <w:b/>
          <w:kern w:val="0"/>
          <w:sz w:val="24"/>
          <w:szCs w:val="24"/>
        </w:rPr>
        <w:t>：</w:t>
      </w:r>
    </w:p>
    <w:p>
      <w:pPr>
        <w:widowControl/>
        <w:adjustRightInd w:val="0"/>
        <w:snapToGrid w:val="0"/>
        <w:spacing w:line="360" w:lineRule="auto"/>
        <w:ind w:firstLine="360" w:firstLineChars="150"/>
        <w:jc w:val="left"/>
        <w:rPr>
          <w:rFonts w:ascii="宋体" w:hAnsi="宋体" w:eastAsia="宋体" w:cs="Times New Roman"/>
          <w:sz w:val="24"/>
          <w:szCs w:val="24"/>
        </w:rPr>
      </w:pPr>
      <w:r>
        <w:rPr>
          <w:rFonts w:hint="eastAsia" w:ascii="宋体" w:hAnsi="宋体" w:eastAsia="宋体" w:cs="Times New Roman"/>
          <w:sz w:val="24"/>
          <w:szCs w:val="24"/>
        </w:rPr>
        <w:t>本项目实行网上下载标书，招标文件与本招标公告同时</w:t>
      </w:r>
      <w:r>
        <w:rPr>
          <w:rFonts w:hint="eastAsia"/>
          <w:color w:val="FF0000"/>
          <w:sz w:val="24"/>
          <w:szCs w:val="24"/>
        </w:rPr>
        <w:t>在“湖北省政府采购网”、“黄石市公共资源交易信息网”及“阳新县人民政府网”</w:t>
      </w:r>
      <w:r>
        <w:rPr>
          <w:rFonts w:hint="eastAsia" w:ascii="宋体" w:hAnsi="宋体" w:eastAsia="宋体" w:cs="Times New Roman"/>
          <w:sz w:val="24"/>
          <w:szCs w:val="24"/>
        </w:rPr>
        <w:t>发布（见招标文件下载），凡自愿参加本项目投标者，请于2019年</w:t>
      </w:r>
      <w:r>
        <w:rPr>
          <w:rFonts w:hint="eastAsia" w:ascii="宋体" w:hAnsi="宋体" w:eastAsia="宋体" w:cs="Times New Roman"/>
          <w:sz w:val="24"/>
          <w:szCs w:val="24"/>
          <w:lang w:val="en-US" w:eastAsia="zh-CN"/>
        </w:rPr>
        <w:t>7</w:t>
      </w:r>
      <w:r>
        <w:rPr>
          <w:rFonts w:hint="eastAsia" w:ascii="宋体" w:hAnsi="宋体" w:eastAsia="宋体" w:cs="Times New Roman"/>
          <w:sz w:val="24"/>
          <w:szCs w:val="24"/>
        </w:rPr>
        <w:t>月</w:t>
      </w:r>
      <w:r>
        <w:rPr>
          <w:rFonts w:hint="eastAsia" w:ascii="宋体" w:hAnsi="宋体" w:eastAsia="宋体" w:cs="Times New Roman"/>
          <w:sz w:val="24"/>
          <w:szCs w:val="24"/>
          <w:lang w:val="en-US" w:eastAsia="zh-CN"/>
        </w:rPr>
        <w:t>15</w:t>
      </w:r>
      <w:r>
        <w:rPr>
          <w:rFonts w:hint="eastAsia" w:ascii="宋体" w:hAnsi="宋体" w:eastAsia="宋体" w:cs="Times New Roman"/>
          <w:sz w:val="24"/>
          <w:szCs w:val="24"/>
        </w:rPr>
        <w:t>日至2019年</w:t>
      </w:r>
      <w:r>
        <w:rPr>
          <w:rFonts w:hint="eastAsia" w:ascii="宋体" w:hAnsi="宋体" w:eastAsia="宋体" w:cs="Times New Roman"/>
          <w:sz w:val="24"/>
          <w:szCs w:val="24"/>
          <w:lang w:val="en-US" w:eastAsia="zh-CN"/>
        </w:rPr>
        <w:t>7</w:t>
      </w:r>
      <w:r>
        <w:rPr>
          <w:rFonts w:hint="eastAsia" w:ascii="宋体" w:hAnsi="宋体" w:eastAsia="宋体" w:cs="Times New Roman"/>
          <w:sz w:val="24"/>
          <w:szCs w:val="24"/>
        </w:rPr>
        <w:t>月</w:t>
      </w:r>
      <w:r>
        <w:rPr>
          <w:rFonts w:hint="eastAsia" w:ascii="宋体" w:hAnsi="宋体" w:eastAsia="宋体" w:cs="Times New Roman"/>
          <w:sz w:val="24"/>
          <w:szCs w:val="24"/>
          <w:lang w:val="en-US" w:eastAsia="zh-CN"/>
        </w:rPr>
        <w:t>22</w:t>
      </w:r>
      <w:r>
        <w:rPr>
          <w:rFonts w:hint="eastAsia" w:ascii="宋体" w:hAnsi="宋体" w:eastAsia="宋体" w:cs="Times New Roman"/>
          <w:sz w:val="24"/>
          <w:szCs w:val="24"/>
        </w:rPr>
        <w:t>日17时前点击项目招标公告中的链接下载招标文件，并在投标截止时间前递交投标文件。</w:t>
      </w:r>
    </w:p>
    <w:p>
      <w:pPr>
        <w:numPr>
          <w:ilvl w:val="0"/>
          <w:numId w:val="0"/>
        </w:numPr>
        <w:spacing w:line="360" w:lineRule="auto"/>
        <w:ind w:leftChars="0"/>
        <w:rPr>
          <w:rFonts w:ascii="宋体" w:hAnsi="宋体" w:eastAsia="宋体" w:cs="宋体"/>
          <w:b/>
          <w:kern w:val="0"/>
          <w:sz w:val="24"/>
          <w:szCs w:val="24"/>
          <w:lang w:val="zh-CN"/>
        </w:rPr>
      </w:pPr>
      <w:r>
        <w:rPr>
          <w:rFonts w:hint="eastAsia" w:ascii="宋体" w:hAnsi="宋体" w:eastAsia="宋体" w:cs="宋体"/>
          <w:b w:val="0"/>
          <w:bCs/>
          <w:kern w:val="0"/>
          <w:sz w:val="24"/>
          <w:szCs w:val="24"/>
          <w:lang w:val="zh-CN"/>
        </w:rPr>
        <w:t>九、</w:t>
      </w:r>
      <w:r>
        <w:rPr>
          <w:rFonts w:hint="eastAsia" w:ascii="宋体" w:hAnsi="宋体" w:eastAsia="宋体" w:cs="宋体"/>
          <w:b/>
          <w:kern w:val="0"/>
          <w:sz w:val="24"/>
          <w:szCs w:val="24"/>
          <w:lang w:val="zh-CN"/>
        </w:rPr>
        <w:t>投标信息：</w:t>
      </w:r>
    </w:p>
    <w:p>
      <w:pPr>
        <w:spacing w:line="360" w:lineRule="auto"/>
        <w:ind w:firstLine="470" w:firstLineChars="196"/>
        <w:rPr>
          <w:rFonts w:ascii="宋体" w:hAnsi="宋体" w:eastAsia="宋体" w:cs="宋体"/>
          <w:b/>
          <w:kern w:val="0"/>
          <w:sz w:val="24"/>
          <w:szCs w:val="24"/>
        </w:rPr>
      </w:pPr>
      <w:r>
        <w:rPr>
          <w:rFonts w:hint="eastAsia" w:ascii="宋体" w:hAnsi="宋体" w:eastAsia="宋体" w:cs="宋体"/>
          <w:kern w:val="0"/>
          <w:sz w:val="24"/>
          <w:szCs w:val="24"/>
        </w:rPr>
        <w:t>投标文件递交截止时间：2019年</w:t>
      </w:r>
      <w:r>
        <w:rPr>
          <w:rFonts w:hint="eastAsia" w:ascii="宋体" w:hAnsi="宋体" w:eastAsia="宋体" w:cs="宋体"/>
          <w:kern w:val="0"/>
          <w:sz w:val="24"/>
          <w:szCs w:val="24"/>
          <w:lang w:val="en-US" w:eastAsia="zh-CN"/>
        </w:rPr>
        <w:t>8</w:t>
      </w:r>
      <w:r>
        <w:rPr>
          <w:rFonts w:hint="eastAsia" w:ascii="宋体" w:hAnsi="宋体" w:eastAsia="宋体" w:cs="宋体"/>
          <w:kern w:val="0"/>
          <w:sz w:val="24"/>
          <w:szCs w:val="24"/>
        </w:rPr>
        <w:t>月</w:t>
      </w:r>
      <w:r>
        <w:rPr>
          <w:rFonts w:hint="eastAsia" w:ascii="宋体" w:hAnsi="宋体" w:eastAsia="宋体" w:cs="宋体"/>
          <w:kern w:val="0"/>
          <w:sz w:val="24"/>
          <w:szCs w:val="24"/>
          <w:lang w:val="en-US" w:eastAsia="zh-CN"/>
        </w:rPr>
        <w:t>7</w:t>
      </w:r>
      <w:r>
        <w:rPr>
          <w:rFonts w:hint="eastAsia" w:ascii="宋体" w:hAnsi="宋体" w:eastAsia="宋体" w:cs="宋体"/>
          <w:kern w:val="0"/>
          <w:sz w:val="24"/>
          <w:szCs w:val="24"/>
        </w:rPr>
        <w:t>日9时00分（提前半小时开始接收投标文件，拒收逾期送达或者未按招标文件要求密封的投标文件）</w:t>
      </w:r>
    </w:p>
    <w:p>
      <w:pPr>
        <w:widowControl/>
        <w:spacing w:line="360" w:lineRule="auto"/>
        <w:ind w:firstLine="470" w:firstLineChars="196"/>
        <w:jc w:val="left"/>
        <w:rPr>
          <w:rFonts w:ascii="宋体" w:hAnsi="宋体" w:eastAsia="宋体" w:cs="宋体"/>
          <w:kern w:val="0"/>
          <w:sz w:val="24"/>
          <w:szCs w:val="24"/>
        </w:rPr>
      </w:pPr>
      <w:r>
        <w:rPr>
          <w:rFonts w:hint="eastAsia" w:ascii="宋体" w:hAnsi="宋体" w:eastAsia="宋体" w:cs="宋体"/>
          <w:kern w:val="0"/>
          <w:sz w:val="24"/>
          <w:szCs w:val="24"/>
        </w:rPr>
        <w:t>投标文件递交地点：阳新县公共资源交易中心二楼开标大厅（阳新县熊家垴安置小区东侧）</w:t>
      </w:r>
    </w:p>
    <w:p>
      <w:pPr>
        <w:numPr>
          <w:ilvl w:val="0"/>
          <w:numId w:val="0"/>
        </w:numPr>
        <w:spacing w:line="360" w:lineRule="auto"/>
        <w:ind w:leftChars="0"/>
        <w:rPr>
          <w:rFonts w:ascii="宋体" w:hAnsi="宋体" w:eastAsia="宋体" w:cs="宋体"/>
          <w:b/>
          <w:kern w:val="0"/>
          <w:sz w:val="24"/>
          <w:szCs w:val="24"/>
          <w:lang w:val="zh-CN"/>
        </w:rPr>
      </w:pPr>
      <w:r>
        <w:rPr>
          <w:rFonts w:hint="eastAsia" w:ascii="宋体" w:hAnsi="宋体" w:eastAsia="宋体" w:cs="宋体"/>
          <w:b w:val="0"/>
          <w:bCs/>
          <w:kern w:val="0"/>
          <w:sz w:val="24"/>
          <w:szCs w:val="24"/>
          <w:lang w:val="zh-CN"/>
        </w:rPr>
        <w:t>十、</w:t>
      </w:r>
      <w:r>
        <w:rPr>
          <w:rFonts w:hint="eastAsia" w:ascii="宋体" w:hAnsi="宋体" w:eastAsia="宋体" w:cs="宋体"/>
          <w:b/>
          <w:kern w:val="0"/>
          <w:sz w:val="24"/>
          <w:szCs w:val="24"/>
          <w:lang w:val="zh-CN"/>
        </w:rPr>
        <w:t>开标信息：</w:t>
      </w:r>
    </w:p>
    <w:p>
      <w:pPr>
        <w:spacing w:line="360" w:lineRule="auto"/>
        <w:ind w:firstLine="470" w:firstLineChars="196"/>
        <w:rPr>
          <w:rFonts w:ascii="宋体" w:hAnsi="宋体" w:eastAsia="宋体" w:cs="宋体"/>
          <w:kern w:val="0"/>
          <w:sz w:val="24"/>
          <w:szCs w:val="24"/>
        </w:rPr>
      </w:pPr>
      <w:r>
        <w:rPr>
          <w:rFonts w:hint="eastAsia" w:ascii="宋体" w:hAnsi="宋体" w:eastAsia="宋体" w:cs="宋体"/>
          <w:kern w:val="0"/>
          <w:sz w:val="24"/>
          <w:szCs w:val="24"/>
        </w:rPr>
        <w:t>开标时间：2019年</w:t>
      </w:r>
      <w:r>
        <w:rPr>
          <w:rFonts w:hint="eastAsia" w:ascii="宋体" w:hAnsi="宋体" w:eastAsia="宋体" w:cs="宋体"/>
          <w:kern w:val="0"/>
          <w:sz w:val="24"/>
          <w:szCs w:val="24"/>
          <w:lang w:val="en-US" w:eastAsia="zh-CN"/>
        </w:rPr>
        <w:t>8</w:t>
      </w:r>
      <w:r>
        <w:rPr>
          <w:rFonts w:hint="eastAsia" w:ascii="宋体" w:hAnsi="宋体" w:eastAsia="宋体" w:cs="宋体"/>
          <w:kern w:val="0"/>
          <w:sz w:val="24"/>
          <w:szCs w:val="24"/>
        </w:rPr>
        <w:t>月</w:t>
      </w:r>
      <w:r>
        <w:rPr>
          <w:rFonts w:hint="eastAsia" w:ascii="宋体" w:hAnsi="宋体" w:eastAsia="宋体" w:cs="宋体"/>
          <w:kern w:val="0"/>
          <w:sz w:val="24"/>
          <w:szCs w:val="24"/>
          <w:lang w:val="en-US" w:eastAsia="zh-CN"/>
        </w:rPr>
        <w:t>7</w:t>
      </w:r>
      <w:r>
        <w:rPr>
          <w:rFonts w:hint="eastAsia" w:ascii="宋体" w:hAnsi="宋体" w:eastAsia="宋体" w:cs="宋体"/>
          <w:kern w:val="0"/>
          <w:sz w:val="24"/>
          <w:szCs w:val="24"/>
        </w:rPr>
        <w:t>日9时00分</w:t>
      </w:r>
    </w:p>
    <w:p>
      <w:pPr>
        <w:widowControl/>
        <w:spacing w:line="360" w:lineRule="auto"/>
        <w:ind w:firstLine="470" w:firstLineChars="196"/>
        <w:jc w:val="left"/>
        <w:rPr>
          <w:rFonts w:ascii="宋体" w:hAnsi="宋体" w:eastAsia="宋体" w:cs="宋体"/>
          <w:kern w:val="0"/>
          <w:sz w:val="24"/>
          <w:szCs w:val="24"/>
        </w:rPr>
      </w:pPr>
      <w:r>
        <w:rPr>
          <w:rFonts w:hint="eastAsia" w:ascii="宋体" w:hAnsi="宋体" w:eastAsia="宋体" w:cs="宋体"/>
          <w:kern w:val="0"/>
          <w:sz w:val="24"/>
          <w:szCs w:val="24"/>
        </w:rPr>
        <w:t>开标地点：阳新县公共资源交易中心二楼开标大厅（阳新县熊家垴安置小区东侧）</w:t>
      </w:r>
    </w:p>
    <w:p>
      <w:pPr>
        <w:numPr>
          <w:ilvl w:val="0"/>
          <w:numId w:val="0"/>
        </w:numPr>
        <w:spacing w:line="360" w:lineRule="auto"/>
        <w:ind w:leftChars="0"/>
        <w:rPr>
          <w:rFonts w:ascii="宋体" w:hAnsi="宋体" w:eastAsia="宋体" w:cs="Times New Roman"/>
          <w:sz w:val="24"/>
          <w:szCs w:val="24"/>
        </w:rPr>
      </w:pPr>
      <w:r>
        <w:rPr>
          <w:rFonts w:hint="eastAsia" w:ascii="宋体" w:hAnsi="宋体" w:eastAsia="宋体" w:cs="宋体"/>
          <w:b w:val="0"/>
          <w:bCs/>
          <w:kern w:val="0"/>
          <w:sz w:val="24"/>
          <w:szCs w:val="24"/>
          <w:lang w:val="zh-CN"/>
        </w:rPr>
        <w:t>十一、</w:t>
      </w:r>
      <w:r>
        <w:rPr>
          <w:rFonts w:hint="eastAsia" w:ascii="宋体" w:hAnsi="宋体" w:eastAsia="宋体" w:cs="宋体"/>
          <w:b/>
          <w:kern w:val="0"/>
          <w:sz w:val="24"/>
          <w:szCs w:val="24"/>
          <w:lang w:val="zh-CN"/>
        </w:rPr>
        <w:t>公告期限：</w:t>
      </w:r>
      <w:r>
        <w:rPr>
          <w:rFonts w:hint="eastAsia" w:ascii="宋体" w:hAnsi="宋体" w:eastAsia="宋体" w:cs="Times New Roman"/>
          <w:sz w:val="24"/>
          <w:szCs w:val="24"/>
        </w:rPr>
        <w:t>自公告发布之日起5个工作日。</w:t>
      </w:r>
    </w:p>
    <w:p>
      <w:pPr>
        <w:numPr>
          <w:ilvl w:val="0"/>
          <w:numId w:val="0"/>
        </w:numPr>
        <w:spacing w:line="360" w:lineRule="auto"/>
        <w:ind w:leftChars="0"/>
        <w:rPr>
          <w:rFonts w:ascii="宋体" w:hAnsi="宋体" w:eastAsia="宋体" w:cs="宋体"/>
          <w:b/>
          <w:kern w:val="0"/>
          <w:sz w:val="24"/>
          <w:szCs w:val="24"/>
          <w:lang w:val="zh-CN"/>
        </w:rPr>
      </w:pPr>
      <w:r>
        <w:rPr>
          <w:rFonts w:hint="eastAsia" w:ascii="宋体" w:hAnsi="宋体" w:eastAsia="宋体" w:cs="宋体"/>
          <w:b w:val="0"/>
          <w:bCs/>
          <w:kern w:val="0"/>
          <w:sz w:val="24"/>
          <w:szCs w:val="24"/>
          <w:lang w:val="zh-CN"/>
        </w:rPr>
        <w:t>十二、</w:t>
      </w:r>
      <w:r>
        <w:rPr>
          <w:rFonts w:hint="eastAsia" w:ascii="宋体" w:hAnsi="宋体" w:eastAsia="宋体" w:cs="宋体"/>
          <w:b/>
          <w:kern w:val="0"/>
          <w:sz w:val="24"/>
          <w:szCs w:val="24"/>
          <w:lang w:val="zh-CN"/>
        </w:rPr>
        <w:t>质疑：</w:t>
      </w:r>
    </w:p>
    <w:p>
      <w:pPr>
        <w:pStyle w:val="18"/>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cs="Times New Roman"/>
          <w:szCs w:val="20"/>
          <w:lang w:val="zh-CN"/>
        </w:rPr>
        <w:t>投标人认为招标文件、招标过程和中标结果使自己的权益受到损害的，可以在知道或者应知其权益受到损害之日起7个工作日内，</w:t>
      </w:r>
      <w:r>
        <w:rPr>
          <w:rFonts w:cs="Times New Roman"/>
          <w:szCs w:val="20"/>
          <w:lang w:val="zh-CN"/>
        </w:rPr>
        <w:t>向</w:t>
      </w:r>
      <w:r>
        <w:rPr>
          <w:rFonts w:hint="eastAsia" w:cs="Times New Roman"/>
          <w:szCs w:val="20"/>
          <w:lang w:val="zh-CN"/>
        </w:rPr>
        <w:t>阳新县公共资源交易中心</w:t>
      </w:r>
      <w:r>
        <w:rPr>
          <w:rFonts w:cs="Times New Roman"/>
          <w:szCs w:val="20"/>
          <w:lang w:val="zh-CN"/>
        </w:rPr>
        <w:t>提出质疑</w:t>
      </w:r>
      <w:r>
        <w:rPr>
          <w:rFonts w:hint="eastAsia" w:cs="Times New Roman"/>
          <w:szCs w:val="20"/>
          <w:lang w:val="zh-CN"/>
        </w:rPr>
        <w:t>。</w:t>
      </w:r>
      <w:r>
        <w:t>质疑时请提交书面质疑函一份（法人代表签字、加盖单位公章。具体要求详见本招标文件“第二章 投标人须知”中的第</w:t>
      </w:r>
      <w:r>
        <w:rPr>
          <w:rFonts w:hint="eastAsia"/>
        </w:rPr>
        <w:t>八</w:t>
      </w:r>
      <w:r>
        <w:t>条之规定），并附相关证据材料</w:t>
      </w:r>
      <w:r>
        <w:rPr>
          <w:rFonts w:hint="eastAsia"/>
        </w:rPr>
        <w:t>。</w:t>
      </w:r>
    </w:p>
    <w:p>
      <w:pPr>
        <w:numPr>
          <w:ilvl w:val="0"/>
          <w:numId w:val="0"/>
        </w:numPr>
        <w:spacing w:line="360" w:lineRule="auto"/>
        <w:ind w:leftChars="0"/>
        <w:rPr>
          <w:rFonts w:ascii="宋体" w:hAnsi="宋体" w:eastAsia="宋体" w:cs="宋体"/>
          <w:b/>
          <w:kern w:val="0"/>
          <w:sz w:val="24"/>
          <w:szCs w:val="24"/>
          <w:lang w:val="zh-CN"/>
        </w:rPr>
      </w:pPr>
      <w:r>
        <w:rPr>
          <w:rFonts w:hint="eastAsia" w:ascii="宋体" w:hAnsi="宋体" w:eastAsia="宋体" w:cs="宋体"/>
          <w:b w:val="0"/>
          <w:bCs/>
          <w:kern w:val="0"/>
          <w:sz w:val="24"/>
          <w:szCs w:val="24"/>
          <w:lang w:val="zh-CN"/>
        </w:rPr>
        <w:t>十三、</w:t>
      </w:r>
      <w:r>
        <w:rPr>
          <w:rFonts w:hint="eastAsia" w:ascii="宋体" w:hAnsi="宋体" w:eastAsia="宋体" w:cs="宋体"/>
          <w:b/>
          <w:kern w:val="0"/>
          <w:sz w:val="24"/>
          <w:szCs w:val="24"/>
          <w:lang w:val="zh-CN"/>
        </w:rPr>
        <w:t>联系方式：</w:t>
      </w:r>
    </w:p>
    <w:p>
      <w:pPr>
        <w:widowControl/>
        <w:spacing w:line="360" w:lineRule="auto"/>
        <w:ind w:firstLine="480"/>
        <w:jc w:val="left"/>
        <w:rPr>
          <w:rFonts w:ascii="宋体" w:hAnsi="宋体" w:eastAsia="宋体" w:cs="宋体"/>
          <w:bCs/>
          <w:kern w:val="0"/>
          <w:sz w:val="24"/>
          <w:szCs w:val="24"/>
        </w:rPr>
      </w:pPr>
      <w:r>
        <w:rPr>
          <w:rFonts w:hint="eastAsia" w:ascii="宋体" w:hAnsi="宋体" w:eastAsia="宋体" w:cs="宋体"/>
          <w:bCs/>
          <w:kern w:val="0"/>
          <w:sz w:val="24"/>
          <w:szCs w:val="24"/>
        </w:rPr>
        <w:t>集中采购机构：阳新县公共资源交易中心</w:t>
      </w:r>
    </w:p>
    <w:p>
      <w:pPr>
        <w:widowControl/>
        <w:spacing w:line="360" w:lineRule="auto"/>
        <w:ind w:firstLine="480"/>
        <w:jc w:val="left"/>
        <w:rPr>
          <w:rFonts w:ascii="宋体" w:hAnsi="宋体" w:eastAsia="宋体" w:cs="宋体"/>
          <w:bCs/>
          <w:kern w:val="0"/>
          <w:sz w:val="24"/>
          <w:szCs w:val="24"/>
        </w:rPr>
      </w:pPr>
      <w:r>
        <w:rPr>
          <w:rFonts w:hint="eastAsia" w:ascii="宋体" w:hAnsi="宋体" w:eastAsia="宋体" w:cs="宋体"/>
          <w:bCs/>
          <w:kern w:val="0"/>
          <w:sz w:val="24"/>
          <w:szCs w:val="24"/>
        </w:rPr>
        <w:t>联系人：姜清华</w:t>
      </w:r>
    </w:p>
    <w:p>
      <w:pPr>
        <w:widowControl/>
        <w:spacing w:line="360" w:lineRule="auto"/>
        <w:ind w:firstLine="480"/>
        <w:jc w:val="left"/>
        <w:rPr>
          <w:rFonts w:ascii="宋体" w:hAnsi="宋体" w:eastAsia="宋体" w:cs="宋体"/>
          <w:bCs/>
          <w:kern w:val="0"/>
          <w:sz w:val="24"/>
          <w:szCs w:val="24"/>
        </w:rPr>
      </w:pPr>
      <w:r>
        <w:rPr>
          <w:rFonts w:hint="eastAsia" w:ascii="宋体" w:hAnsi="宋体" w:eastAsia="宋体" w:cs="宋体"/>
          <w:bCs/>
          <w:kern w:val="0"/>
          <w:sz w:val="24"/>
          <w:szCs w:val="24"/>
        </w:rPr>
        <w:t>联系电话：0714-7319791</w:t>
      </w:r>
    </w:p>
    <w:p>
      <w:pPr>
        <w:widowControl/>
        <w:spacing w:line="360" w:lineRule="auto"/>
        <w:ind w:firstLine="480"/>
        <w:jc w:val="left"/>
        <w:rPr>
          <w:rFonts w:hint="eastAsia" w:ascii="宋体" w:hAnsi="宋体" w:eastAsia="宋体" w:cs="宋体"/>
          <w:bCs/>
          <w:kern w:val="0"/>
          <w:sz w:val="24"/>
          <w:szCs w:val="24"/>
        </w:rPr>
      </w:pPr>
      <w:r>
        <w:rPr>
          <w:rFonts w:hint="eastAsia" w:ascii="宋体" w:hAnsi="宋体" w:eastAsia="宋体" w:cs="宋体"/>
          <w:bCs/>
          <w:kern w:val="0"/>
          <w:sz w:val="24"/>
          <w:szCs w:val="24"/>
        </w:rPr>
        <w:t>地址：阳新大道熊家垴安置小区东侧</w:t>
      </w:r>
    </w:p>
    <w:p>
      <w:pPr>
        <w:pStyle w:val="2"/>
      </w:pPr>
    </w:p>
    <w:p>
      <w:pPr>
        <w:widowControl/>
        <w:spacing w:line="360" w:lineRule="auto"/>
        <w:ind w:firstLine="480"/>
        <w:jc w:val="left"/>
        <w:rPr>
          <w:rFonts w:hint="eastAsia" w:ascii="宋体" w:hAnsi="宋体" w:eastAsia="宋体" w:cs="宋体"/>
          <w:bCs/>
          <w:kern w:val="0"/>
          <w:sz w:val="24"/>
          <w:szCs w:val="24"/>
        </w:rPr>
      </w:pPr>
      <w:r>
        <w:rPr>
          <w:rFonts w:hint="eastAsia" w:ascii="宋体" w:hAnsi="宋体" w:eastAsia="宋体" w:cs="宋体"/>
          <w:bCs/>
          <w:kern w:val="0"/>
          <w:sz w:val="24"/>
          <w:szCs w:val="24"/>
        </w:rPr>
        <w:t>采购人：阳新县民政局</w:t>
      </w:r>
    </w:p>
    <w:p>
      <w:pPr>
        <w:widowControl/>
        <w:spacing w:line="360" w:lineRule="auto"/>
        <w:ind w:firstLine="480"/>
        <w:jc w:val="left"/>
        <w:rPr>
          <w:rFonts w:hint="eastAsia" w:ascii="宋体" w:hAnsi="宋体" w:eastAsia="宋体" w:cs="宋体"/>
          <w:bCs/>
          <w:kern w:val="0"/>
          <w:sz w:val="24"/>
          <w:szCs w:val="24"/>
        </w:rPr>
      </w:pPr>
      <w:r>
        <w:rPr>
          <w:rFonts w:hint="eastAsia" w:ascii="宋体" w:hAnsi="宋体" w:eastAsia="宋体" w:cs="宋体"/>
          <w:bCs/>
          <w:kern w:val="0"/>
          <w:sz w:val="24"/>
          <w:szCs w:val="24"/>
        </w:rPr>
        <w:t>联系人：柯红霞</w:t>
      </w:r>
    </w:p>
    <w:p>
      <w:pPr>
        <w:widowControl/>
        <w:spacing w:line="360" w:lineRule="auto"/>
        <w:ind w:firstLine="480"/>
        <w:jc w:val="left"/>
        <w:rPr>
          <w:rFonts w:hint="eastAsia" w:ascii="宋体" w:hAnsi="宋体" w:eastAsia="宋体" w:cs="宋体"/>
          <w:bCs/>
          <w:kern w:val="0"/>
          <w:sz w:val="24"/>
          <w:szCs w:val="24"/>
        </w:rPr>
      </w:pPr>
      <w:r>
        <w:rPr>
          <w:rFonts w:hint="eastAsia" w:ascii="宋体" w:hAnsi="宋体" w:eastAsia="宋体" w:cs="宋体"/>
          <w:bCs/>
          <w:kern w:val="0"/>
          <w:sz w:val="24"/>
          <w:szCs w:val="24"/>
        </w:rPr>
        <w:t>联系电话：18971778669</w:t>
      </w:r>
    </w:p>
    <w:p>
      <w:pPr>
        <w:widowControl/>
        <w:spacing w:line="360" w:lineRule="auto"/>
        <w:ind w:firstLine="480"/>
        <w:jc w:val="left"/>
        <w:rPr>
          <w:rFonts w:hint="eastAsia" w:ascii="宋体" w:hAnsi="宋体" w:eastAsia="宋体" w:cs="宋体"/>
          <w:bCs/>
          <w:kern w:val="0"/>
          <w:sz w:val="24"/>
          <w:szCs w:val="24"/>
        </w:rPr>
      </w:pPr>
      <w:r>
        <w:rPr>
          <w:rFonts w:hint="eastAsia" w:ascii="宋体" w:hAnsi="宋体" w:eastAsia="宋体" w:cs="宋体"/>
          <w:bCs/>
          <w:kern w:val="0"/>
          <w:sz w:val="24"/>
          <w:szCs w:val="24"/>
        </w:rPr>
        <w:t>地址：阳新县陵园大道48号</w:t>
      </w:r>
    </w:p>
    <w:p>
      <w:pPr>
        <w:pStyle w:val="2"/>
        <w:rPr>
          <w:rFonts w:hint="eastAsia" w:ascii="宋体" w:hAnsi="宋体" w:eastAsia="宋体" w:cs="宋体"/>
          <w:bCs/>
          <w:kern w:val="0"/>
          <w:sz w:val="24"/>
          <w:szCs w:val="24"/>
        </w:rPr>
      </w:pPr>
    </w:p>
    <w:p>
      <w:pPr>
        <w:pStyle w:val="2"/>
        <w:rPr>
          <w:rFonts w:hint="eastAsia" w:ascii="宋体" w:hAnsi="宋体" w:eastAsia="宋体" w:cs="宋体"/>
          <w:bCs/>
          <w:kern w:val="0"/>
          <w:sz w:val="24"/>
          <w:szCs w:val="24"/>
        </w:rPr>
      </w:pPr>
    </w:p>
    <w:p>
      <w:pPr>
        <w:pStyle w:val="2"/>
        <w:rPr>
          <w:rFonts w:hint="eastAsia" w:ascii="宋体" w:hAnsi="宋体" w:eastAsia="宋体" w:cs="宋体"/>
          <w:bCs/>
          <w:kern w:val="0"/>
          <w:sz w:val="24"/>
          <w:szCs w:val="24"/>
        </w:rPr>
      </w:pPr>
    </w:p>
    <w:p>
      <w:pPr>
        <w:widowControl/>
        <w:spacing w:line="360" w:lineRule="auto"/>
        <w:ind w:firstLine="480"/>
        <w:jc w:val="right"/>
        <w:rPr>
          <w:rFonts w:ascii="宋体" w:hAnsi="宋体" w:eastAsia="宋体" w:cs="宋体"/>
          <w:bCs/>
          <w:kern w:val="0"/>
          <w:sz w:val="24"/>
          <w:szCs w:val="24"/>
        </w:rPr>
      </w:pPr>
      <w:r>
        <w:rPr>
          <w:rFonts w:hint="eastAsia" w:ascii="宋体" w:hAnsi="宋体" w:eastAsia="宋体" w:cs="宋体"/>
          <w:bCs/>
          <w:kern w:val="0"/>
          <w:sz w:val="24"/>
          <w:szCs w:val="24"/>
        </w:rPr>
        <w:t>阳新县公共资源交易中心</w:t>
      </w:r>
    </w:p>
    <w:p>
      <w:pPr>
        <w:widowControl/>
        <w:spacing w:line="360" w:lineRule="auto"/>
        <w:ind w:firstLine="480"/>
        <w:jc w:val="right"/>
        <w:rPr>
          <w:rFonts w:ascii="宋体" w:hAnsi="宋体" w:eastAsia="宋体" w:cs="宋体"/>
          <w:kern w:val="0"/>
          <w:sz w:val="24"/>
          <w:szCs w:val="24"/>
        </w:rPr>
      </w:pPr>
      <w:r>
        <w:rPr>
          <w:rFonts w:hint="eastAsia" w:ascii="宋体" w:hAnsi="宋体" w:eastAsia="宋体" w:cs="宋体"/>
          <w:kern w:val="0"/>
          <w:sz w:val="24"/>
          <w:szCs w:val="24"/>
        </w:rPr>
        <w:t>2019年</w:t>
      </w:r>
      <w:r>
        <w:rPr>
          <w:rFonts w:hint="eastAsia" w:ascii="宋体" w:hAnsi="宋体" w:eastAsia="宋体" w:cs="宋体"/>
          <w:kern w:val="0"/>
          <w:sz w:val="24"/>
          <w:szCs w:val="24"/>
          <w:lang w:val="en-US" w:eastAsia="zh-CN"/>
        </w:rPr>
        <w:t>7</w:t>
      </w:r>
      <w:r>
        <w:rPr>
          <w:rFonts w:hint="eastAsia" w:ascii="宋体" w:hAnsi="宋体" w:eastAsia="宋体" w:cs="宋体"/>
          <w:kern w:val="0"/>
          <w:sz w:val="24"/>
          <w:szCs w:val="24"/>
        </w:rPr>
        <w:t>月</w:t>
      </w:r>
      <w:r>
        <w:rPr>
          <w:rFonts w:hint="eastAsia" w:ascii="宋体" w:hAnsi="宋体" w:eastAsia="宋体" w:cs="宋体"/>
          <w:kern w:val="0"/>
          <w:sz w:val="24"/>
          <w:szCs w:val="24"/>
          <w:lang w:val="en-US" w:eastAsia="zh-CN"/>
        </w:rPr>
        <w:t>15</w:t>
      </w:r>
      <w:r>
        <w:rPr>
          <w:rFonts w:hint="eastAsia" w:ascii="宋体" w:hAnsi="宋体" w:eastAsia="宋体" w:cs="宋体"/>
          <w:kern w:val="0"/>
          <w:sz w:val="24"/>
          <w:szCs w:val="24"/>
        </w:rPr>
        <w:t>日</w:t>
      </w:r>
    </w:p>
    <w:p>
      <w:pPr>
        <w:widowControl/>
        <w:spacing w:line="360" w:lineRule="auto"/>
        <w:ind w:firstLine="480"/>
        <w:jc w:val="left"/>
      </w:pPr>
      <w:r>
        <w:rPr>
          <w:rFonts w:hint="eastAsia" w:ascii="宋体" w:hAnsi="宋体" w:eastAsia="宋体" w:cs="Times New Roman"/>
          <w:b/>
          <w:sz w:val="28"/>
          <w:szCs w:val="28"/>
          <w:lang w:val="zh-CN"/>
        </w:rPr>
        <w:br w:type="page"/>
      </w:r>
    </w:p>
    <w:p>
      <w:pPr>
        <w:pStyle w:val="4"/>
        <w:numPr>
          <w:ilvl w:val="0"/>
          <w:numId w:val="2"/>
        </w:numPr>
        <w:spacing w:before="240" w:after="120"/>
        <w:ind w:left="885" w:hanging="880" w:hangingChars="200"/>
        <w:jc w:val="center"/>
        <w:rPr>
          <w:rFonts w:ascii="黑体" w:hAnsi="黑体" w:eastAsia="黑体"/>
        </w:rPr>
      </w:pPr>
      <w:bookmarkStart w:id="1" w:name="_Toc7150"/>
      <w:r>
        <w:rPr>
          <w:rFonts w:hint="eastAsia" w:ascii="黑体" w:hAnsi="黑体" w:eastAsia="黑体"/>
        </w:rPr>
        <w:t>投标人须知</w:t>
      </w:r>
      <w:bookmarkEnd w:id="1"/>
    </w:p>
    <w:p>
      <w:pPr>
        <w:keepNext/>
        <w:keepLines/>
        <w:spacing w:line="360" w:lineRule="auto"/>
        <w:jc w:val="center"/>
        <w:outlineLvl w:val="1"/>
        <w:rPr>
          <w:rFonts w:cs="Times New Roman" w:asciiTheme="majorEastAsia" w:hAnsiTheme="majorEastAsia" w:eastAsiaTheme="majorEastAsia"/>
          <w:b/>
          <w:bCs/>
          <w:sz w:val="32"/>
          <w:szCs w:val="32"/>
          <w:lang w:val="zh-CN"/>
        </w:rPr>
      </w:pPr>
      <w:bookmarkStart w:id="2" w:name="_Toc494561937"/>
      <w:bookmarkStart w:id="3" w:name="_Toc375"/>
      <w:r>
        <w:rPr>
          <w:rFonts w:cs="Times New Roman" w:asciiTheme="majorEastAsia" w:hAnsiTheme="majorEastAsia" w:eastAsiaTheme="majorEastAsia"/>
          <w:b/>
          <w:bCs/>
          <w:sz w:val="32"/>
          <w:szCs w:val="32"/>
          <w:lang w:val="zh-CN"/>
        </w:rPr>
        <w:t>投标须知前附表</w:t>
      </w:r>
      <w:bookmarkEnd w:id="2"/>
      <w:bookmarkEnd w:id="3"/>
    </w:p>
    <w:tbl>
      <w:tblPr>
        <w:tblStyle w:val="21"/>
        <w:tblW w:w="9354" w:type="dxa"/>
        <w:tblInd w:w="12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6"/>
        <w:gridCol w:w="2208"/>
        <w:gridCol w:w="647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vAlign w:val="center"/>
          </w:tcPr>
          <w:p>
            <w:pPr>
              <w:spacing w:line="276" w:lineRule="auto"/>
              <w:ind w:left="-52" w:leftChars="-25" w:right="-27" w:rightChars="-13"/>
              <w:jc w:val="center"/>
              <w:rPr>
                <w:rFonts w:ascii="宋体" w:hAnsi="宋体" w:eastAsia="宋体" w:cs="Times New Roman"/>
                <w:b/>
                <w:sz w:val="24"/>
                <w:szCs w:val="24"/>
              </w:rPr>
            </w:pPr>
            <w:r>
              <w:rPr>
                <w:rFonts w:ascii="宋体" w:hAnsi="宋体" w:eastAsia="宋体" w:cs="Times New Roman"/>
                <w:b/>
                <w:sz w:val="24"/>
                <w:szCs w:val="24"/>
              </w:rPr>
              <w:t>序号</w:t>
            </w:r>
          </w:p>
        </w:tc>
        <w:tc>
          <w:tcPr>
            <w:tcW w:w="2208" w:type="dxa"/>
            <w:tcBorders>
              <w:top w:val="single" w:color="auto" w:sz="4" w:space="0"/>
              <w:left w:val="single" w:color="auto" w:sz="4" w:space="0"/>
              <w:bottom w:val="single" w:color="auto" w:sz="4" w:space="0"/>
              <w:right w:val="single" w:color="auto" w:sz="4" w:space="0"/>
            </w:tcBorders>
            <w:vAlign w:val="center"/>
          </w:tcPr>
          <w:p>
            <w:pPr>
              <w:spacing w:line="276" w:lineRule="auto"/>
              <w:ind w:right="-11"/>
              <w:jc w:val="center"/>
              <w:rPr>
                <w:rFonts w:ascii="Times New Roman" w:hAnsi="Times New Roman" w:eastAsia="宋体" w:cs="Times New Roman"/>
                <w:b/>
                <w:sz w:val="24"/>
                <w:szCs w:val="24"/>
              </w:rPr>
            </w:pPr>
            <w:r>
              <w:rPr>
                <w:rFonts w:hint="eastAsia" w:ascii="Times New Roman" w:hAnsi="宋体" w:eastAsia="宋体" w:cs="Times New Roman"/>
                <w:b/>
                <w:sz w:val="24"/>
                <w:szCs w:val="24"/>
              </w:rPr>
              <w:t>名称</w:t>
            </w:r>
          </w:p>
        </w:tc>
        <w:tc>
          <w:tcPr>
            <w:tcW w:w="6470" w:type="dxa"/>
            <w:tcBorders>
              <w:top w:val="single" w:color="auto" w:sz="4" w:space="0"/>
              <w:left w:val="single" w:color="auto" w:sz="4" w:space="0"/>
              <w:bottom w:val="single" w:color="auto" w:sz="4" w:space="0"/>
            </w:tcBorders>
            <w:vAlign w:val="center"/>
          </w:tcPr>
          <w:p>
            <w:pPr>
              <w:spacing w:line="276" w:lineRule="auto"/>
              <w:ind w:left="57" w:right="57" w:firstLine="482" w:firstLineChars="201"/>
              <w:jc w:val="center"/>
              <w:rPr>
                <w:rFonts w:ascii="Times New Roman" w:hAnsi="Times New Roman" w:eastAsia="宋体" w:cs="Times New Roman"/>
                <w:b/>
                <w:sz w:val="24"/>
                <w:szCs w:val="24"/>
              </w:rPr>
            </w:pPr>
            <w:r>
              <w:rPr>
                <w:rFonts w:ascii="Times New Roman" w:hAnsi="宋体" w:eastAsia="宋体" w:cs="Times New Roman"/>
                <w:b/>
                <w:sz w:val="24"/>
                <w:szCs w:val="24"/>
              </w:rPr>
              <w:t>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676" w:type="dxa"/>
            <w:tcBorders>
              <w:top w:val="single" w:color="auto" w:sz="4" w:space="0"/>
              <w:bottom w:val="single" w:color="auto" w:sz="4" w:space="0"/>
              <w:right w:val="single" w:color="auto" w:sz="4" w:space="0"/>
            </w:tcBorders>
            <w:vAlign w:val="center"/>
          </w:tcPr>
          <w:p>
            <w:pPr>
              <w:numPr>
                <w:ilvl w:val="0"/>
                <w:numId w:val="5"/>
              </w:numPr>
              <w:tabs>
                <w:tab w:val="left" w:pos="130"/>
              </w:tabs>
              <w:ind w:right="57"/>
              <w:jc w:val="center"/>
              <w:rPr>
                <w:rFonts w:ascii="宋体" w:hAnsi="宋体" w:eastAsia="宋体" w:cs="Times New Roman"/>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24"/>
                <w:szCs w:val="24"/>
              </w:rPr>
            </w:pPr>
            <w:r>
              <w:rPr>
                <w:rFonts w:ascii="Times New Roman" w:hAnsi="宋体" w:eastAsia="宋体" w:cs="Times New Roman"/>
                <w:sz w:val="24"/>
                <w:szCs w:val="24"/>
              </w:rPr>
              <w:t>项目编号</w:t>
            </w:r>
          </w:p>
        </w:tc>
        <w:tc>
          <w:tcPr>
            <w:tcW w:w="6470" w:type="dxa"/>
            <w:tcBorders>
              <w:top w:val="single" w:color="auto" w:sz="4" w:space="0"/>
              <w:left w:val="single" w:color="auto" w:sz="4" w:space="0"/>
              <w:bottom w:val="single" w:color="auto" w:sz="4" w:space="0"/>
            </w:tcBorders>
            <w:vAlign w:val="center"/>
          </w:tcPr>
          <w:p>
            <w:pPr>
              <w:rPr>
                <w:rFonts w:hint="default" w:ascii="Times New Roman" w:hAnsi="Times New Roman" w:cs="Times New Roman" w:eastAsiaTheme="minorEastAsia"/>
                <w:color w:val="FF0000"/>
                <w:sz w:val="24"/>
                <w:szCs w:val="24"/>
                <w:lang w:val="en-US" w:eastAsia="zh-CN"/>
              </w:rPr>
            </w:pPr>
            <w:r>
              <w:rPr>
                <w:rFonts w:hint="eastAsia" w:ascii="宋体" w:hAnsi="宋体" w:cs="仿宋_GB2312"/>
                <w:szCs w:val="28"/>
              </w:rPr>
              <w:t>131－Zcg.2019－</w:t>
            </w:r>
            <w:r>
              <w:rPr>
                <w:rFonts w:hint="eastAsia" w:ascii="宋体" w:hAnsi="宋体" w:cs="仿宋_GB2312"/>
                <w:szCs w:val="28"/>
                <w:lang w:val="en-US" w:eastAsia="zh-CN"/>
              </w:rPr>
              <w:t>98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676" w:type="dxa"/>
            <w:tcBorders>
              <w:top w:val="single" w:color="auto" w:sz="4" w:space="0"/>
              <w:bottom w:val="single" w:color="auto" w:sz="4" w:space="0"/>
              <w:right w:val="single" w:color="auto" w:sz="4" w:space="0"/>
            </w:tcBorders>
            <w:vAlign w:val="center"/>
          </w:tcPr>
          <w:p>
            <w:pPr>
              <w:numPr>
                <w:ilvl w:val="0"/>
                <w:numId w:val="5"/>
              </w:numPr>
              <w:tabs>
                <w:tab w:val="left" w:pos="130"/>
              </w:tabs>
              <w:ind w:right="57"/>
              <w:jc w:val="center"/>
              <w:rPr>
                <w:rFonts w:ascii="宋体" w:hAnsi="宋体" w:eastAsia="宋体" w:cs="Times New Roman"/>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sz w:val="24"/>
                <w:szCs w:val="24"/>
              </w:rPr>
            </w:pPr>
            <w:r>
              <w:rPr>
                <w:rFonts w:ascii="Times New Roman" w:hAnsi="宋体" w:eastAsia="宋体" w:cs="Times New Roman"/>
                <w:sz w:val="24"/>
                <w:szCs w:val="24"/>
              </w:rPr>
              <w:t>项目名称</w:t>
            </w:r>
          </w:p>
        </w:tc>
        <w:tc>
          <w:tcPr>
            <w:tcW w:w="6470" w:type="dxa"/>
            <w:tcBorders>
              <w:top w:val="single" w:color="auto" w:sz="4" w:space="0"/>
              <w:left w:val="single" w:color="auto" w:sz="4" w:space="0"/>
              <w:bottom w:val="single" w:color="auto" w:sz="4" w:space="0"/>
            </w:tcBorders>
            <w:vAlign w:val="center"/>
          </w:tcPr>
          <w:p>
            <w:pPr>
              <w:rPr>
                <w:rFonts w:ascii="宋体" w:hAnsi="宋体" w:eastAsia="宋体" w:cs="Times New Roman"/>
                <w:color w:val="0C0C0C" w:themeColor="text1" w:themeTint="F2"/>
                <w:sz w:val="24"/>
                <w:szCs w:val="24"/>
              </w:rPr>
            </w:pPr>
            <w:r>
              <w:rPr>
                <w:rFonts w:hint="eastAsia" w:ascii="宋体" w:hAnsi="宋体" w:eastAsia="宋体" w:cs="Times New Roman"/>
                <w:sz w:val="24"/>
                <w:szCs w:val="24"/>
              </w:rPr>
              <w:t>阳新县地名志编纂出版招标项目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676" w:type="dxa"/>
            <w:tcBorders>
              <w:top w:val="single" w:color="auto" w:sz="4" w:space="0"/>
              <w:bottom w:val="single" w:color="auto" w:sz="4" w:space="0"/>
              <w:right w:val="single" w:color="auto" w:sz="4" w:space="0"/>
            </w:tcBorders>
            <w:vAlign w:val="center"/>
          </w:tcPr>
          <w:p>
            <w:pPr>
              <w:numPr>
                <w:ilvl w:val="0"/>
                <w:numId w:val="5"/>
              </w:numPr>
              <w:tabs>
                <w:tab w:val="left" w:pos="130"/>
              </w:tabs>
              <w:ind w:right="57"/>
              <w:jc w:val="center"/>
              <w:rPr>
                <w:rFonts w:ascii="宋体" w:hAnsi="宋体" w:eastAsia="宋体" w:cs="Times New Roman"/>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color w:val="0D0D0D"/>
                <w:sz w:val="24"/>
                <w:szCs w:val="24"/>
              </w:rPr>
            </w:pPr>
            <w:r>
              <w:rPr>
                <w:rFonts w:hint="eastAsia" w:ascii="Times New Roman" w:hAnsi="宋体" w:eastAsia="宋体" w:cs="Times New Roman"/>
                <w:color w:val="0D0D0D"/>
                <w:sz w:val="24"/>
                <w:szCs w:val="24"/>
              </w:rPr>
              <w:t>项目属性</w:t>
            </w:r>
          </w:p>
        </w:tc>
        <w:tc>
          <w:tcPr>
            <w:tcW w:w="6470" w:type="dxa"/>
            <w:tcBorders>
              <w:top w:val="single" w:color="auto" w:sz="4" w:space="0"/>
              <w:left w:val="single" w:color="auto" w:sz="4" w:space="0"/>
              <w:bottom w:val="single" w:color="auto" w:sz="4" w:space="0"/>
            </w:tcBorders>
            <w:vAlign w:val="center"/>
          </w:tcPr>
          <w:p>
            <w:pPr>
              <w:rPr>
                <w:rFonts w:ascii="宋体" w:hAnsi="宋体" w:eastAsia="宋体" w:cs="宋体"/>
                <w:color w:val="0D0D0D"/>
                <w:kern w:val="0"/>
                <w:sz w:val="24"/>
                <w:szCs w:val="24"/>
              </w:rPr>
            </w:pPr>
            <w:r>
              <w:rPr>
                <w:rFonts w:hint="eastAsia" w:ascii="宋体" w:hAnsi="宋体" w:eastAsia="宋体" w:cs="宋体"/>
                <w:color w:val="0D0D0D"/>
                <w:kern w:val="0"/>
                <w:sz w:val="24"/>
                <w:szCs w:val="24"/>
              </w:rPr>
              <w:t>货物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676" w:type="dxa"/>
            <w:tcBorders>
              <w:top w:val="single" w:color="auto" w:sz="4" w:space="0"/>
              <w:bottom w:val="single" w:color="auto" w:sz="4" w:space="0"/>
              <w:right w:val="single" w:color="auto" w:sz="4" w:space="0"/>
            </w:tcBorders>
            <w:vAlign w:val="center"/>
          </w:tcPr>
          <w:p>
            <w:pPr>
              <w:numPr>
                <w:ilvl w:val="0"/>
                <w:numId w:val="5"/>
              </w:numPr>
              <w:tabs>
                <w:tab w:val="left" w:pos="130"/>
              </w:tabs>
              <w:ind w:right="57"/>
              <w:jc w:val="center"/>
              <w:rPr>
                <w:rFonts w:ascii="宋体" w:hAnsi="宋体" w:eastAsia="宋体" w:cs="Times New Roman"/>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sz w:val="24"/>
                <w:szCs w:val="24"/>
              </w:rPr>
            </w:pPr>
            <w:r>
              <w:rPr>
                <w:rFonts w:ascii="Times New Roman" w:hAnsi="宋体" w:eastAsia="宋体" w:cs="Times New Roman"/>
                <w:sz w:val="24"/>
                <w:szCs w:val="24"/>
              </w:rPr>
              <w:t>采购人</w:t>
            </w:r>
          </w:p>
        </w:tc>
        <w:tc>
          <w:tcPr>
            <w:tcW w:w="6470" w:type="dxa"/>
            <w:tcBorders>
              <w:top w:val="single" w:color="auto" w:sz="4" w:space="0"/>
              <w:left w:val="single" w:color="auto" w:sz="4" w:space="0"/>
              <w:bottom w:val="single" w:color="auto" w:sz="4" w:space="0"/>
            </w:tcBorders>
            <w:vAlign w:val="center"/>
          </w:tcPr>
          <w:p>
            <w:pPr>
              <w:rPr>
                <w:rFonts w:ascii="宋体" w:hAnsi="宋体" w:eastAsia="宋体" w:cs="宋体"/>
                <w:color w:val="FF0000"/>
                <w:kern w:val="0"/>
                <w:sz w:val="24"/>
                <w:szCs w:val="24"/>
              </w:rPr>
            </w:pPr>
            <w:r>
              <w:rPr>
                <w:rFonts w:hint="eastAsia" w:ascii="宋体" w:hAnsi="宋体" w:eastAsia="宋体" w:cs="Times New Roman"/>
                <w:sz w:val="24"/>
                <w:szCs w:val="24"/>
              </w:rPr>
              <w:t>阳新县民政局</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676" w:type="dxa"/>
            <w:tcBorders>
              <w:top w:val="single" w:color="auto" w:sz="4" w:space="0"/>
              <w:bottom w:val="single" w:color="auto" w:sz="4" w:space="0"/>
              <w:right w:val="single" w:color="auto" w:sz="4" w:space="0"/>
            </w:tcBorders>
            <w:vAlign w:val="center"/>
          </w:tcPr>
          <w:p>
            <w:pPr>
              <w:numPr>
                <w:ilvl w:val="0"/>
                <w:numId w:val="5"/>
              </w:numPr>
              <w:tabs>
                <w:tab w:val="left" w:pos="130"/>
              </w:tabs>
              <w:ind w:right="57"/>
              <w:jc w:val="center"/>
              <w:rPr>
                <w:rFonts w:ascii="宋体" w:hAnsi="宋体" w:eastAsia="宋体" w:cs="Times New Roman"/>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24"/>
                <w:szCs w:val="24"/>
              </w:rPr>
            </w:pPr>
            <w:r>
              <w:rPr>
                <w:rFonts w:ascii="Times New Roman" w:hAnsi="宋体" w:eastAsia="宋体" w:cs="Times New Roman"/>
                <w:sz w:val="24"/>
                <w:szCs w:val="24"/>
              </w:rPr>
              <w:t>投标文件份数</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color w:val="0D0D0D"/>
                <w:sz w:val="24"/>
                <w:szCs w:val="24"/>
              </w:rPr>
            </w:pPr>
            <w:r>
              <w:rPr>
                <w:rFonts w:ascii="Times New Roman" w:hAnsi="Times New Roman" w:eastAsia="宋体" w:cs="Times New Roman"/>
                <w:color w:val="0D0D0D"/>
                <w:sz w:val="24"/>
                <w:szCs w:val="24"/>
              </w:rPr>
              <w:t>正本</w:t>
            </w:r>
            <w:r>
              <w:rPr>
                <w:rFonts w:hint="eastAsia" w:ascii="Times New Roman" w:hAnsi="Times New Roman" w:eastAsia="宋体" w:cs="Times New Roman"/>
                <w:color w:val="FF0000"/>
                <w:sz w:val="24"/>
                <w:szCs w:val="24"/>
              </w:rPr>
              <w:t>壹</w:t>
            </w:r>
            <w:r>
              <w:rPr>
                <w:rFonts w:ascii="Times New Roman" w:hAnsi="Times New Roman" w:eastAsia="宋体" w:cs="Times New Roman"/>
                <w:color w:val="0D0D0D"/>
                <w:sz w:val="24"/>
                <w:szCs w:val="24"/>
              </w:rPr>
              <w:t>份</w:t>
            </w:r>
            <w:r>
              <w:rPr>
                <w:rFonts w:hint="eastAsia" w:ascii="Times New Roman" w:hAnsi="Times New Roman" w:eastAsia="宋体" w:cs="Times New Roman"/>
                <w:color w:val="0D0D0D"/>
                <w:sz w:val="24"/>
                <w:szCs w:val="24"/>
              </w:rPr>
              <w:t>，</w:t>
            </w:r>
            <w:r>
              <w:rPr>
                <w:rFonts w:ascii="Times New Roman" w:hAnsi="Times New Roman" w:eastAsia="宋体" w:cs="Times New Roman"/>
                <w:color w:val="0D0D0D"/>
                <w:sz w:val="24"/>
                <w:szCs w:val="24"/>
              </w:rPr>
              <w:t>副本</w:t>
            </w:r>
            <w:r>
              <w:rPr>
                <w:rFonts w:hint="eastAsia" w:ascii="Times New Roman" w:hAnsi="Times New Roman" w:eastAsia="宋体" w:cs="Times New Roman"/>
                <w:color w:val="FF0000"/>
                <w:sz w:val="24"/>
                <w:szCs w:val="24"/>
              </w:rPr>
              <w:t>肆</w:t>
            </w:r>
            <w:r>
              <w:rPr>
                <w:rFonts w:ascii="Times New Roman" w:hAnsi="Times New Roman" w:eastAsia="宋体" w:cs="Times New Roman"/>
                <w:color w:val="0D0D0D"/>
                <w:sz w:val="24"/>
                <w:szCs w:val="24"/>
              </w:rPr>
              <w:t>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676" w:type="dxa"/>
            <w:tcBorders>
              <w:top w:val="single" w:color="auto" w:sz="4" w:space="0"/>
              <w:bottom w:val="single" w:color="auto" w:sz="4" w:space="0"/>
              <w:right w:val="single" w:color="auto" w:sz="4" w:space="0"/>
            </w:tcBorders>
            <w:vAlign w:val="center"/>
          </w:tcPr>
          <w:p>
            <w:pPr>
              <w:numPr>
                <w:ilvl w:val="0"/>
                <w:numId w:val="5"/>
              </w:numPr>
              <w:tabs>
                <w:tab w:val="left" w:pos="130"/>
              </w:tabs>
              <w:ind w:right="57"/>
              <w:jc w:val="center"/>
              <w:rPr>
                <w:rFonts w:ascii="宋体" w:hAnsi="宋体" w:eastAsia="宋体" w:cs="Times New Roman"/>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24"/>
                <w:szCs w:val="24"/>
              </w:rPr>
            </w:pPr>
            <w:r>
              <w:rPr>
                <w:rFonts w:ascii="Times New Roman" w:hAnsi="宋体" w:eastAsia="宋体" w:cs="Times New Roman"/>
                <w:sz w:val="24"/>
                <w:szCs w:val="24"/>
              </w:rPr>
              <w:t>投标有效期</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color w:val="0D0D0D"/>
                <w:sz w:val="24"/>
                <w:szCs w:val="24"/>
              </w:rPr>
            </w:pPr>
            <w:r>
              <w:rPr>
                <w:rFonts w:hint="eastAsia" w:ascii="宋体" w:hAnsi="宋体" w:eastAsia="宋体" w:cs="宋体"/>
                <w:color w:val="0D0D0D"/>
                <w:kern w:val="0"/>
                <w:sz w:val="24"/>
                <w:szCs w:val="24"/>
              </w:rPr>
              <w:t>提交投标文件截止之日起90日历日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676" w:type="dxa"/>
            <w:tcBorders>
              <w:top w:val="single" w:color="auto" w:sz="4" w:space="0"/>
              <w:bottom w:val="single" w:color="auto" w:sz="4" w:space="0"/>
              <w:right w:val="single" w:color="auto" w:sz="4" w:space="0"/>
            </w:tcBorders>
            <w:vAlign w:val="center"/>
          </w:tcPr>
          <w:p>
            <w:pPr>
              <w:numPr>
                <w:ilvl w:val="0"/>
                <w:numId w:val="5"/>
              </w:numPr>
              <w:tabs>
                <w:tab w:val="left" w:pos="130"/>
              </w:tabs>
              <w:ind w:right="57"/>
              <w:jc w:val="center"/>
              <w:rPr>
                <w:rFonts w:ascii="宋体" w:hAnsi="宋体" w:eastAsia="宋体" w:cs="Times New Roman"/>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sz w:val="24"/>
                <w:szCs w:val="24"/>
              </w:rPr>
            </w:pPr>
            <w:r>
              <w:rPr>
                <w:rFonts w:hint="eastAsia" w:ascii="Times New Roman" w:hAnsi="宋体" w:eastAsia="宋体" w:cs="Times New Roman"/>
                <w:sz w:val="24"/>
                <w:szCs w:val="24"/>
              </w:rPr>
              <w:t>资格预审</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sz w:val="24"/>
                <w:szCs w:val="24"/>
                <w:highlight w:val="yellow"/>
              </w:rPr>
            </w:pPr>
            <w:r>
              <w:rPr>
                <w:rFonts w:hint="eastAsia" w:ascii="Times New Roman" w:hAnsi="Times New Roman" w:eastAsia="宋体" w:cs="Times New Roman"/>
                <w:sz w:val="24"/>
                <w:szCs w:val="24"/>
              </w:rPr>
              <w:t>不进行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676" w:type="dxa"/>
            <w:tcBorders>
              <w:top w:val="single" w:color="auto" w:sz="4" w:space="0"/>
              <w:bottom w:val="single" w:color="auto" w:sz="4" w:space="0"/>
              <w:right w:val="single" w:color="auto" w:sz="4" w:space="0"/>
            </w:tcBorders>
            <w:vAlign w:val="center"/>
          </w:tcPr>
          <w:p>
            <w:pPr>
              <w:numPr>
                <w:ilvl w:val="0"/>
                <w:numId w:val="5"/>
              </w:numPr>
              <w:tabs>
                <w:tab w:val="left" w:pos="242"/>
              </w:tabs>
              <w:ind w:right="57"/>
              <w:jc w:val="center"/>
              <w:rPr>
                <w:rFonts w:ascii="宋体" w:hAnsi="宋体" w:eastAsia="宋体" w:cs="Times New Roman"/>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24"/>
                <w:szCs w:val="24"/>
              </w:rPr>
            </w:pPr>
            <w:r>
              <w:rPr>
                <w:rFonts w:ascii="Times New Roman" w:hAnsi="宋体" w:eastAsia="宋体" w:cs="Times New Roman"/>
                <w:sz w:val="24"/>
                <w:szCs w:val="24"/>
              </w:rPr>
              <w:t>投标文件递交时间</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sz w:val="24"/>
                <w:szCs w:val="24"/>
              </w:rPr>
            </w:pPr>
            <w:r>
              <w:rPr>
                <w:rFonts w:hint="eastAsia" w:ascii="Times New Roman" w:hAnsi="Times New Roman" w:eastAsia="宋体" w:cs="Times New Roman"/>
                <w:sz w:val="24"/>
                <w:szCs w:val="24"/>
              </w:rPr>
              <w:t>详见第一章“投标邀请书”要求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676" w:type="dxa"/>
            <w:tcBorders>
              <w:top w:val="single" w:color="auto" w:sz="4" w:space="0"/>
              <w:bottom w:val="single" w:color="auto" w:sz="4" w:space="0"/>
              <w:right w:val="single" w:color="auto" w:sz="4" w:space="0"/>
            </w:tcBorders>
            <w:vAlign w:val="center"/>
          </w:tcPr>
          <w:p>
            <w:pPr>
              <w:numPr>
                <w:ilvl w:val="0"/>
                <w:numId w:val="5"/>
              </w:numPr>
              <w:tabs>
                <w:tab w:val="left" w:pos="242"/>
              </w:tabs>
              <w:ind w:right="57"/>
              <w:jc w:val="center"/>
              <w:rPr>
                <w:rFonts w:ascii="宋体" w:hAnsi="宋体" w:eastAsia="宋体" w:cs="Times New Roman"/>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24"/>
                <w:szCs w:val="24"/>
              </w:rPr>
            </w:pPr>
            <w:r>
              <w:rPr>
                <w:rFonts w:ascii="Times New Roman" w:hAnsi="宋体" w:eastAsia="宋体" w:cs="Times New Roman"/>
                <w:sz w:val="24"/>
                <w:szCs w:val="24"/>
              </w:rPr>
              <w:t>开标时间</w:t>
            </w:r>
            <w:r>
              <w:rPr>
                <w:rFonts w:hint="eastAsia" w:ascii="Times New Roman" w:hAnsi="宋体" w:eastAsia="宋体" w:cs="Times New Roman"/>
                <w:sz w:val="24"/>
                <w:szCs w:val="24"/>
              </w:rPr>
              <w:t>、地点</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sz w:val="24"/>
                <w:szCs w:val="24"/>
              </w:rPr>
            </w:pPr>
            <w:r>
              <w:rPr>
                <w:rFonts w:hint="eastAsia" w:ascii="Times New Roman" w:hAnsi="Times New Roman" w:eastAsia="宋体" w:cs="Times New Roman"/>
                <w:sz w:val="24"/>
                <w:szCs w:val="24"/>
              </w:rPr>
              <w:t>详见第一章“投标邀请书”要求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676" w:type="dxa"/>
            <w:tcBorders>
              <w:top w:val="single" w:color="auto" w:sz="4" w:space="0"/>
              <w:bottom w:val="single" w:color="auto" w:sz="4" w:space="0"/>
              <w:right w:val="single" w:color="auto" w:sz="4" w:space="0"/>
            </w:tcBorders>
            <w:vAlign w:val="center"/>
          </w:tcPr>
          <w:p>
            <w:pPr>
              <w:numPr>
                <w:ilvl w:val="0"/>
                <w:numId w:val="5"/>
              </w:numPr>
              <w:tabs>
                <w:tab w:val="left" w:pos="242"/>
              </w:tabs>
              <w:ind w:right="57"/>
              <w:jc w:val="center"/>
              <w:rPr>
                <w:rFonts w:ascii="宋体" w:hAnsi="宋体" w:eastAsia="宋体" w:cs="Times New Roman"/>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sz w:val="24"/>
                <w:szCs w:val="24"/>
              </w:rPr>
            </w:pPr>
            <w:r>
              <w:rPr>
                <w:rFonts w:hint="eastAsia" w:ascii="Times New Roman" w:hAnsi="宋体" w:eastAsia="宋体" w:cs="Times New Roman"/>
                <w:sz w:val="24"/>
                <w:szCs w:val="24"/>
              </w:rPr>
              <w:t>备选方案</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sz w:val="24"/>
                <w:szCs w:val="24"/>
              </w:rPr>
            </w:pPr>
            <w:r>
              <w:rPr>
                <w:rFonts w:hint="eastAsia" w:ascii="Times New Roman" w:hAnsi="Times New Roman" w:eastAsia="宋体" w:cs="Times New Roman"/>
                <w:sz w:val="24"/>
                <w:szCs w:val="24"/>
              </w:rPr>
              <w:t>不允许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09" w:hRule="atLeast"/>
        </w:trPr>
        <w:tc>
          <w:tcPr>
            <w:tcW w:w="676" w:type="dxa"/>
            <w:tcBorders>
              <w:top w:val="single" w:color="auto" w:sz="4" w:space="0"/>
              <w:bottom w:val="single" w:color="auto" w:sz="4" w:space="0"/>
              <w:right w:val="single" w:color="auto" w:sz="4" w:space="0"/>
            </w:tcBorders>
            <w:vAlign w:val="center"/>
          </w:tcPr>
          <w:p>
            <w:pPr>
              <w:numPr>
                <w:ilvl w:val="0"/>
                <w:numId w:val="5"/>
              </w:numPr>
              <w:tabs>
                <w:tab w:val="left" w:pos="242"/>
              </w:tabs>
              <w:ind w:right="57"/>
              <w:jc w:val="center"/>
              <w:rPr>
                <w:rFonts w:ascii="宋体" w:hAnsi="宋体" w:eastAsia="宋体" w:cs="Times New Roman"/>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24"/>
                <w:szCs w:val="24"/>
              </w:rPr>
            </w:pPr>
            <w:r>
              <w:rPr>
                <w:rFonts w:ascii="Times New Roman" w:hAnsi="宋体" w:eastAsia="宋体" w:cs="Times New Roman"/>
                <w:sz w:val="24"/>
                <w:szCs w:val="24"/>
              </w:rPr>
              <w:t>实物样品</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color w:val="FF0000"/>
                <w:sz w:val="24"/>
                <w:szCs w:val="24"/>
              </w:rPr>
            </w:pPr>
            <w:r>
              <w:rPr>
                <w:rFonts w:hint="eastAsia" w:ascii="Times New Roman" w:hAnsi="Times New Roman" w:eastAsia="宋体" w:cs="Times New Roman"/>
                <w:color w:val="FF0000"/>
                <w:sz w:val="24"/>
                <w:szCs w:val="24"/>
              </w:rPr>
              <w:t>不提交</w:t>
            </w:r>
          </w:p>
          <w:p>
            <w:pPr>
              <w:rPr>
                <w:rFonts w:ascii="Times New Roman" w:hAnsi="Times New Roman" w:eastAsia="宋体" w:cs="Times New Roman"/>
                <w:sz w:val="24"/>
                <w:szCs w:val="24"/>
              </w:rPr>
            </w:pPr>
            <w:r>
              <w:rPr>
                <w:rFonts w:hint="eastAsia" w:ascii="Times New Roman" w:hAnsi="Times New Roman" w:eastAsia="宋体" w:cs="Times New Roman"/>
                <w:sz w:val="24"/>
                <w:szCs w:val="24"/>
              </w:rPr>
              <w:t>详见第三章“</w:t>
            </w:r>
            <w:r>
              <w:rPr>
                <w:rFonts w:hint="eastAsia" w:ascii="宋体" w:hAnsi="宋体" w:eastAsia="宋体" w:cs="Times New Roman"/>
                <w:sz w:val="24"/>
                <w:szCs w:val="24"/>
              </w:rPr>
              <w:t>项目技术、服务及商务要求</w:t>
            </w:r>
            <w:r>
              <w:rPr>
                <w:rFonts w:hint="eastAsia" w:ascii="Times New Roman" w:hAnsi="Times New Roman" w:eastAsia="宋体" w:cs="Times New Roman"/>
                <w:sz w:val="24"/>
                <w:szCs w:val="24"/>
              </w:rPr>
              <w:t>”要求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676" w:type="dxa"/>
            <w:tcBorders>
              <w:top w:val="single" w:color="auto" w:sz="4" w:space="0"/>
              <w:bottom w:val="single" w:color="auto" w:sz="4" w:space="0"/>
              <w:right w:val="single" w:color="auto" w:sz="4" w:space="0"/>
            </w:tcBorders>
            <w:vAlign w:val="center"/>
          </w:tcPr>
          <w:p>
            <w:pPr>
              <w:numPr>
                <w:ilvl w:val="0"/>
                <w:numId w:val="5"/>
              </w:numPr>
              <w:tabs>
                <w:tab w:val="left" w:pos="242"/>
              </w:tabs>
              <w:ind w:right="57"/>
              <w:jc w:val="center"/>
              <w:rPr>
                <w:rFonts w:ascii="宋体" w:hAnsi="宋体" w:eastAsia="宋体" w:cs="Times New Roman"/>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sz w:val="24"/>
                <w:szCs w:val="24"/>
              </w:rPr>
            </w:pPr>
            <w:r>
              <w:rPr>
                <w:rFonts w:hint="eastAsia" w:ascii="宋体" w:hAnsi="宋体" w:eastAsia="宋体" w:cs="宋体"/>
                <w:color w:val="000000"/>
                <w:sz w:val="24"/>
                <w:szCs w:val="24"/>
              </w:rPr>
              <w:t>现</w:t>
            </w:r>
            <w:r>
              <w:rPr>
                <w:rFonts w:hint="eastAsia" w:ascii="宋体" w:hAnsi="宋体" w:eastAsia="宋体" w:cs="宋体"/>
                <w:sz w:val="24"/>
                <w:szCs w:val="24"/>
              </w:rPr>
              <w:t>场考察</w:t>
            </w:r>
          </w:p>
        </w:tc>
        <w:tc>
          <w:tcPr>
            <w:tcW w:w="6470" w:type="dxa"/>
            <w:tcBorders>
              <w:top w:val="single" w:color="auto" w:sz="4" w:space="0"/>
              <w:left w:val="single" w:color="auto" w:sz="4" w:space="0"/>
              <w:bottom w:val="single" w:color="auto" w:sz="4" w:space="0"/>
            </w:tcBorders>
            <w:vAlign w:val="center"/>
          </w:tcPr>
          <w:p>
            <w:pPr>
              <w:ind w:right="-105" w:rightChars="-50"/>
              <w:rPr>
                <w:rFonts w:ascii="Times New Roman" w:hAnsi="Times New Roman" w:eastAsia="宋体" w:cs="Times New Roman"/>
                <w:sz w:val="24"/>
                <w:szCs w:val="24"/>
              </w:rPr>
            </w:pPr>
            <w:r>
              <w:rPr>
                <w:rFonts w:hint="eastAsia" w:ascii="Times New Roman" w:hAnsi="Times New Roman" w:eastAsia="宋体" w:cs="Times New Roman"/>
                <w:sz w:val="24"/>
                <w:szCs w:val="24"/>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676" w:type="dxa"/>
            <w:tcBorders>
              <w:top w:val="single" w:color="auto" w:sz="4" w:space="0"/>
              <w:bottom w:val="single" w:color="auto" w:sz="4" w:space="0"/>
              <w:right w:val="single" w:color="auto" w:sz="4" w:space="0"/>
            </w:tcBorders>
            <w:vAlign w:val="center"/>
          </w:tcPr>
          <w:p>
            <w:pPr>
              <w:numPr>
                <w:ilvl w:val="0"/>
                <w:numId w:val="5"/>
              </w:numPr>
              <w:tabs>
                <w:tab w:val="left" w:pos="242"/>
              </w:tabs>
              <w:ind w:right="57"/>
              <w:jc w:val="center"/>
              <w:rPr>
                <w:rFonts w:ascii="宋体" w:hAnsi="宋体" w:eastAsia="宋体" w:cs="Times New Roman"/>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color w:val="0D0D0D"/>
                <w:sz w:val="24"/>
                <w:szCs w:val="24"/>
              </w:rPr>
            </w:pPr>
            <w:r>
              <w:rPr>
                <w:rFonts w:hint="eastAsia" w:ascii="Times New Roman" w:hAnsi="宋体" w:eastAsia="宋体" w:cs="Times New Roman"/>
                <w:color w:val="0D0D0D"/>
                <w:sz w:val="24"/>
                <w:szCs w:val="24"/>
              </w:rPr>
              <w:t>中标后分包</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sz w:val="24"/>
                <w:szCs w:val="24"/>
              </w:rPr>
            </w:pPr>
            <w:r>
              <w:rPr>
                <w:rFonts w:hint="eastAsia" w:ascii="Times New Roman" w:hAnsi="Times New Roman" w:eastAsia="宋体" w:cs="Times New Roman"/>
                <w:sz w:val="24"/>
                <w:szCs w:val="24"/>
              </w:rPr>
              <w:t>不允许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54" w:hRule="atLeast"/>
        </w:trPr>
        <w:tc>
          <w:tcPr>
            <w:tcW w:w="676" w:type="dxa"/>
            <w:tcBorders>
              <w:top w:val="single" w:color="auto" w:sz="4" w:space="0"/>
              <w:bottom w:val="single" w:color="auto" w:sz="4" w:space="0"/>
              <w:right w:val="single" w:color="auto" w:sz="4" w:space="0"/>
            </w:tcBorders>
            <w:vAlign w:val="center"/>
          </w:tcPr>
          <w:p>
            <w:pPr>
              <w:numPr>
                <w:ilvl w:val="0"/>
                <w:numId w:val="5"/>
              </w:numPr>
              <w:tabs>
                <w:tab w:val="left" w:pos="242"/>
              </w:tabs>
              <w:ind w:right="57"/>
              <w:jc w:val="center"/>
              <w:rPr>
                <w:rFonts w:ascii="宋体" w:hAnsi="宋体" w:eastAsia="宋体" w:cs="Times New Roman"/>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sz w:val="24"/>
                <w:szCs w:val="24"/>
              </w:rPr>
            </w:pPr>
            <w:r>
              <w:rPr>
                <w:rFonts w:ascii="Times New Roman" w:hAnsi="宋体" w:eastAsia="宋体" w:cs="Times New Roman"/>
                <w:sz w:val="24"/>
                <w:szCs w:val="24"/>
              </w:rPr>
              <w:t>评标办法</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color w:val="0D0D0D"/>
                <w:sz w:val="24"/>
                <w:szCs w:val="24"/>
              </w:rPr>
            </w:pPr>
            <w:r>
              <w:rPr>
                <w:rFonts w:ascii="Times New Roman" w:hAnsi="Times New Roman" w:eastAsia="宋体" w:cs="Times New Roman"/>
                <w:color w:val="0D0D0D"/>
                <w:sz w:val="24"/>
                <w:szCs w:val="24"/>
              </w:rPr>
              <w:t>综合评分法</w:t>
            </w:r>
          </w:p>
          <w:p>
            <w:pPr>
              <w:rPr>
                <w:rFonts w:ascii="Times New Roman" w:hAnsi="Times New Roman" w:eastAsia="宋体" w:cs="Times New Roman"/>
                <w:color w:val="0D0D0D"/>
                <w:sz w:val="24"/>
                <w:szCs w:val="24"/>
                <w:lang w:val="zh-CN"/>
              </w:rPr>
            </w:pPr>
            <w:r>
              <w:rPr>
                <w:rFonts w:hint="eastAsia" w:ascii="Times New Roman" w:hAnsi="Times New Roman" w:eastAsia="宋体" w:cs="Times New Roman"/>
                <w:color w:val="0D0D0D"/>
                <w:sz w:val="24"/>
                <w:szCs w:val="24"/>
              </w:rPr>
              <w:t>详见第五章“评标方法、程序及标准”要求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676" w:type="dxa"/>
            <w:tcBorders>
              <w:top w:val="single" w:color="auto" w:sz="4" w:space="0"/>
              <w:bottom w:val="single" w:color="auto" w:sz="4" w:space="0"/>
              <w:right w:val="single" w:color="auto" w:sz="4" w:space="0"/>
            </w:tcBorders>
            <w:vAlign w:val="center"/>
          </w:tcPr>
          <w:p>
            <w:pPr>
              <w:numPr>
                <w:ilvl w:val="0"/>
                <w:numId w:val="5"/>
              </w:numPr>
              <w:tabs>
                <w:tab w:val="left" w:pos="242"/>
              </w:tabs>
              <w:ind w:right="57"/>
              <w:jc w:val="center"/>
              <w:rPr>
                <w:rFonts w:ascii="宋体" w:hAnsi="宋体" w:eastAsia="宋体" w:cs="Times New Roman"/>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sz w:val="24"/>
                <w:szCs w:val="24"/>
              </w:rPr>
            </w:pPr>
            <w:r>
              <w:rPr>
                <w:rFonts w:hint="eastAsia" w:ascii="Times New Roman" w:hAnsi="宋体" w:eastAsia="宋体" w:cs="Times New Roman"/>
                <w:sz w:val="24"/>
                <w:szCs w:val="24"/>
              </w:rPr>
              <w:t>质疑及提交</w:t>
            </w:r>
          </w:p>
        </w:tc>
        <w:tc>
          <w:tcPr>
            <w:tcW w:w="6470" w:type="dxa"/>
            <w:tcBorders>
              <w:top w:val="single" w:color="auto" w:sz="4" w:space="0"/>
              <w:left w:val="single" w:color="auto" w:sz="4" w:space="0"/>
              <w:bottom w:val="single" w:color="auto" w:sz="4" w:space="0"/>
            </w:tcBorders>
            <w:vAlign w:val="center"/>
          </w:tcPr>
          <w:p>
            <w:pPr>
              <w:rPr>
                <w:rFonts w:cs="Times New Roman" w:asciiTheme="minorEastAsia" w:hAnsiTheme="minorEastAsia"/>
                <w:color w:val="0D0D0D"/>
                <w:sz w:val="24"/>
                <w:szCs w:val="24"/>
              </w:rPr>
            </w:pPr>
            <w:r>
              <w:rPr>
                <w:rFonts w:hint="eastAsia" w:cs="Times New Roman" w:asciiTheme="minorEastAsia" w:hAnsiTheme="minorEastAsia"/>
                <w:color w:val="0D0D0D"/>
                <w:sz w:val="24"/>
                <w:szCs w:val="24"/>
              </w:rPr>
              <w:t>详见本章“质疑及提交”要求</w:t>
            </w:r>
          </w:p>
        </w:tc>
      </w:tr>
    </w:tbl>
    <w:p>
      <w:pPr>
        <w:keepNext/>
        <w:keepLines/>
        <w:numPr>
          <w:ilvl w:val="0"/>
          <w:numId w:val="6"/>
        </w:numPr>
        <w:spacing w:before="100" w:beforeAutospacing="1" w:after="100" w:afterAutospacing="1" w:line="360" w:lineRule="auto"/>
        <w:ind w:left="483" w:hanging="480" w:hangingChars="150"/>
        <w:outlineLvl w:val="1"/>
        <w:rPr>
          <w:rFonts w:ascii="黑体" w:hAnsi="黑体" w:eastAsia="黑体" w:cs="Times New Roman"/>
          <w:b/>
          <w:bCs/>
          <w:sz w:val="32"/>
          <w:szCs w:val="32"/>
          <w:lang w:val="zh-CN"/>
        </w:rPr>
      </w:pPr>
      <w:bookmarkStart w:id="4" w:name="_Toc494561938"/>
      <w:r>
        <w:rPr>
          <w:rFonts w:ascii="黑体" w:hAnsi="黑体" w:eastAsia="黑体" w:cs="Times New Roman"/>
          <w:b/>
          <w:bCs/>
          <w:sz w:val="32"/>
          <w:szCs w:val="32"/>
          <w:lang w:val="zh-CN"/>
        </w:rPr>
        <w:br w:type="page"/>
      </w:r>
      <w:bookmarkStart w:id="5" w:name="_Toc3628"/>
      <w:bookmarkEnd w:id="5"/>
      <w:bookmarkStart w:id="6" w:name="_Toc25924"/>
      <w:bookmarkEnd w:id="6"/>
      <w:bookmarkStart w:id="7" w:name="_Toc31043"/>
      <w:bookmarkEnd w:id="7"/>
      <w:bookmarkStart w:id="8" w:name="_Toc16751"/>
      <w:bookmarkEnd w:id="8"/>
      <w:bookmarkStart w:id="9" w:name="_Toc4639"/>
      <w:bookmarkEnd w:id="9"/>
      <w:bookmarkStart w:id="10" w:name="_Toc18790"/>
      <w:bookmarkEnd w:id="10"/>
      <w:bookmarkStart w:id="11" w:name="_Toc13474"/>
      <w:bookmarkEnd w:id="11"/>
    </w:p>
    <w:p>
      <w:pPr>
        <w:pStyle w:val="5"/>
        <w:numPr>
          <w:ilvl w:val="0"/>
          <w:numId w:val="7"/>
        </w:numPr>
        <w:spacing w:before="40" w:after="40" w:line="360" w:lineRule="auto"/>
        <w:ind w:left="658" w:hanging="658"/>
        <w:jc w:val="left"/>
        <w:rPr>
          <w:rFonts w:cs="Times New Roman" w:asciiTheme="majorEastAsia" w:hAnsiTheme="majorEastAsia"/>
          <w:bCs w:val="0"/>
          <w:lang w:val="zh-CN"/>
        </w:rPr>
      </w:pPr>
      <w:bookmarkStart w:id="12" w:name="_Toc29436"/>
      <w:r>
        <w:rPr>
          <w:rFonts w:hint="eastAsia" w:cs="Times New Roman" w:asciiTheme="majorEastAsia" w:hAnsiTheme="majorEastAsia"/>
          <w:bCs w:val="0"/>
          <w:lang w:val="zh-CN"/>
        </w:rPr>
        <w:t>说  明</w:t>
      </w:r>
      <w:bookmarkEnd w:id="4"/>
      <w:bookmarkEnd w:id="12"/>
    </w:p>
    <w:p>
      <w:pPr>
        <w:numPr>
          <w:ilvl w:val="0"/>
          <w:numId w:val="8"/>
        </w:numPr>
        <w:spacing w:line="360" w:lineRule="auto"/>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适用范围</w:t>
      </w:r>
    </w:p>
    <w:p>
      <w:pPr>
        <w:spacing w:line="360" w:lineRule="auto"/>
        <w:ind w:firstLine="480" w:firstLineChars="200"/>
        <w:rPr>
          <w:rFonts w:cs="Times New Roman" w:asciiTheme="minorEastAsia" w:hAnsiTheme="minorEastAsia"/>
          <w:sz w:val="24"/>
          <w:szCs w:val="24"/>
          <w:lang w:val="zh-CN"/>
        </w:rPr>
      </w:pPr>
      <w:r>
        <w:rPr>
          <w:rFonts w:hint="eastAsia" w:cs="Times New Roman" w:asciiTheme="minorEastAsia" w:hAnsiTheme="minorEastAsia"/>
          <w:sz w:val="24"/>
          <w:szCs w:val="24"/>
          <w:lang w:val="zh-CN"/>
        </w:rPr>
        <w:t>招标文件仅适用于第一章“投标邀请书”中所述项目的货物、工程及服务的采购。</w:t>
      </w:r>
    </w:p>
    <w:p>
      <w:pPr>
        <w:numPr>
          <w:ilvl w:val="0"/>
          <w:numId w:val="8"/>
        </w:numPr>
        <w:spacing w:line="360" w:lineRule="auto"/>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当事人定义</w:t>
      </w:r>
    </w:p>
    <w:p>
      <w:pPr>
        <w:numPr>
          <w:ilvl w:val="0"/>
          <w:numId w:val="9"/>
        </w:numPr>
        <w:spacing w:line="360" w:lineRule="auto"/>
        <w:ind w:left="476" w:hanging="476"/>
        <w:rPr>
          <w:rFonts w:cs="Times New Roman" w:asciiTheme="minorEastAsia" w:hAnsiTheme="minorEastAsia"/>
          <w:sz w:val="24"/>
          <w:szCs w:val="24"/>
          <w:lang w:val="zh-CN"/>
        </w:rPr>
      </w:pPr>
      <w:r>
        <w:rPr>
          <w:rFonts w:hint="eastAsia" w:cs="Times New Roman" w:asciiTheme="minorEastAsia" w:hAnsiTheme="minorEastAsia"/>
          <w:b/>
          <w:sz w:val="24"/>
          <w:szCs w:val="24"/>
          <w:lang w:val="zh-CN"/>
        </w:rPr>
        <w:t>“采购人”是指：</w:t>
      </w:r>
      <w:r>
        <w:rPr>
          <w:rFonts w:hint="eastAsia" w:cs="Times New Roman" w:asciiTheme="minorEastAsia" w:hAnsiTheme="minorEastAsia"/>
          <w:sz w:val="24"/>
          <w:szCs w:val="24"/>
          <w:lang w:val="zh-CN"/>
        </w:rPr>
        <w:t>详见第一章“投标邀请书”。</w:t>
      </w:r>
    </w:p>
    <w:p>
      <w:pPr>
        <w:numPr>
          <w:ilvl w:val="0"/>
          <w:numId w:val="9"/>
        </w:numPr>
        <w:spacing w:line="360" w:lineRule="auto"/>
        <w:ind w:left="476" w:hanging="476"/>
        <w:rPr>
          <w:rFonts w:cs="Times New Roman" w:asciiTheme="minorEastAsia" w:hAnsiTheme="minorEastAsia"/>
          <w:sz w:val="24"/>
          <w:szCs w:val="24"/>
          <w:lang w:val="zh-CN"/>
        </w:rPr>
      </w:pPr>
      <w:r>
        <w:rPr>
          <w:rFonts w:hint="eastAsia" w:cs="Times New Roman" w:asciiTheme="minorEastAsia" w:hAnsiTheme="minorEastAsia"/>
          <w:b/>
          <w:sz w:val="24"/>
          <w:szCs w:val="24"/>
          <w:lang w:val="zh-CN"/>
        </w:rPr>
        <w:t>“监管部门”是指：</w:t>
      </w:r>
      <w:r>
        <w:rPr>
          <w:rFonts w:hint="eastAsia" w:cs="Times New Roman" w:asciiTheme="minorEastAsia" w:hAnsiTheme="minorEastAsia"/>
          <w:sz w:val="24"/>
          <w:szCs w:val="24"/>
          <w:lang w:val="zh-CN"/>
        </w:rPr>
        <w:t>阳新县政府采购办公室、阳新县公共资源交易监督管理局。</w:t>
      </w:r>
    </w:p>
    <w:p>
      <w:pPr>
        <w:numPr>
          <w:ilvl w:val="0"/>
          <w:numId w:val="9"/>
        </w:numPr>
        <w:spacing w:line="360" w:lineRule="auto"/>
        <w:ind w:left="476" w:hanging="476"/>
        <w:rPr>
          <w:rFonts w:cs="Times New Roman" w:asciiTheme="minorEastAsia" w:hAnsiTheme="minorEastAsia"/>
          <w:sz w:val="24"/>
          <w:szCs w:val="24"/>
          <w:lang w:val="zh-CN"/>
        </w:rPr>
      </w:pPr>
      <w:r>
        <w:rPr>
          <w:rFonts w:hint="eastAsia" w:cs="Times New Roman" w:asciiTheme="minorEastAsia" w:hAnsiTheme="minorEastAsia"/>
          <w:b/>
          <w:sz w:val="24"/>
          <w:szCs w:val="24"/>
          <w:lang w:val="zh-CN"/>
        </w:rPr>
        <w:t>“集中采购机构”是指：</w:t>
      </w:r>
      <w:r>
        <w:rPr>
          <w:rFonts w:hint="eastAsia" w:cs="Times New Roman" w:asciiTheme="minorEastAsia" w:hAnsiTheme="minorEastAsia"/>
          <w:sz w:val="24"/>
          <w:szCs w:val="24"/>
          <w:lang w:val="zh-CN"/>
        </w:rPr>
        <w:t>阳新县公共资源交易中心。</w:t>
      </w:r>
    </w:p>
    <w:p>
      <w:pPr>
        <w:numPr>
          <w:ilvl w:val="0"/>
          <w:numId w:val="9"/>
        </w:numPr>
        <w:spacing w:line="360" w:lineRule="auto"/>
        <w:ind w:left="476" w:hanging="476"/>
        <w:rPr>
          <w:rFonts w:cs="Times New Roman" w:asciiTheme="minorEastAsia" w:hAnsiTheme="minorEastAsia"/>
          <w:sz w:val="24"/>
          <w:szCs w:val="24"/>
          <w:lang w:val="zh-CN"/>
        </w:rPr>
      </w:pPr>
      <w:r>
        <w:rPr>
          <w:rFonts w:hint="eastAsia" w:cs="Times New Roman" w:asciiTheme="minorEastAsia" w:hAnsiTheme="minorEastAsia"/>
          <w:b/>
          <w:sz w:val="24"/>
          <w:szCs w:val="24"/>
          <w:lang w:val="zh-CN"/>
        </w:rPr>
        <w:t>“投标人”是指：</w:t>
      </w:r>
      <w:r>
        <w:rPr>
          <w:rFonts w:cs="Helvetica" w:asciiTheme="minorEastAsia" w:hAnsiTheme="minorEastAsia"/>
          <w:kern w:val="0"/>
          <w:sz w:val="24"/>
          <w:szCs w:val="24"/>
          <w:lang w:val="zh-CN"/>
        </w:rPr>
        <w:t>响应招标、参加投标竞争的法人、其他组织或者自然人。</w:t>
      </w:r>
    </w:p>
    <w:p>
      <w:pPr>
        <w:numPr>
          <w:ilvl w:val="0"/>
          <w:numId w:val="9"/>
        </w:numPr>
        <w:spacing w:line="360" w:lineRule="auto"/>
        <w:ind w:left="476" w:hanging="476"/>
        <w:rPr>
          <w:rFonts w:cs="Helvetica" w:asciiTheme="minorEastAsia" w:hAnsiTheme="minorEastAsia"/>
          <w:kern w:val="0"/>
          <w:sz w:val="24"/>
          <w:szCs w:val="24"/>
          <w:lang w:val="zh-CN"/>
        </w:rPr>
      </w:pPr>
      <w:r>
        <w:rPr>
          <w:rFonts w:hint="eastAsia" w:cs="Times New Roman" w:asciiTheme="minorEastAsia" w:hAnsiTheme="minorEastAsia"/>
          <w:b/>
          <w:sz w:val="24"/>
          <w:szCs w:val="24"/>
          <w:lang w:val="zh-CN"/>
        </w:rPr>
        <w:t>“合格的投标人”是指：</w:t>
      </w:r>
      <w:r>
        <w:rPr>
          <w:rFonts w:hint="eastAsia" w:cs="Helvetica" w:asciiTheme="minorEastAsia" w:hAnsiTheme="minorEastAsia"/>
          <w:kern w:val="0"/>
          <w:sz w:val="24"/>
          <w:szCs w:val="24"/>
          <w:lang w:val="zh-CN"/>
        </w:rPr>
        <w:t>资格审查和符合性审查合格的投标人。</w:t>
      </w:r>
    </w:p>
    <w:p>
      <w:pPr>
        <w:numPr>
          <w:ilvl w:val="0"/>
          <w:numId w:val="9"/>
        </w:numPr>
        <w:spacing w:line="360" w:lineRule="auto"/>
        <w:ind w:left="476" w:hanging="476"/>
        <w:rPr>
          <w:rFonts w:cs="Times New Roman" w:asciiTheme="minorEastAsia" w:hAnsiTheme="minorEastAsia"/>
          <w:sz w:val="24"/>
          <w:szCs w:val="24"/>
          <w:lang w:val="zh-CN"/>
        </w:rPr>
      </w:pPr>
      <w:r>
        <w:rPr>
          <w:rFonts w:hint="eastAsia" w:cs="Times New Roman" w:asciiTheme="minorEastAsia" w:hAnsiTheme="minorEastAsia"/>
          <w:b/>
          <w:sz w:val="24"/>
          <w:szCs w:val="24"/>
          <w:lang w:val="zh-CN"/>
        </w:rPr>
        <w:t>“中标人”是指：</w:t>
      </w:r>
      <w:r>
        <w:rPr>
          <w:rFonts w:hint="eastAsia" w:cs="Times New Roman" w:asciiTheme="minorEastAsia" w:hAnsiTheme="minorEastAsia"/>
          <w:sz w:val="24"/>
          <w:szCs w:val="24"/>
          <w:lang w:val="zh-CN"/>
        </w:rPr>
        <w:t>经评标委员会评审，授予合同的投标人。</w:t>
      </w:r>
    </w:p>
    <w:p>
      <w:pPr>
        <w:numPr>
          <w:ilvl w:val="0"/>
          <w:numId w:val="8"/>
        </w:numPr>
        <w:spacing w:line="360" w:lineRule="auto"/>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项目属性及定义</w:t>
      </w:r>
    </w:p>
    <w:p>
      <w:pPr>
        <w:numPr>
          <w:ilvl w:val="0"/>
          <w:numId w:val="10"/>
        </w:numPr>
        <w:spacing w:line="360" w:lineRule="auto"/>
        <w:ind w:left="476" w:hanging="476"/>
        <w:rPr>
          <w:rFonts w:cs="Times New Roman" w:asciiTheme="minorEastAsia" w:hAnsiTheme="minorEastAsia"/>
          <w:sz w:val="24"/>
          <w:szCs w:val="24"/>
          <w:lang w:val="zh-CN"/>
        </w:rPr>
      </w:pPr>
      <w:r>
        <w:rPr>
          <w:rFonts w:hint="eastAsia" w:cs="Times New Roman" w:asciiTheme="minorEastAsia" w:hAnsiTheme="minorEastAsia"/>
          <w:b/>
          <w:sz w:val="24"/>
          <w:szCs w:val="24"/>
          <w:lang w:val="zh-CN"/>
        </w:rPr>
        <w:t>“货物”是指</w:t>
      </w:r>
      <w:r>
        <w:rPr>
          <w:rFonts w:hint="eastAsia" w:cs="Times New Roman" w:asciiTheme="minorEastAsia" w:hAnsiTheme="minorEastAsia"/>
          <w:sz w:val="24"/>
          <w:szCs w:val="24"/>
          <w:lang w:val="zh-CN"/>
        </w:rPr>
        <w:t>：各种形态和种类的物品，包括原材料、燃料、设备、产品等。</w:t>
      </w:r>
    </w:p>
    <w:p>
      <w:pPr>
        <w:numPr>
          <w:ilvl w:val="0"/>
          <w:numId w:val="11"/>
        </w:numPr>
        <w:spacing w:line="360" w:lineRule="auto"/>
        <w:ind w:left="854" w:hanging="728"/>
        <w:rPr>
          <w:rFonts w:cs="Times New Roman" w:asciiTheme="minorEastAsia" w:hAnsiTheme="minorEastAsia"/>
          <w:sz w:val="24"/>
          <w:szCs w:val="24"/>
          <w:lang w:val="zh-CN"/>
        </w:rPr>
      </w:pPr>
      <w:r>
        <w:rPr>
          <w:rFonts w:hint="eastAsia" w:cs="Times New Roman" w:asciiTheme="minorEastAsia" w:hAnsiTheme="minorEastAsia"/>
          <w:sz w:val="24"/>
          <w:szCs w:val="24"/>
          <w:lang w:val="zh-CN"/>
        </w:rPr>
        <w:t>招标文件中没有提及招标货物来源地的，根据《政府采购法》及相关规定均应是本国货物，另有规定的除外。</w:t>
      </w:r>
    </w:p>
    <w:p>
      <w:pPr>
        <w:numPr>
          <w:ilvl w:val="0"/>
          <w:numId w:val="11"/>
        </w:numPr>
        <w:spacing w:line="360" w:lineRule="auto"/>
        <w:ind w:left="854" w:hanging="728"/>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投标的货物应是合法生产的符合国家有关标准要求的货物，并能够按照合同规定的品牌、产地、质量、价格和有效期等履约。</w:t>
      </w:r>
    </w:p>
    <w:p>
      <w:pPr>
        <w:numPr>
          <w:ilvl w:val="0"/>
          <w:numId w:val="10"/>
        </w:numPr>
        <w:spacing w:line="360" w:lineRule="auto"/>
        <w:ind w:left="476" w:hanging="476"/>
        <w:rPr>
          <w:rFonts w:cs="Times New Roman" w:asciiTheme="minorEastAsia" w:hAnsiTheme="minorEastAsia"/>
          <w:b/>
          <w:color w:val="0D0D0D"/>
          <w:sz w:val="24"/>
          <w:szCs w:val="24"/>
          <w:lang w:val="zh-CN"/>
        </w:rPr>
      </w:pPr>
      <w:r>
        <w:rPr>
          <w:rFonts w:hint="eastAsia" w:cs="Times New Roman" w:asciiTheme="minorEastAsia" w:hAnsiTheme="minorEastAsia"/>
          <w:b/>
          <w:color w:val="0D0D0D"/>
          <w:sz w:val="24"/>
          <w:szCs w:val="24"/>
          <w:lang w:val="zh-CN"/>
        </w:rPr>
        <w:t>“工程”是指</w:t>
      </w:r>
      <w:r>
        <w:rPr>
          <w:rFonts w:hint="eastAsia" w:cs="Times New Roman" w:asciiTheme="minorEastAsia" w:hAnsiTheme="minorEastAsia"/>
          <w:color w:val="0D0D0D"/>
          <w:sz w:val="24"/>
          <w:szCs w:val="24"/>
          <w:lang w:val="zh-CN"/>
        </w:rPr>
        <w:t>：与建筑物和构筑物的新建、改建、扩建及其相关的装修、拆除、修缮无关的工程。</w:t>
      </w:r>
    </w:p>
    <w:p>
      <w:pPr>
        <w:numPr>
          <w:ilvl w:val="0"/>
          <w:numId w:val="10"/>
        </w:numPr>
        <w:spacing w:line="360" w:lineRule="auto"/>
        <w:ind w:left="476" w:hanging="476"/>
        <w:rPr>
          <w:rFonts w:cs="Times New Roman" w:asciiTheme="minorEastAsia" w:hAnsiTheme="minorEastAsia"/>
          <w:sz w:val="24"/>
          <w:szCs w:val="24"/>
          <w:lang w:val="zh-CN"/>
        </w:rPr>
      </w:pPr>
      <w:r>
        <w:rPr>
          <w:rFonts w:hint="eastAsia" w:cs="Times New Roman" w:asciiTheme="minorEastAsia" w:hAnsiTheme="minorEastAsia"/>
          <w:b/>
          <w:sz w:val="24"/>
          <w:szCs w:val="24"/>
          <w:lang w:val="zh-CN"/>
        </w:rPr>
        <w:t>“服务”</w:t>
      </w:r>
      <w:r>
        <w:rPr>
          <w:rFonts w:hint="eastAsia" w:cs="Times New Roman" w:asciiTheme="minorEastAsia" w:hAnsiTheme="minorEastAsia"/>
          <w:b/>
          <w:color w:val="0C0C0C" w:themeColor="text1" w:themeTint="F2"/>
          <w:sz w:val="24"/>
          <w:szCs w:val="24"/>
          <w:lang w:val="zh-CN"/>
        </w:rPr>
        <w:t>是指：</w:t>
      </w:r>
      <w:r>
        <w:rPr>
          <w:rFonts w:hint="eastAsia" w:cs="Times New Roman" w:asciiTheme="minorEastAsia" w:hAnsiTheme="minorEastAsia"/>
          <w:color w:val="0C0C0C" w:themeColor="text1" w:themeTint="F2"/>
          <w:sz w:val="24"/>
          <w:szCs w:val="24"/>
          <w:lang w:val="zh-CN"/>
        </w:rPr>
        <w:t>除货物和工程（含本章3.2条所述工程及《招标投标法》所定义工程）以外的其他政府采购对象,包括政府自身需要的服务和政府向社会公众提供的公共服务。</w:t>
      </w:r>
    </w:p>
    <w:p>
      <w:pPr>
        <w:numPr>
          <w:ilvl w:val="0"/>
          <w:numId w:val="10"/>
        </w:numPr>
        <w:spacing w:line="360" w:lineRule="auto"/>
        <w:ind w:left="476" w:hanging="476"/>
        <w:rPr>
          <w:rFonts w:cs="Times New Roman" w:asciiTheme="minorEastAsia" w:hAnsiTheme="minorEastAsia"/>
          <w:sz w:val="24"/>
          <w:szCs w:val="24"/>
          <w:lang w:val="zh-CN"/>
        </w:rPr>
      </w:pPr>
      <w:r>
        <w:rPr>
          <w:rFonts w:cs="Times New Roman" w:asciiTheme="minorEastAsia" w:hAnsiTheme="minorEastAsia"/>
          <w:sz w:val="24"/>
          <w:szCs w:val="24"/>
          <w:lang w:val="zh-CN"/>
        </w:rPr>
        <w:t>采购人应当按照财政部制定的《政府采购品目分类目录》确定采购项目属性</w:t>
      </w:r>
      <w:r>
        <w:rPr>
          <w:rFonts w:hint="eastAsia" w:cs="Times New Roman" w:asciiTheme="minorEastAsia" w:hAnsiTheme="minorEastAsia"/>
          <w:sz w:val="24"/>
          <w:szCs w:val="24"/>
          <w:lang w:val="zh-CN"/>
        </w:rPr>
        <w:t>。</w:t>
      </w:r>
      <w:r>
        <w:rPr>
          <w:rFonts w:cs="Times New Roman" w:asciiTheme="minorEastAsia" w:hAnsiTheme="minorEastAsia"/>
          <w:sz w:val="24"/>
          <w:szCs w:val="24"/>
          <w:lang w:val="zh-CN"/>
        </w:rPr>
        <w:t>按照《政府采购品目分类目录》无法确定的，按照有利于采购项目实施的原则确定。</w:t>
      </w:r>
    </w:p>
    <w:p>
      <w:pPr>
        <w:numPr>
          <w:ilvl w:val="0"/>
          <w:numId w:val="8"/>
        </w:numPr>
        <w:spacing w:line="360" w:lineRule="auto"/>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投标费用</w:t>
      </w:r>
    </w:p>
    <w:p>
      <w:pPr>
        <w:numPr>
          <w:ilvl w:val="0"/>
          <w:numId w:val="12"/>
        </w:numPr>
        <w:spacing w:line="360" w:lineRule="auto"/>
        <w:ind w:left="476" w:hanging="47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投标人应承担所有与准备和参加投标有关的费用。不论投标的结果如何，集中采购机构和采购人均无义务和责任承担这些费用。</w:t>
      </w:r>
    </w:p>
    <w:p>
      <w:pPr>
        <w:numPr>
          <w:ilvl w:val="0"/>
          <w:numId w:val="12"/>
        </w:numPr>
        <w:spacing w:line="360" w:lineRule="auto"/>
        <w:ind w:left="476" w:hanging="476"/>
        <w:rPr>
          <w:rFonts w:cs="Times New Roman" w:asciiTheme="minorEastAsia" w:hAnsiTheme="minorEastAsia"/>
          <w:sz w:val="24"/>
          <w:szCs w:val="24"/>
          <w:lang w:val="zh-CN"/>
        </w:rPr>
      </w:pPr>
      <w:r>
        <w:rPr>
          <w:rFonts w:hint="eastAsia" w:cs="Times New Roman" w:asciiTheme="minorEastAsia" w:hAnsiTheme="minorEastAsia"/>
          <w:sz w:val="24"/>
          <w:szCs w:val="24"/>
          <w:lang w:val="zh-CN"/>
        </w:rPr>
        <w:t xml:space="preserve">集中采购机构不向中标人收取中标服务费。 </w:t>
      </w:r>
    </w:p>
    <w:p>
      <w:pPr>
        <w:pStyle w:val="5"/>
        <w:numPr>
          <w:ilvl w:val="0"/>
          <w:numId w:val="7"/>
        </w:numPr>
        <w:spacing w:before="40" w:after="40" w:line="360" w:lineRule="auto"/>
        <w:ind w:left="658" w:hanging="658"/>
        <w:jc w:val="left"/>
        <w:rPr>
          <w:rFonts w:cs="Times New Roman" w:asciiTheme="majorEastAsia" w:hAnsiTheme="majorEastAsia"/>
          <w:bCs w:val="0"/>
          <w:lang w:val="zh-CN"/>
        </w:rPr>
      </w:pPr>
      <w:bookmarkStart w:id="13" w:name="_Toc278891592"/>
      <w:bookmarkStart w:id="14" w:name="_Toc272247695"/>
      <w:bookmarkStart w:id="15" w:name="_Toc494561939"/>
      <w:bookmarkStart w:id="16" w:name="_Toc26319"/>
      <w:r>
        <w:rPr>
          <w:rFonts w:hint="eastAsia" w:cs="Times New Roman" w:asciiTheme="majorEastAsia" w:hAnsiTheme="majorEastAsia"/>
          <w:bCs w:val="0"/>
          <w:lang w:val="zh-CN"/>
        </w:rPr>
        <w:t>招标文件</w:t>
      </w:r>
      <w:bookmarkEnd w:id="13"/>
      <w:bookmarkEnd w:id="14"/>
      <w:bookmarkEnd w:id="15"/>
      <w:bookmarkEnd w:id="16"/>
    </w:p>
    <w:p>
      <w:pPr>
        <w:numPr>
          <w:ilvl w:val="0"/>
          <w:numId w:val="8"/>
        </w:numPr>
        <w:spacing w:line="360" w:lineRule="auto"/>
        <w:rPr>
          <w:rFonts w:ascii="宋体" w:hAnsi="宋体" w:eastAsia="宋体" w:cs="Times New Roman"/>
          <w:b/>
          <w:sz w:val="24"/>
          <w:szCs w:val="20"/>
          <w:lang w:val="zh-CN"/>
        </w:rPr>
      </w:pPr>
      <w:r>
        <w:rPr>
          <w:rFonts w:hint="eastAsia" w:ascii="宋体" w:hAnsi="宋体" w:eastAsia="宋体" w:cs="Times New Roman"/>
          <w:b/>
          <w:sz w:val="24"/>
          <w:szCs w:val="20"/>
          <w:lang w:val="zh-CN"/>
        </w:rPr>
        <w:t>招标文件的构成</w:t>
      </w:r>
    </w:p>
    <w:p>
      <w:pPr>
        <w:tabs>
          <w:tab w:val="left" w:pos="476"/>
        </w:tabs>
        <w:spacing w:line="360" w:lineRule="auto"/>
        <w:ind w:left="476"/>
        <w:rPr>
          <w:rFonts w:ascii="宋体" w:hAnsi="宋体" w:eastAsia="宋体" w:cs="Times New Roman"/>
          <w:sz w:val="24"/>
          <w:szCs w:val="20"/>
          <w:lang w:val="zh-CN"/>
        </w:rPr>
      </w:pPr>
      <w:r>
        <w:rPr>
          <w:rFonts w:hint="eastAsia" w:ascii="宋体" w:hAnsi="宋体" w:eastAsia="宋体" w:cs="Times New Roman"/>
          <w:sz w:val="24"/>
          <w:szCs w:val="20"/>
          <w:lang w:val="zh-CN"/>
        </w:rPr>
        <w:t>第一章 投标邀请书</w:t>
      </w:r>
    </w:p>
    <w:p>
      <w:pPr>
        <w:tabs>
          <w:tab w:val="left" w:pos="476"/>
        </w:tabs>
        <w:spacing w:line="360" w:lineRule="auto"/>
        <w:ind w:left="476"/>
        <w:rPr>
          <w:rFonts w:ascii="宋体" w:hAnsi="宋体" w:eastAsia="宋体" w:cs="Times New Roman"/>
          <w:sz w:val="24"/>
          <w:szCs w:val="20"/>
          <w:lang w:val="zh-CN"/>
        </w:rPr>
      </w:pPr>
      <w:r>
        <w:rPr>
          <w:rFonts w:hint="eastAsia" w:ascii="宋体" w:hAnsi="宋体" w:eastAsia="宋体" w:cs="Times New Roman"/>
          <w:sz w:val="24"/>
          <w:szCs w:val="20"/>
          <w:lang w:val="zh-CN"/>
        </w:rPr>
        <w:t>第二章 投标人须知</w:t>
      </w:r>
    </w:p>
    <w:p>
      <w:pPr>
        <w:tabs>
          <w:tab w:val="left" w:pos="476"/>
        </w:tabs>
        <w:spacing w:line="360" w:lineRule="auto"/>
        <w:ind w:left="476"/>
        <w:rPr>
          <w:rFonts w:ascii="宋体" w:hAnsi="宋体" w:eastAsia="宋体" w:cs="Times New Roman"/>
          <w:sz w:val="24"/>
          <w:szCs w:val="20"/>
          <w:lang w:val="zh-CN"/>
        </w:rPr>
      </w:pPr>
      <w:r>
        <w:rPr>
          <w:rFonts w:hint="eastAsia" w:ascii="宋体" w:hAnsi="宋体" w:eastAsia="宋体" w:cs="Times New Roman"/>
          <w:sz w:val="24"/>
          <w:szCs w:val="20"/>
          <w:lang w:val="zh-CN"/>
        </w:rPr>
        <w:t>第三章 项目技术、服务及商务要求</w:t>
      </w:r>
    </w:p>
    <w:p>
      <w:pPr>
        <w:tabs>
          <w:tab w:val="left" w:pos="476"/>
        </w:tabs>
        <w:spacing w:line="360" w:lineRule="auto"/>
        <w:ind w:left="476"/>
        <w:rPr>
          <w:rFonts w:ascii="宋体" w:hAnsi="宋体" w:eastAsia="宋体" w:cs="Times New Roman"/>
          <w:sz w:val="24"/>
          <w:szCs w:val="20"/>
          <w:lang w:val="zh-CN"/>
        </w:rPr>
      </w:pPr>
      <w:r>
        <w:rPr>
          <w:rFonts w:hint="eastAsia" w:ascii="宋体" w:hAnsi="宋体" w:eastAsia="宋体" w:cs="Times New Roman"/>
          <w:sz w:val="24"/>
          <w:szCs w:val="20"/>
          <w:lang w:val="zh-CN"/>
        </w:rPr>
        <w:t>第四章 资格审查方法及标准</w:t>
      </w:r>
    </w:p>
    <w:p>
      <w:pPr>
        <w:tabs>
          <w:tab w:val="left" w:pos="476"/>
        </w:tabs>
        <w:spacing w:line="360" w:lineRule="auto"/>
        <w:ind w:left="476"/>
        <w:rPr>
          <w:rFonts w:ascii="宋体" w:hAnsi="宋体" w:eastAsia="宋体" w:cs="Times New Roman"/>
          <w:sz w:val="24"/>
          <w:szCs w:val="20"/>
          <w:lang w:val="zh-CN"/>
        </w:rPr>
      </w:pPr>
      <w:r>
        <w:rPr>
          <w:rFonts w:hint="eastAsia" w:ascii="宋体" w:hAnsi="宋体" w:eastAsia="宋体" w:cs="Times New Roman"/>
          <w:sz w:val="24"/>
          <w:szCs w:val="20"/>
          <w:lang w:val="zh-CN"/>
        </w:rPr>
        <w:t>第五章 评标方法、程序及标准</w:t>
      </w:r>
    </w:p>
    <w:p>
      <w:pPr>
        <w:tabs>
          <w:tab w:val="left" w:pos="476"/>
        </w:tabs>
        <w:spacing w:line="360" w:lineRule="auto"/>
        <w:ind w:left="476"/>
        <w:rPr>
          <w:rFonts w:ascii="宋体" w:hAnsi="宋体" w:eastAsia="宋体" w:cs="Times New Roman"/>
          <w:sz w:val="24"/>
          <w:szCs w:val="20"/>
          <w:lang w:val="zh-CN"/>
        </w:rPr>
      </w:pPr>
      <w:r>
        <w:rPr>
          <w:rFonts w:hint="eastAsia" w:ascii="宋体" w:hAnsi="宋体" w:eastAsia="宋体" w:cs="Times New Roman"/>
          <w:sz w:val="24"/>
          <w:szCs w:val="20"/>
          <w:lang w:val="zh-CN"/>
        </w:rPr>
        <w:t>第六章 合同书格式（参考）</w:t>
      </w:r>
    </w:p>
    <w:p>
      <w:pPr>
        <w:tabs>
          <w:tab w:val="left" w:pos="476"/>
        </w:tabs>
        <w:spacing w:line="360" w:lineRule="auto"/>
        <w:ind w:left="476"/>
        <w:rPr>
          <w:rFonts w:ascii="宋体" w:hAnsi="宋体" w:eastAsia="宋体" w:cs="Times New Roman"/>
          <w:sz w:val="24"/>
          <w:szCs w:val="20"/>
          <w:lang w:val="zh-CN"/>
        </w:rPr>
      </w:pPr>
      <w:r>
        <w:rPr>
          <w:rFonts w:hint="eastAsia" w:ascii="宋体" w:hAnsi="宋体" w:eastAsia="宋体" w:cs="Times New Roman"/>
          <w:sz w:val="24"/>
          <w:szCs w:val="20"/>
          <w:lang w:val="zh-CN"/>
        </w:rPr>
        <w:t>第七章 投标文件格式（参考）</w:t>
      </w:r>
    </w:p>
    <w:p>
      <w:pPr>
        <w:tabs>
          <w:tab w:val="left" w:pos="476"/>
        </w:tabs>
        <w:spacing w:line="360" w:lineRule="auto"/>
        <w:ind w:left="476"/>
        <w:rPr>
          <w:rFonts w:ascii="宋体" w:hAnsi="宋体" w:eastAsia="宋体" w:cs="Times New Roman"/>
          <w:sz w:val="24"/>
          <w:szCs w:val="20"/>
          <w:lang w:val="zh-CN"/>
        </w:rPr>
      </w:pPr>
      <w:r>
        <w:rPr>
          <w:rFonts w:hint="eastAsia" w:ascii="宋体" w:hAnsi="宋体" w:eastAsia="宋体" w:cs="Times New Roman"/>
          <w:sz w:val="24"/>
          <w:szCs w:val="20"/>
          <w:lang w:val="zh-CN"/>
        </w:rPr>
        <w:t>其 他  在招标过程中由集中采购机构发出的修正和补充文件等</w:t>
      </w:r>
    </w:p>
    <w:p>
      <w:pPr>
        <w:numPr>
          <w:ilvl w:val="0"/>
          <w:numId w:val="8"/>
        </w:numPr>
        <w:spacing w:line="360" w:lineRule="auto"/>
        <w:rPr>
          <w:rFonts w:ascii="宋体" w:hAnsi="宋体" w:eastAsia="宋体" w:cs="Times New Roman"/>
          <w:b/>
          <w:sz w:val="24"/>
          <w:szCs w:val="20"/>
          <w:lang w:val="zh-CN"/>
        </w:rPr>
      </w:pPr>
      <w:r>
        <w:rPr>
          <w:rFonts w:hint="eastAsia" w:ascii="宋体" w:hAnsi="宋体" w:eastAsia="宋体" w:cs="Times New Roman"/>
          <w:b/>
          <w:sz w:val="24"/>
          <w:szCs w:val="20"/>
          <w:lang w:val="zh-CN"/>
        </w:rPr>
        <w:t>招标文件疑问的提交</w:t>
      </w:r>
    </w:p>
    <w:p>
      <w:pPr>
        <w:numPr>
          <w:ilvl w:val="0"/>
          <w:numId w:val="13"/>
        </w:numPr>
        <w:spacing w:line="360" w:lineRule="auto"/>
        <w:ind w:left="476" w:hanging="476"/>
        <w:rPr>
          <w:rFonts w:ascii="宋体" w:hAnsi="宋体" w:eastAsia="宋体" w:cs="Times New Roman"/>
          <w:sz w:val="24"/>
          <w:szCs w:val="20"/>
          <w:lang w:val="zh-CN"/>
        </w:rPr>
      </w:pPr>
      <w:r>
        <w:rPr>
          <w:rFonts w:hint="eastAsia" w:ascii="宋体" w:hAnsi="宋体" w:eastAsia="宋体" w:cs="Times New Roman"/>
          <w:sz w:val="24"/>
          <w:szCs w:val="20"/>
          <w:lang w:val="zh-CN"/>
        </w:rPr>
        <w:t>潜在投标人对招标文件有疑问的，可以向集中采购机构提出询问，或在6.2规定的时间前以书面的形式向集中采购机构提交疑问函。</w:t>
      </w:r>
    </w:p>
    <w:p>
      <w:pPr>
        <w:numPr>
          <w:ilvl w:val="0"/>
          <w:numId w:val="13"/>
        </w:numPr>
        <w:spacing w:line="360" w:lineRule="auto"/>
        <w:ind w:left="476" w:hanging="476"/>
        <w:rPr>
          <w:rFonts w:ascii="宋体" w:hAnsi="宋体" w:eastAsia="宋体" w:cs="Times New Roman"/>
          <w:sz w:val="24"/>
          <w:szCs w:val="20"/>
          <w:lang w:val="zh-CN"/>
        </w:rPr>
      </w:pPr>
      <w:r>
        <w:rPr>
          <w:rFonts w:hint="eastAsia" w:ascii="宋体" w:hAnsi="宋体" w:eastAsia="宋体" w:cs="Times New Roman"/>
          <w:sz w:val="24"/>
          <w:szCs w:val="20"/>
          <w:lang w:val="zh-CN"/>
        </w:rPr>
        <w:t>潜在投标人在项目招标公告期限届满之日起7个工作日内未对招标文件提出疑问的，集中采购机构将视其认同招标文件，在规定的时间后就招标文件内容提出的疑问将不予受理。</w:t>
      </w:r>
    </w:p>
    <w:p>
      <w:pPr>
        <w:numPr>
          <w:ilvl w:val="0"/>
          <w:numId w:val="13"/>
        </w:numPr>
        <w:spacing w:line="360" w:lineRule="auto"/>
        <w:ind w:left="476" w:hanging="476"/>
        <w:rPr>
          <w:rFonts w:ascii="宋体" w:hAnsi="宋体" w:eastAsia="宋体" w:cs="Times New Roman"/>
          <w:sz w:val="24"/>
          <w:szCs w:val="20"/>
          <w:lang w:val="zh-CN"/>
        </w:rPr>
      </w:pPr>
      <w:r>
        <w:rPr>
          <w:rFonts w:hint="eastAsia" w:ascii="宋体" w:hAnsi="宋体" w:eastAsia="宋体" w:cs="Times New Roman"/>
          <w:sz w:val="24"/>
          <w:szCs w:val="20"/>
          <w:lang w:val="zh-CN"/>
        </w:rPr>
        <w:t>集中采购机构将组织采购人对潜在投标人所提交疑问以书面（或网上公告）的形式予以答复。必要时，集中采购机构将组织相关专家召开答疑会，并将会议内容以书面的形式发给每个领取招标文件的潜在投标人（答复中不包括问题的来源）。</w:t>
      </w:r>
    </w:p>
    <w:p>
      <w:pPr>
        <w:numPr>
          <w:ilvl w:val="0"/>
          <w:numId w:val="8"/>
        </w:numPr>
        <w:spacing w:line="360" w:lineRule="auto"/>
        <w:rPr>
          <w:rFonts w:ascii="宋体" w:hAnsi="宋体" w:eastAsia="宋体" w:cs="Times New Roman"/>
          <w:b/>
          <w:sz w:val="24"/>
          <w:szCs w:val="20"/>
          <w:lang w:val="zh-CN"/>
        </w:rPr>
      </w:pPr>
      <w:r>
        <w:rPr>
          <w:rFonts w:hint="eastAsia" w:ascii="宋体" w:hAnsi="宋体" w:eastAsia="宋体" w:cs="Times New Roman"/>
          <w:b/>
          <w:sz w:val="24"/>
          <w:szCs w:val="20"/>
          <w:lang w:val="zh-CN"/>
        </w:rPr>
        <w:t>招标文件的澄清、修改</w:t>
      </w:r>
    </w:p>
    <w:p>
      <w:pPr>
        <w:numPr>
          <w:ilvl w:val="0"/>
          <w:numId w:val="14"/>
        </w:numPr>
        <w:spacing w:line="360" w:lineRule="auto"/>
        <w:ind w:left="476" w:hanging="476"/>
        <w:rPr>
          <w:rFonts w:ascii="Helvetica" w:hAnsi="Helvetica" w:eastAsia="宋体" w:cs="Helvetica"/>
          <w:kern w:val="0"/>
          <w:sz w:val="24"/>
          <w:szCs w:val="24"/>
          <w:lang w:val="zh-CN"/>
        </w:rPr>
      </w:pPr>
      <w:r>
        <w:rPr>
          <w:rFonts w:hint="eastAsia" w:ascii="宋体" w:hAnsi="宋体" w:eastAsia="宋体" w:cs="Times New Roman"/>
          <w:sz w:val="24"/>
          <w:szCs w:val="20"/>
          <w:lang w:val="zh-CN"/>
        </w:rPr>
        <w:t>集中采购机构和采购人可以对已发出的招标文件进行必要的澄清或者修改，</w:t>
      </w:r>
      <w:r>
        <w:rPr>
          <w:rFonts w:hint="eastAsia" w:ascii="Helvetica" w:hAnsi="Helvetica" w:eastAsia="宋体" w:cs="Helvetica"/>
          <w:kern w:val="0"/>
          <w:sz w:val="24"/>
          <w:szCs w:val="24"/>
          <w:lang w:val="zh-CN"/>
        </w:rPr>
        <w:t>但不得改变采购标的和资格条件</w:t>
      </w:r>
      <w:r>
        <w:rPr>
          <w:rFonts w:hint="eastAsia" w:ascii="宋体" w:hAnsi="宋体" w:eastAsia="宋体" w:cs="Times New Roman"/>
          <w:sz w:val="24"/>
          <w:szCs w:val="20"/>
          <w:lang w:val="zh-CN"/>
        </w:rPr>
        <w:t>。</w:t>
      </w:r>
      <w:r>
        <w:rPr>
          <w:rFonts w:hint="eastAsia" w:ascii="Helvetica" w:hAnsi="Helvetica" w:eastAsia="宋体" w:cs="Helvetica"/>
          <w:kern w:val="0"/>
          <w:sz w:val="24"/>
          <w:szCs w:val="24"/>
          <w:lang w:val="zh-CN"/>
        </w:rPr>
        <w:t>澄清或者修改将在原公告发布媒体上发布澄清公告。澄清或者修改的内容可能影响投标文件编制的，集中采购机构和采购人将在投标截止时间至少</w:t>
      </w:r>
      <w:r>
        <w:rPr>
          <w:rFonts w:hint="eastAsia" w:ascii="宋体" w:hAnsi="宋体" w:eastAsia="宋体" w:cs="Times New Roman"/>
          <w:sz w:val="24"/>
          <w:szCs w:val="20"/>
          <w:lang w:val="zh-CN"/>
        </w:rPr>
        <w:t>15</w:t>
      </w:r>
      <w:r>
        <w:rPr>
          <w:rFonts w:hint="eastAsia" w:ascii="Helvetica" w:hAnsi="Helvetica" w:eastAsia="宋体" w:cs="Helvetica"/>
          <w:kern w:val="0"/>
          <w:sz w:val="24"/>
          <w:szCs w:val="24"/>
          <w:lang w:val="zh-CN"/>
        </w:rPr>
        <w:t>日前，以书面形式通知所有获取招标文件的潜在投标人。</w:t>
      </w:r>
    </w:p>
    <w:p>
      <w:pPr>
        <w:numPr>
          <w:ilvl w:val="0"/>
          <w:numId w:val="14"/>
        </w:numPr>
        <w:spacing w:line="360" w:lineRule="auto"/>
        <w:ind w:left="476" w:hanging="476"/>
        <w:rPr>
          <w:rFonts w:ascii="宋体" w:hAnsi="宋体" w:eastAsia="宋体" w:cs="Times New Roman"/>
          <w:sz w:val="24"/>
          <w:szCs w:val="20"/>
          <w:lang w:val="zh-CN"/>
        </w:rPr>
      </w:pPr>
      <w:r>
        <w:rPr>
          <w:rFonts w:hint="eastAsia" w:ascii="宋体" w:hAnsi="宋体" w:eastAsia="宋体" w:cs="Times New Roman"/>
          <w:sz w:val="24"/>
          <w:szCs w:val="20"/>
          <w:lang w:val="zh-CN"/>
        </w:rPr>
        <w:t>为使潜在投标人有充足时间对招标文件的澄清或者修改的内容进行研究和响应，集中采购机构和采购人可适当顺延提交投标文件的截止时间，并以书面（或网上公告）的形式通知所有领取招标文件的潜在投标人。</w:t>
      </w:r>
    </w:p>
    <w:p>
      <w:pPr>
        <w:numPr>
          <w:ilvl w:val="0"/>
          <w:numId w:val="14"/>
        </w:numPr>
        <w:spacing w:line="360" w:lineRule="auto"/>
        <w:ind w:left="476" w:hanging="476"/>
        <w:rPr>
          <w:rFonts w:ascii="宋体" w:hAnsi="宋体" w:eastAsia="宋体" w:cs="Times New Roman"/>
          <w:sz w:val="24"/>
          <w:szCs w:val="20"/>
          <w:lang w:val="zh-CN"/>
        </w:rPr>
      </w:pPr>
      <w:r>
        <w:rPr>
          <w:rFonts w:hint="eastAsia" w:ascii="宋体" w:hAnsi="宋体" w:eastAsia="宋体" w:cs="Times New Roman"/>
          <w:sz w:val="24"/>
          <w:szCs w:val="20"/>
          <w:lang w:val="zh-CN"/>
        </w:rPr>
        <w:t>澄清或者修改的内容为招标文件的组成部分，并对潜在投标人具有约束力。潜在投标人在收到上述通知后，应立即以书面（或邮件）形式向集中采购机构确认收悉。</w:t>
      </w:r>
    </w:p>
    <w:p>
      <w:pPr>
        <w:numPr>
          <w:ilvl w:val="0"/>
          <w:numId w:val="8"/>
        </w:numPr>
        <w:spacing w:line="360" w:lineRule="auto"/>
        <w:rPr>
          <w:rFonts w:ascii="宋体" w:hAnsi="宋体" w:eastAsia="宋体" w:cs="Times New Roman"/>
          <w:b/>
          <w:sz w:val="24"/>
          <w:szCs w:val="20"/>
          <w:lang w:val="zh-CN"/>
        </w:rPr>
      </w:pPr>
      <w:r>
        <w:rPr>
          <w:rFonts w:hint="eastAsia" w:ascii="宋体" w:hAnsi="宋体" w:eastAsia="宋体" w:cs="Times New Roman"/>
          <w:b/>
          <w:sz w:val="24"/>
          <w:szCs w:val="20"/>
          <w:lang w:val="zh-CN"/>
        </w:rPr>
        <w:t>现场考察</w:t>
      </w:r>
    </w:p>
    <w:p>
      <w:pPr>
        <w:numPr>
          <w:ilvl w:val="0"/>
          <w:numId w:val="15"/>
        </w:numPr>
        <w:spacing w:line="360" w:lineRule="auto"/>
        <w:ind w:left="476" w:hanging="476"/>
        <w:rPr>
          <w:rFonts w:ascii="宋体" w:hAnsi="宋体" w:eastAsia="宋体" w:cs="Times New Roman"/>
          <w:sz w:val="24"/>
          <w:szCs w:val="20"/>
          <w:lang w:val="zh-CN"/>
        </w:rPr>
      </w:pPr>
      <w:r>
        <w:rPr>
          <w:rFonts w:hint="eastAsia" w:ascii="宋体" w:hAnsi="宋体" w:eastAsia="宋体" w:cs="Times New Roman"/>
          <w:sz w:val="24"/>
          <w:szCs w:val="20"/>
          <w:lang w:val="zh-CN"/>
        </w:rPr>
        <w:t>采购人可以在招标文件提供期限截止后，组织已获取招标文件的潜在投标人现场考察。采购人组织现场考察的，潜在投标人可对项目现场及周围环境进行踏勘，以便获取有关编制投标文件和签署合同所涉及现场的资料。</w:t>
      </w:r>
    </w:p>
    <w:p>
      <w:pPr>
        <w:numPr>
          <w:ilvl w:val="0"/>
          <w:numId w:val="15"/>
        </w:numPr>
        <w:spacing w:line="360" w:lineRule="auto"/>
        <w:ind w:left="476" w:hanging="476"/>
        <w:rPr>
          <w:rFonts w:ascii="宋体" w:hAnsi="宋体" w:eastAsia="宋体" w:cs="Times New Roman"/>
          <w:sz w:val="24"/>
          <w:szCs w:val="20"/>
          <w:lang w:val="zh-CN"/>
        </w:rPr>
      </w:pPr>
      <w:r>
        <w:rPr>
          <w:rFonts w:hint="eastAsia" w:ascii="宋体" w:hAnsi="宋体" w:eastAsia="宋体" w:cs="Times New Roman"/>
          <w:sz w:val="24"/>
          <w:szCs w:val="20"/>
          <w:lang w:val="zh-CN"/>
        </w:rPr>
        <w:t>采购人向潜在投标人提供有关现场的数据和资料。是采购人现有的能被潜在投标人利用的客观资料，采购人对潜在投标人依此作出的任何推论、理解和结论均不负责任。</w:t>
      </w:r>
    </w:p>
    <w:p>
      <w:pPr>
        <w:numPr>
          <w:ilvl w:val="0"/>
          <w:numId w:val="15"/>
        </w:numPr>
        <w:spacing w:line="360" w:lineRule="auto"/>
        <w:ind w:left="476" w:hanging="476"/>
        <w:rPr>
          <w:rFonts w:ascii="宋体" w:hAnsi="宋体" w:eastAsia="宋体" w:cs="Times New Roman"/>
          <w:sz w:val="24"/>
          <w:szCs w:val="20"/>
          <w:lang w:val="zh-CN"/>
        </w:rPr>
      </w:pPr>
      <w:r>
        <w:rPr>
          <w:rFonts w:hint="eastAsia" w:ascii="宋体" w:hAnsi="宋体" w:eastAsia="宋体" w:cs="Times New Roman"/>
          <w:sz w:val="24"/>
          <w:szCs w:val="20"/>
          <w:lang w:val="zh-CN"/>
        </w:rPr>
        <w:t>经采购人允许，潜在投标人可进入项目现场进行考察，但潜在投标人不得因此使采购人承担有关责任和蒙受损失。潜在投标人应自行承担现场考察的全部费用、责任和风险。</w:t>
      </w:r>
    </w:p>
    <w:p>
      <w:pPr>
        <w:pStyle w:val="5"/>
        <w:numPr>
          <w:ilvl w:val="0"/>
          <w:numId w:val="7"/>
        </w:numPr>
        <w:spacing w:before="40" w:after="40" w:line="360" w:lineRule="auto"/>
        <w:ind w:left="658" w:hanging="658"/>
        <w:jc w:val="left"/>
        <w:rPr>
          <w:rFonts w:cs="Times New Roman" w:asciiTheme="majorEastAsia" w:hAnsiTheme="majorEastAsia"/>
          <w:bCs w:val="0"/>
          <w:lang w:val="zh-CN"/>
        </w:rPr>
      </w:pPr>
      <w:bookmarkStart w:id="17" w:name="_Toc494561940"/>
      <w:bookmarkStart w:id="18" w:name="_Toc278891593"/>
      <w:bookmarkStart w:id="19" w:name="_Toc272247696"/>
      <w:bookmarkStart w:id="20" w:name="_Toc7015"/>
      <w:r>
        <w:rPr>
          <w:rFonts w:hint="eastAsia" w:cs="Times New Roman" w:asciiTheme="majorEastAsia" w:hAnsiTheme="majorEastAsia"/>
          <w:bCs w:val="0"/>
          <w:lang w:val="zh-CN"/>
        </w:rPr>
        <w:t>投标文件</w:t>
      </w:r>
      <w:bookmarkEnd w:id="17"/>
      <w:bookmarkEnd w:id="18"/>
      <w:bookmarkEnd w:id="19"/>
      <w:bookmarkEnd w:id="20"/>
    </w:p>
    <w:p>
      <w:pPr>
        <w:numPr>
          <w:ilvl w:val="0"/>
          <w:numId w:val="8"/>
        </w:numPr>
        <w:spacing w:line="360" w:lineRule="auto"/>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投标的语言</w:t>
      </w:r>
    </w:p>
    <w:p>
      <w:pPr>
        <w:spacing w:line="360" w:lineRule="auto"/>
        <w:ind w:firstLine="480" w:firstLineChars="200"/>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人提交的投标文件以及投标人与集中采购机构或采购人就有关投标的所有来往函电均应使用中文。投标人提交的相关证明文件、资料或文献可以用另一种语言，但相应内容应附有中文翻译本，在解释投标文件的相关内容时以中文翻译本为准。</w:t>
      </w:r>
    </w:p>
    <w:p>
      <w:pPr>
        <w:numPr>
          <w:ilvl w:val="0"/>
          <w:numId w:val="8"/>
        </w:numPr>
        <w:spacing w:line="360" w:lineRule="auto"/>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投标文件的构成</w:t>
      </w:r>
    </w:p>
    <w:p>
      <w:pPr>
        <w:spacing w:line="360" w:lineRule="auto"/>
        <w:ind w:firstLine="480" w:firstLineChars="200"/>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投标人编制的投标文件应包括但不限于下列内容：</w:t>
      </w:r>
    </w:p>
    <w:p>
      <w:pPr>
        <w:spacing w:line="360" w:lineRule="auto"/>
        <w:ind w:firstLine="480" w:firstLineChars="200"/>
        <w:rPr>
          <w:rFonts w:cs="Times New Roman" w:asciiTheme="minorEastAsia" w:hAnsiTheme="minorEastAsia"/>
          <w:sz w:val="24"/>
          <w:szCs w:val="24"/>
          <w:lang w:val="zh-CN"/>
        </w:rPr>
      </w:pPr>
      <w:r>
        <w:rPr>
          <w:rFonts w:hint="eastAsia" w:cs="Times New Roman" w:asciiTheme="minorEastAsia" w:hAnsiTheme="minorEastAsia"/>
          <w:sz w:val="24"/>
          <w:szCs w:val="24"/>
          <w:lang w:val="zh-CN"/>
        </w:rPr>
        <w:t>第一部分  资格证明文件（详见第七章“投标文件格式”中资格证明文件组成）</w:t>
      </w:r>
    </w:p>
    <w:p>
      <w:pPr>
        <w:spacing w:line="360" w:lineRule="auto"/>
        <w:ind w:firstLine="480" w:firstLineChars="200"/>
        <w:rPr>
          <w:rFonts w:cs="Times New Roman" w:asciiTheme="minorEastAsia" w:hAnsiTheme="minorEastAsia"/>
          <w:sz w:val="24"/>
          <w:szCs w:val="24"/>
          <w:lang w:val="zh-CN"/>
        </w:rPr>
      </w:pPr>
      <w:r>
        <w:rPr>
          <w:rFonts w:hint="eastAsia" w:cs="Times New Roman" w:asciiTheme="minorEastAsia" w:hAnsiTheme="minorEastAsia"/>
          <w:sz w:val="24"/>
          <w:szCs w:val="24"/>
          <w:lang w:val="zh-CN"/>
        </w:rPr>
        <w:t>第二部分  商务文件（详见第七章“投标文件格式”中商务文件组成）</w:t>
      </w:r>
    </w:p>
    <w:p>
      <w:pPr>
        <w:spacing w:line="360" w:lineRule="auto"/>
        <w:ind w:firstLine="480" w:firstLineChars="200"/>
        <w:rPr>
          <w:rFonts w:cs="Times New Roman" w:asciiTheme="minorEastAsia" w:hAnsiTheme="minorEastAsia"/>
          <w:sz w:val="24"/>
          <w:szCs w:val="24"/>
          <w:lang w:val="zh-CN"/>
        </w:rPr>
      </w:pPr>
      <w:r>
        <w:rPr>
          <w:rFonts w:hint="eastAsia" w:cs="Times New Roman" w:asciiTheme="minorEastAsia" w:hAnsiTheme="minorEastAsia"/>
          <w:sz w:val="24"/>
          <w:szCs w:val="24"/>
          <w:lang w:val="zh-CN"/>
        </w:rPr>
        <w:t>第三部分  技术、服务文件（详见第七章“投标文件格式”中技术、服务文件组成）</w:t>
      </w:r>
    </w:p>
    <w:p>
      <w:pPr>
        <w:numPr>
          <w:ilvl w:val="0"/>
          <w:numId w:val="8"/>
        </w:numPr>
        <w:spacing w:line="360" w:lineRule="auto"/>
        <w:ind w:left="560" w:hanging="560"/>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投标文件编制</w:t>
      </w:r>
    </w:p>
    <w:p>
      <w:pPr>
        <w:numPr>
          <w:ilvl w:val="0"/>
          <w:numId w:val="16"/>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如招标文件有分包要求，投标人对招标文件中多个包进行投标的，其投标文件的编制应按每包要求分别装订和封装，并注明对应包号。</w:t>
      </w:r>
    </w:p>
    <w:p>
      <w:pPr>
        <w:numPr>
          <w:ilvl w:val="0"/>
          <w:numId w:val="16"/>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投标人应当对投标文件进行装订，对未经装订的投标书可能发生的文件散落或缺损，由此产生的后果及责任由投标人自行承担。</w:t>
      </w:r>
    </w:p>
    <w:p>
      <w:pPr>
        <w:numPr>
          <w:ilvl w:val="0"/>
          <w:numId w:val="16"/>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投标人应按照招标文件第七章“投标文件格式”提供的《投标书》、《开标一览表》、《投标报价明细表》、《法定代表人授权书》等格式、要求、规定来编制投标文件。</w:t>
      </w:r>
    </w:p>
    <w:p>
      <w:pPr>
        <w:numPr>
          <w:ilvl w:val="0"/>
          <w:numId w:val="16"/>
        </w:numPr>
        <w:spacing w:line="360" w:lineRule="auto"/>
        <w:ind w:left="616" w:hanging="616"/>
        <w:rPr>
          <w:rFonts w:cs="Times New Roman" w:asciiTheme="minorEastAsia" w:hAnsiTheme="minorEastAsia"/>
          <w:color w:val="0C0C0C" w:themeColor="text1" w:themeTint="F2"/>
          <w:sz w:val="24"/>
          <w:szCs w:val="24"/>
          <w:lang w:val="zh-CN"/>
        </w:rPr>
      </w:pPr>
      <w:r>
        <w:rPr>
          <w:rFonts w:hint="eastAsia" w:cs="Times New Roman" w:asciiTheme="minorEastAsia" w:hAnsiTheme="minorEastAsia"/>
          <w:color w:val="0C0C0C" w:themeColor="text1" w:themeTint="F2"/>
          <w:sz w:val="24"/>
          <w:szCs w:val="24"/>
          <w:lang w:val="zh-CN"/>
        </w:rPr>
        <w:t>投标人应对投标文件中所提供资料的真实性负责，如有虚假，将依法承担相应责任。投标人应自觉接受集中采购机构对其中任何资料进一步核实的要求。</w:t>
      </w:r>
    </w:p>
    <w:p>
      <w:pPr>
        <w:numPr>
          <w:ilvl w:val="0"/>
          <w:numId w:val="16"/>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因投标人投标文件填报的内容不详，或没有提供招标文件中所要求的全部资料及数据等，由此产生的后果及责任由投标人自行承担。</w:t>
      </w:r>
    </w:p>
    <w:p>
      <w:pPr>
        <w:numPr>
          <w:ilvl w:val="0"/>
          <w:numId w:val="16"/>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投标文件用纸应统一为A4规格（图纸除外）。</w:t>
      </w:r>
    </w:p>
    <w:p>
      <w:pPr>
        <w:numPr>
          <w:ilvl w:val="0"/>
          <w:numId w:val="16"/>
        </w:numPr>
        <w:spacing w:line="360" w:lineRule="auto"/>
        <w:ind w:left="616" w:hanging="616"/>
        <w:rPr>
          <w:rFonts w:cs="Times New Roman" w:asciiTheme="minorEastAsia" w:hAnsiTheme="minorEastAsia"/>
          <w:b/>
          <w:color w:val="FF0000"/>
          <w:sz w:val="24"/>
          <w:szCs w:val="24"/>
          <w:lang w:val="zh-CN"/>
        </w:rPr>
      </w:pPr>
      <w:r>
        <w:rPr>
          <w:rFonts w:hint="eastAsia" w:cs="Times New Roman" w:asciiTheme="minorEastAsia" w:hAnsiTheme="minorEastAsia"/>
          <w:b/>
          <w:color w:val="FF0000"/>
          <w:sz w:val="24"/>
          <w:szCs w:val="24"/>
          <w:lang w:val="zh-CN"/>
        </w:rPr>
        <w:t>投标文件共分为：第一部分资格证明文件、第二部分商务文件和第三部分技术、服务文件。投标人应将投标文件第一部分资格证明文件、第二部分商务文件、第三部分技术、服务文件分别用显著文字说明，统一编制合订成一本投标文件，统一逐页连续标注页码，建立目录索引。</w:t>
      </w:r>
      <w:r>
        <w:rPr>
          <w:rFonts w:hint="eastAsia" w:ascii="宋体" w:hAnsi="宋体" w:eastAsia="宋体" w:cs="Times New Roman"/>
          <w:b/>
          <w:color w:val="FF0000"/>
          <w:sz w:val="24"/>
          <w:szCs w:val="20"/>
          <w:lang w:val="zh-CN"/>
        </w:rPr>
        <w:t>各部分文件及内容详见第七章“投标文件格式”要求。</w:t>
      </w:r>
    </w:p>
    <w:p>
      <w:pPr>
        <w:numPr>
          <w:ilvl w:val="0"/>
          <w:numId w:val="16"/>
        </w:numPr>
        <w:spacing w:line="360" w:lineRule="auto"/>
        <w:ind w:left="616" w:hanging="616"/>
        <w:rPr>
          <w:rFonts w:cs="Times New Roman" w:asciiTheme="minorEastAsia" w:hAnsiTheme="minorEastAsia"/>
          <w:b/>
          <w:sz w:val="24"/>
          <w:szCs w:val="24"/>
          <w:lang w:val="zh-CN"/>
        </w:rPr>
      </w:pPr>
      <w:r>
        <w:rPr>
          <w:rFonts w:hint="eastAsia" w:cs="Times New Roman" w:asciiTheme="minorEastAsia" w:hAnsiTheme="minorEastAsia"/>
          <w:b/>
          <w:color w:val="FF0000"/>
          <w:sz w:val="24"/>
          <w:szCs w:val="24"/>
          <w:lang w:val="zh-CN"/>
        </w:rPr>
        <w:t>为方便开标时唱标，投标人应将《开标一览表》一份单独密封提交，并在信封上标明"开标一览表"字样。投标人应将投标文件正本和所有的副本一起密封装在文件袋（或封装袋）中，并在封面上标明"正本"、"副本"字样。未单独提交或单独提交的上述资料未按照招标文件规定的要求填写完整并签字、盖章的其投标将有可能被拒绝。开标一览表必须按要求由投标人法定代表人或法定代表人授权代表签字，并加盖投标单位公章，单独密封提交，否则将被视为非响应性投标，将按照无效投标处理</w:t>
      </w:r>
      <w:r>
        <w:rPr>
          <w:rFonts w:hint="eastAsia" w:cs="Times New Roman" w:asciiTheme="minorEastAsia" w:hAnsiTheme="minorEastAsia"/>
          <w:b/>
          <w:sz w:val="24"/>
          <w:szCs w:val="24"/>
          <w:lang w:val="zh-CN"/>
        </w:rPr>
        <w:t>。</w:t>
      </w:r>
    </w:p>
    <w:p>
      <w:pPr>
        <w:numPr>
          <w:ilvl w:val="0"/>
          <w:numId w:val="8"/>
        </w:numPr>
        <w:spacing w:line="360" w:lineRule="auto"/>
        <w:ind w:left="560" w:hanging="560"/>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投标报价</w:t>
      </w:r>
    </w:p>
    <w:p>
      <w:pPr>
        <w:numPr>
          <w:ilvl w:val="0"/>
          <w:numId w:val="17"/>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投标人所提供的货物（工程或服务）均以人民币计价。</w:t>
      </w:r>
    </w:p>
    <w:p>
      <w:pPr>
        <w:numPr>
          <w:ilvl w:val="0"/>
          <w:numId w:val="17"/>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投标人应按照“第三章 项目技术、服务及商务要求”规定的货物（工程或服务）内容、责任范围以及合同条款进行报价。并按照《开标一览表》的格式进行报价。投标总价应为优惠后的最终报价。投标总价中不得包含招标文件要求以外的内容，否则，在评标时不予核减。</w:t>
      </w:r>
    </w:p>
    <w:p>
      <w:pPr>
        <w:numPr>
          <w:ilvl w:val="0"/>
          <w:numId w:val="17"/>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每一种规格的货物（工程或服务）只允许有一个报价，否则按照</w:t>
      </w:r>
      <w:r>
        <w:rPr>
          <w:rFonts w:hint="eastAsia" w:cs="Times New Roman" w:asciiTheme="minorEastAsia" w:hAnsiTheme="minorEastAsia"/>
          <w:b/>
          <w:sz w:val="24"/>
          <w:szCs w:val="24"/>
          <w:lang w:val="zh-CN"/>
        </w:rPr>
        <w:t>无效投标处理</w:t>
      </w:r>
      <w:r>
        <w:rPr>
          <w:rFonts w:hint="eastAsia" w:cs="Times New Roman" w:asciiTheme="minorEastAsia" w:hAnsiTheme="minorEastAsia"/>
          <w:sz w:val="24"/>
          <w:szCs w:val="24"/>
          <w:lang w:val="zh-CN"/>
        </w:rPr>
        <w:t>。</w:t>
      </w:r>
    </w:p>
    <w:p>
      <w:pPr>
        <w:numPr>
          <w:ilvl w:val="0"/>
          <w:numId w:val="17"/>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人的投标总报价在合同执行过程中是固定不变的，不得以任何理由予以变更。故投标人的投标总报价应包含本招标内容全部工作所需的一切费用，即投标总报价为“交钥匙”价。对在合同实施过程中可能发生的其它费用（如：增加耗材、材料涨价、人工、运输成本增加等因素），采购人不予支付。</w:t>
      </w:r>
    </w:p>
    <w:p>
      <w:pPr>
        <w:numPr>
          <w:ilvl w:val="0"/>
          <w:numId w:val="17"/>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对于招标文件未列明，而投标人认为必需的费用也需列入其投标总价。在合同实施时，采购人将不予支付投标人没有列入的项目费用，并认为此项目的费用已包括在其投标总价中。</w:t>
      </w:r>
    </w:p>
    <w:p>
      <w:pPr>
        <w:numPr>
          <w:ilvl w:val="0"/>
          <w:numId w:val="17"/>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投标人应对项目招标范围内的全部内容进行报价，不得缺、漏项或只投其中的部分内容的，否则按照</w:t>
      </w:r>
      <w:r>
        <w:rPr>
          <w:rFonts w:hint="eastAsia" w:cs="Times New Roman" w:asciiTheme="minorEastAsia" w:hAnsiTheme="minorEastAsia"/>
          <w:b/>
          <w:sz w:val="24"/>
          <w:szCs w:val="24"/>
          <w:lang w:val="zh-CN"/>
        </w:rPr>
        <w:t>无效投标处理</w:t>
      </w:r>
      <w:r>
        <w:rPr>
          <w:rFonts w:hint="eastAsia" w:cs="Times New Roman" w:asciiTheme="minorEastAsia" w:hAnsiTheme="minorEastAsia"/>
          <w:sz w:val="24"/>
          <w:szCs w:val="24"/>
          <w:lang w:val="zh-CN"/>
        </w:rPr>
        <w:t>。</w:t>
      </w:r>
    </w:p>
    <w:p>
      <w:pPr>
        <w:numPr>
          <w:ilvl w:val="0"/>
          <w:numId w:val="8"/>
        </w:numPr>
        <w:spacing w:line="360" w:lineRule="auto"/>
        <w:ind w:left="560" w:hanging="560"/>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备选方案</w:t>
      </w:r>
    </w:p>
    <w:p>
      <w:pPr>
        <w:spacing w:line="360" w:lineRule="auto"/>
        <w:ind w:firstLine="480" w:firstLineChars="200"/>
        <w:rPr>
          <w:rFonts w:cs="Times New Roman" w:asciiTheme="minorEastAsia" w:hAnsiTheme="minorEastAsia"/>
          <w:sz w:val="24"/>
          <w:szCs w:val="24"/>
          <w:lang w:val="zh-CN"/>
        </w:rPr>
      </w:pPr>
      <w:r>
        <w:rPr>
          <w:rFonts w:hint="eastAsia" w:cs="Times New Roman" w:asciiTheme="minorEastAsia" w:hAnsiTheme="minorEastAsia"/>
          <w:sz w:val="24"/>
          <w:szCs w:val="24"/>
          <w:lang w:val="zh-CN"/>
        </w:rPr>
        <w:t>只允许投标人提供一个投标方案（招标文件中要求提供备选方案的除外），否则按照</w:t>
      </w:r>
      <w:r>
        <w:rPr>
          <w:rFonts w:hint="eastAsia" w:cs="Times New Roman" w:asciiTheme="minorEastAsia" w:hAnsiTheme="minorEastAsia"/>
          <w:b/>
          <w:sz w:val="24"/>
          <w:szCs w:val="24"/>
          <w:lang w:val="zh-CN"/>
        </w:rPr>
        <w:t>无效投标处理</w:t>
      </w:r>
      <w:r>
        <w:rPr>
          <w:rFonts w:hint="eastAsia" w:cs="Times New Roman" w:asciiTheme="minorEastAsia" w:hAnsiTheme="minorEastAsia"/>
          <w:sz w:val="24"/>
          <w:szCs w:val="24"/>
          <w:lang w:val="zh-CN"/>
        </w:rPr>
        <w:t>。</w:t>
      </w:r>
    </w:p>
    <w:p>
      <w:pPr>
        <w:numPr>
          <w:ilvl w:val="0"/>
          <w:numId w:val="8"/>
        </w:numPr>
        <w:spacing w:line="360" w:lineRule="auto"/>
        <w:ind w:left="560" w:hanging="560"/>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中标后分包</w:t>
      </w:r>
    </w:p>
    <w:p>
      <w:pPr>
        <w:spacing w:line="360" w:lineRule="auto"/>
        <w:ind w:firstLine="480" w:firstLineChars="200"/>
        <w:rPr>
          <w:rFonts w:cs="Times New Roman" w:asciiTheme="minorEastAsia" w:hAnsiTheme="minorEastAsia"/>
          <w:sz w:val="24"/>
          <w:szCs w:val="24"/>
          <w:lang w:val="zh-CN"/>
        </w:rPr>
      </w:pPr>
      <w:r>
        <w:rPr>
          <w:rFonts w:cs="Times New Roman" w:asciiTheme="minorEastAsia" w:hAnsiTheme="minorEastAsia"/>
          <w:sz w:val="24"/>
          <w:szCs w:val="24"/>
          <w:lang w:val="zh-CN"/>
        </w:rPr>
        <w:t>招标文件规定</w:t>
      </w:r>
      <w:r>
        <w:rPr>
          <w:rFonts w:hint="eastAsia" w:cs="Times New Roman" w:asciiTheme="minorEastAsia" w:hAnsiTheme="minorEastAsia"/>
          <w:sz w:val="24"/>
          <w:szCs w:val="24"/>
          <w:lang w:val="zh-CN"/>
        </w:rPr>
        <w:t>项目非主体、非关键性工作中标后可以分包</w:t>
      </w:r>
      <w:r>
        <w:rPr>
          <w:rFonts w:cs="Times New Roman" w:asciiTheme="minorEastAsia" w:hAnsiTheme="minorEastAsia"/>
          <w:sz w:val="24"/>
          <w:szCs w:val="24"/>
          <w:lang w:val="zh-CN"/>
        </w:rPr>
        <w:t>的，投标人拟在中标后将项目的非主体、非关键性工作分包，应当在投标文件中载明</w:t>
      </w:r>
      <w:r>
        <w:rPr>
          <w:rFonts w:hint="eastAsia" w:cs="Times New Roman" w:asciiTheme="minorEastAsia" w:hAnsiTheme="minorEastAsia"/>
          <w:sz w:val="24"/>
          <w:szCs w:val="24"/>
          <w:lang w:val="zh-CN"/>
        </w:rPr>
        <w:t>具备相应资质条件的</w:t>
      </w:r>
      <w:r>
        <w:rPr>
          <w:rFonts w:cs="Times New Roman" w:asciiTheme="minorEastAsia" w:hAnsiTheme="minorEastAsia"/>
          <w:sz w:val="24"/>
          <w:szCs w:val="24"/>
          <w:lang w:val="zh-CN"/>
        </w:rPr>
        <w:t>分包承担主体，分包承担主体不得再次分包。</w:t>
      </w:r>
    </w:p>
    <w:p>
      <w:pPr>
        <w:numPr>
          <w:ilvl w:val="0"/>
          <w:numId w:val="8"/>
        </w:numPr>
        <w:spacing w:line="360" w:lineRule="auto"/>
        <w:ind w:left="560" w:hanging="560"/>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联合体投标</w:t>
      </w:r>
    </w:p>
    <w:p>
      <w:pPr>
        <w:numPr>
          <w:ilvl w:val="0"/>
          <w:numId w:val="18"/>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两个及以上供应商可以组成一个联合体，以一个投标人的身份共同参与投标。</w:t>
      </w:r>
    </w:p>
    <w:p>
      <w:pPr>
        <w:numPr>
          <w:ilvl w:val="0"/>
          <w:numId w:val="18"/>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采取联合体形式投标的，联合体各方均应当符合政府采购法第二十二条第一款规定的条件。联合体的主体应完全满足项目投标人资格要求。</w:t>
      </w:r>
    </w:p>
    <w:p>
      <w:pPr>
        <w:numPr>
          <w:ilvl w:val="0"/>
          <w:numId w:val="18"/>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联合体各方之间应签订联合投标协议，明确约定联合体主体及各方承担的工作和相应的责任，其投标文件中应提供联合投标协议。</w:t>
      </w:r>
    </w:p>
    <w:p>
      <w:pPr>
        <w:numPr>
          <w:ilvl w:val="0"/>
          <w:numId w:val="18"/>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以联合体形式参加政府采购活动的，联合体各方不得再单独参加或者与其他供应商另外组成联合体参加同一合同项下的政府采购活动。</w:t>
      </w:r>
    </w:p>
    <w:p>
      <w:pPr>
        <w:numPr>
          <w:ilvl w:val="0"/>
          <w:numId w:val="18"/>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采取联合体形式投标的，其投标文件应由联合体所有成员或其各自正式书面授权的代表签署（盖章），以便对所有成员作为整体及作为个体均具有法律约束力。</w:t>
      </w:r>
    </w:p>
    <w:p>
      <w:pPr>
        <w:numPr>
          <w:ilvl w:val="0"/>
          <w:numId w:val="18"/>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采取联合体形式投标的，项目评审时只对联合体主体进行评议。</w:t>
      </w:r>
    </w:p>
    <w:p>
      <w:pPr>
        <w:numPr>
          <w:ilvl w:val="0"/>
          <w:numId w:val="18"/>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联合体中标的，联合体各方应当共同与采购人</w:t>
      </w:r>
      <w:r>
        <w:rPr>
          <w:rFonts w:hint="eastAsia" w:cs="Times New Roman" w:asciiTheme="minorEastAsia" w:hAnsiTheme="minorEastAsia"/>
          <w:color w:val="0C0C0C" w:themeColor="text1" w:themeTint="F2"/>
          <w:sz w:val="24"/>
          <w:szCs w:val="24"/>
          <w:lang w:val="zh-CN"/>
        </w:rPr>
        <w:t>签订采购合同，</w:t>
      </w:r>
      <w:r>
        <w:rPr>
          <w:rFonts w:hint="eastAsia" w:ascii="宋体" w:hAnsi="宋体"/>
          <w:color w:val="0C0C0C" w:themeColor="text1" w:themeTint="F2"/>
          <w:sz w:val="24"/>
        </w:rPr>
        <w:t>就采购合同约定的事项对采购人承担连带责任，</w:t>
      </w:r>
      <w:r>
        <w:rPr>
          <w:rFonts w:hint="eastAsia" w:cs="Times New Roman" w:asciiTheme="minorEastAsia" w:hAnsiTheme="minorEastAsia"/>
          <w:color w:val="0C0C0C" w:themeColor="text1" w:themeTint="F2"/>
          <w:sz w:val="24"/>
          <w:szCs w:val="24"/>
          <w:lang w:val="zh-CN"/>
        </w:rPr>
        <w:t>联合体主体单位负主要</w:t>
      </w:r>
      <w:r>
        <w:rPr>
          <w:rFonts w:hint="eastAsia" w:cs="Times New Roman" w:asciiTheme="minorEastAsia" w:hAnsiTheme="minorEastAsia"/>
          <w:sz w:val="24"/>
          <w:szCs w:val="24"/>
          <w:lang w:val="zh-CN"/>
        </w:rPr>
        <w:t>责任。</w:t>
      </w:r>
    </w:p>
    <w:p>
      <w:pPr>
        <w:numPr>
          <w:ilvl w:val="0"/>
          <w:numId w:val="18"/>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联合体中有同类资质的供应商按照联合体分工承担相同工作的，应当按照资质等级较低的供应商确定资质等级。</w:t>
      </w:r>
    </w:p>
    <w:p>
      <w:pPr>
        <w:numPr>
          <w:ilvl w:val="0"/>
          <w:numId w:val="18"/>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招标文件第一章“投标人资格要求”中</w:t>
      </w:r>
      <w:r>
        <w:rPr>
          <w:rFonts w:cs="Times New Roman" w:asciiTheme="minorEastAsia" w:hAnsiTheme="minorEastAsia"/>
          <w:sz w:val="24"/>
          <w:szCs w:val="24"/>
          <w:lang w:val="zh-CN"/>
        </w:rPr>
        <w:t>未载明</w:t>
      </w:r>
      <w:r>
        <w:rPr>
          <w:rFonts w:hint="eastAsia" w:cs="Times New Roman" w:asciiTheme="minorEastAsia" w:hAnsiTheme="minorEastAsia"/>
          <w:sz w:val="24"/>
          <w:szCs w:val="24"/>
          <w:lang w:val="zh-CN"/>
        </w:rPr>
        <w:t>是否接受联合体投标的</w:t>
      </w:r>
      <w:r>
        <w:rPr>
          <w:rFonts w:cs="Times New Roman" w:asciiTheme="minorEastAsia" w:hAnsiTheme="minorEastAsia"/>
          <w:sz w:val="24"/>
          <w:szCs w:val="24"/>
          <w:lang w:val="zh-CN"/>
        </w:rPr>
        <w:t>，</w:t>
      </w:r>
      <w:r>
        <w:rPr>
          <w:rFonts w:hint="eastAsia" w:cs="Times New Roman" w:asciiTheme="minorEastAsia" w:hAnsiTheme="minorEastAsia"/>
          <w:sz w:val="24"/>
          <w:szCs w:val="24"/>
          <w:lang w:val="zh-CN"/>
        </w:rPr>
        <w:t>视同接受</w:t>
      </w:r>
      <w:r>
        <w:rPr>
          <w:rFonts w:cs="Times New Roman" w:asciiTheme="minorEastAsia" w:hAnsiTheme="minorEastAsia"/>
          <w:sz w:val="24"/>
          <w:szCs w:val="24"/>
          <w:lang w:val="zh-CN"/>
        </w:rPr>
        <w:t>。</w:t>
      </w:r>
    </w:p>
    <w:p>
      <w:pPr>
        <w:numPr>
          <w:ilvl w:val="0"/>
          <w:numId w:val="18"/>
        </w:numPr>
        <w:spacing w:line="360" w:lineRule="auto"/>
        <w:ind w:left="728" w:hanging="728"/>
        <w:rPr>
          <w:rFonts w:cs="Times New Roman" w:asciiTheme="minorEastAsia" w:hAnsiTheme="minorEastAsia"/>
          <w:sz w:val="24"/>
          <w:szCs w:val="24"/>
          <w:lang w:val="zh-CN"/>
        </w:rPr>
      </w:pPr>
      <w:r>
        <w:rPr>
          <w:rFonts w:hint="eastAsia" w:cs="Times New Roman" w:asciiTheme="minorEastAsia" w:hAnsiTheme="minorEastAsia"/>
          <w:sz w:val="24"/>
          <w:szCs w:val="24"/>
          <w:lang w:val="zh-CN"/>
        </w:rPr>
        <w:t>以联合体形式参与投标的，其价格扣除相关规定详见第五章“评标方法、程序及标准”。</w:t>
      </w:r>
    </w:p>
    <w:p>
      <w:pPr>
        <w:numPr>
          <w:ilvl w:val="0"/>
          <w:numId w:val="8"/>
        </w:numPr>
        <w:spacing w:line="360" w:lineRule="auto"/>
        <w:ind w:left="560" w:hanging="560"/>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资格证明文件</w:t>
      </w:r>
    </w:p>
    <w:p>
      <w:pPr>
        <w:numPr>
          <w:ilvl w:val="0"/>
          <w:numId w:val="19"/>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投标人应按本节及第四章“资格审查方法及标准”的要求，提供足以证明其符合项目“投标人资格要求”且中标后有能力履行合同的文件，并作为其投标文件的组成部分。</w:t>
      </w:r>
    </w:p>
    <w:p>
      <w:pPr>
        <w:numPr>
          <w:ilvl w:val="0"/>
          <w:numId w:val="19"/>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资格证明文件应真实、合法，并就此承担相应法律责任。</w:t>
      </w:r>
    </w:p>
    <w:p>
      <w:pPr>
        <w:numPr>
          <w:ilvl w:val="0"/>
          <w:numId w:val="19"/>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资格证明文件正本应为清晰彩色影印件且加盖单位公章，否则按照</w:t>
      </w:r>
      <w:r>
        <w:rPr>
          <w:rFonts w:hint="eastAsia" w:cs="Times New Roman" w:asciiTheme="minorEastAsia" w:hAnsiTheme="minorEastAsia"/>
          <w:b/>
          <w:sz w:val="24"/>
          <w:szCs w:val="24"/>
          <w:lang w:val="zh-CN"/>
        </w:rPr>
        <w:t>无效投标处理</w:t>
      </w:r>
      <w:r>
        <w:rPr>
          <w:rFonts w:hint="eastAsia" w:cs="Times New Roman" w:asciiTheme="minorEastAsia" w:hAnsiTheme="minorEastAsia"/>
          <w:sz w:val="24"/>
          <w:szCs w:val="24"/>
          <w:lang w:val="zh-CN"/>
        </w:rPr>
        <w:t>。副本可为正本的复印件,但应在副本封面加盖单位公章。</w:t>
      </w:r>
    </w:p>
    <w:p>
      <w:pPr>
        <w:numPr>
          <w:ilvl w:val="0"/>
          <w:numId w:val="19"/>
        </w:numPr>
        <w:spacing w:line="360" w:lineRule="auto"/>
        <w:ind w:left="616" w:hanging="616"/>
        <w:rPr>
          <w:rFonts w:cs="Times New Roman" w:asciiTheme="minorEastAsia" w:hAnsiTheme="minorEastAsia"/>
          <w:sz w:val="24"/>
          <w:szCs w:val="24"/>
          <w:lang w:val="zh-CN"/>
        </w:rPr>
      </w:pPr>
      <w:r>
        <w:rPr>
          <w:rFonts w:hint="eastAsia" w:cs="Helvetica" w:asciiTheme="minorEastAsia" w:hAnsiTheme="minorEastAsia"/>
          <w:kern w:val="0"/>
          <w:sz w:val="24"/>
          <w:szCs w:val="24"/>
          <w:lang w:val="zh-CN"/>
        </w:rPr>
        <w:t>资格证明文件内容详见</w:t>
      </w:r>
      <w:r>
        <w:rPr>
          <w:rFonts w:hint="eastAsia" w:cs="Times New Roman" w:asciiTheme="minorEastAsia" w:hAnsiTheme="minorEastAsia"/>
          <w:sz w:val="24"/>
          <w:szCs w:val="24"/>
          <w:lang w:val="zh-CN"/>
        </w:rPr>
        <w:t>第四章“资格审查方法及标准”中资格审查内容</w:t>
      </w:r>
      <w:r>
        <w:rPr>
          <w:rFonts w:hint="eastAsia" w:cs="Helvetica" w:asciiTheme="minorEastAsia" w:hAnsiTheme="minorEastAsia"/>
          <w:kern w:val="0"/>
          <w:sz w:val="24"/>
          <w:szCs w:val="24"/>
          <w:lang w:val="zh-CN"/>
        </w:rPr>
        <w:t>。</w:t>
      </w:r>
    </w:p>
    <w:p>
      <w:pPr>
        <w:numPr>
          <w:ilvl w:val="0"/>
          <w:numId w:val="8"/>
        </w:numPr>
        <w:spacing w:line="360" w:lineRule="auto"/>
        <w:ind w:left="560" w:hanging="560"/>
        <w:rPr>
          <w:rFonts w:cs="Times New Roman" w:asciiTheme="minorEastAsia" w:hAnsiTheme="minorEastAsia"/>
          <w:sz w:val="24"/>
          <w:szCs w:val="24"/>
          <w:lang w:val="zh-CN"/>
        </w:rPr>
      </w:pPr>
      <w:r>
        <w:rPr>
          <w:rFonts w:hint="eastAsia" w:cs="Times New Roman" w:asciiTheme="minorEastAsia" w:hAnsiTheme="minorEastAsia"/>
          <w:b/>
          <w:sz w:val="24"/>
          <w:szCs w:val="24"/>
          <w:lang w:val="zh-CN"/>
        </w:rPr>
        <w:t>投标保证金</w:t>
      </w:r>
      <w:r>
        <w:rPr>
          <w:rFonts w:hint="eastAsia" w:cs="Times New Roman" w:asciiTheme="minorEastAsia" w:hAnsiTheme="minorEastAsia"/>
          <w:bCs/>
          <w:sz w:val="24"/>
          <w:szCs w:val="24"/>
          <w:lang w:val="zh-CN"/>
        </w:rPr>
        <w:t>（</w:t>
      </w:r>
      <w:r>
        <w:rPr>
          <w:rFonts w:hint="eastAsia" w:cs="Times New Roman" w:asciiTheme="minorEastAsia" w:hAnsiTheme="minorEastAsia"/>
          <w:sz w:val="24"/>
          <w:szCs w:val="24"/>
          <w:lang w:val="zh-CN"/>
        </w:rPr>
        <w:t>本项目不收取投标保证金，详见本章“投标须知前附表”中的说明）。</w:t>
      </w:r>
    </w:p>
    <w:p>
      <w:pPr>
        <w:numPr>
          <w:ilvl w:val="0"/>
          <w:numId w:val="8"/>
        </w:numPr>
        <w:spacing w:line="360" w:lineRule="auto"/>
        <w:ind w:left="560" w:hanging="560"/>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投标有效期</w:t>
      </w:r>
    </w:p>
    <w:p>
      <w:pPr>
        <w:numPr>
          <w:ilvl w:val="0"/>
          <w:numId w:val="20"/>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投标有效期详见本章“投标须知前附表”中规定。</w:t>
      </w:r>
      <w:r>
        <w:rPr>
          <w:rFonts w:cs="Helvetica" w:asciiTheme="minorEastAsia" w:hAnsiTheme="minorEastAsia"/>
          <w:kern w:val="0"/>
          <w:sz w:val="24"/>
          <w:szCs w:val="24"/>
          <w:lang w:val="zh-CN"/>
        </w:rPr>
        <w:t>投标文件中承诺的投标有效期应当不少于招标文件中载明的投标有效期</w:t>
      </w:r>
      <w:r>
        <w:rPr>
          <w:rFonts w:hint="eastAsia" w:cs="Helvetica" w:asciiTheme="minorEastAsia" w:hAnsiTheme="minorEastAsia"/>
          <w:kern w:val="0"/>
          <w:sz w:val="24"/>
          <w:szCs w:val="24"/>
          <w:lang w:val="zh-CN"/>
        </w:rPr>
        <w:t>。投标有效期不足的，</w:t>
      </w:r>
      <w:r>
        <w:rPr>
          <w:rFonts w:hint="eastAsia" w:cs="Times New Roman" w:asciiTheme="minorEastAsia" w:hAnsiTheme="minorEastAsia"/>
          <w:sz w:val="24"/>
          <w:szCs w:val="24"/>
          <w:lang w:val="zh-CN"/>
        </w:rPr>
        <w:t>按照</w:t>
      </w:r>
      <w:r>
        <w:rPr>
          <w:rFonts w:hint="eastAsia" w:cs="Times New Roman" w:asciiTheme="minorEastAsia" w:hAnsiTheme="minorEastAsia"/>
          <w:b/>
          <w:sz w:val="24"/>
          <w:szCs w:val="24"/>
          <w:lang w:val="zh-CN"/>
        </w:rPr>
        <w:t>无效投标处理。</w:t>
      </w:r>
    </w:p>
    <w:p>
      <w:pPr>
        <w:numPr>
          <w:ilvl w:val="0"/>
          <w:numId w:val="20"/>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特殊情况下，在原投标有效期截止之前，集中采购机构或采购人可要求投标人延长投标有效期。这种要求与答复均应以书面形式提交。投标人可拒绝集中采购机构或采购人的这种要求，但其投标在原投标有效期期满后将不再有效。同意延长投标有效期的投标人不会被要求和允许修正其投标内容。</w:t>
      </w:r>
    </w:p>
    <w:p>
      <w:pPr>
        <w:numPr>
          <w:ilvl w:val="0"/>
          <w:numId w:val="8"/>
        </w:numPr>
        <w:spacing w:line="360" w:lineRule="auto"/>
        <w:ind w:left="560" w:hanging="560"/>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投标文件的数量和签署</w:t>
      </w:r>
    </w:p>
    <w:p>
      <w:pPr>
        <w:numPr>
          <w:ilvl w:val="0"/>
          <w:numId w:val="21"/>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人应按本章“投标须知前附表”中规定的份数要求编制投标文件，投标文件的副本可为正本的复印件,但应在副本封面加盖单位公章。每套投标文件应清楚地标明“正本”、“副本”。副本与正本不一致的，以正本为准。</w:t>
      </w:r>
    </w:p>
    <w:p>
      <w:pPr>
        <w:numPr>
          <w:ilvl w:val="0"/>
          <w:numId w:val="21"/>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投标文件的正本应打印或用不褪色墨水书写，应由法定代表人或经其正式授权的代表签字或盖章。由被授权代表签字或盖章的，应以书面形式出具授权证明，其《法定代表人授权书》应附在投标文件中。</w:t>
      </w:r>
    </w:p>
    <w:p>
      <w:pPr>
        <w:numPr>
          <w:ilvl w:val="0"/>
          <w:numId w:val="21"/>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投标文件中任何涂改和增删，应由法定代表人或经其正式授权的代表在旁边签字后方为有效。</w:t>
      </w:r>
    </w:p>
    <w:p>
      <w:pPr>
        <w:numPr>
          <w:ilvl w:val="0"/>
          <w:numId w:val="21"/>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招标文件中要求加盖公章及签字（签章）之处，投标文件正本中应按要求提供加盖公章及签字（签章）的原件，否则按照</w:t>
      </w:r>
      <w:r>
        <w:rPr>
          <w:rFonts w:hint="eastAsia" w:cs="Times New Roman" w:asciiTheme="minorEastAsia" w:hAnsiTheme="minorEastAsia"/>
          <w:b/>
          <w:sz w:val="24"/>
          <w:szCs w:val="24"/>
          <w:lang w:val="zh-CN"/>
        </w:rPr>
        <w:t>无效投标处理。</w:t>
      </w:r>
    </w:p>
    <w:p>
      <w:pPr>
        <w:numPr>
          <w:ilvl w:val="0"/>
          <w:numId w:val="8"/>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投标文件的密封和标记</w:t>
      </w:r>
    </w:p>
    <w:p>
      <w:pPr>
        <w:numPr>
          <w:ilvl w:val="0"/>
          <w:numId w:val="22"/>
        </w:numPr>
        <w:spacing w:line="360" w:lineRule="auto"/>
        <w:ind w:left="616" w:hanging="616"/>
        <w:rPr>
          <w:rFonts w:ascii="宋体" w:hAnsi="宋体" w:eastAsia="宋体" w:cs="Times New Roman"/>
          <w:color w:val="FF0000"/>
          <w:sz w:val="24"/>
          <w:szCs w:val="20"/>
          <w:lang w:val="zh-CN"/>
        </w:rPr>
      </w:pPr>
      <w:r>
        <w:rPr>
          <w:rFonts w:hint="eastAsia" w:ascii="宋体" w:hAnsi="宋体" w:eastAsia="宋体" w:cs="Times New Roman"/>
          <w:b/>
          <w:color w:val="FF0000"/>
          <w:sz w:val="24"/>
          <w:szCs w:val="20"/>
          <w:lang w:val="zh-CN"/>
        </w:rPr>
        <w:t>投标人应将投标文件第一部分资格证明文件、第二部分商务文件、第三部分技术、服务文件一起合并装订成一本投标文件进行封装。</w:t>
      </w:r>
    </w:p>
    <w:p>
      <w:pPr>
        <w:numPr>
          <w:ilvl w:val="0"/>
          <w:numId w:val="22"/>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投标人应将投标文件</w:t>
      </w:r>
      <w:r>
        <w:rPr>
          <w:rFonts w:hint="eastAsia" w:ascii="宋体" w:hAnsi="宋体" w:eastAsia="宋体" w:cs="Times New Roman"/>
          <w:b/>
          <w:color w:val="FF0000"/>
          <w:sz w:val="24"/>
          <w:szCs w:val="20"/>
          <w:lang w:val="zh-CN"/>
        </w:rPr>
        <w:t>正本壹本和副本肆本</w:t>
      </w:r>
      <w:r>
        <w:rPr>
          <w:rFonts w:hint="eastAsia" w:ascii="宋体" w:hAnsi="宋体" w:eastAsia="宋体" w:cs="Times New Roman"/>
          <w:sz w:val="24"/>
          <w:szCs w:val="20"/>
          <w:lang w:val="zh-CN"/>
        </w:rPr>
        <w:t>密封装在单独的封包中，并在封包上标明“正本”、“副本”字样。</w:t>
      </w:r>
    </w:p>
    <w:p>
      <w:pPr>
        <w:numPr>
          <w:ilvl w:val="0"/>
          <w:numId w:val="22"/>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如果未按要求加写密封、标记或存在错误，集中采购机构对其误投或提前启封概不负责。</w:t>
      </w:r>
    </w:p>
    <w:p>
      <w:pPr>
        <w:numPr>
          <w:ilvl w:val="0"/>
          <w:numId w:val="22"/>
        </w:numPr>
        <w:spacing w:line="360" w:lineRule="auto"/>
        <w:ind w:left="616" w:hanging="616"/>
        <w:rPr>
          <w:rFonts w:ascii="宋体" w:hAnsi="宋体" w:eastAsia="宋体" w:cs="Times New Roman"/>
          <w:b/>
          <w:color w:val="FF0000"/>
          <w:sz w:val="24"/>
          <w:szCs w:val="20"/>
          <w:lang w:val="zh-CN"/>
        </w:rPr>
      </w:pPr>
      <w:r>
        <w:rPr>
          <w:rFonts w:hint="eastAsia" w:ascii="宋体" w:hAnsi="宋体" w:eastAsia="宋体" w:cs="Times New Roman"/>
          <w:color w:val="FF0000"/>
          <w:sz w:val="24"/>
          <w:szCs w:val="20"/>
          <w:lang w:val="zh-CN"/>
        </w:rPr>
        <w:t>为方便开标时唱标，投标人应将《开标一览表》原件一份</w:t>
      </w:r>
      <w:r>
        <w:rPr>
          <w:rFonts w:hint="eastAsia" w:ascii="宋体" w:hAnsi="宋体" w:eastAsia="宋体" w:cs="Times New Roman"/>
          <w:color w:val="FF0000"/>
          <w:spacing w:val="-6"/>
          <w:kern w:val="0"/>
          <w:sz w:val="24"/>
          <w:szCs w:val="20"/>
          <w:lang w:val="zh-CN"/>
        </w:rPr>
        <w:t>装入一个信封，单独密封提交</w:t>
      </w:r>
      <w:r>
        <w:rPr>
          <w:rFonts w:hint="eastAsia" w:ascii="宋体" w:hAnsi="宋体" w:eastAsia="宋体" w:cs="Times New Roman"/>
          <w:color w:val="FF0000"/>
          <w:sz w:val="24"/>
          <w:szCs w:val="20"/>
          <w:lang w:val="zh-CN"/>
        </w:rPr>
        <w:t>，并在信封上标明“开标一览表”字样。未单独提交或单独提交的上述资料未按照招标文件规定的格式填写完整并签字、盖章的集中采购机构</w:t>
      </w:r>
      <w:r>
        <w:rPr>
          <w:rFonts w:hint="eastAsia" w:ascii="宋体" w:hAnsi="宋体" w:eastAsia="宋体" w:cs="Times New Roman"/>
          <w:b/>
          <w:color w:val="FF0000"/>
          <w:sz w:val="24"/>
          <w:szCs w:val="20"/>
          <w:lang w:val="zh-CN"/>
        </w:rPr>
        <w:t>拒绝</w:t>
      </w:r>
      <w:r>
        <w:rPr>
          <w:rFonts w:hint="eastAsia" w:ascii="宋体" w:hAnsi="宋体" w:eastAsia="宋体" w:cs="Times New Roman"/>
          <w:color w:val="FF0000"/>
          <w:sz w:val="24"/>
          <w:szCs w:val="20"/>
          <w:lang w:val="zh-CN"/>
        </w:rPr>
        <w:t>其投标。</w:t>
      </w:r>
    </w:p>
    <w:p>
      <w:pPr>
        <w:numPr>
          <w:ilvl w:val="0"/>
          <w:numId w:val="22"/>
        </w:numPr>
        <w:spacing w:line="360" w:lineRule="auto"/>
        <w:ind w:left="616" w:hanging="616"/>
        <w:rPr>
          <w:rFonts w:ascii="宋体" w:hAnsi="宋体" w:eastAsia="宋体" w:cs="Times New Roman"/>
          <w:color w:val="FF0000"/>
          <w:sz w:val="24"/>
          <w:szCs w:val="20"/>
          <w:lang w:val="zh-CN"/>
        </w:rPr>
      </w:pPr>
      <w:r>
        <w:rPr>
          <w:rFonts w:hint="eastAsia" w:ascii="宋体" w:hAnsi="宋体" w:eastAsia="宋体" w:cs="Times New Roman"/>
          <w:color w:val="FF0000"/>
          <w:sz w:val="24"/>
          <w:szCs w:val="20"/>
          <w:lang w:val="zh-CN"/>
        </w:rPr>
        <w:t>“开标一览表”信封和投标文件的封包上应注明采购项目编号、项目名称、投标内容和有“在（招标文件中规定的开标日期和时间）之前不得启封”的字样，封口处加盖投标人公章。</w:t>
      </w:r>
    </w:p>
    <w:p>
      <w:pPr>
        <w:numPr>
          <w:ilvl w:val="0"/>
          <w:numId w:val="8"/>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投标文件递交</w:t>
      </w:r>
    </w:p>
    <w:p>
      <w:pPr>
        <w:numPr>
          <w:ilvl w:val="0"/>
          <w:numId w:val="23"/>
        </w:numPr>
        <w:spacing w:line="360" w:lineRule="auto"/>
        <w:ind w:left="616" w:hanging="616"/>
        <w:rPr>
          <w:rFonts w:ascii="Helvetica" w:hAnsi="Helvetica" w:eastAsia="宋体" w:cs="Helvetica"/>
          <w:kern w:val="0"/>
          <w:sz w:val="24"/>
          <w:szCs w:val="24"/>
          <w:lang w:val="zh-CN"/>
        </w:rPr>
      </w:pPr>
      <w:r>
        <w:rPr>
          <w:rFonts w:hint="eastAsia" w:ascii="Helvetica" w:hAnsi="Helvetica" w:eastAsia="宋体" w:cs="Helvetica"/>
          <w:kern w:val="0"/>
          <w:sz w:val="24"/>
          <w:szCs w:val="24"/>
          <w:lang w:val="zh-CN"/>
        </w:rPr>
        <w:t>投标人应在不迟于投标邀请书中规定的投标截止日期和时间将投标文件密封递交至集中采购机构规定的投标地点。</w:t>
      </w:r>
    </w:p>
    <w:p>
      <w:pPr>
        <w:numPr>
          <w:ilvl w:val="0"/>
          <w:numId w:val="23"/>
        </w:numPr>
        <w:spacing w:line="360" w:lineRule="auto"/>
        <w:ind w:left="616" w:hanging="616"/>
        <w:rPr>
          <w:rFonts w:ascii="Helvetica" w:hAnsi="Helvetica" w:eastAsia="宋体" w:cs="Helvetica"/>
          <w:b/>
          <w:kern w:val="0"/>
          <w:sz w:val="24"/>
          <w:szCs w:val="24"/>
          <w:lang w:val="zh-CN"/>
        </w:rPr>
      </w:pPr>
      <w:r>
        <w:rPr>
          <w:rFonts w:hint="eastAsia" w:ascii="Helvetica" w:hAnsi="Helvetica" w:eastAsia="宋体" w:cs="Helvetica"/>
          <w:b/>
          <w:kern w:val="0"/>
          <w:sz w:val="24"/>
          <w:szCs w:val="24"/>
          <w:lang w:val="zh-CN"/>
        </w:rPr>
        <w:t>集中采购机构拒收逾期送达或者未按招标文件要求密封的投标文件。</w:t>
      </w:r>
    </w:p>
    <w:p>
      <w:pPr>
        <w:numPr>
          <w:ilvl w:val="0"/>
          <w:numId w:val="23"/>
        </w:numPr>
        <w:spacing w:line="360" w:lineRule="auto"/>
        <w:ind w:left="616" w:hanging="616"/>
        <w:rPr>
          <w:rFonts w:ascii="Helvetica" w:hAnsi="Helvetica" w:eastAsia="宋体" w:cs="Helvetica"/>
          <w:kern w:val="0"/>
          <w:sz w:val="24"/>
          <w:szCs w:val="24"/>
          <w:lang w:val="zh-CN"/>
        </w:rPr>
      </w:pPr>
      <w:r>
        <w:rPr>
          <w:rFonts w:hint="eastAsia" w:ascii="Helvetica" w:hAnsi="Helvetica" w:eastAsia="宋体" w:cs="Helvetica"/>
          <w:kern w:val="0"/>
          <w:sz w:val="24"/>
          <w:szCs w:val="24"/>
          <w:lang w:val="zh-CN"/>
        </w:rPr>
        <w:t>集中</w:t>
      </w:r>
      <w:r>
        <w:rPr>
          <w:rFonts w:ascii="Helvetica" w:hAnsi="Helvetica" w:eastAsia="宋体" w:cs="Helvetica"/>
          <w:kern w:val="0"/>
          <w:sz w:val="24"/>
          <w:szCs w:val="24"/>
          <w:lang w:val="zh-CN"/>
        </w:rPr>
        <w:t>采购机构收到投标文件后，应当如实记载投标文件的送达时间和密封情况，签收保存。</w:t>
      </w:r>
    </w:p>
    <w:p>
      <w:pPr>
        <w:numPr>
          <w:ilvl w:val="0"/>
          <w:numId w:val="8"/>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投标文件的修改和撤回</w:t>
      </w:r>
    </w:p>
    <w:p>
      <w:pPr>
        <w:numPr>
          <w:ilvl w:val="0"/>
          <w:numId w:val="24"/>
        </w:numPr>
        <w:spacing w:line="360" w:lineRule="auto"/>
        <w:ind w:left="616" w:hanging="616"/>
        <w:rPr>
          <w:rFonts w:ascii="宋体" w:hAnsi="宋体" w:eastAsia="宋体" w:cs="Times New Roman"/>
          <w:strike/>
          <w:sz w:val="24"/>
          <w:szCs w:val="20"/>
          <w:lang w:val="zh-CN"/>
        </w:rPr>
      </w:pPr>
      <w:r>
        <w:rPr>
          <w:rFonts w:ascii="宋体" w:hAnsi="宋体" w:eastAsia="宋体" w:cs="Times New Roman"/>
          <w:sz w:val="24"/>
          <w:szCs w:val="20"/>
          <w:lang w:val="zh-CN"/>
        </w:rPr>
        <w:t>投标人在投标截止时间前，可以对所递交的投标文件进行补充、修改或者撤回，并书面通知</w:t>
      </w:r>
      <w:r>
        <w:rPr>
          <w:rFonts w:hint="eastAsia" w:ascii="宋体" w:hAnsi="宋体" w:eastAsia="宋体" w:cs="Times New Roman"/>
          <w:sz w:val="24"/>
          <w:szCs w:val="20"/>
          <w:lang w:val="zh-CN"/>
        </w:rPr>
        <w:t>集中采购机构</w:t>
      </w:r>
      <w:r>
        <w:rPr>
          <w:rFonts w:ascii="宋体" w:hAnsi="宋体" w:eastAsia="宋体" w:cs="Times New Roman"/>
          <w:sz w:val="24"/>
          <w:szCs w:val="20"/>
          <w:lang w:val="zh-CN"/>
        </w:rPr>
        <w:t>。补充、修改的内容应当按照招标文件要求签署、盖章、密封后，作为投标文件的组成部分。</w:t>
      </w:r>
    </w:p>
    <w:p>
      <w:pPr>
        <w:numPr>
          <w:ilvl w:val="0"/>
          <w:numId w:val="24"/>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投标有效期内投标人不得撤销其投标文件。</w:t>
      </w:r>
    </w:p>
    <w:p>
      <w:pPr>
        <w:numPr>
          <w:ilvl w:val="0"/>
          <w:numId w:val="24"/>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投标人所递交的投标文件无论中标与否不予退还。</w:t>
      </w:r>
    </w:p>
    <w:p>
      <w:pPr>
        <w:pStyle w:val="5"/>
        <w:numPr>
          <w:ilvl w:val="0"/>
          <w:numId w:val="7"/>
        </w:numPr>
        <w:spacing w:before="40" w:after="40" w:line="360" w:lineRule="auto"/>
        <w:ind w:left="658" w:hanging="658"/>
        <w:jc w:val="left"/>
        <w:rPr>
          <w:rFonts w:cs="Times New Roman" w:asciiTheme="majorEastAsia" w:hAnsiTheme="majorEastAsia"/>
          <w:bCs w:val="0"/>
          <w:lang w:val="zh-CN"/>
        </w:rPr>
      </w:pPr>
      <w:bookmarkStart w:id="21" w:name="_Toc278891595"/>
      <w:bookmarkStart w:id="22" w:name="_Toc272247698"/>
      <w:bookmarkStart w:id="23" w:name="_Toc494561942"/>
      <w:bookmarkStart w:id="24" w:name="_Toc14168"/>
      <w:r>
        <w:rPr>
          <w:rFonts w:hint="eastAsia" w:cs="Times New Roman" w:asciiTheme="majorEastAsia" w:hAnsiTheme="majorEastAsia"/>
          <w:bCs w:val="0"/>
          <w:lang w:val="zh-CN"/>
        </w:rPr>
        <w:t>开标与评标</w:t>
      </w:r>
      <w:bookmarkEnd w:id="21"/>
      <w:bookmarkEnd w:id="22"/>
      <w:bookmarkEnd w:id="23"/>
      <w:bookmarkEnd w:id="24"/>
    </w:p>
    <w:p>
      <w:pPr>
        <w:numPr>
          <w:ilvl w:val="0"/>
          <w:numId w:val="8"/>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开标</w:t>
      </w:r>
    </w:p>
    <w:p>
      <w:pPr>
        <w:numPr>
          <w:ilvl w:val="0"/>
          <w:numId w:val="25"/>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集中采购机构在第一章“投标邀请书”中约定的日期、时间和地点组织公开开标。开标时采购人和投标人代表（投标人法定代表人或其授权代表）参加,参加开标的代表应签到以证明其出席。</w:t>
      </w:r>
    </w:p>
    <w:p>
      <w:pPr>
        <w:numPr>
          <w:ilvl w:val="0"/>
          <w:numId w:val="25"/>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投标人法定代表人或其授权代表应携带有效身份证明参加项目开标会，</w:t>
      </w:r>
      <w:r>
        <w:rPr>
          <w:rFonts w:ascii="宋体" w:hAnsi="宋体" w:eastAsia="宋体" w:cs="Times New Roman"/>
          <w:sz w:val="24"/>
          <w:szCs w:val="20"/>
          <w:lang w:val="zh-CN"/>
        </w:rPr>
        <w:t>投标人未参加开标的，视同认可开标结果。</w:t>
      </w:r>
      <w:r>
        <w:rPr>
          <w:rFonts w:hint="eastAsia" w:ascii="宋体" w:hAnsi="宋体" w:eastAsia="宋体" w:cs="Times New Roman"/>
          <w:sz w:val="24"/>
          <w:szCs w:val="20"/>
          <w:lang w:val="zh-CN"/>
        </w:rPr>
        <w:t>截止</w:t>
      </w:r>
      <w:r>
        <w:rPr>
          <w:rFonts w:hint="eastAsia" w:ascii="宋体" w:hAnsi="宋体" w:eastAsia="宋体" w:cs="宋体"/>
          <w:kern w:val="0"/>
          <w:sz w:val="24"/>
          <w:szCs w:val="24"/>
        </w:rPr>
        <w:t>投标文件</w:t>
      </w:r>
      <w:r>
        <w:rPr>
          <w:rFonts w:hint="eastAsia" w:ascii="宋体" w:hAnsi="宋体" w:eastAsia="宋体" w:cs="Times New Roman"/>
          <w:sz w:val="24"/>
          <w:szCs w:val="20"/>
          <w:lang w:val="zh-CN"/>
        </w:rPr>
        <w:t>递交时间，投标人不足3家的，不进行开标</w:t>
      </w:r>
      <w:r>
        <w:rPr>
          <w:rFonts w:hint="eastAsia" w:ascii="Helvetica" w:hAnsi="Helvetica" w:eastAsia="宋体" w:cs="Helvetica"/>
          <w:kern w:val="0"/>
          <w:sz w:val="24"/>
          <w:szCs w:val="24"/>
          <w:lang w:val="zh-CN"/>
        </w:rPr>
        <w:t>。</w:t>
      </w:r>
    </w:p>
    <w:p>
      <w:pPr>
        <w:numPr>
          <w:ilvl w:val="0"/>
          <w:numId w:val="25"/>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开标时，由投标人或其推选的代表检查投标文件的密封情况，经确认无误后由集中采购机构工作人员当众拆封，</w:t>
      </w:r>
      <w:r>
        <w:rPr>
          <w:rFonts w:ascii="宋体" w:hAnsi="宋体" w:eastAsia="宋体" w:cs="Times New Roman"/>
          <w:sz w:val="24"/>
          <w:szCs w:val="20"/>
          <w:lang w:val="zh-CN"/>
        </w:rPr>
        <w:t>宣布投标人名称、投标价格和招标文件规定的需要宣布的其他内容。</w:t>
      </w:r>
    </w:p>
    <w:p>
      <w:pPr>
        <w:numPr>
          <w:ilvl w:val="0"/>
          <w:numId w:val="25"/>
        </w:numPr>
        <w:spacing w:line="360" w:lineRule="auto"/>
        <w:ind w:left="616" w:hanging="616"/>
        <w:rPr>
          <w:rFonts w:ascii="宋体" w:hAnsi="宋体" w:eastAsia="宋体" w:cs="Times New Roman"/>
          <w:sz w:val="24"/>
          <w:szCs w:val="20"/>
          <w:lang w:val="zh-CN"/>
        </w:rPr>
      </w:pPr>
      <w:r>
        <w:rPr>
          <w:rFonts w:hint="eastAsia" w:ascii="宋体" w:hAnsi="宋体"/>
          <w:sz w:val="24"/>
        </w:rPr>
        <w:t>开标时，投标文件中《开标一览表》内容与投标文件中明细表内容不一致的，以《开标一览表》为准。投标文件的大写金额和小写金额不一致的，以大写金额为准；总价金额与按单价汇总金额不一致的，以单价金额计算结果为准；单价金额小数点有明显错位的，应以总价为准，并修改单价；对不同文字文本投标文件的解释发生异议的，以中文文本为准。</w:t>
      </w:r>
    </w:p>
    <w:p>
      <w:pPr>
        <w:numPr>
          <w:ilvl w:val="0"/>
          <w:numId w:val="25"/>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集中采购机构</w:t>
      </w:r>
      <w:r>
        <w:rPr>
          <w:rFonts w:ascii="宋体" w:hAnsi="宋体" w:eastAsia="宋体" w:cs="Times New Roman"/>
          <w:sz w:val="24"/>
          <w:szCs w:val="20"/>
          <w:lang w:val="zh-CN"/>
        </w:rPr>
        <w:t>负责</w:t>
      </w:r>
      <w:r>
        <w:rPr>
          <w:rFonts w:hint="eastAsia" w:ascii="宋体" w:hAnsi="宋体" w:eastAsia="宋体" w:cs="Times New Roman"/>
          <w:sz w:val="24"/>
          <w:szCs w:val="20"/>
          <w:lang w:val="zh-CN"/>
        </w:rPr>
        <w:t>对</w:t>
      </w:r>
      <w:r>
        <w:rPr>
          <w:rFonts w:ascii="宋体" w:hAnsi="宋体" w:eastAsia="宋体" w:cs="Times New Roman"/>
          <w:sz w:val="24"/>
          <w:szCs w:val="20"/>
          <w:lang w:val="zh-CN"/>
        </w:rPr>
        <w:t>开标过程</w:t>
      </w:r>
      <w:r>
        <w:rPr>
          <w:rFonts w:hint="eastAsia" w:ascii="宋体" w:hAnsi="宋体" w:eastAsia="宋体" w:cs="Times New Roman"/>
          <w:sz w:val="24"/>
          <w:szCs w:val="20"/>
          <w:lang w:val="zh-CN"/>
        </w:rPr>
        <w:t>进行</w:t>
      </w:r>
      <w:r>
        <w:rPr>
          <w:rFonts w:ascii="宋体" w:hAnsi="宋体" w:eastAsia="宋体" w:cs="Times New Roman"/>
          <w:sz w:val="24"/>
          <w:szCs w:val="20"/>
          <w:lang w:val="zh-CN"/>
        </w:rPr>
        <w:t>记录，由参加开标的各投标人代表和相关工作人员</w:t>
      </w:r>
      <w:r>
        <w:rPr>
          <w:rFonts w:hint="eastAsia" w:ascii="宋体" w:hAnsi="宋体" w:eastAsia="宋体" w:cs="Times New Roman"/>
          <w:sz w:val="24"/>
          <w:szCs w:val="20"/>
          <w:lang w:val="zh-CN"/>
        </w:rPr>
        <w:t>对开标记录进行</w:t>
      </w:r>
      <w:r>
        <w:rPr>
          <w:rFonts w:ascii="宋体" w:hAnsi="宋体" w:eastAsia="宋体" w:cs="Times New Roman"/>
          <w:sz w:val="24"/>
          <w:szCs w:val="20"/>
          <w:lang w:val="zh-CN"/>
        </w:rPr>
        <w:t>签字确认。</w:t>
      </w:r>
    </w:p>
    <w:p>
      <w:pPr>
        <w:numPr>
          <w:ilvl w:val="0"/>
          <w:numId w:val="25"/>
        </w:numPr>
        <w:spacing w:line="360" w:lineRule="auto"/>
        <w:ind w:left="616" w:hanging="616"/>
        <w:rPr>
          <w:rFonts w:ascii="宋体" w:hAnsi="宋体" w:eastAsia="宋体" w:cs="Times New Roman"/>
          <w:sz w:val="24"/>
          <w:szCs w:val="20"/>
          <w:lang w:val="zh-CN"/>
        </w:rPr>
      </w:pPr>
      <w:r>
        <w:rPr>
          <w:rFonts w:ascii="宋体" w:hAnsi="宋体" w:eastAsia="宋体" w:cs="Times New Roman"/>
          <w:sz w:val="24"/>
          <w:szCs w:val="20"/>
          <w:lang w:val="zh-CN"/>
        </w:rPr>
        <w:t>投标人代表对开标过程和开标记录有疑义，以及认为采购人、</w:t>
      </w:r>
      <w:r>
        <w:rPr>
          <w:rFonts w:hint="eastAsia" w:ascii="宋体" w:hAnsi="宋体" w:eastAsia="宋体" w:cs="Times New Roman"/>
          <w:sz w:val="24"/>
          <w:szCs w:val="20"/>
          <w:lang w:val="zh-CN"/>
        </w:rPr>
        <w:t>集中采购机构</w:t>
      </w:r>
      <w:r>
        <w:rPr>
          <w:rFonts w:ascii="宋体" w:hAnsi="宋体" w:eastAsia="宋体" w:cs="Times New Roman"/>
          <w:sz w:val="24"/>
          <w:szCs w:val="20"/>
          <w:lang w:val="zh-CN"/>
        </w:rPr>
        <w:t>相关工作人员有需要回避的情形的，应当场提出询问或者回避申请。采购人、</w:t>
      </w:r>
      <w:r>
        <w:rPr>
          <w:rFonts w:hint="eastAsia" w:ascii="宋体" w:hAnsi="宋体" w:eastAsia="宋体" w:cs="Times New Roman"/>
          <w:sz w:val="24"/>
          <w:szCs w:val="20"/>
          <w:lang w:val="zh-CN"/>
        </w:rPr>
        <w:t>集中采购机构将</w:t>
      </w:r>
      <w:r>
        <w:rPr>
          <w:rFonts w:ascii="宋体" w:hAnsi="宋体" w:eastAsia="宋体" w:cs="Times New Roman"/>
          <w:sz w:val="24"/>
          <w:szCs w:val="20"/>
          <w:lang w:val="zh-CN"/>
        </w:rPr>
        <w:t>及时处理投标人代表提出的询问或者回避申请。</w:t>
      </w:r>
    </w:p>
    <w:p>
      <w:pPr>
        <w:numPr>
          <w:ilvl w:val="0"/>
          <w:numId w:val="8"/>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资格审查</w:t>
      </w:r>
    </w:p>
    <w:p>
      <w:pPr>
        <w:numPr>
          <w:ilvl w:val="0"/>
          <w:numId w:val="26"/>
        </w:numPr>
        <w:spacing w:line="360" w:lineRule="auto"/>
        <w:ind w:left="616" w:hanging="616"/>
        <w:rPr>
          <w:rFonts w:ascii="Helvetica" w:hAnsi="Helvetica" w:eastAsia="宋体" w:cs="Helvetica"/>
          <w:color w:val="FF0000"/>
          <w:kern w:val="0"/>
          <w:sz w:val="24"/>
          <w:szCs w:val="24"/>
          <w:lang w:val="zh-CN"/>
        </w:rPr>
      </w:pPr>
      <w:r>
        <w:rPr>
          <w:rFonts w:hint="eastAsia" w:ascii="宋体" w:hAnsi="宋体" w:eastAsia="宋体" w:cs="Times New Roman"/>
          <w:bCs/>
          <w:color w:val="FF0000"/>
          <w:sz w:val="24"/>
          <w:szCs w:val="20"/>
          <w:lang w:val="zh-CN"/>
        </w:rPr>
        <w:t>公开招标采购项目开标结束后，采购人依据法律、法规及招标文件的规定，对投标人的资格进行审查，以确定投标人资格是否合格。</w:t>
      </w:r>
      <w:r>
        <w:rPr>
          <w:rFonts w:ascii="Helvetica" w:hAnsi="Helvetica" w:eastAsia="宋体" w:cs="Helvetica"/>
          <w:color w:val="FF0000"/>
          <w:kern w:val="0"/>
          <w:sz w:val="24"/>
          <w:szCs w:val="24"/>
          <w:lang w:val="zh-CN"/>
        </w:rPr>
        <w:t>合格投标人不足</w:t>
      </w:r>
      <w:r>
        <w:rPr>
          <w:rFonts w:ascii="宋体" w:hAnsi="宋体" w:eastAsia="宋体" w:cs="Helvetica"/>
          <w:color w:val="FF0000"/>
          <w:kern w:val="0"/>
          <w:sz w:val="24"/>
          <w:szCs w:val="24"/>
          <w:lang w:val="zh-CN"/>
        </w:rPr>
        <w:t>3</w:t>
      </w:r>
      <w:r>
        <w:rPr>
          <w:rFonts w:ascii="Helvetica" w:hAnsi="Helvetica" w:eastAsia="宋体" w:cs="Helvetica"/>
          <w:color w:val="FF0000"/>
          <w:kern w:val="0"/>
          <w:sz w:val="24"/>
          <w:szCs w:val="24"/>
          <w:lang w:val="zh-CN"/>
        </w:rPr>
        <w:t>家的，不</w:t>
      </w:r>
      <w:r>
        <w:rPr>
          <w:rFonts w:hint="eastAsia" w:ascii="Helvetica" w:hAnsi="Helvetica" w:eastAsia="宋体" w:cs="Helvetica"/>
          <w:color w:val="FF0000"/>
          <w:kern w:val="0"/>
          <w:sz w:val="24"/>
          <w:szCs w:val="24"/>
          <w:lang w:val="zh-CN"/>
        </w:rPr>
        <w:t>进行</w:t>
      </w:r>
      <w:r>
        <w:rPr>
          <w:rFonts w:ascii="Helvetica" w:hAnsi="Helvetica" w:eastAsia="宋体" w:cs="Helvetica"/>
          <w:color w:val="FF0000"/>
          <w:kern w:val="0"/>
          <w:sz w:val="24"/>
          <w:szCs w:val="24"/>
          <w:lang w:val="zh-CN"/>
        </w:rPr>
        <w:t>评标</w:t>
      </w:r>
      <w:r>
        <w:rPr>
          <w:rFonts w:hint="eastAsia" w:ascii="Helvetica" w:hAnsi="Helvetica" w:eastAsia="宋体" w:cs="Helvetica"/>
          <w:color w:val="FF0000"/>
          <w:kern w:val="0"/>
          <w:sz w:val="24"/>
          <w:szCs w:val="24"/>
          <w:lang w:val="zh-CN"/>
        </w:rPr>
        <w:t>。</w:t>
      </w:r>
    </w:p>
    <w:p>
      <w:pPr>
        <w:numPr>
          <w:ilvl w:val="0"/>
          <w:numId w:val="26"/>
        </w:numPr>
        <w:spacing w:line="360" w:lineRule="auto"/>
        <w:ind w:left="616" w:hanging="616"/>
        <w:rPr>
          <w:rFonts w:ascii="宋体" w:hAnsi="宋体" w:eastAsia="宋体" w:cs="Times New Roman"/>
          <w:bCs/>
          <w:sz w:val="24"/>
          <w:szCs w:val="20"/>
          <w:lang w:val="zh-CN"/>
        </w:rPr>
      </w:pPr>
      <w:r>
        <w:rPr>
          <w:rFonts w:hint="eastAsia" w:ascii="宋体" w:hAnsi="宋体" w:eastAsia="宋体" w:cs="Times New Roman"/>
          <w:bCs/>
          <w:sz w:val="24"/>
          <w:szCs w:val="20"/>
          <w:lang w:val="zh-CN"/>
        </w:rPr>
        <w:t>资格审查详见第四章“资格审查方法及标准”。</w:t>
      </w:r>
    </w:p>
    <w:p>
      <w:pPr>
        <w:numPr>
          <w:ilvl w:val="0"/>
          <w:numId w:val="8"/>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评标方法</w:t>
      </w:r>
    </w:p>
    <w:p>
      <w:pPr>
        <w:numPr>
          <w:ilvl w:val="0"/>
          <w:numId w:val="27"/>
        </w:numPr>
        <w:spacing w:line="360" w:lineRule="auto"/>
        <w:ind w:left="616" w:hanging="616"/>
        <w:rPr>
          <w:rFonts w:ascii="宋体" w:hAnsi="宋体" w:eastAsia="宋体" w:cs="Times New Roman"/>
          <w:bCs/>
          <w:sz w:val="24"/>
          <w:szCs w:val="20"/>
          <w:lang w:val="zh-CN"/>
        </w:rPr>
      </w:pPr>
      <w:r>
        <w:rPr>
          <w:rFonts w:hint="eastAsia" w:ascii="宋体" w:hAnsi="宋体" w:eastAsia="宋体" w:cs="Times New Roman"/>
          <w:bCs/>
          <w:sz w:val="24"/>
          <w:szCs w:val="20"/>
          <w:lang w:val="zh-CN"/>
        </w:rPr>
        <w:t>最低评标价法。最低评标价法是指投标文件满足招标文件全部实质性要求，且投标报价最低的投标人为中标候选人的评标方法。</w:t>
      </w:r>
    </w:p>
    <w:p>
      <w:pPr>
        <w:numPr>
          <w:ilvl w:val="0"/>
          <w:numId w:val="27"/>
        </w:numPr>
        <w:spacing w:line="360" w:lineRule="auto"/>
        <w:ind w:left="616" w:hanging="616"/>
        <w:rPr>
          <w:rFonts w:ascii="宋体" w:hAnsi="宋体" w:eastAsia="宋体" w:cs="Times New Roman"/>
          <w:bCs/>
          <w:sz w:val="24"/>
          <w:szCs w:val="20"/>
          <w:lang w:val="zh-CN"/>
        </w:rPr>
      </w:pPr>
      <w:r>
        <w:rPr>
          <w:rFonts w:hint="eastAsia" w:ascii="宋体" w:hAnsi="宋体" w:eastAsia="宋体" w:cs="Times New Roman"/>
          <w:bCs/>
          <w:sz w:val="24"/>
          <w:szCs w:val="20"/>
          <w:lang w:val="zh-CN"/>
        </w:rPr>
        <w:t>综合评分法。</w:t>
      </w:r>
      <w:r>
        <w:rPr>
          <w:rFonts w:ascii="宋体" w:hAnsi="宋体" w:eastAsia="宋体" w:cs="Times New Roman"/>
          <w:bCs/>
          <w:sz w:val="24"/>
          <w:szCs w:val="20"/>
          <w:lang w:val="zh-CN"/>
        </w:rPr>
        <w:t>综合评分法是指投标文件满足招标文件全部实质性要求，且按照评审因素的量化指标评审得分最高的投标人为中标候选人的评标方法。</w:t>
      </w:r>
    </w:p>
    <w:p>
      <w:pPr>
        <w:numPr>
          <w:ilvl w:val="0"/>
          <w:numId w:val="27"/>
        </w:numPr>
        <w:spacing w:line="360" w:lineRule="auto"/>
        <w:ind w:left="616" w:hanging="616"/>
        <w:rPr>
          <w:rFonts w:ascii="宋体" w:hAnsi="宋体" w:eastAsia="宋体" w:cs="Times New Roman"/>
          <w:bCs/>
          <w:sz w:val="24"/>
          <w:szCs w:val="20"/>
          <w:lang w:val="zh-CN"/>
        </w:rPr>
      </w:pPr>
      <w:r>
        <w:rPr>
          <w:rFonts w:hint="eastAsia" w:ascii="Helvetica" w:hAnsi="Helvetica" w:eastAsia="宋体" w:cs="Helvetica"/>
          <w:kern w:val="0"/>
          <w:sz w:val="24"/>
          <w:szCs w:val="24"/>
          <w:lang w:val="zh-CN"/>
        </w:rPr>
        <w:t>评标方法详见第五章“评标方法、程序及标准”</w:t>
      </w:r>
      <w:r>
        <w:rPr>
          <w:rFonts w:hint="eastAsia" w:ascii="宋体" w:hAnsi="宋体" w:eastAsia="宋体" w:cs="Times New Roman"/>
          <w:bCs/>
          <w:sz w:val="24"/>
          <w:szCs w:val="20"/>
          <w:lang w:val="zh-CN"/>
        </w:rPr>
        <w:t>。</w:t>
      </w:r>
    </w:p>
    <w:p>
      <w:pPr>
        <w:numPr>
          <w:ilvl w:val="0"/>
          <w:numId w:val="8"/>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评标委员会的组成</w:t>
      </w:r>
    </w:p>
    <w:p>
      <w:pPr>
        <w:numPr>
          <w:ilvl w:val="0"/>
          <w:numId w:val="28"/>
        </w:numPr>
        <w:spacing w:line="360" w:lineRule="auto"/>
        <w:ind w:left="616" w:hanging="616"/>
        <w:rPr>
          <w:rFonts w:ascii="宋体" w:hAnsi="宋体" w:eastAsia="宋体" w:cs="Times New Roman"/>
          <w:sz w:val="24"/>
          <w:szCs w:val="20"/>
          <w:lang w:val="zh-CN"/>
        </w:rPr>
      </w:pPr>
      <w:r>
        <w:rPr>
          <w:rFonts w:ascii="宋体" w:hAnsi="宋体" w:eastAsia="宋体" w:cs="Helvetica"/>
          <w:kern w:val="0"/>
          <w:sz w:val="24"/>
          <w:szCs w:val="24"/>
          <w:lang w:val="zh-CN"/>
        </w:rPr>
        <w:t>评标委员会由采购人代表和评审专家组成，成员人数应当为5人</w:t>
      </w:r>
      <w:r>
        <w:rPr>
          <w:rFonts w:hint="eastAsia" w:ascii="宋体" w:hAnsi="宋体" w:eastAsia="宋体" w:cs="Helvetica"/>
          <w:kern w:val="0"/>
          <w:sz w:val="24"/>
          <w:szCs w:val="24"/>
          <w:lang w:val="zh-CN"/>
        </w:rPr>
        <w:t>及</w:t>
      </w:r>
      <w:r>
        <w:rPr>
          <w:rFonts w:ascii="宋体" w:hAnsi="宋体" w:eastAsia="宋体" w:cs="Helvetica"/>
          <w:kern w:val="0"/>
          <w:sz w:val="24"/>
          <w:szCs w:val="24"/>
          <w:lang w:val="zh-CN"/>
        </w:rPr>
        <w:t>以上单数，其中评审专家不得少于成员总数的三分之二</w:t>
      </w:r>
      <w:r>
        <w:rPr>
          <w:rFonts w:hint="eastAsia" w:ascii="宋体" w:hAnsi="宋体" w:eastAsia="宋体" w:cs="Helvetica"/>
          <w:kern w:val="0"/>
          <w:sz w:val="24"/>
          <w:szCs w:val="24"/>
          <w:lang w:val="zh-CN"/>
        </w:rPr>
        <w:t>；</w:t>
      </w:r>
      <w:r>
        <w:rPr>
          <w:rFonts w:ascii="宋体" w:hAnsi="宋体" w:eastAsia="宋体" w:cs="Times New Roman"/>
          <w:sz w:val="24"/>
          <w:szCs w:val="20"/>
          <w:lang w:val="zh-CN"/>
        </w:rPr>
        <w:t>采购预算金额在1000万元</w:t>
      </w:r>
      <w:r>
        <w:rPr>
          <w:rFonts w:hint="eastAsia" w:ascii="宋体" w:hAnsi="宋体" w:eastAsia="宋体" w:cs="Times New Roman"/>
          <w:sz w:val="24"/>
          <w:szCs w:val="20"/>
          <w:lang w:val="zh-CN"/>
        </w:rPr>
        <w:t>及</w:t>
      </w:r>
      <w:r>
        <w:rPr>
          <w:rFonts w:ascii="宋体" w:hAnsi="宋体" w:eastAsia="宋体" w:cs="Times New Roman"/>
          <w:sz w:val="24"/>
          <w:szCs w:val="20"/>
          <w:lang w:val="zh-CN"/>
        </w:rPr>
        <w:t>以上</w:t>
      </w:r>
      <w:r>
        <w:rPr>
          <w:rFonts w:hint="eastAsia" w:ascii="宋体" w:hAnsi="宋体" w:eastAsia="宋体" w:cs="Times New Roman"/>
          <w:sz w:val="24"/>
          <w:szCs w:val="20"/>
          <w:lang w:val="zh-CN"/>
        </w:rPr>
        <w:t>、</w:t>
      </w:r>
      <w:r>
        <w:rPr>
          <w:rFonts w:ascii="宋体" w:hAnsi="宋体" w:eastAsia="宋体" w:cs="Times New Roman"/>
          <w:sz w:val="24"/>
          <w:szCs w:val="20"/>
          <w:lang w:val="zh-CN"/>
        </w:rPr>
        <w:t>技术复杂</w:t>
      </w:r>
      <w:r>
        <w:rPr>
          <w:rFonts w:hint="eastAsia" w:ascii="宋体" w:hAnsi="宋体" w:eastAsia="宋体" w:cs="Times New Roman"/>
          <w:sz w:val="24"/>
          <w:szCs w:val="20"/>
          <w:lang w:val="zh-CN"/>
        </w:rPr>
        <w:t>或</w:t>
      </w:r>
      <w:r>
        <w:rPr>
          <w:rFonts w:ascii="宋体" w:hAnsi="宋体" w:eastAsia="宋体" w:cs="Times New Roman"/>
          <w:sz w:val="24"/>
          <w:szCs w:val="20"/>
          <w:lang w:val="zh-CN"/>
        </w:rPr>
        <w:t>社会影响较大</w:t>
      </w:r>
      <w:r>
        <w:rPr>
          <w:rFonts w:hint="eastAsia" w:ascii="宋体" w:hAnsi="宋体" w:eastAsia="宋体" w:cs="Times New Roman"/>
          <w:sz w:val="24"/>
          <w:szCs w:val="20"/>
          <w:lang w:val="zh-CN"/>
        </w:rPr>
        <w:t>的项目，</w:t>
      </w:r>
      <w:r>
        <w:rPr>
          <w:rFonts w:ascii="宋体" w:hAnsi="宋体" w:eastAsia="宋体" w:cs="Times New Roman"/>
          <w:sz w:val="24"/>
          <w:szCs w:val="20"/>
          <w:lang w:val="zh-CN"/>
        </w:rPr>
        <w:t>评标委员会成员人数应当为7人</w:t>
      </w:r>
      <w:r>
        <w:rPr>
          <w:rFonts w:hint="eastAsia" w:ascii="宋体" w:hAnsi="宋体" w:eastAsia="宋体" w:cs="Times New Roman"/>
          <w:sz w:val="24"/>
          <w:szCs w:val="20"/>
          <w:lang w:val="zh-CN"/>
        </w:rPr>
        <w:t>及</w:t>
      </w:r>
      <w:r>
        <w:rPr>
          <w:rFonts w:ascii="宋体" w:hAnsi="宋体" w:eastAsia="宋体" w:cs="Times New Roman"/>
          <w:sz w:val="24"/>
          <w:szCs w:val="20"/>
          <w:lang w:val="zh-CN"/>
        </w:rPr>
        <w:t>以上单数</w:t>
      </w:r>
      <w:r>
        <w:rPr>
          <w:rFonts w:hint="eastAsia" w:ascii="宋体" w:hAnsi="宋体" w:eastAsia="宋体" w:cs="Times New Roman"/>
          <w:sz w:val="24"/>
          <w:szCs w:val="20"/>
          <w:lang w:val="zh-CN"/>
        </w:rPr>
        <w:t>。</w:t>
      </w:r>
    </w:p>
    <w:p>
      <w:pPr>
        <w:numPr>
          <w:ilvl w:val="0"/>
          <w:numId w:val="28"/>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评标委员会成员依法从政府采购专家库中随机抽取。</w:t>
      </w:r>
      <w:r>
        <w:rPr>
          <w:rFonts w:ascii="宋体" w:hAnsi="宋体" w:eastAsia="宋体" w:cs="Times New Roman"/>
          <w:sz w:val="24"/>
          <w:szCs w:val="20"/>
          <w:lang w:val="zh-CN"/>
        </w:rPr>
        <w:t>对技术复杂、专业性强的采购项目，通过随机方式难以确定合适评审专家的，经主管预算单位同意，采购人可以自行选定相应专业领域的评审专家。</w:t>
      </w:r>
    </w:p>
    <w:p>
      <w:pPr>
        <w:numPr>
          <w:ilvl w:val="0"/>
          <w:numId w:val="8"/>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评标程序</w:t>
      </w:r>
    </w:p>
    <w:p>
      <w:pPr>
        <w:numPr>
          <w:ilvl w:val="0"/>
          <w:numId w:val="29"/>
        </w:numPr>
        <w:spacing w:line="360" w:lineRule="auto"/>
        <w:ind w:left="616" w:hanging="616"/>
        <w:rPr>
          <w:rFonts w:ascii="宋体" w:hAnsi="宋体" w:eastAsia="宋体" w:cs="Times New Roman"/>
          <w:sz w:val="24"/>
          <w:szCs w:val="20"/>
          <w:lang w:val="zh-CN"/>
        </w:rPr>
      </w:pPr>
      <w:r>
        <w:rPr>
          <w:rFonts w:ascii="Helvetica" w:hAnsi="Helvetica" w:eastAsia="宋体" w:cs="Helvetica"/>
          <w:kern w:val="0"/>
          <w:sz w:val="24"/>
          <w:szCs w:val="24"/>
          <w:lang w:val="zh-CN"/>
        </w:rPr>
        <w:t>评标委员会负责具体评标事务，并独立履行下列职责：</w:t>
      </w:r>
    </w:p>
    <w:p>
      <w:pPr>
        <w:numPr>
          <w:ilvl w:val="0"/>
          <w:numId w:val="30"/>
        </w:numPr>
        <w:spacing w:line="360" w:lineRule="auto"/>
        <w:ind w:left="980" w:hanging="854"/>
        <w:rPr>
          <w:rFonts w:ascii="宋体" w:hAnsi="宋体" w:eastAsia="宋体" w:cs="Times New Roman"/>
          <w:sz w:val="24"/>
          <w:szCs w:val="20"/>
          <w:lang w:val="zh-CN"/>
        </w:rPr>
      </w:pPr>
      <w:r>
        <w:rPr>
          <w:rFonts w:ascii="宋体" w:hAnsi="宋体" w:eastAsia="宋体" w:cs="Times New Roman"/>
          <w:sz w:val="24"/>
          <w:szCs w:val="20"/>
          <w:lang w:val="zh-CN"/>
        </w:rPr>
        <w:t>审查、评价投标文件是否符合招标文件的商务、技术等实质性要求；</w:t>
      </w:r>
    </w:p>
    <w:p>
      <w:pPr>
        <w:numPr>
          <w:ilvl w:val="0"/>
          <w:numId w:val="30"/>
        </w:numPr>
        <w:spacing w:line="360" w:lineRule="auto"/>
        <w:ind w:left="980" w:hanging="854"/>
        <w:rPr>
          <w:rFonts w:ascii="宋体" w:hAnsi="宋体" w:eastAsia="宋体" w:cs="Times New Roman"/>
          <w:sz w:val="24"/>
          <w:szCs w:val="20"/>
          <w:lang w:val="zh-CN"/>
        </w:rPr>
      </w:pPr>
      <w:r>
        <w:rPr>
          <w:rFonts w:ascii="宋体" w:hAnsi="宋体" w:eastAsia="宋体" w:cs="Times New Roman"/>
          <w:sz w:val="24"/>
          <w:szCs w:val="20"/>
          <w:lang w:val="zh-CN"/>
        </w:rPr>
        <w:t>要求投标人对投标文件有关事项作出澄清或者说明；</w:t>
      </w:r>
    </w:p>
    <w:p>
      <w:pPr>
        <w:numPr>
          <w:ilvl w:val="0"/>
          <w:numId w:val="30"/>
        </w:numPr>
        <w:spacing w:line="360" w:lineRule="auto"/>
        <w:ind w:left="980" w:hanging="854"/>
        <w:rPr>
          <w:rFonts w:ascii="宋体" w:hAnsi="宋体" w:eastAsia="宋体" w:cs="Times New Roman"/>
          <w:sz w:val="24"/>
          <w:szCs w:val="20"/>
          <w:lang w:val="zh-CN"/>
        </w:rPr>
      </w:pPr>
      <w:r>
        <w:rPr>
          <w:rFonts w:ascii="宋体" w:hAnsi="宋体" w:eastAsia="宋体" w:cs="Times New Roman"/>
          <w:sz w:val="24"/>
          <w:szCs w:val="20"/>
          <w:lang w:val="zh-CN"/>
        </w:rPr>
        <w:t>对投标文件进行</w:t>
      </w:r>
      <w:r>
        <w:rPr>
          <w:rFonts w:hint="eastAsia" w:ascii="宋体" w:hAnsi="宋体" w:eastAsia="宋体" w:cs="Times New Roman"/>
          <w:sz w:val="24"/>
          <w:szCs w:val="20"/>
          <w:lang w:val="zh-CN"/>
        </w:rPr>
        <w:t>综合</w:t>
      </w:r>
      <w:r>
        <w:rPr>
          <w:rFonts w:ascii="宋体" w:hAnsi="宋体" w:eastAsia="宋体" w:cs="Times New Roman"/>
          <w:sz w:val="24"/>
          <w:szCs w:val="20"/>
          <w:lang w:val="zh-CN"/>
        </w:rPr>
        <w:t>比较和评价；</w:t>
      </w:r>
    </w:p>
    <w:p>
      <w:pPr>
        <w:numPr>
          <w:ilvl w:val="0"/>
          <w:numId w:val="30"/>
        </w:numPr>
        <w:spacing w:line="360" w:lineRule="auto"/>
        <w:ind w:left="980" w:hanging="854"/>
        <w:rPr>
          <w:rFonts w:ascii="宋体" w:hAnsi="宋体" w:eastAsia="宋体" w:cs="Times New Roman"/>
          <w:sz w:val="24"/>
          <w:szCs w:val="20"/>
          <w:lang w:val="zh-CN"/>
        </w:rPr>
      </w:pPr>
      <w:r>
        <w:rPr>
          <w:rFonts w:hint="eastAsia" w:ascii="宋体" w:hAnsi="宋体" w:eastAsia="宋体" w:cs="Times New Roman"/>
          <w:sz w:val="24"/>
          <w:szCs w:val="20"/>
          <w:lang w:val="zh-CN"/>
        </w:rPr>
        <w:t>确定中标候选人名单或中标人；</w:t>
      </w:r>
    </w:p>
    <w:p>
      <w:pPr>
        <w:numPr>
          <w:ilvl w:val="0"/>
          <w:numId w:val="30"/>
        </w:numPr>
        <w:spacing w:line="360" w:lineRule="auto"/>
        <w:ind w:left="980" w:hanging="854"/>
        <w:rPr>
          <w:rFonts w:ascii="宋体" w:hAnsi="宋体" w:eastAsia="宋体" w:cs="Times New Roman"/>
          <w:sz w:val="24"/>
          <w:szCs w:val="20"/>
          <w:lang w:val="zh-CN"/>
        </w:rPr>
      </w:pPr>
      <w:r>
        <w:rPr>
          <w:rFonts w:ascii="宋体" w:hAnsi="宋体" w:eastAsia="宋体" w:cs="Times New Roman"/>
          <w:sz w:val="24"/>
          <w:szCs w:val="20"/>
          <w:lang w:val="zh-CN"/>
        </w:rPr>
        <w:t>向采购人、</w:t>
      </w:r>
      <w:r>
        <w:rPr>
          <w:rFonts w:hint="eastAsia" w:ascii="宋体" w:hAnsi="宋体" w:eastAsia="宋体" w:cs="Times New Roman"/>
          <w:sz w:val="24"/>
          <w:szCs w:val="20"/>
          <w:lang w:val="zh-CN"/>
        </w:rPr>
        <w:t>集中采购</w:t>
      </w:r>
      <w:r>
        <w:rPr>
          <w:rFonts w:ascii="宋体" w:hAnsi="宋体" w:eastAsia="宋体" w:cs="Times New Roman"/>
          <w:sz w:val="24"/>
          <w:szCs w:val="20"/>
          <w:lang w:val="zh-CN"/>
        </w:rPr>
        <w:t>机构或者有关部门报告评标中发现的违法行为。</w:t>
      </w:r>
    </w:p>
    <w:p>
      <w:pPr>
        <w:numPr>
          <w:ilvl w:val="0"/>
          <w:numId w:val="29"/>
        </w:numPr>
        <w:spacing w:line="360" w:lineRule="auto"/>
        <w:ind w:left="616" w:hanging="616"/>
        <w:rPr>
          <w:rFonts w:ascii="Helvetica" w:hAnsi="Helvetica" w:eastAsia="宋体" w:cs="Helvetica"/>
          <w:kern w:val="0"/>
          <w:sz w:val="24"/>
          <w:szCs w:val="24"/>
          <w:lang w:val="zh-CN"/>
        </w:rPr>
      </w:pPr>
      <w:r>
        <w:rPr>
          <w:rFonts w:hint="eastAsia" w:ascii="Helvetica" w:hAnsi="Helvetica" w:eastAsia="宋体" w:cs="Helvetica"/>
          <w:kern w:val="0"/>
          <w:sz w:val="24"/>
          <w:szCs w:val="24"/>
          <w:lang w:val="zh-CN"/>
        </w:rPr>
        <w:t>评标程序详见第五章“评标方法、程序及标准”。</w:t>
      </w:r>
    </w:p>
    <w:p>
      <w:pPr>
        <w:pStyle w:val="5"/>
        <w:numPr>
          <w:ilvl w:val="0"/>
          <w:numId w:val="7"/>
        </w:numPr>
        <w:spacing w:before="40" w:after="40" w:line="360" w:lineRule="auto"/>
        <w:ind w:left="658" w:hanging="658"/>
        <w:jc w:val="left"/>
        <w:rPr>
          <w:rFonts w:cs="Times New Roman" w:asciiTheme="majorEastAsia" w:hAnsiTheme="majorEastAsia"/>
          <w:bCs w:val="0"/>
          <w:lang w:val="zh-CN"/>
        </w:rPr>
      </w:pPr>
      <w:bookmarkStart w:id="25" w:name="_Toc494561943"/>
      <w:bookmarkStart w:id="26" w:name="_Toc14470"/>
      <w:r>
        <w:rPr>
          <w:rFonts w:hint="eastAsia" w:cs="Times New Roman" w:asciiTheme="majorEastAsia" w:hAnsiTheme="majorEastAsia"/>
          <w:bCs w:val="0"/>
          <w:lang w:val="zh-CN"/>
        </w:rPr>
        <w:t>投标人信用信息及查询</w:t>
      </w:r>
      <w:bookmarkEnd w:id="25"/>
      <w:bookmarkEnd w:id="26"/>
    </w:p>
    <w:p>
      <w:pPr>
        <w:numPr>
          <w:ilvl w:val="0"/>
          <w:numId w:val="8"/>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信用信息查询渠道及使用规则</w:t>
      </w:r>
    </w:p>
    <w:p>
      <w:pPr>
        <w:numPr>
          <w:ilvl w:val="0"/>
          <w:numId w:val="31"/>
        </w:numPr>
        <w:spacing w:line="360" w:lineRule="auto"/>
        <w:ind w:left="616" w:hanging="616"/>
        <w:rPr>
          <w:rFonts w:cs="Helvetica" w:asciiTheme="minorEastAsia" w:hAnsiTheme="minorEastAsia"/>
          <w:kern w:val="0"/>
          <w:sz w:val="24"/>
          <w:szCs w:val="24"/>
          <w:lang w:val="zh-CN"/>
        </w:rPr>
      </w:pPr>
      <w:r>
        <w:rPr>
          <w:rFonts w:hint="eastAsia" w:cs="Helvetica" w:asciiTheme="minorEastAsia" w:hAnsiTheme="minorEastAsia"/>
          <w:kern w:val="0"/>
          <w:sz w:val="24"/>
          <w:szCs w:val="24"/>
          <w:lang w:val="zh-CN"/>
        </w:rPr>
        <w:t>按照《关于在政府采购活动中查询及使用信用记录有关问题的通知》的要求，参与政府采购的投标人，信用记录的查询渠道为“信用中国”网站(www.creditchina.gov.cn)、中国政府采购网(</w:t>
      </w:r>
      <w:r>
        <w:fldChar w:fldCharType="begin"/>
      </w:r>
      <w:r>
        <w:instrText xml:space="preserve"> HYPERLINK "http://www.ccgp.gov.cn" </w:instrText>
      </w:r>
      <w:r>
        <w:fldChar w:fldCharType="separate"/>
      </w:r>
      <w:r>
        <w:rPr>
          <w:rFonts w:hint="eastAsia" w:cs="Helvetica" w:asciiTheme="minorEastAsia" w:hAnsiTheme="minorEastAsia"/>
          <w:kern w:val="0"/>
          <w:sz w:val="24"/>
          <w:szCs w:val="24"/>
          <w:lang w:val="zh-CN"/>
        </w:rPr>
        <w:t>www.ccgp.gov.cn</w:t>
      </w:r>
      <w:r>
        <w:rPr>
          <w:rFonts w:hint="eastAsia" w:cs="Helvetica" w:asciiTheme="minorEastAsia" w:hAnsiTheme="minorEastAsia"/>
          <w:kern w:val="0"/>
          <w:sz w:val="24"/>
          <w:szCs w:val="24"/>
          <w:lang w:val="zh-CN"/>
        </w:rPr>
        <w:fldChar w:fldCharType="end"/>
      </w:r>
      <w:r>
        <w:rPr>
          <w:rFonts w:hint="eastAsia" w:cs="Helvetica" w:asciiTheme="minorEastAsia" w:hAnsiTheme="minorEastAsia"/>
          <w:kern w:val="0"/>
          <w:sz w:val="24"/>
          <w:szCs w:val="24"/>
          <w:lang w:val="zh-CN"/>
        </w:rPr>
        <w:t>)。</w:t>
      </w:r>
    </w:p>
    <w:p>
      <w:pPr>
        <w:numPr>
          <w:ilvl w:val="0"/>
          <w:numId w:val="31"/>
        </w:numPr>
        <w:spacing w:line="360" w:lineRule="auto"/>
        <w:ind w:left="616" w:hanging="616"/>
        <w:rPr>
          <w:rFonts w:cs="Helvetica" w:asciiTheme="minorEastAsia" w:hAnsiTheme="minorEastAsia"/>
          <w:kern w:val="0"/>
          <w:sz w:val="24"/>
          <w:szCs w:val="24"/>
          <w:lang w:val="zh-CN"/>
        </w:rPr>
      </w:pPr>
      <w:r>
        <w:rPr>
          <w:rFonts w:hint="eastAsia" w:cs="Helvetica" w:asciiTheme="minorEastAsia" w:hAnsiTheme="minorEastAsia"/>
          <w:kern w:val="0"/>
          <w:sz w:val="24"/>
          <w:szCs w:val="24"/>
          <w:lang w:val="zh-CN"/>
        </w:rPr>
        <w:t>列入失信被执行人、重大税收违法案件当事人名单、政府采购严重违法失信行为记录名单的供应商，集中采购机构</w:t>
      </w:r>
      <w:r>
        <w:rPr>
          <w:rFonts w:hint="eastAsia" w:cs="Helvetica" w:asciiTheme="minorEastAsia" w:hAnsiTheme="minorEastAsia"/>
          <w:b/>
          <w:kern w:val="0"/>
          <w:sz w:val="24"/>
          <w:szCs w:val="24"/>
          <w:lang w:val="zh-CN"/>
        </w:rPr>
        <w:t>拒绝</w:t>
      </w:r>
      <w:r>
        <w:rPr>
          <w:rFonts w:hint="eastAsia" w:cs="Helvetica" w:asciiTheme="minorEastAsia" w:hAnsiTheme="minorEastAsia"/>
          <w:kern w:val="0"/>
          <w:sz w:val="24"/>
          <w:szCs w:val="24"/>
          <w:lang w:val="zh-CN"/>
        </w:rPr>
        <w:t>其参与政府采购活动。</w:t>
      </w:r>
    </w:p>
    <w:p>
      <w:pPr>
        <w:numPr>
          <w:ilvl w:val="0"/>
          <w:numId w:val="31"/>
        </w:numPr>
        <w:spacing w:line="360" w:lineRule="auto"/>
        <w:ind w:left="616" w:hanging="616"/>
        <w:rPr>
          <w:rFonts w:cs="Helvetica" w:asciiTheme="minorEastAsia" w:hAnsiTheme="minorEastAsia"/>
          <w:kern w:val="0"/>
          <w:sz w:val="24"/>
          <w:szCs w:val="24"/>
          <w:lang w:val="zh-CN"/>
        </w:rPr>
      </w:pPr>
      <w:r>
        <w:rPr>
          <w:rFonts w:hint="eastAsia" w:cs="Helvetica" w:asciiTheme="minorEastAsia" w:hAnsiTheme="minorEastAsia"/>
          <w:kern w:val="0"/>
          <w:sz w:val="24"/>
          <w:szCs w:val="24"/>
          <w:lang w:val="zh-CN"/>
        </w:rPr>
        <w:t>两个及以上自然人、法人或者其他组织组成联合体，以一个供应商的身份共同参加政府采购活动的，应当对所有联合体成员进行信用记录查询，联合体成员存在不良信用记录的，视同联合体存在不良信用信息。</w:t>
      </w:r>
    </w:p>
    <w:p>
      <w:pPr>
        <w:numPr>
          <w:ilvl w:val="0"/>
          <w:numId w:val="31"/>
        </w:numPr>
        <w:spacing w:line="360" w:lineRule="auto"/>
        <w:ind w:left="616" w:hanging="616"/>
        <w:rPr>
          <w:rFonts w:cs="Helvetica" w:asciiTheme="minorEastAsia" w:hAnsiTheme="minorEastAsia"/>
          <w:kern w:val="0"/>
          <w:sz w:val="24"/>
          <w:szCs w:val="24"/>
          <w:lang w:val="zh-CN"/>
        </w:rPr>
      </w:pPr>
      <w:r>
        <w:rPr>
          <w:rFonts w:hint="eastAsia" w:cs="Helvetica" w:asciiTheme="minorEastAsia" w:hAnsiTheme="minorEastAsia"/>
          <w:kern w:val="0"/>
          <w:sz w:val="24"/>
          <w:szCs w:val="24"/>
          <w:lang w:val="zh-CN"/>
        </w:rPr>
        <w:t>投标人的信用记录，最终以评标时的“信用中国”网站发布的信息为准。</w:t>
      </w:r>
    </w:p>
    <w:p>
      <w:pPr>
        <w:numPr>
          <w:ilvl w:val="0"/>
          <w:numId w:val="31"/>
        </w:numPr>
        <w:spacing w:line="360" w:lineRule="auto"/>
        <w:ind w:left="616" w:hanging="616"/>
        <w:rPr>
          <w:rFonts w:cs="Helvetica" w:asciiTheme="minorEastAsia" w:hAnsiTheme="minorEastAsia"/>
          <w:kern w:val="0"/>
          <w:sz w:val="24"/>
          <w:szCs w:val="24"/>
          <w:lang w:val="zh-CN"/>
        </w:rPr>
      </w:pPr>
      <w:r>
        <w:rPr>
          <w:rFonts w:hint="eastAsia" w:cs="Helvetica" w:asciiTheme="minorEastAsia" w:hAnsiTheme="minorEastAsia"/>
          <w:kern w:val="0"/>
          <w:sz w:val="24"/>
          <w:szCs w:val="24"/>
          <w:lang w:val="zh-CN"/>
        </w:rPr>
        <w:t>在资格审查与评标工作未同日进行的特殊情形下，集中采购机构工作人员在评标时对投标人的信用信息进行复核，发现评标当日存在不良信用信息的，由评标委员会按照符合性审查不合格作</w:t>
      </w:r>
      <w:r>
        <w:rPr>
          <w:rFonts w:hint="eastAsia" w:cs="Helvetica" w:asciiTheme="minorEastAsia" w:hAnsiTheme="minorEastAsia"/>
          <w:b/>
          <w:kern w:val="0"/>
          <w:sz w:val="24"/>
          <w:szCs w:val="24"/>
          <w:lang w:val="zh-CN"/>
        </w:rPr>
        <w:t>无效投标处理</w:t>
      </w:r>
      <w:r>
        <w:rPr>
          <w:rFonts w:hint="eastAsia" w:cs="Helvetica" w:asciiTheme="minorEastAsia" w:hAnsiTheme="minorEastAsia"/>
          <w:kern w:val="0"/>
          <w:sz w:val="24"/>
          <w:szCs w:val="24"/>
          <w:lang w:val="zh-CN"/>
        </w:rPr>
        <w:t>。</w:t>
      </w:r>
    </w:p>
    <w:p>
      <w:pPr>
        <w:pStyle w:val="5"/>
        <w:numPr>
          <w:ilvl w:val="0"/>
          <w:numId w:val="7"/>
        </w:numPr>
        <w:spacing w:before="40" w:after="40" w:line="360" w:lineRule="auto"/>
        <w:ind w:left="658" w:hanging="658"/>
        <w:jc w:val="left"/>
        <w:rPr>
          <w:rFonts w:cs="Times New Roman" w:asciiTheme="majorEastAsia" w:hAnsiTheme="majorEastAsia"/>
          <w:bCs w:val="0"/>
          <w:lang w:val="zh-CN"/>
        </w:rPr>
      </w:pPr>
      <w:bookmarkStart w:id="27" w:name="_Toc494561944"/>
      <w:bookmarkStart w:id="28" w:name="_Toc28526"/>
      <w:r>
        <w:rPr>
          <w:rFonts w:cs="Times New Roman" w:asciiTheme="majorEastAsia" w:hAnsiTheme="majorEastAsia"/>
          <w:bCs w:val="0"/>
          <w:lang w:val="zh-CN"/>
        </w:rPr>
        <w:t>中标</w:t>
      </w:r>
      <w:r>
        <w:rPr>
          <w:rFonts w:hint="eastAsia" w:cs="Times New Roman" w:asciiTheme="majorEastAsia" w:hAnsiTheme="majorEastAsia"/>
          <w:bCs w:val="0"/>
          <w:lang w:val="zh-CN"/>
        </w:rPr>
        <w:t>与</w:t>
      </w:r>
      <w:r>
        <w:rPr>
          <w:rFonts w:cs="Times New Roman" w:asciiTheme="majorEastAsia" w:hAnsiTheme="majorEastAsia"/>
          <w:bCs w:val="0"/>
          <w:lang w:val="zh-CN"/>
        </w:rPr>
        <w:t>合同</w:t>
      </w:r>
      <w:bookmarkEnd w:id="27"/>
      <w:bookmarkEnd w:id="28"/>
    </w:p>
    <w:p>
      <w:pPr>
        <w:numPr>
          <w:ilvl w:val="0"/>
          <w:numId w:val="8"/>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确定中标人</w:t>
      </w:r>
    </w:p>
    <w:p>
      <w:pPr>
        <w:numPr>
          <w:ilvl w:val="0"/>
          <w:numId w:val="32"/>
        </w:numPr>
        <w:spacing w:line="360" w:lineRule="auto"/>
        <w:ind w:left="616" w:hanging="616"/>
        <w:rPr>
          <w:rFonts w:ascii="宋体" w:hAnsi="宋体" w:eastAsia="宋体" w:cs="Times New Roman"/>
          <w:sz w:val="24"/>
          <w:szCs w:val="20"/>
          <w:lang w:val="zh-CN"/>
        </w:rPr>
      </w:pPr>
      <w:r>
        <w:rPr>
          <w:rFonts w:ascii="Helvetica" w:hAnsi="Helvetica" w:eastAsia="宋体" w:cs="Helvetica"/>
          <w:kern w:val="0"/>
          <w:sz w:val="24"/>
          <w:szCs w:val="24"/>
          <w:lang w:val="zh-CN"/>
        </w:rPr>
        <w:t>采购人收到评标报告</w:t>
      </w:r>
      <w:r>
        <w:rPr>
          <w:rFonts w:ascii="宋体" w:hAnsi="宋体" w:eastAsia="宋体" w:cs="Helvetica"/>
          <w:kern w:val="0"/>
          <w:sz w:val="24"/>
          <w:szCs w:val="24"/>
          <w:lang w:val="zh-CN"/>
        </w:rPr>
        <w:t>5个工作日内，</w:t>
      </w:r>
      <w:r>
        <w:rPr>
          <w:rFonts w:hint="eastAsia" w:ascii="宋体" w:hAnsi="宋体" w:eastAsia="宋体" w:cs="Helvetica"/>
          <w:kern w:val="0"/>
          <w:sz w:val="24"/>
          <w:szCs w:val="24"/>
          <w:lang w:val="zh-CN"/>
        </w:rPr>
        <w:t>按</w:t>
      </w:r>
      <w:r>
        <w:rPr>
          <w:rFonts w:ascii="宋体" w:hAnsi="宋体" w:eastAsia="宋体" w:cs="Helvetica"/>
          <w:kern w:val="0"/>
          <w:sz w:val="24"/>
          <w:szCs w:val="24"/>
          <w:lang w:val="zh-CN"/>
        </w:rPr>
        <w:t>评标报告推荐的中标候选人顺序确定中标人。</w:t>
      </w:r>
    </w:p>
    <w:p>
      <w:pPr>
        <w:numPr>
          <w:ilvl w:val="0"/>
          <w:numId w:val="32"/>
        </w:numPr>
        <w:spacing w:line="360" w:lineRule="auto"/>
        <w:ind w:left="616" w:hanging="616"/>
        <w:rPr>
          <w:rFonts w:ascii="宋体" w:hAnsi="宋体" w:eastAsia="宋体" w:cs="Times New Roman"/>
          <w:sz w:val="24"/>
          <w:szCs w:val="20"/>
          <w:lang w:val="zh-CN"/>
        </w:rPr>
      </w:pPr>
      <w:r>
        <w:rPr>
          <w:rFonts w:ascii="Helvetica" w:hAnsi="Helvetica" w:eastAsia="宋体" w:cs="Helvetica"/>
          <w:kern w:val="0"/>
          <w:sz w:val="24"/>
          <w:szCs w:val="24"/>
          <w:lang w:val="zh-CN"/>
        </w:rPr>
        <w:t>中标候选人并列的</w:t>
      </w:r>
      <w:r>
        <w:rPr>
          <w:rFonts w:hint="eastAsia" w:ascii="Helvetica" w:hAnsi="Helvetica" w:eastAsia="宋体" w:cs="Helvetica"/>
          <w:kern w:val="0"/>
          <w:sz w:val="24"/>
          <w:szCs w:val="24"/>
          <w:lang w:val="zh-CN"/>
        </w:rPr>
        <w:t>：</w:t>
      </w:r>
    </w:p>
    <w:p>
      <w:pPr>
        <w:numPr>
          <w:ilvl w:val="0"/>
          <w:numId w:val="33"/>
        </w:numPr>
        <w:spacing w:line="360" w:lineRule="auto"/>
        <w:ind w:left="980" w:hanging="854"/>
        <w:rPr>
          <w:rFonts w:ascii="宋体" w:hAnsi="宋体" w:eastAsia="宋体" w:cs="Times New Roman"/>
          <w:sz w:val="24"/>
          <w:szCs w:val="20"/>
          <w:lang w:val="zh-CN"/>
        </w:rPr>
      </w:pPr>
      <w:r>
        <w:rPr>
          <w:rFonts w:hint="eastAsia" w:ascii="宋体" w:hAnsi="宋体" w:eastAsia="宋体" w:cs="Times New Roman"/>
          <w:sz w:val="24"/>
          <w:szCs w:val="20"/>
          <w:lang w:val="zh-CN"/>
        </w:rPr>
        <w:t>采用最低评标价法的，评标结果按投标报价由低到高顺序排列。投标报价相同 的并列，</w:t>
      </w:r>
      <w:r>
        <w:rPr>
          <w:rFonts w:ascii="宋体" w:hAnsi="宋体" w:eastAsia="宋体" w:cs="Times New Roman"/>
          <w:sz w:val="24"/>
          <w:szCs w:val="20"/>
          <w:lang w:val="zh-CN"/>
        </w:rPr>
        <w:t>由采购人</w:t>
      </w:r>
      <w:r>
        <w:rPr>
          <w:rFonts w:hint="eastAsia" w:ascii="宋体" w:hAnsi="宋体" w:eastAsia="宋体" w:cs="Times New Roman"/>
          <w:sz w:val="24"/>
          <w:szCs w:val="20"/>
          <w:lang w:val="zh-CN"/>
        </w:rPr>
        <w:t>确定</w:t>
      </w:r>
      <w:r>
        <w:rPr>
          <w:rFonts w:ascii="宋体" w:hAnsi="宋体" w:eastAsia="宋体" w:cs="Times New Roman"/>
          <w:sz w:val="24"/>
          <w:szCs w:val="20"/>
          <w:lang w:val="zh-CN"/>
        </w:rPr>
        <w:t>或者采购人委托评标委员会</w:t>
      </w:r>
      <w:r>
        <w:rPr>
          <w:rFonts w:hint="eastAsia" w:ascii="宋体" w:hAnsi="宋体" w:eastAsia="宋体" w:cs="Times New Roman"/>
          <w:sz w:val="24"/>
          <w:szCs w:val="20"/>
          <w:lang w:val="zh-CN"/>
        </w:rPr>
        <w:t>以投票方式</w:t>
      </w:r>
      <w:r>
        <w:rPr>
          <w:rFonts w:ascii="宋体" w:hAnsi="宋体" w:eastAsia="宋体" w:cs="Times New Roman"/>
          <w:sz w:val="24"/>
          <w:szCs w:val="20"/>
          <w:lang w:val="zh-CN"/>
        </w:rPr>
        <w:t>确定中标人。</w:t>
      </w:r>
    </w:p>
    <w:p>
      <w:pPr>
        <w:numPr>
          <w:ilvl w:val="0"/>
          <w:numId w:val="33"/>
        </w:numPr>
        <w:spacing w:line="360" w:lineRule="auto"/>
        <w:ind w:left="980" w:hanging="854"/>
        <w:rPr>
          <w:rFonts w:ascii="宋体" w:hAnsi="宋体" w:eastAsia="宋体" w:cs="Times New Roman"/>
          <w:sz w:val="24"/>
          <w:szCs w:val="20"/>
          <w:lang w:val="zh-CN"/>
        </w:rPr>
      </w:pPr>
      <w:r>
        <w:rPr>
          <w:rFonts w:hint="eastAsia" w:ascii="宋体" w:hAnsi="宋体" w:eastAsia="宋体" w:cs="Times New Roman"/>
          <w:sz w:val="24"/>
          <w:szCs w:val="20"/>
          <w:lang w:val="zh-CN"/>
        </w:rPr>
        <w:t>采用综合评分法的，评标结果按评审后得分由高到低顺序排列。得分相同的，按投标报价由低到高顺序排列。得分且投标报价相同的并列，</w:t>
      </w:r>
      <w:r>
        <w:rPr>
          <w:rFonts w:ascii="宋体" w:hAnsi="宋体" w:eastAsia="宋体" w:cs="Times New Roman"/>
          <w:sz w:val="24"/>
          <w:szCs w:val="20"/>
          <w:lang w:val="zh-CN"/>
        </w:rPr>
        <w:t>由采购人</w:t>
      </w:r>
      <w:r>
        <w:rPr>
          <w:rFonts w:hint="eastAsia" w:ascii="宋体" w:hAnsi="宋体" w:eastAsia="宋体" w:cs="Times New Roman"/>
          <w:sz w:val="24"/>
          <w:szCs w:val="20"/>
          <w:lang w:val="zh-CN"/>
        </w:rPr>
        <w:t>确定</w:t>
      </w:r>
      <w:r>
        <w:rPr>
          <w:rFonts w:ascii="宋体" w:hAnsi="宋体" w:eastAsia="宋体" w:cs="Times New Roman"/>
          <w:sz w:val="24"/>
          <w:szCs w:val="20"/>
          <w:lang w:val="zh-CN"/>
        </w:rPr>
        <w:t>或者采购人委托评标委员会</w:t>
      </w:r>
      <w:r>
        <w:rPr>
          <w:rFonts w:hint="eastAsia" w:ascii="宋体" w:hAnsi="宋体" w:eastAsia="宋体" w:cs="Times New Roman"/>
          <w:sz w:val="24"/>
          <w:szCs w:val="20"/>
          <w:lang w:val="zh-CN"/>
        </w:rPr>
        <w:t>以投票方式</w:t>
      </w:r>
      <w:r>
        <w:rPr>
          <w:rFonts w:ascii="宋体" w:hAnsi="宋体" w:eastAsia="宋体" w:cs="Times New Roman"/>
          <w:sz w:val="24"/>
          <w:szCs w:val="20"/>
          <w:lang w:val="zh-CN"/>
        </w:rPr>
        <w:t>确定中标人。</w:t>
      </w:r>
    </w:p>
    <w:p>
      <w:pPr>
        <w:numPr>
          <w:ilvl w:val="0"/>
          <w:numId w:val="32"/>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中标人的数量有其他规定的，按招标文件相关规定执行。</w:t>
      </w:r>
    </w:p>
    <w:p>
      <w:pPr>
        <w:numPr>
          <w:ilvl w:val="0"/>
          <w:numId w:val="32"/>
        </w:numPr>
        <w:spacing w:line="360" w:lineRule="auto"/>
        <w:ind w:left="616" w:hanging="616"/>
        <w:rPr>
          <w:rFonts w:ascii="宋体" w:hAnsi="宋体" w:eastAsia="宋体" w:cs="Times New Roman"/>
          <w:strike/>
          <w:sz w:val="24"/>
          <w:szCs w:val="20"/>
          <w:lang w:val="zh-CN"/>
        </w:rPr>
      </w:pPr>
      <w:r>
        <w:rPr>
          <w:rFonts w:hint="eastAsia" w:ascii="宋体" w:hAnsi="宋体" w:eastAsia="宋体" w:cs="Times New Roman"/>
          <w:sz w:val="24"/>
          <w:szCs w:val="20"/>
          <w:lang w:val="zh-CN"/>
        </w:rPr>
        <w:t>中标人确定后，集中采购机构在政府采购监管部门指定的媒体上发布中标公告，同时向中标人和采购人发出《中标通知书》。《中标通知书》是政府采购合同的组成部分,对中标人和采购人具有同等法律效力。</w:t>
      </w:r>
    </w:p>
    <w:p>
      <w:pPr>
        <w:numPr>
          <w:ilvl w:val="0"/>
          <w:numId w:val="32"/>
        </w:numPr>
        <w:spacing w:line="360" w:lineRule="auto"/>
        <w:ind w:left="616" w:hanging="616"/>
        <w:rPr>
          <w:rFonts w:ascii="宋体" w:hAnsi="宋体" w:eastAsia="宋体" w:cs="Times New Roman"/>
          <w:strike/>
          <w:sz w:val="24"/>
          <w:szCs w:val="20"/>
          <w:lang w:val="zh-CN"/>
        </w:rPr>
      </w:pPr>
      <w:r>
        <w:rPr>
          <w:rFonts w:ascii="Helvetica" w:hAnsi="Helvetica" w:eastAsia="宋体" w:cs="Helvetica"/>
          <w:kern w:val="0"/>
          <w:sz w:val="24"/>
          <w:szCs w:val="24"/>
          <w:lang w:val="zh-CN"/>
        </w:rPr>
        <w:t>中标通知书发出后，采购人不得违法改变中标结果，中标人无正当理由不得放弃中标。</w:t>
      </w:r>
    </w:p>
    <w:p>
      <w:pPr>
        <w:numPr>
          <w:ilvl w:val="0"/>
          <w:numId w:val="32"/>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中标人拒绝与采购人签订合同的，采购人可以按照评标报告推荐的中标候选人名单排序，确定下一候选人为中标人，也可以重新开展政府采购活动。</w:t>
      </w:r>
    </w:p>
    <w:p>
      <w:pPr>
        <w:numPr>
          <w:ilvl w:val="0"/>
          <w:numId w:val="8"/>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合同授予</w:t>
      </w:r>
    </w:p>
    <w:p>
      <w:pPr>
        <w:spacing w:line="360" w:lineRule="auto"/>
        <w:ind w:firstLine="480" w:firstLineChars="200"/>
        <w:rPr>
          <w:rFonts w:ascii="宋体" w:hAnsi="宋体" w:eastAsia="宋体" w:cs="Times New Roman"/>
          <w:sz w:val="24"/>
          <w:szCs w:val="20"/>
          <w:lang w:val="zh-CN"/>
        </w:rPr>
      </w:pPr>
      <w:r>
        <w:rPr>
          <w:rFonts w:hint="eastAsia" w:ascii="宋体" w:hAnsi="宋体" w:eastAsia="宋体" w:cs="Times New Roman"/>
          <w:sz w:val="24"/>
          <w:szCs w:val="20"/>
          <w:lang w:val="zh-CN"/>
        </w:rPr>
        <w:t>除本章“确定中标人”规定及其他法律规定的情形外，采购人把合同授予被确定为实质上响应招标文件要求且排名第一的中标人。</w:t>
      </w:r>
    </w:p>
    <w:p>
      <w:pPr>
        <w:numPr>
          <w:ilvl w:val="0"/>
          <w:numId w:val="8"/>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合同签订</w:t>
      </w:r>
    </w:p>
    <w:p>
      <w:pPr>
        <w:numPr>
          <w:ilvl w:val="0"/>
          <w:numId w:val="34"/>
        </w:numPr>
        <w:spacing w:line="360" w:lineRule="auto"/>
        <w:ind w:left="616" w:hanging="616"/>
        <w:rPr>
          <w:rFonts w:ascii="宋体" w:hAnsi="宋体" w:eastAsia="宋体" w:cs="Times New Roman"/>
          <w:sz w:val="24"/>
          <w:szCs w:val="20"/>
          <w:lang w:val="zh-CN"/>
        </w:rPr>
      </w:pPr>
      <w:bookmarkStart w:id="29" w:name="_Toc278891597"/>
      <w:bookmarkStart w:id="30" w:name="_Toc272247700"/>
      <w:r>
        <w:rPr>
          <w:rFonts w:ascii="宋体" w:hAnsi="宋体" w:eastAsia="宋体" w:cs="Times New Roman"/>
          <w:sz w:val="24"/>
          <w:szCs w:val="20"/>
          <w:lang w:val="zh-CN"/>
        </w:rPr>
        <w:t>采购人应当自中标通知书发出之日起30日内，按照招标文件</w:t>
      </w:r>
      <w:r>
        <w:rPr>
          <w:rFonts w:hint="eastAsia" w:ascii="宋体" w:hAnsi="宋体" w:eastAsia="宋体" w:cs="Times New Roman"/>
          <w:sz w:val="24"/>
          <w:szCs w:val="20"/>
          <w:lang w:val="zh-CN"/>
        </w:rPr>
        <w:t>规定</w:t>
      </w:r>
      <w:r>
        <w:rPr>
          <w:rFonts w:ascii="宋体" w:hAnsi="宋体" w:eastAsia="宋体" w:cs="Times New Roman"/>
          <w:sz w:val="24"/>
          <w:szCs w:val="20"/>
          <w:lang w:val="zh-CN"/>
        </w:rPr>
        <w:t>和中标人投标文件的</w:t>
      </w:r>
      <w:r>
        <w:rPr>
          <w:rFonts w:hint="eastAsia" w:ascii="宋体" w:hAnsi="宋体" w:eastAsia="宋体" w:cs="Times New Roman"/>
          <w:sz w:val="24"/>
          <w:szCs w:val="20"/>
          <w:lang w:val="zh-CN"/>
        </w:rPr>
        <w:t>承诺</w:t>
      </w:r>
      <w:r>
        <w:rPr>
          <w:rFonts w:ascii="宋体" w:hAnsi="宋体" w:eastAsia="宋体" w:cs="Times New Roman"/>
          <w:sz w:val="24"/>
          <w:szCs w:val="20"/>
          <w:lang w:val="zh-CN"/>
        </w:rPr>
        <w:t>，与中标人签订书面合同。所签订的合同不得对招标文件确定的事项和中标人投标文件作实质性修改。</w:t>
      </w:r>
    </w:p>
    <w:p>
      <w:pPr>
        <w:numPr>
          <w:ilvl w:val="0"/>
          <w:numId w:val="34"/>
        </w:numPr>
        <w:tabs>
          <w:tab w:val="left" w:pos="616"/>
        </w:tabs>
        <w:spacing w:line="360" w:lineRule="auto"/>
        <w:ind w:left="616" w:hanging="616"/>
        <w:rPr>
          <w:rFonts w:ascii="宋体" w:hAnsi="宋体" w:eastAsia="宋体" w:cs="Times New Roman"/>
          <w:sz w:val="24"/>
          <w:szCs w:val="20"/>
          <w:lang w:val="zh-CN"/>
        </w:rPr>
      </w:pPr>
      <w:r>
        <w:rPr>
          <w:rFonts w:ascii="Helvetica" w:hAnsi="Helvetica" w:eastAsia="宋体" w:cs="Helvetica"/>
          <w:kern w:val="0"/>
          <w:sz w:val="24"/>
          <w:szCs w:val="24"/>
          <w:lang w:val="zh-CN"/>
        </w:rPr>
        <w:t>采购人不得向中标人提出任何不合理的要求作为签订合同的条件。</w:t>
      </w:r>
    </w:p>
    <w:p>
      <w:pPr>
        <w:numPr>
          <w:ilvl w:val="0"/>
          <w:numId w:val="34"/>
        </w:numPr>
        <w:tabs>
          <w:tab w:val="left" w:pos="616"/>
        </w:tabs>
        <w:spacing w:line="360" w:lineRule="auto"/>
        <w:ind w:left="616" w:hanging="616"/>
        <w:rPr>
          <w:rFonts w:ascii="宋体" w:hAnsi="宋体" w:eastAsia="宋体" w:cs="Times New Roman"/>
          <w:sz w:val="24"/>
          <w:szCs w:val="20"/>
          <w:lang w:val="zh-CN"/>
        </w:rPr>
      </w:pPr>
      <w:r>
        <w:rPr>
          <w:rFonts w:ascii="宋体" w:hAnsi="宋体" w:eastAsia="宋体" w:cs="Times New Roman"/>
          <w:sz w:val="24"/>
          <w:szCs w:val="20"/>
          <w:lang w:val="zh-CN"/>
        </w:rPr>
        <w:t>政府采购合同应当包括采购人与中标人的名称和住所、标的、数量、质量、价款或者报酬、履行期限及地点和方式、验收要求、违约责任、解决争议的方法等内容。</w:t>
      </w:r>
    </w:p>
    <w:p>
      <w:pPr>
        <w:numPr>
          <w:ilvl w:val="0"/>
          <w:numId w:val="34"/>
        </w:numPr>
        <w:tabs>
          <w:tab w:val="left" w:pos="616"/>
        </w:tabs>
        <w:spacing w:line="360" w:lineRule="auto"/>
        <w:ind w:left="616" w:hanging="616"/>
        <w:rPr>
          <w:rFonts w:ascii="宋体" w:hAnsi="宋体" w:eastAsia="宋体" w:cs="Times New Roman"/>
          <w:sz w:val="24"/>
          <w:szCs w:val="20"/>
          <w:lang w:val="zh-CN"/>
        </w:rPr>
      </w:pPr>
      <w:r>
        <w:rPr>
          <w:rFonts w:ascii="Helvetica" w:hAnsi="Helvetica" w:eastAsia="宋体" w:cs="Helvetica"/>
          <w:kern w:val="0"/>
          <w:sz w:val="24"/>
          <w:szCs w:val="24"/>
          <w:lang w:val="zh-CN"/>
        </w:rPr>
        <w:t>采购人与中标人应当根据合同的约定依法履行合同义务。政府采购合同的履行、违约责任和解决争议的方法等适用《中华人民共和国合同法》。</w:t>
      </w:r>
    </w:p>
    <w:p>
      <w:pPr>
        <w:numPr>
          <w:ilvl w:val="0"/>
          <w:numId w:val="34"/>
        </w:numPr>
        <w:tabs>
          <w:tab w:val="left" w:pos="616"/>
        </w:tabs>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rPr>
        <w:t>采购人应当自政府采购合同签订之日起2个工作日内，将政府采购合同在省级以上人民政府财政部门指定的媒体上公告，但政府采购合同中涉及国家秘密、商业秘密的内容除外。</w:t>
      </w:r>
    </w:p>
    <w:p>
      <w:pPr>
        <w:numPr>
          <w:ilvl w:val="0"/>
          <w:numId w:val="34"/>
        </w:numPr>
        <w:tabs>
          <w:tab w:val="left" w:pos="616"/>
        </w:tabs>
        <w:spacing w:line="360" w:lineRule="auto"/>
        <w:ind w:left="616" w:hanging="616"/>
        <w:rPr>
          <w:rFonts w:ascii="宋体" w:hAnsi="宋体" w:eastAsia="宋体" w:cs="Times New Roman"/>
          <w:sz w:val="24"/>
          <w:szCs w:val="20"/>
          <w:lang w:val="zh-CN"/>
        </w:rPr>
      </w:pPr>
      <w:r>
        <w:rPr>
          <w:rFonts w:ascii="Helvetica" w:hAnsi="Helvetica" w:eastAsia="宋体" w:cs="Helvetica"/>
          <w:kern w:val="0"/>
          <w:sz w:val="24"/>
          <w:szCs w:val="24"/>
          <w:lang w:val="zh-CN"/>
        </w:rPr>
        <w:t>采购人应当加强对中标人的履约管理，并按照采购合同约定，及时向中标人支付采购资金。对于中标人违反采购合同约定的行为，采购人应当及时处理，依法追究其违约责任。</w:t>
      </w:r>
    </w:p>
    <w:p>
      <w:pPr>
        <w:pStyle w:val="5"/>
        <w:numPr>
          <w:ilvl w:val="0"/>
          <w:numId w:val="7"/>
        </w:numPr>
        <w:spacing w:before="40" w:after="40" w:line="360" w:lineRule="auto"/>
        <w:ind w:left="658" w:hanging="658"/>
        <w:jc w:val="left"/>
        <w:rPr>
          <w:rFonts w:cs="Times New Roman" w:asciiTheme="majorEastAsia" w:hAnsiTheme="majorEastAsia"/>
          <w:bCs w:val="0"/>
          <w:lang w:val="zh-CN"/>
        </w:rPr>
      </w:pPr>
      <w:bookmarkStart w:id="31" w:name="_Toc494561945"/>
      <w:bookmarkStart w:id="32" w:name="_Toc12050"/>
      <w:r>
        <w:rPr>
          <w:rFonts w:hint="eastAsia" w:cs="Times New Roman" w:asciiTheme="majorEastAsia" w:hAnsiTheme="majorEastAsia"/>
          <w:bCs w:val="0"/>
          <w:lang w:val="zh-CN"/>
        </w:rPr>
        <w:t>采购信息公告</w:t>
      </w:r>
      <w:bookmarkEnd w:id="31"/>
      <w:bookmarkEnd w:id="32"/>
    </w:p>
    <w:p>
      <w:pPr>
        <w:numPr>
          <w:ilvl w:val="0"/>
          <w:numId w:val="8"/>
        </w:numPr>
        <w:spacing w:line="360" w:lineRule="auto"/>
        <w:ind w:left="560" w:hanging="560"/>
        <w:rPr>
          <w:rFonts w:ascii="宋体" w:hAnsi="宋体" w:eastAsia="宋体" w:cs="Helvetica"/>
          <w:b/>
          <w:color w:val="0D0D0D"/>
          <w:kern w:val="0"/>
          <w:sz w:val="24"/>
          <w:szCs w:val="24"/>
          <w:lang w:val="zh-CN"/>
        </w:rPr>
      </w:pPr>
      <w:r>
        <w:rPr>
          <w:rFonts w:hint="eastAsia" w:ascii="宋体" w:hAnsi="宋体" w:eastAsia="宋体" w:cs="Helvetica"/>
          <w:b/>
          <w:color w:val="0D0D0D"/>
          <w:kern w:val="0"/>
          <w:sz w:val="24"/>
          <w:szCs w:val="24"/>
          <w:lang w:val="zh-CN"/>
        </w:rPr>
        <w:t>公告的媒体及规定</w:t>
      </w:r>
    </w:p>
    <w:p>
      <w:pPr>
        <w:numPr>
          <w:ilvl w:val="0"/>
          <w:numId w:val="35"/>
        </w:numPr>
        <w:tabs>
          <w:tab w:val="left" w:pos="616"/>
        </w:tabs>
        <w:spacing w:line="360" w:lineRule="auto"/>
        <w:ind w:left="616" w:hanging="616"/>
        <w:rPr>
          <w:rFonts w:cs="Helvetica" w:asciiTheme="minorEastAsia" w:hAnsiTheme="minorEastAsia"/>
          <w:color w:val="FF0000"/>
          <w:kern w:val="0"/>
          <w:sz w:val="24"/>
          <w:szCs w:val="24"/>
          <w:lang w:val="zh-CN"/>
        </w:rPr>
      </w:pPr>
      <w:r>
        <w:rPr>
          <w:rFonts w:hint="eastAsia" w:cs="Helvetica" w:asciiTheme="minorEastAsia" w:hAnsiTheme="minorEastAsia"/>
          <w:color w:val="FF0000"/>
          <w:kern w:val="0"/>
          <w:sz w:val="24"/>
          <w:szCs w:val="24"/>
          <w:lang w:val="zh-CN"/>
        </w:rPr>
        <w:t>集中采购机构在招标活动中的公告、补充、更正、结果等采购信息均依法在政府采购监管部门指定媒体上（中国湖北政府采购网http://www.ccgp-hubei.gov.cn/）发布。</w:t>
      </w:r>
    </w:p>
    <w:p>
      <w:pPr>
        <w:numPr>
          <w:ilvl w:val="0"/>
          <w:numId w:val="35"/>
        </w:numPr>
        <w:tabs>
          <w:tab w:val="left" w:pos="616"/>
        </w:tabs>
        <w:spacing w:line="360" w:lineRule="auto"/>
        <w:ind w:left="616" w:hanging="616"/>
        <w:rPr>
          <w:rFonts w:cs="Helvetica" w:asciiTheme="minorEastAsia" w:hAnsiTheme="minorEastAsia"/>
          <w:kern w:val="0"/>
          <w:sz w:val="24"/>
          <w:szCs w:val="24"/>
          <w:lang w:val="zh-CN"/>
        </w:rPr>
      </w:pPr>
      <w:r>
        <w:rPr>
          <w:rFonts w:hint="eastAsia" w:cs="Helvetica" w:asciiTheme="minorEastAsia" w:hAnsiTheme="minorEastAsia"/>
          <w:kern w:val="0"/>
          <w:sz w:val="24"/>
          <w:szCs w:val="24"/>
          <w:lang w:val="zh-CN"/>
        </w:rPr>
        <w:t>集中采购机构在自</w:t>
      </w:r>
      <w:r>
        <w:rPr>
          <w:rFonts w:cs="Helvetica" w:asciiTheme="minorEastAsia" w:hAnsiTheme="minorEastAsia"/>
          <w:kern w:val="0"/>
          <w:sz w:val="24"/>
          <w:szCs w:val="24"/>
          <w:lang w:val="zh-CN"/>
        </w:rPr>
        <w:t>中标人确定之日起2个工作日内，</w:t>
      </w:r>
      <w:r>
        <w:rPr>
          <w:rFonts w:hint="eastAsia" w:cs="Helvetica" w:asciiTheme="minorEastAsia" w:hAnsiTheme="minorEastAsia"/>
          <w:kern w:val="0"/>
          <w:sz w:val="24"/>
          <w:szCs w:val="24"/>
          <w:lang w:val="zh-CN"/>
        </w:rPr>
        <w:t>在政府采购监管部门指定媒体上</w:t>
      </w:r>
      <w:r>
        <w:rPr>
          <w:rFonts w:cs="Helvetica" w:asciiTheme="minorEastAsia" w:hAnsiTheme="minorEastAsia"/>
          <w:kern w:val="0"/>
          <w:sz w:val="24"/>
          <w:szCs w:val="24"/>
          <w:lang w:val="zh-CN"/>
        </w:rPr>
        <w:t>公告中标结果</w:t>
      </w:r>
      <w:r>
        <w:rPr>
          <w:rFonts w:hint="eastAsia" w:cs="Helvetica" w:asciiTheme="minorEastAsia" w:hAnsiTheme="minorEastAsia"/>
          <w:kern w:val="0"/>
          <w:sz w:val="24"/>
          <w:szCs w:val="24"/>
          <w:lang w:val="zh-CN"/>
        </w:rPr>
        <w:t>，中标公告的公示期为1个工作日。</w:t>
      </w:r>
    </w:p>
    <w:p>
      <w:pPr>
        <w:numPr>
          <w:ilvl w:val="0"/>
          <w:numId w:val="35"/>
        </w:numPr>
        <w:tabs>
          <w:tab w:val="left" w:pos="616"/>
        </w:tabs>
        <w:spacing w:line="360" w:lineRule="auto"/>
        <w:ind w:left="616" w:hanging="616"/>
        <w:rPr>
          <w:rFonts w:cs="Helvetica" w:asciiTheme="minorEastAsia" w:hAnsiTheme="minorEastAsia"/>
          <w:kern w:val="0"/>
          <w:sz w:val="24"/>
          <w:szCs w:val="24"/>
          <w:lang w:val="zh-CN"/>
        </w:rPr>
      </w:pPr>
      <w:r>
        <w:rPr>
          <w:rFonts w:hint="eastAsia" w:cs="Helvetica" w:asciiTheme="minorEastAsia" w:hAnsiTheme="minorEastAsia"/>
          <w:kern w:val="0"/>
          <w:sz w:val="24"/>
          <w:szCs w:val="24"/>
          <w:lang w:val="zh-CN"/>
        </w:rPr>
        <w:t>资格审查未通过的投标人可在结果公告质疑有效期内按公告中的联系方式获知</w:t>
      </w:r>
      <w:r>
        <w:rPr>
          <w:rFonts w:cs="Helvetica" w:asciiTheme="minorEastAsia" w:hAnsiTheme="minorEastAsia"/>
          <w:kern w:val="0"/>
          <w:sz w:val="24"/>
          <w:szCs w:val="24"/>
          <w:lang w:val="zh-CN"/>
        </w:rPr>
        <w:t>本</w:t>
      </w:r>
      <w:r>
        <w:rPr>
          <w:rFonts w:hint="eastAsia" w:cs="Helvetica" w:asciiTheme="minorEastAsia" w:hAnsiTheme="minorEastAsia"/>
          <w:kern w:val="0"/>
          <w:sz w:val="24"/>
          <w:szCs w:val="24"/>
          <w:lang w:val="zh-CN"/>
        </w:rPr>
        <w:t>单位</w:t>
      </w:r>
      <w:r>
        <w:rPr>
          <w:rFonts w:cs="Helvetica" w:asciiTheme="minorEastAsia" w:hAnsiTheme="minorEastAsia"/>
          <w:kern w:val="0"/>
          <w:sz w:val="24"/>
          <w:szCs w:val="24"/>
          <w:lang w:val="zh-CN"/>
        </w:rPr>
        <w:t>的</w:t>
      </w:r>
      <w:r>
        <w:rPr>
          <w:rFonts w:hint="eastAsia" w:cs="Helvetica" w:asciiTheme="minorEastAsia" w:hAnsiTheme="minorEastAsia"/>
          <w:kern w:val="0"/>
          <w:sz w:val="24"/>
          <w:szCs w:val="24"/>
          <w:lang w:val="zh-CN"/>
        </w:rPr>
        <w:t>资格审查情况</w:t>
      </w:r>
      <w:r>
        <w:rPr>
          <w:rFonts w:cs="Helvetica" w:asciiTheme="minorEastAsia" w:hAnsiTheme="minorEastAsia"/>
          <w:kern w:val="0"/>
          <w:sz w:val="24"/>
          <w:szCs w:val="24"/>
          <w:lang w:val="zh-CN"/>
        </w:rPr>
        <w:t>。</w:t>
      </w:r>
    </w:p>
    <w:p>
      <w:pPr>
        <w:numPr>
          <w:ilvl w:val="0"/>
          <w:numId w:val="35"/>
        </w:numPr>
        <w:tabs>
          <w:tab w:val="left" w:pos="616"/>
        </w:tabs>
        <w:spacing w:line="360" w:lineRule="auto"/>
        <w:ind w:left="616" w:hanging="616"/>
        <w:rPr>
          <w:rFonts w:cs="Helvetica" w:asciiTheme="minorEastAsia" w:hAnsiTheme="minorEastAsia"/>
          <w:kern w:val="0"/>
          <w:sz w:val="24"/>
          <w:szCs w:val="24"/>
          <w:lang w:val="zh-CN"/>
        </w:rPr>
      </w:pPr>
      <w:r>
        <w:rPr>
          <w:rFonts w:cs="Helvetica" w:asciiTheme="minorEastAsia" w:hAnsiTheme="minorEastAsia"/>
          <w:kern w:val="0"/>
          <w:sz w:val="24"/>
          <w:szCs w:val="24"/>
          <w:lang w:val="zh-CN"/>
        </w:rPr>
        <w:t>采用综合评分法评审的</w:t>
      </w:r>
      <w:r>
        <w:rPr>
          <w:rFonts w:hint="eastAsia" w:cs="Helvetica" w:asciiTheme="minorEastAsia" w:hAnsiTheme="minorEastAsia"/>
          <w:kern w:val="0"/>
          <w:sz w:val="24"/>
          <w:szCs w:val="24"/>
          <w:lang w:val="zh-CN"/>
        </w:rPr>
        <w:t>项目</w:t>
      </w:r>
      <w:r>
        <w:rPr>
          <w:rFonts w:cs="Helvetica" w:asciiTheme="minorEastAsia" w:hAnsiTheme="minorEastAsia"/>
          <w:kern w:val="0"/>
          <w:sz w:val="24"/>
          <w:szCs w:val="24"/>
          <w:lang w:val="zh-CN"/>
        </w:rPr>
        <w:t>，</w:t>
      </w:r>
      <w:r>
        <w:rPr>
          <w:rFonts w:hint="eastAsia" w:cs="Helvetica" w:asciiTheme="minorEastAsia" w:hAnsiTheme="minorEastAsia"/>
          <w:kern w:val="0"/>
          <w:sz w:val="24"/>
          <w:szCs w:val="24"/>
          <w:lang w:val="zh-CN"/>
        </w:rPr>
        <w:t>未中标人可在结果公告质疑有效期内按公告中的联系方式获知</w:t>
      </w:r>
      <w:r>
        <w:rPr>
          <w:rFonts w:cs="Helvetica" w:asciiTheme="minorEastAsia" w:hAnsiTheme="minorEastAsia"/>
          <w:kern w:val="0"/>
          <w:sz w:val="24"/>
          <w:szCs w:val="24"/>
          <w:lang w:val="zh-CN"/>
        </w:rPr>
        <w:t>本</w:t>
      </w:r>
      <w:r>
        <w:rPr>
          <w:rFonts w:hint="eastAsia" w:cs="Helvetica" w:asciiTheme="minorEastAsia" w:hAnsiTheme="minorEastAsia"/>
          <w:kern w:val="0"/>
          <w:sz w:val="24"/>
          <w:szCs w:val="24"/>
          <w:lang w:val="zh-CN"/>
        </w:rPr>
        <w:t>单位</w:t>
      </w:r>
      <w:r>
        <w:rPr>
          <w:rFonts w:cs="Helvetica" w:asciiTheme="minorEastAsia" w:hAnsiTheme="minorEastAsia"/>
          <w:kern w:val="0"/>
          <w:sz w:val="24"/>
          <w:szCs w:val="24"/>
          <w:lang w:val="zh-CN"/>
        </w:rPr>
        <w:t>的评审得分与排序。</w:t>
      </w:r>
    </w:p>
    <w:p>
      <w:pPr>
        <w:pStyle w:val="5"/>
        <w:numPr>
          <w:ilvl w:val="0"/>
          <w:numId w:val="7"/>
        </w:numPr>
        <w:spacing w:before="40" w:after="40" w:line="360" w:lineRule="auto"/>
        <w:ind w:left="658" w:hanging="658"/>
        <w:jc w:val="left"/>
        <w:rPr>
          <w:rFonts w:cs="Times New Roman" w:asciiTheme="majorEastAsia" w:hAnsiTheme="majorEastAsia"/>
          <w:bCs w:val="0"/>
          <w:lang w:val="zh-CN"/>
        </w:rPr>
      </w:pPr>
      <w:bookmarkStart w:id="33" w:name="_Toc494561946"/>
      <w:bookmarkStart w:id="34" w:name="_Toc18432"/>
      <w:r>
        <w:rPr>
          <w:rFonts w:hint="eastAsia" w:cs="Times New Roman" w:asciiTheme="majorEastAsia" w:hAnsiTheme="majorEastAsia"/>
          <w:bCs w:val="0"/>
          <w:lang w:val="zh-CN"/>
        </w:rPr>
        <w:t>质疑</w:t>
      </w:r>
      <w:bookmarkEnd w:id="29"/>
      <w:bookmarkEnd w:id="30"/>
      <w:r>
        <w:rPr>
          <w:rFonts w:hint="eastAsia" w:cs="Times New Roman" w:asciiTheme="majorEastAsia" w:hAnsiTheme="majorEastAsia"/>
          <w:bCs w:val="0"/>
          <w:lang w:val="zh-CN"/>
        </w:rPr>
        <w:t>及提交</w:t>
      </w:r>
      <w:bookmarkEnd w:id="33"/>
      <w:bookmarkEnd w:id="34"/>
    </w:p>
    <w:p>
      <w:pPr>
        <w:numPr>
          <w:ilvl w:val="0"/>
          <w:numId w:val="8"/>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质疑提交</w:t>
      </w:r>
    </w:p>
    <w:p>
      <w:pPr>
        <w:autoSpaceDE w:val="0"/>
        <w:autoSpaceDN w:val="0"/>
        <w:adjustRightInd w:val="0"/>
        <w:snapToGrid w:val="0"/>
        <w:spacing w:line="300" w:lineRule="auto"/>
        <w:ind w:left="420" w:right="32" w:firstLine="6"/>
        <w:rPr>
          <w:rFonts w:ascii="宋体" w:hAnsi="宋体" w:eastAsia="宋体" w:cs="Times New Roman"/>
          <w:sz w:val="24"/>
          <w:szCs w:val="20"/>
          <w:lang w:val="zh-CN"/>
        </w:rPr>
      </w:pPr>
      <w:r>
        <w:rPr>
          <w:rFonts w:hint="eastAsia" w:ascii="宋体" w:hAnsi="宋体" w:eastAsia="宋体" w:cs="Times New Roman"/>
          <w:sz w:val="24"/>
          <w:szCs w:val="20"/>
          <w:lang w:val="zh-CN"/>
        </w:rPr>
        <w:t>投标人认为招标文件、招标过程和中标结果使自己的权益受到损害的，可以在知道或者应知其权益受到损害之日起7个工作日内，</w:t>
      </w:r>
      <w:r>
        <w:rPr>
          <w:rFonts w:ascii="宋体" w:hAnsi="宋体" w:eastAsia="宋体" w:cs="Times New Roman"/>
          <w:sz w:val="24"/>
          <w:szCs w:val="20"/>
          <w:lang w:val="zh-CN"/>
        </w:rPr>
        <w:t>向</w:t>
      </w:r>
      <w:r>
        <w:rPr>
          <w:rFonts w:hint="eastAsia" w:ascii="宋体" w:hAnsi="宋体" w:eastAsia="宋体" w:cs="Times New Roman"/>
          <w:sz w:val="24"/>
          <w:szCs w:val="20"/>
          <w:lang w:val="zh-CN"/>
        </w:rPr>
        <w:t>阳新县公共资源交易中心</w:t>
      </w:r>
      <w:r>
        <w:rPr>
          <w:rFonts w:ascii="宋体" w:hAnsi="宋体" w:eastAsia="宋体" w:cs="Times New Roman"/>
          <w:sz w:val="24"/>
          <w:szCs w:val="20"/>
          <w:lang w:val="zh-CN"/>
        </w:rPr>
        <w:t>提出质疑</w:t>
      </w:r>
      <w:r>
        <w:rPr>
          <w:rFonts w:hint="eastAsia" w:ascii="宋体" w:hAnsi="宋体" w:eastAsia="宋体" w:cs="Times New Roman"/>
          <w:sz w:val="24"/>
          <w:szCs w:val="20"/>
          <w:lang w:val="zh-CN"/>
        </w:rPr>
        <w:t>，质疑提出时间以收到之日为准。</w:t>
      </w:r>
    </w:p>
    <w:p>
      <w:pPr>
        <w:numPr>
          <w:ilvl w:val="0"/>
          <w:numId w:val="8"/>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投标人</w:t>
      </w:r>
      <w:r>
        <w:rPr>
          <w:rFonts w:ascii="宋体" w:hAnsi="宋体" w:eastAsia="宋体" w:cs="Times New Roman"/>
          <w:b/>
          <w:sz w:val="24"/>
          <w:szCs w:val="20"/>
          <w:lang w:val="zh-CN"/>
        </w:rPr>
        <w:t>应知其权益受到损害之日是指：</w:t>
      </w:r>
    </w:p>
    <w:p>
      <w:pPr>
        <w:numPr>
          <w:ilvl w:val="0"/>
          <w:numId w:val="36"/>
        </w:numPr>
        <w:spacing w:line="360" w:lineRule="auto"/>
        <w:ind w:left="616" w:hanging="616"/>
        <w:rPr>
          <w:rFonts w:ascii="宋体" w:hAnsi="宋体" w:eastAsia="宋体" w:cs="Times New Roman"/>
          <w:sz w:val="24"/>
          <w:szCs w:val="20"/>
          <w:lang w:val="zh-CN"/>
        </w:rPr>
      </w:pPr>
      <w:r>
        <w:rPr>
          <w:rFonts w:ascii="宋体" w:hAnsi="宋体" w:eastAsia="宋体" w:cs="Times New Roman"/>
          <w:sz w:val="24"/>
          <w:szCs w:val="20"/>
          <w:lang w:val="zh-CN"/>
        </w:rPr>
        <w:t>对可以质疑的</w:t>
      </w:r>
      <w:r>
        <w:rPr>
          <w:rFonts w:hint="eastAsia" w:ascii="宋体" w:hAnsi="宋体" w:eastAsia="宋体" w:cs="Times New Roman"/>
          <w:sz w:val="24"/>
          <w:szCs w:val="20"/>
          <w:lang w:val="zh-CN"/>
        </w:rPr>
        <w:t>招标</w:t>
      </w:r>
      <w:r>
        <w:rPr>
          <w:rFonts w:ascii="宋体" w:hAnsi="宋体" w:eastAsia="宋体" w:cs="Times New Roman"/>
          <w:sz w:val="24"/>
          <w:szCs w:val="20"/>
          <w:lang w:val="zh-CN"/>
        </w:rPr>
        <w:t>文件提出质疑的，为收到</w:t>
      </w:r>
      <w:r>
        <w:rPr>
          <w:rFonts w:hint="eastAsia" w:ascii="宋体" w:hAnsi="宋体" w:eastAsia="宋体" w:cs="Times New Roman"/>
          <w:sz w:val="24"/>
          <w:szCs w:val="20"/>
          <w:lang w:val="zh-CN"/>
        </w:rPr>
        <w:t>招标</w:t>
      </w:r>
      <w:r>
        <w:rPr>
          <w:rFonts w:ascii="宋体" w:hAnsi="宋体" w:eastAsia="宋体" w:cs="Times New Roman"/>
          <w:sz w:val="24"/>
          <w:szCs w:val="20"/>
          <w:lang w:val="zh-CN"/>
        </w:rPr>
        <w:t>文件之日或者</w:t>
      </w:r>
      <w:r>
        <w:rPr>
          <w:rFonts w:hint="eastAsia" w:ascii="宋体" w:hAnsi="宋体" w:eastAsia="宋体" w:cs="Times New Roman"/>
          <w:sz w:val="24"/>
          <w:szCs w:val="20"/>
          <w:lang w:val="zh-CN"/>
        </w:rPr>
        <w:t>招标</w:t>
      </w:r>
      <w:r>
        <w:rPr>
          <w:rFonts w:ascii="宋体" w:hAnsi="宋体" w:eastAsia="宋体" w:cs="Times New Roman"/>
          <w:sz w:val="24"/>
          <w:szCs w:val="20"/>
          <w:lang w:val="zh-CN"/>
        </w:rPr>
        <w:t>文件公告期限届满之日</w:t>
      </w:r>
      <w:r>
        <w:rPr>
          <w:rFonts w:hint="eastAsia" w:ascii="宋体" w:hAnsi="宋体" w:eastAsia="宋体" w:cs="Times New Roman"/>
          <w:sz w:val="24"/>
          <w:szCs w:val="20"/>
          <w:lang w:val="zh-CN"/>
        </w:rPr>
        <w:t>；</w:t>
      </w:r>
    </w:p>
    <w:p>
      <w:pPr>
        <w:numPr>
          <w:ilvl w:val="0"/>
          <w:numId w:val="36"/>
        </w:numPr>
        <w:spacing w:line="360" w:lineRule="auto"/>
        <w:ind w:left="616" w:hanging="616"/>
        <w:rPr>
          <w:rFonts w:ascii="宋体" w:hAnsi="宋体" w:eastAsia="宋体" w:cs="Times New Roman"/>
          <w:sz w:val="24"/>
          <w:szCs w:val="20"/>
          <w:lang w:val="zh-CN"/>
        </w:rPr>
      </w:pPr>
      <w:r>
        <w:rPr>
          <w:rFonts w:ascii="宋体" w:hAnsi="宋体" w:eastAsia="宋体" w:cs="Times New Roman"/>
          <w:sz w:val="24"/>
          <w:szCs w:val="20"/>
          <w:lang w:val="zh-CN"/>
        </w:rPr>
        <w:t>对</w:t>
      </w:r>
      <w:r>
        <w:rPr>
          <w:rFonts w:hint="eastAsia" w:ascii="宋体" w:hAnsi="宋体" w:eastAsia="宋体" w:cs="Times New Roman"/>
          <w:sz w:val="24"/>
          <w:szCs w:val="20"/>
          <w:lang w:val="zh-CN"/>
        </w:rPr>
        <w:t>招标</w:t>
      </w:r>
      <w:r>
        <w:rPr>
          <w:rFonts w:ascii="宋体" w:hAnsi="宋体" w:eastAsia="宋体" w:cs="Times New Roman"/>
          <w:sz w:val="24"/>
          <w:szCs w:val="20"/>
          <w:lang w:val="zh-CN"/>
        </w:rPr>
        <w:t>过程提出质疑的，为各</w:t>
      </w:r>
      <w:r>
        <w:rPr>
          <w:rFonts w:hint="eastAsia" w:ascii="宋体" w:hAnsi="宋体" w:eastAsia="宋体" w:cs="Times New Roman"/>
          <w:sz w:val="24"/>
          <w:szCs w:val="20"/>
          <w:lang w:val="zh-CN"/>
        </w:rPr>
        <w:t>招标</w:t>
      </w:r>
      <w:r>
        <w:rPr>
          <w:rFonts w:ascii="宋体" w:hAnsi="宋体" w:eastAsia="宋体" w:cs="Times New Roman"/>
          <w:sz w:val="24"/>
          <w:szCs w:val="20"/>
          <w:lang w:val="zh-CN"/>
        </w:rPr>
        <w:t>程序环节结束之日</w:t>
      </w:r>
      <w:r>
        <w:rPr>
          <w:rFonts w:hint="eastAsia" w:ascii="宋体" w:hAnsi="宋体" w:eastAsia="宋体" w:cs="Times New Roman"/>
          <w:sz w:val="24"/>
          <w:szCs w:val="20"/>
          <w:lang w:val="zh-CN"/>
        </w:rPr>
        <w:t>；</w:t>
      </w:r>
    </w:p>
    <w:p>
      <w:pPr>
        <w:numPr>
          <w:ilvl w:val="0"/>
          <w:numId w:val="36"/>
        </w:numPr>
        <w:spacing w:line="360" w:lineRule="auto"/>
        <w:ind w:left="616" w:hanging="616"/>
        <w:rPr>
          <w:rFonts w:ascii="宋体" w:hAnsi="宋体" w:eastAsia="宋体" w:cs="Times New Roman"/>
          <w:sz w:val="24"/>
          <w:szCs w:val="20"/>
          <w:lang w:val="zh-CN"/>
        </w:rPr>
      </w:pPr>
      <w:r>
        <w:rPr>
          <w:rFonts w:ascii="宋体" w:hAnsi="宋体" w:eastAsia="宋体" w:cs="Times New Roman"/>
          <w:sz w:val="24"/>
          <w:szCs w:val="20"/>
          <w:lang w:val="zh-CN"/>
        </w:rPr>
        <w:t>对中标结果提出质疑的，为中标公告期限届满之日。</w:t>
      </w:r>
    </w:p>
    <w:p>
      <w:pPr>
        <w:numPr>
          <w:ilvl w:val="0"/>
          <w:numId w:val="8"/>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质疑书应当包括下列主要内容：</w:t>
      </w:r>
    </w:p>
    <w:p>
      <w:pPr>
        <w:numPr>
          <w:ilvl w:val="0"/>
          <w:numId w:val="37"/>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质疑人的名称、地址、联系人及联系电话等；</w:t>
      </w:r>
    </w:p>
    <w:p>
      <w:pPr>
        <w:numPr>
          <w:ilvl w:val="0"/>
          <w:numId w:val="37"/>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被质疑人的名称、地址、联系人及联系电话等；</w:t>
      </w:r>
    </w:p>
    <w:p>
      <w:pPr>
        <w:numPr>
          <w:ilvl w:val="0"/>
          <w:numId w:val="37"/>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质疑项目名称及编号、质疑事项和明确的请求；</w:t>
      </w:r>
    </w:p>
    <w:p>
      <w:pPr>
        <w:numPr>
          <w:ilvl w:val="0"/>
          <w:numId w:val="37"/>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质疑事项的事实根据、法律依据及其他必要的证明材料；</w:t>
      </w:r>
    </w:p>
    <w:p>
      <w:pPr>
        <w:numPr>
          <w:ilvl w:val="0"/>
          <w:numId w:val="37"/>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提出质疑的日期；</w:t>
      </w:r>
    </w:p>
    <w:p>
      <w:pPr>
        <w:numPr>
          <w:ilvl w:val="0"/>
          <w:numId w:val="37"/>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质疑人的署名及签章（质疑人为自然人的，应当由本人签字；质疑人为法人或者其他组织的，应当由法定代表人或者主要负责人签字盖章并加盖公章）；</w:t>
      </w:r>
    </w:p>
    <w:p>
      <w:pPr>
        <w:numPr>
          <w:ilvl w:val="0"/>
          <w:numId w:val="37"/>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法人授权委托书（质疑人或法人委托代理人办理质疑事务的，应当提供授权委托书，授权委托书应当载明委托代理的具体权限和事项）。</w:t>
      </w:r>
    </w:p>
    <w:p>
      <w:pPr>
        <w:pStyle w:val="10"/>
        <w:adjustRightInd w:val="0"/>
        <w:snapToGrid w:val="0"/>
        <w:spacing w:line="360" w:lineRule="auto"/>
        <w:ind w:left="420"/>
        <w:rPr>
          <w:rFonts w:hAnsi="宋体"/>
          <w:b/>
          <w:sz w:val="24"/>
          <w:szCs w:val="24"/>
        </w:rPr>
      </w:pPr>
      <w:r>
        <w:rPr>
          <w:rFonts w:hint="eastAsia" w:hAnsi="宋体"/>
          <w:b/>
          <w:sz w:val="24"/>
          <w:szCs w:val="24"/>
        </w:rPr>
        <w:t>质疑书不符合上述要求的，采购人或代理机构应书面告知具体事项，质疑人应当按要求进行修改或补充，并在质疑有效期限内提交。</w:t>
      </w:r>
    </w:p>
    <w:p>
      <w:pPr>
        <w:numPr>
          <w:ilvl w:val="0"/>
          <w:numId w:val="8"/>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不予受理的情形</w:t>
      </w:r>
    </w:p>
    <w:p>
      <w:pPr>
        <w:spacing w:line="360" w:lineRule="auto"/>
        <w:ind w:firstLine="480" w:firstLineChars="200"/>
        <w:rPr>
          <w:rFonts w:ascii="宋体" w:hAnsi="宋体" w:eastAsia="宋体" w:cs="Times New Roman"/>
          <w:sz w:val="24"/>
          <w:szCs w:val="20"/>
          <w:lang w:val="zh-CN"/>
        </w:rPr>
      </w:pPr>
      <w:r>
        <w:rPr>
          <w:rFonts w:hint="eastAsia" w:ascii="宋体" w:hAnsi="宋体" w:eastAsia="宋体" w:cs="Times New Roman"/>
          <w:sz w:val="24"/>
          <w:szCs w:val="20"/>
          <w:lang w:val="zh-CN"/>
        </w:rPr>
        <w:t>投标人未按本章“质疑及提交”规定的时限、内容及方式进行质疑的，集中采购机构不予受理。</w:t>
      </w:r>
    </w:p>
    <w:p>
      <w:pPr>
        <w:pStyle w:val="5"/>
        <w:numPr>
          <w:ilvl w:val="0"/>
          <w:numId w:val="7"/>
        </w:numPr>
        <w:spacing w:before="40" w:after="40" w:line="360" w:lineRule="auto"/>
        <w:ind w:left="658" w:hanging="658"/>
        <w:jc w:val="left"/>
        <w:rPr>
          <w:rFonts w:cs="Times New Roman" w:asciiTheme="majorEastAsia" w:hAnsiTheme="majorEastAsia"/>
          <w:bCs w:val="0"/>
          <w:lang w:val="zh-CN"/>
        </w:rPr>
      </w:pPr>
      <w:bookmarkStart w:id="35" w:name="_Toc494561947"/>
      <w:bookmarkStart w:id="36" w:name="_Toc9943"/>
      <w:r>
        <w:rPr>
          <w:rFonts w:hint="eastAsia" w:cs="Times New Roman" w:asciiTheme="majorEastAsia" w:hAnsiTheme="majorEastAsia"/>
          <w:bCs w:val="0"/>
          <w:lang w:val="zh-CN"/>
        </w:rPr>
        <w:t>相关条文解读</w:t>
      </w:r>
      <w:bookmarkEnd w:id="35"/>
      <w:bookmarkEnd w:id="36"/>
    </w:p>
    <w:p>
      <w:pPr>
        <w:numPr>
          <w:ilvl w:val="0"/>
          <w:numId w:val="8"/>
        </w:numPr>
        <w:spacing w:line="360" w:lineRule="auto"/>
        <w:ind w:left="560" w:hanging="560"/>
        <w:rPr>
          <w:rFonts w:ascii="宋体" w:hAnsi="宋体" w:eastAsia="宋体" w:cs="Times New Roman"/>
          <w:sz w:val="24"/>
          <w:szCs w:val="20"/>
          <w:lang w:val="zh-CN"/>
        </w:rPr>
      </w:pPr>
      <w:r>
        <w:rPr>
          <w:rFonts w:hint="eastAsia" w:ascii="宋体" w:hAnsi="宋体" w:eastAsia="宋体" w:cs="Times New Roman"/>
          <w:sz w:val="24"/>
          <w:szCs w:val="20"/>
          <w:lang w:val="zh-CN"/>
        </w:rPr>
        <w:t>政府采购法第二十二条第一款第五项所称重大违法记录，是指供应商因违法经营受到刑事处罚或者责令停产停业、吊销许可证或者执照、较大数额罚款等行政处罚。</w:t>
      </w:r>
    </w:p>
    <w:p>
      <w:pPr>
        <w:numPr>
          <w:ilvl w:val="0"/>
          <w:numId w:val="8"/>
        </w:numPr>
        <w:spacing w:line="360" w:lineRule="auto"/>
        <w:ind w:left="560" w:hanging="560"/>
        <w:rPr>
          <w:rFonts w:ascii="宋体" w:hAnsi="宋体" w:eastAsia="宋体" w:cs="Times New Roman"/>
          <w:sz w:val="24"/>
          <w:szCs w:val="20"/>
          <w:lang w:val="zh-CN"/>
        </w:rPr>
      </w:pPr>
      <w:r>
        <w:rPr>
          <w:rFonts w:hint="eastAsia" w:ascii="宋体" w:hAnsi="宋体" w:eastAsia="宋体" w:cs="Times New Roman"/>
          <w:sz w:val="24"/>
          <w:szCs w:val="20"/>
          <w:lang w:val="zh-CN"/>
        </w:rPr>
        <w:t>按照财政部《关于规范政府采购行政处罚有关问题的通知》的规定，</w:t>
      </w:r>
      <w:r>
        <w:rPr>
          <w:rFonts w:ascii="宋体" w:hAnsi="宋体" w:eastAsia="宋体" w:cs="Times New Roman"/>
          <w:sz w:val="24"/>
          <w:szCs w:val="20"/>
          <w:lang w:val="zh-CN"/>
        </w:rPr>
        <w:t>各级人民政府财政部门依法对参加政府采购活动的供应商作出的禁止参加政府采购活动等行政处罚决定在全国范围内生效。</w:t>
      </w:r>
    </w:p>
    <w:p>
      <w:pPr>
        <w:numPr>
          <w:ilvl w:val="0"/>
          <w:numId w:val="8"/>
        </w:numPr>
        <w:spacing w:line="360" w:lineRule="auto"/>
        <w:ind w:left="560" w:hanging="560"/>
        <w:rPr>
          <w:rFonts w:ascii="宋体" w:hAnsi="宋体" w:eastAsia="宋体" w:cs="Times New Roman"/>
          <w:sz w:val="24"/>
          <w:szCs w:val="20"/>
          <w:lang w:val="zh-CN"/>
        </w:rPr>
      </w:pPr>
      <w:r>
        <w:rPr>
          <w:rFonts w:hint="eastAsia" w:ascii="宋体" w:hAnsi="宋体" w:eastAsia="宋体" w:cs="Times New Roman"/>
          <w:sz w:val="24"/>
          <w:szCs w:val="20"/>
          <w:lang w:val="zh-CN"/>
        </w:rPr>
        <w:t>供应商在参加政府采购活动前3年内因违法经营被禁止在一定期限内参加政府采购活动，期限届满的，可以参加政府采购活动。</w:t>
      </w:r>
    </w:p>
    <w:p>
      <w:pPr>
        <w:numPr>
          <w:ilvl w:val="0"/>
          <w:numId w:val="8"/>
        </w:numPr>
        <w:spacing w:line="360" w:lineRule="auto"/>
        <w:ind w:left="560" w:hanging="560"/>
        <w:rPr>
          <w:rFonts w:ascii="宋体" w:hAnsi="宋体" w:eastAsia="宋体" w:cs="Times New Roman"/>
          <w:sz w:val="24"/>
          <w:szCs w:val="20"/>
          <w:lang w:val="zh-CN"/>
        </w:rPr>
      </w:pPr>
      <w:r>
        <w:rPr>
          <w:rFonts w:hint="eastAsia" w:ascii="宋体" w:hAnsi="宋体" w:eastAsia="宋体" w:cs="Times New Roman"/>
          <w:sz w:val="24"/>
          <w:szCs w:val="20"/>
          <w:lang w:val="zh-CN"/>
        </w:rPr>
        <w:t>根据财政部《政府采购法实施条例》释义中关于供应商资格条件的解释，对于银行、保险、石油石化、电力、电信等有行业特殊情况的，采购人和集中采购机构允许其分支机构参与投标。</w:t>
      </w:r>
    </w:p>
    <w:p>
      <w:pPr>
        <w:pStyle w:val="5"/>
        <w:numPr>
          <w:ilvl w:val="0"/>
          <w:numId w:val="7"/>
        </w:numPr>
        <w:spacing w:before="40" w:after="40" w:line="360" w:lineRule="auto"/>
        <w:ind w:left="658" w:hanging="658"/>
        <w:jc w:val="left"/>
        <w:rPr>
          <w:rFonts w:cs="Times New Roman" w:asciiTheme="majorEastAsia" w:hAnsiTheme="majorEastAsia"/>
          <w:bCs w:val="0"/>
          <w:lang w:val="zh-CN"/>
        </w:rPr>
      </w:pPr>
      <w:bookmarkStart w:id="37" w:name="_Toc494561948"/>
      <w:bookmarkStart w:id="38" w:name="_Toc14817"/>
      <w:r>
        <w:rPr>
          <w:rFonts w:hint="eastAsia" w:cs="Times New Roman" w:asciiTheme="majorEastAsia" w:hAnsiTheme="majorEastAsia"/>
          <w:bCs w:val="0"/>
          <w:lang w:val="zh-CN"/>
        </w:rPr>
        <w:t>其他注意事项</w:t>
      </w:r>
      <w:bookmarkEnd w:id="37"/>
      <w:bookmarkEnd w:id="38"/>
    </w:p>
    <w:p>
      <w:pPr>
        <w:numPr>
          <w:ilvl w:val="0"/>
          <w:numId w:val="8"/>
        </w:numPr>
        <w:spacing w:line="360" w:lineRule="auto"/>
        <w:ind w:left="560" w:hanging="560"/>
        <w:rPr>
          <w:rFonts w:ascii="宋体" w:hAnsi="宋体" w:eastAsia="宋体" w:cs="Times New Roman"/>
          <w:sz w:val="24"/>
          <w:szCs w:val="20"/>
          <w:lang w:val="zh-CN"/>
        </w:rPr>
      </w:pPr>
      <w:r>
        <w:rPr>
          <w:rFonts w:hint="eastAsia" w:ascii="宋体" w:hAnsi="宋体" w:eastAsia="宋体" w:cs="Times New Roman"/>
          <w:sz w:val="24"/>
          <w:szCs w:val="20"/>
          <w:lang w:val="zh-CN"/>
        </w:rPr>
        <w:t>单位负责人为同一人或者存在直接控股、管理关系的不同供应商，不得参加同一合同项下的政府采购活动。</w:t>
      </w:r>
    </w:p>
    <w:p>
      <w:pPr>
        <w:numPr>
          <w:ilvl w:val="0"/>
          <w:numId w:val="8"/>
        </w:numPr>
        <w:spacing w:line="360" w:lineRule="auto"/>
        <w:ind w:left="560" w:hanging="560"/>
        <w:rPr>
          <w:rFonts w:ascii="宋体" w:hAnsi="宋体" w:eastAsia="宋体" w:cs="Times New Roman"/>
          <w:sz w:val="24"/>
          <w:szCs w:val="20"/>
          <w:lang w:val="zh-CN"/>
        </w:rPr>
      </w:pPr>
      <w:r>
        <w:rPr>
          <w:rFonts w:hint="eastAsia" w:ascii="宋体" w:hAnsi="宋体" w:eastAsia="宋体" w:cs="Times New Roman"/>
          <w:sz w:val="24"/>
          <w:szCs w:val="20"/>
          <w:lang w:val="zh-CN"/>
        </w:rPr>
        <w:t>除单一来源采购项目外，为采购项目提供整体设计、规范编制或者项目管理、监理、检测等服务的供应商，不得再参加该采购项目的其他采购活动。</w:t>
      </w:r>
    </w:p>
    <w:p>
      <w:pPr>
        <w:pStyle w:val="5"/>
        <w:numPr>
          <w:ilvl w:val="0"/>
          <w:numId w:val="7"/>
        </w:numPr>
        <w:spacing w:before="40" w:after="40" w:line="360" w:lineRule="auto"/>
        <w:ind w:left="966" w:hanging="966"/>
        <w:jc w:val="left"/>
        <w:rPr>
          <w:rFonts w:cs="Times New Roman" w:asciiTheme="majorEastAsia" w:hAnsiTheme="majorEastAsia"/>
          <w:bCs w:val="0"/>
          <w:lang w:val="zh-CN"/>
        </w:rPr>
      </w:pPr>
      <w:bookmarkStart w:id="39" w:name="_Toc278891598"/>
      <w:bookmarkStart w:id="40" w:name="_Toc272247701"/>
      <w:bookmarkStart w:id="41" w:name="_Toc494561949"/>
      <w:bookmarkStart w:id="42" w:name="_Toc11461"/>
      <w:r>
        <w:rPr>
          <w:rFonts w:hint="eastAsia" w:cs="Times New Roman" w:asciiTheme="majorEastAsia" w:hAnsiTheme="majorEastAsia"/>
          <w:bCs w:val="0"/>
          <w:lang w:val="zh-CN"/>
        </w:rPr>
        <w:t>适用法律</w:t>
      </w:r>
      <w:bookmarkEnd w:id="39"/>
      <w:bookmarkEnd w:id="40"/>
      <w:bookmarkEnd w:id="41"/>
      <w:bookmarkEnd w:id="42"/>
    </w:p>
    <w:p>
      <w:pPr>
        <w:numPr>
          <w:ilvl w:val="0"/>
          <w:numId w:val="8"/>
        </w:numPr>
        <w:spacing w:line="360" w:lineRule="auto"/>
        <w:ind w:left="560" w:hanging="560"/>
        <w:rPr>
          <w:rFonts w:ascii="宋体" w:hAnsi="宋体" w:eastAsia="宋体" w:cs="Times New Roman"/>
          <w:sz w:val="24"/>
          <w:szCs w:val="20"/>
          <w:lang w:val="zh-CN"/>
        </w:rPr>
      </w:pPr>
      <w:r>
        <w:rPr>
          <w:rFonts w:hint="eastAsia" w:ascii="宋体" w:hAnsi="宋体" w:eastAsia="宋体" w:cs="Times New Roman"/>
          <w:sz w:val="24"/>
          <w:szCs w:val="20"/>
          <w:lang w:val="zh-CN"/>
        </w:rPr>
        <w:t>采购人、集中采购机构及投标人的一切招标投标活动均适用《政府采购法》、《政府采购法实施条例》、</w:t>
      </w:r>
      <w:r>
        <w:rPr>
          <w:rFonts w:ascii="宋体" w:hAnsi="宋体" w:eastAsia="宋体" w:cs="Times New Roman"/>
          <w:sz w:val="24"/>
          <w:szCs w:val="20"/>
          <w:lang w:val="zh-CN"/>
        </w:rPr>
        <w:t>《政府采购货物和服务招标投标管理办法》</w:t>
      </w:r>
      <w:r>
        <w:rPr>
          <w:rFonts w:hint="eastAsia" w:ascii="宋体" w:hAnsi="宋体" w:eastAsia="宋体" w:cs="Times New Roman"/>
          <w:sz w:val="24"/>
          <w:szCs w:val="20"/>
          <w:lang w:val="zh-CN"/>
        </w:rPr>
        <w:t>及相关法律法规。</w:t>
      </w:r>
    </w:p>
    <w:p>
      <w:pPr>
        <w:numPr>
          <w:ilvl w:val="0"/>
          <w:numId w:val="8"/>
        </w:numPr>
        <w:spacing w:line="360" w:lineRule="auto"/>
        <w:ind w:left="560" w:hanging="560"/>
        <w:rPr>
          <w:rFonts w:ascii="宋体" w:hAnsi="宋体" w:eastAsia="宋体" w:cs="Times New Roman"/>
          <w:sz w:val="24"/>
          <w:szCs w:val="20"/>
          <w:lang w:val="zh-CN"/>
        </w:rPr>
      </w:pPr>
      <w:r>
        <w:rPr>
          <w:rFonts w:ascii="Helvetica" w:hAnsi="Helvetica" w:eastAsia="宋体" w:cs="Helvetica"/>
          <w:kern w:val="0"/>
          <w:sz w:val="24"/>
          <w:szCs w:val="24"/>
          <w:lang w:val="zh-CN"/>
        </w:rPr>
        <w:t>政府采购合同的履行、违约责任和解决争议的方法等适用《合同法》。</w:t>
      </w:r>
    </w:p>
    <w:p>
      <w:pPr>
        <w:pStyle w:val="5"/>
        <w:numPr>
          <w:ilvl w:val="0"/>
          <w:numId w:val="7"/>
        </w:numPr>
        <w:spacing w:before="40" w:after="40" w:line="360" w:lineRule="auto"/>
        <w:ind w:left="966" w:hanging="966"/>
        <w:jc w:val="left"/>
        <w:rPr>
          <w:rFonts w:cs="Times New Roman" w:asciiTheme="majorEastAsia" w:hAnsiTheme="majorEastAsia"/>
          <w:bCs w:val="0"/>
          <w:lang w:val="zh-CN"/>
        </w:rPr>
      </w:pPr>
      <w:bookmarkStart w:id="43" w:name="_Toc494561950"/>
      <w:bookmarkStart w:id="44" w:name="_Toc278891599"/>
      <w:bookmarkStart w:id="45" w:name="_Toc272247702"/>
      <w:bookmarkStart w:id="46" w:name="_Toc24575"/>
      <w:r>
        <w:rPr>
          <w:rFonts w:hint="eastAsia" w:cs="Times New Roman" w:asciiTheme="majorEastAsia" w:hAnsiTheme="majorEastAsia"/>
          <w:bCs w:val="0"/>
          <w:lang w:val="zh-CN"/>
        </w:rPr>
        <w:t>招标文件的解释权</w:t>
      </w:r>
      <w:bookmarkEnd w:id="43"/>
      <w:bookmarkEnd w:id="44"/>
      <w:bookmarkEnd w:id="45"/>
      <w:bookmarkEnd w:id="46"/>
    </w:p>
    <w:p>
      <w:pPr>
        <w:numPr>
          <w:ilvl w:val="0"/>
          <w:numId w:val="8"/>
        </w:numPr>
        <w:spacing w:line="360" w:lineRule="auto"/>
        <w:ind w:left="560" w:hanging="560"/>
        <w:sectPr>
          <w:footerReference r:id="rId7" w:type="default"/>
          <w:pgSz w:w="11906" w:h="16838"/>
          <w:pgMar w:top="1134" w:right="1191" w:bottom="1134" w:left="1191" w:header="851" w:footer="850" w:gutter="0"/>
          <w:pgNumType w:start="1"/>
          <w:cols w:space="0" w:num="1"/>
          <w:docGrid w:type="linesAndChars" w:linePitch="317" w:charSpace="204"/>
        </w:sectPr>
      </w:pPr>
      <w:r>
        <w:rPr>
          <w:rFonts w:hint="eastAsia" w:ascii="宋体" w:hAnsi="宋体" w:eastAsia="宋体" w:cs="Times New Roman"/>
          <w:sz w:val="24"/>
          <w:szCs w:val="20"/>
          <w:lang w:val="zh-CN"/>
        </w:rPr>
        <w:t>招标文件的最终解释权为采购人、集中采购机构所有。</w:t>
      </w:r>
    </w:p>
    <w:p>
      <w:pPr>
        <w:pStyle w:val="4"/>
        <w:numPr>
          <w:ilvl w:val="0"/>
          <w:numId w:val="2"/>
        </w:numPr>
        <w:jc w:val="center"/>
        <w:rPr>
          <w:rFonts w:ascii="黑体" w:hAnsi="黑体" w:eastAsia="黑体"/>
          <w:color w:val="auto"/>
        </w:rPr>
      </w:pPr>
      <w:bookmarkStart w:id="47" w:name="_Toc13008"/>
      <w:r>
        <w:rPr>
          <w:rFonts w:hint="eastAsia" w:ascii="黑体" w:hAnsi="黑体" w:eastAsia="黑体"/>
          <w:color w:val="auto"/>
        </w:rPr>
        <w:t>项目技术、服务及商务要求</w:t>
      </w:r>
      <w:bookmarkEnd w:id="47"/>
    </w:p>
    <w:p>
      <w:pPr>
        <w:keepNext/>
        <w:keepLines/>
        <w:numPr>
          <w:ilvl w:val="0"/>
          <w:numId w:val="38"/>
        </w:numPr>
        <w:spacing w:line="360" w:lineRule="auto"/>
        <w:ind w:left="616" w:hanging="616"/>
        <w:jc w:val="left"/>
        <w:outlineLvl w:val="1"/>
        <w:rPr>
          <w:rFonts w:ascii="宋体" w:hAnsi="宋体"/>
          <w:b/>
          <w:bCs/>
          <w:color w:val="auto"/>
          <w:sz w:val="28"/>
          <w:szCs w:val="28"/>
        </w:rPr>
      </w:pPr>
      <w:bookmarkStart w:id="48" w:name="_Toc455003459"/>
      <w:bookmarkStart w:id="49" w:name="_Toc454885317"/>
      <w:bookmarkStart w:id="50" w:name="_Toc458864800"/>
      <w:r>
        <w:rPr>
          <w:rFonts w:hint="eastAsia" w:ascii="黑体" w:hAnsi="黑体" w:eastAsia="黑体"/>
          <w:color w:val="auto"/>
        </w:rPr>
        <w:t xml:space="preserve"> </w:t>
      </w:r>
      <w:bookmarkEnd w:id="48"/>
      <w:bookmarkEnd w:id="49"/>
      <w:bookmarkEnd w:id="50"/>
      <w:bookmarkStart w:id="51" w:name="_Toc1109"/>
      <w:r>
        <w:rPr>
          <w:rFonts w:hint="eastAsia" w:ascii="宋体" w:hAnsi="宋体" w:eastAsia="黑体"/>
          <w:b/>
          <w:bCs/>
          <w:color w:val="auto"/>
          <w:sz w:val="28"/>
          <w:szCs w:val="28"/>
        </w:rPr>
        <w:t>技术要求</w:t>
      </w:r>
      <w:bookmarkEnd w:id="51"/>
    </w:p>
    <w:p>
      <w:pPr>
        <w:spacing w:line="360" w:lineRule="auto"/>
        <w:ind w:firstLine="482" w:firstLineChars="200"/>
        <w:rPr>
          <w:rFonts w:ascii="宋体" w:hAnsi="宋体"/>
          <w:b/>
          <w:bCs/>
          <w:color w:val="auto"/>
          <w:sz w:val="24"/>
        </w:rPr>
      </w:pPr>
      <w:bookmarkStart w:id="52" w:name="_Toc339378680"/>
      <w:bookmarkEnd w:id="52"/>
      <w:bookmarkStart w:id="53" w:name="_Toc338065594"/>
      <w:r>
        <w:rPr>
          <w:rFonts w:hint="eastAsia" w:ascii="宋体" w:hAnsi="宋体"/>
          <w:color w:val="auto"/>
          <w:sz w:val="24"/>
        </w:rPr>
        <w:t>说明：招标文件中“★”标注的</w:t>
      </w:r>
      <w:bookmarkEnd w:id="53"/>
      <w:r>
        <w:rPr>
          <w:rFonts w:hint="eastAsia" w:ascii="宋体" w:hAnsi="宋体"/>
          <w:color w:val="auto"/>
          <w:sz w:val="24"/>
        </w:rPr>
        <w:t>技术、服务及商务要求，应满足或优于。</w:t>
      </w:r>
    </w:p>
    <w:p>
      <w:pPr>
        <w:spacing w:line="560" w:lineRule="exact"/>
        <w:ind w:firstLine="482" w:firstLineChars="200"/>
        <w:jc w:val="left"/>
        <w:rPr>
          <w:rFonts w:asciiTheme="minorEastAsia" w:hAnsiTheme="minorEastAsia"/>
          <w:color w:val="auto"/>
          <w:sz w:val="24"/>
        </w:rPr>
      </w:pPr>
      <w:r>
        <w:rPr>
          <w:rFonts w:hint="eastAsia" w:asciiTheme="minorEastAsia" w:hAnsiTheme="minorEastAsia"/>
          <w:color w:val="auto"/>
          <w:sz w:val="24"/>
        </w:rPr>
        <w:t>1、人员配置要求</w:t>
      </w:r>
    </w:p>
    <w:p>
      <w:pPr>
        <w:spacing w:line="560" w:lineRule="exact"/>
        <w:ind w:firstLine="482" w:firstLineChars="200"/>
        <w:jc w:val="left"/>
        <w:rPr>
          <w:rFonts w:hint="eastAsia" w:asciiTheme="minorEastAsia" w:hAnsiTheme="minorEastAsia"/>
          <w:color w:val="auto"/>
          <w:sz w:val="24"/>
        </w:rPr>
      </w:pPr>
      <w:r>
        <w:rPr>
          <w:rFonts w:hint="eastAsia" w:asciiTheme="minorEastAsia" w:hAnsiTheme="minorEastAsia"/>
          <w:color w:val="auto"/>
          <w:sz w:val="24"/>
        </w:rPr>
        <w:t>为便于出版者与编者工作的衔接，供应商应具备与书稿匹配的经专业素养及把控能力。</w:t>
      </w:r>
    </w:p>
    <w:p>
      <w:pPr>
        <w:spacing w:line="560" w:lineRule="exact"/>
        <w:ind w:left="481" w:leftChars="228" w:firstLine="0" w:firstLineChars="0"/>
        <w:jc w:val="left"/>
        <w:rPr>
          <w:rFonts w:hint="eastAsia" w:asciiTheme="minorEastAsia" w:hAnsiTheme="minorEastAsia"/>
          <w:color w:val="auto"/>
          <w:sz w:val="24"/>
        </w:rPr>
      </w:pPr>
      <w:r>
        <w:rPr>
          <w:rFonts w:hint="eastAsia" w:ascii="宋体" w:hAnsi="宋体"/>
          <w:color w:val="auto"/>
          <w:sz w:val="24"/>
        </w:rPr>
        <w:t>★</w:t>
      </w:r>
      <w:r>
        <w:rPr>
          <w:rFonts w:hint="eastAsia" w:asciiTheme="minorEastAsia" w:hAnsiTheme="minorEastAsia"/>
          <w:color w:val="auto"/>
          <w:sz w:val="24"/>
        </w:rPr>
        <w:t>一是要具有丰富的地方志、地名志类书籍出版经验且有长期与高校合作的经验，</w:t>
      </w:r>
    </w:p>
    <w:p>
      <w:pPr>
        <w:spacing w:line="560" w:lineRule="exact"/>
        <w:ind w:firstLine="482" w:firstLineChars="200"/>
        <w:jc w:val="left"/>
        <w:rPr>
          <w:rFonts w:asciiTheme="minorEastAsia" w:hAnsiTheme="minorEastAsia"/>
          <w:color w:val="auto"/>
          <w:sz w:val="24"/>
        </w:rPr>
      </w:pPr>
      <w:r>
        <w:rPr>
          <w:rFonts w:hint="eastAsia" w:ascii="宋体" w:hAnsi="宋体"/>
          <w:color w:val="auto"/>
          <w:sz w:val="24"/>
        </w:rPr>
        <w:t>★</w:t>
      </w:r>
      <w:r>
        <w:rPr>
          <w:rFonts w:hint="eastAsia" w:asciiTheme="minorEastAsia" w:hAnsiTheme="minorEastAsia"/>
          <w:color w:val="auto"/>
          <w:sz w:val="24"/>
        </w:rPr>
        <w:t>二是编辑力量雄厚，有10人以上拥有个资深编辑（副编审以上技术职称人员）队伍，确保编辑出版工作的顺利进行。</w:t>
      </w:r>
    </w:p>
    <w:p>
      <w:pPr>
        <w:spacing w:line="560" w:lineRule="exact"/>
        <w:ind w:firstLine="482" w:firstLineChars="200"/>
        <w:jc w:val="left"/>
        <w:rPr>
          <w:rFonts w:asciiTheme="minorEastAsia" w:hAnsiTheme="minorEastAsia"/>
          <w:color w:val="auto"/>
          <w:sz w:val="24"/>
        </w:rPr>
      </w:pPr>
      <w:r>
        <w:rPr>
          <w:rFonts w:hint="eastAsia" w:asciiTheme="minorEastAsia" w:hAnsiTheme="minorEastAsia"/>
          <w:color w:val="auto"/>
          <w:sz w:val="24"/>
        </w:rPr>
        <w:t>2、著作质量要求</w:t>
      </w:r>
    </w:p>
    <w:p>
      <w:pPr>
        <w:spacing w:line="560" w:lineRule="exact"/>
        <w:ind w:firstLine="482" w:firstLineChars="200"/>
        <w:jc w:val="left"/>
        <w:rPr>
          <w:rFonts w:asciiTheme="minorEastAsia" w:hAnsiTheme="minorEastAsia"/>
          <w:color w:val="auto"/>
          <w:sz w:val="24"/>
        </w:rPr>
      </w:pPr>
      <w:r>
        <w:rPr>
          <w:rFonts w:hint="eastAsia" w:asciiTheme="minorEastAsia" w:hAnsiTheme="minorEastAsia"/>
          <w:color w:val="auto"/>
          <w:sz w:val="24"/>
        </w:rPr>
        <w:t>必须保证著作正版，满足印刷行业标准，《阳新县地名志》共计约180万字，彩图页数为25页，需插入地图24份，著作责编要三审三核，差错率应低于0.25/10000。内文须墨色均匀、图片清晰、套印准确、书版干净、尺寸规范，所用图片要求精修，调色；印刷标准具体参数要求如下：</w:t>
      </w:r>
    </w:p>
    <w:p>
      <w:pPr>
        <w:spacing w:line="560" w:lineRule="exact"/>
        <w:ind w:firstLine="482" w:firstLineChars="200"/>
        <w:jc w:val="left"/>
        <w:rPr>
          <w:rFonts w:asciiTheme="minorEastAsia" w:hAnsiTheme="minorEastAsia"/>
          <w:color w:val="auto"/>
          <w:sz w:val="24"/>
        </w:rPr>
      </w:pPr>
      <w:r>
        <w:rPr>
          <w:rFonts w:hint="eastAsia" w:asciiTheme="minorEastAsia" w:hAnsiTheme="minorEastAsia"/>
          <w:color w:val="auto"/>
          <w:sz w:val="24"/>
        </w:rPr>
        <w:t>规格：210mm×285mm，大16开本精装，简体横排，版心大小设置为174 mm×220mm，顶空32mm，下空33mm，左右空18mm。内文字与字号基本要求严格按《湖北省县市区地名志编纂规范》文件要求操作。分上、下册，共印数2000套（另赠送样书60套）。</w:t>
      </w:r>
      <w:r>
        <w:rPr>
          <w:rFonts w:hint="eastAsia"/>
          <w:color w:val="auto"/>
          <w:sz w:val="24"/>
        </w:rPr>
        <w:t>书籍物包装采用特制提袋</w:t>
      </w:r>
      <w:r>
        <w:rPr>
          <w:rFonts w:hint="eastAsia" w:asciiTheme="minorEastAsia" w:hAnsiTheme="minorEastAsia"/>
          <w:color w:val="auto"/>
          <w:sz w:val="24"/>
        </w:rPr>
        <w:t>。</w:t>
      </w:r>
    </w:p>
    <w:p>
      <w:pPr>
        <w:spacing w:line="560" w:lineRule="exact"/>
        <w:ind w:firstLine="482" w:firstLineChars="200"/>
        <w:jc w:val="left"/>
        <w:rPr>
          <w:rFonts w:asciiTheme="minorEastAsia" w:hAnsiTheme="minorEastAsia"/>
          <w:color w:val="auto"/>
          <w:sz w:val="24"/>
        </w:rPr>
      </w:pPr>
      <w:r>
        <w:rPr>
          <w:rFonts w:hint="eastAsia" w:asciiTheme="minorEastAsia" w:hAnsiTheme="minorEastAsia"/>
          <w:color w:val="auto"/>
          <w:sz w:val="24"/>
        </w:rPr>
        <w:t>封面及内封：封面及内封按照美观、大方、庄重的原则，按湖北省统一设计制作。</w:t>
      </w:r>
    </w:p>
    <w:p>
      <w:pPr>
        <w:spacing w:line="560" w:lineRule="exact"/>
        <w:ind w:firstLine="482" w:firstLineChars="200"/>
        <w:jc w:val="left"/>
        <w:rPr>
          <w:rFonts w:asciiTheme="minorEastAsia" w:hAnsiTheme="minorEastAsia"/>
          <w:color w:val="auto"/>
          <w:sz w:val="24"/>
        </w:rPr>
      </w:pPr>
      <w:r>
        <w:rPr>
          <w:rFonts w:hint="eastAsia" w:asciiTheme="minorEastAsia" w:hAnsiTheme="minorEastAsia"/>
          <w:color w:val="auto"/>
          <w:sz w:val="24"/>
        </w:rPr>
        <w:t>材质：硬封用特种纸张特种工艺制作，内封样式基本与封面同，使用与封面协调的特种纸，纹理、厚薄视情况酌定。</w:t>
      </w:r>
    </w:p>
    <w:p>
      <w:pPr>
        <w:spacing w:line="560" w:lineRule="exact"/>
        <w:ind w:firstLine="482" w:firstLineChars="200"/>
        <w:jc w:val="left"/>
        <w:rPr>
          <w:rFonts w:asciiTheme="minorEastAsia" w:hAnsiTheme="minorEastAsia"/>
          <w:color w:val="auto"/>
          <w:sz w:val="24"/>
        </w:rPr>
      </w:pPr>
      <w:r>
        <w:rPr>
          <w:rFonts w:hint="eastAsia" w:asciiTheme="minorEastAsia" w:hAnsiTheme="minorEastAsia"/>
          <w:color w:val="auto"/>
          <w:sz w:val="24"/>
        </w:rPr>
        <w:t>3、版权所有</w:t>
      </w:r>
    </w:p>
    <w:p>
      <w:pPr>
        <w:spacing w:line="560" w:lineRule="exact"/>
        <w:ind w:firstLine="482" w:firstLineChars="200"/>
        <w:jc w:val="left"/>
        <w:rPr>
          <w:rFonts w:asciiTheme="minorEastAsia" w:hAnsiTheme="minorEastAsia"/>
          <w:color w:val="auto"/>
          <w:sz w:val="24"/>
        </w:rPr>
      </w:pPr>
      <w:r>
        <w:rPr>
          <w:rFonts w:hint="eastAsia" w:asciiTheme="minorEastAsia" w:hAnsiTheme="minorEastAsia"/>
          <w:color w:val="auto"/>
          <w:sz w:val="24"/>
        </w:rPr>
        <w:t>专著出版后，成交供应商要将书稿电子版（终审版）一并提供给采购人，版权归采购人所有。未经许可，成交供应商不得擅自提供给第三方。</w:t>
      </w:r>
    </w:p>
    <w:p>
      <w:pPr>
        <w:spacing w:line="560" w:lineRule="exact"/>
        <w:rPr>
          <w:color w:val="auto"/>
        </w:rPr>
      </w:pPr>
    </w:p>
    <w:p>
      <w:pPr>
        <w:keepNext/>
        <w:keepLines/>
        <w:numPr>
          <w:ilvl w:val="0"/>
          <w:numId w:val="38"/>
        </w:numPr>
        <w:spacing w:line="560" w:lineRule="exact"/>
        <w:ind w:left="616" w:hanging="616"/>
        <w:jc w:val="left"/>
        <w:outlineLvl w:val="1"/>
        <w:rPr>
          <w:rFonts w:ascii="宋体" w:hAnsi="宋体"/>
          <w:b/>
          <w:bCs/>
          <w:color w:val="auto"/>
          <w:sz w:val="28"/>
          <w:szCs w:val="28"/>
        </w:rPr>
      </w:pPr>
      <w:bookmarkStart w:id="54" w:name="_Toc17290"/>
      <w:r>
        <w:rPr>
          <w:rFonts w:hint="eastAsia" w:ascii="黑体" w:hAnsi="黑体" w:eastAsia="黑体" w:cs="黑体"/>
          <w:color w:val="auto"/>
          <w:sz w:val="28"/>
          <w:szCs w:val="28"/>
        </w:rPr>
        <w:t>商务要求</w:t>
      </w:r>
      <w:bookmarkEnd w:id="54"/>
    </w:p>
    <w:p>
      <w:pPr>
        <w:spacing w:line="560" w:lineRule="exact"/>
        <w:ind w:firstLine="482" w:firstLineChars="200"/>
        <w:jc w:val="left"/>
        <w:rPr>
          <w:rFonts w:asciiTheme="minorEastAsia" w:hAnsiTheme="minorEastAsia"/>
          <w:color w:val="auto"/>
          <w:sz w:val="24"/>
        </w:rPr>
      </w:pPr>
      <w:r>
        <w:rPr>
          <w:rFonts w:hint="eastAsia" w:asciiTheme="minorEastAsia" w:hAnsiTheme="minorEastAsia"/>
          <w:color w:val="auto"/>
          <w:sz w:val="24"/>
        </w:rPr>
        <w:t>1、服务期限：5个月。</w:t>
      </w:r>
    </w:p>
    <w:p>
      <w:pPr>
        <w:spacing w:line="560" w:lineRule="exact"/>
        <w:ind w:firstLine="482" w:firstLineChars="200"/>
        <w:jc w:val="left"/>
        <w:rPr>
          <w:rFonts w:asciiTheme="minorEastAsia" w:hAnsiTheme="minorEastAsia"/>
          <w:color w:val="auto"/>
          <w:sz w:val="24"/>
        </w:rPr>
      </w:pPr>
      <w:r>
        <w:rPr>
          <w:rFonts w:hint="eastAsia" w:asciiTheme="minorEastAsia" w:hAnsiTheme="minorEastAsia"/>
          <w:color w:val="auto"/>
          <w:sz w:val="24"/>
        </w:rPr>
        <w:t>2、付款方式：</w:t>
      </w:r>
      <w:r>
        <w:rPr>
          <w:rFonts w:ascii="宋体" w:hAnsi="宋体" w:eastAsia="宋体" w:cs="宋体"/>
          <w:color w:val="auto"/>
          <w:kern w:val="0"/>
          <w:sz w:val="24"/>
          <w:szCs w:val="24"/>
        </w:rPr>
        <w:t>本项目无预付款，出版物定稿后经采购方验收合格支付一部分费用，预留5万元在出版物印刷合格并安全送达后一月内支付。</w:t>
      </w:r>
    </w:p>
    <w:p>
      <w:pPr>
        <w:spacing w:line="560" w:lineRule="exact"/>
        <w:ind w:firstLine="241" w:firstLineChars="100"/>
        <w:jc w:val="left"/>
        <w:rPr>
          <w:rFonts w:asciiTheme="minorEastAsia" w:hAnsiTheme="minorEastAsia"/>
          <w:color w:val="auto"/>
          <w:sz w:val="24"/>
        </w:rPr>
      </w:pPr>
      <w:r>
        <w:rPr>
          <w:rFonts w:hint="eastAsia" w:ascii="宋体" w:hAnsi="宋体"/>
          <w:color w:val="auto"/>
          <w:sz w:val="24"/>
        </w:rPr>
        <w:t>★</w:t>
      </w:r>
      <w:r>
        <w:rPr>
          <w:rFonts w:hint="eastAsia" w:asciiTheme="minorEastAsia" w:hAnsiTheme="minorEastAsia"/>
          <w:color w:val="auto"/>
          <w:sz w:val="24"/>
        </w:rPr>
        <w:t>3、供应商所承印的著作质量必须满足本次采购要求，实行“三包一免”包换、包退、包赔、免费送货上门服务。</w:t>
      </w:r>
    </w:p>
    <w:p>
      <w:pPr>
        <w:spacing w:line="560" w:lineRule="exact"/>
        <w:ind w:firstLine="482" w:firstLineChars="200"/>
        <w:jc w:val="left"/>
        <w:rPr>
          <w:rFonts w:asciiTheme="minorEastAsia" w:hAnsiTheme="minorEastAsia"/>
          <w:color w:val="auto"/>
          <w:sz w:val="24"/>
        </w:rPr>
      </w:pPr>
      <w:r>
        <w:rPr>
          <w:rFonts w:hint="eastAsia" w:asciiTheme="minorEastAsia" w:hAnsiTheme="minorEastAsia"/>
          <w:color w:val="auto"/>
          <w:sz w:val="24"/>
        </w:rPr>
        <w:t>4、交货期：合同签订时约定。</w:t>
      </w:r>
    </w:p>
    <w:p>
      <w:pPr>
        <w:spacing w:line="560" w:lineRule="exact"/>
        <w:ind w:firstLine="482" w:firstLineChars="200"/>
        <w:jc w:val="left"/>
        <w:rPr>
          <w:rFonts w:asciiTheme="minorEastAsia" w:hAnsiTheme="minorEastAsia"/>
          <w:sz w:val="24"/>
        </w:rPr>
      </w:pPr>
      <w:r>
        <w:rPr>
          <w:rFonts w:hint="eastAsia" w:asciiTheme="minorEastAsia" w:hAnsiTheme="minorEastAsia"/>
          <w:sz w:val="24"/>
        </w:rPr>
        <w:t>5、交货地点：阳新县民政局指定地点。</w:t>
      </w:r>
    </w:p>
    <w:p>
      <w:pPr>
        <w:spacing w:line="560" w:lineRule="exact"/>
        <w:ind w:firstLine="482" w:firstLineChars="200"/>
        <w:jc w:val="left"/>
        <w:rPr>
          <w:rFonts w:asciiTheme="minorEastAsia" w:hAnsiTheme="minorEastAsia"/>
          <w:color w:val="auto"/>
          <w:sz w:val="24"/>
        </w:rPr>
      </w:pPr>
      <w:r>
        <w:rPr>
          <w:rFonts w:hint="eastAsia" w:asciiTheme="minorEastAsia" w:hAnsiTheme="minorEastAsia"/>
          <w:color w:val="auto"/>
          <w:sz w:val="24"/>
        </w:rPr>
        <w:t>6、项目验收：采购人组织验收，在项目验收单上签字确认。</w:t>
      </w:r>
    </w:p>
    <w:p>
      <w:pPr>
        <w:spacing w:line="560" w:lineRule="exact"/>
        <w:ind w:firstLine="241" w:firstLineChars="100"/>
        <w:jc w:val="left"/>
        <w:rPr>
          <w:rFonts w:asciiTheme="minorEastAsia" w:hAnsiTheme="minorEastAsia"/>
          <w:color w:val="auto"/>
          <w:sz w:val="24"/>
        </w:rPr>
      </w:pPr>
      <w:r>
        <w:rPr>
          <w:rFonts w:hint="eastAsia" w:ascii="宋体" w:hAnsi="宋体"/>
          <w:color w:val="auto"/>
          <w:sz w:val="24"/>
        </w:rPr>
        <w:t>★</w:t>
      </w:r>
      <w:r>
        <w:rPr>
          <w:rFonts w:hint="eastAsia" w:asciiTheme="minorEastAsia" w:hAnsiTheme="minorEastAsia"/>
          <w:color w:val="auto"/>
          <w:sz w:val="24"/>
        </w:rPr>
        <w:t>7、报价应包含校对、审稿、设计、印刷、装订、运输、保险、税费等所有用。</w:t>
      </w:r>
    </w:p>
    <w:p>
      <w:pPr>
        <w:spacing w:line="560" w:lineRule="exact"/>
        <w:ind w:firstLine="482" w:firstLineChars="200"/>
        <w:jc w:val="left"/>
        <w:rPr>
          <w:rFonts w:asciiTheme="minorEastAsia" w:hAnsiTheme="minorEastAsia"/>
          <w:sz w:val="24"/>
        </w:rPr>
      </w:pPr>
      <w:r>
        <w:rPr>
          <w:rFonts w:hint="eastAsia" w:asciiTheme="minorEastAsia" w:hAnsiTheme="minorEastAsia"/>
          <w:color w:val="auto"/>
          <w:sz w:val="24"/>
        </w:rPr>
        <w:t>8、一经中标，即视为承诺其不改变所报最终价格且保证服务，因市场变化而产生的一切风险由报价供应商承担</w:t>
      </w:r>
      <w:r>
        <w:rPr>
          <w:rFonts w:hint="eastAsia" w:asciiTheme="minorEastAsia" w:hAnsiTheme="minorEastAsia"/>
          <w:sz w:val="24"/>
        </w:rPr>
        <w:t>。</w:t>
      </w:r>
    </w:p>
    <w:p>
      <w:pPr>
        <w:spacing w:line="480" w:lineRule="exact"/>
        <w:rPr>
          <w:rFonts w:ascii="黑体" w:hAnsi="黑体" w:eastAsia="黑体" w:cs="黑体"/>
          <w:b/>
          <w:sz w:val="28"/>
          <w:szCs w:val="28"/>
        </w:rPr>
      </w:pPr>
    </w:p>
    <w:p>
      <w:pPr>
        <w:pStyle w:val="2"/>
        <w:ind w:left="423"/>
        <w:rPr>
          <w:rFonts w:ascii="黑体" w:hAnsi="黑体" w:eastAsia="黑体" w:cs="黑体"/>
          <w:sz w:val="28"/>
          <w:szCs w:val="28"/>
        </w:rPr>
      </w:pPr>
    </w:p>
    <w:p>
      <w:pPr>
        <w:rPr>
          <w:rFonts w:ascii="黑体" w:hAnsi="黑体" w:eastAsia="黑体" w:cs="黑体"/>
          <w:sz w:val="28"/>
          <w:szCs w:val="28"/>
        </w:rPr>
      </w:pPr>
      <w:r>
        <w:rPr>
          <w:rFonts w:hint="eastAsia" w:ascii="黑体" w:hAnsi="黑体" w:eastAsia="黑体" w:cs="黑体"/>
          <w:sz w:val="28"/>
          <w:szCs w:val="28"/>
        </w:rPr>
        <w:br w:type="page"/>
      </w:r>
    </w:p>
    <w:p>
      <w:pPr>
        <w:pStyle w:val="4"/>
        <w:numPr>
          <w:ilvl w:val="0"/>
          <w:numId w:val="2"/>
        </w:numPr>
        <w:jc w:val="center"/>
        <w:rPr>
          <w:rFonts w:ascii="黑体" w:hAnsi="黑体" w:eastAsia="黑体"/>
        </w:rPr>
      </w:pPr>
      <w:bookmarkStart w:id="55" w:name="_Toc30091"/>
      <w:r>
        <w:rPr>
          <w:rFonts w:hint="eastAsia" w:ascii="黑体" w:hAnsi="黑体" w:eastAsia="黑体"/>
        </w:rPr>
        <w:t>资格审查方法及标准</w:t>
      </w:r>
      <w:bookmarkEnd w:id="55"/>
    </w:p>
    <w:p>
      <w:pPr>
        <w:spacing w:line="360" w:lineRule="auto"/>
        <w:ind w:firstLine="420"/>
        <w:rPr>
          <w:rFonts w:ascii="宋体" w:hAnsi="宋体" w:eastAsia="宋体" w:cs="Times New Roman"/>
          <w:bCs/>
          <w:color w:val="0D0D0D"/>
          <w:sz w:val="24"/>
          <w:szCs w:val="20"/>
          <w:lang w:val="zh-CN"/>
        </w:rPr>
      </w:pPr>
      <w:r>
        <w:rPr>
          <w:rFonts w:hint="eastAsia" w:ascii="宋体" w:hAnsi="宋体" w:eastAsia="宋体" w:cs="Times New Roman"/>
          <w:bCs/>
          <w:color w:val="0D0D0D"/>
          <w:sz w:val="24"/>
          <w:szCs w:val="20"/>
          <w:lang w:val="zh-CN"/>
        </w:rPr>
        <w:t>根据《政府采购法》、《政府采购法实施条例》、《政府采购货物和服务招标投标管理办法》等相关法律法规确定以下资格审查方法及标准。</w:t>
      </w:r>
    </w:p>
    <w:p>
      <w:pPr>
        <w:pStyle w:val="5"/>
        <w:numPr>
          <w:ilvl w:val="0"/>
          <w:numId w:val="39"/>
        </w:numPr>
        <w:spacing w:before="0" w:after="0" w:line="360" w:lineRule="auto"/>
        <w:ind w:left="616" w:hanging="616"/>
        <w:jc w:val="left"/>
        <w:rPr>
          <w:rFonts w:cs="Times New Roman" w:asciiTheme="majorEastAsia" w:hAnsiTheme="majorEastAsia"/>
          <w:bCs w:val="0"/>
          <w:sz w:val="30"/>
          <w:szCs w:val="30"/>
          <w:lang w:val="zh-CN"/>
        </w:rPr>
      </w:pPr>
      <w:bookmarkStart w:id="56" w:name="_Toc494561958"/>
      <w:bookmarkStart w:id="57" w:name="_Toc12254"/>
      <w:r>
        <w:rPr>
          <w:rFonts w:hint="eastAsia" w:cs="Times New Roman" w:asciiTheme="majorEastAsia" w:hAnsiTheme="majorEastAsia"/>
          <w:bCs w:val="0"/>
          <w:sz w:val="30"/>
          <w:szCs w:val="30"/>
          <w:lang w:val="zh-CN"/>
        </w:rPr>
        <w:t>资格审查方法</w:t>
      </w:r>
      <w:bookmarkEnd w:id="56"/>
      <w:bookmarkEnd w:id="57"/>
    </w:p>
    <w:p>
      <w:pPr>
        <w:spacing w:line="360" w:lineRule="auto"/>
        <w:ind w:firstLine="420"/>
        <w:rPr>
          <w:rFonts w:ascii="宋体" w:hAnsi="宋体" w:eastAsia="宋体" w:cs="Times New Roman"/>
          <w:bCs/>
          <w:color w:val="0D0D0D"/>
          <w:sz w:val="24"/>
          <w:szCs w:val="20"/>
          <w:lang w:val="zh-CN"/>
        </w:rPr>
      </w:pPr>
      <w:r>
        <w:rPr>
          <w:rFonts w:hint="eastAsia" w:ascii="宋体" w:hAnsi="宋体" w:eastAsia="宋体" w:cs="Times New Roman"/>
          <w:bCs/>
          <w:color w:val="0D0D0D"/>
          <w:sz w:val="24"/>
          <w:szCs w:val="20"/>
          <w:lang w:val="zh-CN"/>
        </w:rPr>
        <w:t>公开招标采购项目开标结束后，采购人成立资格审查小组，依据法律、法规及招标文件的规定，对投标人的资格进行审查，以确定投标人资格是否合格。</w:t>
      </w:r>
    </w:p>
    <w:p>
      <w:pPr>
        <w:pStyle w:val="5"/>
        <w:numPr>
          <w:ilvl w:val="0"/>
          <w:numId w:val="39"/>
        </w:numPr>
        <w:spacing w:before="0" w:after="0" w:line="360" w:lineRule="auto"/>
        <w:ind w:left="616" w:hanging="616"/>
        <w:jc w:val="left"/>
        <w:rPr>
          <w:rFonts w:cs="Times New Roman" w:asciiTheme="majorEastAsia" w:hAnsiTheme="majorEastAsia"/>
          <w:bCs w:val="0"/>
          <w:sz w:val="30"/>
          <w:szCs w:val="30"/>
          <w:lang w:val="zh-CN"/>
        </w:rPr>
      </w:pPr>
      <w:bookmarkStart w:id="58" w:name="_Toc494561959"/>
      <w:bookmarkStart w:id="59" w:name="_Toc29268"/>
      <w:r>
        <w:rPr>
          <w:rFonts w:hint="eastAsia" w:cs="Times New Roman" w:asciiTheme="majorEastAsia" w:hAnsiTheme="majorEastAsia"/>
          <w:bCs w:val="0"/>
          <w:sz w:val="30"/>
          <w:szCs w:val="30"/>
          <w:lang w:val="zh-CN"/>
        </w:rPr>
        <w:t>资格审查标准</w:t>
      </w:r>
      <w:bookmarkEnd w:id="58"/>
      <w:bookmarkEnd w:id="59"/>
    </w:p>
    <w:p>
      <w:pPr>
        <w:numPr>
          <w:ilvl w:val="0"/>
          <w:numId w:val="40"/>
        </w:numPr>
        <w:tabs>
          <w:tab w:val="left" w:pos="616"/>
        </w:tabs>
        <w:spacing w:line="360" w:lineRule="auto"/>
        <w:ind w:left="14" w:firstLine="238"/>
        <w:rPr>
          <w:rFonts w:ascii="宋体" w:hAnsi="宋体" w:eastAsia="宋体" w:cs="Times New Roman"/>
          <w:b/>
          <w:color w:val="0D0D0D"/>
          <w:sz w:val="24"/>
          <w:szCs w:val="24"/>
          <w:lang w:val="zh-CN"/>
        </w:rPr>
      </w:pPr>
      <w:r>
        <w:rPr>
          <w:rFonts w:hint="eastAsia" w:ascii="宋体" w:hAnsi="宋体" w:eastAsia="宋体" w:cs="Times New Roman"/>
          <w:b/>
          <w:color w:val="0D0D0D"/>
          <w:sz w:val="24"/>
          <w:szCs w:val="24"/>
          <w:lang w:val="zh-CN"/>
        </w:rPr>
        <w:t>资格证明文件审查</w:t>
      </w:r>
    </w:p>
    <w:p>
      <w:pPr>
        <w:tabs>
          <w:tab w:val="left" w:pos="616"/>
        </w:tabs>
        <w:spacing w:line="360" w:lineRule="auto"/>
        <w:ind w:firstLine="420"/>
        <w:rPr>
          <w:rFonts w:ascii="Helvetica" w:hAnsi="Helvetica" w:eastAsia="宋体" w:cs="Helvetica"/>
          <w:b/>
          <w:color w:val="0D0D0D"/>
          <w:kern w:val="0"/>
          <w:sz w:val="24"/>
          <w:szCs w:val="24"/>
          <w:lang w:val="zh-CN"/>
        </w:rPr>
      </w:pPr>
      <w:r>
        <w:rPr>
          <w:rFonts w:hint="eastAsia" w:ascii="Helvetica" w:hAnsi="Helvetica" w:eastAsia="宋体" w:cs="Helvetica"/>
          <w:color w:val="0D0D0D"/>
          <w:kern w:val="0"/>
          <w:sz w:val="24"/>
          <w:szCs w:val="24"/>
          <w:lang w:val="zh-CN"/>
        </w:rPr>
        <w:t>所递交的资格证明文件出现不符合下列情形之一或不足以证明其符合下列情形之一的，应视为资格审查不合格，并按照</w:t>
      </w:r>
      <w:r>
        <w:rPr>
          <w:rFonts w:hint="eastAsia" w:ascii="Helvetica" w:hAnsi="Helvetica" w:eastAsia="宋体" w:cs="Helvetica"/>
          <w:b/>
          <w:color w:val="0D0D0D"/>
          <w:kern w:val="0"/>
          <w:sz w:val="24"/>
          <w:szCs w:val="24"/>
          <w:lang w:val="zh-CN"/>
        </w:rPr>
        <w:t>无效投标处理：</w:t>
      </w:r>
    </w:p>
    <w:p>
      <w:pPr>
        <w:pStyle w:val="37"/>
        <w:numPr>
          <w:ilvl w:val="0"/>
          <w:numId w:val="41"/>
        </w:numPr>
        <w:tabs>
          <w:tab w:val="left" w:pos="840"/>
        </w:tabs>
        <w:spacing w:line="360" w:lineRule="auto"/>
        <w:ind w:hanging="602" w:firstLineChars="0"/>
        <w:rPr>
          <w:rFonts w:ascii="宋体" w:hAnsi="宋体" w:eastAsia="宋体" w:cs="Times New Roman"/>
          <w:sz w:val="24"/>
          <w:szCs w:val="24"/>
          <w:lang w:val="zh-CN"/>
        </w:rPr>
      </w:pPr>
      <w:r>
        <w:rPr>
          <w:rFonts w:hint="eastAsia" w:ascii="宋体" w:hAnsi="宋体" w:eastAsia="宋体" w:cs="Times New Roman"/>
          <w:sz w:val="24"/>
          <w:szCs w:val="24"/>
          <w:lang w:val="zh-CN"/>
        </w:rPr>
        <w:t>应具备《政府采购法》第二十二条第一款规定的条件，</w:t>
      </w:r>
      <w:r>
        <w:rPr>
          <w:rFonts w:hint="eastAsia" w:hAnsi="宋体"/>
          <w:sz w:val="24"/>
          <w:szCs w:val="24"/>
        </w:rPr>
        <w:t>提供下列材料</w:t>
      </w:r>
      <w:r>
        <w:rPr>
          <w:rFonts w:hint="eastAsia" w:ascii="宋体" w:hAnsi="宋体" w:eastAsia="宋体" w:cs="Times New Roman"/>
          <w:sz w:val="24"/>
          <w:szCs w:val="24"/>
          <w:lang w:val="zh-CN"/>
        </w:rPr>
        <w:t>：</w:t>
      </w:r>
    </w:p>
    <w:p>
      <w:pPr>
        <w:pStyle w:val="37"/>
        <w:numPr>
          <w:ilvl w:val="0"/>
          <w:numId w:val="42"/>
        </w:numPr>
        <w:tabs>
          <w:tab w:val="left" w:pos="1036"/>
        </w:tabs>
        <w:spacing w:line="360" w:lineRule="auto"/>
        <w:ind w:left="1036" w:hanging="616" w:firstLineChars="0"/>
        <w:rPr>
          <w:rFonts w:ascii="宋体" w:hAnsi="宋体" w:eastAsia="宋体" w:cs="Times New Roman"/>
          <w:sz w:val="24"/>
          <w:szCs w:val="24"/>
          <w:lang w:val="zh-CN"/>
        </w:rPr>
      </w:pPr>
      <w:r>
        <w:rPr>
          <w:rFonts w:hint="eastAsia" w:ascii="宋体" w:hAnsi="宋体" w:eastAsia="宋体" w:cs="Times New Roman"/>
          <w:sz w:val="24"/>
          <w:szCs w:val="24"/>
          <w:lang w:val="zh-CN"/>
        </w:rPr>
        <w:t>法人或者其他组织的营业执照等证明文件，自然人的身份证明；</w:t>
      </w:r>
    </w:p>
    <w:p>
      <w:pPr>
        <w:pStyle w:val="37"/>
        <w:numPr>
          <w:ilvl w:val="0"/>
          <w:numId w:val="42"/>
        </w:numPr>
        <w:tabs>
          <w:tab w:val="left" w:pos="1036"/>
        </w:tabs>
        <w:spacing w:line="360" w:lineRule="auto"/>
        <w:ind w:left="1036" w:hanging="616" w:firstLineChars="0"/>
        <w:rPr>
          <w:rFonts w:ascii="宋体" w:hAnsi="宋体" w:eastAsia="宋体" w:cs="Times New Roman"/>
          <w:color w:val="FF0000"/>
          <w:sz w:val="24"/>
          <w:szCs w:val="24"/>
          <w:lang w:val="zh-CN"/>
        </w:rPr>
      </w:pPr>
      <w:r>
        <w:rPr>
          <w:rFonts w:hint="eastAsia" w:ascii="宋体" w:hAnsi="宋体" w:eastAsia="宋体" w:cs="Times New Roman"/>
          <w:color w:val="FF0000"/>
          <w:sz w:val="24"/>
          <w:szCs w:val="24"/>
          <w:lang w:val="zh-CN"/>
        </w:rPr>
        <w:t>财务状况报告（指审计报告），依法缴纳税收（指完税证明）和社会保障资金（指缴纳社保专用发票）的相关材料（以上所有材料仅需提供投标日期起近三年中任一年均可）；</w:t>
      </w:r>
    </w:p>
    <w:p>
      <w:pPr>
        <w:pStyle w:val="37"/>
        <w:numPr>
          <w:ilvl w:val="0"/>
          <w:numId w:val="42"/>
        </w:numPr>
        <w:tabs>
          <w:tab w:val="left" w:pos="1036"/>
        </w:tabs>
        <w:spacing w:line="360" w:lineRule="auto"/>
        <w:ind w:left="1036" w:hanging="616" w:firstLineChars="0"/>
        <w:rPr>
          <w:rFonts w:ascii="宋体" w:hAnsi="宋体" w:eastAsia="宋体" w:cs="Times New Roman"/>
          <w:sz w:val="24"/>
          <w:szCs w:val="24"/>
          <w:lang w:val="zh-CN"/>
        </w:rPr>
      </w:pPr>
      <w:r>
        <w:rPr>
          <w:rFonts w:hint="eastAsia" w:ascii="宋体" w:hAnsi="宋体" w:eastAsia="宋体" w:cs="Times New Roman"/>
          <w:sz w:val="24"/>
          <w:szCs w:val="24"/>
          <w:lang w:val="zh-CN"/>
        </w:rPr>
        <w:t>具备履行合同所必需的设备和专业技术能力的证明材料；</w:t>
      </w:r>
    </w:p>
    <w:p>
      <w:pPr>
        <w:pStyle w:val="37"/>
        <w:numPr>
          <w:ilvl w:val="0"/>
          <w:numId w:val="42"/>
        </w:numPr>
        <w:tabs>
          <w:tab w:val="left" w:pos="1036"/>
        </w:tabs>
        <w:spacing w:line="360" w:lineRule="auto"/>
        <w:ind w:left="1036" w:hanging="616" w:firstLineChars="0"/>
        <w:rPr>
          <w:rFonts w:ascii="宋体" w:hAnsi="宋体" w:eastAsia="宋体" w:cs="Times New Roman"/>
          <w:sz w:val="24"/>
          <w:szCs w:val="24"/>
          <w:lang w:val="zh-CN"/>
        </w:rPr>
      </w:pPr>
      <w:r>
        <w:rPr>
          <w:rFonts w:hint="eastAsia" w:ascii="宋体" w:hAnsi="宋体" w:eastAsia="宋体" w:cs="Times New Roman"/>
          <w:sz w:val="24"/>
          <w:szCs w:val="24"/>
          <w:lang w:val="zh-CN"/>
        </w:rPr>
        <w:t>参加政府采购活动前3年内在经营活动中没有重大违法记录的书面声明；</w:t>
      </w:r>
    </w:p>
    <w:p>
      <w:pPr>
        <w:pStyle w:val="37"/>
        <w:numPr>
          <w:ilvl w:val="0"/>
          <w:numId w:val="42"/>
        </w:numPr>
        <w:tabs>
          <w:tab w:val="left" w:pos="1036"/>
        </w:tabs>
        <w:spacing w:line="360" w:lineRule="auto"/>
        <w:ind w:left="1036" w:hanging="616" w:firstLineChars="0"/>
        <w:rPr>
          <w:rFonts w:ascii="宋体" w:hAnsi="宋体" w:eastAsia="宋体" w:cs="Times New Roman"/>
          <w:sz w:val="24"/>
          <w:szCs w:val="24"/>
          <w:lang w:val="zh-CN"/>
        </w:rPr>
      </w:pPr>
      <w:r>
        <w:rPr>
          <w:rFonts w:hint="eastAsia" w:ascii="宋体" w:hAnsi="宋体" w:eastAsia="宋体" w:cs="Times New Roman"/>
          <w:sz w:val="24"/>
          <w:szCs w:val="24"/>
          <w:lang w:val="zh-CN"/>
        </w:rPr>
        <w:t>具备法律、行政法规规定的其他条件的证明材料。</w:t>
      </w:r>
    </w:p>
    <w:p>
      <w:pPr>
        <w:pStyle w:val="37"/>
        <w:numPr>
          <w:ilvl w:val="0"/>
          <w:numId w:val="41"/>
        </w:numPr>
        <w:tabs>
          <w:tab w:val="left" w:pos="840"/>
        </w:tabs>
        <w:spacing w:line="360" w:lineRule="auto"/>
        <w:ind w:hanging="602" w:firstLineChars="0"/>
        <w:rPr>
          <w:rFonts w:ascii="宋体" w:hAnsi="宋体" w:eastAsia="宋体" w:cs="Times New Roman"/>
          <w:sz w:val="24"/>
          <w:szCs w:val="24"/>
          <w:lang w:val="zh-CN"/>
        </w:rPr>
      </w:pPr>
      <w:r>
        <w:rPr>
          <w:rFonts w:hint="eastAsia" w:ascii="宋体" w:hAnsi="宋体" w:eastAsia="宋体" w:cs="Times New Roman"/>
          <w:sz w:val="24"/>
          <w:szCs w:val="24"/>
          <w:lang w:val="zh-CN"/>
        </w:rPr>
        <w:t>未被“信用中国”网站(www.creditchina.gov.cn)列入失信被执行人、重大税收违法案件当事人名单、政府采购严重违法失信行为记录名单的书面申明及该网站查询结果页面截图；</w:t>
      </w:r>
    </w:p>
    <w:p>
      <w:pPr>
        <w:pStyle w:val="37"/>
        <w:numPr>
          <w:ilvl w:val="0"/>
          <w:numId w:val="41"/>
        </w:numPr>
        <w:tabs>
          <w:tab w:val="left" w:pos="840"/>
        </w:tabs>
        <w:spacing w:line="360" w:lineRule="auto"/>
        <w:ind w:hanging="602" w:firstLineChars="0"/>
        <w:rPr>
          <w:rFonts w:ascii="宋体" w:hAnsi="宋体" w:eastAsia="宋体" w:cs="Times New Roman"/>
          <w:sz w:val="24"/>
          <w:szCs w:val="24"/>
          <w:lang w:val="zh-CN"/>
        </w:rPr>
      </w:pPr>
      <w:r>
        <w:rPr>
          <w:rFonts w:hint="eastAsia" w:ascii="宋体" w:hAnsi="宋体" w:eastAsia="宋体" w:cs="Times New Roman"/>
          <w:sz w:val="24"/>
          <w:szCs w:val="24"/>
          <w:lang w:val="zh-CN"/>
        </w:rPr>
        <w:t>招标文件第一章“投标人资格要求”中有特殊要求的，投标人应提供其符合特殊要求的证明材料或者情况说明；</w:t>
      </w:r>
    </w:p>
    <w:p>
      <w:pPr>
        <w:pStyle w:val="37"/>
        <w:numPr>
          <w:ilvl w:val="0"/>
          <w:numId w:val="41"/>
        </w:numPr>
        <w:tabs>
          <w:tab w:val="left" w:pos="840"/>
        </w:tabs>
        <w:spacing w:line="360" w:lineRule="auto"/>
        <w:ind w:hanging="602" w:firstLineChars="0"/>
        <w:rPr>
          <w:rFonts w:ascii="宋体" w:hAnsi="宋体" w:eastAsia="宋体" w:cs="Times New Roman"/>
          <w:sz w:val="24"/>
          <w:szCs w:val="24"/>
          <w:lang w:val="zh-CN"/>
        </w:rPr>
      </w:pPr>
      <w:r>
        <w:rPr>
          <w:rFonts w:hint="eastAsia" w:ascii="宋体" w:hAnsi="宋体" w:eastAsia="宋体" w:cs="Times New Roman"/>
          <w:sz w:val="24"/>
          <w:szCs w:val="24"/>
          <w:lang w:val="zh-CN"/>
        </w:rPr>
        <w:t>不符合联合体投标相关规定和要求的；</w:t>
      </w:r>
    </w:p>
    <w:p>
      <w:pPr>
        <w:pStyle w:val="37"/>
        <w:numPr>
          <w:ilvl w:val="0"/>
          <w:numId w:val="41"/>
        </w:numPr>
        <w:tabs>
          <w:tab w:val="left" w:pos="840"/>
        </w:tabs>
        <w:spacing w:line="360" w:lineRule="auto"/>
        <w:ind w:hanging="602" w:firstLineChars="0"/>
        <w:rPr>
          <w:rFonts w:ascii="宋体" w:hAnsi="宋体" w:eastAsia="宋体" w:cs="Times New Roman"/>
          <w:sz w:val="24"/>
          <w:szCs w:val="24"/>
          <w:lang w:val="zh-CN"/>
        </w:rPr>
      </w:pPr>
      <w:r>
        <w:rPr>
          <w:rFonts w:hint="eastAsia" w:ascii="宋体" w:hAnsi="宋体" w:eastAsia="宋体" w:cs="Times New Roman"/>
          <w:sz w:val="24"/>
          <w:szCs w:val="24"/>
          <w:lang w:val="zh-CN"/>
        </w:rPr>
        <w:t>投标人认为需提供的其它相关资格证明材料；</w:t>
      </w:r>
    </w:p>
    <w:p>
      <w:pPr>
        <w:pStyle w:val="37"/>
        <w:numPr>
          <w:ilvl w:val="0"/>
          <w:numId w:val="41"/>
        </w:numPr>
        <w:tabs>
          <w:tab w:val="left" w:pos="840"/>
        </w:tabs>
        <w:spacing w:line="360" w:lineRule="auto"/>
        <w:ind w:hanging="602" w:firstLineChars="0"/>
        <w:rPr>
          <w:rFonts w:ascii="宋体" w:hAnsi="宋体" w:eastAsia="宋体" w:cs="Times New Roman"/>
          <w:sz w:val="24"/>
          <w:szCs w:val="24"/>
          <w:lang w:val="zh-CN"/>
        </w:rPr>
      </w:pPr>
      <w:r>
        <w:rPr>
          <w:rFonts w:hint="eastAsia" w:ascii="宋体" w:hAnsi="宋体" w:eastAsia="宋体" w:cs="Times New Roman"/>
          <w:sz w:val="24"/>
          <w:szCs w:val="24"/>
          <w:lang w:val="zh-CN"/>
        </w:rPr>
        <w:t>资格证明文件正本应为清晰彩色影印件且加盖单位公章。</w:t>
      </w:r>
    </w:p>
    <w:p>
      <w:pPr>
        <w:numPr>
          <w:ilvl w:val="0"/>
          <w:numId w:val="40"/>
        </w:numPr>
        <w:tabs>
          <w:tab w:val="left" w:pos="616"/>
        </w:tabs>
        <w:spacing w:line="360" w:lineRule="auto"/>
        <w:ind w:left="14" w:firstLine="238"/>
        <w:rPr>
          <w:rFonts w:ascii="宋体" w:hAnsi="宋体" w:eastAsia="宋体" w:cs="Times New Roman"/>
          <w:b/>
          <w:sz w:val="24"/>
          <w:szCs w:val="24"/>
          <w:lang w:val="zh-CN"/>
        </w:rPr>
      </w:pPr>
      <w:r>
        <w:rPr>
          <w:rFonts w:hint="eastAsia" w:ascii="宋体" w:hAnsi="宋体" w:eastAsia="宋体" w:cs="Times New Roman"/>
          <w:b/>
          <w:sz w:val="24"/>
          <w:szCs w:val="24"/>
          <w:lang w:val="zh-CN"/>
        </w:rPr>
        <w:t>确定资格审查合格投标人</w:t>
      </w:r>
    </w:p>
    <w:p>
      <w:pPr>
        <w:pStyle w:val="37"/>
        <w:numPr>
          <w:ilvl w:val="0"/>
          <w:numId w:val="43"/>
        </w:numPr>
        <w:tabs>
          <w:tab w:val="left" w:pos="840"/>
        </w:tabs>
        <w:spacing w:line="360" w:lineRule="auto"/>
        <w:ind w:hanging="602" w:firstLineChars="0"/>
        <w:rPr>
          <w:rFonts w:ascii="宋体" w:hAnsi="宋体" w:eastAsia="宋体" w:cs="Times New Roman"/>
          <w:sz w:val="24"/>
          <w:szCs w:val="24"/>
          <w:lang w:val="zh-CN"/>
        </w:rPr>
      </w:pPr>
      <w:r>
        <w:rPr>
          <w:rFonts w:hint="eastAsia" w:ascii="宋体" w:hAnsi="宋体" w:eastAsia="宋体" w:cs="Times New Roman"/>
          <w:sz w:val="24"/>
          <w:szCs w:val="24"/>
          <w:lang w:val="zh-CN"/>
        </w:rPr>
        <w:t>资格审查小组按照本章“资格审查方法及标准”，对各投标人资格证明文件进行审查。资格审查小组依据对各投标人资格证明文件的审查结果，确定资格审查合格的投标人，并形成书面的资格审查报告。</w:t>
      </w:r>
    </w:p>
    <w:p>
      <w:pPr>
        <w:pStyle w:val="37"/>
        <w:numPr>
          <w:ilvl w:val="0"/>
          <w:numId w:val="43"/>
        </w:numPr>
        <w:tabs>
          <w:tab w:val="left" w:pos="840"/>
        </w:tabs>
        <w:spacing w:line="360" w:lineRule="auto"/>
        <w:ind w:hanging="602" w:firstLineChars="0"/>
        <w:rPr>
          <w:rFonts w:ascii="宋体" w:hAnsi="宋体" w:eastAsia="宋体" w:cs="Times New Roman"/>
          <w:sz w:val="24"/>
          <w:szCs w:val="24"/>
          <w:lang w:val="zh-CN"/>
        </w:rPr>
      </w:pPr>
      <w:r>
        <w:rPr>
          <w:rFonts w:hint="eastAsia" w:ascii="宋体" w:hAnsi="宋体" w:eastAsia="宋体" w:cs="Times New Roman"/>
          <w:sz w:val="24"/>
          <w:szCs w:val="24"/>
          <w:lang w:val="zh-CN"/>
        </w:rPr>
        <w:t>资格审查合格投标人不足3家的，不进行评标。</w:t>
      </w:r>
    </w:p>
    <w:p>
      <w:pPr>
        <w:pStyle w:val="37"/>
        <w:numPr>
          <w:ilvl w:val="0"/>
          <w:numId w:val="43"/>
        </w:numPr>
        <w:tabs>
          <w:tab w:val="left" w:pos="840"/>
        </w:tabs>
        <w:spacing w:line="360" w:lineRule="auto"/>
        <w:ind w:hanging="602" w:firstLineChars="0"/>
        <w:rPr>
          <w:rFonts w:ascii="宋体" w:hAnsi="宋体" w:eastAsia="宋体" w:cs="Times New Roman"/>
          <w:sz w:val="24"/>
          <w:szCs w:val="24"/>
          <w:lang w:val="zh-CN"/>
        </w:rPr>
      </w:pPr>
      <w:r>
        <w:rPr>
          <w:rFonts w:hint="eastAsia" w:ascii="宋体" w:hAnsi="宋体" w:eastAsia="宋体" w:cs="Times New Roman"/>
          <w:sz w:val="24"/>
          <w:szCs w:val="24"/>
          <w:lang w:val="zh-CN"/>
        </w:rPr>
        <w:t>资格审查未通过的投标人可在结果公告质疑有效期内按公告中的联系方式获知</w:t>
      </w:r>
      <w:r>
        <w:rPr>
          <w:rFonts w:ascii="宋体" w:hAnsi="宋体" w:eastAsia="宋体" w:cs="Times New Roman"/>
          <w:sz w:val="24"/>
          <w:szCs w:val="24"/>
          <w:lang w:val="zh-CN"/>
        </w:rPr>
        <w:t>本</w:t>
      </w:r>
      <w:r>
        <w:rPr>
          <w:rFonts w:hint="eastAsia" w:ascii="宋体" w:hAnsi="宋体" w:eastAsia="宋体" w:cs="Times New Roman"/>
          <w:sz w:val="24"/>
          <w:szCs w:val="24"/>
          <w:lang w:val="zh-CN"/>
        </w:rPr>
        <w:t>单位</w:t>
      </w:r>
      <w:r>
        <w:rPr>
          <w:rFonts w:ascii="宋体" w:hAnsi="宋体" w:eastAsia="宋体" w:cs="Times New Roman"/>
          <w:sz w:val="24"/>
          <w:szCs w:val="24"/>
          <w:lang w:val="zh-CN"/>
        </w:rPr>
        <w:t>的</w:t>
      </w:r>
      <w:r>
        <w:rPr>
          <w:rFonts w:hint="eastAsia" w:ascii="宋体" w:hAnsi="宋体" w:eastAsia="宋体" w:cs="Times New Roman"/>
          <w:sz w:val="24"/>
          <w:szCs w:val="24"/>
          <w:lang w:val="zh-CN"/>
        </w:rPr>
        <w:t>资格审查情况。</w:t>
      </w:r>
    </w:p>
    <w:p>
      <w:pPr>
        <w:pStyle w:val="37"/>
        <w:numPr>
          <w:ilvl w:val="0"/>
          <w:numId w:val="43"/>
        </w:numPr>
        <w:tabs>
          <w:tab w:val="left" w:pos="840"/>
        </w:tabs>
        <w:spacing w:line="360" w:lineRule="auto"/>
        <w:ind w:hanging="602" w:firstLineChars="0"/>
        <w:rPr>
          <w:rFonts w:ascii="宋体" w:hAnsi="宋体" w:eastAsia="宋体" w:cs="Times New Roman"/>
          <w:sz w:val="24"/>
          <w:szCs w:val="24"/>
          <w:lang w:val="zh-CN"/>
        </w:rPr>
      </w:pPr>
      <w:r>
        <w:rPr>
          <w:rFonts w:hint="eastAsia" w:ascii="宋体" w:hAnsi="宋体" w:eastAsia="宋体" w:cs="Times New Roman"/>
          <w:sz w:val="24"/>
          <w:szCs w:val="24"/>
          <w:lang w:val="zh-CN"/>
        </w:rPr>
        <w:t>采购人已进行资格预审的，不再进行资格审查。未通过资格预审的投标人集中采购机构</w:t>
      </w:r>
      <w:r>
        <w:rPr>
          <w:rFonts w:hint="eastAsia" w:ascii="宋体" w:hAnsi="宋体" w:eastAsia="宋体" w:cs="Times New Roman"/>
          <w:b/>
          <w:sz w:val="24"/>
          <w:szCs w:val="24"/>
          <w:lang w:val="zh-CN"/>
        </w:rPr>
        <w:t>拒绝</w:t>
      </w:r>
      <w:r>
        <w:rPr>
          <w:rFonts w:hint="eastAsia" w:ascii="宋体" w:hAnsi="宋体" w:eastAsia="宋体" w:cs="Times New Roman"/>
          <w:sz w:val="24"/>
          <w:szCs w:val="24"/>
          <w:lang w:val="zh-CN"/>
        </w:rPr>
        <w:t>其投标。</w:t>
      </w:r>
    </w:p>
    <w:p>
      <w:r>
        <w:br w:type="page"/>
      </w:r>
    </w:p>
    <w:p>
      <w:pPr>
        <w:pStyle w:val="4"/>
        <w:numPr>
          <w:ilvl w:val="0"/>
          <w:numId w:val="2"/>
        </w:numPr>
        <w:jc w:val="center"/>
        <w:rPr>
          <w:rFonts w:ascii="黑体" w:hAnsi="黑体" w:eastAsia="黑体"/>
        </w:rPr>
      </w:pPr>
      <w:bookmarkStart w:id="60" w:name="_Toc28502"/>
      <w:r>
        <w:rPr>
          <w:rFonts w:hint="eastAsia" w:ascii="黑体" w:hAnsi="黑体" w:eastAsia="黑体"/>
        </w:rPr>
        <w:t>评标方法、程序及标准</w:t>
      </w:r>
      <w:bookmarkEnd w:id="60"/>
    </w:p>
    <w:p>
      <w:pPr>
        <w:spacing w:line="360" w:lineRule="auto"/>
        <w:ind w:firstLine="482" w:firstLineChars="200"/>
        <w:rPr>
          <w:rFonts w:ascii="宋体" w:hAnsi="宋体" w:eastAsia="宋体" w:cs="Times New Roman"/>
          <w:bCs/>
          <w:sz w:val="24"/>
          <w:szCs w:val="20"/>
          <w:lang w:val="zh-CN"/>
        </w:rPr>
      </w:pPr>
      <w:r>
        <w:rPr>
          <w:rFonts w:hint="eastAsia" w:ascii="宋体" w:hAnsi="宋体" w:eastAsia="宋体" w:cs="Times New Roman"/>
          <w:bCs/>
          <w:sz w:val="24"/>
          <w:szCs w:val="20"/>
          <w:lang w:val="zh-CN"/>
        </w:rPr>
        <w:t>根据《政府采购法》、《政府采购法实施条例》、《政府采购货物和服务招标投标管理办法》等相关法律法规确定以下评标办法、程序及标准。</w:t>
      </w:r>
    </w:p>
    <w:p>
      <w:pPr>
        <w:pStyle w:val="5"/>
        <w:numPr>
          <w:ilvl w:val="0"/>
          <w:numId w:val="44"/>
        </w:numPr>
        <w:spacing w:before="0" w:after="0" w:line="360" w:lineRule="auto"/>
        <w:ind w:left="616" w:hanging="616"/>
        <w:jc w:val="left"/>
        <w:rPr>
          <w:rFonts w:cs="Times New Roman" w:asciiTheme="majorEastAsia" w:hAnsiTheme="majorEastAsia"/>
          <w:bCs w:val="0"/>
          <w:sz w:val="30"/>
          <w:szCs w:val="30"/>
          <w:lang w:val="zh-CN"/>
        </w:rPr>
      </w:pPr>
      <w:bookmarkStart w:id="61" w:name="_Toc278891605"/>
      <w:bookmarkStart w:id="62" w:name="_Toc272247708"/>
      <w:bookmarkStart w:id="63" w:name="_Toc494561961"/>
      <w:bookmarkStart w:id="64" w:name="_Toc8464"/>
      <w:r>
        <w:rPr>
          <w:rFonts w:hint="eastAsia" w:cs="Times New Roman" w:asciiTheme="majorEastAsia" w:hAnsiTheme="majorEastAsia"/>
          <w:bCs w:val="0"/>
          <w:sz w:val="30"/>
          <w:szCs w:val="30"/>
          <w:lang w:val="zh-CN"/>
        </w:rPr>
        <w:t>评标</w:t>
      </w:r>
      <w:bookmarkEnd w:id="61"/>
      <w:bookmarkEnd w:id="62"/>
      <w:r>
        <w:rPr>
          <w:rFonts w:hint="eastAsia" w:cs="Times New Roman" w:asciiTheme="majorEastAsia" w:hAnsiTheme="majorEastAsia"/>
          <w:bCs w:val="0"/>
          <w:sz w:val="30"/>
          <w:szCs w:val="30"/>
          <w:lang w:val="zh-CN"/>
        </w:rPr>
        <w:t>方法</w:t>
      </w:r>
      <w:bookmarkEnd w:id="63"/>
      <w:bookmarkEnd w:id="64"/>
    </w:p>
    <w:p>
      <w:pPr>
        <w:spacing w:line="360" w:lineRule="auto"/>
        <w:ind w:firstLine="482" w:firstLineChars="200"/>
        <w:rPr>
          <w:rFonts w:ascii="宋体" w:hAnsi="宋体" w:eastAsia="宋体" w:cs="Times New Roman"/>
          <w:bCs/>
          <w:sz w:val="24"/>
          <w:szCs w:val="20"/>
          <w:lang w:val="zh-CN"/>
        </w:rPr>
      </w:pPr>
      <w:r>
        <w:rPr>
          <w:rFonts w:hint="eastAsia" w:ascii="宋体" w:hAnsi="宋体" w:eastAsia="宋体" w:cs="Times New Roman"/>
          <w:bCs/>
          <w:sz w:val="24"/>
          <w:szCs w:val="20"/>
          <w:lang w:val="zh-CN"/>
        </w:rPr>
        <w:t>本项目评标采用综合评分法，</w:t>
      </w:r>
      <w:r>
        <w:rPr>
          <w:rFonts w:ascii="宋体" w:hAnsi="宋体" w:eastAsia="宋体" w:cs="Times New Roman"/>
          <w:bCs/>
          <w:sz w:val="24"/>
          <w:szCs w:val="20"/>
          <w:lang w:val="zh-CN"/>
        </w:rPr>
        <w:t>是指投标文件满足招标文件全部实质性要求，且按照评审因素的量化指标评审得分最高的投标人为中标候选人的评标方法。</w:t>
      </w:r>
    </w:p>
    <w:p>
      <w:pPr>
        <w:pStyle w:val="5"/>
        <w:numPr>
          <w:ilvl w:val="0"/>
          <w:numId w:val="44"/>
        </w:numPr>
        <w:spacing w:before="0" w:after="0" w:line="360" w:lineRule="auto"/>
        <w:ind w:left="616" w:hanging="616"/>
        <w:jc w:val="left"/>
        <w:rPr>
          <w:rFonts w:cs="Times New Roman" w:asciiTheme="majorEastAsia" w:hAnsiTheme="majorEastAsia"/>
          <w:bCs w:val="0"/>
          <w:sz w:val="30"/>
          <w:szCs w:val="30"/>
          <w:lang w:val="zh-CN"/>
        </w:rPr>
      </w:pPr>
      <w:bookmarkStart w:id="65" w:name="_Toc278891606"/>
      <w:bookmarkStart w:id="66" w:name="_Toc272247709"/>
      <w:bookmarkStart w:id="67" w:name="_Toc494561962"/>
      <w:bookmarkStart w:id="68" w:name="_Toc28622"/>
      <w:r>
        <w:rPr>
          <w:rFonts w:hint="eastAsia" w:cs="Times New Roman" w:asciiTheme="majorEastAsia" w:hAnsiTheme="majorEastAsia"/>
          <w:bCs w:val="0"/>
          <w:sz w:val="30"/>
          <w:szCs w:val="30"/>
          <w:lang w:val="zh-CN"/>
        </w:rPr>
        <w:t>评标程序</w:t>
      </w:r>
      <w:bookmarkEnd w:id="65"/>
      <w:bookmarkEnd w:id="66"/>
      <w:r>
        <w:rPr>
          <w:rFonts w:hint="eastAsia" w:cs="Times New Roman" w:asciiTheme="majorEastAsia" w:hAnsiTheme="majorEastAsia"/>
          <w:bCs w:val="0"/>
          <w:sz w:val="30"/>
          <w:szCs w:val="30"/>
          <w:lang w:val="zh-CN"/>
        </w:rPr>
        <w:t>及标准</w:t>
      </w:r>
      <w:bookmarkEnd w:id="67"/>
      <w:bookmarkEnd w:id="68"/>
    </w:p>
    <w:p>
      <w:pPr>
        <w:spacing w:line="360" w:lineRule="auto"/>
        <w:ind w:firstLine="482" w:firstLineChars="200"/>
        <w:rPr>
          <w:rFonts w:ascii="宋体" w:hAnsi="宋体" w:eastAsia="宋体" w:cs="Times New Roman"/>
          <w:bCs/>
          <w:sz w:val="24"/>
          <w:szCs w:val="20"/>
          <w:lang w:val="zh-CN"/>
        </w:rPr>
      </w:pPr>
      <w:r>
        <w:rPr>
          <w:rFonts w:hint="eastAsia" w:ascii="宋体" w:hAnsi="宋体" w:eastAsia="宋体" w:cs="Times New Roman"/>
          <w:bCs/>
          <w:sz w:val="24"/>
          <w:szCs w:val="20"/>
          <w:lang w:val="zh-CN"/>
        </w:rPr>
        <w:t>评标委员会按以下工作程序进行评标：</w:t>
      </w:r>
      <w:r>
        <w:rPr>
          <w:rFonts w:hint="eastAsia" w:ascii="宋体" w:hAnsi="宋体" w:eastAsia="宋体" w:cs="Times New Roman"/>
          <w:sz w:val="24"/>
          <w:szCs w:val="20"/>
          <w:lang w:val="zh-CN"/>
        </w:rPr>
        <w:t>符合性审查、澄清有关问题、综合比较和评价、确定中标候选人名单。</w:t>
      </w:r>
    </w:p>
    <w:p>
      <w:pPr>
        <w:numPr>
          <w:ilvl w:val="0"/>
          <w:numId w:val="45"/>
        </w:numPr>
        <w:ind w:left="1315" w:leftChars="154" w:hanging="991" w:hangingChars="353"/>
        <w:rPr>
          <w:rFonts w:ascii="宋体" w:hAnsi="宋体" w:eastAsia="宋体" w:cs="Times New Roman"/>
          <w:strike/>
          <w:sz w:val="28"/>
          <w:szCs w:val="28"/>
          <w:lang w:val="zh-CN"/>
        </w:rPr>
      </w:pPr>
      <w:r>
        <w:rPr>
          <w:rFonts w:hint="eastAsia" w:ascii="宋体" w:hAnsi="宋体" w:eastAsia="宋体" w:cs="Times New Roman"/>
          <w:b/>
          <w:sz w:val="28"/>
          <w:szCs w:val="28"/>
          <w:lang w:val="zh-CN"/>
        </w:rPr>
        <w:t>符合性审查</w:t>
      </w:r>
    </w:p>
    <w:p>
      <w:pPr>
        <w:spacing w:line="360" w:lineRule="auto"/>
        <w:ind w:firstLine="471" w:firstLineChars="196"/>
        <w:rPr>
          <w:rFonts w:ascii="宋体" w:hAnsi="宋体" w:eastAsia="宋体" w:cs="Times New Roman"/>
          <w:bCs/>
          <w:sz w:val="24"/>
          <w:szCs w:val="20"/>
          <w:lang w:val="zh-CN"/>
        </w:rPr>
      </w:pPr>
      <w:r>
        <w:rPr>
          <w:rFonts w:ascii="Helvetica" w:hAnsi="Helvetica" w:eastAsia="宋体" w:cs="Helvetica"/>
          <w:kern w:val="0"/>
          <w:sz w:val="24"/>
          <w:szCs w:val="24"/>
          <w:lang w:val="zh-CN"/>
        </w:rPr>
        <w:t>评标委员会应当对符合资格的投标人的投标文件进行符合性审查，以确定其是否满足招标文件的实质性要求。</w:t>
      </w:r>
      <w:r>
        <w:rPr>
          <w:rFonts w:hint="eastAsia" w:ascii="宋体" w:hAnsi="宋体" w:eastAsia="宋体" w:cs="Times New Roman"/>
          <w:bCs/>
          <w:sz w:val="24"/>
          <w:szCs w:val="20"/>
          <w:lang w:val="zh-CN"/>
        </w:rPr>
        <w:t>符合性审查出现下列情形之一的投标按照</w:t>
      </w:r>
      <w:r>
        <w:rPr>
          <w:rFonts w:hint="eastAsia" w:ascii="宋体" w:hAnsi="宋体" w:eastAsia="宋体" w:cs="Times New Roman"/>
          <w:b/>
          <w:bCs/>
          <w:sz w:val="24"/>
          <w:szCs w:val="20"/>
          <w:lang w:val="zh-CN"/>
        </w:rPr>
        <w:t>无效投标处理</w:t>
      </w:r>
      <w:r>
        <w:rPr>
          <w:rFonts w:hint="eastAsia" w:ascii="宋体" w:hAnsi="宋体" w:eastAsia="宋体" w:cs="Times New Roman"/>
          <w:bCs/>
          <w:sz w:val="24"/>
          <w:szCs w:val="20"/>
          <w:lang w:val="zh-CN"/>
        </w:rPr>
        <w:t>：</w:t>
      </w:r>
    </w:p>
    <w:p>
      <w:pPr>
        <w:numPr>
          <w:ilvl w:val="0"/>
          <w:numId w:val="46"/>
        </w:numPr>
        <w:tabs>
          <w:tab w:val="left" w:pos="616"/>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投标总报价超过项目（分包）预算金额或最高限价的；</w:t>
      </w:r>
    </w:p>
    <w:p>
      <w:pPr>
        <w:numPr>
          <w:ilvl w:val="0"/>
          <w:numId w:val="46"/>
        </w:numPr>
        <w:tabs>
          <w:tab w:val="left" w:pos="616"/>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《投标书》、《法定代表人授权书》、《开标一览表》未提供或不符合招标文件要求的；</w:t>
      </w:r>
    </w:p>
    <w:p>
      <w:pPr>
        <w:numPr>
          <w:ilvl w:val="0"/>
          <w:numId w:val="46"/>
        </w:numPr>
        <w:tabs>
          <w:tab w:val="left" w:pos="616"/>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工期（服务期限）、质保期不符合招标文件要求的；</w:t>
      </w:r>
    </w:p>
    <w:p>
      <w:pPr>
        <w:numPr>
          <w:ilvl w:val="0"/>
          <w:numId w:val="46"/>
        </w:numPr>
        <w:tabs>
          <w:tab w:val="left" w:pos="616"/>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出现两个或两个以上不同报价的；</w:t>
      </w:r>
    </w:p>
    <w:p>
      <w:pPr>
        <w:numPr>
          <w:ilvl w:val="0"/>
          <w:numId w:val="46"/>
        </w:numPr>
        <w:tabs>
          <w:tab w:val="left" w:pos="616"/>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出现两个或两个以上投标方案的（招标文件中要求提供备选方案的除外）；</w:t>
      </w:r>
    </w:p>
    <w:p>
      <w:pPr>
        <w:numPr>
          <w:ilvl w:val="0"/>
          <w:numId w:val="46"/>
        </w:numPr>
        <w:tabs>
          <w:tab w:val="left" w:pos="616"/>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投标报价存在缺项、漏项的；</w:t>
      </w:r>
    </w:p>
    <w:p>
      <w:pPr>
        <w:numPr>
          <w:ilvl w:val="0"/>
          <w:numId w:val="46"/>
        </w:numPr>
        <w:tabs>
          <w:tab w:val="left" w:pos="616"/>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投标有效期不足的；</w:t>
      </w:r>
    </w:p>
    <w:p>
      <w:pPr>
        <w:numPr>
          <w:ilvl w:val="0"/>
          <w:numId w:val="46"/>
        </w:numPr>
        <w:tabs>
          <w:tab w:val="left" w:pos="616"/>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无法定代表人签字（签章）或签字（签章）人无法定代表人有效授权的；</w:t>
      </w:r>
    </w:p>
    <w:p>
      <w:pPr>
        <w:numPr>
          <w:ilvl w:val="0"/>
          <w:numId w:val="46"/>
        </w:numPr>
        <w:tabs>
          <w:tab w:val="left" w:pos="756"/>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正本未按要求提供加盖公章及签字（签章）原件的；</w:t>
      </w:r>
    </w:p>
    <w:p>
      <w:pPr>
        <w:numPr>
          <w:ilvl w:val="0"/>
          <w:numId w:val="46"/>
        </w:numPr>
        <w:tabs>
          <w:tab w:val="left" w:pos="742"/>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符合招标文件第二章“投标人须知”中40条中规定情形，以分公司形式参与投标的，法定代表人授权书未由总公司法定代表人签字（盖章）并加盖公章的；</w:t>
      </w:r>
    </w:p>
    <w:p>
      <w:pPr>
        <w:numPr>
          <w:ilvl w:val="0"/>
          <w:numId w:val="46"/>
        </w:numPr>
        <w:tabs>
          <w:tab w:val="left" w:pos="742"/>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未按要求提供招标文件第二章“十、其他注意事项”中规定的书面声明的；</w:t>
      </w:r>
    </w:p>
    <w:p>
      <w:pPr>
        <w:numPr>
          <w:ilvl w:val="0"/>
          <w:numId w:val="46"/>
        </w:numPr>
        <w:tabs>
          <w:tab w:val="left" w:pos="742"/>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招标文件中有节能产品强制要求的，投标人未按要求提供最新一期《节能产品政府采购清单》（正式稿）中的产品型号且未附该产品清单所在完整页面；若节能产品中有台式计算机的，未按要求提供最新一期《节能产品政府采购清单台式计算机性能参数》中产品性能参数的所在完整页面且所投型号和所列性能参数不一致的；</w:t>
      </w:r>
    </w:p>
    <w:p>
      <w:pPr>
        <w:numPr>
          <w:ilvl w:val="0"/>
          <w:numId w:val="46"/>
        </w:numPr>
        <w:tabs>
          <w:tab w:val="left" w:pos="742"/>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所投货物是通过中国海关报关验放进入中国境内且产自关境外的（招标文件中注明已办理进口产品核准的除外）；</w:t>
      </w:r>
    </w:p>
    <w:p>
      <w:pPr>
        <w:numPr>
          <w:ilvl w:val="0"/>
          <w:numId w:val="46"/>
        </w:numPr>
        <w:tabs>
          <w:tab w:val="left" w:pos="742"/>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未提供所投货物（工程或服务）的具体参数值或功能表述，或原文复制招标文件的技术规格相关部分内容作为其投标文件的一部分的；</w:t>
      </w:r>
    </w:p>
    <w:p>
      <w:pPr>
        <w:numPr>
          <w:ilvl w:val="0"/>
          <w:numId w:val="46"/>
        </w:numPr>
        <w:tabs>
          <w:tab w:val="left" w:pos="742"/>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不满足招标文件第三章“项目技术、服务和商务要求”中“★”号条款要求的；</w:t>
      </w:r>
    </w:p>
    <w:p>
      <w:pPr>
        <w:numPr>
          <w:ilvl w:val="0"/>
          <w:numId w:val="46"/>
        </w:numPr>
        <w:tabs>
          <w:tab w:val="left" w:pos="742"/>
        </w:tabs>
        <w:spacing w:line="360" w:lineRule="auto"/>
        <w:ind w:left="10" w:leftChars="5" w:firstLine="237" w:firstLineChars="99"/>
        <w:rPr>
          <w:rFonts w:ascii="Times New Roman" w:hAnsi="宋体" w:eastAsia="宋体" w:cs="Times New Roman"/>
          <w:sz w:val="24"/>
          <w:szCs w:val="24"/>
          <w:lang w:val="zh-CN"/>
        </w:rPr>
      </w:pPr>
      <w:r>
        <w:rPr>
          <w:rFonts w:ascii="Times New Roman" w:hAnsi="宋体" w:eastAsia="宋体" w:cs="Times New Roman"/>
          <w:sz w:val="24"/>
          <w:szCs w:val="24"/>
          <w:lang w:val="zh-CN"/>
        </w:rPr>
        <w:t>含有采购人不能接受的附加条件的</w:t>
      </w:r>
      <w:r>
        <w:rPr>
          <w:rFonts w:hint="eastAsia" w:ascii="Times New Roman" w:hAnsi="宋体" w:eastAsia="宋体" w:cs="Times New Roman"/>
          <w:sz w:val="24"/>
          <w:szCs w:val="24"/>
          <w:lang w:val="zh-CN"/>
        </w:rPr>
        <w:t>；</w:t>
      </w:r>
    </w:p>
    <w:p>
      <w:pPr>
        <w:numPr>
          <w:ilvl w:val="0"/>
          <w:numId w:val="46"/>
        </w:numPr>
        <w:tabs>
          <w:tab w:val="left" w:pos="742"/>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未按要求提供《符合性审查对照表》、《商务要求响应、偏离说明表》、《商务要求“★”号条款响应、偏离说明表》、《商务评议对照表》和《技术、服务要求响应、偏离说明表》、《技术、服务要求“★”号条款响应、偏离说明表》、《技术、服务评议对照表》的；</w:t>
      </w:r>
    </w:p>
    <w:p>
      <w:pPr>
        <w:numPr>
          <w:ilvl w:val="0"/>
          <w:numId w:val="46"/>
        </w:numPr>
        <w:tabs>
          <w:tab w:val="left" w:pos="742"/>
        </w:tabs>
        <w:spacing w:line="360" w:lineRule="auto"/>
        <w:ind w:left="10" w:leftChars="5" w:firstLine="237" w:firstLineChars="99"/>
        <w:rPr>
          <w:rFonts w:ascii="Times New Roman" w:hAnsi="宋体" w:eastAsia="宋体" w:cs="Times New Roman"/>
          <w:sz w:val="24"/>
          <w:szCs w:val="24"/>
          <w:lang w:val="zh-CN"/>
        </w:rPr>
      </w:pPr>
      <w:r>
        <w:rPr>
          <w:rFonts w:ascii="Times New Roman" w:hAnsi="宋体" w:eastAsia="宋体" w:cs="Times New Roman"/>
          <w:sz w:val="24"/>
          <w:szCs w:val="24"/>
          <w:lang w:val="zh-CN"/>
        </w:rPr>
        <w:t>法律、法规</w:t>
      </w:r>
      <w:r>
        <w:rPr>
          <w:rFonts w:hint="eastAsia" w:ascii="Times New Roman" w:hAnsi="宋体" w:eastAsia="宋体" w:cs="Times New Roman"/>
          <w:sz w:val="24"/>
          <w:szCs w:val="24"/>
          <w:lang w:val="zh-CN"/>
        </w:rPr>
        <w:t>和招标文件</w:t>
      </w:r>
      <w:r>
        <w:rPr>
          <w:rFonts w:ascii="Times New Roman" w:hAnsi="宋体" w:eastAsia="宋体" w:cs="Times New Roman"/>
          <w:sz w:val="24"/>
          <w:szCs w:val="24"/>
          <w:lang w:val="zh-CN"/>
        </w:rPr>
        <w:t>规定的其他</w:t>
      </w:r>
      <w:r>
        <w:rPr>
          <w:rFonts w:hint="eastAsia" w:ascii="Times New Roman" w:hAnsi="宋体" w:eastAsia="宋体" w:cs="Times New Roman"/>
          <w:sz w:val="24"/>
          <w:szCs w:val="24"/>
          <w:lang w:val="zh-CN"/>
        </w:rPr>
        <w:t>无效投标</w:t>
      </w:r>
      <w:r>
        <w:rPr>
          <w:rFonts w:ascii="Times New Roman" w:hAnsi="宋体" w:eastAsia="宋体" w:cs="Times New Roman"/>
          <w:sz w:val="24"/>
          <w:szCs w:val="24"/>
          <w:lang w:val="zh-CN"/>
        </w:rPr>
        <w:t>情形。</w:t>
      </w:r>
    </w:p>
    <w:p>
      <w:pPr>
        <w:numPr>
          <w:ilvl w:val="0"/>
          <w:numId w:val="45"/>
        </w:numPr>
        <w:ind w:left="1315" w:leftChars="154" w:hanging="991" w:hangingChars="353"/>
        <w:rPr>
          <w:rFonts w:ascii="宋体" w:hAnsi="宋体" w:eastAsia="宋体" w:cs="Times New Roman"/>
          <w:b/>
          <w:sz w:val="28"/>
          <w:szCs w:val="28"/>
          <w:lang w:val="zh-CN"/>
        </w:rPr>
      </w:pPr>
      <w:r>
        <w:rPr>
          <w:rFonts w:hint="eastAsia" w:ascii="宋体" w:hAnsi="宋体" w:eastAsia="宋体" w:cs="Times New Roman"/>
          <w:b/>
          <w:sz w:val="28"/>
          <w:szCs w:val="28"/>
          <w:lang w:val="zh-CN"/>
        </w:rPr>
        <w:t>澄清有关问题</w:t>
      </w:r>
    </w:p>
    <w:p>
      <w:pPr>
        <w:numPr>
          <w:ilvl w:val="0"/>
          <w:numId w:val="47"/>
        </w:numPr>
        <w:tabs>
          <w:tab w:val="left" w:pos="616"/>
        </w:tabs>
        <w:spacing w:line="360" w:lineRule="auto"/>
        <w:ind w:left="10" w:leftChars="5" w:firstLine="237" w:firstLineChars="99"/>
        <w:rPr>
          <w:rFonts w:ascii="Helvetica" w:hAnsi="Helvetica" w:eastAsia="宋体" w:cs="Helvetica"/>
          <w:kern w:val="0"/>
          <w:sz w:val="24"/>
          <w:szCs w:val="24"/>
          <w:lang w:val="zh-CN"/>
        </w:rPr>
      </w:pPr>
      <w:r>
        <w:rPr>
          <w:rFonts w:hint="eastAsia" w:ascii="Helvetica" w:hAnsi="Helvetica" w:eastAsia="宋体" w:cs="Helvetica"/>
          <w:kern w:val="0"/>
          <w:sz w:val="24"/>
          <w:szCs w:val="24"/>
          <w:lang w:val="zh-CN"/>
        </w:rPr>
        <w:t>评标期间，</w:t>
      </w:r>
      <w:r>
        <w:rPr>
          <w:rFonts w:ascii="Helvetica" w:hAnsi="Helvetica" w:eastAsia="宋体" w:cs="Helvetica"/>
          <w:kern w:val="0"/>
          <w:sz w:val="24"/>
          <w:szCs w:val="24"/>
          <w:lang w:val="zh-CN"/>
        </w:rPr>
        <w:t>对于投标文件中含义不明确、同类问题表述不一致或者有明显文字和计算错误的内容，评标委员会应当以书面形式要求投标人作出必要的澄清、说明或者补正。</w:t>
      </w:r>
    </w:p>
    <w:p>
      <w:pPr>
        <w:numPr>
          <w:ilvl w:val="0"/>
          <w:numId w:val="47"/>
        </w:numPr>
        <w:tabs>
          <w:tab w:val="left" w:pos="616"/>
        </w:tabs>
        <w:spacing w:line="360" w:lineRule="auto"/>
        <w:ind w:left="10" w:leftChars="5" w:firstLine="237" w:firstLineChars="99"/>
        <w:rPr>
          <w:rFonts w:ascii="宋体" w:hAnsi="宋体" w:eastAsia="宋体" w:cs="Times New Roman"/>
          <w:bCs/>
          <w:strike/>
          <w:sz w:val="24"/>
          <w:szCs w:val="20"/>
          <w:lang w:val="zh-CN"/>
        </w:rPr>
      </w:pPr>
      <w:r>
        <w:rPr>
          <w:rFonts w:hint="eastAsia" w:ascii="宋体" w:hAnsi="宋体" w:eastAsia="宋体" w:cs="Times New Roman"/>
          <w:bCs/>
          <w:sz w:val="24"/>
          <w:szCs w:val="20"/>
          <w:lang w:val="zh-CN"/>
        </w:rPr>
        <w:t>投标人应按照评标委员会要求的澄清内容在规定时间内做出澄清。</w:t>
      </w:r>
      <w:r>
        <w:rPr>
          <w:rFonts w:ascii="宋体" w:hAnsi="宋体" w:eastAsia="宋体" w:cs="Times New Roman"/>
          <w:sz w:val="24"/>
          <w:szCs w:val="20"/>
          <w:lang w:val="zh-CN"/>
        </w:rPr>
        <w:t>投标文件报价出现前后不一致的</w:t>
      </w:r>
      <w:r>
        <w:rPr>
          <w:rFonts w:hint="eastAsia" w:ascii="宋体" w:hAnsi="宋体" w:eastAsia="宋体" w:cs="Times New Roman"/>
          <w:sz w:val="24"/>
          <w:szCs w:val="20"/>
          <w:lang w:val="zh-CN"/>
        </w:rPr>
        <w:t>，按照本节第3</w:t>
      </w:r>
      <w:r>
        <w:rPr>
          <w:rFonts w:hint="eastAsia" w:ascii="宋体" w:hAnsi="宋体" w:eastAsia="宋体" w:cs="Times New Roman"/>
          <w:bCs/>
          <w:sz w:val="24"/>
          <w:szCs w:val="20"/>
          <w:lang w:val="zh-CN"/>
        </w:rPr>
        <w:t>条规定进行修正，</w:t>
      </w:r>
      <w:r>
        <w:rPr>
          <w:rFonts w:ascii="Helvetica" w:hAnsi="Helvetica" w:eastAsia="宋体" w:cs="Helvetica"/>
          <w:kern w:val="0"/>
          <w:sz w:val="24"/>
          <w:szCs w:val="24"/>
          <w:lang w:val="zh-CN"/>
        </w:rPr>
        <w:t>投标人的澄清、说明或者补正不得超出投标文件的范围或者改变投标文件的实质性内容。</w:t>
      </w:r>
    </w:p>
    <w:p>
      <w:pPr>
        <w:numPr>
          <w:ilvl w:val="0"/>
          <w:numId w:val="47"/>
        </w:numPr>
        <w:tabs>
          <w:tab w:val="left" w:pos="616"/>
        </w:tabs>
        <w:spacing w:line="360" w:lineRule="auto"/>
        <w:ind w:left="10" w:leftChars="5" w:firstLine="237" w:firstLineChars="99"/>
        <w:rPr>
          <w:rFonts w:ascii="宋体" w:hAnsi="宋体" w:eastAsia="宋体" w:cs="Times New Roman"/>
          <w:bCs/>
          <w:sz w:val="24"/>
          <w:szCs w:val="20"/>
          <w:lang w:val="zh-CN"/>
        </w:rPr>
      </w:pPr>
      <w:r>
        <w:rPr>
          <w:rFonts w:ascii="宋体" w:hAnsi="宋体" w:eastAsia="宋体" w:cs="Times New Roman"/>
          <w:bCs/>
          <w:sz w:val="24"/>
          <w:szCs w:val="20"/>
          <w:lang w:val="zh-CN"/>
        </w:rPr>
        <w:t>投标文件报价出现前后不一致的，按照下列规定修正：</w:t>
      </w:r>
    </w:p>
    <w:p>
      <w:pPr>
        <w:numPr>
          <w:ilvl w:val="0"/>
          <w:numId w:val="48"/>
        </w:numPr>
        <w:adjustRightInd w:val="0"/>
        <w:spacing w:line="360" w:lineRule="auto"/>
        <w:ind w:left="742" w:hanging="493"/>
        <w:rPr>
          <w:rFonts w:ascii="宋体" w:hAnsi="宋体" w:eastAsia="宋体" w:cs="Times New Roman"/>
          <w:color w:val="0D0D0D"/>
          <w:sz w:val="24"/>
          <w:szCs w:val="24"/>
          <w:lang w:val="zh-CN"/>
        </w:rPr>
      </w:pPr>
      <w:r>
        <w:rPr>
          <w:rFonts w:ascii="宋体" w:hAnsi="宋体" w:eastAsia="宋体" w:cs="Times New Roman"/>
          <w:color w:val="0D0D0D"/>
          <w:sz w:val="24"/>
          <w:szCs w:val="24"/>
          <w:lang w:val="zh-CN"/>
        </w:rPr>
        <w:t>投标文件中开标一览表内容与投标文件中相应内容不一致的，以开标一览表为准</w:t>
      </w:r>
      <w:r>
        <w:rPr>
          <w:rFonts w:hint="eastAsia" w:ascii="宋体" w:hAnsi="宋体" w:eastAsia="宋体" w:cs="Times New Roman"/>
          <w:color w:val="0D0D0D"/>
          <w:sz w:val="24"/>
          <w:szCs w:val="24"/>
          <w:lang w:val="zh-CN"/>
        </w:rPr>
        <w:t>。</w:t>
      </w:r>
    </w:p>
    <w:p>
      <w:pPr>
        <w:numPr>
          <w:ilvl w:val="0"/>
          <w:numId w:val="48"/>
        </w:numPr>
        <w:adjustRightInd w:val="0"/>
        <w:spacing w:line="360" w:lineRule="auto"/>
        <w:ind w:left="742" w:hanging="493"/>
        <w:rPr>
          <w:rFonts w:ascii="宋体" w:hAnsi="宋体" w:eastAsia="宋体" w:cs="Times New Roman"/>
          <w:color w:val="0D0D0D"/>
          <w:sz w:val="24"/>
          <w:szCs w:val="24"/>
          <w:lang w:val="zh-CN"/>
        </w:rPr>
      </w:pPr>
      <w:r>
        <w:rPr>
          <w:rFonts w:ascii="宋体" w:hAnsi="宋体" w:eastAsia="宋体" w:cs="Times New Roman"/>
          <w:color w:val="0D0D0D"/>
          <w:sz w:val="24"/>
          <w:szCs w:val="24"/>
          <w:lang w:val="zh-CN"/>
        </w:rPr>
        <w:t>大写金额和小写金额不一致的，以大写金额为准</w:t>
      </w:r>
      <w:r>
        <w:rPr>
          <w:rFonts w:hint="eastAsia" w:ascii="宋体" w:hAnsi="宋体" w:eastAsia="宋体" w:cs="Times New Roman"/>
          <w:color w:val="0D0D0D"/>
          <w:sz w:val="24"/>
          <w:szCs w:val="24"/>
          <w:lang w:val="zh-CN"/>
        </w:rPr>
        <w:t>。</w:t>
      </w:r>
    </w:p>
    <w:p>
      <w:pPr>
        <w:numPr>
          <w:ilvl w:val="0"/>
          <w:numId w:val="48"/>
        </w:numPr>
        <w:adjustRightInd w:val="0"/>
        <w:spacing w:line="360" w:lineRule="auto"/>
        <w:ind w:left="742" w:hanging="493"/>
        <w:rPr>
          <w:rFonts w:ascii="宋体" w:hAnsi="宋体" w:eastAsia="宋体" w:cs="Times New Roman"/>
          <w:color w:val="0D0D0D"/>
          <w:sz w:val="24"/>
          <w:szCs w:val="24"/>
          <w:lang w:val="zh-CN"/>
        </w:rPr>
      </w:pPr>
      <w:r>
        <w:rPr>
          <w:rFonts w:ascii="宋体" w:hAnsi="宋体" w:eastAsia="宋体" w:cs="Times New Roman"/>
          <w:color w:val="0D0D0D"/>
          <w:sz w:val="24"/>
          <w:szCs w:val="24"/>
          <w:lang w:val="zh-CN"/>
        </w:rPr>
        <w:t>单价金额小数点或者百分比有明显错位的，以开标一览表的总价为准，并修改单价</w:t>
      </w:r>
      <w:r>
        <w:rPr>
          <w:rFonts w:hint="eastAsia" w:ascii="宋体" w:hAnsi="宋体" w:eastAsia="宋体" w:cs="Times New Roman"/>
          <w:color w:val="0D0D0D"/>
          <w:sz w:val="24"/>
          <w:szCs w:val="24"/>
          <w:lang w:val="zh-CN"/>
        </w:rPr>
        <w:t>。</w:t>
      </w:r>
    </w:p>
    <w:p>
      <w:pPr>
        <w:numPr>
          <w:ilvl w:val="0"/>
          <w:numId w:val="48"/>
        </w:numPr>
        <w:adjustRightInd w:val="0"/>
        <w:spacing w:line="360" w:lineRule="auto"/>
        <w:ind w:left="742" w:hanging="493"/>
        <w:rPr>
          <w:rFonts w:ascii="宋体" w:hAnsi="宋体" w:eastAsia="宋体" w:cs="Times New Roman"/>
          <w:color w:val="0D0D0D"/>
          <w:sz w:val="24"/>
          <w:szCs w:val="24"/>
          <w:lang w:val="zh-CN"/>
        </w:rPr>
      </w:pPr>
      <w:r>
        <w:rPr>
          <w:rFonts w:ascii="宋体" w:hAnsi="宋体" w:eastAsia="宋体" w:cs="Times New Roman"/>
          <w:color w:val="0D0D0D"/>
          <w:sz w:val="24"/>
          <w:szCs w:val="24"/>
          <w:lang w:val="zh-CN"/>
        </w:rPr>
        <w:t>总价金额与按单价汇总金额不一致的，以单价金额计算结果为准</w:t>
      </w:r>
      <w:r>
        <w:rPr>
          <w:rFonts w:hint="eastAsia" w:ascii="宋体" w:hAnsi="宋体" w:eastAsia="宋体" w:cs="Times New Roman"/>
          <w:color w:val="0D0D0D"/>
          <w:sz w:val="24"/>
          <w:szCs w:val="24"/>
          <w:lang w:val="zh-CN"/>
        </w:rPr>
        <w:t>。</w:t>
      </w:r>
    </w:p>
    <w:p>
      <w:pPr>
        <w:numPr>
          <w:ilvl w:val="0"/>
          <w:numId w:val="48"/>
        </w:numPr>
        <w:adjustRightInd w:val="0"/>
        <w:spacing w:line="360" w:lineRule="auto"/>
        <w:ind w:left="742" w:hanging="493"/>
        <w:rPr>
          <w:rFonts w:ascii="宋体" w:hAnsi="宋体" w:eastAsia="宋体" w:cs="Times New Roman"/>
          <w:color w:val="0D0D0D"/>
          <w:sz w:val="24"/>
          <w:szCs w:val="24"/>
          <w:lang w:val="zh-CN"/>
        </w:rPr>
      </w:pPr>
      <w:r>
        <w:rPr>
          <w:rFonts w:ascii="宋体" w:hAnsi="宋体" w:eastAsia="宋体" w:cs="Times New Roman"/>
          <w:color w:val="0D0D0D"/>
          <w:sz w:val="24"/>
          <w:szCs w:val="24"/>
          <w:lang w:val="zh-CN"/>
        </w:rPr>
        <w:t>同时出现两种以上不一致的，按照前款规定的顺序修正</w:t>
      </w:r>
      <w:r>
        <w:rPr>
          <w:rFonts w:hint="eastAsia" w:ascii="宋体" w:hAnsi="宋体" w:eastAsia="宋体" w:cs="Times New Roman"/>
          <w:color w:val="0D0D0D"/>
          <w:sz w:val="24"/>
          <w:szCs w:val="24"/>
          <w:lang w:val="zh-CN"/>
        </w:rPr>
        <w:t>。</w:t>
      </w:r>
    </w:p>
    <w:p>
      <w:pPr>
        <w:numPr>
          <w:ilvl w:val="0"/>
          <w:numId w:val="48"/>
        </w:numPr>
        <w:adjustRightInd w:val="0"/>
        <w:spacing w:line="360" w:lineRule="auto"/>
        <w:ind w:left="742" w:hanging="493"/>
        <w:rPr>
          <w:rFonts w:ascii="宋体" w:hAnsi="宋体" w:eastAsia="宋体" w:cs="Times New Roman"/>
          <w:color w:val="0D0D0D"/>
          <w:sz w:val="24"/>
          <w:szCs w:val="24"/>
          <w:lang w:val="zh-CN"/>
        </w:rPr>
      </w:pPr>
      <w:r>
        <w:rPr>
          <w:rFonts w:ascii="宋体" w:hAnsi="宋体" w:eastAsia="宋体" w:cs="Times New Roman"/>
          <w:color w:val="0D0D0D"/>
          <w:sz w:val="24"/>
          <w:szCs w:val="24"/>
          <w:lang w:val="zh-CN"/>
        </w:rPr>
        <w:t>修正后的报价按照</w:t>
      </w:r>
      <w:r>
        <w:rPr>
          <w:rFonts w:hint="eastAsia" w:ascii="宋体" w:hAnsi="宋体" w:eastAsia="宋体" w:cs="Times New Roman"/>
          <w:color w:val="0D0D0D"/>
          <w:sz w:val="24"/>
          <w:szCs w:val="24"/>
          <w:lang w:val="zh-CN"/>
        </w:rPr>
        <w:t>本节第4条规定</w:t>
      </w:r>
      <w:r>
        <w:rPr>
          <w:rFonts w:ascii="宋体" w:hAnsi="宋体" w:eastAsia="宋体" w:cs="Times New Roman"/>
          <w:color w:val="0D0D0D"/>
          <w:sz w:val="24"/>
          <w:szCs w:val="24"/>
          <w:lang w:val="zh-CN"/>
        </w:rPr>
        <w:t>经投标人确认后产生约束力，投标人不确认的，</w:t>
      </w:r>
      <w:r>
        <w:rPr>
          <w:rFonts w:hint="eastAsia" w:ascii="宋体" w:hAnsi="宋体" w:eastAsia="宋体" w:cs="Times New Roman"/>
          <w:color w:val="0D0D0D"/>
          <w:sz w:val="24"/>
          <w:szCs w:val="24"/>
          <w:lang w:val="zh-CN"/>
        </w:rPr>
        <w:t>按照</w:t>
      </w:r>
      <w:r>
        <w:rPr>
          <w:rFonts w:ascii="宋体" w:hAnsi="宋体" w:eastAsia="宋体" w:cs="Times New Roman"/>
          <w:b/>
          <w:color w:val="0D0D0D"/>
          <w:sz w:val="24"/>
          <w:szCs w:val="24"/>
          <w:lang w:val="zh-CN"/>
        </w:rPr>
        <w:t>无效</w:t>
      </w:r>
      <w:r>
        <w:rPr>
          <w:rFonts w:hint="eastAsia" w:ascii="宋体" w:hAnsi="宋体" w:eastAsia="宋体" w:cs="Times New Roman"/>
          <w:b/>
          <w:color w:val="0D0D0D"/>
          <w:sz w:val="24"/>
          <w:szCs w:val="24"/>
          <w:lang w:val="zh-CN"/>
        </w:rPr>
        <w:t>投标处理</w:t>
      </w:r>
      <w:r>
        <w:rPr>
          <w:rFonts w:ascii="宋体" w:hAnsi="宋体" w:eastAsia="宋体" w:cs="Times New Roman"/>
          <w:color w:val="0D0D0D"/>
          <w:sz w:val="24"/>
          <w:szCs w:val="24"/>
          <w:lang w:val="zh-CN"/>
        </w:rPr>
        <w:t>。</w:t>
      </w:r>
    </w:p>
    <w:p>
      <w:pPr>
        <w:numPr>
          <w:ilvl w:val="0"/>
          <w:numId w:val="47"/>
        </w:numPr>
        <w:tabs>
          <w:tab w:val="left" w:pos="616"/>
        </w:tabs>
        <w:spacing w:line="360" w:lineRule="auto"/>
        <w:ind w:left="10" w:leftChars="5" w:firstLine="237" w:firstLineChars="99"/>
        <w:rPr>
          <w:rFonts w:ascii="宋体" w:hAnsi="宋体" w:eastAsia="宋体" w:cs="Times New Roman"/>
          <w:sz w:val="24"/>
          <w:szCs w:val="20"/>
          <w:lang w:val="zh-CN"/>
        </w:rPr>
      </w:pPr>
      <w:r>
        <w:rPr>
          <w:rFonts w:hint="eastAsia" w:ascii="宋体" w:hAnsi="宋体" w:eastAsia="宋体" w:cs="Times New Roman"/>
          <w:sz w:val="24"/>
          <w:szCs w:val="20"/>
          <w:lang w:val="zh-CN"/>
        </w:rPr>
        <w:t>投标人的</w:t>
      </w:r>
      <w:r>
        <w:rPr>
          <w:rFonts w:ascii="Helvetica" w:hAnsi="Helvetica" w:eastAsia="宋体" w:cs="Helvetica"/>
          <w:kern w:val="0"/>
          <w:sz w:val="24"/>
          <w:szCs w:val="24"/>
          <w:lang w:val="zh-CN"/>
        </w:rPr>
        <w:t>澄清、说明或者补正</w:t>
      </w:r>
      <w:r>
        <w:rPr>
          <w:rFonts w:hint="eastAsia" w:ascii="宋体" w:hAnsi="宋体" w:eastAsia="宋体" w:cs="Times New Roman"/>
          <w:sz w:val="24"/>
          <w:szCs w:val="20"/>
          <w:lang w:val="zh-CN"/>
        </w:rPr>
        <w:t>是其投标文件的有效组成部分。</w:t>
      </w:r>
      <w:r>
        <w:rPr>
          <w:rFonts w:ascii="Helvetica" w:hAnsi="Helvetica" w:eastAsia="宋体" w:cs="Helvetica"/>
          <w:kern w:val="0"/>
          <w:sz w:val="24"/>
          <w:szCs w:val="24"/>
          <w:lang w:val="zh-CN"/>
        </w:rPr>
        <w:t>投标人的澄清、说明或者补正应当采用书面形式，并加盖公章，或者由法定代表人或其授权的代表签字。</w:t>
      </w:r>
    </w:p>
    <w:p>
      <w:pPr>
        <w:numPr>
          <w:ilvl w:val="0"/>
          <w:numId w:val="45"/>
        </w:numPr>
        <w:ind w:left="1315" w:leftChars="154" w:hanging="991" w:hangingChars="353"/>
        <w:rPr>
          <w:rFonts w:ascii="宋体" w:hAnsi="宋体" w:eastAsia="宋体" w:cs="Times New Roman"/>
          <w:b/>
          <w:sz w:val="28"/>
          <w:szCs w:val="28"/>
          <w:lang w:val="zh-CN"/>
        </w:rPr>
      </w:pPr>
      <w:r>
        <w:rPr>
          <w:rFonts w:hint="eastAsia" w:ascii="宋体" w:hAnsi="宋体" w:eastAsia="宋体" w:cs="Times New Roman"/>
          <w:b/>
          <w:sz w:val="28"/>
          <w:szCs w:val="28"/>
          <w:lang w:val="zh-CN"/>
        </w:rPr>
        <w:t>综合比较与评价</w:t>
      </w:r>
    </w:p>
    <w:p>
      <w:pPr>
        <w:spacing w:line="360" w:lineRule="auto"/>
        <w:ind w:firstLine="482" w:firstLineChars="200"/>
        <w:rPr>
          <w:rFonts w:ascii="宋体" w:hAnsi="宋体" w:eastAsia="宋体" w:cs="Times New Roman"/>
          <w:bCs/>
          <w:sz w:val="24"/>
          <w:szCs w:val="20"/>
          <w:lang w:val="zh-CN"/>
        </w:rPr>
      </w:pPr>
      <w:r>
        <w:rPr>
          <w:rFonts w:ascii="宋体" w:hAnsi="宋体" w:eastAsia="宋体" w:cs="Times New Roman"/>
          <w:bCs/>
          <w:sz w:val="24"/>
          <w:szCs w:val="20"/>
          <w:lang w:val="zh-CN"/>
        </w:rPr>
        <w:t>评标委员会应当按照</w:t>
      </w:r>
      <w:r>
        <w:rPr>
          <w:rFonts w:hint="eastAsia" w:ascii="宋体" w:hAnsi="宋体" w:eastAsia="宋体" w:cs="Times New Roman"/>
          <w:bCs/>
          <w:sz w:val="24"/>
          <w:szCs w:val="20"/>
          <w:lang w:val="zh-CN"/>
        </w:rPr>
        <w:t>本章</w:t>
      </w:r>
      <w:r>
        <w:rPr>
          <w:rFonts w:ascii="宋体" w:hAnsi="宋体" w:eastAsia="宋体" w:cs="Times New Roman"/>
          <w:bCs/>
          <w:sz w:val="24"/>
          <w:szCs w:val="20"/>
          <w:lang w:val="zh-CN"/>
        </w:rPr>
        <w:t>中规定的</w:t>
      </w:r>
      <w:r>
        <w:rPr>
          <w:rFonts w:hint="eastAsia" w:ascii="宋体" w:hAnsi="宋体" w:eastAsia="宋体" w:cs="Times New Roman"/>
          <w:bCs/>
          <w:sz w:val="24"/>
          <w:szCs w:val="20"/>
          <w:lang w:val="zh-CN"/>
        </w:rPr>
        <w:t>评标方法和标准</w:t>
      </w:r>
      <w:r>
        <w:rPr>
          <w:rFonts w:ascii="宋体" w:hAnsi="宋体" w:eastAsia="宋体" w:cs="Times New Roman"/>
          <w:bCs/>
          <w:sz w:val="24"/>
          <w:szCs w:val="20"/>
          <w:lang w:val="zh-CN"/>
        </w:rPr>
        <w:t>，对符合性审查合格的投标文件进行商务和技术</w:t>
      </w:r>
      <w:r>
        <w:rPr>
          <w:rFonts w:hint="eastAsia" w:ascii="宋体" w:hAnsi="宋体" w:eastAsia="宋体" w:cs="Times New Roman"/>
          <w:bCs/>
          <w:sz w:val="24"/>
          <w:szCs w:val="20"/>
          <w:lang w:val="zh-CN"/>
        </w:rPr>
        <w:t>、服务</w:t>
      </w:r>
      <w:r>
        <w:rPr>
          <w:rFonts w:ascii="宋体" w:hAnsi="宋体" w:eastAsia="宋体" w:cs="Times New Roman"/>
          <w:bCs/>
          <w:sz w:val="24"/>
          <w:szCs w:val="20"/>
          <w:lang w:val="zh-CN"/>
        </w:rPr>
        <w:t>评估，综合比较与评价。</w:t>
      </w:r>
    </w:p>
    <w:p>
      <w:pPr>
        <w:numPr>
          <w:ilvl w:val="0"/>
          <w:numId w:val="49"/>
        </w:numPr>
        <w:tabs>
          <w:tab w:val="left" w:pos="616"/>
        </w:tabs>
        <w:spacing w:line="360" w:lineRule="auto"/>
        <w:ind w:left="10" w:leftChars="5" w:firstLine="237" w:firstLineChars="99"/>
        <w:rPr>
          <w:rFonts w:ascii="宋体" w:hAnsi="宋体" w:eastAsia="宋体" w:cs="Times New Roman"/>
          <w:b/>
          <w:bCs/>
          <w:sz w:val="24"/>
          <w:szCs w:val="20"/>
          <w:lang w:val="zh-CN"/>
        </w:rPr>
      </w:pPr>
      <w:r>
        <w:rPr>
          <w:rFonts w:hint="eastAsia" w:ascii="宋体" w:hAnsi="宋体" w:eastAsia="宋体" w:cs="Times New Roman"/>
          <w:b/>
          <w:bCs/>
          <w:sz w:val="24"/>
          <w:szCs w:val="20"/>
          <w:lang w:val="zh-CN"/>
        </w:rPr>
        <w:t>商务评议</w:t>
      </w:r>
    </w:p>
    <w:p>
      <w:pPr>
        <w:spacing w:line="360" w:lineRule="auto"/>
        <w:ind w:firstLine="482" w:firstLineChars="200"/>
        <w:rPr>
          <w:rFonts w:ascii="宋体" w:hAnsi="宋体" w:eastAsia="宋体" w:cs="Times New Roman"/>
          <w:bCs/>
          <w:sz w:val="24"/>
          <w:szCs w:val="20"/>
          <w:lang w:val="zh-CN"/>
        </w:rPr>
      </w:pPr>
      <w:r>
        <w:rPr>
          <w:rFonts w:hint="eastAsia" w:ascii="宋体" w:hAnsi="宋体" w:eastAsia="宋体" w:cs="Times New Roman"/>
          <w:bCs/>
          <w:sz w:val="24"/>
          <w:szCs w:val="20"/>
          <w:lang w:val="zh-CN"/>
        </w:rPr>
        <w:t>评标委员会对符合性审查合格的投标文件进行评议，并依据本章“评审因素及评分标准”中的商务评议进行综合比较和评分。</w:t>
      </w:r>
    </w:p>
    <w:p>
      <w:pPr>
        <w:numPr>
          <w:ilvl w:val="0"/>
          <w:numId w:val="49"/>
        </w:numPr>
        <w:tabs>
          <w:tab w:val="left" w:pos="616"/>
        </w:tabs>
        <w:spacing w:line="360" w:lineRule="auto"/>
        <w:ind w:left="10" w:leftChars="5" w:firstLine="237" w:firstLineChars="99"/>
        <w:rPr>
          <w:rFonts w:ascii="宋体" w:hAnsi="宋体" w:eastAsia="宋体" w:cs="Times New Roman"/>
          <w:b/>
          <w:bCs/>
          <w:sz w:val="24"/>
          <w:szCs w:val="20"/>
          <w:lang w:val="zh-CN"/>
        </w:rPr>
      </w:pPr>
      <w:r>
        <w:rPr>
          <w:rFonts w:hint="eastAsia" w:ascii="宋体" w:hAnsi="宋体" w:eastAsia="宋体" w:cs="Times New Roman"/>
          <w:b/>
          <w:bCs/>
          <w:sz w:val="24"/>
          <w:szCs w:val="20"/>
          <w:lang w:val="zh-CN"/>
        </w:rPr>
        <w:t>技术、服务评议</w:t>
      </w:r>
    </w:p>
    <w:p>
      <w:pPr>
        <w:spacing w:line="360" w:lineRule="auto"/>
        <w:ind w:firstLine="482" w:firstLineChars="200"/>
        <w:rPr>
          <w:rFonts w:ascii="宋体" w:hAnsi="宋体" w:eastAsia="宋体" w:cs="Times New Roman"/>
          <w:kern w:val="0"/>
          <w:sz w:val="24"/>
          <w:szCs w:val="20"/>
          <w:lang w:val="zh-CN"/>
        </w:rPr>
      </w:pPr>
      <w:r>
        <w:rPr>
          <w:rFonts w:hint="eastAsia" w:ascii="宋体" w:hAnsi="宋体" w:eastAsia="宋体" w:cs="Times New Roman"/>
          <w:bCs/>
          <w:sz w:val="24"/>
          <w:szCs w:val="20"/>
          <w:lang w:val="zh-CN"/>
        </w:rPr>
        <w:t>评标委员会对符合性审查合格的投标文件进行评议，并依据本章“评审因素及评分标准”中的技术、服务评议进行综合比较和评分。</w:t>
      </w:r>
    </w:p>
    <w:p>
      <w:pPr>
        <w:numPr>
          <w:ilvl w:val="0"/>
          <w:numId w:val="49"/>
        </w:numPr>
        <w:tabs>
          <w:tab w:val="left" w:pos="616"/>
        </w:tabs>
        <w:spacing w:line="360" w:lineRule="auto"/>
        <w:ind w:left="10" w:leftChars="5" w:firstLine="237" w:firstLineChars="99"/>
        <w:rPr>
          <w:rFonts w:ascii="宋体" w:hAnsi="宋体" w:eastAsia="宋体" w:cs="Times New Roman"/>
          <w:b/>
          <w:bCs/>
          <w:sz w:val="24"/>
          <w:szCs w:val="20"/>
          <w:lang w:val="zh-CN"/>
        </w:rPr>
      </w:pPr>
      <w:r>
        <w:rPr>
          <w:rFonts w:hint="eastAsia" w:ascii="宋体" w:hAnsi="宋体" w:eastAsia="宋体" w:cs="Times New Roman"/>
          <w:b/>
          <w:bCs/>
          <w:sz w:val="24"/>
          <w:szCs w:val="20"/>
          <w:lang w:val="zh-CN"/>
        </w:rPr>
        <w:t>价格评议</w:t>
      </w:r>
    </w:p>
    <w:p>
      <w:pPr>
        <w:spacing w:line="360" w:lineRule="auto"/>
        <w:ind w:firstLine="482" w:firstLineChars="200"/>
        <w:rPr>
          <w:rFonts w:ascii="宋体" w:hAnsi="宋体" w:eastAsia="宋体" w:cs="Times New Roman"/>
          <w:bCs/>
          <w:sz w:val="24"/>
          <w:szCs w:val="24"/>
        </w:rPr>
      </w:pPr>
      <w:r>
        <w:rPr>
          <w:rFonts w:hint="eastAsia" w:ascii="宋体" w:hAnsi="宋体" w:eastAsia="宋体" w:cs="Times New Roman"/>
          <w:bCs/>
          <w:sz w:val="24"/>
          <w:szCs w:val="24"/>
        </w:rPr>
        <w:t>评标委员会对符合性审查合格的投标文件进行价格评议（</w:t>
      </w:r>
      <w:r>
        <w:rPr>
          <w:rFonts w:hint="eastAsia" w:ascii="宋体" w:hAnsi="宋体" w:eastAsia="宋体" w:cs="Times New Roman"/>
          <w:bCs/>
          <w:sz w:val="24"/>
          <w:szCs w:val="21"/>
          <w:lang w:val="zh-CN"/>
        </w:rPr>
        <w:t>执行国家统一定价标准和采用固定价格采购的项目，其价格不列为评审因素</w:t>
      </w:r>
      <w:r>
        <w:rPr>
          <w:rFonts w:hint="eastAsia" w:ascii="宋体" w:hAnsi="宋体" w:eastAsia="宋体" w:cs="Times New Roman"/>
          <w:bCs/>
          <w:sz w:val="24"/>
          <w:szCs w:val="24"/>
        </w:rPr>
        <w:t>），价格分采用低价优先法计算，即满足招标文件要求且投标价格（落实政府采购政策进行价格调整的，以调整后的价格计算）最低的投标报价为评标基准价，其价格分为满分。其他投标人的价格分计算详见本章“评审因素及评分标准”中的具体计算公式。</w:t>
      </w:r>
    </w:p>
    <w:p>
      <w:pPr>
        <w:numPr>
          <w:ilvl w:val="0"/>
          <w:numId w:val="50"/>
        </w:numPr>
        <w:adjustRightInd w:val="0"/>
        <w:spacing w:line="360" w:lineRule="auto"/>
        <w:ind w:left="742" w:hanging="493"/>
        <w:rPr>
          <w:rFonts w:ascii="宋体" w:hAnsi="宋体" w:eastAsia="宋体" w:cs="Times New Roman"/>
          <w:bCs/>
          <w:sz w:val="24"/>
          <w:szCs w:val="21"/>
          <w:lang w:val="zh-CN"/>
        </w:rPr>
      </w:pPr>
      <w:r>
        <w:rPr>
          <w:rFonts w:hint="eastAsia" w:ascii="宋体" w:hAnsi="宋体" w:eastAsia="宋体" w:cs="Times New Roman"/>
          <w:b/>
          <w:sz w:val="24"/>
          <w:szCs w:val="24"/>
          <w:lang w:val="zh-CN"/>
        </w:rPr>
        <w:t>报价合理性说明：</w:t>
      </w:r>
      <w:r>
        <w:rPr>
          <w:rFonts w:ascii="宋体" w:hAnsi="宋体" w:eastAsia="宋体" w:cs="Helvetica"/>
          <w:kern w:val="0"/>
          <w:sz w:val="24"/>
          <w:szCs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w:t>
      </w:r>
      <w:r>
        <w:rPr>
          <w:rFonts w:hint="eastAsia" w:ascii="宋体" w:hAnsi="宋体" w:eastAsia="宋体" w:cs="Helvetica"/>
          <w:kern w:val="0"/>
          <w:sz w:val="24"/>
          <w:szCs w:val="24"/>
          <w:lang w:val="zh-CN"/>
        </w:rPr>
        <w:t>应当将其作为</w:t>
      </w:r>
      <w:r>
        <w:rPr>
          <w:rFonts w:ascii="宋体" w:hAnsi="宋体" w:eastAsia="宋体" w:cs="Helvetica"/>
          <w:b/>
          <w:kern w:val="0"/>
          <w:sz w:val="24"/>
          <w:szCs w:val="24"/>
          <w:lang w:val="zh-CN"/>
        </w:rPr>
        <w:t>无效投标处理</w:t>
      </w:r>
      <w:r>
        <w:rPr>
          <w:rFonts w:ascii="宋体" w:hAnsi="宋体" w:eastAsia="宋体" w:cs="Helvetica"/>
          <w:kern w:val="0"/>
          <w:sz w:val="24"/>
          <w:szCs w:val="24"/>
          <w:lang w:val="zh-CN"/>
        </w:rPr>
        <w:t>。</w:t>
      </w:r>
    </w:p>
    <w:p>
      <w:pPr>
        <w:numPr>
          <w:ilvl w:val="0"/>
          <w:numId w:val="49"/>
        </w:numPr>
        <w:tabs>
          <w:tab w:val="left" w:pos="616"/>
        </w:tabs>
        <w:spacing w:line="360" w:lineRule="auto"/>
        <w:ind w:left="10" w:leftChars="5" w:firstLine="237" w:firstLineChars="99"/>
        <w:rPr>
          <w:rFonts w:ascii="宋体" w:hAnsi="宋体" w:eastAsia="宋体" w:cs="Times New Roman"/>
          <w:b/>
          <w:bCs/>
          <w:sz w:val="24"/>
          <w:szCs w:val="20"/>
          <w:lang w:val="zh-CN"/>
        </w:rPr>
      </w:pPr>
      <w:r>
        <w:rPr>
          <w:rFonts w:hint="eastAsia" w:ascii="宋体" w:hAnsi="宋体" w:eastAsia="宋体" w:cs="Times New Roman"/>
          <w:b/>
          <w:bCs/>
          <w:sz w:val="24"/>
          <w:szCs w:val="20"/>
          <w:lang w:val="zh-CN"/>
        </w:rPr>
        <w:t>相同品牌处理原则</w:t>
      </w:r>
    </w:p>
    <w:p>
      <w:pPr>
        <w:numPr>
          <w:ilvl w:val="0"/>
          <w:numId w:val="51"/>
        </w:numPr>
        <w:adjustRightInd w:val="0"/>
        <w:spacing w:line="360" w:lineRule="auto"/>
        <w:ind w:left="756" w:hanging="507"/>
        <w:rPr>
          <w:rFonts w:ascii="Helvetica" w:hAnsi="Helvetica" w:eastAsia="宋体" w:cs="Helvetica"/>
          <w:color w:val="0D0D0D"/>
          <w:kern w:val="0"/>
          <w:sz w:val="24"/>
          <w:szCs w:val="24"/>
          <w:lang w:val="zh-CN"/>
        </w:rPr>
      </w:pPr>
      <w:r>
        <w:rPr>
          <w:rFonts w:ascii="Helvetica" w:hAnsi="Helvetica" w:eastAsia="宋体" w:cs="Helvetica"/>
          <w:color w:val="0D0D0D"/>
          <w:kern w:val="0"/>
          <w:sz w:val="24"/>
          <w:szCs w:val="24"/>
          <w:lang w:val="zh-CN"/>
        </w:rPr>
        <w:t>提供相同品牌产品且通过资格审查、符合性审查的不同投标人参加同一合同项下投标的，按一家投标人计算，评审后得分最高的同品牌投标人获得中标人推荐资格；评审得分相同的，由采购人</w:t>
      </w:r>
      <w:r>
        <w:rPr>
          <w:rFonts w:hint="eastAsia" w:ascii="Helvetica" w:hAnsi="Helvetica" w:eastAsia="宋体" w:cs="Helvetica"/>
          <w:color w:val="0D0D0D"/>
          <w:kern w:val="0"/>
          <w:sz w:val="24"/>
          <w:szCs w:val="24"/>
          <w:lang w:val="zh-CN"/>
        </w:rPr>
        <w:t>确定</w:t>
      </w:r>
      <w:r>
        <w:rPr>
          <w:rFonts w:ascii="Helvetica" w:hAnsi="Helvetica" w:eastAsia="宋体" w:cs="Helvetica"/>
          <w:color w:val="0D0D0D"/>
          <w:kern w:val="0"/>
          <w:sz w:val="24"/>
          <w:szCs w:val="24"/>
          <w:lang w:val="zh-CN"/>
        </w:rPr>
        <w:t>或者采购人委托评标委员会</w:t>
      </w:r>
      <w:r>
        <w:rPr>
          <w:rFonts w:hint="eastAsia" w:ascii="Helvetica" w:hAnsi="Helvetica" w:eastAsia="宋体" w:cs="Helvetica"/>
          <w:color w:val="0D0D0D"/>
          <w:kern w:val="0"/>
          <w:sz w:val="24"/>
          <w:szCs w:val="24"/>
          <w:lang w:val="zh-CN"/>
        </w:rPr>
        <w:t>以投票方式</w:t>
      </w:r>
      <w:r>
        <w:rPr>
          <w:rFonts w:ascii="Helvetica" w:hAnsi="Helvetica" w:eastAsia="宋体" w:cs="Helvetica"/>
          <w:color w:val="0D0D0D"/>
          <w:kern w:val="0"/>
          <w:sz w:val="24"/>
          <w:szCs w:val="24"/>
          <w:lang w:val="zh-CN"/>
        </w:rPr>
        <w:t>确定一个投标人获得中标人推荐资格，其他同品牌投标人不作为中标候选人。</w:t>
      </w:r>
    </w:p>
    <w:p>
      <w:pPr>
        <w:numPr>
          <w:ilvl w:val="0"/>
          <w:numId w:val="51"/>
        </w:numPr>
        <w:adjustRightInd w:val="0"/>
        <w:spacing w:line="360" w:lineRule="auto"/>
        <w:ind w:left="756" w:hanging="507"/>
        <w:rPr>
          <w:rFonts w:ascii="Helvetica" w:hAnsi="Helvetica" w:eastAsia="宋体" w:cs="Helvetica"/>
          <w:color w:val="0D0D0D"/>
          <w:kern w:val="0"/>
          <w:sz w:val="24"/>
          <w:szCs w:val="24"/>
          <w:lang w:val="zh-CN"/>
        </w:rPr>
      </w:pPr>
      <w:r>
        <w:rPr>
          <w:rFonts w:ascii="Helvetica" w:hAnsi="Helvetica" w:eastAsia="宋体" w:cs="Helvetica"/>
          <w:color w:val="0D0D0D"/>
          <w:kern w:val="0"/>
          <w:sz w:val="24"/>
          <w:szCs w:val="24"/>
          <w:lang w:val="zh-CN"/>
        </w:rPr>
        <w:t>非单一产品采购项目，采购人</w:t>
      </w:r>
      <w:r>
        <w:rPr>
          <w:rFonts w:ascii="Helvetica" w:hAnsi="Helvetica" w:eastAsia="宋体" w:cs="Helvetica"/>
          <w:kern w:val="0"/>
          <w:sz w:val="24"/>
          <w:szCs w:val="24"/>
          <w:lang w:val="zh-CN"/>
        </w:rPr>
        <w:t>应当根据采购项目技术构成、产品价格比重等合理确定</w:t>
      </w:r>
      <w:r>
        <w:rPr>
          <w:rFonts w:hint="eastAsia" w:ascii="Helvetica" w:hAnsi="Helvetica" w:eastAsia="宋体" w:cs="Helvetica"/>
          <w:b/>
          <w:kern w:val="0"/>
          <w:sz w:val="24"/>
          <w:szCs w:val="24"/>
          <w:lang w:val="zh-CN"/>
        </w:rPr>
        <w:t>一个</w:t>
      </w:r>
      <w:r>
        <w:rPr>
          <w:rFonts w:ascii="Helvetica" w:hAnsi="Helvetica" w:eastAsia="宋体" w:cs="Helvetica"/>
          <w:b/>
          <w:kern w:val="0"/>
          <w:sz w:val="24"/>
          <w:szCs w:val="24"/>
          <w:lang w:val="zh-CN"/>
        </w:rPr>
        <w:t>核心产品</w:t>
      </w:r>
      <w:r>
        <w:rPr>
          <w:rFonts w:hint="eastAsia" w:ascii="Helvetica" w:hAnsi="Helvetica" w:eastAsia="宋体" w:cs="Helvetica"/>
          <w:kern w:val="0"/>
          <w:sz w:val="24"/>
          <w:szCs w:val="24"/>
          <w:lang w:val="zh-CN"/>
        </w:rPr>
        <w:t>（</w:t>
      </w:r>
      <w:r>
        <w:rPr>
          <w:rFonts w:hint="eastAsia" w:ascii="Helvetica" w:hAnsi="Helvetica" w:eastAsia="宋体" w:cs="Helvetica"/>
          <w:color w:val="0D0D0D"/>
          <w:kern w:val="0"/>
          <w:sz w:val="24"/>
          <w:szCs w:val="24"/>
          <w:lang w:val="zh-CN"/>
        </w:rPr>
        <w:t>采购清单中作“相同〈或同一〉品牌”实质性要求的产品，视为一个核心产品</w:t>
      </w:r>
      <w:r>
        <w:rPr>
          <w:rFonts w:hint="eastAsia" w:ascii="Helvetica" w:hAnsi="Helvetica" w:eastAsia="宋体" w:cs="Helvetica"/>
          <w:kern w:val="0"/>
          <w:sz w:val="24"/>
          <w:szCs w:val="24"/>
          <w:lang w:val="zh-CN"/>
        </w:rPr>
        <w:t>）</w:t>
      </w:r>
      <w:r>
        <w:rPr>
          <w:rFonts w:hint="eastAsia" w:ascii="Helvetica" w:hAnsi="Helvetica" w:eastAsia="宋体" w:cs="Helvetica"/>
          <w:color w:val="0D0D0D"/>
          <w:kern w:val="0"/>
          <w:sz w:val="24"/>
          <w:szCs w:val="24"/>
          <w:lang w:val="zh-CN"/>
        </w:rPr>
        <w:t>，</w:t>
      </w:r>
      <w:r>
        <w:rPr>
          <w:rFonts w:ascii="Helvetica" w:hAnsi="Helvetica" w:eastAsia="宋体" w:cs="Helvetica"/>
          <w:kern w:val="0"/>
          <w:sz w:val="24"/>
          <w:szCs w:val="24"/>
          <w:lang w:val="zh-CN"/>
        </w:rPr>
        <w:t>并</w:t>
      </w:r>
      <w:r>
        <w:rPr>
          <w:rFonts w:hint="eastAsia" w:ascii="Helvetica" w:hAnsi="Helvetica" w:eastAsia="宋体" w:cs="Helvetica"/>
          <w:kern w:val="0"/>
          <w:sz w:val="24"/>
          <w:szCs w:val="24"/>
          <w:lang w:val="zh-CN"/>
        </w:rPr>
        <w:t>以</w:t>
      </w:r>
      <w:r>
        <w:rPr>
          <w:rFonts w:hint="eastAsia" w:ascii="Helvetica" w:hAnsi="Helvetica" w:eastAsia="宋体" w:cs="Helvetica"/>
          <w:b/>
          <w:kern w:val="0"/>
          <w:sz w:val="24"/>
          <w:szCs w:val="24"/>
          <w:lang w:val="zh-CN"/>
        </w:rPr>
        <w:t>“</w:t>
      </w:r>
      <w:r>
        <w:rPr>
          <w:rFonts w:hint="eastAsia" w:ascii="MS Gothic" w:hAnsi="MS Gothic" w:eastAsia="宋体" w:cs="MS Gothic"/>
          <w:b/>
          <w:kern w:val="0"/>
          <w:sz w:val="24"/>
          <w:szCs w:val="24"/>
          <w:lang w:val="zh-CN"/>
        </w:rPr>
        <w:t>核心产品</w:t>
      </w:r>
      <w:r>
        <w:rPr>
          <w:rFonts w:hint="eastAsia" w:ascii="Helvetica" w:hAnsi="Helvetica" w:eastAsia="宋体" w:cs="Helvetica"/>
          <w:b/>
          <w:kern w:val="0"/>
          <w:sz w:val="24"/>
          <w:szCs w:val="24"/>
          <w:lang w:val="zh-CN"/>
        </w:rPr>
        <w:t>”</w:t>
      </w:r>
      <w:r>
        <w:rPr>
          <w:rFonts w:ascii="Helvetica" w:hAnsi="Helvetica" w:eastAsia="宋体" w:cs="Helvetica"/>
          <w:kern w:val="0"/>
          <w:sz w:val="24"/>
          <w:szCs w:val="24"/>
          <w:lang w:val="zh-CN"/>
        </w:rPr>
        <w:t>在</w:t>
      </w:r>
      <w:r>
        <w:rPr>
          <w:rFonts w:ascii="Helvetica" w:hAnsi="Helvetica" w:eastAsia="宋体" w:cs="Helvetica"/>
          <w:color w:val="0D0D0D"/>
          <w:kern w:val="0"/>
          <w:sz w:val="24"/>
          <w:szCs w:val="24"/>
          <w:lang w:val="zh-CN"/>
        </w:rPr>
        <w:t>招标文件中</w:t>
      </w:r>
      <w:r>
        <w:rPr>
          <w:rFonts w:hint="eastAsia" w:ascii="Helvetica" w:hAnsi="Helvetica" w:eastAsia="宋体" w:cs="Helvetica"/>
          <w:color w:val="0D0D0D"/>
          <w:kern w:val="0"/>
          <w:sz w:val="24"/>
          <w:szCs w:val="24"/>
          <w:lang w:val="zh-CN"/>
        </w:rPr>
        <w:t>标注</w:t>
      </w:r>
      <w:r>
        <w:rPr>
          <w:rFonts w:ascii="Helvetica" w:hAnsi="Helvetica" w:eastAsia="宋体" w:cs="Helvetica"/>
          <w:color w:val="0D0D0D"/>
          <w:kern w:val="0"/>
          <w:sz w:val="24"/>
          <w:szCs w:val="24"/>
          <w:lang w:val="zh-CN"/>
        </w:rPr>
        <w:t>。</w:t>
      </w:r>
    </w:p>
    <w:p>
      <w:pPr>
        <w:numPr>
          <w:ilvl w:val="0"/>
          <w:numId w:val="49"/>
        </w:numPr>
        <w:tabs>
          <w:tab w:val="left" w:pos="616"/>
        </w:tabs>
        <w:spacing w:line="360" w:lineRule="auto"/>
        <w:ind w:left="10" w:leftChars="5" w:firstLine="237" w:firstLineChars="99"/>
        <w:rPr>
          <w:rFonts w:ascii="宋体" w:hAnsi="宋体" w:eastAsia="宋体" w:cs="Times New Roman"/>
          <w:b/>
          <w:bCs/>
          <w:sz w:val="24"/>
          <w:szCs w:val="20"/>
          <w:lang w:val="zh-CN"/>
        </w:rPr>
      </w:pPr>
      <w:r>
        <w:rPr>
          <w:rFonts w:hint="eastAsia" w:ascii="宋体" w:hAnsi="宋体" w:eastAsia="宋体" w:cs="Times New Roman"/>
          <w:b/>
          <w:bCs/>
          <w:sz w:val="24"/>
          <w:szCs w:val="20"/>
          <w:lang w:val="zh-CN"/>
        </w:rPr>
        <w:t>计分办法</w:t>
      </w:r>
    </w:p>
    <w:p>
      <w:pPr>
        <w:numPr>
          <w:ilvl w:val="0"/>
          <w:numId w:val="52"/>
        </w:numPr>
        <w:adjustRightInd w:val="0"/>
        <w:spacing w:line="360" w:lineRule="auto"/>
        <w:ind w:left="756" w:hanging="507"/>
        <w:rPr>
          <w:rFonts w:ascii="Helvetica" w:hAnsi="Helvetica" w:eastAsia="宋体" w:cs="Helvetica"/>
          <w:kern w:val="0"/>
          <w:sz w:val="24"/>
          <w:szCs w:val="24"/>
          <w:lang w:val="zh-CN"/>
        </w:rPr>
      </w:pPr>
      <w:r>
        <w:rPr>
          <w:rFonts w:hint="eastAsia" w:ascii="Helvetica" w:hAnsi="Helvetica" w:eastAsia="宋体" w:cs="Helvetica"/>
          <w:kern w:val="0"/>
          <w:sz w:val="24"/>
          <w:szCs w:val="24"/>
          <w:lang w:val="zh-CN"/>
        </w:rPr>
        <w:t>集中采购机构对各评委的总分进行复核。各项统计结果均精确到小数点后两位。</w:t>
      </w:r>
    </w:p>
    <w:p>
      <w:pPr>
        <w:numPr>
          <w:ilvl w:val="0"/>
          <w:numId w:val="52"/>
        </w:numPr>
        <w:adjustRightInd w:val="0"/>
        <w:spacing w:line="360" w:lineRule="auto"/>
        <w:ind w:left="756" w:hanging="507"/>
        <w:rPr>
          <w:rFonts w:ascii="Helvetica" w:hAnsi="Helvetica" w:eastAsia="宋体" w:cs="Helvetica"/>
          <w:kern w:val="0"/>
          <w:sz w:val="24"/>
          <w:szCs w:val="24"/>
          <w:lang w:val="zh-CN"/>
        </w:rPr>
      </w:pPr>
      <w:r>
        <w:rPr>
          <w:rFonts w:hint="eastAsia" w:ascii="Helvetica" w:hAnsi="Helvetica" w:eastAsia="宋体" w:cs="Helvetica"/>
          <w:kern w:val="0"/>
          <w:sz w:val="24"/>
          <w:szCs w:val="24"/>
          <w:lang w:val="zh-CN"/>
        </w:rPr>
        <w:t>各投标人的最终得分为评委所评定分数的算术平均值。</w:t>
      </w:r>
    </w:p>
    <w:p>
      <w:pPr>
        <w:numPr>
          <w:ilvl w:val="0"/>
          <w:numId w:val="45"/>
        </w:numPr>
        <w:ind w:left="1315" w:leftChars="154" w:hanging="991" w:hangingChars="353"/>
        <w:rPr>
          <w:rFonts w:ascii="宋体" w:hAnsi="宋体" w:eastAsia="宋体" w:cs="Times New Roman"/>
          <w:b/>
          <w:sz w:val="28"/>
          <w:szCs w:val="28"/>
          <w:lang w:val="zh-CN"/>
        </w:rPr>
      </w:pPr>
      <w:r>
        <w:rPr>
          <w:rFonts w:hint="eastAsia" w:ascii="宋体" w:hAnsi="宋体" w:eastAsia="宋体" w:cs="Times New Roman"/>
          <w:b/>
          <w:sz w:val="28"/>
          <w:szCs w:val="28"/>
          <w:lang w:val="zh-CN"/>
        </w:rPr>
        <w:t>推荐中标候选人名单或确定中标人</w:t>
      </w:r>
    </w:p>
    <w:p>
      <w:pPr>
        <w:numPr>
          <w:ilvl w:val="0"/>
          <w:numId w:val="53"/>
        </w:numPr>
        <w:tabs>
          <w:tab w:val="left" w:pos="616"/>
        </w:tabs>
        <w:spacing w:line="360" w:lineRule="auto"/>
        <w:ind w:left="10" w:leftChars="5" w:firstLine="237" w:firstLineChars="99"/>
        <w:rPr>
          <w:rFonts w:ascii="Helvetica" w:hAnsi="Helvetica" w:eastAsia="宋体" w:cs="Helvetica"/>
          <w:kern w:val="0"/>
          <w:sz w:val="24"/>
          <w:szCs w:val="24"/>
          <w:lang w:val="zh-CN"/>
        </w:rPr>
      </w:pPr>
      <w:r>
        <w:rPr>
          <w:rFonts w:hint="eastAsia" w:ascii="Helvetica" w:hAnsi="Helvetica" w:eastAsia="宋体" w:cs="Helvetica"/>
          <w:kern w:val="0"/>
          <w:sz w:val="24"/>
          <w:szCs w:val="24"/>
          <w:lang w:val="zh-CN"/>
        </w:rPr>
        <w:t>评标委员会按照招标文件确定的评标方法、程序及标准，对投标文件进行评审。</w:t>
      </w:r>
      <w:r>
        <w:rPr>
          <w:rFonts w:ascii="Helvetica" w:hAnsi="Helvetica" w:eastAsia="宋体" w:cs="Helvetica"/>
          <w:kern w:val="0"/>
          <w:sz w:val="24"/>
          <w:szCs w:val="24"/>
          <w:lang w:val="zh-CN"/>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numPr>
          <w:ilvl w:val="0"/>
          <w:numId w:val="53"/>
        </w:numPr>
        <w:tabs>
          <w:tab w:val="left" w:pos="616"/>
        </w:tabs>
        <w:spacing w:line="360" w:lineRule="auto"/>
        <w:ind w:left="10" w:leftChars="5" w:firstLine="237" w:firstLineChars="99"/>
        <w:rPr>
          <w:rFonts w:ascii="Helvetica" w:hAnsi="Helvetica" w:eastAsia="宋体" w:cs="Helvetica"/>
          <w:kern w:val="0"/>
          <w:sz w:val="24"/>
          <w:szCs w:val="24"/>
          <w:lang w:val="zh-CN"/>
        </w:rPr>
      </w:pPr>
      <w:r>
        <w:rPr>
          <w:rFonts w:hint="eastAsia" w:ascii="Helvetica" w:hAnsi="Helvetica" w:eastAsia="宋体" w:cs="Helvetica"/>
          <w:kern w:val="0"/>
          <w:sz w:val="24"/>
          <w:szCs w:val="24"/>
          <w:lang w:val="zh-CN"/>
        </w:rPr>
        <w:t>评标委员会依据评标结果，按各投标人的评审后得分由高到低的顺序向采购人推荐得分前三名的进入中标候选人名单，并形成书面的评标报告。</w:t>
      </w:r>
    </w:p>
    <w:p>
      <w:pPr>
        <w:numPr>
          <w:ilvl w:val="0"/>
          <w:numId w:val="53"/>
        </w:numPr>
        <w:tabs>
          <w:tab w:val="left" w:pos="616"/>
        </w:tabs>
        <w:spacing w:line="360" w:lineRule="auto"/>
        <w:ind w:left="10" w:leftChars="5" w:firstLine="237" w:firstLineChars="99"/>
        <w:rPr>
          <w:rFonts w:ascii="Helvetica" w:hAnsi="Helvetica" w:eastAsia="宋体" w:cs="Helvetica"/>
          <w:kern w:val="0"/>
          <w:sz w:val="24"/>
          <w:szCs w:val="24"/>
          <w:lang w:val="zh-CN"/>
        </w:rPr>
      </w:pPr>
      <w:r>
        <w:rPr>
          <w:rFonts w:hint="eastAsia" w:ascii="Helvetica" w:hAnsi="Helvetica" w:eastAsia="宋体" w:cs="Helvetica"/>
          <w:kern w:val="0"/>
          <w:sz w:val="24"/>
          <w:szCs w:val="24"/>
          <w:lang w:val="zh-CN"/>
        </w:rPr>
        <w:t>中标候选人并列的，</w:t>
      </w:r>
      <w:r>
        <w:rPr>
          <w:rFonts w:ascii="Helvetica" w:hAnsi="Helvetica" w:eastAsia="宋体" w:cs="Helvetica"/>
          <w:kern w:val="0"/>
          <w:sz w:val="24"/>
          <w:szCs w:val="24"/>
          <w:lang w:val="zh-CN"/>
        </w:rPr>
        <w:t>由采购人</w:t>
      </w:r>
      <w:r>
        <w:rPr>
          <w:rFonts w:hint="eastAsia" w:ascii="Helvetica" w:hAnsi="Helvetica" w:eastAsia="宋体" w:cs="Helvetica"/>
          <w:kern w:val="0"/>
          <w:sz w:val="24"/>
          <w:szCs w:val="24"/>
          <w:lang w:val="zh-CN"/>
        </w:rPr>
        <w:t>确定</w:t>
      </w:r>
      <w:r>
        <w:rPr>
          <w:rFonts w:ascii="Helvetica" w:hAnsi="Helvetica" w:eastAsia="宋体" w:cs="Helvetica"/>
          <w:kern w:val="0"/>
          <w:sz w:val="24"/>
          <w:szCs w:val="24"/>
          <w:lang w:val="zh-CN"/>
        </w:rPr>
        <w:t>或者采购人委托评标委员会</w:t>
      </w:r>
      <w:r>
        <w:rPr>
          <w:rFonts w:hint="eastAsia" w:ascii="Helvetica" w:hAnsi="Helvetica" w:eastAsia="宋体" w:cs="Helvetica"/>
          <w:kern w:val="0"/>
          <w:sz w:val="24"/>
          <w:szCs w:val="24"/>
          <w:lang w:val="zh-CN"/>
        </w:rPr>
        <w:t>以投票方式</w:t>
      </w:r>
      <w:r>
        <w:rPr>
          <w:rFonts w:ascii="Helvetica" w:hAnsi="Helvetica" w:eastAsia="宋体" w:cs="Helvetica"/>
          <w:kern w:val="0"/>
          <w:sz w:val="24"/>
          <w:szCs w:val="24"/>
          <w:lang w:val="zh-CN"/>
        </w:rPr>
        <w:t>确定中标人。</w:t>
      </w:r>
    </w:p>
    <w:p>
      <w:pPr>
        <w:numPr>
          <w:ilvl w:val="0"/>
          <w:numId w:val="53"/>
        </w:numPr>
        <w:tabs>
          <w:tab w:val="left" w:pos="616"/>
        </w:tabs>
        <w:spacing w:line="360" w:lineRule="auto"/>
        <w:ind w:left="10" w:leftChars="5" w:firstLine="237" w:firstLineChars="99"/>
        <w:rPr>
          <w:rFonts w:ascii="Helvetica" w:hAnsi="Helvetica" w:eastAsia="宋体" w:cs="Helvetica"/>
          <w:kern w:val="0"/>
          <w:sz w:val="24"/>
          <w:szCs w:val="24"/>
          <w:lang w:val="zh-CN"/>
        </w:rPr>
      </w:pPr>
      <w:r>
        <w:rPr>
          <w:rFonts w:hint="eastAsia" w:ascii="Helvetica" w:hAnsi="Helvetica" w:eastAsia="宋体" w:cs="Helvetica"/>
          <w:kern w:val="0"/>
          <w:sz w:val="24"/>
          <w:szCs w:val="24"/>
          <w:lang w:val="zh-CN"/>
        </w:rPr>
        <w:t>评标委员会应当在评标报告上签字，对自己的评审意见承担法律责任。对评标报告有异议的，应当在评标报告上签署不同意见，并说明理由，否则视为同意评标报告。</w:t>
      </w:r>
    </w:p>
    <w:p>
      <w:pPr>
        <w:tabs>
          <w:tab w:val="left" w:pos="616"/>
        </w:tabs>
        <w:spacing w:line="360" w:lineRule="auto"/>
        <w:rPr>
          <w:rFonts w:ascii="Helvetica" w:hAnsi="Helvetica" w:eastAsia="宋体" w:cs="Helvetica"/>
          <w:kern w:val="0"/>
          <w:sz w:val="24"/>
          <w:szCs w:val="24"/>
          <w:lang w:val="zh-CN"/>
        </w:rPr>
      </w:pPr>
    </w:p>
    <w:p>
      <w:pPr>
        <w:tabs>
          <w:tab w:val="left" w:pos="616"/>
        </w:tabs>
        <w:spacing w:line="360" w:lineRule="auto"/>
        <w:rPr>
          <w:rFonts w:ascii="Helvetica" w:hAnsi="Helvetica" w:eastAsia="宋体" w:cs="Helvetica"/>
          <w:kern w:val="0"/>
          <w:sz w:val="24"/>
          <w:szCs w:val="24"/>
          <w:lang w:val="zh-CN"/>
        </w:rPr>
      </w:pPr>
    </w:p>
    <w:p>
      <w:pPr>
        <w:tabs>
          <w:tab w:val="left" w:pos="616"/>
        </w:tabs>
        <w:spacing w:line="360" w:lineRule="auto"/>
        <w:rPr>
          <w:rFonts w:ascii="Helvetica" w:hAnsi="Helvetica" w:eastAsia="宋体" w:cs="Helvetica"/>
          <w:kern w:val="0"/>
          <w:sz w:val="24"/>
          <w:szCs w:val="24"/>
          <w:lang w:val="zh-CN"/>
        </w:rPr>
      </w:pPr>
    </w:p>
    <w:p>
      <w:pPr>
        <w:tabs>
          <w:tab w:val="left" w:pos="616"/>
        </w:tabs>
        <w:spacing w:line="360" w:lineRule="auto"/>
        <w:rPr>
          <w:rFonts w:ascii="Helvetica" w:hAnsi="Helvetica" w:eastAsia="宋体" w:cs="Helvetica"/>
          <w:kern w:val="0"/>
          <w:sz w:val="24"/>
          <w:szCs w:val="24"/>
          <w:lang w:val="zh-CN"/>
        </w:rPr>
      </w:pPr>
    </w:p>
    <w:p>
      <w:pPr>
        <w:tabs>
          <w:tab w:val="left" w:pos="616"/>
        </w:tabs>
        <w:spacing w:line="360" w:lineRule="auto"/>
        <w:rPr>
          <w:rFonts w:ascii="Helvetica" w:hAnsi="Helvetica" w:eastAsia="宋体" w:cs="Helvetica"/>
          <w:kern w:val="0"/>
          <w:sz w:val="24"/>
          <w:szCs w:val="24"/>
          <w:lang w:val="zh-CN"/>
        </w:rPr>
      </w:pPr>
    </w:p>
    <w:p>
      <w:pPr>
        <w:tabs>
          <w:tab w:val="left" w:pos="616"/>
        </w:tabs>
        <w:spacing w:line="360" w:lineRule="auto"/>
        <w:rPr>
          <w:rFonts w:ascii="Helvetica" w:hAnsi="Helvetica" w:eastAsia="宋体" w:cs="Helvetica"/>
          <w:kern w:val="0"/>
          <w:sz w:val="24"/>
          <w:szCs w:val="24"/>
          <w:lang w:val="zh-CN"/>
        </w:rPr>
      </w:pPr>
    </w:p>
    <w:p>
      <w:pPr>
        <w:tabs>
          <w:tab w:val="left" w:pos="616"/>
        </w:tabs>
        <w:spacing w:line="360" w:lineRule="auto"/>
        <w:rPr>
          <w:rFonts w:ascii="Helvetica" w:hAnsi="Helvetica" w:eastAsia="宋体" w:cs="Helvetica"/>
          <w:kern w:val="0"/>
          <w:sz w:val="24"/>
          <w:szCs w:val="24"/>
          <w:lang w:val="zh-CN"/>
        </w:rPr>
      </w:pPr>
    </w:p>
    <w:p>
      <w:pPr>
        <w:tabs>
          <w:tab w:val="left" w:pos="616"/>
        </w:tabs>
        <w:spacing w:line="360" w:lineRule="auto"/>
        <w:rPr>
          <w:rFonts w:ascii="Helvetica" w:hAnsi="Helvetica" w:eastAsia="宋体" w:cs="Helvetica"/>
          <w:kern w:val="0"/>
          <w:sz w:val="24"/>
          <w:szCs w:val="24"/>
          <w:lang w:val="zh-CN"/>
        </w:rPr>
      </w:pPr>
    </w:p>
    <w:p>
      <w:pPr>
        <w:tabs>
          <w:tab w:val="left" w:pos="616"/>
        </w:tabs>
        <w:spacing w:line="360" w:lineRule="auto"/>
        <w:rPr>
          <w:rFonts w:ascii="Helvetica" w:hAnsi="Helvetica" w:eastAsia="宋体" w:cs="Helvetica"/>
          <w:kern w:val="0"/>
          <w:sz w:val="24"/>
          <w:szCs w:val="24"/>
          <w:lang w:val="zh-CN"/>
        </w:rPr>
      </w:pPr>
    </w:p>
    <w:p>
      <w:pPr>
        <w:tabs>
          <w:tab w:val="left" w:pos="616"/>
        </w:tabs>
        <w:spacing w:line="360" w:lineRule="auto"/>
        <w:rPr>
          <w:rFonts w:ascii="Helvetica" w:hAnsi="Helvetica" w:eastAsia="宋体" w:cs="Helvetica"/>
          <w:kern w:val="0"/>
          <w:sz w:val="24"/>
          <w:szCs w:val="24"/>
          <w:lang w:val="zh-CN"/>
        </w:rPr>
      </w:pPr>
    </w:p>
    <w:p>
      <w:pPr>
        <w:tabs>
          <w:tab w:val="left" w:pos="616"/>
        </w:tabs>
        <w:spacing w:line="360" w:lineRule="auto"/>
        <w:rPr>
          <w:rFonts w:ascii="Helvetica" w:hAnsi="Helvetica" w:eastAsia="宋体" w:cs="Helvetica"/>
          <w:kern w:val="0"/>
          <w:sz w:val="24"/>
          <w:szCs w:val="24"/>
          <w:lang w:val="zh-CN"/>
        </w:rPr>
      </w:pPr>
    </w:p>
    <w:p>
      <w:pPr>
        <w:pStyle w:val="5"/>
        <w:numPr>
          <w:ilvl w:val="0"/>
          <w:numId w:val="44"/>
        </w:numPr>
        <w:spacing w:before="0" w:after="0" w:line="360" w:lineRule="auto"/>
        <w:ind w:left="616" w:hanging="616"/>
        <w:jc w:val="left"/>
        <w:rPr>
          <w:rFonts w:cs="Times New Roman" w:asciiTheme="majorEastAsia" w:hAnsiTheme="majorEastAsia"/>
          <w:bCs w:val="0"/>
          <w:sz w:val="30"/>
          <w:szCs w:val="30"/>
          <w:lang w:val="zh-CN"/>
        </w:rPr>
      </w:pPr>
      <w:bookmarkStart w:id="69" w:name="_Toc494561963"/>
      <w:bookmarkStart w:id="70" w:name="_Toc32067"/>
      <w:r>
        <w:rPr>
          <w:rFonts w:hint="eastAsia" w:cs="Times New Roman" w:asciiTheme="majorEastAsia" w:hAnsiTheme="majorEastAsia"/>
          <w:bCs w:val="0"/>
          <w:sz w:val="30"/>
          <w:szCs w:val="30"/>
          <w:lang w:val="zh-CN"/>
        </w:rPr>
        <w:t>评审因素及评分标准</w:t>
      </w:r>
      <w:bookmarkEnd w:id="69"/>
      <w:bookmarkEnd w:id="70"/>
    </w:p>
    <w:p>
      <w:pPr>
        <w:numPr>
          <w:ilvl w:val="0"/>
          <w:numId w:val="54"/>
        </w:numPr>
        <w:spacing w:before="60" w:after="60" w:line="360" w:lineRule="exact"/>
        <w:ind w:left="714" w:leftChars="138" w:hanging="423" w:hangingChars="151"/>
        <w:rPr>
          <w:rFonts w:ascii="宋体" w:hAnsi="宋体" w:eastAsia="宋体" w:cs="Times New Roman"/>
          <w:b/>
          <w:bCs/>
          <w:sz w:val="28"/>
          <w:szCs w:val="28"/>
        </w:rPr>
      </w:pPr>
      <w:r>
        <w:rPr>
          <w:rFonts w:hint="eastAsia" w:ascii="宋体" w:hAnsi="宋体" w:eastAsia="宋体" w:cs="Times New Roman"/>
          <w:b/>
          <w:bCs/>
          <w:sz w:val="28"/>
          <w:szCs w:val="28"/>
        </w:rPr>
        <w:t>商务评议（</w:t>
      </w:r>
      <w:r>
        <w:rPr>
          <w:rFonts w:hint="eastAsia" w:ascii="宋体" w:hAnsi="宋体" w:eastAsia="宋体" w:cs="Times New Roman"/>
          <w:b/>
          <w:bCs/>
          <w:sz w:val="28"/>
          <w:szCs w:val="28"/>
          <w:lang w:val="en-US" w:eastAsia="zh-CN"/>
        </w:rPr>
        <w:t>35</w:t>
      </w:r>
      <w:r>
        <w:rPr>
          <w:rFonts w:hint="eastAsia" w:ascii="宋体" w:hAnsi="宋体" w:eastAsia="宋体" w:cs="Courier New"/>
          <w:b/>
          <w:bCs/>
          <w:sz w:val="28"/>
          <w:szCs w:val="28"/>
        </w:rPr>
        <w:t>分</w:t>
      </w:r>
      <w:r>
        <w:rPr>
          <w:rFonts w:hint="eastAsia" w:ascii="宋体" w:hAnsi="宋体" w:eastAsia="宋体" w:cs="Times New Roman"/>
          <w:b/>
          <w:bCs/>
          <w:sz w:val="28"/>
          <w:szCs w:val="28"/>
        </w:rPr>
        <w:t>）</w:t>
      </w:r>
    </w:p>
    <w:tbl>
      <w:tblPr>
        <w:tblStyle w:val="21"/>
        <w:tblW w:w="976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1341"/>
        <w:gridCol w:w="601"/>
        <w:gridCol w:w="71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 w:hRule="atLeast"/>
          <w:jc w:val="center"/>
        </w:trPr>
        <w:tc>
          <w:tcPr>
            <w:tcW w:w="636" w:type="dxa"/>
            <w:shd w:val="pct10" w:color="auto" w:fill="auto"/>
            <w:vAlign w:val="center"/>
          </w:tcPr>
          <w:p>
            <w:pPr>
              <w:ind w:left="-78" w:leftChars="-37" w:right="-86" w:rightChars="-41"/>
              <w:jc w:val="center"/>
              <w:rPr>
                <w:rFonts w:ascii="宋体" w:hAnsi="宋体" w:eastAsia="宋体" w:cs="Times New Roman"/>
                <w:b/>
                <w:szCs w:val="21"/>
              </w:rPr>
            </w:pPr>
            <w:r>
              <w:rPr>
                <w:rFonts w:hint="eastAsia" w:ascii="宋体" w:hAnsi="宋体" w:eastAsia="宋体" w:cs="Times New Roman"/>
                <w:b/>
                <w:szCs w:val="21"/>
              </w:rPr>
              <w:t>序号</w:t>
            </w:r>
          </w:p>
        </w:tc>
        <w:tc>
          <w:tcPr>
            <w:tcW w:w="1341" w:type="dxa"/>
            <w:shd w:val="pct10" w:color="auto" w:fill="auto"/>
            <w:vAlign w:val="center"/>
          </w:tcPr>
          <w:p>
            <w:pPr>
              <w:jc w:val="center"/>
              <w:rPr>
                <w:rFonts w:ascii="宋体" w:hAnsi="宋体" w:eastAsia="宋体" w:cs="Times New Roman"/>
                <w:b/>
                <w:szCs w:val="21"/>
              </w:rPr>
            </w:pPr>
            <w:r>
              <w:rPr>
                <w:rFonts w:hint="eastAsia" w:ascii="宋体" w:hAnsi="宋体" w:eastAsia="宋体" w:cs="Times New Roman"/>
                <w:b/>
                <w:szCs w:val="21"/>
              </w:rPr>
              <w:t>评审因素</w:t>
            </w:r>
          </w:p>
        </w:tc>
        <w:tc>
          <w:tcPr>
            <w:tcW w:w="601" w:type="dxa"/>
            <w:shd w:val="pct10" w:color="auto" w:fill="auto"/>
            <w:vAlign w:val="center"/>
          </w:tcPr>
          <w:p>
            <w:pPr>
              <w:ind w:left="-73" w:leftChars="-35" w:right="-80" w:rightChars="-38"/>
              <w:jc w:val="center"/>
              <w:rPr>
                <w:rFonts w:ascii="宋体" w:hAnsi="宋体" w:eastAsia="宋体" w:cs="Times New Roman"/>
                <w:b/>
                <w:szCs w:val="21"/>
              </w:rPr>
            </w:pPr>
            <w:r>
              <w:rPr>
                <w:rFonts w:hint="eastAsia" w:ascii="宋体" w:hAnsi="宋体" w:eastAsia="宋体" w:cs="Times New Roman"/>
                <w:b/>
                <w:szCs w:val="21"/>
              </w:rPr>
              <w:t>分值</w:t>
            </w:r>
          </w:p>
        </w:tc>
        <w:tc>
          <w:tcPr>
            <w:tcW w:w="7189" w:type="dxa"/>
            <w:shd w:val="pct10" w:color="auto" w:fill="auto"/>
            <w:vAlign w:val="center"/>
          </w:tcPr>
          <w:p>
            <w:pPr>
              <w:jc w:val="center"/>
              <w:rPr>
                <w:rFonts w:ascii="宋体" w:hAnsi="宋体" w:eastAsia="宋体" w:cs="Times New Roman"/>
                <w:b/>
                <w:szCs w:val="21"/>
              </w:rPr>
            </w:pPr>
            <w:r>
              <w:rPr>
                <w:rFonts w:hint="eastAsia" w:ascii="宋体" w:hAnsi="宋体" w:eastAsia="宋体" w:cs="Times New Roman"/>
                <w:b/>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4" w:hRule="atLeast"/>
          <w:jc w:val="center"/>
        </w:trPr>
        <w:tc>
          <w:tcPr>
            <w:tcW w:w="636" w:type="dxa"/>
            <w:vAlign w:val="center"/>
          </w:tcPr>
          <w:p>
            <w:pPr>
              <w:numPr>
                <w:ilvl w:val="0"/>
                <w:numId w:val="55"/>
              </w:numPr>
              <w:tabs>
                <w:tab w:val="left" w:pos="322"/>
              </w:tabs>
              <w:spacing w:line="320" w:lineRule="exact"/>
              <w:ind w:left="-42" w:right="-42" w:rightChars="-20" w:firstLine="0"/>
              <w:jc w:val="right"/>
              <w:rPr>
                <w:rFonts w:ascii="宋体" w:hAnsi="宋体" w:eastAsia="宋体" w:cs="Times New Roman"/>
                <w:b/>
                <w:szCs w:val="21"/>
              </w:rPr>
            </w:pPr>
          </w:p>
        </w:tc>
        <w:tc>
          <w:tcPr>
            <w:tcW w:w="1341" w:type="dxa"/>
            <w:vAlign w:val="center"/>
          </w:tcPr>
          <w:p>
            <w:pPr>
              <w:spacing w:line="360" w:lineRule="auto"/>
              <w:jc w:val="center"/>
              <w:rPr>
                <w:rFonts w:ascii="宋体" w:hAnsi="宋体"/>
                <w:b/>
                <w:szCs w:val="21"/>
              </w:rPr>
            </w:pPr>
            <w:r>
              <w:rPr>
                <w:rFonts w:hint="eastAsia" w:ascii="宋体" w:hAnsi="宋体"/>
                <w:b/>
                <w:szCs w:val="21"/>
              </w:rPr>
              <w:t>类似业绩</w:t>
            </w:r>
          </w:p>
        </w:tc>
        <w:tc>
          <w:tcPr>
            <w:tcW w:w="601" w:type="dxa"/>
            <w:vAlign w:val="center"/>
          </w:tcPr>
          <w:p>
            <w:pPr>
              <w:spacing w:line="360" w:lineRule="auto"/>
              <w:jc w:val="center"/>
              <w:rPr>
                <w:rFonts w:hint="eastAsia" w:ascii="宋体" w:hAnsi="宋体" w:eastAsiaTheme="minorEastAsia"/>
                <w:b/>
                <w:szCs w:val="21"/>
                <w:lang w:val="en-US" w:eastAsia="zh-CN"/>
              </w:rPr>
            </w:pPr>
            <w:r>
              <w:rPr>
                <w:rFonts w:hint="eastAsia" w:ascii="宋体" w:hAnsi="宋体"/>
                <w:b/>
                <w:szCs w:val="21"/>
              </w:rPr>
              <w:t>1</w:t>
            </w:r>
            <w:r>
              <w:rPr>
                <w:rFonts w:hint="eastAsia" w:ascii="宋体" w:hAnsi="宋体"/>
                <w:b/>
                <w:szCs w:val="21"/>
                <w:lang w:val="en-US" w:eastAsia="zh-CN"/>
              </w:rPr>
              <w:t>0</w:t>
            </w:r>
          </w:p>
        </w:tc>
        <w:tc>
          <w:tcPr>
            <w:tcW w:w="7189" w:type="dxa"/>
            <w:vAlign w:val="center"/>
          </w:tcPr>
          <w:p>
            <w:pPr>
              <w:spacing w:line="360" w:lineRule="auto"/>
              <w:rPr>
                <w:szCs w:val="21"/>
              </w:rPr>
            </w:pPr>
            <w:r>
              <w:rPr>
                <w:rFonts w:hint="eastAsia"/>
                <w:szCs w:val="21"/>
              </w:rPr>
              <w:t>近三年完成过类似类别书籍出版项目业绩的，每提供一个合同得</w:t>
            </w:r>
            <w:r>
              <w:rPr>
                <w:rFonts w:hint="eastAsia"/>
                <w:szCs w:val="21"/>
                <w:lang w:val="en-US" w:eastAsia="zh-CN"/>
              </w:rPr>
              <w:t>2</w:t>
            </w:r>
            <w:r>
              <w:rPr>
                <w:rFonts w:hint="eastAsia"/>
                <w:szCs w:val="21"/>
              </w:rPr>
              <w:t>分，累计最高得1</w:t>
            </w:r>
            <w:r>
              <w:rPr>
                <w:rFonts w:hint="eastAsia"/>
                <w:szCs w:val="21"/>
                <w:lang w:val="en-US" w:eastAsia="zh-CN"/>
              </w:rPr>
              <w:t>0</w:t>
            </w:r>
            <w:r>
              <w:rPr>
                <w:rFonts w:hint="eastAsia"/>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jc w:val="center"/>
        </w:trPr>
        <w:tc>
          <w:tcPr>
            <w:tcW w:w="636" w:type="dxa"/>
            <w:vAlign w:val="center"/>
          </w:tcPr>
          <w:p>
            <w:pPr>
              <w:numPr>
                <w:ilvl w:val="0"/>
                <w:numId w:val="55"/>
              </w:numPr>
              <w:tabs>
                <w:tab w:val="left" w:pos="322"/>
              </w:tabs>
              <w:spacing w:line="320" w:lineRule="exact"/>
              <w:ind w:left="-42" w:right="-42" w:rightChars="-20" w:firstLine="0"/>
              <w:jc w:val="right"/>
              <w:rPr>
                <w:rFonts w:ascii="宋体" w:hAnsi="宋体" w:eastAsia="宋体" w:cs="Times New Roman"/>
                <w:b/>
                <w:szCs w:val="21"/>
              </w:rPr>
            </w:pPr>
          </w:p>
        </w:tc>
        <w:tc>
          <w:tcPr>
            <w:tcW w:w="1341" w:type="dxa"/>
            <w:vAlign w:val="center"/>
          </w:tcPr>
          <w:p>
            <w:pPr>
              <w:spacing w:line="360" w:lineRule="auto"/>
              <w:jc w:val="center"/>
              <w:rPr>
                <w:rFonts w:ascii="宋体" w:hAnsi="宋体"/>
                <w:b/>
                <w:szCs w:val="21"/>
              </w:rPr>
            </w:pPr>
            <w:r>
              <w:rPr>
                <w:rFonts w:hint="eastAsia" w:ascii="宋体" w:hAnsi="宋体"/>
                <w:b/>
                <w:szCs w:val="21"/>
              </w:rPr>
              <w:t>企业实力</w:t>
            </w:r>
          </w:p>
        </w:tc>
        <w:tc>
          <w:tcPr>
            <w:tcW w:w="601" w:type="dxa"/>
            <w:vAlign w:val="center"/>
          </w:tcPr>
          <w:p>
            <w:pPr>
              <w:spacing w:line="360" w:lineRule="auto"/>
              <w:jc w:val="center"/>
              <w:rPr>
                <w:rFonts w:ascii="宋体" w:hAnsi="宋体"/>
                <w:b/>
                <w:szCs w:val="21"/>
              </w:rPr>
            </w:pPr>
            <w:r>
              <w:rPr>
                <w:rFonts w:hint="eastAsia" w:ascii="宋体" w:hAnsi="宋体"/>
                <w:b/>
                <w:szCs w:val="21"/>
              </w:rPr>
              <w:t>10</w:t>
            </w:r>
          </w:p>
        </w:tc>
        <w:tc>
          <w:tcPr>
            <w:tcW w:w="7189" w:type="dxa"/>
            <w:vAlign w:val="center"/>
          </w:tcPr>
          <w:p>
            <w:pPr>
              <w:spacing w:line="360" w:lineRule="auto"/>
              <w:rPr>
                <w:szCs w:val="21"/>
              </w:rPr>
            </w:pPr>
            <w:r>
              <w:rPr>
                <w:rFonts w:hint="eastAsia"/>
                <w:szCs w:val="21"/>
              </w:rPr>
              <w:t>有出版资质（出版社登记代码），得5分</w:t>
            </w:r>
          </w:p>
          <w:p>
            <w:pPr>
              <w:spacing w:line="360" w:lineRule="auto"/>
              <w:rPr>
                <w:szCs w:val="21"/>
              </w:rPr>
            </w:pPr>
            <w:r>
              <w:rPr>
                <w:rFonts w:hint="eastAsia"/>
                <w:szCs w:val="21"/>
              </w:rPr>
              <w:t>供应商具备有效的IS09001质量体系认证证书得3分，不提供不得分</w:t>
            </w:r>
          </w:p>
          <w:p>
            <w:pPr>
              <w:spacing w:line="360" w:lineRule="auto"/>
              <w:rPr>
                <w:szCs w:val="21"/>
              </w:rPr>
            </w:pPr>
            <w:r>
              <w:rPr>
                <w:rFonts w:hint="eastAsia"/>
                <w:szCs w:val="21"/>
              </w:rPr>
              <w:t>供应商为省级及以上出版社得2分。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jc w:val="center"/>
        </w:trPr>
        <w:tc>
          <w:tcPr>
            <w:tcW w:w="636" w:type="dxa"/>
            <w:vAlign w:val="center"/>
          </w:tcPr>
          <w:p>
            <w:pPr>
              <w:numPr>
                <w:ilvl w:val="0"/>
                <w:numId w:val="55"/>
              </w:numPr>
              <w:tabs>
                <w:tab w:val="left" w:pos="322"/>
              </w:tabs>
              <w:spacing w:line="320" w:lineRule="exact"/>
              <w:ind w:left="-42" w:right="-42" w:rightChars="-20" w:firstLine="0"/>
              <w:jc w:val="right"/>
              <w:rPr>
                <w:rFonts w:ascii="宋体" w:hAnsi="宋体" w:eastAsia="宋体" w:cs="Times New Roman"/>
                <w:b/>
                <w:szCs w:val="21"/>
              </w:rPr>
            </w:pPr>
          </w:p>
        </w:tc>
        <w:tc>
          <w:tcPr>
            <w:tcW w:w="1341" w:type="dxa"/>
            <w:vAlign w:val="center"/>
          </w:tcPr>
          <w:p>
            <w:pPr>
              <w:spacing w:line="360" w:lineRule="auto"/>
              <w:jc w:val="center"/>
              <w:rPr>
                <w:rFonts w:ascii="宋体" w:hAnsi="宋体"/>
                <w:b/>
                <w:szCs w:val="21"/>
              </w:rPr>
            </w:pPr>
            <w:r>
              <w:rPr>
                <w:rFonts w:hint="eastAsia" w:ascii="宋体" w:hAnsi="宋体"/>
                <w:b/>
                <w:szCs w:val="21"/>
              </w:rPr>
              <w:t>财务状况</w:t>
            </w:r>
          </w:p>
        </w:tc>
        <w:tc>
          <w:tcPr>
            <w:tcW w:w="601" w:type="dxa"/>
            <w:vAlign w:val="center"/>
          </w:tcPr>
          <w:p>
            <w:pPr>
              <w:spacing w:line="360" w:lineRule="auto"/>
              <w:jc w:val="center"/>
              <w:rPr>
                <w:szCs w:val="21"/>
              </w:rPr>
            </w:pPr>
            <w:r>
              <w:rPr>
                <w:rFonts w:hint="eastAsia"/>
                <w:b/>
                <w:bCs/>
                <w:szCs w:val="21"/>
              </w:rPr>
              <w:t>5</w:t>
            </w:r>
          </w:p>
        </w:tc>
        <w:tc>
          <w:tcPr>
            <w:tcW w:w="7189" w:type="dxa"/>
            <w:vAlign w:val="center"/>
          </w:tcPr>
          <w:p>
            <w:pPr>
              <w:spacing w:line="360" w:lineRule="auto"/>
              <w:rPr>
                <w:szCs w:val="21"/>
              </w:rPr>
            </w:pPr>
            <w:r>
              <w:rPr>
                <w:rFonts w:hint="eastAsia"/>
                <w:szCs w:val="21"/>
              </w:rPr>
              <w:t>投标人应提供近三年年度财务审计报告；根据投标人提供的财务、审计报告、经营状况、财务状况，依据各投标人所提供有关资料进行</w:t>
            </w:r>
            <w:r>
              <w:rPr>
                <w:rFonts w:hint="eastAsia"/>
                <w:szCs w:val="21"/>
                <w:lang w:eastAsia="zh-CN"/>
              </w:rPr>
              <w:t>综合比较</w:t>
            </w:r>
            <w:r>
              <w:rPr>
                <w:rFonts w:hint="eastAsia"/>
                <w:szCs w:val="21"/>
              </w:rPr>
              <w:t>。第一名的得5分，第二的得3分，第三的得1分；不提供不得分。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jc w:val="center"/>
        </w:trPr>
        <w:tc>
          <w:tcPr>
            <w:tcW w:w="636" w:type="dxa"/>
            <w:vAlign w:val="center"/>
          </w:tcPr>
          <w:p>
            <w:pPr>
              <w:numPr>
                <w:ilvl w:val="0"/>
                <w:numId w:val="55"/>
              </w:numPr>
              <w:tabs>
                <w:tab w:val="left" w:pos="322"/>
              </w:tabs>
              <w:spacing w:line="320" w:lineRule="exact"/>
              <w:ind w:left="-42" w:right="-42" w:rightChars="-20" w:firstLine="0"/>
              <w:jc w:val="right"/>
              <w:rPr>
                <w:rFonts w:ascii="宋体" w:hAnsi="宋体" w:eastAsia="宋体" w:cs="Times New Roman"/>
                <w:b/>
                <w:szCs w:val="21"/>
              </w:rPr>
            </w:pPr>
          </w:p>
        </w:tc>
        <w:tc>
          <w:tcPr>
            <w:tcW w:w="1341" w:type="dxa"/>
            <w:vAlign w:val="center"/>
          </w:tcPr>
          <w:p>
            <w:pPr>
              <w:spacing w:line="360" w:lineRule="auto"/>
              <w:jc w:val="center"/>
              <w:rPr>
                <w:rFonts w:ascii="宋体" w:hAnsi="宋体"/>
                <w:b/>
                <w:szCs w:val="21"/>
              </w:rPr>
            </w:pPr>
            <w:r>
              <w:rPr>
                <w:rFonts w:hint="eastAsia" w:ascii="宋体" w:hAnsi="宋体"/>
                <w:b/>
                <w:szCs w:val="21"/>
              </w:rPr>
              <w:t>企业荣誉</w:t>
            </w:r>
          </w:p>
        </w:tc>
        <w:tc>
          <w:tcPr>
            <w:tcW w:w="601" w:type="dxa"/>
            <w:vAlign w:val="center"/>
          </w:tcPr>
          <w:p>
            <w:pPr>
              <w:spacing w:line="360" w:lineRule="auto"/>
              <w:jc w:val="center"/>
              <w:rPr>
                <w:szCs w:val="21"/>
              </w:rPr>
            </w:pPr>
            <w:r>
              <w:rPr>
                <w:rFonts w:hint="eastAsia"/>
                <w:szCs w:val="21"/>
              </w:rPr>
              <w:t>8</w:t>
            </w:r>
          </w:p>
        </w:tc>
        <w:tc>
          <w:tcPr>
            <w:tcW w:w="7189" w:type="dxa"/>
            <w:vAlign w:val="center"/>
          </w:tcPr>
          <w:p>
            <w:pPr>
              <w:spacing w:line="360" w:lineRule="auto"/>
              <w:rPr>
                <w:szCs w:val="21"/>
              </w:rPr>
            </w:pPr>
            <w:r>
              <w:rPr>
                <w:rFonts w:hint="eastAsia"/>
                <w:szCs w:val="21"/>
              </w:rPr>
              <w:t>根据供应商获奖情况优劣评分，自2016年以来有类似类别出版物获国家级大奖纪录的得8分，获省级奖项记录的每个得4分，其他奖项每个得2分，没有的不得分。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1" w:hRule="atLeast"/>
          <w:jc w:val="center"/>
        </w:trPr>
        <w:tc>
          <w:tcPr>
            <w:tcW w:w="636" w:type="dxa"/>
            <w:vAlign w:val="center"/>
          </w:tcPr>
          <w:p>
            <w:pPr>
              <w:numPr>
                <w:ilvl w:val="0"/>
                <w:numId w:val="55"/>
              </w:numPr>
              <w:tabs>
                <w:tab w:val="left" w:pos="322"/>
              </w:tabs>
              <w:spacing w:line="320" w:lineRule="exact"/>
              <w:ind w:left="-42" w:right="-42" w:rightChars="-20" w:firstLine="0"/>
              <w:jc w:val="right"/>
              <w:rPr>
                <w:rFonts w:ascii="宋体" w:hAnsi="宋体" w:eastAsia="宋体" w:cs="Times New Roman"/>
                <w:b/>
                <w:szCs w:val="21"/>
              </w:rPr>
            </w:pPr>
          </w:p>
        </w:tc>
        <w:tc>
          <w:tcPr>
            <w:tcW w:w="1341" w:type="dxa"/>
            <w:vAlign w:val="center"/>
          </w:tcPr>
          <w:p>
            <w:pPr>
              <w:spacing w:line="360" w:lineRule="auto"/>
              <w:jc w:val="center"/>
              <w:rPr>
                <w:rFonts w:ascii="宋体" w:hAnsi="宋体"/>
                <w:b/>
                <w:szCs w:val="21"/>
              </w:rPr>
            </w:pPr>
            <w:r>
              <w:rPr>
                <w:rFonts w:hint="eastAsia" w:ascii="宋体" w:hAnsi="宋体"/>
                <w:b/>
                <w:szCs w:val="21"/>
              </w:rPr>
              <w:t>投标文件</w:t>
            </w:r>
          </w:p>
          <w:p>
            <w:pPr>
              <w:spacing w:line="360" w:lineRule="auto"/>
              <w:jc w:val="center"/>
              <w:rPr>
                <w:rFonts w:ascii="宋体" w:hAnsi="宋体"/>
                <w:b/>
                <w:szCs w:val="21"/>
              </w:rPr>
            </w:pPr>
            <w:r>
              <w:rPr>
                <w:rFonts w:hint="eastAsia" w:ascii="宋体" w:hAnsi="宋体"/>
                <w:b/>
                <w:szCs w:val="21"/>
              </w:rPr>
              <w:t>编制</w:t>
            </w:r>
          </w:p>
        </w:tc>
        <w:tc>
          <w:tcPr>
            <w:tcW w:w="601" w:type="dxa"/>
            <w:vAlign w:val="center"/>
          </w:tcPr>
          <w:p>
            <w:pPr>
              <w:spacing w:line="360" w:lineRule="auto"/>
              <w:jc w:val="center"/>
              <w:rPr>
                <w:rFonts w:ascii="宋体" w:hAnsi="宋体"/>
                <w:b/>
                <w:szCs w:val="21"/>
              </w:rPr>
            </w:pPr>
            <w:r>
              <w:rPr>
                <w:rFonts w:hint="eastAsia" w:ascii="宋体" w:hAnsi="宋体"/>
                <w:b/>
                <w:szCs w:val="21"/>
              </w:rPr>
              <w:t>2</w:t>
            </w:r>
          </w:p>
        </w:tc>
        <w:tc>
          <w:tcPr>
            <w:tcW w:w="7189" w:type="dxa"/>
            <w:vAlign w:val="center"/>
          </w:tcPr>
          <w:p>
            <w:pPr>
              <w:spacing w:line="360" w:lineRule="auto"/>
              <w:rPr>
                <w:szCs w:val="21"/>
              </w:rPr>
            </w:pPr>
            <w:r>
              <w:rPr>
                <w:rFonts w:hint="eastAsia"/>
                <w:szCs w:val="21"/>
              </w:rPr>
              <w:t>投标文件全面响应招标文件要求，编制完整、美观，非活页装订，且有详细目录、连续页码、目录与有关材料装订顺序对应清晰、查阅方便。不符合要求的，每处扣0.5分，扣完为止。</w:t>
            </w:r>
          </w:p>
        </w:tc>
      </w:tr>
    </w:tbl>
    <w:p>
      <w:pPr>
        <w:numPr>
          <w:ilvl w:val="0"/>
          <w:numId w:val="54"/>
        </w:numPr>
        <w:spacing w:before="60" w:after="60" w:line="360" w:lineRule="exact"/>
        <w:ind w:left="714" w:leftChars="138" w:hanging="423" w:hangingChars="151"/>
        <w:rPr>
          <w:rFonts w:ascii="宋体" w:hAnsi="宋体" w:eastAsia="宋体" w:cs="Times New Roman"/>
          <w:b/>
          <w:bCs/>
          <w:sz w:val="28"/>
          <w:szCs w:val="28"/>
        </w:rPr>
      </w:pPr>
      <w:r>
        <w:rPr>
          <w:rFonts w:hint="eastAsia" w:ascii="宋体" w:hAnsi="宋体" w:eastAsia="宋体" w:cs="Times New Roman"/>
          <w:b/>
          <w:bCs/>
          <w:sz w:val="28"/>
          <w:szCs w:val="28"/>
        </w:rPr>
        <w:t>技术、服务评议（5</w:t>
      </w:r>
      <w:r>
        <w:rPr>
          <w:rFonts w:hint="eastAsia" w:ascii="宋体" w:hAnsi="宋体" w:eastAsia="宋体" w:cs="Times New Roman"/>
          <w:b/>
          <w:bCs/>
          <w:sz w:val="28"/>
          <w:szCs w:val="28"/>
          <w:lang w:val="en-US" w:eastAsia="zh-CN"/>
        </w:rPr>
        <w:t>5</w:t>
      </w:r>
      <w:r>
        <w:rPr>
          <w:rFonts w:hint="eastAsia" w:ascii="宋体" w:hAnsi="宋体" w:eastAsia="宋体" w:cs="Times New Roman"/>
          <w:b/>
          <w:bCs/>
          <w:sz w:val="28"/>
          <w:szCs w:val="28"/>
        </w:rPr>
        <w:t>分）</w:t>
      </w:r>
    </w:p>
    <w:tbl>
      <w:tblPr>
        <w:tblStyle w:val="21"/>
        <w:tblW w:w="965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1"/>
        <w:gridCol w:w="1276"/>
        <w:gridCol w:w="588"/>
        <w:gridCol w:w="7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11" w:type="dxa"/>
            <w:shd w:val="pct10" w:color="auto" w:fill="auto"/>
            <w:vAlign w:val="center"/>
          </w:tcPr>
          <w:p>
            <w:pPr>
              <w:ind w:left="-78" w:leftChars="-37" w:right="-86" w:rightChars="-41"/>
              <w:jc w:val="center"/>
              <w:rPr>
                <w:rFonts w:ascii="宋体" w:hAnsi="宋体" w:eastAsia="宋体" w:cs="Times New Roman"/>
                <w:b/>
                <w:sz w:val="24"/>
                <w:szCs w:val="24"/>
              </w:rPr>
            </w:pPr>
            <w:r>
              <w:rPr>
                <w:rFonts w:hint="eastAsia" w:ascii="宋体" w:hAnsi="宋体" w:eastAsia="宋体" w:cs="Times New Roman"/>
                <w:b/>
                <w:sz w:val="24"/>
                <w:szCs w:val="24"/>
              </w:rPr>
              <w:t>序号</w:t>
            </w:r>
          </w:p>
        </w:tc>
        <w:tc>
          <w:tcPr>
            <w:tcW w:w="1276" w:type="dxa"/>
            <w:shd w:val="pct10" w:color="auto" w:fill="auto"/>
            <w:vAlign w:val="center"/>
          </w:tcPr>
          <w:p>
            <w:pPr>
              <w:ind w:left="-78" w:leftChars="-37" w:right="-86" w:rightChars="-41"/>
              <w:jc w:val="center"/>
              <w:rPr>
                <w:rFonts w:ascii="宋体" w:hAnsi="宋体" w:eastAsia="宋体" w:cs="Times New Roman"/>
                <w:b/>
                <w:sz w:val="24"/>
                <w:szCs w:val="24"/>
              </w:rPr>
            </w:pPr>
            <w:r>
              <w:rPr>
                <w:rFonts w:hint="eastAsia" w:ascii="宋体" w:hAnsi="宋体" w:eastAsia="宋体" w:cs="Times New Roman"/>
                <w:b/>
                <w:sz w:val="24"/>
                <w:szCs w:val="24"/>
              </w:rPr>
              <w:t>评审因素</w:t>
            </w:r>
          </w:p>
        </w:tc>
        <w:tc>
          <w:tcPr>
            <w:tcW w:w="588" w:type="dxa"/>
            <w:shd w:val="pct10" w:color="auto" w:fill="auto"/>
            <w:vAlign w:val="center"/>
          </w:tcPr>
          <w:p>
            <w:pPr>
              <w:ind w:left="-73" w:leftChars="-35" w:right="-80" w:rightChars="-38"/>
              <w:jc w:val="center"/>
              <w:rPr>
                <w:rFonts w:ascii="宋体" w:hAnsi="宋体" w:eastAsia="宋体" w:cs="Times New Roman"/>
                <w:b/>
                <w:sz w:val="24"/>
                <w:szCs w:val="24"/>
              </w:rPr>
            </w:pPr>
            <w:r>
              <w:rPr>
                <w:rFonts w:hint="eastAsia" w:ascii="宋体" w:hAnsi="宋体" w:eastAsia="宋体" w:cs="Times New Roman"/>
                <w:b/>
                <w:sz w:val="24"/>
                <w:szCs w:val="24"/>
              </w:rPr>
              <w:t>分值</w:t>
            </w:r>
          </w:p>
        </w:tc>
        <w:tc>
          <w:tcPr>
            <w:tcW w:w="7176" w:type="dxa"/>
            <w:shd w:val="pct10" w:color="auto" w:fill="auto"/>
            <w:vAlign w:val="center"/>
          </w:tcPr>
          <w:p>
            <w:pPr>
              <w:ind w:left="-78" w:leftChars="-37" w:right="-86" w:rightChars="-41"/>
              <w:jc w:val="center"/>
              <w:rPr>
                <w:rFonts w:ascii="宋体" w:hAnsi="宋体" w:eastAsia="宋体" w:cs="Times New Roman"/>
                <w:b/>
                <w:sz w:val="24"/>
                <w:szCs w:val="24"/>
              </w:rPr>
            </w:pPr>
            <w:r>
              <w:rPr>
                <w:rFonts w:hint="eastAsia" w:ascii="宋体" w:hAnsi="宋体" w:eastAsia="宋体" w:cs="Times New Roman"/>
                <w:b/>
                <w:sz w:val="24"/>
                <w:szCs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6" w:hRule="atLeast"/>
          <w:jc w:val="center"/>
        </w:trPr>
        <w:tc>
          <w:tcPr>
            <w:tcW w:w="611" w:type="dxa"/>
            <w:vAlign w:val="center"/>
          </w:tcPr>
          <w:p>
            <w:pPr>
              <w:numPr>
                <w:ilvl w:val="0"/>
                <w:numId w:val="56"/>
              </w:numPr>
              <w:tabs>
                <w:tab w:val="left" w:pos="322"/>
              </w:tabs>
              <w:spacing w:line="320" w:lineRule="exact"/>
              <w:ind w:right="-42" w:rightChars="-20"/>
              <w:jc w:val="center"/>
              <w:rPr>
                <w:rFonts w:ascii="宋体" w:hAnsi="宋体" w:eastAsia="宋体" w:cs="Times New Roman"/>
                <w:b/>
                <w:sz w:val="24"/>
              </w:rPr>
            </w:pPr>
          </w:p>
        </w:tc>
        <w:tc>
          <w:tcPr>
            <w:tcW w:w="1276" w:type="dxa"/>
            <w:vAlign w:val="center"/>
          </w:tcPr>
          <w:p>
            <w:pPr>
              <w:spacing w:line="360" w:lineRule="auto"/>
              <w:jc w:val="center"/>
              <w:rPr>
                <w:rFonts w:ascii="宋体" w:hAnsi="宋体"/>
                <w:b/>
                <w:szCs w:val="21"/>
              </w:rPr>
            </w:pPr>
            <w:r>
              <w:rPr>
                <w:rFonts w:hint="eastAsia" w:ascii="宋体" w:hAnsi="宋体"/>
                <w:b/>
                <w:szCs w:val="21"/>
              </w:rPr>
              <w:t>总体技术</w:t>
            </w:r>
          </w:p>
          <w:p>
            <w:pPr>
              <w:spacing w:line="360" w:lineRule="auto"/>
              <w:jc w:val="center"/>
              <w:rPr>
                <w:rFonts w:ascii="宋体" w:hAnsi="宋体"/>
                <w:b/>
                <w:szCs w:val="21"/>
              </w:rPr>
            </w:pPr>
            <w:r>
              <w:rPr>
                <w:rFonts w:hint="eastAsia" w:ascii="宋体" w:hAnsi="宋体"/>
                <w:b/>
                <w:szCs w:val="21"/>
              </w:rPr>
              <w:t>响应</w:t>
            </w:r>
          </w:p>
        </w:tc>
        <w:tc>
          <w:tcPr>
            <w:tcW w:w="588" w:type="dxa"/>
            <w:vAlign w:val="center"/>
          </w:tcPr>
          <w:p>
            <w:pPr>
              <w:spacing w:line="360" w:lineRule="auto"/>
              <w:jc w:val="center"/>
              <w:rPr>
                <w:rFonts w:hint="eastAsia" w:ascii="宋体" w:hAnsi="宋体" w:eastAsiaTheme="minorEastAsia"/>
                <w:b/>
                <w:szCs w:val="21"/>
                <w:lang w:val="en-US" w:eastAsia="zh-CN"/>
              </w:rPr>
            </w:pPr>
            <w:r>
              <w:rPr>
                <w:rFonts w:hint="eastAsia" w:ascii="宋体" w:hAnsi="宋体"/>
                <w:b/>
                <w:bCs/>
                <w:color w:val="000000"/>
                <w:szCs w:val="21"/>
              </w:rPr>
              <w:t>1</w:t>
            </w:r>
            <w:r>
              <w:rPr>
                <w:rFonts w:hint="eastAsia" w:ascii="宋体" w:hAnsi="宋体"/>
                <w:b/>
                <w:bCs/>
                <w:color w:val="000000"/>
                <w:szCs w:val="21"/>
                <w:lang w:val="en-US" w:eastAsia="zh-CN"/>
              </w:rPr>
              <w:t>5</w:t>
            </w:r>
          </w:p>
        </w:tc>
        <w:tc>
          <w:tcPr>
            <w:tcW w:w="7176" w:type="dxa"/>
            <w:vAlign w:val="center"/>
          </w:tcPr>
          <w:p>
            <w:pPr>
              <w:spacing w:line="360" w:lineRule="auto"/>
              <w:rPr>
                <w:szCs w:val="21"/>
              </w:rPr>
            </w:pPr>
            <w:r>
              <w:rPr>
                <w:rFonts w:hint="eastAsia"/>
                <w:szCs w:val="21"/>
              </w:rPr>
              <w:t>提供完整的所有产品的技术性能说明、图纸、详细规格型号、参数等技术资料且技术指标没有负偏离的得10分。招标文件非“★”的技术指标任何一条不满足的扣</w:t>
            </w:r>
            <w:r>
              <w:rPr>
                <w:rFonts w:hint="eastAsia"/>
                <w:szCs w:val="21"/>
                <w:lang w:val="en-US" w:eastAsia="zh-CN"/>
              </w:rPr>
              <w:t>3</w:t>
            </w:r>
            <w:r>
              <w:rPr>
                <w:rFonts w:hint="eastAsia"/>
                <w:szCs w:val="21"/>
              </w:rPr>
              <w:t>分,超过</w:t>
            </w:r>
            <w:r>
              <w:rPr>
                <w:rFonts w:hint="eastAsia"/>
                <w:szCs w:val="21"/>
                <w:lang w:val="en-US" w:eastAsia="zh-CN"/>
              </w:rPr>
              <w:t>5</w:t>
            </w:r>
            <w:r>
              <w:rPr>
                <w:rFonts w:hint="eastAsia"/>
                <w:szCs w:val="21"/>
              </w:rPr>
              <w:t>项负偏离属于无效投标。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6" w:hRule="atLeast"/>
          <w:jc w:val="center"/>
        </w:trPr>
        <w:tc>
          <w:tcPr>
            <w:tcW w:w="611" w:type="dxa"/>
            <w:vAlign w:val="center"/>
          </w:tcPr>
          <w:p>
            <w:pPr>
              <w:numPr>
                <w:ilvl w:val="0"/>
                <w:numId w:val="56"/>
              </w:numPr>
              <w:tabs>
                <w:tab w:val="left" w:pos="322"/>
              </w:tabs>
              <w:spacing w:line="320" w:lineRule="exact"/>
              <w:ind w:right="-42" w:rightChars="-20"/>
              <w:jc w:val="center"/>
              <w:rPr>
                <w:rFonts w:ascii="宋体" w:hAnsi="宋体" w:eastAsia="宋体" w:cs="Times New Roman"/>
                <w:b/>
                <w:sz w:val="24"/>
              </w:rPr>
            </w:pPr>
          </w:p>
        </w:tc>
        <w:tc>
          <w:tcPr>
            <w:tcW w:w="1276" w:type="dxa"/>
            <w:vAlign w:val="center"/>
          </w:tcPr>
          <w:p>
            <w:pPr>
              <w:spacing w:line="360" w:lineRule="auto"/>
              <w:jc w:val="center"/>
              <w:rPr>
                <w:rFonts w:ascii="宋体" w:hAnsi="宋体"/>
                <w:b/>
                <w:szCs w:val="21"/>
              </w:rPr>
            </w:pPr>
            <w:r>
              <w:rPr>
                <w:rFonts w:hint="eastAsia" w:ascii="宋体" w:hAnsi="宋体"/>
                <w:b/>
                <w:szCs w:val="21"/>
              </w:rPr>
              <w:t>主要印刷设备设施</w:t>
            </w:r>
          </w:p>
        </w:tc>
        <w:tc>
          <w:tcPr>
            <w:tcW w:w="588" w:type="dxa"/>
            <w:vAlign w:val="center"/>
          </w:tcPr>
          <w:p>
            <w:pPr>
              <w:spacing w:line="360" w:lineRule="auto"/>
              <w:jc w:val="center"/>
              <w:rPr>
                <w:rFonts w:ascii="宋体" w:hAnsi="宋体"/>
                <w:b/>
                <w:szCs w:val="21"/>
              </w:rPr>
            </w:pPr>
            <w:r>
              <w:rPr>
                <w:rFonts w:hint="eastAsia" w:ascii="宋体" w:hAnsi="宋体"/>
                <w:b/>
                <w:szCs w:val="21"/>
              </w:rPr>
              <w:t>5</w:t>
            </w:r>
          </w:p>
        </w:tc>
        <w:tc>
          <w:tcPr>
            <w:tcW w:w="7176" w:type="dxa"/>
            <w:vAlign w:val="center"/>
          </w:tcPr>
          <w:p>
            <w:pPr>
              <w:spacing w:line="360" w:lineRule="auto"/>
              <w:rPr>
                <w:szCs w:val="21"/>
              </w:rPr>
            </w:pPr>
            <w:r>
              <w:rPr>
                <w:rFonts w:hint="eastAsia"/>
                <w:szCs w:val="21"/>
              </w:rPr>
              <w:t>根据投标人所持印刷设备数量、新旧、质量等情况进行</w:t>
            </w:r>
            <w:r>
              <w:rPr>
                <w:rFonts w:hint="eastAsia"/>
                <w:szCs w:val="21"/>
                <w:lang w:eastAsia="zh-CN"/>
              </w:rPr>
              <w:t>综合比较</w:t>
            </w:r>
            <w:r>
              <w:rPr>
                <w:rFonts w:hint="eastAsia"/>
                <w:szCs w:val="21"/>
              </w:rPr>
              <w:t>，第一名的得5分，第二的得3分，第三的得1分。（以上必须提供设备清单、设备购进票据的复印件和设备安装后的彩色照片。否则不得分）。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6" w:hRule="atLeast"/>
          <w:jc w:val="center"/>
        </w:trPr>
        <w:tc>
          <w:tcPr>
            <w:tcW w:w="611" w:type="dxa"/>
            <w:vAlign w:val="center"/>
          </w:tcPr>
          <w:p>
            <w:pPr>
              <w:numPr>
                <w:ilvl w:val="0"/>
                <w:numId w:val="56"/>
              </w:numPr>
              <w:tabs>
                <w:tab w:val="left" w:pos="322"/>
              </w:tabs>
              <w:spacing w:line="320" w:lineRule="exact"/>
              <w:ind w:right="-42" w:rightChars="-20"/>
              <w:jc w:val="center"/>
              <w:rPr>
                <w:rFonts w:ascii="宋体" w:hAnsi="宋体" w:eastAsia="宋体" w:cs="Times New Roman"/>
                <w:b/>
                <w:sz w:val="24"/>
              </w:rPr>
            </w:pPr>
          </w:p>
        </w:tc>
        <w:tc>
          <w:tcPr>
            <w:tcW w:w="1276" w:type="dxa"/>
            <w:vAlign w:val="center"/>
          </w:tcPr>
          <w:p>
            <w:pPr>
              <w:spacing w:line="360" w:lineRule="auto"/>
              <w:jc w:val="center"/>
              <w:rPr>
                <w:rFonts w:ascii="宋体" w:hAnsi="宋体"/>
                <w:b/>
                <w:szCs w:val="21"/>
              </w:rPr>
            </w:pPr>
            <w:r>
              <w:rPr>
                <w:rFonts w:hint="eastAsia" w:ascii="宋体" w:hAnsi="宋体"/>
                <w:b/>
                <w:szCs w:val="21"/>
              </w:rPr>
              <w:t>印刷工艺流程</w:t>
            </w:r>
          </w:p>
        </w:tc>
        <w:tc>
          <w:tcPr>
            <w:tcW w:w="588" w:type="dxa"/>
            <w:vAlign w:val="center"/>
          </w:tcPr>
          <w:p>
            <w:pPr>
              <w:spacing w:line="360" w:lineRule="auto"/>
              <w:jc w:val="center"/>
              <w:rPr>
                <w:rFonts w:ascii="宋体" w:hAnsi="宋体"/>
                <w:b/>
                <w:szCs w:val="21"/>
              </w:rPr>
            </w:pPr>
            <w:r>
              <w:rPr>
                <w:rFonts w:hint="eastAsia" w:ascii="宋体" w:hAnsi="宋体"/>
                <w:b/>
                <w:szCs w:val="21"/>
              </w:rPr>
              <w:t>10</w:t>
            </w:r>
          </w:p>
        </w:tc>
        <w:tc>
          <w:tcPr>
            <w:tcW w:w="7176" w:type="dxa"/>
            <w:vAlign w:val="center"/>
          </w:tcPr>
          <w:p>
            <w:pPr>
              <w:spacing w:line="360" w:lineRule="auto"/>
              <w:rPr>
                <w:szCs w:val="21"/>
              </w:rPr>
            </w:pPr>
            <w:r>
              <w:rPr>
                <w:rFonts w:hint="eastAsia"/>
                <w:szCs w:val="21"/>
              </w:rPr>
              <w:t>根据投标人提供的印刷工艺流程的科学性、合理性等情况进行</w:t>
            </w:r>
            <w:r>
              <w:rPr>
                <w:rFonts w:hint="eastAsia"/>
                <w:szCs w:val="21"/>
                <w:lang w:eastAsia="zh-CN"/>
              </w:rPr>
              <w:t>综合比较</w:t>
            </w:r>
            <w:r>
              <w:rPr>
                <w:rFonts w:hint="eastAsia"/>
                <w:szCs w:val="21"/>
              </w:rPr>
              <w:t>，第一名的得10分，第二的得5分，第三的得3分，不提供不得分。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2" w:hRule="atLeast"/>
          <w:jc w:val="center"/>
        </w:trPr>
        <w:tc>
          <w:tcPr>
            <w:tcW w:w="611" w:type="dxa"/>
            <w:vAlign w:val="center"/>
          </w:tcPr>
          <w:p>
            <w:pPr>
              <w:numPr>
                <w:ilvl w:val="0"/>
                <w:numId w:val="56"/>
              </w:numPr>
              <w:tabs>
                <w:tab w:val="left" w:pos="322"/>
              </w:tabs>
              <w:spacing w:line="320" w:lineRule="exact"/>
              <w:ind w:right="-42" w:rightChars="-20"/>
              <w:jc w:val="center"/>
              <w:rPr>
                <w:rFonts w:ascii="宋体" w:hAnsi="宋体" w:eastAsia="宋体" w:cs="Times New Roman"/>
                <w:b/>
                <w:sz w:val="24"/>
              </w:rPr>
            </w:pPr>
          </w:p>
        </w:tc>
        <w:tc>
          <w:tcPr>
            <w:tcW w:w="1276" w:type="dxa"/>
            <w:vAlign w:val="center"/>
          </w:tcPr>
          <w:p>
            <w:pPr>
              <w:spacing w:line="360" w:lineRule="auto"/>
              <w:jc w:val="center"/>
              <w:rPr>
                <w:rFonts w:ascii="宋体" w:hAnsi="宋体"/>
                <w:b/>
                <w:szCs w:val="21"/>
              </w:rPr>
            </w:pPr>
            <w:r>
              <w:rPr>
                <w:rFonts w:hint="eastAsia" w:ascii="宋体" w:hAnsi="宋体"/>
                <w:b/>
                <w:szCs w:val="21"/>
              </w:rPr>
              <w:t>印刷服务方案</w:t>
            </w:r>
          </w:p>
        </w:tc>
        <w:tc>
          <w:tcPr>
            <w:tcW w:w="588" w:type="dxa"/>
            <w:vAlign w:val="center"/>
          </w:tcPr>
          <w:p>
            <w:pPr>
              <w:spacing w:line="360" w:lineRule="auto"/>
              <w:jc w:val="center"/>
              <w:rPr>
                <w:rFonts w:ascii="宋体" w:hAnsi="宋体"/>
                <w:b/>
                <w:szCs w:val="21"/>
              </w:rPr>
            </w:pPr>
            <w:r>
              <w:rPr>
                <w:rFonts w:hint="eastAsia" w:ascii="宋体" w:hAnsi="宋体"/>
                <w:b/>
                <w:szCs w:val="21"/>
              </w:rPr>
              <w:t>10</w:t>
            </w:r>
          </w:p>
        </w:tc>
        <w:tc>
          <w:tcPr>
            <w:tcW w:w="7176" w:type="dxa"/>
            <w:vAlign w:val="center"/>
          </w:tcPr>
          <w:p>
            <w:pPr>
              <w:spacing w:line="360" w:lineRule="auto"/>
              <w:rPr>
                <w:szCs w:val="21"/>
              </w:rPr>
            </w:pPr>
            <w:r>
              <w:rPr>
                <w:rFonts w:hint="eastAsia"/>
                <w:szCs w:val="21"/>
              </w:rPr>
              <w:t>投标人需提供针对本项目的服务承诺和保证措施，以质量承诺、定制服务承诺、上门服务承诺、情急情况服务承诺为主要因素，进行</w:t>
            </w:r>
            <w:r>
              <w:rPr>
                <w:rFonts w:hint="eastAsia"/>
                <w:szCs w:val="21"/>
                <w:lang w:eastAsia="zh-CN"/>
              </w:rPr>
              <w:t>综合比较</w:t>
            </w:r>
            <w:r>
              <w:rPr>
                <w:rFonts w:hint="eastAsia"/>
                <w:szCs w:val="21"/>
              </w:rPr>
              <w:t>，第一名的得10分，第二的得5分，第三的得3分。无服务承诺和保证措施不得分。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jc w:val="center"/>
        </w:trPr>
        <w:tc>
          <w:tcPr>
            <w:tcW w:w="611" w:type="dxa"/>
            <w:vAlign w:val="center"/>
          </w:tcPr>
          <w:p>
            <w:pPr>
              <w:numPr>
                <w:ilvl w:val="0"/>
                <w:numId w:val="56"/>
              </w:numPr>
              <w:tabs>
                <w:tab w:val="left" w:pos="322"/>
              </w:tabs>
              <w:spacing w:line="320" w:lineRule="exact"/>
              <w:ind w:right="-42" w:rightChars="-20"/>
              <w:jc w:val="center"/>
              <w:rPr>
                <w:rFonts w:ascii="宋体" w:hAnsi="宋体" w:eastAsia="宋体" w:cs="Times New Roman"/>
                <w:b/>
                <w:sz w:val="24"/>
              </w:rPr>
            </w:pPr>
          </w:p>
        </w:tc>
        <w:tc>
          <w:tcPr>
            <w:tcW w:w="1276" w:type="dxa"/>
            <w:vAlign w:val="center"/>
          </w:tcPr>
          <w:p>
            <w:pPr>
              <w:spacing w:line="360" w:lineRule="auto"/>
              <w:jc w:val="center"/>
              <w:rPr>
                <w:rFonts w:ascii="宋体" w:hAnsi="宋体"/>
                <w:b/>
                <w:szCs w:val="21"/>
              </w:rPr>
            </w:pPr>
            <w:r>
              <w:rPr>
                <w:rFonts w:hint="eastAsia" w:ascii="宋体" w:hAnsi="宋体"/>
                <w:b/>
                <w:szCs w:val="21"/>
              </w:rPr>
              <w:t>时间保证措施</w:t>
            </w:r>
          </w:p>
        </w:tc>
        <w:tc>
          <w:tcPr>
            <w:tcW w:w="588" w:type="dxa"/>
            <w:vAlign w:val="center"/>
          </w:tcPr>
          <w:p>
            <w:pPr>
              <w:spacing w:line="360" w:lineRule="auto"/>
              <w:jc w:val="center"/>
              <w:rPr>
                <w:rFonts w:ascii="宋体" w:hAnsi="宋体"/>
                <w:b/>
                <w:szCs w:val="21"/>
              </w:rPr>
            </w:pPr>
            <w:r>
              <w:rPr>
                <w:rFonts w:hint="eastAsia" w:ascii="宋体" w:hAnsi="宋体"/>
                <w:b/>
                <w:szCs w:val="21"/>
              </w:rPr>
              <w:t>8</w:t>
            </w:r>
          </w:p>
        </w:tc>
        <w:tc>
          <w:tcPr>
            <w:tcW w:w="7176" w:type="dxa"/>
            <w:vAlign w:val="center"/>
          </w:tcPr>
          <w:p>
            <w:pPr>
              <w:spacing w:line="360" w:lineRule="auto"/>
              <w:rPr>
                <w:szCs w:val="21"/>
              </w:rPr>
            </w:pPr>
            <w:r>
              <w:rPr>
                <w:rFonts w:hint="eastAsia"/>
                <w:szCs w:val="21"/>
              </w:rPr>
              <w:t>投标人对从印刷任务开始到送货各个环节的时间节点及保障措施进行承诺，提供具体方案，进行</w:t>
            </w:r>
            <w:r>
              <w:rPr>
                <w:rFonts w:hint="eastAsia"/>
                <w:szCs w:val="21"/>
                <w:lang w:eastAsia="zh-CN"/>
              </w:rPr>
              <w:t>综合比较</w:t>
            </w:r>
            <w:r>
              <w:rPr>
                <w:rFonts w:hint="eastAsia"/>
                <w:szCs w:val="21"/>
              </w:rPr>
              <w:t>，第一名的得8分，第二的得4分，第三的得2分，无承诺不得分。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6" w:hRule="atLeast"/>
          <w:jc w:val="center"/>
        </w:trPr>
        <w:tc>
          <w:tcPr>
            <w:tcW w:w="611" w:type="dxa"/>
            <w:vAlign w:val="center"/>
          </w:tcPr>
          <w:p>
            <w:pPr>
              <w:numPr>
                <w:ilvl w:val="0"/>
                <w:numId w:val="56"/>
              </w:numPr>
              <w:tabs>
                <w:tab w:val="left" w:pos="322"/>
              </w:tabs>
              <w:spacing w:line="320" w:lineRule="exact"/>
              <w:ind w:right="-42" w:rightChars="-20"/>
              <w:jc w:val="center"/>
              <w:rPr>
                <w:rFonts w:ascii="宋体" w:hAnsi="宋体" w:eastAsia="宋体" w:cs="Times New Roman"/>
                <w:b/>
                <w:sz w:val="24"/>
              </w:rPr>
            </w:pPr>
          </w:p>
        </w:tc>
        <w:tc>
          <w:tcPr>
            <w:tcW w:w="1276" w:type="dxa"/>
            <w:vAlign w:val="center"/>
          </w:tcPr>
          <w:p>
            <w:pPr>
              <w:spacing w:line="360" w:lineRule="auto"/>
              <w:jc w:val="center"/>
              <w:rPr>
                <w:rFonts w:ascii="宋体" w:hAnsi="宋体"/>
                <w:b/>
                <w:szCs w:val="21"/>
              </w:rPr>
            </w:pPr>
            <w:r>
              <w:rPr>
                <w:rFonts w:hint="eastAsia" w:ascii="宋体" w:hAnsi="宋体"/>
                <w:b/>
                <w:szCs w:val="21"/>
              </w:rPr>
              <w:t>拟投入</w:t>
            </w:r>
          </w:p>
          <w:p>
            <w:pPr>
              <w:spacing w:line="360" w:lineRule="auto"/>
              <w:jc w:val="center"/>
              <w:rPr>
                <w:rFonts w:ascii="宋体" w:hAnsi="宋体"/>
                <w:b/>
                <w:szCs w:val="21"/>
              </w:rPr>
            </w:pPr>
            <w:r>
              <w:rPr>
                <w:rFonts w:hint="eastAsia" w:ascii="宋体" w:hAnsi="宋体"/>
                <w:b/>
                <w:szCs w:val="21"/>
              </w:rPr>
              <w:t>人员</w:t>
            </w:r>
          </w:p>
        </w:tc>
        <w:tc>
          <w:tcPr>
            <w:tcW w:w="588" w:type="dxa"/>
            <w:vAlign w:val="center"/>
          </w:tcPr>
          <w:p>
            <w:pPr>
              <w:spacing w:line="360" w:lineRule="auto"/>
              <w:jc w:val="center"/>
              <w:rPr>
                <w:rFonts w:ascii="宋体" w:hAnsi="宋体"/>
                <w:b/>
                <w:szCs w:val="21"/>
              </w:rPr>
            </w:pPr>
            <w:r>
              <w:rPr>
                <w:rFonts w:hint="eastAsia" w:ascii="宋体" w:hAnsi="宋体"/>
                <w:b/>
                <w:szCs w:val="21"/>
              </w:rPr>
              <w:t>7</w:t>
            </w:r>
          </w:p>
        </w:tc>
        <w:tc>
          <w:tcPr>
            <w:tcW w:w="7176" w:type="dxa"/>
            <w:vAlign w:val="center"/>
          </w:tcPr>
          <w:p>
            <w:pPr>
              <w:spacing w:line="360" w:lineRule="auto"/>
              <w:rPr>
                <w:rFonts w:ascii="宋体" w:hAnsi="宋体" w:cs="宋体"/>
                <w:color w:val="000000"/>
                <w:szCs w:val="21"/>
              </w:rPr>
            </w:pPr>
            <w:r>
              <w:rPr>
                <w:rFonts w:hint="eastAsia"/>
                <w:szCs w:val="21"/>
                <w:lang w:eastAsia="zh-CN"/>
              </w:rPr>
              <w:t>根据投标人拟派人员名单根据搭配与分工情况进行综合比较，</w:t>
            </w:r>
            <w:r>
              <w:rPr>
                <w:rFonts w:hint="eastAsia"/>
                <w:szCs w:val="21"/>
              </w:rPr>
              <w:t>第一名的</w:t>
            </w:r>
            <w:r>
              <w:rPr>
                <w:rFonts w:hint="eastAsia" w:ascii="宋体" w:hAnsi="宋体" w:cs="宋体"/>
                <w:szCs w:val="21"/>
              </w:rPr>
              <w:t>得7分，第二的得4分，第三的得1分</w:t>
            </w:r>
            <w:r>
              <w:rPr>
                <w:rFonts w:hint="eastAsia"/>
                <w:szCs w:val="21"/>
              </w:rPr>
              <w:t>，未提供不得分。</w:t>
            </w:r>
          </w:p>
        </w:tc>
      </w:tr>
    </w:tbl>
    <w:p>
      <w:pPr>
        <w:numPr>
          <w:ilvl w:val="0"/>
          <w:numId w:val="54"/>
        </w:numPr>
        <w:spacing w:before="60" w:after="60" w:line="360" w:lineRule="exact"/>
        <w:ind w:left="714" w:leftChars="138" w:hanging="423" w:hangingChars="151"/>
        <w:rPr>
          <w:rFonts w:ascii="宋体" w:hAnsi="宋体" w:eastAsia="宋体" w:cs="Times New Roman"/>
          <w:b/>
          <w:bCs/>
          <w:sz w:val="28"/>
          <w:szCs w:val="28"/>
        </w:rPr>
      </w:pPr>
      <w:r>
        <w:rPr>
          <w:rFonts w:hint="eastAsia" w:ascii="宋体" w:hAnsi="宋体" w:eastAsia="宋体" w:cs="Times New Roman"/>
          <w:b/>
          <w:bCs/>
          <w:sz w:val="28"/>
          <w:szCs w:val="28"/>
        </w:rPr>
        <w:t>价格评议（30分）</w:t>
      </w:r>
    </w:p>
    <w:tbl>
      <w:tblPr>
        <w:tblStyle w:val="21"/>
        <w:tblW w:w="9240" w:type="dxa"/>
        <w:tblInd w:w="-1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1275"/>
        <w:gridCol w:w="585"/>
        <w:gridCol w:w="6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trPr>
        <w:tc>
          <w:tcPr>
            <w:tcW w:w="630" w:type="dxa"/>
            <w:shd w:val="pct10" w:color="auto" w:fill="auto"/>
            <w:vAlign w:val="center"/>
          </w:tcPr>
          <w:p>
            <w:pPr>
              <w:ind w:left="-78" w:leftChars="-37" w:right="-86" w:rightChars="-41"/>
              <w:jc w:val="center"/>
              <w:rPr>
                <w:rFonts w:ascii="宋体" w:hAnsi="宋体" w:eastAsia="宋体" w:cs="Courier New"/>
                <w:b/>
                <w:bCs/>
                <w:sz w:val="24"/>
                <w:szCs w:val="24"/>
              </w:rPr>
            </w:pPr>
            <w:r>
              <w:rPr>
                <w:rFonts w:hint="eastAsia" w:ascii="宋体" w:hAnsi="宋体" w:eastAsia="宋体" w:cs="Times New Roman"/>
                <w:b/>
                <w:sz w:val="24"/>
                <w:szCs w:val="24"/>
              </w:rPr>
              <w:t>序号</w:t>
            </w:r>
          </w:p>
        </w:tc>
        <w:tc>
          <w:tcPr>
            <w:tcW w:w="1275" w:type="dxa"/>
            <w:shd w:val="pct10" w:color="auto" w:fill="auto"/>
            <w:vAlign w:val="center"/>
          </w:tcPr>
          <w:p>
            <w:pPr>
              <w:ind w:left="-78" w:leftChars="-37" w:right="-86" w:rightChars="-41"/>
              <w:jc w:val="center"/>
              <w:rPr>
                <w:rFonts w:ascii="宋体" w:hAnsi="宋体" w:eastAsia="宋体" w:cs="Courier New"/>
                <w:b/>
                <w:bCs/>
                <w:sz w:val="24"/>
                <w:szCs w:val="24"/>
              </w:rPr>
            </w:pPr>
            <w:r>
              <w:rPr>
                <w:rFonts w:hint="eastAsia" w:ascii="宋体" w:hAnsi="宋体" w:eastAsia="宋体" w:cs="Times New Roman"/>
                <w:b/>
                <w:sz w:val="24"/>
                <w:szCs w:val="24"/>
              </w:rPr>
              <w:t>评审因素</w:t>
            </w:r>
          </w:p>
        </w:tc>
        <w:tc>
          <w:tcPr>
            <w:tcW w:w="585" w:type="dxa"/>
            <w:shd w:val="pct10" w:color="auto" w:fill="auto"/>
            <w:vAlign w:val="center"/>
          </w:tcPr>
          <w:p>
            <w:pPr>
              <w:ind w:left="-73" w:leftChars="-35" w:right="-80" w:rightChars="-38"/>
              <w:jc w:val="center"/>
              <w:rPr>
                <w:rFonts w:ascii="宋体" w:hAnsi="宋体" w:eastAsia="宋体" w:cs="Courier New"/>
                <w:b/>
                <w:bCs/>
                <w:sz w:val="24"/>
                <w:szCs w:val="24"/>
              </w:rPr>
            </w:pPr>
            <w:r>
              <w:rPr>
                <w:rFonts w:ascii="宋体" w:hAnsi="宋体" w:eastAsia="宋体" w:cs="Courier New"/>
                <w:b/>
                <w:bCs/>
                <w:sz w:val="24"/>
                <w:szCs w:val="24"/>
              </w:rPr>
              <w:t>分值</w:t>
            </w:r>
          </w:p>
        </w:tc>
        <w:tc>
          <w:tcPr>
            <w:tcW w:w="6750" w:type="dxa"/>
            <w:shd w:val="pct10" w:color="auto" w:fill="auto"/>
            <w:vAlign w:val="center"/>
          </w:tcPr>
          <w:p>
            <w:pPr>
              <w:spacing w:line="240" w:lineRule="atLeast"/>
              <w:jc w:val="center"/>
              <w:rPr>
                <w:rFonts w:ascii="宋体" w:hAnsi="宋体" w:eastAsia="宋体" w:cs="Courier New"/>
                <w:b/>
                <w:bCs/>
                <w:sz w:val="24"/>
                <w:szCs w:val="24"/>
              </w:rPr>
            </w:pPr>
            <w:r>
              <w:rPr>
                <w:rFonts w:hint="eastAsia" w:ascii="宋体" w:hAnsi="宋体" w:eastAsia="宋体" w:cs="Courier New"/>
                <w:b/>
                <w:bCs/>
                <w:sz w:val="24"/>
                <w:szCs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0" w:type="dxa"/>
            <w:vAlign w:val="center"/>
          </w:tcPr>
          <w:p>
            <w:pPr>
              <w:numPr>
                <w:ilvl w:val="0"/>
                <w:numId w:val="57"/>
              </w:numPr>
              <w:spacing w:line="320" w:lineRule="exact"/>
              <w:ind w:right="-42" w:rightChars="-20"/>
              <w:jc w:val="center"/>
              <w:rPr>
                <w:rFonts w:ascii="宋体" w:hAnsi="宋体" w:eastAsia="宋体" w:cs="Times New Roman"/>
                <w:b/>
                <w:bCs/>
                <w:sz w:val="24"/>
                <w:szCs w:val="24"/>
              </w:rPr>
            </w:pPr>
          </w:p>
        </w:tc>
        <w:tc>
          <w:tcPr>
            <w:tcW w:w="1275" w:type="dxa"/>
            <w:vAlign w:val="center"/>
          </w:tcPr>
          <w:p>
            <w:pPr>
              <w:ind w:left="-78" w:leftChars="-37" w:right="-86" w:rightChars="-41"/>
              <w:rPr>
                <w:rFonts w:ascii="宋体" w:hAnsi="宋体" w:eastAsia="宋体" w:cs="Times New Roman"/>
                <w:b/>
                <w:bCs/>
                <w:sz w:val="24"/>
                <w:szCs w:val="24"/>
              </w:rPr>
            </w:pPr>
            <w:r>
              <w:rPr>
                <w:rFonts w:hint="eastAsia" w:ascii="宋体" w:hAnsi="宋体"/>
                <w:b/>
                <w:szCs w:val="21"/>
              </w:rPr>
              <w:t>价格评议</w:t>
            </w:r>
          </w:p>
        </w:tc>
        <w:tc>
          <w:tcPr>
            <w:tcW w:w="585" w:type="dxa"/>
          </w:tcPr>
          <w:p>
            <w:pPr>
              <w:spacing w:line="320" w:lineRule="exact"/>
              <w:jc w:val="center"/>
            </w:pPr>
          </w:p>
          <w:p>
            <w:pPr>
              <w:spacing w:line="320" w:lineRule="exact"/>
              <w:rPr>
                <w:rFonts w:ascii="宋体" w:hAnsi="宋体" w:eastAsia="宋体" w:cs="Times New Roman"/>
                <w:color w:val="0D0D0D"/>
                <w:kern w:val="0"/>
                <w:sz w:val="24"/>
                <w:szCs w:val="24"/>
              </w:rPr>
            </w:pPr>
            <w:r>
              <w:rPr>
                <w:rFonts w:hint="eastAsia" w:ascii="宋体" w:hAnsi="宋体" w:eastAsia="宋体" w:cs="Times New Roman"/>
                <w:b/>
                <w:bCs/>
                <w:color w:val="0D0D0D"/>
                <w:kern w:val="0"/>
                <w:sz w:val="24"/>
                <w:szCs w:val="24"/>
              </w:rPr>
              <w:t>10</w:t>
            </w:r>
          </w:p>
        </w:tc>
        <w:tc>
          <w:tcPr>
            <w:tcW w:w="6750" w:type="dxa"/>
            <w:vAlign w:val="center"/>
          </w:tcPr>
          <w:p>
            <w:pPr>
              <w:spacing w:line="320" w:lineRule="exact"/>
              <w:rPr>
                <w:szCs w:val="21"/>
              </w:rPr>
            </w:pPr>
            <w:r>
              <w:rPr>
                <w:rFonts w:hint="eastAsia"/>
                <w:szCs w:val="21"/>
              </w:rPr>
              <w:t>价格分统一采用低价优先法计算，即满足招标文件要求且最终投标 总价最低的投标报价为评标基准价，其价格分为满分。其他供应商的价格分统一按照下列公式计算：投标报价得分=（评标基准价般标报价）x 10。参与计算的投标报价要考虑小微型企业的价格扣除因素。</w:t>
            </w:r>
          </w:p>
        </w:tc>
      </w:tr>
    </w:tbl>
    <w:p>
      <w:pPr>
        <w:jc w:val="left"/>
        <w:rPr>
          <w:b/>
          <w:bCs/>
          <w:color w:val="000000"/>
          <w:szCs w:val="21"/>
        </w:rPr>
      </w:pPr>
    </w:p>
    <w:p>
      <w:pPr>
        <w:jc w:val="left"/>
        <w:rPr>
          <w:color w:val="000000"/>
          <w:szCs w:val="21"/>
        </w:rPr>
      </w:pPr>
      <w:r>
        <w:rPr>
          <w:rFonts w:hint="eastAsia"/>
          <w:b/>
          <w:bCs/>
          <w:color w:val="000000"/>
          <w:szCs w:val="21"/>
        </w:rPr>
        <w:t>备注</w:t>
      </w:r>
      <w:r>
        <w:rPr>
          <w:rFonts w:hint="eastAsia"/>
          <w:color w:val="000000"/>
          <w:szCs w:val="21"/>
        </w:rPr>
        <w:t>：</w:t>
      </w:r>
    </w:p>
    <w:p>
      <w:pPr>
        <w:ind w:firstLine="527" w:firstLineChars="250"/>
        <w:jc w:val="left"/>
        <w:rPr>
          <w:b/>
          <w:bCs/>
          <w:color w:val="000000"/>
          <w:szCs w:val="21"/>
        </w:rPr>
      </w:pPr>
      <w:r>
        <w:rPr>
          <w:rFonts w:hint="eastAsia"/>
          <w:b/>
          <w:bCs/>
          <w:color w:val="000000"/>
          <w:szCs w:val="21"/>
        </w:rPr>
        <w:t>以上所有须提供的证件、证书、有关资料等，投标人都必须提供真彩扫描打印件并加盖公章，供专家评委评审，否则不得分。投标人投标时须认真对待、如实应标。凡提供虚假材料谋取中标的，一经查实，根据《政府采购法》第七十七条之规定，将对供应商处以罚款、列入不良行为记录名单、依法追究刑事责任等。以上有关证书验收时提供原件进行验收。</w:t>
      </w:r>
    </w:p>
    <w:p/>
    <w:p>
      <w:r>
        <w:br w:type="page"/>
      </w:r>
    </w:p>
    <w:p>
      <w:pPr>
        <w:pStyle w:val="4"/>
        <w:numPr>
          <w:ilvl w:val="0"/>
          <w:numId w:val="2"/>
        </w:numPr>
        <w:jc w:val="center"/>
        <w:rPr>
          <w:rFonts w:ascii="黑体" w:hAnsi="黑体" w:eastAsia="黑体"/>
        </w:rPr>
      </w:pPr>
      <w:bookmarkStart w:id="71" w:name="_Toc494702263"/>
      <w:bookmarkStart w:id="72" w:name="_Toc494665546"/>
      <w:bookmarkStart w:id="73" w:name="_Toc494721093"/>
      <w:bookmarkStart w:id="74" w:name="_Toc494664993"/>
      <w:bookmarkStart w:id="75" w:name="_Toc494665943"/>
      <w:bookmarkStart w:id="76" w:name="_Toc494745310"/>
      <w:bookmarkStart w:id="77" w:name="_Toc14212"/>
      <w:r>
        <w:rPr>
          <w:rFonts w:hint="eastAsia" w:ascii="黑体" w:hAnsi="黑体" w:eastAsia="黑体"/>
        </w:rPr>
        <w:t>合同书格式（参考）</w:t>
      </w:r>
      <w:bookmarkEnd w:id="71"/>
      <w:bookmarkEnd w:id="72"/>
      <w:bookmarkEnd w:id="73"/>
      <w:bookmarkEnd w:id="74"/>
      <w:bookmarkEnd w:id="75"/>
      <w:bookmarkEnd w:id="76"/>
      <w:bookmarkEnd w:id="77"/>
    </w:p>
    <w:p>
      <w:pPr>
        <w:spacing w:line="360" w:lineRule="auto"/>
        <w:ind w:firstLine="482" w:firstLineChars="200"/>
        <w:rPr>
          <w:sz w:val="24"/>
          <w:szCs w:val="24"/>
        </w:rPr>
      </w:pPr>
      <w:r>
        <w:rPr>
          <w:rFonts w:hint="eastAsia"/>
          <w:sz w:val="24"/>
          <w:szCs w:val="24"/>
        </w:rPr>
        <w:t>（根据《政府采购法》和《合同法》相关规定，采购人和中标人之间的权利和义务，应当按照平等、自愿的原则以合同方式约定。此合同书仅作为签订正式合同时的参考，正式合同书应包括本参考格式之内容。）</w:t>
      </w:r>
    </w:p>
    <w:p>
      <w:pPr>
        <w:autoSpaceDE w:val="0"/>
        <w:autoSpaceDN w:val="0"/>
        <w:jc w:val="center"/>
        <w:rPr>
          <w:rFonts w:ascii="宋体" w:hAnsi="宋体" w:eastAsia="宋体" w:cs="Times New Roman"/>
          <w:b/>
          <w:kern w:val="0"/>
          <w:sz w:val="36"/>
          <w:szCs w:val="36"/>
        </w:rPr>
      </w:pPr>
      <w:r>
        <w:rPr>
          <w:rFonts w:hint="eastAsia" w:ascii="宋体" w:hAnsi="宋体" w:eastAsia="宋体" w:cs="Times New Roman"/>
          <w:b/>
          <w:kern w:val="0"/>
          <w:sz w:val="36"/>
          <w:szCs w:val="36"/>
        </w:rPr>
        <w:t>合   同   书</w:t>
      </w:r>
    </w:p>
    <w:p>
      <w:pPr>
        <w:spacing w:line="360" w:lineRule="auto"/>
        <w:ind w:firstLine="420"/>
        <w:rPr>
          <w:sz w:val="24"/>
        </w:rPr>
      </w:pPr>
      <w:r>
        <w:rPr>
          <w:rFonts w:hint="eastAsia"/>
          <w:sz w:val="24"/>
        </w:rPr>
        <w:t>根据《中华人民共和国合同法》及（项目名称）的采购结果、响应文件承诺和采购文件的要求，经甲乙双方协商一致，签订本合同。</w:t>
      </w:r>
    </w:p>
    <w:p>
      <w:pPr>
        <w:spacing w:line="360" w:lineRule="auto"/>
        <w:ind w:firstLine="482" w:firstLineChars="200"/>
        <w:rPr>
          <w:b/>
          <w:bCs/>
          <w:sz w:val="24"/>
        </w:rPr>
      </w:pPr>
      <w:r>
        <w:rPr>
          <w:rFonts w:hint="eastAsia"/>
          <w:b/>
          <w:bCs/>
          <w:sz w:val="24"/>
        </w:rPr>
        <w:t>第一条服务要求</w:t>
      </w:r>
    </w:p>
    <w:p>
      <w:pPr>
        <w:spacing w:line="360" w:lineRule="auto"/>
        <w:rPr>
          <w:sz w:val="24"/>
        </w:rPr>
      </w:pPr>
      <w:r>
        <w:rPr>
          <w:rFonts w:hint="eastAsia"/>
          <w:sz w:val="24"/>
        </w:rPr>
        <w:t xml:space="preserve">  1、人员配置要求</w:t>
      </w:r>
    </w:p>
    <w:p>
      <w:pPr>
        <w:spacing w:line="360" w:lineRule="auto"/>
        <w:rPr>
          <w:sz w:val="24"/>
        </w:rPr>
      </w:pPr>
      <w:r>
        <w:rPr>
          <w:rFonts w:hint="eastAsia"/>
          <w:sz w:val="24"/>
        </w:rPr>
        <w:t xml:space="preserve">  为便于出版者与编者工作的衔接，供应商应具备与书稿匹配的经济、管理等专业素养及把控能力。一是要具有丰富的地方志、地名志类书籍出版经验且有长期与高校合作的经验，二是编辑力量雄厚，有10人以上拥有个资深编辑（副编审以上技术职称人员）队伍，确保编辑出版工作的顺利进行。</w:t>
      </w:r>
    </w:p>
    <w:p>
      <w:pPr>
        <w:spacing w:line="360" w:lineRule="auto"/>
        <w:rPr>
          <w:sz w:val="24"/>
        </w:rPr>
      </w:pPr>
      <w:r>
        <w:rPr>
          <w:rFonts w:hint="eastAsia"/>
          <w:sz w:val="24"/>
        </w:rPr>
        <w:t xml:space="preserve">  2、著作质量要求</w:t>
      </w:r>
    </w:p>
    <w:p>
      <w:pPr>
        <w:spacing w:line="360" w:lineRule="auto"/>
        <w:ind w:firstLine="361" w:firstLineChars="150"/>
        <w:rPr>
          <w:sz w:val="24"/>
        </w:rPr>
      </w:pPr>
      <w:r>
        <w:rPr>
          <w:rFonts w:hint="eastAsia"/>
          <w:sz w:val="24"/>
        </w:rPr>
        <w:t>必须保证著作正版，满足印刷行业标准：著作责编要三审三校。 内文须墨色均匀、图片清晰、套印准确、书版干净、尺寸规范，所用图片要求精修，调色；印刷标准具体参数要求如下：</w:t>
      </w:r>
    </w:p>
    <w:p>
      <w:pPr>
        <w:spacing w:line="360" w:lineRule="auto"/>
        <w:rPr>
          <w:sz w:val="24"/>
        </w:rPr>
      </w:pPr>
      <w:r>
        <w:rPr>
          <w:rFonts w:hint="eastAsia"/>
          <w:sz w:val="24"/>
        </w:rPr>
        <w:t xml:space="preserve">  规格：210mm×285mm   大16开本精装，简体横排，版心大小设置为174 mm×220mm，顶空32mm，下空33mm，左右空18mm。分上、下册，共印数2000套（另赠送样书60套）。内文字与字号基本要求严格按《湖北省县市区地名志编纂规范》文件要求操作。</w:t>
      </w:r>
    </w:p>
    <w:p>
      <w:pPr>
        <w:spacing w:line="360" w:lineRule="auto"/>
        <w:rPr>
          <w:sz w:val="24"/>
        </w:rPr>
      </w:pPr>
      <w:r>
        <w:rPr>
          <w:rFonts w:hint="eastAsia"/>
          <w:sz w:val="24"/>
        </w:rPr>
        <w:t xml:space="preserve">  封面及内封：封面及内封按照美观、大方、庄重的原则，按湖北省统一设计制作。</w:t>
      </w:r>
    </w:p>
    <w:p>
      <w:pPr>
        <w:spacing w:line="360" w:lineRule="auto"/>
        <w:rPr>
          <w:sz w:val="24"/>
        </w:rPr>
      </w:pPr>
      <w:r>
        <w:rPr>
          <w:rFonts w:hint="eastAsia"/>
          <w:sz w:val="24"/>
        </w:rPr>
        <w:t xml:space="preserve">  材质：硬封用特种纸张特种工艺制作，内封样式基本与封面同，使用与封面协调的特种纸，纹理、厚薄视情况酌定。书籍物包装采用特制提袋。</w:t>
      </w:r>
    </w:p>
    <w:p>
      <w:pPr>
        <w:spacing w:line="360" w:lineRule="auto"/>
        <w:rPr>
          <w:sz w:val="24"/>
        </w:rPr>
      </w:pPr>
      <w:r>
        <w:rPr>
          <w:rFonts w:hint="eastAsia"/>
          <w:sz w:val="24"/>
        </w:rPr>
        <w:t>3、内容：按照阳新县地名普查办的要求，要现有样稿基础上插入</w:t>
      </w:r>
      <w:r>
        <w:rPr>
          <w:rFonts w:hint="eastAsia"/>
          <w:sz w:val="24"/>
          <w:lang w:val="en-US" w:eastAsia="zh-CN"/>
        </w:rPr>
        <w:t>24</w:t>
      </w:r>
      <w:r>
        <w:rPr>
          <w:rFonts w:hint="eastAsia"/>
          <w:sz w:val="24"/>
        </w:rPr>
        <w:t>个镇区标准地名图、相关照片并完成索引等，严格按《湖北省县市区地名志编纂规范》文件要求操作。差错率在国家相关文件规定的范围内。</w:t>
      </w:r>
    </w:p>
    <w:p>
      <w:pPr>
        <w:snapToGrid w:val="0"/>
        <w:spacing w:line="480" w:lineRule="auto"/>
        <w:jc w:val="left"/>
        <w:rPr>
          <w:sz w:val="24"/>
        </w:rPr>
      </w:pPr>
      <w:r>
        <w:rPr>
          <w:rFonts w:hint="eastAsia"/>
          <w:sz w:val="24"/>
        </w:rPr>
        <w:t>4、期限：2019年8月份前要完成全部初稿；2019年9月份前要完成三审三校稿；2019年10月前进入排版设计程序；2019年11月进入出版程序。</w:t>
      </w:r>
    </w:p>
    <w:p>
      <w:pPr>
        <w:snapToGrid w:val="0"/>
        <w:spacing w:line="480" w:lineRule="auto"/>
        <w:jc w:val="left"/>
        <w:rPr>
          <w:sz w:val="24"/>
        </w:rPr>
      </w:pPr>
      <w:r>
        <w:rPr>
          <w:rFonts w:hint="eastAsia"/>
          <w:sz w:val="24"/>
        </w:rPr>
        <w:t>5、版权所有</w:t>
      </w:r>
    </w:p>
    <w:p>
      <w:pPr>
        <w:spacing w:line="360" w:lineRule="auto"/>
        <w:rPr>
          <w:sz w:val="24"/>
        </w:rPr>
      </w:pPr>
      <w:r>
        <w:rPr>
          <w:rFonts w:hint="eastAsia"/>
          <w:sz w:val="24"/>
        </w:rPr>
        <w:t xml:space="preserve">  专著出版后，成交供应商要将书稿电子版（终审版）一并提供给采购人，版权归采购人所有。未经许可，成交供应商不得擅自提供给第三方。</w:t>
      </w:r>
    </w:p>
    <w:p>
      <w:pPr>
        <w:spacing w:line="360" w:lineRule="auto"/>
        <w:ind w:firstLine="420"/>
        <w:rPr>
          <w:sz w:val="24"/>
        </w:rPr>
      </w:pPr>
    </w:p>
    <w:p>
      <w:pPr>
        <w:spacing w:line="360" w:lineRule="auto"/>
        <w:ind w:firstLine="482" w:firstLineChars="200"/>
        <w:rPr>
          <w:b/>
          <w:bCs/>
          <w:sz w:val="24"/>
        </w:rPr>
      </w:pPr>
      <w:r>
        <w:rPr>
          <w:rFonts w:hint="eastAsia"/>
          <w:b/>
          <w:bCs/>
          <w:sz w:val="24"/>
        </w:rPr>
        <w:t>第二条合同标的</w:t>
      </w:r>
    </w:p>
    <w:tbl>
      <w:tblPr>
        <w:tblStyle w:val="2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5"/>
        <w:gridCol w:w="3185"/>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5" w:type="dxa"/>
          </w:tcPr>
          <w:p>
            <w:pPr>
              <w:spacing w:line="360" w:lineRule="auto"/>
              <w:ind w:left="423"/>
              <w:jc w:val="center"/>
              <w:rPr>
                <w:sz w:val="24"/>
              </w:rPr>
            </w:pPr>
            <w:r>
              <w:rPr>
                <w:rFonts w:hint="eastAsia"/>
                <w:sz w:val="24"/>
              </w:rPr>
              <w:t>序号</w:t>
            </w:r>
          </w:p>
        </w:tc>
        <w:tc>
          <w:tcPr>
            <w:tcW w:w="3185" w:type="dxa"/>
          </w:tcPr>
          <w:p>
            <w:pPr>
              <w:spacing w:line="360" w:lineRule="auto"/>
              <w:ind w:left="423"/>
              <w:jc w:val="center"/>
              <w:rPr>
                <w:sz w:val="24"/>
              </w:rPr>
            </w:pPr>
            <w:r>
              <w:rPr>
                <w:rFonts w:hint="eastAsia"/>
                <w:sz w:val="24"/>
              </w:rPr>
              <w:t>服务项目</w:t>
            </w:r>
          </w:p>
        </w:tc>
        <w:tc>
          <w:tcPr>
            <w:tcW w:w="2131" w:type="dxa"/>
          </w:tcPr>
          <w:p>
            <w:pPr>
              <w:spacing w:line="360" w:lineRule="auto"/>
              <w:ind w:left="423"/>
              <w:jc w:val="center"/>
              <w:rPr>
                <w:sz w:val="24"/>
              </w:rPr>
            </w:pPr>
            <w:r>
              <w:rPr>
                <w:rFonts w:hint="eastAsia"/>
                <w:sz w:val="24"/>
              </w:rPr>
              <w:t>服务内容</w:t>
            </w:r>
          </w:p>
        </w:tc>
        <w:tc>
          <w:tcPr>
            <w:tcW w:w="2131" w:type="dxa"/>
          </w:tcPr>
          <w:p>
            <w:pPr>
              <w:spacing w:line="360" w:lineRule="auto"/>
              <w:ind w:left="423"/>
              <w:jc w:val="center"/>
              <w:rPr>
                <w:sz w:val="24"/>
              </w:rPr>
            </w:pPr>
            <w:r>
              <w:rPr>
                <w:rFonts w:hint="eastAsia"/>
                <w:sz w:val="24"/>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5" w:type="dxa"/>
          </w:tcPr>
          <w:p>
            <w:pPr>
              <w:spacing w:line="360" w:lineRule="auto"/>
              <w:ind w:left="423"/>
              <w:jc w:val="center"/>
              <w:rPr>
                <w:sz w:val="24"/>
              </w:rPr>
            </w:pPr>
            <w:r>
              <w:rPr>
                <w:rFonts w:hint="eastAsia"/>
                <w:sz w:val="24"/>
              </w:rPr>
              <w:t>1</w:t>
            </w:r>
          </w:p>
        </w:tc>
        <w:tc>
          <w:tcPr>
            <w:tcW w:w="3185" w:type="dxa"/>
            <w:vMerge w:val="restart"/>
            <w:vAlign w:val="center"/>
          </w:tcPr>
          <w:p>
            <w:pPr>
              <w:spacing w:line="360" w:lineRule="auto"/>
              <w:ind w:left="423"/>
              <w:jc w:val="center"/>
              <w:rPr>
                <w:sz w:val="24"/>
              </w:rPr>
            </w:pPr>
            <w:r>
              <w:rPr>
                <w:rFonts w:hint="eastAsia"/>
                <w:sz w:val="24"/>
              </w:rPr>
              <w:t>阳新县地名志出版印刷</w:t>
            </w:r>
          </w:p>
        </w:tc>
        <w:tc>
          <w:tcPr>
            <w:tcW w:w="2131" w:type="dxa"/>
          </w:tcPr>
          <w:p>
            <w:pPr>
              <w:spacing w:line="360" w:lineRule="auto"/>
              <w:ind w:left="423"/>
              <w:jc w:val="center"/>
              <w:rPr>
                <w:sz w:val="24"/>
              </w:rPr>
            </w:pPr>
            <w:r>
              <w:rPr>
                <w:rFonts w:hint="eastAsia"/>
                <w:sz w:val="24"/>
              </w:rPr>
              <w:t>出版管理费</w:t>
            </w:r>
          </w:p>
        </w:tc>
        <w:tc>
          <w:tcPr>
            <w:tcW w:w="2131" w:type="dxa"/>
          </w:tcPr>
          <w:p>
            <w:pPr>
              <w:spacing w:line="360" w:lineRule="auto"/>
              <w:ind w:left="423"/>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5" w:type="dxa"/>
          </w:tcPr>
          <w:p>
            <w:pPr>
              <w:spacing w:line="360" w:lineRule="auto"/>
              <w:ind w:left="423"/>
              <w:jc w:val="center"/>
              <w:rPr>
                <w:sz w:val="24"/>
              </w:rPr>
            </w:pPr>
            <w:r>
              <w:rPr>
                <w:rFonts w:hint="eastAsia"/>
                <w:sz w:val="24"/>
              </w:rPr>
              <w:t>2</w:t>
            </w:r>
          </w:p>
        </w:tc>
        <w:tc>
          <w:tcPr>
            <w:tcW w:w="3185" w:type="dxa"/>
            <w:vMerge w:val="continue"/>
          </w:tcPr>
          <w:p>
            <w:pPr>
              <w:spacing w:line="360" w:lineRule="auto"/>
              <w:ind w:left="423"/>
              <w:jc w:val="center"/>
              <w:rPr>
                <w:sz w:val="24"/>
              </w:rPr>
            </w:pPr>
          </w:p>
        </w:tc>
        <w:tc>
          <w:tcPr>
            <w:tcW w:w="2131" w:type="dxa"/>
          </w:tcPr>
          <w:p>
            <w:pPr>
              <w:spacing w:line="360" w:lineRule="auto"/>
              <w:ind w:left="423"/>
              <w:jc w:val="center"/>
              <w:rPr>
                <w:sz w:val="24"/>
              </w:rPr>
            </w:pPr>
            <w:r>
              <w:rPr>
                <w:rFonts w:hint="eastAsia"/>
                <w:sz w:val="24"/>
              </w:rPr>
              <w:t>审稿</w:t>
            </w:r>
          </w:p>
        </w:tc>
        <w:tc>
          <w:tcPr>
            <w:tcW w:w="2131" w:type="dxa"/>
          </w:tcPr>
          <w:p>
            <w:pPr>
              <w:spacing w:line="360" w:lineRule="auto"/>
              <w:ind w:left="423"/>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5" w:type="dxa"/>
          </w:tcPr>
          <w:p>
            <w:pPr>
              <w:spacing w:line="360" w:lineRule="auto"/>
              <w:ind w:left="423"/>
              <w:jc w:val="center"/>
              <w:rPr>
                <w:sz w:val="24"/>
              </w:rPr>
            </w:pPr>
            <w:r>
              <w:rPr>
                <w:rFonts w:hint="eastAsia"/>
                <w:sz w:val="24"/>
              </w:rPr>
              <w:t>3</w:t>
            </w:r>
          </w:p>
        </w:tc>
        <w:tc>
          <w:tcPr>
            <w:tcW w:w="3185" w:type="dxa"/>
            <w:vMerge w:val="continue"/>
          </w:tcPr>
          <w:p>
            <w:pPr>
              <w:spacing w:line="360" w:lineRule="auto"/>
              <w:ind w:left="423"/>
              <w:jc w:val="center"/>
              <w:rPr>
                <w:sz w:val="24"/>
              </w:rPr>
            </w:pPr>
          </w:p>
        </w:tc>
        <w:tc>
          <w:tcPr>
            <w:tcW w:w="2131" w:type="dxa"/>
          </w:tcPr>
          <w:p>
            <w:pPr>
              <w:spacing w:line="360" w:lineRule="auto"/>
              <w:ind w:left="423"/>
              <w:jc w:val="center"/>
              <w:rPr>
                <w:sz w:val="24"/>
              </w:rPr>
            </w:pPr>
            <w:r>
              <w:rPr>
                <w:rFonts w:hint="eastAsia"/>
                <w:sz w:val="24"/>
              </w:rPr>
              <w:t>校对</w:t>
            </w:r>
          </w:p>
        </w:tc>
        <w:tc>
          <w:tcPr>
            <w:tcW w:w="2131" w:type="dxa"/>
          </w:tcPr>
          <w:p>
            <w:pPr>
              <w:spacing w:line="360" w:lineRule="auto"/>
              <w:ind w:left="423"/>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5" w:type="dxa"/>
          </w:tcPr>
          <w:p>
            <w:pPr>
              <w:spacing w:line="360" w:lineRule="auto"/>
              <w:ind w:left="423"/>
              <w:jc w:val="center"/>
              <w:rPr>
                <w:sz w:val="24"/>
              </w:rPr>
            </w:pPr>
            <w:r>
              <w:rPr>
                <w:rFonts w:hint="eastAsia"/>
                <w:sz w:val="24"/>
              </w:rPr>
              <w:t>4</w:t>
            </w:r>
          </w:p>
        </w:tc>
        <w:tc>
          <w:tcPr>
            <w:tcW w:w="3185" w:type="dxa"/>
            <w:vMerge w:val="continue"/>
          </w:tcPr>
          <w:p>
            <w:pPr>
              <w:spacing w:line="360" w:lineRule="auto"/>
              <w:ind w:left="423"/>
              <w:jc w:val="center"/>
              <w:rPr>
                <w:sz w:val="24"/>
              </w:rPr>
            </w:pPr>
          </w:p>
        </w:tc>
        <w:tc>
          <w:tcPr>
            <w:tcW w:w="2131" w:type="dxa"/>
          </w:tcPr>
          <w:p>
            <w:pPr>
              <w:spacing w:line="360" w:lineRule="auto"/>
              <w:ind w:left="423"/>
              <w:jc w:val="center"/>
              <w:rPr>
                <w:sz w:val="24"/>
              </w:rPr>
            </w:pPr>
            <w:r>
              <w:rPr>
                <w:rFonts w:hint="eastAsia"/>
                <w:sz w:val="24"/>
              </w:rPr>
              <w:t>排版</w:t>
            </w:r>
          </w:p>
        </w:tc>
        <w:tc>
          <w:tcPr>
            <w:tcW w:w="2131" w:type="dxa"/>
          </w:tcPr>
          <w:p>
            <w:pPr>
              <w:spacing w:line="360" w:lineRule="auto"/>
              <w:ind w:left="423"/>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5" w:type="dxa"/>
          </w:tcPr>
          <w:p>
            <w:pPr>
              <w:spacing w:line="360" w:lineRule="auto"/>
              <w:ind w:left="423"/>
              <w:jc w:val="center"/>
              <w:rPr>
                <w:sz w:val="24"/>
              </w:rPr>
            </w:pPr>
            <w:r>
              <w:rPr>
                <w:rFonts w:hint="eastAsia"/>
                <w:sz w:val="24"/>
              </w:rPr>
              <w:t>5</w:t>
            </w:r>
          </w:p>
        </w:tc>
        <w:tc>
          <w:tcPr>
            <w:tcW w:w="3185" w:type="dxa"/>
            <w:vMerge w:val="continue"/>
          </w:tcPr>
          <w:p>
            <w:pPr>
              <w:spacing w:line="360" w:lineRule="auto"/>
              <w:ind w:left="423"/>
              <w:jc w:val="center"/>
              <w:rPr>
                <w:sz w:val="24"/>
              </w:rPr>
            </w:pPr>
          </w:p>
        </w:tc>
        <w:tc>
          <w:tcPr>
            <w:tcW w:w="2131" w:type="dxa"/>
          </w:tcPr>
          <w:p>
            <w:pPr>
              <w:spacing w:line="360" w:lineRule="auto"/>
              <w:ind w:left="423"/>
              <w:jc w:val="center"/>
              <w:rPr>
                <w:sz w:val="24"/>
              </w:rPr>
            </w:pPr>
            <w:r>
              <w:rPr>
                <w:rFonts w:hint="eastAsia"/>
                <w:sz w:val="24"/>
              </w:rPr>
              <w:t>纸张</w:t>
            </w:r>
          </w:p>
        </w:tc>
        <w:tc>
          <w:tcPr>
            <w:tcW w:w="2131" w:type="dxa"/>
          </w:tcPr>
          <w:p>
            <w:pPr>
              <w:spacing w:line="360" w:lineRule="auto"/>
              <w:ind w:left="423"/>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5" w:type="dxa"/>
          </w:tcPr>
          <w:p>
            <w:pPr>
              <w:spacing w:line="360" w:lineRule="auto"/>
              <w:ind w:left="423"/>
              <w:jc w:val="center"/>
              <w:rPr>
                <w:sz w:val="24"/>
              </w:rPr>
            </w:pPr>
            <w:r>
              <w:rPr>
                <w:rFonts w:hint="eastAsia"/>
                <w:sz w:val="24"/>
              </w:rPr>
              <w:t>6</w:t>
            </w:r>
          </w:p>
        </w:tc>
        <w:tc>
          <w:tcPr>
            <w:tcW w:w="3185" w:type="dxa"/>
            <w:vMerge w:val="continue"/>
          </w:tcPr>
          <w:p>
            <w:pPr>
              <w:spacing w:line="360" w:lineRule="auto"/>
              <w:ind w:left="423"/>
              <w:jc w:val="center"/>
              <w:rPr>
                <w:sz w:val="24"/>
              </w:rPr>
            </w:pPr>
          </w:p>
        </w:tc>
        <w:tc>
          <w:tcPr>
            <w:tcW w:w="2131" w:type="dxa"/>
          </w:tcPr>
          <w:p>
            <w:pPr>
              <w:spacing w:line="360" w:lineRule="auto"/>
              <w:ind w:left="423"/>
              <w:jc w:val="center"/>
              <w:rPr>
                <w:sz w:val="24"/>
              </w:rPr>
            </w:pPr>
            <w:r>
              <w:rPr>
                <w:rFonts w:hint="eastAsia"/>
                <w:sz w:val="24"/>
              </w:rPr>
              <w:t>制版</w:t>
            </w:r>
          </w:p>
        </w:tc>
        <w:tc>
          <w:tcPr>
            <w:tcW w:w="2131" w:type="dxa"/>
          </w:tcPr>
          <w:p>
            <w:pPr>
              <w:spacing w:line="360" w:lineRule="auto"/>
              <w:ind w:left="423"/>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5" w:type="dxa"/>
          </w:tcPr>
          <w:p>
            <w:pPr>
              <w:spacing w:line="360" w:lineRule="auto"/>
              <w:ind w:left="423"/>
              <w:jc w:val="center"/>
              <w:rPr>
                <w:sz w:val="24"/>
              </w:rPr>
            </w:pPr>
            <w:r>
              <w:rPr>
                <w:rFonts w:hint="eastAsia"/>
                <w:sz w:val="24"/>
              </w:rPr>
              <w:t>7</w:t>
            </w:r>
          </w:p>
        </w:tc>
        <w:tc>
          <w:tcPr>
            <w:tcW w:w="3185" w:type="dxa"/>
            <w:vMerge w:val="continue"/>
          </w:tcPr>
          <w:p>
            <w:pPr>
              <w:spacing w:line="360" w:lineRule="auto"/>
              <w:ind w:left="423"/>
              <w:jc w:val="center"/>
              <w:rPr>
                <w:sz w:val="24"/>
              </w:rPr>
            </w:pPr>
          </w:p>
        </w:tc>
        <w:tc>
          <w:tcPr>
            <w:tcW w:w="2131" w:type="dxa"/>
          </w:tcPr>
          <w:p>
            <w:pPr>
              <w:spacing w:line="360" w:lineRule="auto"/>
              <w:ind w:left="423"/>
              <w:jc w:val="center"/>
              <w:rPr>
                <w:sz w:val="24"/>
              </w:rPr>
            </w:pPr>
            <w:r>
              <w:rPr>
                <w:rFonts w:hint="eastAsia"/>
                <w:sz w:val="24"/>
              </w:rPr>
              <w:t>印刷</w:t>
            </w:r>
          </w:p>
        </w:tc>
        <w:tc>
          <w:tcPr>
            <w:tcW w:w="2131" w:type="dxa"/>
          </w:tcPr>
          <w:p>
            <w:pPr>
              <w:spacing w:line="360" w:lineRule="auto"/>
              <w:ind w:left="423"/>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5" w:type="dxa"/>
          </w:tcPr>
          <w:p>
            <w:pPr>
              <w:spacing w:line="360" w:lineRule="auto"/>
              <w:ind w:left="423"/>
              <w:jc w:val="center"/>
              <w:rPr>
                <w:sz w:val="24"/>
              </w:rPr>
            </w:pPr>
            <w:r>
              <w:rPr>
                <w:rFonts w:hint="eastAsia"/>
                <w:sz w:val="24"/>
              </w:rPr>
              <w:t>8</w:t>
            </w:r>
          </w:p>
        </w:tc>
        <w:tc>
          <w:tcPr>
            <w:tcW w:w="3185" w:type="dxa"/>
            <w:vMerge w:val="continue"/>
          </w:tcPr>
          <w:p>
            <w:pPr>
              <w:spacing w:line="360" w:lineRule="auto"/>
              <w:ind w:left="423"/>
              <w:jc w:val="center"/>
              <w:rPr>
                <w:sz w:val="24"/>
              </w:rPr>
            </w:pPr>
          </w:p>
        </w:tc>
        <w:tc>
          <w:tcPr>
            <w:tcW w:w="2131" w:type="dxa"/>
          </w:tcPr>
          <w:p>
            <w:pPr>
              <w:spacing w:line="360" w:lineRule="auto"/>
              <w:ind w:left="423"/>
              <w:jc w:val="center"/>
              <w:rPr>
                <w:sz w:val="24"/>
              </w:rPr>
            </w:pPr>
            <w:r>
              <w:rPr>
                <w:rFonts w:hint="eastAsia"/>
                <w:sz w:val="24"/>
              </w:rPr>
              <w:t>封面设计</w:t>
            </w:r>
          </w:p>
        </w:tc>
        <w:tc>
          <w:tcPr>
            <w:tcW w:w="2131" w:type="dxa"/>
          </w:tcPr>
          <w:p>
            <w:pPr>
              <w:spacing w:line="360" w:lineRule="auto"/>
              <w:ind w:left="423"/>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5" w:type="dxa"/>
          </w:tcPr>
          <w:p>
            <w:pPr>
              <w:spacing w:line="360" w:lineRule="auto"/>
              <w:ind w:left="423"/>
              <w:jc w:val="center"/>
              <w:rPr>
                <w:sz w:val="24"/>
              </w:rPr>
            </w:pPr>
            <w:r>
              <w:rPr>
                <w:rFonts w:hint="eastAsia"/>
                <w:sz w:val="24"/>
              </w:rPr>
              <w:t>9</w:t>
            </w:r>
          </w:p>
        </w:tc>
        <w:tc>
          <w:tcPr>
            <w:tcW w:w="3185" w:type="dxa"/>
            <w:vMerge w:val="continue"/>
          </w:tcPr>
          <w:p>
            <w:pPr>
              <w:spacing w:line="360" w:lineRule="auto"/>
              <w:ind w:left="423"/>
              <w:jc w:val="center"/>
              <w:rPr>
                <w:sz w:val="24"/>
              </w:rPr>
            </w:pPr>
          </w:p>
        </w:tc>
        <w:tc>
          <w:tcPr>
            <w:tcW w:w="2131" w:type="dxa"/>
          </w:tcPr>
          <w:p>
            <w:pPr>
              <w:spacing w:line="360" w:lineRule="auto"/>
              <w:ind w:left="423"/>
              <w:jc w:val="center"/>
              <w:rPr>
                <w:sz w:val="24"/>
              </w:rPr>
            </w:pPr>
            <w:r>
              <w:rPr>
                <w:rFonts w:hint="eastAsia"/>
                <w:sz w:val="24"/>
              </w:rPr>
              <w:t>交通运输</w:t>
            </w:r>
          </w:p>
        </w:tc>
        <w:tc>
          <w:tcPr>
            <w:tcW w:w="2131" w:type="dxa"/>
          </w:tcPr>
          <w:p>
            <w:pPr>
              <w:spacing w:line="360" w:lineRule="auto"/>
              <w:ind w:left="423"/>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91" w:type="dxa"/>
            <w:gridSpan w:val="3"/>
          </w:tcPr>
          <w:p>
            <w:pPr>
              <w:spacing w:line="360" w:lineRule="auto"/>
              <w:ind w:left="423" w:firstLine="241" w:firstLineChars="100"/>
              <w:rPr>
                <w:sz w:val="24"/>
              </w:rPr>
            </w:pPr>
            <w:r>
              <w:rPr>
                <w:rFonts w:hint="eastAsia"/>
                <w:sz w:val="24"/>
              </w:rPr>
              <w:t>合计（大小写）</w:t>
            </w:r>
          </w:p>
        </w:tc>
        <w:tc>
          <w:tcPr>
            <w:tcW w:w="2131" w:type="dxa"/>
          </w:tcPr>
          <w:p>
            <w:pPr>
              <w:spacing w:line="360" w:lineRule="auto"/>
              <w:ind w:left="423"/>
              <w:jc w:val="center"/>
              <w:rPr>
                <w:sz w:val="24"/>
              </w:rPr>
            </w:pPr>
          </w:p>
        </w:tc>
      </w:tr>
    </w:tbl>
    <w:p>
      <w:pPr>
        <w:spacing w:line="360" w:lineRule="auto"/>
        <w:ind w:firstLine="241" w:firstLineChars="100"/>
        <w:rPr>
          <w:sz w:val="24"/>
        </w:rPr>
      </w:pPr>
      <w:r>
        <w:rPr>
          <w:rFonts w:hint="eastAsia"/>
          <w:sz w:val="24"/>
        </w:rPr>
        <w:t xml:space="preserve">  </w:t>
      </w:r>
    </w:p>
    <w:p>
      <w:pPr>
        <w:spacing w:line="360" w:lineRule="auto"/>
        <w:ind w:firstLine="482" w:firstLineChars="200"/>
        <w:rPr>
          <w:b/>
          <w:bCs/>
          <w:sz w:val="24"/>
        </w:rPr>
      </w:pPr>
      <w:r>
        <w:rPr>
          <w:rFonts w:hint="eastAsia"/>
          <w:b/>
          <w:bCs/>
          <w:sz w:val="24"/>
        </w:rPr>
        <w:t>第三条合同价款</w:t>
      </w:r>
    </w:p>
    <w:p>
      <w:pPr>
        <w:spacing w:line="360" w:lineRule="auto"/>
        <w:ind w:firstLine="482" w:firstLineChars="200"/>
        <w:rPr>
          <w:sz w:val="24"/>
        </w:rPr>
      </w:pPr>
      <w:r>
        <w:rPr>
          <w:rFonts w:hint="eastAsia"/>
          <w:sz w:val="24"/>
        </w:rPr>
        <w:t>本合同项下服务总价为　　　　元人民币，　　　大写。</w:t>
      </w:r>
    </w:p>
    <w:p>
      <w:pPr>
        <w:spacing w:line="360" w:lineRule="auto"/>
        <w:ind w:firstLine="482" w:firstLineChars="200"/>
        <w:rPr>
          <w:b/>
          <w:bCs/>
          <w:sz w:val="24"/>
        </w:rPr>
      </w:pPr>
      <w:r>
        <w:rPr>
          <w:rFonts w:hint="eastAsia"/>
          <w:b/>
          <w:bCs/>
          <w:sz w:val="24"/>
        </w:rPr>
        <w:t>第四条服务地点、期限</w:t>
      </w:r>
    </w:p>
    <w:p>
      <w:pPr>
        <w:spacing w:line="360" w:lineRule="auto"/>
        <w:ind w:firstLine="482" w:firstLineChars="200"/>
        <w:rPr>
          <w:sz w:val="24"/>
        </w:rPr>
      </w:pPr>
      <w:r>
        <w:rPr>
          <w:rFonts w:hint="eastAsia"/>
          <w:sz w:val="24"/>
        </w:rPr>
        <w:t>（一）服务地点：</w:t>
      </w:r>
    </w:p>
    <w:p>
      <w:pPr>
        <w:spacing w:line="360" w:lineRule="auto"/>
        <w:ind w:firstLine="482" w:firstLineChars="200"/>
        <w:rPr>
          <w:sz w:val="24"/>
        </w:rPr>
      </w:pPr>
      <w:r>
        <w:rPr>
          <w:rFonts w:hint="eastAsia"/>
          <w:sz w:val="24"/>
        </w:rPr>
        <w:t>（二）服务时间：本合同服务期为  年，自    年    月    日起至  年  月  日止。</w:t>
      </w:r>
    </w:p>
    <w:p>
      <w:pPr>
        <w:spacing w:line="360" w:lineRule="auto"/>
        <w:ind w:firstLine="482" w:firstLineChars="200"/>
        <w:rPr>
          <w:sz w:val="24"/>
        </w:rPr>
      </w:pPr>
      <w:r>
        <w:rPr>
          <w:rFonts w:hint="eastAsia"/>
          <w:sz w:val="24"/>
        </w:rPr>
        <w:t>（三）如甲方希望乙方提前或延后服务，应在约定的完成或交付日期前10天书面通知乙方。</w:t>
      </w:r>
    </w:p>
    <w:p>
      <w:pPr>
        <w:spacing w:line="360" w:lineRule="auto"/>
        <w:ind w:firstLine="482" w:firstLineChars="200"/>
        <w:rPr>
          <w:b/>
          <w:bCs/>
          <w:sz w:val="24"/>
        </w:rPr>
      </w:pPr>
      <w:r>
        <w:rPr>
          <w:rFonts w:hint="eastAsia"/>
          <w:b/>
          <w:bCs/>
          <w:sz w:val="24"/>
        </w:rPr>
        <w:t>第五条知识产权</w:t>
      </w:r>
    </w:p>
    <w:p>
      <w:pPr>
        <w:spacing w:line="360" w:lineRule="auto"/>
        <w:ind w:firstLine="482" w:firstLineChars="200"/>
        <w:rPr>
          <w:sz w:val="24"/>
        </w:rPr>
      </w:pPr>
      <w:r>
        <w:rPr>
          <w:rFonts w:hint="eastAsia"/>
          <w:sz w:val="24"/>
        </w:rPr>
        <w:t>版权归采购人所有。</w:t>
      </w:r>
    </w:p>
    <w:p>
      <w:pPr>
        <w:spacing w:line="360" w:lineRule="auto"/>
        <w:ind w:firstLine="482" w:firstLineChars="200"/>
        <w:rPr>
          <w:b/>
          <w:bCs/>
          <w:sz w:val="24"/>
        </w:rPr>
      </w:pPr>
      <w:r>
        <w:rPr>
          <w:rFonts w:hint="eastAsia"/>
          <w:b/>
          <w:bCs/>
          <w:sz w:val="24"/>
        </w:rPr>
        <w:t>第六条付款方式</w:t>
      </w:r>
    </w:p>
    <w:p>
      <w:pPr>
        <w:spacing w:line="360" w:lineRule="auto"/>
        <w:ind w:firstLine="482" w:firstLineChars="200"/>
        <w:rPr>
          <w:sz w:val="24"/>
        </w:rPr>
      </w:pPr>
      <w:r>
        <w:rPr>
          <w:rFonts w:hint="eastAsia"/>
          <w:sz w:val="24"/>
        </w:rPr>
        <w:t>本项目无预付款，按合同要求完成经采购方验收合格后，在正式印刷前支付一部分款出版经费，保留五万元经费在书全部送达并无问题后支付。</w:t>
      </w:r>
    </w:p>
    <w:p>
      <w:pPr>
        <w:spacing w:line="360" w:lineRule="auto"/>
        <w:ind w:firstLine="482" w:firstLineChars="200"/>
        <w:rPr>
          <w:b/>
          <w:bCs/>
          <w:sz w:val="24"/>
        </w:rPr>
      </w:pPr>
      <w:r>
        <w:rPr>
          <w:rFonts w:hint="eastAsia"/>
          <w:b/>
          <w:bCs/>
          <w:sz w:val="24"/>
        </w:rPr>
        <w:t>第七条验收标准</w:t>
      </w:r>
    </w:p>
    <w:p>
      <w:pPr>
        <w:spacing w:line="360" w:lineRule="auto"/>
        <w:ind w:firstLine="482" w:firstLineChars="200"/>
        <w:rPr>
          <w:sz w:val="24"/>
        </w:rPr>
      </w:pPr>
      <w:r>
        <w:rPr>
          <w:rFonts w:hint="eastAsia"/>
          <w:sz w:val="24"/>
        </w:rPr>
        <w:t>甲方组织人员根据《湖北省县市区地名志编纂规范》要求进行验收。</w:t>
      </w:r>
    </w:p>
    <w:p>
      <w:pPr>
        <w:spacing w:line="360" w:lineRule="auto"/>
        <w:ind w:firstLine="482" w:firstLineChars="200"/>
        <w:rPr>
          <w:sz w:val="24"/>
        </w:rPr>
      </w:pPr>
      <w:r>
        <w:rPr>
          <w:rFonts w:hint="eastAsia"/>
          <w:b/>
          <w:bCs/>
          <w:sz w:val="24"/>
        </w:rPr>
        <w:t>第八条售后服务</w:t>
      </w:r>
    </w:p>
    <w:p>
      <w:pPr>
        <w:spacing w:line="360" w:lineRule="auto"/>
        <w:ind w:firstLine="723" w:firstLineChars="300"/>
        <w:rPr>
          <w:sz w:val="24"/>
        </w:rPr>
      </w:pPr>
      <w:r>
        <w:rPr>
          <w:rFonts w:hint="eastAsia"/>
          <w:sz w:val="24"/>
        </w:rPr>
        <w:t>供应商所承印的著作质量必须满足本次采购要求，实行“三包一免”包换、包退、包赔、免费送货上门服务。</w:t>
      </w:r>
    </w:p>
    <w:p>
      <w:pPr>
        <w:spacing w:line="360" w:lineRule="auto"/>
        <w:ind w:firstLine="482" w:firstLineChars="200"/>
        <w:rPr>
          <w:b/>
          <w:bCs/>
          <w:sz w:val="24"/>
        </w:rPr>
      </w:pPr>
      <w:r>
        <w:rPr>
          <w:rFonts w:hint="eastAsia"/>
          <w:b/>
          <w:bCs/>
          <w:sz w:val="24"/>
        </w:rPr>
        <w:t>第九条违约责任</w:t>
      </w:r>
    </w:p>
    <w:p>
      <w:pPr>
        <w:spacing w:line="360" w:lineRule="auto"/>
        <w:ind w:firstLine="482" w:firstLineChars="200"/>
        <w:rPr>
          <w:sz w:val="24"/>
        </w:rPr>
      </w:pPr>
      <w:r>
        <w:rPr>
          <w:rFonts w:hint="eastAsia"/>
          <w:sz w:val="24"/>
        </w:rPr>
        <w:t>（一）甲乙双方不履行合同义务或者履行合同义务不符合约定的，都应当承担继续履行、采取补救措施或者赔偿损失等违约责任。</w:t>
      </w:r>
    </w:p>
    <w:p>
      <w:pPr>
        <w:spacing w:line="360" w:lineRule="auto"/>
        <w:ind w:firstLine="482" w:firstLineChars="200"/>
        <w:rPr>
          <w:sz w:val="24"/>
        </w:rPr>
      </w:pPr>
      <w:r>
        <w:rPr>
          <w:rFonts w:hint="eastAsia"/>
          <w:sz w:val="24"/>
        </w:rPr>
        <w:t>（二）如乙方不能按期完成，除经甲方认可的不可抗拒原因外，交货日期每延长一天，甲方按合同总金额的3‰按日收取乙方延迟交货违约金，违约金最高不超过合同总金额5%。</w:t>
      </w:r>
    </w:p>
    <w:p>
      <w:pPr>
        <w:spacing w:line="360" w:lineRule="auto"/>
        <w:ind w:firstLine="482" w:firstLineChars="200"/>
        <w:rPr>
          <w:sz w:val="24"/>
        </w:rPr>
      </w:pPr>
      <w:r>
        <w:rPr>
          <w:rFonts w:hint="eastAsia"/>
          <w:sz w:val="24"/>
        </w:rPr>
        <w:t>（三）由于乙方原因不能按照约定完成的，在甲方通知后15日内乙方仍未履行或采取补救措施的，甲方有权终止合同，乙方应向甲方支付合同总金额的10%的违约金。</w:t>
      </w:r>
    </w:p>
    <w:p>
      <w:pPr>
        <w:spacing w:line="360" w:lineRule="auto"/>
        <w:ind w:firstLine="482" w:firstLineChars="200"/>
        <w:rPr>
          <w:sz w:val="24"/>
        </w:rPr>
      </w:pPr>
      <w:r>
        <w:rPr>
          <w:rFonts w:hint="eastAsia"/>
          <w:sz w:val="24"/>
        </w:rPr>
        <w:t>（四）甲方无正当理由延期付款，每延长一天，按未付金额的3‰支付乙方违约金，违约金最多不超过合同总金额的5%。</w:t>
      </w:r>
    </w:p>
    <w:p>
      <w:pPr>
        <w:spacing w:line="360" w:lineRule="auto"/>
        <w:ind w:firstLine="482" w:firstLineChars="200"/>
        <w:rPr>
          <w:sz w:val="24"/>
        </w:rPr>
      </w:pPr>
      <w:r>
        <w:rPr>
          <w:rFonts w:hint="eastAsia"/>
          <w:sz w:val="24"/>
        </w:rPr>
        <w:t>（五）其它违约责任按《中华人民共和国合同法》处理。</w:t>
      </w:r>
    </w:p>
    <w:p>
      <w:pPr>
        <w:spacing w:line="360" w:lineRule="auto"/>
        <w:ind w:firstLine="482" w:firstLineChars="200"/>
        <w:rPr>
          <w:b/>
          <w:bCs/>
          <w:sz w:val="24"/>
        </w:rPr>
      </w:pPr>
      <w:r>
        <w:rPr>
          <w:rFonts w:hint="eastAsia"/>
          <w:b/>
          <w:bCs/>
          <w:sz w:val="24"/>
        </w:rPr>
        <w:t>第十条不可抗力</w:t>
      </w:r>
    </w:p>
    <w:p>
      <w:pPr>
        <w:spacing w:line="360" w:lineRule="auto"/>
        <w:rPr>
          <w:sz w:val="24"/>
        </w:rPr>
      </w:pPr>
      <w:r>
        <w:rPr>
          <w:rFonts w:hint="eastAsia"/>
          <w:sz w:val="24"/>
        </w:rPr>
        <w:t xml:space="preserve">    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pPr>
        <w:spacing w:line="360" w:lineRule="auto"/>
        <w:rPr>
          <w:sz w:val="24"/>
        </w:rPr>
      </w:pPr>
      <w:r>
        <w:rPr>
          <w:rFonts w:hint="eastAsia"/>
          <w:sz w:val="24"/>
        </w:rPr>
        <w:t xml:space="preserve">   </w:t>
      </w:r>
      <w:r>
        <w:rPr>
          <w:rFonts w:hint="eastAsia"/>
          <w:b/>
          <w:bCs/>
          <w:sz w:val="24"/>
        </w:rPr>
        <w:t xml:space="preserve"> 第十一条争议解决</w:t>
      </w:r>
    </w:p>
    <w:p>
      <w:pPr>
        <w:spacing w:line="360" w:lineRule="auto"/>
        <w:rPr>
          <w:sz w:val="24"/>
        </w:rPr>
      </w:pPr>
      <w:r>
        <w:rPr>
          <w:rFonts w:hint="eastAsia"/>
          <w:sz w:val="24"/>
        </w:rPr>
        <w:t xml:space="preserve">    （一）因服务的质量问题发生争议的，由甲方属地技术监督部门进行质量鉴定。服务符合质量标准的，鉴定费由甲方承担，服务不符合质量标准的，鉴定费由乙方承担。</w:t>
      </w:r>
    </w:p>
    <w:p>
      <w:pPr>
        <w:spacing w:line="360" w:lineRule="auto"/>
        <w:rPr>
          <w:sz w:val="24"/>
        </w:rPr>
      </w:pPr>
      <w:r>
        <w:rPr>
          <w:rFonts w:hint="eastAsia"/>
          <w:sz w:val="24"/>
        </w:rPr>
        <w:t xml:space="preserve">    （二）因履行本合同引起的争议，甲、乙双方应首先通过协商解决，协商无法解决的，双方同意提交甲方所在地法院以诉讼方式解决。</w:t>
      </w:r>
    </w:p>
    <w:p>
      <w:pPr>
        <w:spacing w:line="360" w:lineRule="auto"/>
        <w:ind w:firstLine="482" w:firstLineChars="200"/>
        <w:rPr>
          <w:sz w:val="24"/>
        </w:rPr>
      </w:pPr>
      <w:r>
        <w:rPr>
          <w:rFonts w:hint="eastAsia"/>
          <w:b/>
          <w:bCs/>
          <w:sz w:val="24"/>
        </w:rPr>
        <w:t>第十二条附则</w:t>
      </w:r>
    </w:p>
    <w:p>
      <w:pPr>
        <w:spacing w:line="360" w:lineRule="auto"/>
        <w:rPr>
          <w:sz w:val="24"/>
        </w:rPr>
      </w:pPr>
      <w:r>
        <w:rPr>
          <w:rFonts w:hint="eastAsia"/>
          <w:sz w:val="24"/>
        </w:rPr>
        <w:t xml:space="preserve">    （一）本合同未尽事宜，可由甲乙双方协商一致后订立补充协议，补充协议与本合同具有同等的法律效力。</w:t>
      </w:r>
    </w:p>
    <w:p>
      <w:pPr>
        <w:spacing w:line="360" w:lineRule="auto"/>
        <w:rPr>
          <w:sz w:val="24"/>
        </w:rPr>
      </w:pPr>
      <w:r>
        <w:rPr>
          <w:rFonts w:hint="eastAsia"/>
          <w:sz w:val="24"/>
        </w:rPr>
        <w:t xml:space="preserve">    （二）本项目的成交通知书、响应文件、采购文件与本合同具有同等的法律效力。</w:t>
      </w:r>
    </w:p>
    <w:p>
      <w:pPr>
        <w:spacing w:line="360" w:lineRule="auto"/>
        <w:rPr>
          <w:sz w:val="24"/>
        </w:rPr>
      </w:pPr>
      <w:r>
        <w:rPr>
          <w:rFonts w:hint="eastAsia"/>
          <w:sz w:val="24"/>
        </w:rPr>
        <w:t xml:space="preserve">    （三）本合同经双方法定代表人或授权代表签字并加盖公章后生效。</w:t>
      </w:r>
    </w:p>
    <w:p>
      <w:pPr>
        <w:spacing w:line="360" w:lineRule="auto"/>
        <w:rPr>
          <w:sz w:val="24"/>
        </w:rPr>
      </w:pPr>
      <w:r>
        <w:rPr>
          <w:rFonts w:hint="eastAsia"/>
          <w:sz w:val="24"/>
        </w:rPr>
        <w:t xml:space="preserve">    （四）本合同壹式伍份，甲方持肆份，乙方持壹份，每份均具同等法律效力。</w:t>
      </w:r>
    </w:p>
    <w:p>
      <w:pPr>
        <w:spacing w:line="360" w:lineRule="auto"/>
        <w:rPr>
          <w:sz w:val="24"/>
        </w:rPr>
      </w:pPr>
    </w:p>
    <w:p>
      <w:pPr>
        <w:spacing w:line="360" w:lineRule="auto"/>
        <w:rPr>
          <w:sz w:val="24"/>
        </w:rPr>
      </w:pPr>
      <w:r>
        <w:rPr>
          <w:rFonts w:hint="eastAsia"/>
          <w:sz w:val="24"/>
        </w:rPr>
        <w:t>甲方（盖章）：                             乙方（盖章）：</w:t>
      </w:r>
    </w:p>
    <w:p>
      <w:pPr>
        <w:spacing w:line="360" w:lineRule="auto"/>
        <w:rPr>
          <w:sz w:val="24"/>
        </w:rPr>
      </w:pPr>
    </w:p>
    <w:p>
      <w:pPr>
        <w:spacing w:line="360" w:lineRule="auto"/>
        <w:rPr>
          <w:sz w:val="24"/>
        </w:rPr>
      </w:pPr>
      <w:r>
        <w:rPr>
          <w:rFonts w:hint="eastAsia"/>
          <w:sz w:val="24"/>
        </w:rPr>
        <w:t>法定代表人或授权代表（签字）                法定代表人或授权代表（签字）</w:t>
      </w:r>
    </w:p>
    <w:p>
      <w:pPr>
        <w:spacing w:line="360" w:lineRule="auto"/>
        <w:rPr>
          <w:sz w:val="24"/>
        </w:rPr>
      </w:pPr>
    </w:p>
    <w:p>
      <w:pPr>
        <w:spacing w:line="360" w:lineRule="auto"/>
        <w:rPr>
          <w:sz w:val="24"/>
        </w:rPr>
      </w:pPr>
      <w:r>
        <w:rPr>
          <w:rFonts w:hint="eastAsia"/>
          <w:sz w:val="24"/>
        </w:rPr>
        <w:t>联系人电话：                               联系人电话：</w:t>
      </w:r>
    </w:p>
    <w:p>
      <w:pPr>
        <w:spacing w:line="360" w:lineRule="auto"/>
        <w:rPr>
          <w:sz w:val="24"/>
        </w:rPr>
      </w:pPr>
    </w:p>
    <w:p>
      <w:pPr>
        <w:spacing w:line="360" w:lineRule="auto"/>
        <w:rPr>
          <w:sz w:val="24"/>
        </w:rPr>
      </w:pPr>
      <w:r>
        <w:rPr>
          <w:rFonts w:hint="eastAsia"/>
          <w:sz w:val="24"/>
        </w:rPr>
        <w:t>联系地址：                                 联系地址：</w:t>
      </w:r>
    </w:p>
    <w:p>
      <w:pPr>
        <w:spacing w:line="360" w:lineRule="auto"/>
        <w:rPr>
          <w:sz w:val="24"/>
        </w:rPr>
      </w:pPr>
    </w:p>
    <w:p>
      <w:pPr>
        <w:spacing w:line="360" w:lineRule="auto"/>
        <w:rPr>
          <w:sz w:val="24"/>
        </w:rPr>
      </w:pPr>
      <w:r>
        <w:rPr>
          <w:rFonts w:hint="eastAsia"/>
          <w:sz w:val="24"/>
        </w:rPr>
        <w:t>邮政编码：                                 邮政编码：</w:t>
      </w:r>
    </w:p>
    <w:p>
      <w:pPr>
        <w:spacing w:line="360" w:lineRule="auto"/>
        <w:rPr>
          <w:sz w:val="24"/>
        </w:rPr>
      </w:pPr>
    </w:p>
    <w:p>
      <w:pPr>
        <w:spacing w:line="360" w:lineRule="auto"/>
        <w:rPr>
          <w:sz w:val="24"/>
        </w:rPr>
      </w:pPr>
      <w:r>
        <w:rPr>
          <w:rFonts w:hint="eastAsia"/>
          <w:sz w:val="24"/>
        </w:rPr>
        <w:t>日期：   年   月   日                      日期：   年   月   日</w:t>
      </w:r>
    </w:p>
    <w:p>
      <w:pPr>
        <w:spacing w:line="360" w:lineRule="auto"/>
      </w:pPr>
    </w:p>
    <w:p>
      <w:pPr>
        <w:spacing w:line="360" w:lineRule="auto"/>
        <w:rPr>
          <w:sz w:val="15"/>
          <w:szCs w:val="15"/>
        </w:rPr>
      </w:pPr>
    </w:p>
    <w:p>
      <w:pPr>
        <w:pStyle w:val="2"/>
        <w:rPr>
          <w:sz w:val="15"/>
          <w:szCs w:val="15"/>
        </w:rPr>
      </w:pPr>
    </w:p>
    <w:p>
      <w:pPr>
        <w:pStyle w:val="2"/>
        <w:rPr>
          <w:sz w:val="15"/>
          <w:szCs w:val="15"/>
        </w:rPr>
      </w:pPr>
    </w:p>
    <w:p>
      <w:pPr>
        <w:pStyle w:val="2"/>
        <w:rPr>
          <w:sz w:val="15"/>
          <w:szCs w:val="15"/>
        </w:rPr>
      </w:pPr>
    </w:p>
    <w:p>
      <w:pPr>
        <w:pStyle w:val="2"/>
        <w:rPr>
          <w:sz w:val="15"/>
          <w:szCs w:val="15"/>
        </w:rPr>
      </w:pPr>
    </w:p>
    <w:p>
      <w:pPr>
        <w:pStyle w:val="4"/>
        <w:numPr>
          <w:ilvl w:val="0"/>
          <w:numId w:val="2"/>
        </w:numPr>
        <w:jc w:val="center"/>
        <w:rPr>
          <w:rFonts w:ascii="黑体" w:hAnsi="黑体" w:eastAsia="黑体"/>
        </w:rPr>
      </w:pPr>
      <w:bookmarkStart w:id="78" w:name="_Toc494702264"/>
      <w:bookmarkStart w:id="79" w:name="_Toc494664994"/>
      <w:bookmarkStart w:id="80" w:name="_Toc494721094"/>
      <w:bookmarkStart w:id="81" w:name="_Toc494745311"/>
      <w:bookmarkStart w:id="82" w:name="_Toc494665547"/>
      <w:bookmarkStart w:id="83" w:name="_Toc494665944"/>
      <w:bookmarkStart w:id="84" w:name="_Toc12754"/>
      <w:r>
        <w:rPr>
          <w:rFonts w:hint="eastAsia" w:ascii="黑体" w:hAnsi="黑体" w:eastAsia="黑体"/>
        </w:rPr>
        <w:t>投标文件格式（参考）</w:t>
      </w:r>
      <w:bookmarkEnd w:id="78"/>
      <w:bookmarkEnd w:id="79"/>
      <w:bookmarkEnd w:id="80"/>
      <w:bookmarkEnd w:id="81"/>
      <w:bookmarkEnd w:id="82"/>
      <w:bookmarkEnd w:id="83"/>
      <w:bookmarkEnd w:id="84"/>
    </w:p>
    <w:p>
      <w:pPr>
        <w:spacing w:afterLines="250"/>
        <w:jc w:val="center"/>
        <w:rPr>
          <w:rFonts w:ascii="黑体" w:hAnsi="黑体" w:eastAsia="黑体"/>
          <w:b/>
          <w:sz w:val="96"/>
          <w:szCs w:val="96"/>
        </w:rPr>
      </w:pPr>
      <w:r>
        <w:rPr>
          <w:rFonts w:hint="eastAsia" w:ascii="黑体" w:hAnsi="黑体" w:eastAsia="黑体"/>
          <w:b/>
          <w:sz w:val="96"/>
          <w:szCs w:val="96"/>
        </w:rPr>
        <w:t>政府采购项目</w:t>
      </w:r>
    </w:p>
    <w:p>
      <w:pPr>
        <w:spacing w:afterLines="200"/>
        <w:jc w:val="center"/>
        <w:rPr>
          <w:rFonts w:ascii="黑体" w:hAnsi="黑体" w:eastAsia="黑体"/>
          <w:b/>
          <w:sz w:val="72"/>
          <w:szCs w:val="72"/>
        </w:rPr>
      </w:pPr>
      <w:r>
        <w:rPr>
          <w:rFonts w:hint="eastAsia" w:ascii="黑体" w:hAnsi="黑体" w:eastAsia="黑体"/>
          <w:b/>
          <w:sz w:val="72"/>
          <w:szCs w:val="72"/>
        </w:rPr>
        <w:t>投 标 文 件</w:t>
      </w:r>
    </w:p>
    <w:p>
      <w:pPr>
        <w:pStyle w:val="5"/>
        <w:spacing w:before="340" w:after="480" w:line="360" w:lineRule="auto"/>
        <w:jc w:val="center"/>
        <w:rPr>
          <w:rFonts w:cs="Times New Roman" w:asciiTheme="majorEastAsia" w:hAnsiTheme="majorEastAsia"/>
          <w:bCs w:val="0"/>
          <w:sz w:val="44"/>
          <w:szCs w:val="44"/>
          <w:lang w:val="zh-CN"/>
        </w:rPr>
      </w:pPr>
      <w:bookmarkStart w:id="85" w:name="_Toc494745312"/>
      <w:bookmarkStart w:id="86" w:name="_Toc494702265"/>
      <w:bookmarkStart w:id="87" w:name="_Toc494665945"/>
      <w:bookmarkStart w:id="88" w:name="_Toc494721095"/>
      <w:bookmarkStart w:id="89" w:name="_Toc494664995"/>
      <w:bookmarkStart w:id="90" w:name="_Toc494665548"/>
      <w:bookmarkStart w:id="91" w:name="_Toc5347"/>
      <w:r>
        <w:rPr>
          <w:rFonts w:hint="eastAsia" w:cs="Times New Roman" w:asciiTheme="majorEastAsia" w:hAnsiTheme="majorEastAsia"/>
          <w:bCs w:val="0"/>
          <w:sz w:val="44"/>
          <w:szCs w:val="44"/>
          <w:lang w:val="zh-CN"/>
        </w:rPr>
        <w:t>第一部分 资格证明文件</w:t>
      </w:r>
      <w:bookmarkEnd w:id="85"/>
      <w:bookmarkEnd w:id="86"/>
      <w:bookmarkEnd w:id="87"/>
      <w:bookmarkEnd w:id="88"/>
      <w:bookmarkEnd w:id="89"/>
      <w:bookmarkEnd w:id="90"/>
      <w:bookmarkEnd w:id="91"/>
    </w:p>
    <w:p>
      <w:pPr>
        <w:spacing w:line="360" w:lineRule="auto"/>
        <w:ind w:left="2060" w:leftChars="619" w:right="1306" w:rightChars="619" w:hanging="754" w:hangingChars="209"/>
        <w:rPr>
          <w:rFonts w:cs="Times New Roman" w:asciiTheme="minorEastAsia" w:hAnsiTheme="minorEastAsia"/>
          <w:bCs/>
          <w:sz w:val="36"/>
          <w:szCs w:val="24"/>
        </w:rPr>
      </w:pPr>
      <w:r>
        <w:rPr>
          <w:rFonts w:hint="eastAsia" w:cs="Times New Roman" w:asciiTheme="minorEastAsia" w:hAnsiTheme="minorEastAsia"/>
          <w:b/>
          <w:bCs/>
          <w:sz w:val="36"/>
          <w:szCs w:val="24"/>
        </w:rPr>
        <w:t>项目编号：</w:t>
      </w:r>
    </w:p>
    <w:p>
      <w:pPr>
        <w:spacing w:line="360" w:lineRule="auto"/>
        <w:ind w:left="2060" w:leftChars="619" w:right="1306" w:rightChars="619" w:hanging="754" w:hangingChars="209"/>
        <w:rPr>
          <w:rFonts w:cs="Times New Roman" w:asciiTheme="minorEastAsia" w:hAnsiTheme="minorEastAsia"/>
          <w:bCs/>
          <w:sz w:val="36"/>
          <w:szCs w:val="24"/>
          <w:lang w:val="zh-CN"/>
        </w:rPr>
      </w:pPr>
      <w:r>
        <w:rPr>
          <w:rFonts w:hint="eastAsia" w:cs="Times New Roman" w:asciiTheme="minorEastAsia" w:hAnsiTheme="minorEastAsia"/>
          <w:b/>
          <w:bCs/>
          <w:sz w:val="36"/>
          <w:szCs w:val="24"/>
        </w:rPr>
        <w:t>项目名称：</w:t>
      </w:r>
    </w:p>
    <w:p>
      <w:pPr>
        <w:spacing w:line="360" w:lineRule="auto"/>
        <w:ind w:left="2060" w:leftChars="619" w:right="1306" w:rightChars="619" w:hanging="754" w:hangingChars="209"/>
        <w:rPr>
          <w:rFonts w:cs="Times New Roman" w:asciiTheme="minorEastAsia" w:hAnsiTheme="minorEastAsia"/>
          <w:sz w:val="36"/>
          <w:szCs w:val="36"/>
        </w:rPr>
      </w:pPr>
      <w:r>
        <w:rPr>
          <w:rFonts w:hint="eastAsia" w:cs="Times New Roman" w:asciiTheme="minorEastAsia" w:hAnsiTheme="minorEastAsia"/>
          <w:b/>
          <w:bCs/>
          <w:sz w:val="36"/>
          <w:szCs w:val="24"/>
        </w:rPr>
        <w:t>招标内容：</w:t>
      </w:r>
    </w:p>
    <w:p>
      <w:pPr>
        <w:spacing w:afterLines="500" w:line="360" w:lineRule="auto"/>
        <w:ind w:left="2353" w:leftChars="271" w:right="571" w:rightChars="271" w:hanging="1782" w:hangingChars="494"/>
        <w:jc w:val="center"/>
        <w:rPr>
          <w:rFonts w:ascii="宋体" w:hAnsi="宋体" w:eastAsia="宋体" w:cs="Times New Roman"/>
          <w:sz w:val="36"/>
          <w:szCs w:val="36"/>
        </w:rPr>
      </w:pPr>
    </w:p>
    <w:p>
      <w:pPr>
        <w:spacing w:line="360" w:lineRule="auto"/>
        <w:ind w:left="1979" w:leftChars="613" w:right="1293" w:rightChars="613" w:hanging="686" w:hangingChars="214"/>
        <w:rPr>
          <w:rFonts w:cs="Times New Roman" w:asciiTheme="minorEastAsia" w:hAnsiTheme="minorEastAsia"/>
          <w:b/>
          <w:bCs/>
          <w:sz w:val="32"/>
          <w:szCs w:val="32"/>
        </w:rPr>
      </w:pPr>
      <w:r>
        <w:rPr>
          <w:rFonts w:hint="eastAsia" w:cs="Times New Roman" w:asciiTheme="minorEastAsia" w:hAnsiTheme="minorEastAsia"/>
          <w:b/>
          <w:bCs/>
          <w:sz w:val="32"/>
          <w:szCs w:val="32"/>
        </w:rPr>
        <w:t>投标人（盖章）：</w:t>
      </w:r>
    </w:p>
    <w:p>
      <w:pPr>
        <w:spacing w:line="360" w:lineRule="auto"/>
        <w:ind w:left="1979" w:leftChars="613" w:right="1293" w:rightChars="613" w:hanging="686" w:hangingChars="214"/>
        <w:rPr>
          <w:rFonts w:cs="Times New Roman" w:asciiTheme="minorEastAsia" w:hAnsiTheme="minorEastAsia"/>
          <w:b/>
          <w:bCs/>
          <w:sz w:val="32"/>
          <w:szCs w:val="32"/>
        </w:rPr>
      </w:pPr>
      <w:r>
        <w:rPr>
          <w:rFonts w:hint="eastAsia" w:cs="Times New Roman" w:asciiTheme="minorEastAsia" w:hAnsiTheme="minorEastAsia"/>
          <w:b/>
          <w:bCs/>
          <w:sz w:val="32"/>
          <w:szCs w:val="32"/>
        </w:rPr>
        <w:t>投标人授权代表（签字）：</w:t>
      </w:r>
    </w:p>
    <w:p>
      <w:pPr>
        <w:spacing w:beforeLines="100" w:afterLines="100" w:line="360" w:lineRule="auto"/>
        <w:ind w:left="2264" w:leftChars="466" w:right="466" w:hanging="1281" w:hangingChars="355"/>
        <w:jc w:val="center"/>
        <w:rPr>
          <w:rFonts w:ascii="宋体" w:hAnsi="宋体"/>
          <w:b/>
          <w:sz w:val="36"/>
          <w:szCs w:val="36"/>
        </w:rPr>
      </w:pPr>
      <w:r>
        <w:rPr>
          <w:rFonts w:hint="eastAsia" w:ascii="宋体" w:hAnsi="宋体" w:eastAsia="宋体" w:cs="Times New Roman"/>
          <w:b/>
          <w:bCs/>
          <w:sz w:val="36"/>
          <w:szCs w:val="36"/>
        </w:rPr>
        <w:t>二0一</w:t>
      </w:r>
      <w:r>
        <w:rPr>
          <w:rFonts w:hint="eastAsia" w:ascii="宋体" w:hAnsi="宋体"/>
          <w:b/>
          <w:sz w:val="36"/>
          <w:szCs w:val="36"/>
        </w:rPr>
        <w:t xml:space="preserve">  年 月</w:t>
      </w:r>
    </w:p>
    <w:p>
      <w:r>
        <w:br w:type="page"/>
      </w:r>
    </w:p>
    <w:p>
      <w:pPr>
        <w:spacing w:beforeLines="100" w:line="360" w:lineRule="auto"/>
        <w:jc w:val="left"/>
        <w:rPr>
          <w:rFonts w:ascii="宋体" w:hAnsi="宋体" w:eastAsia="宋体" w:cs="Times New Roman"/>
          <w:b/>
          <w:bCs/>
          <w:sz w:val="30"/>
          <w:szCs w:val="30"/>
          <w:lang w:val="zh-CN"/>
        </w:rPr>
      </w:pPr>
      <w:r>
        <w:rPr>
          <w:rFonts w:hint="eastAsia" w:ascii="宋体" w:hAnsi="宋体" w:eastAsia="宋体" w:cs="Times New Roman"/>
          <w:b/>
          <w:bCs/>
          <w:sz w:val="30"/>
          <w:szCs w:val="30"/>
          <w:lang w:val="zh-CN"/>
        </w:rPr>
        <w:t>格式（参考）说明：</w:t>
      </w:r>
    </w:p>
    <w:p>
      <w:pPr>
        <w:spacing w:before="120" w:after="120" w:line="578" w:lineRule="auto"/>
        <w:jc w:val="center"/>
        <w:rPr>
          <w:rFonts w:ascii="黑体" w:hAnsi="黑体" w:eastAsia="黑体" w:cs="Times New Roman"/>
          <w:b/>
          <w:sz w:val="36"/>
          <w:szCs w:val="36"/>
        </w:rPr>
      </w:pPr>
      <w:bookmarkStart w:id="92" w:name="_Toc494665946"/>
      <w:bookmarkStart w:id="93" w:name="_Toc494721096"/>
      <w:bookmarkStart w:id="94" w:name="_Toc494702266"/>
      <w:bookmarkStart w:id="95" w:name="_Toc494665549"/>
      <w:bookmarkStart w:id="96" w:name="_Toc494745313"/>
      <w:bookmarkStart w:id="97" w:name="_Toc494664996"/>
      <w:r>
        <w:rPr>
          <w:rFonts w:hint="eastAsia" w:ascii="黑体" w:hAnsi="黑体" w:eastAsia="黑体" w:cs="Times New Roman"/>
          <w:b/>
          <w:sz w:val="36"/>
          <w:szCs w:val="36"/>
        </w:rPr>
        <w:t>资格证明文件组成</w:t>
      </w:r>
      <w:bookmarkEnd w:id="92"/>
      <w:bookmarkEnd w:id="93"/>
      <w:bookmarkEnd w:id="94"/>
      <w:bookmarkEnd w:id="95"/>
      <w:bookmarkEnd w:id="96"/>
      <w:bookmarkEnd w:id="97"/>
    </w:p>
    <w:p>
      <w:pPr>
        <w:autoSpaceDE w:val="0"/>
        <w:autoSpaceDN w:val="0"/>
        <w:adjustRightInd w:val="0"/>
        <w:spacing w:beforeLines="50" w:afterLines="50" w:line="360" w:lineRule="auto"/>
        <w:ind w:firstLine="482" w:firstLineChars="200"/>
        <w:rPr>
          <w:rFonts w:ascii="宋体" w:hAnsi="宋体" w:eastAsia="宋体" w:cs="Times New Roman"/>
          <w:color w:val="0D0D0D"/>
          <w:kern w:val="0"/>
          <w:sz w:val="24"/>
          <w:szCs w:val="32"/>
        </w:rPr>
      </w:pPr>
      <w:r>
        <w:rPr>
          <w:rFonts w:hint="eastAsia" w:ascii="宋体" w:hAnsi="宋体" w:eastAsia="宋体" w:cs="Times New Roman"/>
          <w:color w:val="0D0D0D"/>
          <w:kern w:val="0"/>
          <w:sz w:val="24"/>
          <w:szCs w:val="32"/>
        </w:rPr>
        <w:t>由各投标人根据参考格式要求自行编写。目录清晰、内容详尽、易于理解和审查。具体内容应包括但不限于以下内容：</w:t>
      </w:r>
    </w:p>
    <w:p>
      <w:pPr>
        <w:numPr>
          <w:ilvl w:val="0"/>
          <w:numId w:val="58"/>
        </w:numPr>
        <w:autoSpaceDE w:val="0"/>
        <w:autoSpaceDN w:val="0"/>
        <w:adjustRightInd w:val="0"/>
        <w:spacing w:line="360" w:lineRule="auto"/>
        <w:ind w:left="490" w:hanging="370"/>
        <w:rPr>
          <w:rFonts w:ascii="宋体" w:hAnsi="宋体" w:eastAsia="宋体" w:cs="Times New Roman"/>
          <w:kern w:val="0"/>
          <w:sz w:val="24"/>
          <w:szCs w:val="32"/>
        </w:rPr>
      </w:pPr>
      <w:r>
        <w:rPr>
          <w:rFonts w:hint="eastAsia" w:ascii="宋体" w:hAnsi="宋体" w:eastAsia="宋体" w:cs="Times New Roman"/>
          <w:kern w:val="0"/>
          <w:sz w:val="24"/>
          <w:szCs w:val="32"/>
        </w:rPr>
        <w:t>资格证明文件目录</w:t>
      </w:r>
      <w:r>
        <w:rPr>
          <w:rFonts w:hint="eastAsia" w:ascii="宋体" w:hAnsi="宋体" w:eastAsia="宋体" w:cs="Times New Roman"/>
          <w:b/>
          <w:kern w:val="0"/>
          <w:sz w:val="24"/>
          <w:szCs w:val="32"/>
        </w:rPr>
        <w:t>（目录应涵盖下述所有资料，页码清晰以便查阅）</w:t>
      </w:r>
      <w:r>
        <w:rPr>
          <w:rFonts w:hint="eastAsia" w:ascii="宋体" w:hAnsi="宋体" w:eastAsia="宋体" w:cs="Times New Roman"/>
          <w:kern w:val="0"/>
          <w:sz w:val="24"/>
          <w:szCs w:val="32"/>
        </w:rPr>
        <w:t>；</w:t>
      </w:r>
    </w:p>
    <w:p>
      <w:pPr>
        <w:numPr>
          <w:ilvl w:val="0"/>
          <w:numId w:val="58"/>
        </w:numPr>
        <w:autoSpaceDE w:val="0"/>
        <w:autoSpaceDN w:val="0"/>
        <w:adjustRightInd w:val="0"/>
        <w:spacing w:line="360" w:lineRule="auto"/>
        <w:ind w:left="490" w:hanging="370"/>
        <w:rPr>
          <w:rFonts w:ascii="宋体" w:hAnsi="宋体" w:eastAsia="宋体" w:cs="Times New Roman"/>
          <w:b/>
          <w:color w:val="0C0C0C" w:themeColor="text1" w:themeTint="F2"/>
          <w:kern w:val="0"/>
          <w:sz w:val="24"/>
          <w:szCs w:val="32"/>
        </w:rPr>
      </w:pPr>
      <w:r>
        <w:rPr>
          <w:rFonts w:hint="eastAsia" w:ascii="宋体" w:hAnsi="宋体"/>
          <w:color w:val="0C0C0C" w:themeColor="text1" w:themeTint="F2"/>
          <w:kern w:val="0"/>
          <w:sz w:val="24"/>
          <w:szCs w:val="32"/>
        </w:rPr>
        <w:t>应具备《政府采购法》第二十二条第一款规定的条件，提供下列材料：</w:t>
      </w:r>
    </w:p>
    <w:p>
      <w:pPr>
        <w:pStyle w:val="37"/>
        <w:numPr>
          <w:ilvl w:val="0"/>
          <w:numId w:val="59"/>
        </w:numPr>
        <w:autoSpaceDE w:val="0"/>
        <w:autoSpaceDN w:val="0"/>
        <w:adjustRightInd w:val="0"/>
        <w:spacing w:line="360" w:lineRule="auto"/>
        <w:ind w:hanging="260" w:firstLineChars="0"/>
        <w:rPr>
          <w:rFonts w:ascii="宋体" w:hAnsi="宋体" w:eastAsia="宋体" w:cs="Times New Roman"/>
          <w:kern w:val="0"/>
          <w:sz w:val="24"/>
          <w:szCs w:val="32"/>
        </w:rPr>
      </w:pPr>
      <w:r>
        <w:rPr>
          <w:rFonts w:hint="eastAsia" w:ascii="宋体" w:hAnsi="宋体" w:eastAsia="宋体" w:cs="Times New Roman"/>
          <w:kern w:val="0"/>
          <w:sz w:val="24"/>
          <w:szCs w:val="32"/>
        </w:rPr>
        <w:t>法人或者其他组织的营业执照等证明文件，自然人的身份证明；</w:t>
      </w:r>
    </w:p>
    <w:p>
      <w:pPr>
        <w:pStyle w:val="37"/>
        <w:numPr>
          <w:ilvl w:val="0"/>
          <w:numId w:val="59"/>
        </w:numPr>
        <w:autoSpaceDE w:val="0"/>
        <w:autoSpaceDN w:val="0"/>
        <w:adjustRightInd w:val="0"/>
        <w:spacing w:line="360" w:lineRule="auto"/>
        <w:ind w:hanging="260" w:firstLineChars="0"/>
        <w:rPr>
          <w:rFonts w:ascii="宋体" w:hAnsi="宋体" w:eastAsia="宋体" w:cs="Times New Roman"/>
          <w:kern w:val="0"/>
          <w:sz w:val="24"/>
          <w:szCs w:val="32"/>
        </w:rPr>
      </w:pPr>
      <w:r>
        <w:rPr>
          <w:rFonts w:hint="eastAsia" w:ascii="宋体" w:hAnsi="宋体" w:eastAsia="宋体" w:cs="Times New Roman"/>
          <w:kern w:val="0"/>
          <w:sz w:val="24"/>
          <w:szCs w:val="32"/>
        </w:rPr>
        <w:t>财务状况报告，依法缴纳税收和社会保障资金的相关材料；</w:t>
      </w:r>
    </w:p>
    <w:p>
      <w:pPr>
        <w:pStyle w:val="37"/>
        <w:numPr>
          <w:ilvl w:val="0"/>
          <w:numId w:val="59"/>
        </w:numPr>
        <w:autoSpaceDE w:val="0"/>
        <w:autoSpaceDN w:val="0"/>
        <w:adjustRightInd w:val="0"/>
        <w:spacing w:line="360" w:lineRule="auto"/>
        <w:ind w:hanging="260" w:firstLineChars="0"/>
        <w:rPr>
          <w:rFonts w:ascii="宋体" w:hAnsi="宋体" w:eastAsia="宋体" w:cs="Times New Roman"/>
          <w:kern w:val="0"/>
          <w:sz w:val="24"/>
          <w:szCs w:val="32"/>
        </w:rPr>
      </w:pPr>
      <w:r>
        <w:rPr>
          <w:rFonts w:hint="eastAsia" w:ascii="宋体" w:hAnsi="宋体" w:eastAsia="宋体" w:cs="Times New Roman"/>
          <w:kern w:val="0"/>
          <w:sz w:val="24"/>
          <w:szCs w:val="32"/>
        </w:rPr>
        <w:t>具备履行合同所必需的设备和专业技术能力的证明材料；</w:t>
      </w:r>
    </w:p>
    <w:p>
      <w:pPr>
        <w:pStyle w:val="37"/>
        <w:numPr>
          <w:ilvl w:val="0"/>
          <w:numId w:val="59"/>
        </w:numPr>
        <w:autoSpaceDE w:val="0"/>
        <w:autoSpaceDN w:val="0"/>
        <w:adjustRightInd w:val="0"/>
        <w:spacing w:line="360" w:lineRule="auto"/>
        <w:ind w:hanging="260" w:firstLineChars="0"/>
        <w:rPr>
          <w:rFonts w:ascii="宋体" w:hAnsi="宋体" w:eastAsia="宋体" w:cs="Times New Roman"/>
          <w:kern w:val="0"/>
          <w:sz w:val="24"/>
          <w:szCs w:val="32"/>
        </w:rPr>
      </w:pPr>
      <w:r>
        <w:rPr>
          <w:rFonts w:hint="eastAsia" w:ascii="宋体" w:hAnsi="宋体" w:eastAsia="宋体" w:cs="Times New Roman"/>
          <w:kern w:val="0"/>
          <w:sz w:val="24"/>
          <w:szCs w:val="32"/>
        </w:rPr>
        <w:t>参加政府采购活动前3年内在经营活动中没有重大违法记录的书面声明；</w:t>
      </w:r>
    </w:p>
    <w:p>
      <w:pPr>
        <w:pStyle w:val="37"/>
        <w:numPr>
          <w:ilvl w:val="0"/>
          <w:numId w:val="59"/>
        </w:numPr>
        <w:autoSpaceDE w:val="0"/>
        <w:autoSpaceDN w:val="0"/>
        <w:adjustRightInd w:val="0"/>
        <w:spacing w:line="360" w:lineRule="auto"/>
        <w:ind w:hanging="260" w:firstLineChars="0"/>
        <w:rPr>
          <w:rFonts w:ascii="宋体" w:hAnsi="宋体" w:eastAsia="宋体" w:cs="Times New Roman"/>
          <w:kern w:val="0"/>
          <w:sz w:val="24"/>
          <w:szCs w:val="32"/>
        </w:rPr>
      </w:pPr>
      <w:r>
        <w:rPr>
          <w:rFonts w:hint="eastAsia" w:ascii="宋体" w:hAnsi="宋体" w:eastAsia="宋体" w:cs="Times New Roman"/>
          <w:kern w:val="0"/>
          <w:sz w:val="24"/>
          <w:szCs w:val="32"/>
        </w:rPr>
        <w:t>具备法律、行政法规规定的其他条件的证明材料；</w:t>
      </w:r>
    </w:p>
    <w:p>
      <w:pPr>
        <w:numPr>
          <w:ilvl w:val="0"/>
          <w:numId w:val="58"/>
        </w:numPr>
        <w:autoSpaceDE w:val="0"/>
        <w:autoSpaceDN w:val="0"/>
        <w:adjustRightInd w:val="0"/>
        <w:spacing w:line="360" w:lineRule="auto"/>
        <w:ind w:left="490" w:hanging="370"/>
        <w:rPr>
          <w:rFonts w:ascii="宋体" w:hAnsi="宋体" w:eastAsia="宋体" w:cs="Courier New"/>
          <w:color w:val="0D0D0D"/>
          <w:sz w:val="24"/>
          <w:szCs w:val="24"/>
        </w:rPr>
      </w:pPr>
      <w:r>
        <w:rPr>
          <w:rFonts w:hint="eastAsia" w:ascii="宋体" w:hAnsi="宋体" w:eastAsia="宋体" w:cs="Courier New"/>
          <w:color w:val="0D0D0D"/>
          <w:sz w:val="24"/>
          <w:szCs w:val="24"/>
        </w:rPr>
        <w:t>未被“信用中国”网站(www.creditchina.gov.cn)列入失信被执行人、重大税收违法案件当事人名单、政府采购严重违法失信行为记录名单的书面申明及该网站查询结果页面截图；</w:t>
      </w:r>
    </w:p>
    <w:p>
      <w:pPr>
        <w:numPr>
          <w:ilvl w:val="0"/>
          <w:numId w:val="58"/>
        </w:numPr>
        <w:autoSpaceDE w:val="0"/>
        <w:autoSpaceDN w:val="0"/>
        <w:adjustRightInd w:val="0"/>
        <w:spacing w:line="360" w:lineRule="auto"/>
        <w:ind w:left="490" w:hanging="370"/>
        <w:rPr>
          <w:rFonts w:ascii="宋体" w:hAnsi="宋体" w:eastAsia="宋体" w:cs="Courier New"/>
          <w:color w:val="0D0D0D"/>
          <w:sz w:val="24"/>
          <w:szCs w:val="24"/>
        </w:rPr>
      </w:pPr>
      <w:r>
        <w:rPr>
          <w:rFonts w:hint="eastAsia" w:ascii="宋体" w:hAnsi="宋体" w:eastAsia="宋体" w:cs="Courier New"/>
          <w:color w:val="0D0D0D"/>
          <w:sz w:val="24"/>
          <w:szCs w:val="24"/>
        </w:rPr>
        <w:t>招标文件第一章“投标人资格要求”中有特殊要求的，投标人应提供其符合特殊要求的证明材料或者情况说明；</w:t>
      </w:r>
    </w:p>
    <w:p>
      <w:pPr>
        <w:numPr>
          <w:ilvl w:val="0"/>
          <w:numId w:val="58"/>
        </w:numPr>
        <w:autoSpaceDE w:val="0"/>
        <w:autoSpaceDN w:val="0"/>
        <w:adjustRightInd w:val="0"/>
        <w:spacing w:line="360" w:lineRule="auto"/>
        <w:ind w:left="490" w:hanging="370"/>
        <w:rPr>
          <w:rFonts w:ascii="宋体" w:hAnsi="宋体" w:eastAsia="宋体" w:cs="Courier New"/>
          <w:sz w:val="24"/>
          <w:szCs w:val="24"/>
        </w:rPr>
      </w:pPr>
      <w:r>
        <w:rPr>
          <w:rFonts w:hint="eastAsia" w:ascii="宋体" w:hAnsi="宋体" w:eastAsia="宋体" w:cs="Courier New"/>
          <w:sz w:val="24"/>
          <w:szCs w:val="24"/>
        </w:rPr>
        <w:t>不符合联合体投标相关规定和要</w:t>
      </w:r>
      <w:r>
        <w:rPr>
          <w:rFonts w:hint="eastAsia" w:ascii="宋体" w:hAnsi="宋体" w:eastAsia="宋体" w:cs="Courier New"/>
          <w:color w:val="0D0D0D"/>
          <w:sz w:val="24"/>
          <w:szCs w:val="24"/>
        </w:rPr>
        <w:t>求的（适用于接受联合体投标的项目）；</w:t>
      </w:r>
    </w:p>
    <w:p>
      <w:pPr>
        <w:numPr>
          <w:ilvl w:val="0"/>
          <w:numId w:val="58"/>
        </w:numPr>
        <w:autoSpaceDE w:val="0"/>
        <w:autoSpaceDN w:val="0"/>
        <w:adjustRightInd w:val="0"/>
        <w:spacing w:line="360" w:lineRule="auto"/>
        <w:ind w:left="490" w:hanging="370"/>
        <w:rPr>
          <w:rFonts w:ascii="宋体" w:hAnsi="宋体" w:eastAsia="宋体" w:cs="Courier New"/>
          <w:color w:val="0D0D0D"/>
          <w:sz w:val="24"/>
          <w:szCs w:val="24"/>
        </w:rPr>
      </w:pPr>
      <w:r>
        <w:rPr>
          <w:rFonts w:hint="eastAsia" w:ascii="宋体" w:hAnsi="宋体" w:eastAsia="宋体" w:cs="Courier New"/>
          <w:color w:val="0D0D0D"/>
          <w:sz w:val="24"/>
          <w:szCs w:val="24"/>
        </w:rPr>
        <w:t>投标人认为需提供的其它相关资格证明材料。</w:t>
      </w:r>
    </w:p>
    <w:p>
      <w:pPr>
        <w:autoSpaceDE w:val="0"/>
        <w:autoSpaceDN w:val="0"/>
        <w:adjustRightInd w:val="0"/>
        <w:spacing w:line="400" w:lineRule="exact"/>
        <w:ind w:left="490"/>
        <w:rPr>
          <w:rFonts w:ascii="Calibri" w:hAnsi="宋体" w:eastAsia="宋体" w:cs="Times New Roman"/>
          <w:color w:val="0D0D0D"/>
          <w:sz w:val="24"/>
          <w:szCs w:val="24"/>
        </w:rPr>
      </w:pPr>
    </w:p>
    <w:p>
      <w:pPr>
        <w:autoSpaceDE w:val="0"/>
        <w:autoSpaceDN w:val="0"/>
        <w:adjustRightInd w:val="0"/>
        <w:spacing w:line="400" w:lineRule="exact"/>
        <w:ind w:left="490"/>
        <w:rPr>
          <w:rFonts w:ascii="Calibri" w:hAnsi="宋体" w:eastAsia="宋体" w:cs="Times New Roman"/>
          <w:color w:val="0D0D0D"/>
          <w:sz w:val="24"/>
          <w:szCs w:val="24"/>
        </w:rPr>
      </w:pPr>
    </w:p>
    <w:p>
      <w:r>
        <w:rPr>
          <w:rFonts w:hint="eastAsia" w:ascii="宋体" w:hAnsi="宋体" w:eastAsia="宋体" w:cs="Times New Roman"/>
          <w:sz w:val="24"/>
          <w:szCs w:val="24"/>
        </w:rPr>
        <w:t>说明：资格证明文件正本应为清晰彩色影印件且加盖单位公章，否则</w:t>
      </w:r>
      <w:r>
        <w:rPr>
          <w:rFonts w:hint="eastAsia" w:ascii="Helvetica" w:hAnsi="Helvetica" w:eastAsia="宋体" w:cs="Helvetica"/>
          <w:kern w:val="0"/>
          <w:sz w:val="24"/>
          <w:szCs w:val="24"/>
        </w:rPr>
        <w:t>按照</w:t>
      </w:r>
      <w:r>
        <w:rPr>
          <w:rFonts w:hint="eastAsia" w:ascii="Helvetica" w:hAnsi="Helvetica" w:eastAsia="宋体" w:cs="Helvetica"/>
          <w:b/>
          <w:kern w:val="0"/>
          <w:sz w:val="24"/>
          <w:szCs w:val="24"/>
        </w:rPr>
        <w:t>无效投标处理</w:t>
      </w:r>
      <w:r>
        <w:rPr>
          <w:rFonts w:hint="eastAsia" w:ascii="宋体" w:hAnsi="宋体" w:eastAsia="宋体" w:cs="Times New Roman"/>
          <w:b/>
          <w:sz w:val="24"/>
          <w:szCs w:val="24"/>
        </w:rPr>
        <w:t>。</w:t>
      </w:r>
    </w:p>
    <w:p>
      <w:r>
        <w:br w:type="page"/>
      </w:r>
    </w:p>
    <w:p>
      <w:pPr>
        <w:spacing w:line="1100" w:lineRule="exact"/>
        <w:jc w:val="center"/>
        <w:rPr>
          <w:rFonts w:ascii="黑体" w:hAnsi="黑体" w:eastAsia="黑体"/>
          <w:b/>
          <w:sz w:val="72"/>
          <w:szCs w:val="72"/>
        </w:rPr>
      </w:pPr>
    </w:p>
    <w:p>
      <w:pPr>
        <w:spacing w:beforeLines="100" w:afterLines="250"/>
        <w:jc w:val="center"/>
        <w:rPr>
          <w:rFonts w:ascii="黑体" w:hAnsi="黑体" w:eastAsia="黑体"/>
          <w:b/>
          <w:sz w:val="96"/>
          <w:szCs w:val="96"/>
        </w:rPr>
      </w:pPr>
      <w:r>
        <w:rPr>
          <w:rFonts w:hint="eastAsia" w:ascii="黑体" w:hAnsi="黑体" w:eastAsia="黑体"/>
          <w:b/>
          <w:sz w:val="96"/>
          <w:szCs w:val="96"/>
        </w:rPr>
        <w:t>政府采购项目</w:t>
      </w:r>
    </w:p>
    <w:p>
      <w:pPr>
        <w:spacing w:afterLines="200"/>
        <w:jc w:val="center"/>
        <w:rPr>
          <w:rFonts w:ascii="黑体" w:hAnsi="黑体" w:eastAsia="黑体"/>
          <w:b/>
          <w:sz w:val="72"/>
          <w:szCs w:val="72"/>
        </w:rPr>
      </w:pPr>
      <w:r>
        <w:rPr>
          <w:rFonts w:hint="eastAsia" w:ascii="黑体" w:hAnsi="黑体" w:eastAsia="黑体"/>
          <w:b/>
          <w:sz w:val="72"/>
          <w:szCs w:val="72"/>
        </w:rPr>
        <w:t>投 标 文 件</w:t>
      </w:r>
    </w:p>
    <w:p>
      <w:pPr>
        <w:pStyle w:val="5"/>
        <w:spacing w:before="340" w:after="480" w:line="360" w:lineRule="auto"/>
        <w:jc w:val="center"/>
        <w:rPr>
          <w:rFonts w:cs="Times New Roman" w:asciiTheme="majorEastAsia" w:hAnsiTheme="majorEastAsia"/>
          <w:bCs w:val="0"/>
          <w:sz w:val="44"/>
          <w:szCs w:val="44"/>
          <w:lang w:val="zh-CN"/>
        </w:rPr>
      </w:pPr>
      <w:bookmarkStart w:id="98" w:name="_Toc494702267"/>
      <w:bookmarkStart w:id="99" w:name="_Toc494665550"/>
      <w:bookmarkStart w:id="100" w:name="_Toc494664997"/>
      <w:bookmarkStart w:id="101" w:name="_Toc494745314"/>
      <w:bookmarkStart w:id="102" w:name="_Toc494665947"/>
      <w:bookmarkStart w:id="103" w:name="_Toc494721097"/>
      <w:bookmarkStart w:id="104" w:name="_Toc20015"/>
      <w:r>
        <w:rPr>
          <w:rFonts w:hint="eastAsia" w:cs="Times New Roman" w:asciiTheme="majorEastAsia" w:hAnsiTheme="majorEastAsia"/>
          <w:bCs w:val="0"/>
          <w:sz w:val="44"/>
          <w:szCs w:val="44"/>
          <w:lang w:val="zh-CN"/>
        </w:rPr>
        <w:t>第二部分 商务文件</w:t>
      </w:r>
      <w:bookmarkEnd w:id="98"/>
      <w:bookmarkEnd w:id="99"/>
      <w:bookmarkEnd w:id="100"/>
      <w:bookmarkEnd w:id="101"/>
      <w:bookmarkEnd w:id="102"/>
      <w:bookmarkEnd w:id="103"/>
      <w:bookmarkEnd w:id="104"/>
    </w:p>
    <w:p>
      <w:pPr>
        <w:spacing w:line="360" w:lineRule="auto"/>
        <w:ind w:left="2060" w:leftChars="619" w:right="1306" w:rightChars="619" w:hanging="754" w:hangingChars="209"/>
        <w:rPr>
          <w:rFonts w:cs="Times New Roman" w:asciiTheme="minorEastAsia" w:hAnsiTheme="minorEastAsia"/>
          <w:bCs/>
          <w:sz w:val="36"/>
          <w:szCs w:val="24"/>
        </w:rPr>
      </w:pPr>
      <w:r>
        <w:rPr>
          <w:rFonts w:hint="eastAsia" w:cs="Times New Roman" w:asciiTheme="minorEastAsia" w:hAnsiTheme="minorEastAsia"/>
          <w:b/>
          <w:bCs/>
          <w:sz w:val="36"/>
          <w:szCs w:val="24"/>
        </w:rPr>
        <w:t>项目编号：</w:t>
      </w:r>
    </w:p>
    <w:p>
      <w:pPr>
        <w:spacing w:line="360" w:lineRule="auto"/>
        <w:ind w:left="2060" w:leftChars="619" w:right="1306" w:rightChars="619" w:hanging="754" w:hangingChars="209"/>
        <w:rPr>
          <w:rFonts w:cs="Times New Roman" w:asciiTheme="minorEastAsia" w:hAnsiTheme="minorEastAsia"/>
          <w:bCs/>
          <w:sz w:val="36"/>
          <w:szCs w:val="24"/>
          <w:lang w:val="zh-CN"/>
        </w:rPr>
      </w:pPr>
      <w:r>
        <w:rPr>
          <w:rFonts w:hint="eastAsia" w:cs="Times New Roman" w:asciiTheme="minorEastAsia" w:hAnsiTheme="minorEastAsia"/>
          <w:b/>
          <w:bCs/>
          <w:sz w:val="36"/>
          <w:szCs w:val="24"/>
        </w:rPr>
        <w:t>项目名称：</w:t>
      </w:r>
    </w:p>
    <w:p>
      <w:pPr>
        <w:spacing w:line="360" w:lineRule="auto"/>
        <w:ind w:left="2060" w:leftChars="619" w:right="1306" w:rightChars="619" w:hanging="754" w:hangingChars="209"/>
        <w:rPr>
          <w:rFonts w:cs="Times New Roman" w:asciiTheme="minorEastAsia" w:hAnsiTheme="minorEastAsia"/>
          <w:sz w:val="36"/>
          <w:szCs w:val="36"/>
        </w:rPr>
      </w:pPr>
      <w:r>
        <w:rPr>
          <w:rFonts w:hint="eastAsia" w:cs="Times New Roman" w:asciiTheme="minorEastAsia" w:hAnsiTheme="minorEastAsia"/>
          <w:b/>
          <w:bCs/>
          <w:sz w:val="36"/>
          <w:szCs w:val="24"/>
        </w:rPr>
        <w:t>招标内容：</w:t>
      </w:r>
    </w:p>
    <w:p>
      <w:pPr>
        <w:spacing w:afterLines="500" w:line="360" w:lineRule="auto"/>
        <w:ind w:left="2353" w:leftChars="271" w:right="571" w:rightChars="271" w:hanging="1782" w:hangingChars="494"/>
        <w:jc w:val="center"/>
        <w:rPr>
          <w:rFonts w:ascii="宋体" w:hAnsi="宋体" w:eastAsia="宋体" w:cs="Times New Roman"/>
          <w:sz w:val="36"/>
          <w:szCs w:val="36"/>
        </w:rPr>
      </w:pPr>
    </w:p>
    <w:p>
      <w:pPr>
        <w:spacing w:line="360" w:lineRule="auto"/>
        <w:ind w:left="1979" w:leftChars="613" w:right="1293" w:rightChars="613" w:hanging="686" w:hangingChars="214"/>
        <w:rPr>
          <w:rFonts w:cs="Times New Roman" w:asciiTheme="minorEastAsia" w:hAnsiTheme="minorEastAsia"/>
          <w:b/>
          <w:bCs/>
          <w:sz w:val="32"/>
          <w:szCs w:val="32"/>
        </w:rPr>
      </w:pPr>
      <w:r>
        <w:rPr>
          <w:rFonts w:hint="eastAsia" w:cs="Times New Roman" w:asciiTheme="minorEastAsia" w:hAnsiTheme="minorEastAsia"/>
          <w:b/>
          <w:bCs/>
          <w:sz w:val="32"/>
          <w:szCs w:val="32"/>
        </w:rPr>
        <w:t>投标人（盖章）：</w:t>
      </w:r>
    </w:p>
    <w:p>
      <w:pPr>
        <w:spacing w:line="360" w:lineRule="auto"/>
        <w:ind w:left="1979" w:leftChars="613" w:right="1293" w:rightChars="613" w:hanging="686" w:hangingChars="214"/>
        <w:rPr>
          <w:rFonts w:cs="Times New Roman" w:asciiTheme="minorEastAsia" w:hAnsiTheme="minorEastAsia"/>
          <w:b/>
          <w:bCs/>
          <w:sz w:val="32"/>
          <w:szCs w:val="32"/>
        </w:rPr>
      </w:pPr>
      <w:r>
        <w:rPr>
          <w:rFonts w:hint="eastAsia" w:cs="Times New Roman" w:asciiTheme="minorEastAsia" w:hAnsiTheme="minorEastAsia"/>
          <w:b/>
          <w:bCs/>
          <w:sz w:val="32"/>
          <w:szCs w:val="32"/>
        </w:rPr>
        <w:t>投标人授权代表（签字）：</w:t>
      </w:r>
    </w:p>
    <w:p>
      <w:pPr>
        <w:spacing w:beforeLines="100" w:afterLines="100" w:line="360" w:lineRule="auto"/>
        <w:ind w:left="2264" w:leftChars="466" w:right="466" w:hanging="1281" w:hangingChars="355"/>
        <w:jc w:val="center"/>
        <w:rPr>
          <w:rFonts w:ascii="宋体" w:hAnsi="宋体"/>
          <w:b/>
          <w:sz w:val="36"/>
          <w:szCs w:val="36"/>
        </w:rPr>
      </w:pPr>
      <w:r>
        <w:rPr>
          <w:rFonts w:hint="eastAsia" w:ascii="宋体" w:hAnsi="宋体" w:eastAsia="宋体" w:cs="Times New Roman"/>
          <w:b/>
          <w:bCs/>
          <w:sz w:val="36"/>
          <w:szCs w:val="36"/>
        </w:rPr>
        <w:t>二0一</w:t>
      </w:r>
      <w:r>
        <w:rPr>
          <w:rFonts w:hint="eastAsia" w:ascii="宋体" w:hAnsi="宋体"/>
          <w:b/>
          <w:sz w:val="36"/>
          <w:szCs w:val="36"/>
        </w:rPr>
        <w:t xml:space="preserve">  年 月</w:t>
      </w:r>
    </w:p>
    <w:p>
      <w:r>
        <w:br w:type="page"/>
      </w:r>
    </w:p>
    <w:p>
      <w:pPr>
        <w:spacing w:beforeLines="100" w:line="360" w:lineRule="auto"/>
        <w:jc w:val="left"/>
        <w:rPr>
          <w:rFonts w:ascii="宋体" w:hAnsi="宋体" w:eastAsia="宋体" w:cs="Times New Roman"/>
          <w:b/>
          <w:bCs/>
          <w:sz w:val="30"/>
          <w:szCs w:val="30"/>
          <w:lang w:val="zh-CN"/>
        </w:rPr>
      </w:pPr>
      <w:r>
        <w:rPr>
          <w:rFonts w:hint="eastAsia" w:ascii="宋体" w:hAnsi="宋体" w:eastAsia="宋体" w:cs="Times New Roman"/>
          <w:b/>
          <w:bCs/>
          <w:sz w:val="30"/>
          <w:szCs w:val="30"/>
          <w:lang w:val="zh-CN"/>
        </w:rPr>
        <w:t>格式（参考）说明：</w:t>
      </w:r>
    </w:p>
    <w:p>
      <w:pPr>
        <w:spacing w:before="120" w:after="120" w:line="578" w:lineRule="auto"/>
        <w:jc w:val="center"/>
        <w:rPr>
          <w:rFonts w:ascii="黑体" w:hAnsi="黑体" w:eastAsia="黑体" w:cs="Times New Roman"/>
          <w:b/>
          <w:sz w:val="36"/>
          <w:szCs w:val="36"/>
        </w:rPr>
      </w:pPr>
      <w:bookmarkStart w:id="105" w:name="_Toc494665948"/>
      <w:bookmarkStart w:id="106" w:name="_Toc494721098"/>
      <w:bookmarkStart w:id="107" w:name="_Toc494664998"/>
      <w:bookmarkStart w:id="108" w:name="_Toc494665551"/>
      <w:bookmarkStart w:id="109" w:name="_Toc494745315"/>
      <w:bookmarkStart w:id="110" w:name="_Toc494702268"/>
      <w:r>
        <w:rPr>
          <w:rFonts w:hint="eastAsia" w:ascii="黑体" w:hAnsi="黑体" w:eastAsia="黑体" w:cs="Times New Roman"/>
          <w:b/>
          <w:sz w:val="36"/>
          <w:szCs w:val="36"/>
        </w:rPr>
        <w:t>商务文件组成</w:t>
      </w:r>
      <w:bookmarkEnd w:id="105"/>
      <w:bookmarkEnd w:id="106"/>
      <w:bookmarkEnd w:id="107"/>
      <w:bookmarkEnd w:id="108"/>
      <w:bookmarkEnd w:id="109"/>
      <w:bookmarkEnd w:id="110"/>
    </w:p>
    <w:p>
      <w:pPr>
        <w:autoSpaceDE w:val="0"/>
        <w:autoSpaceDN w:val="0"/>
        <w:adjustRightInd w:val="0"/>
        <w:spacing w:beforeLines="50" w:afterLines="50" w:line="360" w:lineRule="auto"/>
        <w:ind w:firstLine="482" w:firstLineChars="200"/>
        <w:rPr>
          <w:rFonts w:ascii="宋体" w:hAnsi="宋体" w:eastAsia="宋体" w:cs="Times New Roman"/>
          <w:color w:val="0D0D0D"/>
          <w:kern w:val="0"/>
          <w:sz w:val="24"/>
          <w:szCs w:val="32"/>
        </w:rPr>
      </w:pPr>
      <w:r>
        <w:rPr>
          <w:rFonts w:hint="eastAsia" w:ascii="宋体" w:hAnsi="宋体" w:eastAsia="宋体" w:cs="Times New Roman"/>
          <w:color w:val="0D0D0D"/>
          <w:kern w:val="0"/>
          <w:sz w:val="24"/>
          <w:szCs w:val="32"/>
        </w:rPr>
        <w:t>由各投标人根据参考格式要求自行编写。目录清晰、内容详尽、易于理解和评审并富有建设性的商务方案在评标时具有优势。具体内容应包括但不限于以下内容：</w:t>
      </w:r>
    </w:p>
    <w:p>
      <w:pPr>
        <w:numPr>
          <w:ilvl w:val="0"/>
          <w:numId w:val="60"/>
        </w:numPr>
        <w:autoSpaceDE w:val="0"/>
        <w:autoSpaceDN w:val="0"/>
        <w:adjustRightInd w:val="0"/>
        <w:spacing w:line="360" w:lineRule="auto"/>
        <w:ind w:left="490" w:hanging="370"/>
        <w:rPr>
          <w:rFonts w:ascii="宋体" w:hAnsi="宋体" w:eastAsia="宋体" w:cs="Times New Roman"/>
          <w:kern w:val="0"/>
          <w:sz w:val="24"/>
          <w:szCs w:val="32"/>
        </w:rPr>
      </w:pPr>
      <w:r>
        <w:rPr>
          <w:rFonts w:hint="eastAsia" w:ascii="宋体" w:hAnsi="宋体" w:eastAsia="宋体" w:cs="Times New Roman"/>
          <w:kern w:val="0"/>
          <w:sz w:val="24"/>
          <w:szCs w:val="32"/>
        </w:rPr>
        <w:t>商务文件目录</w:t>
      </w:r>
      <w:r>
        <w:rPr>
          <w:rFonts w:hint="eastAsia" w:ascii="宋体" w:hAnsi="宋体" w:eastAsia="宋体" w:cs="Times New Roman"/>
          <w:b/>
          <w:kern w:val="0"/>
          <w:sz w:val="24"/>
          <w:szCs w:val="32"/>
        </w:rPr>
        <w:t>（目录应涵盖下述所有资料，页码清晰以便查阅）</w:t>
      </w:r>
      <w:r>
        <w:rPr>
          <w:rFonts w:hint="eastAsia" w:ascii="宋体" w:hAnsi="宋体" w:eastAsia="宋体" w:cs="Times New Roman"/>
          <w:kern w:val="0"/>
          <w:sz w:val="24"/>
          <w:szCs w:val="32"/>
        </w:rPr>
        <w:t>；</w:t>
      </w:r>
    </w:p>
    <w:p>
      <w:pPr>
        <w:numPr>
          <w:ilvl w:val="0"/>
          <w:numId w:val="60"/>
        </w:numPr>
        <w:autoSpaceDE w:val="0"/>
        <w:autoSpaceDN w:val="0"/>
        <w:adjustRightInd w:val="0"/>
        <w:spacing w:line="360" w:lineRule="auto"/>
        <w:ind w:left="490" w:hanging="370"/>
        <w:rPr>
          <w:rFonts w:ascii="宋体" w:hAnsi="宋体" w:eastAsia="宋体" w:cs="Times New Roman"/>
          <w:kern w:val="0"/>
          <w:sz w:val="24"/>
          <w:szCs w:val="32"/>
        </w:rPr>
      </w:pPr>
      <w:r>
        <w:rPr>
          <w:rFonts w:hint="eastAsia" w:ascii="宋体" w:hAnsi="宋体" w:eastAsia="宋体" w:cs="Times New Roman"/>
          <w:kern w:val="0"/>
          <w:sz w:val="24"/>
          <w:szCs w:val="32"/>
        </w:rPr>
        <w:t>投标书（附件一）；</w:t>
      </w:r>
    </w:p>
    <w:p>
      <w:pPr>
        <w:numPr>
          <w:ilvl w:val="0"/>
          <w:numId w:val="60"/>
        </w:numPr>
        <w:autoSpaceDE w:val="0"/>
        <w:autoSpaceDN w:val="0"/>
        <w:adjustRightInd w:val="0"/>
        <w:spacing w:line="360" w:lineRule="auto"/>
        <w:ind w:left="490" w:hanging="370"/>
        <w:rPr>
          <w:rFonts w:ascii="宋体" w:hAnsi="宋体" w:eastAsia="宋体" w:cs="Courier New"/>
          <w:color w:val="0D0D0D"/>
          <w:sz w:val="24"/>
          <w:szCs w:val="24"/>
        </w:rPr>
      </w:pPr>
      <w:r>
        <w:rPr>
          <w:rFonts w:hint="eastAsia" w:ascii="宋体" w:hAnsi="宋体" w:eastAsia="宋体" w:cs="Courier New"/>
          <w:color w:val="0D0D0D"/>
          <w:sz w:val="24"/>
          <w:szCs w:val="24"/>
        </w:rPr>
        <w:t>开标一览表（附件二）；</w:t>
      </w:r>
    </w:p>
    <w:p>
      <w:pPr>
        <w:numPr>
          <w:ilvl w:val="0"/>
          <w:numId w:val="60"/>
        </w:numPr>
        <w:autoSpaceDE w:val="0"/>
        <w:autoSpaceDN w:val="0"/>
        <w:adjustRightInd w:val="0"/>
        <w:spacing w:line="360" w:lineRule="auto"/>
        <w:ind w:left="490" w:hanging="370"/>
        <w:rPr>
          <w:rFonts w:ascii="宋体" w:hAnsi="宋体" w:eastAsia="宋体" w:cs="Courier New"/>
          <w:color w:val="0D0D0D"/>
          <w:sz w:val="24"/>
          <w:szCs w:val="24"/>
        </w:rPr>
      </w:pPr>
      <w:r>
        <w:rPr>
          <w:rFonts w:hint="eastAsia" w:ascii="宋体" w:hAnsi="宋体" w:eastAsia="宋体" w:cs="Courier New"/>
          <w:color w:val="0D0D0D"/>
          <w:sz w:val="24"/>
          <w:szCs w:val="24"/>
        </w:rPr>
        <w:t>投标货物、服务清单（附件三）；</w:t>
      </w:r>
    </w:p>
    <w:p>
      <w:pPr>
        <w:numPr>
          <w:ilvl w:val="0"/>
          <w:numId w:val="60"/>
        </w:numPr>
        <w:autoSpaceDE w:val="0"/>
        <w:autoSpaceDN w:val="0"/>
        <w:adjustRightInd w:val="0"/>
        <w:spacing w:line="360" w:lineRule="auto"/>
        <w:ind w:left="616" w:hanging="496"/>
        <w:rPr>
          <w:rFonts w:ascii="宋体" w:hAnsi="宋体" w:eastAsia="宋体" w:cs="Courier New"/>
          <w:color w:val="0D0D0D"/>
          <w:sz w:val="24"/>
          <w:szCs w:val="24"/>
        </w:rPr>
      </w:pPr>
      <w:r>
        <w:rPr>
          <w:rFonts w:hint="eastAsia" w:ascii="宋体" w:hAnsi="宋体" w:eastAsia="宋体" w:cs="Courier New"/>
          <w:color w:val="0D0D0D"/>
          <w:sz w:val="24"/>
          <w:szCs w:val="24"/>
        </w:rPr>
        <w:t>交纳投标保证金的银行凭证（附件四，</w:t>
      </w:r>
      <w:r>
        <w:rPr>
          <w:rFonts w:hint="eastAsia" w:ascii="宋体" w:hAnsi="宋体" w:eastAsia="宋体" w:cs="Courier New"/>
          <w:b/>
          <w:bCs/>
          <w:color w:val="0D0D0D"/>
          <w:sz w:val="24"/>
          <w:szCs w:val="24"/>
        </w:rPr>
        <w:t>本项目不适用</w:t>
      </w:r>
      <w:r>
        <w:rPr>
          <w:rFonts w:hint="eastAsia" w:ascii="宋体" w:hAnsi="宋体" w:eastAsia="宋体" w:cs="Courier New"/>
          <w:color w:val="0D0D0D"/>
          <w:sz w:val="24"/>
          <w:szCs w:val="24"/>
        </w:rPr>
        <w:t>）；</w:t>
      </w:r>
    </w:p>
    <w:p>
      <w:pPr>
        <w:numPr>
          <w:ilvl w:val="0"/>
          <w:numId w:val="60"/>
        </w:numPr>
        <w:autoSpaceDE w:val="0"/>
        <w:autoSpaceDN w:val="0"/>
        <w:adjustRightInd w:val="0"/>
        <w:spacing w:line="360" w:lineRule="auto"/>
        <w:ind w:left="616" w:hanging="496"/>
        <w:rPr>
          <w:rFonts w:ascii="宋体" w:hAnsi="宋体" w:eastAsia="宋体" w:cs="Courier New"/>
          <w:color w:val="0D0D0D"/>
          <w:sz w:val="24"/>
          <w:szCs w:val="24"/>
        </w:rPr>
      </w:pPr>
      <w:r>
        <w:rPr>
          <w:rFonts w:hint="eastAsia" w:ascii="宋体" w:hAnsi="宋体" w:eastAsia="宋体" w:cs="Courier New"/>
          <w:color w:val="0D0D0D"/>
          <w:sz w:val="24"/>
          <w:szCs w:val="24"/>
        </w:rPr>
        <w:t>法定代表人授权书（附件五）；</w:t>
      </w:r>
    </w:p>
    <w:p>
      <w:pPr>
        <w:numPr>
          <w:ilvl w:val="0"/>
          <w:numId w:val="60"/>
        </w:numPr>
        <w:autoSpaceDE w:val="0"/>
        <w:autoSpaceDN w:val="0"/>
        <w:adjustRightInd w:val="0"/>
        <w:spacing w:line="360" w:lineRule="auto"/>
        <w:ind w:left="616" w:hanging="496"/>
        <w:rPr>
          <w:rFonts w:ascii="宋体" w:hAnsi="宋体" w:eastAsia="宋体" w:cs="Courier New"/>
          <w:color w:val="0D0D0D"/>
          <w:sz w:val="24"/>
          <w:szCs w:val="24"/>
        </w:rPr>
      </w:pPr>
      <w:r>
        <w:rPr>
          <w:rFonts w:hint="eastAsia" w:ascii="宋体" w:hAnsi="宋体" w:eastAsia="宋体" w:cs="Courier New"/>
          <w:color w:val="0D0D0D"/>
          <w:sz w:val="24"/>
          <w:szCs w:val="24"/>
        </w:rPr>
        <w:t>关于不存在招标文件第二章“十一 其他注意事项”中规定禁止情形的书面声明；</w:t>
      </w:r>
    </w:p>
    <w:p>
      <w:pPr>
        <w:numPr>
          <w:ilvl w:val="0"/>
          <w:numId w:val="60"/>
        </w:numPr>
        <w:autoSpaceDE w:val="0"/>
        <w:autoSpaceDN w:val="0"/>
        <w:adjustRightInd w:val="0"/>
        <w:spacing w:line="360" w:lineRule="auto"/>
        <w:ind w:left="616" w:hanging="496"/>
        <w:rPr>
          <w:rFonts w:ascii="宋体" w:hAnsi="宋体" w:eastAsia="宋体" w:cs="Courier New"/>
          <w:color w:val="0D0D0D"/>
          <w:sz w:val="24"/>
          <w:szCs w:val="24"/>
        </w:rPr>
      </w:pPr>
      <w:r>
        <w:rPr>
          <w:rFonts w:hint="eastAsia" w:ascii="宋体" w:hAnsi="宋体" w:eastAsia="宋体" w:cs="Courier New"/>
          <w:color w:val="0D0D0D"/>
          <w:sz w:val="24"/>
          <w:szCs w:val="24"/>
        </w:rPr>
        <w:t>投标人的资格声明（附件六）；</w:t>
      </w:r>
    </w:p>
    <w:p>
      <w:pPr>
        <w:numPr>
          <w:ilvl w:val="0"/>
          <w:numId w:val="60"/>
        </w:numPr>
        <w:autoSpaceDE w:val="0"/>
        <w:autoSpaceDN w:val="0"/>
        <w:adjustRightInd w:val="0"/>
        <w:spacing w:line="360" w:lineRule="auto"/>
        <w:ind w:left="616" w:hanging="496"/>
        <w:rPr>
          <w:rFonts w:ascii="宋体" w:hAnsi="宋体" w:eastAsia="宋体" w:cs="Courier New"/>
          <w:color w:val="0D0D0D"/>
          <w:sz w:val="24"/>
          <w:szCs w:val="24"/>
        </w:rPr>
      </w:pPr>
      <w:r>
        <w:rPr>
          <w:rFonts w:hint="eastAsia" w:ascii="宋体" w:hAnsi="宋体" w:eastAsia="宋体" w:cs="Courier New"/>
          <w:color w:val="0D0D0D"/>
          <w:sz w:val="24"/>
          <w:szCs w:val="24"/>
        </w:rPr>
        <w:t>项目负责人、技术负责人简历表（附件七）；</w:t>
      </w:r>
    </w:p>
    <w:p>
      <w:pPr>
        <w:numPr>
          <w:ilvl w:val="0"/>
          <w:numId w:val="60"/>
        </w:numPr>
        <w:autoSpaceDE w:val="0"/>
        <w:autoSpaceDN w:val="0"/>
        <w:adjustRightInd w:val="0"/>
        <w:spacing w:line="360" w:lineRule="auto"/>
        <w:ind w:left="616" w:hanging="496"/>
        <w:rPr>
          <w:rFonts w:ascii="宋体" w:hAnsi="宋体" w:eastAsia="宋体" w:cs="Courier New"/>
          <w:color w:val="0D0D0D"/>
          <w:sz w:val="24"/>
          <w:szCs w:val="24"/>
        </w:rPr>
      </w:pPr>
      <w:r>
        <w:rPr>
          <w:rFonts w:hint="eastAsia" w:ascii="宋体" w:hAnsi="宋体" w:eastAsia="宋体" w:cs="Courier New"/>
          <w:color w:val="0D0D0D"/>
          <w:sz w:val="24"/>
          <w:szCs w:val="24"/>
        </w:rPr>
        <w:t>项目班子成员情况表（附件八）；</w:t>
      </w:r>
    </w:p>
    <w:p>
      <w:pPr>
        <w:numPr>
          <w:ilvl w:val="0"/>
          <w:numId w:val="60"/>
        </w:numPr>
        <w:autoSpaceDE w:val="0"/>
        <w:autoSpaceDN w:val="0"/>
        <w:adjustRightInd w:val="0"/>
        <w:spacing w:line="360" w:lineRule="auto"/>
        <w:ind w:left="616" w:hanging="496"/>
        <w:rPr>
          <w:rFonts w:ascii="宋体" w:hAnsi="宋体" w:eastAsia="宋体" w:cs="Courier New"/>
          <w:color w:val="0D0D0D"/>
          <w:sz w:val="24"/>
          <w:szCs w:val="24"/>
        </w:rPr>
      </w:pPr>
      <w:r>
        <w:rPr>
          <w:rFonts w:hint="eastAsia" w:ascii="宋体" w:hAnsi="宋体" w:eastAsia="宋体" w:cs="Courier New"/>
          <w:color w:val="0D0D0D"/>
          <w:sz w:val="24"/>
          <w:szCs w:val="24"/>
        </w:rPr>
        <w:t>投标人类似项目业绩表（附件九）；</w:t>
      </w:r>
    </w:p>
    <w:p>
      <w:pPr>
        <w:numPr>
          <w:ilvl w:val="0"/>
          <w:numId w:val="60"/>
        </w:numPr>
        <w:autoSpaceDE w:val="0"/>
        <w:autoSpaceDN w:val="0"/>
        <w:adjustRightInd w:val="0"/>
        <w:spacing w:line="360" w:lineRule="auto"/>
        <w:ind w:left="616" w:hanging="496"/>
        <w:rPr>
          <w:rFonts w:ascii="宋体" w:hAnsi="宋体" w:eastAsia="宋体" w:cs="Courier New"/>
          <w:color w:val="0D0D0D"/>
          <w:sz w:val="24"/>
          <w:szCs w:val="24"/>
        </w:rPr>
      </w:pPr>
      <w:r>
        <w:rPr>
          <w:rFonts w:hint="eastAsia" w:ascii="宋体" w:hAnsi="宋体" w:eastAsia="宋体" w:cs="Courier New"/>
          <w:color w:val="0D0D0D"/>
          <w:sz w:val="24"/>
          <w:szCs w:val="24"/>
        </w:rPr>
        <w:t>招标文件要求提供或投标人认为需提供的其它资料；</w:t>
      </w:r>
    </w:p>
    <w:p>
      <w:pPr>
        <w:numPr>
          <w:ilvl w:val="0"/>
          <w:numId w:val="60"/>
        </w:numPr>
        <w:autoSpaceDE w:val="0"/>
        <w:autoSpaceDN w:val="0"/>
        <w:adjustRightInd w:val="0"/>
        <w:spacing w:line="360" w:lineRule="auto"/>
        <w:ind w:left="616" w:hanging="496"/>
        <w:rPr>
          <w:rFonts w:ascii="宋体" w:hAnsi="宋体" w:eastAsia="宋体" w:cs="Courier New"/>
          <w:color w:val="0D0D0D"/>
          <w:sz w:val="24"/>
          <w:szCs w:val="24"/>
        </w:rPr>
      </w:pPr>
      <w:r>
        <w:rPr>
          <w:rFonts w:hint="eastAsia" w:ascii="宋体" w:hAnsi="宋体" w:eastAsia="宋体" w:cs="Courier New"/>
          <w:color w:val="0D0D0D"/>
          <w:sz w:val="24"/>
          <w:szCs w:val="24"/>
        </w:rPr>
        <w:t>符合性审查对照表（附件十）；</w:t>
      </w:r>
    </w:p>
    <w:p>
      <w:pPr>
        <w:numPr>
          <w:ilvl w:val="0"/>
          <w:numId w:val="60"/>
        </w:numPr>
        <w:autoSpaceDE w:val="0"/>
        <w:autoSpaceDN w:val="0"/>
        <w:adjustRightInd w:val="0"/>
        <w:spacing w:line="360" w:lineRule="auto"/>
        <w:ind w:left="616" w:hanging="496"/>
        <w:rPr>
          <w:rFonts w:ascii="宋体" w:hAnsi="宋体" w:eastAsia="宋体" w:cs="Courier New"/>
          <w:color w:val="0D0D0D"/>
          <w:sz w:val="24"/>
          <w:szCs w:val="24"/>
        </w:rPr>
      </w:pPr>
      <w:r>
        <w:rPr>
          <w:rFonts w:hint="eastAsia" w:ascii="宋体" w:hAnsi="宋体" w:eastAsia="宋体" w:cs="Courier New"/>
          <w:color w:val="0D0D0D"/>
          <w:sz w:val="24"/>
          <w:szCs w:val="24"/>
        </w:rPr>
        <w:t>商务要求响应、偏离说明表（附件十一）；</w:t>
      </w:r>
    </w:p>
    <w:p>
      <w:pPr>
        <w:numPr>
          <w:ilvl w:val="0"/>
          <w:numId w:val="60"/>
        </w:numPr>
        <w:autoSpaceDE w:val="0"/>
        <w:autoSpaceDN w:val="0"/>
        <w:adjustRightInd w:val="0"/>
        <w:spacing w:line="360" w:lineRule="auto"/>
        <w:ind w:left="616" w:hanging="496"/>
        <w:rPr>
          <w:rFonts w:ascii="宋体" w:hAnsi="宋体" w:eastAsia="宋体" w:cs="Courier New"/>
          <w:color w:val="0D0D0D"/>
          <w:sz w:val="24"/>
          <w:szCs w:val="24"/>
        </w:rPr>
      </w:pPr>
      <w:r>
        <w:rPr>
          <w:rFonts w:hint="eastAsia" w:ascii="宋体" w:hAnsi="宋体" w:eastAsia="宋体" w:cs="Courier New"/>
          <w:color w:val="0D0D0D"/>
          <w:sz w:val="24"/>
          <w:szCs w:val="24"/>
        </w:rPr>
        <w:t>商务要求“★”号条款响应、偏离说明表（附件十二）</w:t>
      </w:r>
    </w:p>
    <w:p>
      <w:pPr>
        <w:numPr>
          <w:ilvl w:val="0"/>
          <w:numId w:val="60"/>
        </w:numPr>
        <w:autoSpaceDE w:val="0"/>
        <w:autoSpaceDN w:val="0"/>
        <w:adjustRightInd w:val="0"/>
        <w:spacing w:line="360" w:lineRule="auto"/>
        <w:ind w:left="616" w:hanging="496"/>
        <w:rPr>
          <w:rFonts w:ascii="宋体" w:hAnsi="宋体" w:eastAsia="宋体" w:cs="Courier New"/>
          <w:color w:val="0D0D0D"/>
          <w:sz w:val="24"/>
          <w:szCs w:val="24"/>
        </w:rPr>
      </w:pPr>
      <w:r>
        <w:rPr>
          <w:rFonts w:hint="eastAsia" w:ascii="宋体" w:hAnsi="宋体" w:eastAsia="宋体" w:cs="Courier New"/>
          <w:color w:val="0D0D0D"/>
          <w:sz w:val="24"/>
          <w:szCs w:val="24"/>
        </w:rPr>
        <w:t>商务评议对照表（附件十三）。</w:t>
      </w:r>
    </w:p>
    <w:p>
      <w:r>
        <w:br w:type="page"/>
      </w:r>
    </w:p>
    <w:p>
      <w:pPr>
        <w:spacing w:line="1100" w:lineRule="exact"/>
        <w:jc w:val="center"/>
        <w:rPr>
          <w:rFonts w:ascii="黑体" w:hAnsi="黑体" w:eastAsia="黑体"/>
          <w:b/>
          <w:sz w:val="72"/>
          <w:szCs w:val="72"/>
        </w:rPr>
      </w:pPr>
    </w:p>
    <w:p>
      <w:pPr>
        <w:spacing w:beforeLines="100" w:afterLines="250"/>
        <w:jc w:val="center"/>
        <w:rPr>
          <w:rFonts w:ascii="黑体" w:hAnsi="黑体" w:eastAsia="黑体"/>
          <w:b/>
          <w:sz w:val="96"/>
          <w:szCs w:val="96"/>
        </w:rPr>
      </w:pPr>
      <w:r>
        <w:rPr>
          <w:rFonts w:hint="eastAsia" w:ascii="黑体" w:hAnsi="黑体" w:eastAsia="黑体"/>
          <w:b/>
          <w:sz w:val="96"/>
          <w:szCs w:val="96"/>
        </w:rPr>
        <w:t>政府采购项目</w:t>
      </w:r>
    </w:p>
    <w:p>
      <w:pPr>
        <w:spacing w:afterLines="200"/>
        <w:jc w:val="center"/>
        <w:rPr>
          <w:rFonts w:ascii="黑体" w:hAnsi="黑体" w:eastAsia="黑体"/>
          <w:b/>
          <w:sz w:val="72"/>
          <w:szCs w:val="72"/>
        </w:rPr>
      </w:pPr>
      <w:r>
        <w:rPr>
          <w:rFonts w:hint="eastAsia" w:ascii="黑体" w:hAnsi="黑体" w:eastAsia="黑体"/>
          <w:b/>
          <w:sz w:val="72"/>
          <w:szCs w:val="72"/>
        </w:rPr>
        <w:t>投 标 文 件</w:t>
      </w:r>
    </w:p>
    <w:p>
      <w:pPr>
        <w:pStyle w:val="5"/>
        <w:spacing w:before="340" w:after="480" w:line="360" w:lineRule="auto"/>
        <w:jc w:val="center"/>
        <w:rPr>
          <w:rFonts w:cs="Times New Roman" w:asciiTheme="majorEastAsia" w:hAnsiTheme="majorEastAsia"/>
          <w:bCs w:val="0"/>
          <w:sz w:val="44"/>
          <w:szCs w:val="44"/>
          <w:lang w:val="zh-CN"/>
        </w:rPr>
      </w:pPr>
      <w:bookmarkStart w:id="111" w:name="_Toc494702269"/>
      <w:bookmarkStart w:id="112" w:name="_Toc494721099"/>
      <w:bookmarkStart w:id="113" w:name="_Toc494664999"/>
      <w:bookmarkStart w:id="114" w:name="_Toc494745316"/>
      <w:bookmarkStart w:id="115" w:name="_Toc494665552"/>
      <w:bookmarkStart w:id="116" w:name="_Toc494665949"/>
      <w:bookmarkStart w:id="117" w:name="_Toc12674"/>
      <w:r>
        <w:rPr>
          <w:rFonts w:hint="eastAsia" w:cs="Times New Roman" w:asciiTheme="majorEastAsia" w:hAnsiTheme="majorEastAsia"/>
          <w:bCs w:val="0"/>
          <w:sz w:val="44"/>
          <w:szCs w:val="44"/>
          <w:lang w:val="zh-CN"/>
        </w:rPr>
        <w:t>第三部分 技术、服务文件</w:t>
      </w:r>
      <w:bookmarkEnd w:id="111"/>
      <w:bookmarkEnd w:id="112"/>
      <w:bookmarkEnd w:id="113"/>
      <w:bookmarkEnd w:id="114"/>
      <w:bookmarkEnd w:id="115"/>
      <w:bookmarkEnd w:id="116"/>
      <w:bookmarkEnd w:id="117"/>
    </w:p>
    <w:p>
      <w:pPr>
        <w:spacing w:line="360" w:lineRule="auto"/>
        <w:ind w:left="2060" w:leftChars="619" w:right="1306" w:rightChars="619" w:hanging="754" w:hangingChars="209"/>
        <w:rPr>
          <w:rFonts w:cs="Times New Roman" w:asciiTheme="minorEastAsia" w:hAnsiTheme="minorEastAsia"/>
          <w:bCs/>
          <w:sz w:val="36"/>
          <w:szCs w:val="24"/>
        </w:rPr>
      </w:pPr>
      <w:r>
        <w:rPr>
          <w:rFonts w:hint="eastAsia" w:cs="Times New Roman" w:asciiTheme="minorEastAsia" w:hAnsiTheme="minorEastAsia"/>
          <w:b/>
          <w:bCs/>
          <w:sz w:val="36"/>
          <w:szCs w:val="24"/>
        </w:rPr>
        <w:t>项目编号：</w:t>
      </w:r>
    </w:p>
    <w:p>
      <w:pPr>
        <w:spacing w:line="360" w:lineRule="auto"/>
        <w:ind w:left="2060" w:leftChars="619" w:right="1306" w:rightChars="619" w:hanging="754" w:hangingChars="209"/>
        <w:rPr>
          <w:rFonts w:cs="Times New Roman" w:asciiTheme="minorEastAsia" w:hAnsiTheme="minorEastAsia"/>
          <w:bCs/>
          <w:sz w:val="36"/>
          <w:szCs w:val="24"/>
          <w:lang w:val="zh-CN"/>
        </w:rPr>
      </w:pPr>
      <w:r>
        <w:rPr>
          <w:rFonts w:hint="eastAsia" w:cs="Times New Roman" w:asciiTheme="minorEastAsia" w:hAnsiTheme="minorEastAsia"/>
          <w:b/>
          <w:bCs/>
          <w:sz w:val="36"/>
          <w:szCs w:val="24"/>
        </w:rPr>
        <w:t>项目名称：</w:t>
      </w:r>
    </w:p>
    <w:p>
      <w:pPr>
        <w:spacing w:line="360" w:lineRule="auto"/>
        <w:ind w:left="2060" w:leftChars="619" w:right="1306" w:rightChars="619" w:hanging="754" w:hangingChars="209"/>
        <w:rPr>
          <w:rFonts w:cs="Times New Roman" w:asciiTheme="minorEastAsia" w:hAnsiTheme="minorEastAsia"/>
          <w:sz w:val="36"/>
          <w:szCs w:val="36"/>
        </w:rPr>
      </w:pPr>
      <w:r>
        <w:rPr>
          <w:rFonts w:hint="eastAsia" w:cs="Times New Roman" w:asciiTheme="minorEastAsia" w:hAnsiTheme="minorEastAsia"/>
          <w:b/>
          <w:bCs/>
          <w:sz w:val="36"/>
          <w:szCs w:val="24"/>
        </w:rPr>
        <w:t>招标内容：</w:t>
      </w:r>
    </w:p>
    <w:p>
      <w:pPr>
        <w:spacing w:afterLines="500" w:line="360" w:lineRule="auto"/>
        <w:ind w:left="2353" w:leftChars="271" w:right="571" w:rightChars="271" w:hanging="1782" w:hangingChars="494"/>
        <w:jc w:val="center"/>
        <w:rPr>
          <w:rFonts w:ascii="宋体" w:hAnsi="宋体" w:eastAsia="宋体" w:cs="Times New Roman"/>
          <w:sz w:val="36"/>
          <w:szCs w:val="36"/>
        </w:rPr>
      </w:pPr>
    </w:p>
    <w:p>
      <w:pPr>
        <w:spacing w:line="360" w:lineRule="auto"/>
        <w:ind w:left="1979" w:leftChars="613" w:right="1293" w:rightChars="613" w:hanging="686" w:hangingChars="214"/>
        <w:rPr>
          <w:rFonts w:cs="Times New Roman" w:asciiTheme="minorEastAsia" w:hAnsiTheme="minorEastAsia"/>
          <w:b/>
          <w:bCs/>
          <w:sz w:val="32"/>
          <w:szCs w:val="32"/>
        </w:rPr>
      </w:pPr>
      <w:r>
        <w:rPr>
          <w:rFonts w:hint="eastAsia" w:cs="Times New Roman" w:asciiTheme="minorEastAsia" w:hAnsiTheme="minorEastAsia"/>
          <w:b/>
          <w:bCs/>
          <w:sz w:val="32"/>
          <w:szCs w:val="32"/>
        </w:rPr>
        <w:t>投标人（盖章）：</w:t>
      </w:r>
    </w:p>
    <w:p>
      <w:pPr>
        <w:spacing w:line="360" w:lineRule="auto"/>
        <w:ind w:left="1979" w:leftChars="613" w:right="1293" w:rightChars="613" w:hanging="686" w:hangingChars="214"/>
        <w:rPr>
          <w:rFonts w:cs="Times New Roman" w:asciiTheme="minorEastAsia" w:hAnsiTheme="minorEastAsia"/>
          <w:b/>
          <w:bCs/>
          <w:sz w:val="32"/>
          <w:szCs w:val="32"/>
        </w:rPr>
      </w:pPr>
      <w:r>
        <w:rPr>
          <w:rFonts w:hint="eastAsia" w:cs="Times New Roman" w:asciiTheme="minorEastAsia" w:hAnsiTheme="minorEastAsia"/>
          <w:b/>
          <w:bCs/>
          <w:sz w:val="32"/>
          <w:szCs w:val="32"/>
        </w:rPr>
        <w:t>投标人授权代表（签字）：</w:t>
      </w:r>
    </w:p>
    <w:p>
      <w:pPr>
        <w:spacing w:beforeLines="100" w:afterLines="100" w:line="360" w:lineRule="auto"/>
        <w:ind w:left="2264" w:leftChars="466" w:right="466" w:hanging="1281" w:hangingChars="355"/>
        <w:jc w:val="center"/>
        <w:rPr>
          <w:rFonts w:ascii="宋体" w:hAnsi="宋体"/>
          <w:b/>
          <w:sz w:val="36"/>
          <w:szCs w:val="36"/>
        </w:rPr>
      </w:pPr>
      <w:r>
        <w:rPr>
          <w:rFonts w:hint="eastAsia" w:ascii="宋体" w:hAnsi="宋体" w:eastAsia="宋体" w:cs="Times New Roman"/>
          <w:b/>
          <w:bCs/>
          <w:sz w:val="36"/>
          <w:szCs w:val="36"/>
        </w:rPr>
        <w:t>二0一</w:t>
      </w:r>
      <w:r>
        <w:rPr>
          <w:rFonts w:hint="eastAsia" w:ascii="宋体" w:hAnsi="宋体"/>
          <w:b/>
          <w:sz w:val="36"/>
          <w:szCs w:val="36"/>
        </w:rPr>
        <w:t xml:space="preserve">  年 月</w:t>
      </w:r>
    </w:p>
    <w:p>
      <w:r>
        <w:br w:type="page"/>
      </w:r>
    </w:p>
    <w:p>
      <w:pPr>
        <w:spacing w:beforeLines="100" w:line="360" w:lineRule="auto"/>
        <w:jc w:val="left"/>
        <w:rPr>
          <w:rFonts w:ascii="宋体" w:hAnsi="宋体" w:eastAsia="宋体" w:cs="Times New Roman"/>
          <w:b/>
          <w:bCs/>
          <w:sz w:val="30"/>
          <w:szCs w:val="30"/>
          <w:lang w:val="zh-CN"/>
        </w:rPr>
      </w:pPr>
      <w:r>
        <w:rPr>
          <w:rFonts w:hint="eastAsia" w:ascii="宋体" w:hAnsi="宋体" w:eastAsia="宋体" w:cs="Times New Roman"/>
          <w:b/>
          <w:bCs/>
          <w:sz w:val="30"/>
          <w:szCs w:val="30"/>
          <w:lang w:val="zh-CN"/>
        </w:rPr>
        <w:t>格式（参考）说明：</w:t>
      </w:r>
    </w:p>
    <w:p>
      <w:pPr>
        <w:spacing w:before="120" w:after="120" w:line="578" w:lineRule="auto"/>
        <w:jc w:val="center"/>
        <w:rPr>
          <w:rFonts w:ascii="黑体" w:hAnsi="黑体" w:eastAsia="黑体" w:cs="Times New Roman"/>
          <w:b/>
          <w:sz w:val="36"/>
          <w:szCs w:val="36"/>
        </w:rPr>
      </w:pPr>
      <w:bookmarkStart w:id="118" w:name="_Toc494665950"/>
      <w:bookmarkStart w:id="119" w:name="_Toc494665000"/>
      <w:bookmarkStart w:id="120" w:name="_Toc494665553"/>
      <w:bookmarkStart w:id="121" w:name="_Toc494702270"/>
      <w:bookmarkStart w:id="122" w:name="_Toc494745317"/>
      <w:bookmarkStart w:id="123" w:name="_Toc494721100"/>
      <w:r>
        <w:rPr>
          <w:rFonts w:hint="eastAsia" w:ascii="黑体" w:hAnsi="黑体" w:eastAsia="黑体" w:cs="Times New Roman"/>
          <w:b/>
          <w:bCs/>
          <w:sz w:val="36"/>
          <w:szCs w:val="36"/>
          <w:lang w:val="zh-CN"/>
        </w:rPr>
        <w:t>技术</w:t>
      </w:r>
      <w:r>
        <w:rPr>
          <w:rFonts w:hint="eastAsia" w:ascii="黑体" w:hAnsi="黑体" w:eastAsia="黑体" w:cs="Times New Roman"/>
          <w:b/>
          <w:sz w:val="36"/>
          <w:szCs w:val="36"/>
        </w:rPr>
        <w:t>、服务文件组成</w:t>
      </w:r>
      <w:bookmarkEnd w:id="118"/>
      <w:bookmarkEnd w:id="119"/>
      <w:bookmarkEnd w:id="120"/>
      <w:bookmarkEnd w:id="121"/>
      <w:bookmarkEnd w:id="122"/>
      <w:bookmarkEnd w:id="123"/>
    </w:p>
    <w:p>
      <w:pPr>
        <w:autoSpaceDE w:val="0"/>
        <w:autoSpaceDN w:val="0"/>
        <w:adjustRightInd w:val="0"/>
        <w:spacing w:beforeLines="50" w:afterLines="50" w:line="360" w:lineRule="auto"/>
        <w:ind w:firstLine="482" w:firstLineChars="200"/>
        <w:rPr>
          <w:rFonts w:ascii="宋体" w:hAnsi="宋体" w:eastAsia="宋体" w:cs="Times New Roman"/>
          <w:color w:val="0D0D0D"/>
          <w:kern w:val="0"/>
          <w:sz w:val="24"/>
          <w:szCs w:val="32"/>
        </w:rPr>
      </w:pPr>
      <w:r>
        <w:rPr>
          <w:rFonts w:hint="eastAsia" w:ascii="宋体" w:hAnsi="宋体" w:eastAsia="宋体" w:cs="Times New Roman"/>
          <w:color w:val="0D0D0D"/>
          <w:kern w:val="0"/>
          <w:sz w:val="24"/>
          <w:szCs w:val="32"/>
        </w:rPr>
        <w:t>由各投标人根据参考格式要求自行编写。目录清晰、内容详尽、易于理解和评审并富有建设性的技术、服务方案在评标时具有优势。具体内容应包括但不限于以下内容：</w:t>
      </w:r>
    </w:p>
    <w:p>
      <w:pPr>
        <w:numPr>
          <w:ilvl w:val="0"/>
          <w:numId w:val="61"/>
        </w:numPr>
        <w:autoSpaceDE w:val="0"/>
        <w:autoSpaceDN w:val="0"/>
        <w:adjustRightInd w:val="0"/>
        <w:spacing w:line="360" w:lineRule="auto"/>
        <w:ind w:left="490" w:hanging="370"/>
        <w:rPr>
          <w:rFonts w:ascii="宋体" w:hAnsi="宋体" w:eastAsia="宋体" w:cs="Times New Roman"/>
          <w:kern w:val="0"/>
          <w:sz w:val="24"/>
          <w:szCs w:val="32"/>
        </w:rPr>
      </w:pPr>
      <w:r>
        <w:rPr>
          <w:rFonts w:hint="eastAsia" w:ascii="宋体" w:hAnsi="宋体" w:eastAsia="宋体" w:cs="Times New Roman"/>
          <w:kern w:val="0"/>
          <w:sz w:val="24"/>
          <w:szCs w:val="32"/>
        </w:rPr>
        <w:t>技术、服务文件目录（目录应涵盖下述所有资料，页码清晰以便查阅）；</w:t>
      </w:r>
    </w:p>
    <w:p>
      <w:pPr>
        <w:numPr>
          <w:ilvl w:val="0"/>
          <w:numId w:val="61"/>
        </w:numPr>
        <w:autoSpaceDE w:val="0"/>
        <w:autoSpaceDN w:val="0"/>
        <w:adjustRightInd w:val="0"/>
        <w:spacing w:line="360" w:lineRule="auto"/>
        <w:ind w:left="488" w:hanging="369"/>
        <w:rPr>
          <w:rFonts w:ascii="宋体" w:hAnsi="宋体" w:eastAsia="宋体" w:cs="Times New Roman"/>
          <w:kern w:val="0"/>
          <w:sz w:val="24"/>
          <w:szCs w:val="32"/>
        </w:rPr>
      </w:pPr>
      <w:r>
        <w:rPr>
          <w:rFonts w:hint="eastAsia" w:ascii="宋体" w:hAnsi="宋体" w:eastAsia="宋体" w:cs="Times New Roman"/>
          <w:kern w:val="0"/>
          <w:sz w:val="24"/>
          <w:szCs w:val="32"/>
        </w:rPr>
        <w:t>投标货物（工程或服务）介绍，项目建设（服务）方案；</w:t>
      </w:r>
    </w:p>
    <w:p>
      <w:pPr>
        <w:numPr>
          <w:ilvl w:val="0"/>
          <w:numId w:val="61"/>
        </w:numPr>
        <w:autoSpaceDE w:val="0"/>
        <w:autoSpaceDN w:val="0"/>
        <w:adjustRightInd w:val="0"/>
        <w:spacing w:line="360" w:lineRule="auto"/>
        <w:ind w:left="490" w:hanging="370"/>
        <w:rPr>
          <w:rFonts w:ascii="宋体" w:hAnsi="宋体" w:eastAsia="宋体" w:cs="Times New Roman"/>
          <w:kern w:val="0"/>
          <w:sz w:val="24"/>
          <w:szCs w:val="32"/>
        </w:rPr>
      </w:pPr>
      <w:r>
        <w:rPr>
          <w:rFonts w:hint="eastAsia" w:ascii="宋体" w:hAnsi="宋体" w:eastAsia="宋体" w:cs="Times New Roman"/>
          <w:kern w:val="0"/>
          <w:sz w:val="24"/>
          <w:szCs w:val="32"/>
        </w:rPr>
        <w:t>技术、服务要求响应、偏离说明表（附件十五）；</w:t>
      </w:r>
    </w:p>
    <w:p>
      <w:pPr>
        <w:numPr>
          <w:ilvl w:val="0"/>
          <w:numId w:val="61"/>
        </w:numPr>
        <w:autoSpaceDE w:val="0"/>
        <w:autoSpaceDN w:val="0"/>
        <w:adjustRightInd w:val="0"/>
        <w:spacing w:line="360" w:lineRule="auto"/>
        <w:ind w:left="490" w:hanging="370"/>
        <w:rPr>
          <w:rFonts w:ascii="宋体" w:hAnsi="宋体" w:eastAsia="宋体" w:cs="Times New Roman"/>
          <w:kern w:val="0"/>
          <w:sz w:val="24"/>
          <w:szCs w:val="32"/>
        </w:rPr>
      </w:pPr>
      <w:r>
        <w:rPr>
          <w:rFonts w:hint="eastAsia" w:ascii="宋体" w:hAnsi="宋体" w:eastAsia="宋体" w:cs="Times New Roman"/>
          <w:kern w:val="0"/>
          <w:sz w:val="24"/>
          <w:szCs w:val="32"/>
        </w:rPr>
        <w:t>技术、服务要求“★”号条款响应、偏离说明表（附件十六）；</w:t>
      </w:r>
    </w:p>
    <w:p>
      <w:pPr>
        <w:numPr>
          <w:ilvl w:val="0"/>
          <w:numId w:val="61"/>
        </w:numPr>
        <w:autoSpaceDE w:val="0"/>
        <w:autoSpaceDN w:val="0"/>
        <w:adjustRightInd w:val="0"/>
        <w:spacing w:line="360" w:lineRule="auto"/>
        <w:ind w:left="490" w:hanging="370"/>
        <w:rPr>
          <w:rFonts w:ascii="宋体" w:hAnsi="宋体" w:eastAsia="宋体" w:cs="Times New Roman"/>
          <w:kern w:val="0"/>
          <w:sz w:val="24"/>
          <w:szCs w:val="32"/>
        </w:rPr>
      </w:pPr>
      <w:r>
        <w:rPr>
          <w:rFonts w:hint="eastAsia" w:ascii="宋体" w:hAnsi="宋体" w:eastAsia="宋体" w:cs="Times New Roman"/>
          <w:kern w:val="0"/>
          <w:sz w:val="24"/>
          <w:szCs w:val="32"/>
        </w:rPr>
        <w:t>技术、服务评议对照表（附件十七）；</w:t>
      </w:r>
    </w:p>
    <w:p>
      <w:pPr>
        <w:numPr>
          <w:ilvl w:val="0"/>
          <w:numId w:val="61"/>
        </w:numPr>
        <w:autoSpaceDE w:val="0"/>
        <w:autoSpaceDN w:val="0"/>
        <w:adjustRightInd w:val="0"/>
        <w:spacing w:line="360" w:lineRule="auto"/>
        <w:ind w:left="490" w:hanging="370"/>
        <w:rPr>
          <w:rFonts w:ascii="宋体" w:hAnsi="宋体" w:eastAsia="宋体" w:cs="Times New Roman"/>
          <w:kern w:val="0"/>
          <w:sz w:val="24"/>
          <w:szCs w:val="32"/>
        </w:rPr>
      </w:pPr>
      <w:r>
        <w:rPr>
          <w:rFonts w:hint="eastAsia" w:ascii="宋体" w:hAnsi="宋体" w:eastAsia="宋体" w:cs="Times New Roman"/>
          <w:kern w:val="0"/>
          <w:sz w:val="24"/>
          <w:szCs w:val="32"/>
        </w:rPr>
        <w:t>招标文件要求提供或投标人认为需提供的其它资料。</w:t>
      </w:r>
    </w:p>
    <w:p>
      <w:pPr>
        <w:autoSpaceDE w:val="0"/>
        <w:autoSpaceDN w:val="0"/>
        <w:adjustRightInd w:val="0"/>
        <w:spacing w:line="360" w:lineRule="auto"/>
        <w:rPr>
          <w:rFonts w:ascii="宋体" w:hAnsi="宋体" w:eastAsia="宋体" w:cs="Times New Roman"/>
          <w:kern w:val="0"/>
          <w:sz w:val="24"/>
          <w:szCs w:val="32"/>
        </w:rPr>
      </w:pPr>
    </w:p>
    <w:p>
      <w:pPr>
        <w:autoSpaceDE w:val="0"/>
        <w:autoSpaceDN w:val="0"/>
        <w:adjustRightInd w:val="0"/>
        <w:spacing w:line="360" w:lineRule="auto"/>
        <w:ind w:left="718" w:leftChars="-6" w:hanging="730" w:hangingChars="303"/>
        <w:rPr>
          <w:rFonts w:ascii="宋体" w:hAnsi="宋体" w:eastAsia="宋体" w:cs="Times New Roman"/>
          <w:color w:val="0D0D0D"/>
          <w:kern w:val="0"/>
          <w:sz w:val="24"/>
          <w:szCs w:val="32"/>
        </w:rPr>
      </w:pPr>
      <w:r>
        <w:rPr>
          <w:rFonts w:hint="eastAsia" w:ascii="宋体" w:hAnsi="宋体" w:eastAsia="宋体" w:cs="Times New Roman"/>
          <w:color w:val="0D0D0D"/>
          <w:kern w:val="0"/>
          <w:sz w:val="24"/>
          <w:szCs w:val="32"/>
        </w:rPr>
        <w:t>说明：投标文件技术、服务文件的编制原则，一是按招标文件要求，提供相应说明、资料、表格以证明所投货物（工程或服务）是否响应招标文件要求；二是对应评分标准，充分体现所投货物（工程或服务）对于评分标准的响应程度和优势。</w:t>
      </w:r>
    </w:p>
    <w:p>
      <w:r>
        <w:br w:type="page"/>
      </w:r>
    </w:p>
    <w:p>
      <w:pPr>
        <w:pStyle w:val="5"/>
        <w:numPr>
          <w:ilvl w:val="0"/>
          <w:numId w:val="62"/>
        </w:numPr>
        <w:spacing w:before="100" w:beforeAutospacing="1" w:afterLines="50" w:line="360" w:lineRule="auto"/>
        <w:ind w:left="1288" w:hanging="1288"/>
        <w:rPr>
          <w:rFonts w:ascii="宋体" w:hAnsi="宋体" w:eastAsia="宋体"/>
        </w:rPr>
      </w:pPr>
      <w:bookmarkStart w:id="124" w:name="_Toc494665951"/>
      <w:bookmarkStart w:id="125" w:name="_Toc238276242"/>
      <w:bookmarkStart w:id="126" w:name="_Toc494665554"/>
      <w:bookmarkStart w:id="127" w:name="_Toc494702271"/>
      <w:bookmarkStart w:id="128" w:name="_Toc494721101"/>
      <w:bookmarkStart w:id="129" w:name="_Toc236473298"/>
      <w:bookmarkStart w:id="130" w:name="_Toc494745318"/>
      <w:bookmarkStart w:id="131" w:name="_Toc494665001"/>
      <w:bookmarkStart w:id="132" w:name="_Toc30165"/>
      <w:r>
        <w:rPr>
          <w:rFonts w:hint="eastAsia" w:ascii="宋体" w:hAnsi="宋体" w:eastAsia="宋体"/>
        </w:rPr>
        <w:t>投标书</w:t>
      </w:r>
      <w:bookmarkEnd w:id="124"/>
      <w:bookmarkEnd w:id="125"/>
      <w:bookmarkEnd w:id="126"/>
      <w:bookmarkEnd w:id="127"/>
      <w:bookmarkEnd w:id="128"/>
      <w:bookmarkEnd w:id="129"/>
      <w:bookmarkEnd w:id="130"/>
      <w:bookmarkEnd w:id="131"/>
      <w:bookmarkEnd w:id="132"/>
    </w:p>
    <w:p>
      <w:pPr>
        <w:spacing w:line="360" w:lineRule="auto"/>
        <w:rPr>
          <w:b/>
          <w:sz w:val="28"/>
          <w:szCs w:val="28"/>
        </w:rPr>
      </w:pPr>
      <w:r>
        <w:rPr>
          <w:rFonts w:hint="eastAsia"/>
          <w:b/>
          <w:sz w:val="28"/>
          <w:szCs w:val="28"/>
        </w:rPr>
        <w:t>阳新县公共资源交易中心：</w:t>
      </w:r>
    </w:p>
    <w:p>
      <w:pPr>
        <w:spacing w:line="360" w:lineRule="auto"/>
        <w:ind w:firstLine="482" w:firstLineChars="200"/>
        <w:rPr>
          <w:rFonts w:asciiTheme="minorEastAsia" w:hAnsiTheme="minorEastAsia"/>
          <w:color w:val="0C0C0C" w:themeColor="text1" w:themeTint="F2"/>
          <w:sz w:val="24"/>
          <w:szCs w:val="24"/>
        </w:rPr>
      </w:pPr>
      <w:r>
        <w:rPr>
          <w:rFonts w:hint="eastAsia" w:asciiTheme="minorEastAsia" w:hAnsiTheme="minorEastAsia"/>
          <w:color w:val="0C0C0C" w:themeColor="text1" w:themeTint="F2"/>
          <w:sz w:val="24"/>
          <w:szCs w:val="24"/>
        </w:rPr>
        <w:t>依据贵方___</w:t>
      </w:r>
      <w:r>
        <w:rPr>
          <w:rFonts w:hint="eastAsia" w:asciiTheme="minorEastAsia" w:hAnsiTheme="minorEastAsia"/>
          <w:color w:val="0C0C0C" w:themeColor="text1" w:themeTint="F2"/>
          <w:sz w:val="24"/>
          <w:szCs w:val="24"/>
          <w:u w:val="single"/>
        </w:rPr>
        <w:t xml:space="preserve">  _</w:t>
      </w:r>
      <w:r>
        <w:rPr>
          <w:rFonts w:hint="eastAsia" w:asciiTheme="minorEastAsia" w:hAnsiTheme="minorEastAsia"/>
          <w:color w:val="0C0C0C" w:themeColor="text1" w:themeTint="F2"/>
          <w:sz w:val="24"/>
          <w:szCs w:val="24"/>
        </w:rPr>
        <w:t>项目（项目编号：_____）招标的投标邀请，我方代表</w:t>
      </w:r>
      <w:r>
        <w:rPr>
          <w:rFonts w:hint="eastAsia" w:asciiTheme="minorEastAsia" w:hAnsiTheme="minorEastAsia"/>
          <w:color w:val="0C0C0C" w:themeColor="text1" w:themeTint="F2"/>
          <w:sz w:val="24"/>
          <w:szCs w:val="24"/>
          <w:u w:val="single"/>
        </w:rPr>
        <w:t>（姓名、职务）</w:t>
      </w:r>
      <w:r>
        <w:rPr>
          <w:rFonts w:hint="eastAsia" w:asciiTheme="minorEastAsia" w:hAnsiTheme="minorEastAsia"/>
          <w:color w:val="0C0C0C" w:themeColor="text1" w:themeTint="F2"/>
          <w:sz w:val="24"/>
          <w:szCs w:val="24"/>
        </w:rPr>
        <w:t>经正式授权并代表投标人</w:t>
      </w:r>
      <w:r>
        <w:rPr>
          <w:rFonts w:hint="eastAsia" w:asciiTheme="minorEastAsia" w:hAnsiTheme="minorEastAsia"/>
          <w:color w:val="0C0C0C" w:themeColor="text1" w:themeTint="F2"/>
          <w:sz w:val="24"/>
          <w:szCs w:val="24"/>
          <w:u w:val="single"/>
        </w:rPr>
        <w:t>（投标人全称 ）</w:t>
      </w:r>
      <w:r>
        <w:rPr>
          <w:rFonts w:hint="eastAsia" w:asciiTheme="minorEastAsia" w:hAnsiTheme="minorEastAsia"/>
          <w:color w:val="0C0C0C" w:themeColor="text1" w:themeTint="F2"/>
          <w:sz w:val="24"/>
          <w:szCs w:val="24"/>
        </w:rPr>
        <w:t>提交</w:t>
      </w:r>
      <w:r>
        <w:rPr>
          <w:rFonts w:hint="eastAsia" w:ascii="宋体" w:hAnsi="宋体"/>
          <w:color w:val="0C0C0C" w:themeColor="text1" w:themeTint="F2"/>
          <w:kern w:val="0"/>
          <w:sz w:val="24"/>
        </w:rPr>
        <w:t>“开标一览表”信封和下述文件正本份，副本份。</w:t>
      </w:r>
    </w:p>
    <w:p>
      <w:pPr>
        <w:spacing w:line="360" w:lineRule="auto"/>
        <w:ind w:left="12" w:leftChars="6" w:firstLine="473" w:firstLineChars="197"/>
        <w:rPr>
          <w:rFonts w:asciiTheme="minorEastAsia" w:hAnsiTheme="minorEastAsia"/>
          <w:sz w:val="24"/>
          <w:szCs w:val="24"/>
        </w:rPr>
      </w:pPr>
      <w:r>
        <w:rPr>
          <w:rFonts w:hint="eastAsia" w:asciiTheme="minorEastAsia" w:hAnsiTheme="minorEastAsia"/>
          <w:sz w:val="24"/>
          <w:szCs w:val="24"/>
        </w:rPr>
        <w:t xml:space="preserve">1.资格证明文件； </w:t>
      </w:r>
    </w:p>
    <w:p>
      <w:pPr>
        <w:spacing w:line="360" w:lineRule="auto"/>
        <w:ind w:left="12" w:leftChars="6" w:firstLine="473" w:firstLineChars="197"/>
        <w:rPr>
          <w:rFonts w:asciiTheme="minorEastAsia" w:hAnsiTheme="minorEastAsia"/>
          <w:sz w:val="24"/>
          <w:szCs w:val="24"/>
        </w:rPr>
      </w:pPr>
      <w:r>
        <w:rPr>
          <w:rFonts w:hint="eastAsia" w:asciiTheme="minorEastAsia" w:hAnsiTheme="minorEastAsia"/>
          <w:sz w:val="24"/>
          <w:szCs w:val="24"/>
        </w:rPr>
        <w:t>2.商务文件；</w:t>
      </w:r>
    </w:p>
    <w:p>
      <w:pPr>
        <w:spacing w:line="360" w:lineRule="auto"/>
        <w:ind w:left="12" w:leftChars="6" w:firstLine="473" w:firstLineChars="197"/>
        <w:rPr>
          <w:rFonts w:asciiTheme="minorEastAsia" w:hAnsiTheme="minorEastAsia"/>
          <w:sz w:val="24"/>
          <w:szCs w:val="24"/>
        </w:rPr>
      </w:pPr>
      <w:r>
        <w:rPr>
          <w:rFonts w:hint="eastAsia" w:asciiTheme="minorEastAsia" w:hAnsiTheme="minorEastAsia"/>
          <w:sz w:val="24"/>
          <w:szCs w:val="24"/>
        </w:rPr>
        <w:t>3.技术、服务文件。</w:t>
      </w:r>
    </w:p>
    <w:p>
      <w:pPr>
        <w:spacing w:line="360" w:lineRule="auto"/>
        <w:rPr>
          <w:rFonts w:ascii="宋体" w:hAnsi="宋体" w:eastAsia="宋体" w:cs="Times New Roman"/>
          <w:b/>
          <w:color w:val="0C0C0C" w:themeColor="text1" w:themeTint="F2"/>
          <w:kern w:val="0"/>
          <w:sz w:val="24"/>
          <w:szCs w:val="24"/>
        </w:rPr>
      </w:pPr>
      <w:r>
        <w:rPr>
          <w:rFonts w:hint="eastAsia" w:ascii="宋体" w:hAnsi="宋体" w:eastAsia="宋体" w:cs="Times New Roman"/>
          <w:b/>
          <w:color w:val="0C0C0C" w:themeColor="text1" w:themeTint="F2"/>
          <w:kern w:val="0"/>
          <w:sz w:val="24"/>
          <w:szCs w:val="24"/>
        </w:rPr>
        <w:t>在此，我方宣布同意如下：</w:t>
      </w:r>
    </w:p>
    <w:p>
      <w:pPr>
        <w:pStyle w:val="55"/>
        <w:numPr>
          <w:ilvl w:val="0"/>
          <w:numId w:val="63"/>
        </w:numPr>
        <w:tabs>
          <w:tab w:val="left" w:pos="851"/>
        </w:tabs>
        <w:spacing w:line="360" w:lineRule="auto"/>
        <w:ind w:left="0" w:firstLine="483"/>
        <w:rPr>
          <w:rFonts w:asciiTheme="minorEastAsia" w:hAnsiTheme="minorEastAsia"/>
          <w:sz w:val="24"/>
          <w:szCs w:val="24"/>
        </w:rPr>
      </w:pPr>
      <w:r>
        <w:rPr>
          <w:rFonts w:hint="eastAsia" w:asciiTheme="minorEastAsia" w:hAnsiTheme="minorEastAsia"/>
          <w:sz w:val="24"/>
          <w:szCs w:val="24"/>
        </w:rPr>
        <w:t>1．《开标一览表》中规定的应提交和交付的</w:t>
      </w:r>
      <w:r>
        <w:rPr>
          <w:rFonts w:hint="eastAsia" w:asciiTheme="minorEastAsia" w:hAnsiTheme="minorEastAsia"/>
          <w:sz w:val="24"/>
          <w:szCs w:val="24"/>
          <w:u w:val="single"/>
        </w:rPr>
        <w:t xml:space="preserve">  （包号）  </w:t>
      </w:r>
      <w:r>
        <w:rPr>
          <w:rFonts w:hint="eastAsia" w:asciiTheme="minorEastAsia" w:hAnsiTheme="minorEastAsia"/>
          <w:sz w:val="24"/>
          <w:szCs w:val="24"/>
        </w:rPr>
        <w:t>货物（工程或服务）投标总价为</w:t>
      </w:r>
      <w:r>
        <w:rPr>
          <w:rFonts w:hint="eastAsia" w:asciiTheme="minorEastAsia" w:hAnsiTheme="minorEastAsia"/>
          <w:sz w:val="24"/>
          <w:szCs w:val="24"/>
          <w:u w:val="single"/>
        </w:rPr>
        <w:t xml:space="preserve"> （注明币种，并用大写和小写表述投标总价） </w:t>
      </w:r>
      <w:r>
        <w:rPr>
          <w:rFonts w:hint="eastAsia" w:asciiTheme="minorEastAsia" w:hAnsiTheme="minorEastAsia"/>
          <w:sz w:val="24"/>
          <w:szCs w:val="24"/>
        </w:rPr>
        <w:t>；</w:t>
      </w:r>
    </w:p>
    <w:p>
      <w:pPr>
        <w:spacing w:line="360" w:lineRule="auto"/>
        <w:ind w:left="12" w:leftChars="6" w:firstLine="473" w:firstLineChars="197"/>
        <w:rPr>
          <w:rFonts w:asciiTheme="minorEastAsia" w:hAnsiTheme="minorEastAsia"/>
          <w:sz w:val="24"/>
          <w:szCs w:val="24"/>
        </w:rPr>
      </w:pPr>
      <w:r>
        <w:rPr>
          <w:rFonts w:hint="eastAsia" w:asciiTheme="minorEastAsia" w:hAnsiTheme="minorEastAsia"/>
          <w:sz w:val="24"/>
          <w:szCs w:val="24"/>
        </w:rPr>
        <w:t>2．按招标文件的约定履行合同责任和义务；</w:t>
      </w:r>
    </w:p>
    <w:p>
      <w:pPr>
        <w:spacing w:line="360" w:lineRule="auto"/>
        <w:ind w:left="12" w:leftChars="6" w:firstLine="473" w:firstLineChars="197"/>
        <w:rPr>
          <w:rFonts w:asciiTheme="minorEastAsia" w:hAnsiTheme="minorEastAsia"/>
          <w:sz w:val="24"/>
          <w:szCs w:val="24"/>
        </w:rPr>
      </w:pPr>
      <w:r>
        <w:rPr>
          <w:rFonts w:hint="eastAsia" w:asciiTheme="minorEastAsia" w:hAnsiTheme="minorEastAsia"/>
          <w:sz w:val="24"/>
          <w:szCs w:val="24"/>
        </w:rPr>
        <w:t>3．已详细审查全部招标文件，包括</w:t>
      </w:r>
      <w:r>
        <w:rPr>
          <w:rFonts w:hint="eastAsia" w:asciiTheme="minorEastAsia" w:hAnsiTheme="minorEastAsia"/>
          <w:sz w:val="24"/>
          <w:szCs w:val="24"/>
          <w:u w:val="single"/>
        </w:rPr>
        <w:t>（修正或补充文件）（如果有的话）</w:t>
      </w:r>
      <w:r>
        <w:rPr>
          <w:rFonts w:hint="eastAsia" w:asciiTheme="minorEastAsia" w:hAnsiTheme="minorEastAsia"/>
          <w:sz w:val="24"/>
          <w:szCs w:val="24"/>
        </w:rPr>
        <w:t>，对此无异议；</w:t>
      </w:r>
    </w:p>
    <w:p>
      <w:pPr>
        <w:spacing w:line="360" w:lineRule="auto"/>
        <w:ind w:left="12" w:leftChars="6" w:firstLine="473" w:firstLineChars="197"/>
        <w:rPr>
          <w:rFonts w:asciiTheme="minorEastAsia" w:hAnsiTheme="minorEastAsia"/>
          <w:sz w:val="24"/>
          <w:szCs w:val="24"/>
        </w:rPr>
      </w:pPr>
      <w:r>
        <w:rPr>
          <w:rFonts w:hint="eastAsia" w:asciiTheme="minorEastAsia" w:hAnsiTheme="minorEastAsia"/>
          <w:sz w:val="24"/>
          <w:szCs w:val="24"/>
        </w:rPr>
        <w:t>4．投标有效期为</w:t>
      </w:r>
      <w:r>
        <w:rPr>
          <w:rFonts w:hint="eastAsia" w:asciiTheme="minorEastAsia" w:hAnsiTheme="minorEastAsia"/>
          <w:color w:val="0C0C0C" w:themeColor="text1" w:themeTint="F2"/>
          <w:sz w:val="24"/>
          <w:szCs w:val="24"/>
        </w:rPr>
        <w:t>自</w:t>
      </w:r>
      <w:r>
        <w:rPr>
          <w:rFonts w:hint="eastAsia" w:ascii="宋体" w:hAnsi="宋体"/>
          <w:color w:val="0C0C0C" w:themeColor="text1" w:themeTint="F2"/>
          <w:kern w:val="0"/>
          <w:sz w:val="24"/>
        </w:rPr>
        <w:t>递交投标文件截止之日</w:t>
      </w:r>
      <w:r>
        <w:rPr>
          <w:rFonts w:hint="eastAsia" w:asciiTheme="minorEastAsia" w:hAnsiTheme="minorEastAsia"/>
          <w:color w:val="0C0C0C" w:themeColor="text1" w:themeTint="F2"/>
          <w:sz w:val="24"/>
          <w:szCs w:val="24"/>
        </w:rPr>
        <w:t>起</w:t>
      </w:r>
      <w:r>
        <w:rPr>
          <w:rFonts w:hint="eastAsia" w:asciiTheme="minorEastAsia" w:hAnsiTheme="minorEastAsia"/>
          <w:sz w:val="24"/>
          <w:szCs w:val="24"/>
        </w:rPr>
        <w:t>，共</w:t>
      </w:r>
      <w:r>
        <w:rPr>
          <w:rFonts w:hint="eastAsia" w:asciiTheme="minorEastAsia" w:hAnsiTheme="minorEastAsia"/>
          <w:sz w:val="24"/>
          <w:szCs w:val="24"/>
          <w:u w:val="single"/>
        </w:rPr>
        <w:t xml:space="preserve">       </w:t>
      </w:r>
      <w:r>
        <w:rPr>
          <w:rFonts w:hint="eastAsia" w:asciiTheme="minorEastAsia" w:hAnsiTheme="minorEastAsia"/>
          <w:sz w:val="24"/>
          <w:szCs w:val="24"/>
        </w:rPr>
        <w:t>个日历日；</w:t>
      </w:r>
    </w:p>
    <w:p>
      <w:pPr>
        <w:spacing w:line="360" w:lineRule="auto"/>
        <w:ind w:left="12" w:leftChars="6" w:firstLine="473" w:firstLineChars="197"/>
        <w:rPr>
          <w:rFonts w:asciiTheme="minorEastAsia" w:hAnsiTheme="minorEastAsia"/>
          <w:sz w:val="24"/>
          <w:szCs w:val="24"/>
        </w:rPr>
      </w:pPr>
      <w:r>
        <w:rPr>
          <w:rFonts w:hint="eastAsia" w:asciiTheme="minorEastAsia" w:hAnsiTheme="minorEastAsia"/>
          <w:sz w:val="24"/>
          <w:szCs w:val="24"/>
        </w:rPr>
        <w:t>5．提供按照贵方可能要求的与投标有关的一切数据或资料；</w:t>
      </w:r>
    </w:p>
    <w:p>
      <w:pPr>
        <w:spacing w:line="360" w:lineRule="auto"/>
        <w:ind w:left="12" w:leftChars="6" w:firstLine="473" w:firstLineChars="197"/>
        <w:rPr>
          <w:rFonts w:asciiTheme="minorEastAsia" w:hAnsiTheme="minorEastAsia"/>
          <w:sz w:val="24"/>
          <w:szCs w:val="24"/>
        </w:rPr>
      </w:pPr>
      <w:r>
        <w:rPr>
          <w:rFonts w:hint="eastAsia" w:asciiTheme="minorEastAsia" w:hAnsiTheme="minorEastAsia"/>
          <w:sz w:val="24"/>
          <w:szCs w:val="24"/>
        </w:rPr>
        <w:t>6．与投标有关的一切正式往来信函请寄：。</w:t>
      </w:r>
    </w:p>
    <w:p>
      <w:pPr>
        <w:autoSpaceDE w:val="0"/>
        <w:autoSpaceDN w:val="0"/>
        <w:adjustRightInd w:val="0"/>
        <w:spacing w:line="400" w:lineRule="exact"/>
        <w:ind w:right="246" w:firstLine="482" w:firstLineChars="200"/>
        <w:rPr>
          <w:rFonts w:ascii="宋体" w:hAnsi="宋体" w:eastAsia="宋体" w:cs="Times New Roman"/>
          <w:kern w:val="0"/>
          <w:sz w:val="24"/>
          <w:szCs w:val="24"/>
        </w:rPr>
      </w:pPr>
    </w:p>
    <w:p>
      <w:pPr>
        <w:spacing w:line="360" w:lineRule="auto"/>
        <w:ind w:left="12" w:leftChars="6" w:firstLine="473" w:firstLineChars="197"/>
        <w:rPr>
          <w:rFonts w:asciiTheme="minorEastAsia" w:hAnsiTheme="minorEastAsia"/>
          <w:sz w:val="24"/>
          <w:szCs w:val="24"/>
        </w:rPr>
      </w:pPr>
      <w:r>
        <w:rPr>
          <w:rFonts w:hint="eastAsia" w:asciiTheme="minorEastAsia" w:hAnsiTheme="minorEastAsia"/>
          <w:sz w:val="24"/>
          <w:szCs w:val="24"/>
        </w:rPr>
        <w:t>投标人：</w:t>
      </w:r>
    </w:p>
    <w:p>
      <w:pPr>
        <w:spacing w:line="360" w:lineRule="auto"/>
        <w:ind w:left="12" w:leftChars="6" w:firstLine="473" w:firstLineChars="197"/>
        <w:rPr>
          <w:rFonts w:asciiTheme="minorEastAsia" w:hAnsiTheme="minorEastAsia"/>
          <w:sz w:val="24"/>
          <w:szCs w:val="24"/>
        </w:rPr>
      </w:pPr>
      <w:r>
        <w:rPr>
          <w:rFonts w:hint="eastAsia" w:asciiTheme="minorEastAsia" w:hAnsiTheme="minorEastAsia"/>
          <w:sz w:val="24"/>
          <w:szCs w:val="24"/>
        </w:rPr>
        <w:t>地  址：</w:t>
      </w:r>
    </w:p>
    <w:p>
      <w:pPr>
        <w:spacing w:line="360" w:lineRule="auto"/>
        <w:ind w:left="12" w:leftChars="6" w:firstLine="473" w:firstLineChars="197"/>
        <w:rPr>
          <w:rFonts w:asciiTheme="minorEastAsia" w:hAnsiTheme="minorEastAsia"/>
          <w:sz w:val="24"/>
          <w:szCs w:val="24"/>
        </w:rPr>
      </w:pPr>
      <w:r>
        <w:rPr>
          <w:rFonts w:hint="eastAsia" w:asciiTheme="minorEastAsia" w:hAnsiTheme="minorEastAsia"/>
          <w:sz w:val="24"/>
          <w:szCs w:val="24"/>
        </w:rPr>
        <w:t>电话/传真：</w:t>
      </w:r>
    </w:p>
    <w:p>
      <w:pPr>
        <w:spacing w:line="360" w:lineRule="auto"/>
        <w:ind w:left="12" w:leftChars="6" w:firstLine="473" w:firstLineChars="197"/>
        <w:rPr>
          <w:rFonts w:asciiTheme="minorEastAsia" w:hAnsiTheme="minorEastAsia"/>
          <w:sz w:val="24"/>
          <w:szCs w:val="24"/>
        </w:rPr>
      </w:pPr>
      <w:r>
        <w:rPr>
          <w:rFonts w:hint="eastAsia" w:asciiTheme="minorEastAsia" w:hAnsiTheme="minorEastAsia"/>
          <w:sz w:val="24"/>
          <w:szCs w:val="24"/>
        </w:rPr>
        <w:t>电子邮件：</w:t>
      </w:r>
    </w:p>
    <w:p>
      <w:pPr>
        <w:spacing w:line="360" w:lineRule="auto"/>
        <w:ind w:left="12" w:leftChars="6" w:firstLine="473" w:firstLineChars="197"/>
        <w:rPr>
          <w:rFonts w:asciiTheme="minorEastAsia" w:hAnsiTheme="minorEastAsia"/>
          <w:sz w:val="24"/>
          <w:szCs w:val="24"/>
        </w:rPr>
      </w:pPr>
      <w:r>
        <w:rPr>
          <w:rFonts w:hint="eastAsia" w:asciiTheme="minorEastAsia" w:hAnsiTheme="minorEastAsia"/>
          <w:sz w:val="24"/>
          <w:szCs w:val="24"/>
        </w:rPr>
        <w:t>投标人(公章)：</w:t>
      </w:r>
    </w:p>
    <w:p>
      <w:pPr>
        <w:spacing w:line="360" w:lineRule="auto"/>
        <w:ind w:left="12" w:leftChars="6" w:firstLine="473" w:firstLineChars="197"/>
        <w:rPr>
          <w:rFonts w:asciiTheme="minorEastAsia" w:hAnsiTheme="minorEastAsia"/>
          <w:sz w:val="24"/>
          <w:szCs w:val="24"/>
        </w:rPr>
      </w:pPr>
      <w:r>
        <w:rPr>
          <w:rFonts w:hint="eastAsia" w:asciiTheme="minorEastAsia" w:hAnsiTheme="minorEastAsia"/>
          <w:sz w:val="24"/>
          <w:szCs w:val="24"/>
        </w:rPr>
        <w:t>投标人授权代表（签字）：</w:t>
      </w:r>
    </w:p>
    <w:p>
      <w:pPr>
        <w:spacing w:line="360" w:lineRule="auto"/>
        <w:ind w:left="12" w:leftChars="6" w:firstLine="473" w:firstLineChars="197"/>
        <w:rPr>
          <w:rFonts w:asciiTheme="minorEastAsia" w:hAnsiTheme="minorEastAsia"/>
          <w:sz w:val="24"/>
          <w:szCs w:val="24"/>
        </w:rPr>
      </w:pPr>
      <w:r>
        <w:rPr>
          <w:rFonts w:hint="eastAsia" w:asciiTheme="minorEastAsia" w:hAnsiTheme="minorEastAsia"/>
          <w:sz w:val="24"/>
          <w:szCs w:val="24"/>
        </w:rPr>
        <w:t>日    期：</w:t>
      </w:r>
    </w:p>
    <w:p>
      <w:pPr>
        <w:spacing w:line="360" w:lineRule="auto"/>
        <w:ind w:left="12" w:leftChars="6" w:firstLine="473" w:firstLineChars="197"/>
        <w:rPr>
          <w:rFonts w:asciiTheme="minorEastAsia" w:hAnsiTheme="minorEastAsia"/>
          <w:sz w:val="24"/>
          <w:szCs w:val="24"/>
        </w:rPr>
      </w:pPr>
      <w:r>
        <w:rPr>
          <w:rFonts w:hint="eastAsia" w:asciiTheme="minorEastAsia" w:hAnsiTheme="minorEastAsia"/>
          <w:sz w:val="24"/>
          <w:szCs w:val="24"/>
        </w:rPr>
        <w:t>开户银行：</w:t>
      </w:r>
    </w:p>
    <w:p>
      <w:pPr>
        <w:spacing w:line="360" w:lineRule="auto"/>
        <w:ind w:left="12" w:leftChars="6" w:firstLine="473" w:firstLineChars="197"/>
        <w:rPr>
          <w:rFonts w:asciiTheme="minorEastAsia" w:hAnsiTheme="minorEastAsia"/>
          <w:sz w:val="24"/>
          <w:szCs w:val="24"/>
        </w:rPr>
      </w:pPr>
      <w:r>
        <w:rPr>
          <w:rFonts w:hint="eastAsia" w:asciiTheme="minorEastAsia" w:hAnsiTheme="minorEastAsia"/>
          <w:sz w:val="24"/>
          <w:szCs w:val="24"/>
        </w:rPr>
        <w:t>帐号/行号：</w:t>
      </w:r>
    </w:p>
    <w:p>
      <w:r>
        <w:br w:type="page"/>
      </w:r>
    </w:p>
    <w:p>
      <w:pPr>
        <w:pStyle w:val="5"/>
        <w:numPr>
          <w:ilvl w:val="0"/>
          <w:numId w:val="62"/>
        </w:numPr>
        <w:spacing w:before="100" w:beforeAutospacing="1" w:afterLines="50" w:line="360" w:lineRule="auto"/>
        <w:ind w:left="1288" w:hanging="1288"/>
        <w:rPr>
          <w:rFonts w:ascii="宋体" w:hAnsi="宋体" w:eastAsia="宋体"/>
        </w:rPr>
      </w:pPr>
      <w:bookmarkStart w:id="133" w:name="_Toc494665558"/>
      <w:bookmarkStart w:id="134" w:name="_Toc494745322"/>
      <w:bookmarkStart w:id="135" w:name="_Toc494665955"/>
      <w:bookmarkStart w:id="136" w:name="_Toc494721105"/>
      <w:bookmarkStart w:id="137" w:name="_Toc494577410"/>
      <w:bookmarkStart w:id="138" w:name="_Toc494702275"/>
      <w:bookmarkStart w:id="139" w:name="_Toc494665005"/>
      <w:bookmarkStart w:id="140" w:name="_Toc18982"/>
      <w:r>
        <w:rPr>
          <w:rFonts w:hint="eastAsia" w:ascii="宋体" w:hAnsi="宋体" w:eastAsia="宋体"/>
        </w:rPr>
        <w:t>开标一览表</w:t>
      </w:r>
      <w:bookmarkEnd w:id="133"/>
      <w:bookmarkEnd w:id="134"/>
      <w:bookmarkEnd w:id="135"/>
      <w:bookmarkEnd w:id="136"/>
      <w:bookmarkEnd w:id="137"/>
      <w:bookmarkEnd w:id="138"/>
      <w:bookmarkEnd w:id="139"/>
      <w:bookmarkEnd w:id="140"/>
    </w:p>
    <w:p>
      <w:pPr>
        <w:spacing w:line="360" w:lineRule="auto"/>
        <w:jc w:val="left"/>
        <w:rPr>
          <w:rFonts w:ascii="宋体" w:hAnsi="宋体" w:eastAsia="宋体" w:cs="Times New Roman"/>
          <w:b/>
          <w:sz w:val="24"/>
          <w:szCs w:val="21"/>
          <w:u w:val="single"/>
          <w:lang w:val="zh-CN"/>
        </w:rPr>
      </w:pPr>
      <w:r>
        <w:rPr>
          <w:rFonts w:hint="eastAsia" w:ascii="宋体" w:hAnsi="宋体" w:eastAsia="宋体" w:cs="Times New Roman"/>
          <w:b/>
          <w:sz w:val="24"/>
          <w:szCs w:val="21"/>
          <w:lang w:val="zh-CN"/>
        </w:rPr>
        <w:t>投 标 人：</w:t>
      </w:r>
    </w:p>
    <w:p>
      <w:pPr>
        <w:spacing w:line="360" w:lineRule="auto"/>
        <w:jc w:val="left"/>
        <w:rPr>
          <w:rFonts w:ascii="宋体" w:hAnsi="宋体" w:eastAsia="宋体" w:cs="Times New Roman"/>
          <w:b/>
          <w:sz w:val="24"/>
          <w:szCs w:val="21"/>
          <w:lang w:val="zh-CN"/>
        </w:rPr>
      </w:pPr>
      <w:r>
        <w:rPr>
          <w:rFonts w:hint="eastAsia" w:ascii="宋体" w:hAnsi="宋体" w:eastAsia="宋体" w:cs="Times New Roman"/>
          <w:b/>
          <w:sz w:val="24"/>
          <w:szCs w:val="21"/>
          <w:lang w:val="zh-CN"/>
        </w:rPr>
        <w:t>项目名称：</w:t>
      </w:r>
    </w:p>
    <w:p>
      <w:pPr>
        <w:spacing w:line="360" w:lineRule="auto"/>
        <w:jc w:val="left"/>
        <w:rPr>
          <w:rFonts w:ascii="宋体" w:hAnsi="宋体" w:eastAsia="宋体" w:cs="Times New Roman"/>
          <w:b/>
          <w:bCs/>
          <w:sz w:val="24"/>
          <w:szCs w:val="21"/>
          <w:u w:val="single"/>
          <w:lang w:val="zh-CN"/>
        </w:rPr>
      </w:pPr>
      <w:r>
        <w:rPr>
          <w:rFonts w:hint="eastAsia" w:ascii="宋体" w:hAnsi="宋体" w:eastAsia="宋体" w:cs="Times New Roman"/>
          <w:b/>
          <w:sz w:val="24"/>
          <w:szCs w:val="21"/>
          <w:lang w:val="zh-CN"/>
        </w:rPr>
        <w:t>项目编号：</w:t>
      </w:r>
      <w:r>
        <w:rPr>
          <w:rFonts w:hint="eastAsia" w:ascii="宋体" w:hAnsi="宋体" w:eastAsia="宋体" w:cs="Times New Roman"/>
          <w:b/>
          <w:bCs/>
          <w:sz w:val="24"/>
          <w:szCs w:val="21"/>
          <w:lang w:val="zh-CN"/>
        </w:rPr>
        <w:t xml:space="preserve">                所投包号：</w:t>
      </w:r>
    </w:p>
    <w:tbl>
      <w:tblPr>
        <w:tblStyle w:val="21"/>
        <w:tblW w:w="9547" w:type="dxa"/>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1"/>
        <w:gridCol w:w="1057"/>
        <w:gridCol w:w="924"/>
        <w:gridCol w:w="2954"/>
        <w:gridCol w:w="1119"/>
        <w:gridCol w:w="1134"/>
        <w:gridCol w:w="1708"/>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51" w:type="dxa"/>
            <w:tcBorders>
              <w:top w:val="double" w:color="auto" w:sz="4" w:space="0"/>
              <w:left w:val="double" w:color="auto" w:sz="4" w:space="0"/>
              <w:bottom w:val="single" w:color="auto" w:sz="4" w:space="0"/>
              <w:right w:val="single" w:color="auto" w:sz="4" w:space="0"/>
            </w:tcBorders>
            <w:shd w:val="clear" w:color="auto" w:fill="EEECE1"/>
            <w:vAlign w:val="center"/>
          </w:tcPr>
          <w:p>
            <w:pPr>
              <w:spacing w:line="360" w:lineRule="auto"/>
              <w:ind w:left="-50" w:leftChars="-24" w:right="-65" w:rightChars="-31"/>
              <w:jc w:val="center"/>
              <w:rPr>
                <w:rFonts w:ascii="宋体" w:hAnsi="宋体" w:cs="宋体"/>
                <w:color w:val="0D0D0D"/>
                <w:kern w:val="0"/>
                <w:sz w:val="24"/>
              </w:rPr>
            </w:pPr>
            <w:r>
              <w:rPr>
                <w:rFonts w:hint="eastAsia" w:ascii="宋体" w:hAnsi="宋体" w:cs="宋体"/>
                <w:color w:val="0D0D0D"/>
                <w:kern w:val="0"/>
                <w:sz w:val="24"/>
              </w:rPr>
              <w:t>序号</w:t>
            </w:r>
          </w:p>
        </w:tc>
        <w:tc>
          <w:tcPr>
            <w:tcW w:w="1981" w:type="dxa"/>
            <w:gridSpan w:val="2"/>
            <w:tcBorders>
              <w:top w:val="double" w:color="auto" w:sz="4" w:space="0"/>
              <w:left w:val="single" w:color="auto" w:sz="4" w:space="0"/>
              <w:bottom w:val="single" w:color="auto" w:sz="4" w:space="0"/>
              <w:right w:val="single" w:color="auto" w:sz="4" w:space="0"/>
            </w:tcBorders>
            <w:shd w:val="clear" w:color="auto" w:fill="EEECE1"/>
            <w:vAlign w:val="center"/>
          </w:tcPr>
          <w:p>
            <w:pPr>
              <w:spacing w:line="360" w:lineRule="auto"/>
              <w:ind w:left="-50" w:leftChars="-24" w:right="-65" w:rightChars="-31"/>
              <w:jc w:val="center"/>
              <w:rPr>
                <w:rFonts w:ascii="宋体" w:hAnsi="宋体" w:cs="宋体"/>
                <w:color w:val="0D0D0D"/>
                <w:kern w:val="0"/>
                <w:sz w:val="24"/>
              </w:rPr>
            </w:pPr>
            <w:r>
              <w:rPr>
                <w:rFonts w:hint="eastAsia" w:ascii="宋体" w:hAnsi="宋体" w:cs="宋体"/>
                <w:color w:val="0D0D0D"/>
                <w:kern w:val="0"/>
                <w:sz w:val="24"/>
              </w:rPr>
              <w:t>名称</w:t>
            </w:r>
          </w:p>
        </w:tc>
        <w:tc>
          <w:tcPr>
            <w:tcW w:w="2954" w:type="dxa"/>
            <w:tcBorders>
              <w:top w:val="double" w:color="auto" w:sz="4" w:space="0"/>
              <w:left w:val="single" w:color="auto" w:sz="4" w:space="0"/>
              <w:bottom w:val="single" w:color="auto" w:sz="4" w:space="0"/>
              <w:right w:val="single" w:color="auto" w:sz="4" w:space="0"/>
            </w:tcBorders>
            <w:shd w:val="clear" w:color="auto" w:fill="EEECE1"/>
            <w:vAlign w:val="center"/>
          </w:tcPr>
          <w:p>
            <w:pPr>
              <w:spacing w:line="360" w:lineRule="auto"/>
              <w:ind w:left="-50" w:leftChars="-24" w:right="-65" w:rightChars="-31"/>
              <w:jc w:val="center"/>
              <w:rPr>
                <w:rFonts w:ascii="宋体" w:hAnsi="宋体" w:cs="宋体"/>
                <w:color w:val="0D0D0D"/>
                <w:kern w:val="0"/>
                <w:sz w:val="24"/>
              </w:rPr>
            </w:pPr>
            <w:r>
              <w:rPr>
                <w:rFonts w:hint="eastAsia" w:ascii="宋体" w:hAnsi="宋体" w:cs="宋体"/>
                <w:color w:val="0D0D0D"/>
                <w:kern w:val="0"/>
                <w:sz w:val="24"/>
              </w:rPr>
              <w:t>品牌、型号</w:t>
            </w:r>
          </w:p>
        </w:tc>
        <w:tc>
          <w:tcPr>
            <w:tcW w:w="1119" w:type="dxa"/>
            <w:tcBorders>
              <w:top w:val="double" w:color="auto" w:sz="4" w:space="0"/>
              <w:left w:val="single" w:color="auto" w:sz="4" w:space="0"/>
              <w:bottom w:val="single" w:color="auto" w:sz="4" w:space="0"/>
              <w:right w:val="single" w:color="auto" w:sz="4" w:space="0"/>
            </w:tcBorders>
            <w:shd w:val="clear" w:color="auto" w:fill="EEECE1"/>
            <w:vAlign w:val="center"/>
          </w:tcPr>
          <w:p>
            <w:pPr>
              <w:spacing w:line="360" w:lineRule="auto"/>
              <w:ind w:left="-50" w:leftChars="-24" w:right="-65" w:rightChars="-31"/>
              <w:jc w:val="center"/>
              <w:rPr>
                <w:rFonts w:ascii="宋体" w:hAnsi="宋体" w:cs="宋体"/>
                <w:color w:val="0D0D0D"/>
                <w:kern w:val="0"/>
                <w:sz w:val="24"/>
              </w:rPr>
            </w:pPr>
            <w:r>
              <w:rPr>
                <w:rFonts w:hint="eastAsia" w:ascii="宋体" w:hAnsi="宋体" w:cs="宋体"/>
                <w:color w:val="0D0D0D"/>
                <w:kern w:val="0"/>
                <w:sz w:val="24"/>
              </w:rPr>
              <w:t>数量</w:t>
            </w:r>
          </w:p>
        </w:tc>
        <w:tc>
          <w:tcPr>
            <w:tcW w:w="1134" w:type="dxa"/>
            <w:tcBorders>
              <w:top w:val="double" w:color="auto" w:sz="4" w:space="0"/>
              <w:left w:val="single" w:color="auto" w:sz="4" w:space="0"/>
              <w:bottom w:val="single" w:color="auto" w:sz="4" w:space="0"/>
              <w:right w:val="single" w:color="auto" w:sz="4" w:space="0"/>
            </w:tcBorders>
            <w:shd w:val="clear" w:color="auto" w:fill="EEECE1"/>
            <w:vAlign w:val="center"/>
          </w:tcPr>
          <w:p>
            <w:pPr>
              <w:spacing w:line="360" w:lineRule="auto"/>
              <w:ind w:left="-50" w:leftChars="-24" w:right="-65" w:rightChars="-31"/>
              <w:jc w:val="center"/>
              <w:rPr>
                <w:rFonts w:ascii="宋体" w:hAnsi="宋体" w:cs="宋体"/>
                <w:color w:val="0D0D0D"/>
                <w:kern w:val="0"/>
                <w:sz w:val="24"/>
              </w:rPr>
            </w:pPr>
            <w:r>
              <w:rPr>
                <w:rFonts w:hint="eastAsia" w:ascii="宋体" w:hAnsi="宋体" w:cs="宋体"/>
                <w:color w:val="0D0D0D"/>
                <w:kern w:val="0"/>
                <w:sz w:val="24"/>
              </w:rPr>
              <w:t>单价(元)</w:t>
            </w:r>
          </w:p>
        </w:tc>
        <w:tc>
          <w:tcPr>
            <w:tcW w:w="1708" w:type="dxa"/>
            <w:tcBorders>
              <w:top w:val="double" w:color="auto" w:sz="4" w:space="0"/>
              <w:left w:val="single" w:color="auto" w:sz="4" w:space="0"/>
              <w:bottom w:val="single" w:color="auto" w:sz="4" w:space="0"/>
              <w:right w:val="double" w:color="auto" w:sz="4" w:space="0"/>
            </w:tcBorders>
            <w:shd w:val="clear" w:color="auto" w:fill="EEECE1"/>
            <w:vAlign w:val="center"/>
          </w:tcPr>
          <w:p>
            <w:pPr>
              <w:spacing w:line="360" w:lineRule="auto"/>
              <w:ind w:left="-50" w:leftChars="-24" w:right="-65" w:rightChars="-31"/>
              <w:jc w:val="center"/>
              <w:rPr>
                <w:rFonts w:ascii="宋体" w:hAnsi="宋体" w:cs="宋体"/>
                <w:color w:val="0D0D0D"/>
                <w:kern w:val="0"/>
                <w:sz w:val="24"/>
              </w:rPr>
            </w:pPr>
            <w:r>
              <w:rPr>
                <w:rFonts w:hint="eastAsia" w:ascii="宋体" w:hAnsi="宋体" w:cs="宋体"/>
                <w:color w:val="0D0D0D"/>
                <w:kern w:val="0"/>
                <w:sz w:val="24"/>
              </w:rPr>
              <w:t>分项合计(元)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51" w:type="dxa"/>
            <w:tcBorders>
              <w:top w:val="single" w:color="auto" w:sz="4" w:space="0"/>
              <w:left w:val="doub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p>
        </w:tc>
        <w:tc>
          <w:tcPr>
            <w:tcW w:w="1981" w:type="dxa"/>
            <w:gridSpan w:val="2"/>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p>
        </w:tc>
        <w:tc>
          <w:tcPr>
            <w:tcW w:w="2954" w:type="dxa"/>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p>
        </w:tc>
        <w:tc>
          <w:tcPr>
            <w:tcW w:w="1119" w:type="dxa"/>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p>
        </w:tc>
        <w:tc>
          <w:tcPr>
            <w:tcW w:w="1708" w:type="dxa"/>
            <w:tcBorders>
              <w:top w:val="single" w:color="auto" w:sz="4" w:space="0"/>
              <w:left w:val="single" w:color="auto" w:sz="4" w:space="0"/>
              <w:bottom w:val="single" w:color="auto" w:sz="4" w:space="0"/>
              <w:right w:val="doub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51" w:type="dxa"/>
            <w:tcBorders>
              <w:top w:val="single" w:color="auto" w:sz="4" w:space="0"/>
              <w:left w:val="doub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p>
        </w:tc>
        <w:tc>
          <w:tcPr>
            <w:tcW w:w="1981" w:type="dxa"/>
            <w:gridSpan w:val="2"/>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p>
        </w:tc>
        <w:tc>
          <w:tcPr>
            <w:tcW w:w="2954" w:type="dxa"/>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p>
        </w:tc>
        <w:tc>
          <w:tcPr>
            <w:tcW w:w="1119" w:type="dxa"/>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p>
        </w:tc>
        <w:tc>
          <w:tcPr>
            <w:tcW w:w="1708" w:type="dxa"/>
            <w:tcBorders>
              <w:top w:val="single" w:color="auto" w:sz="4" w:space="0"/>
              <w:left w:val="single" w:color="auto" w:sz="4" w:space="0"/>
              <w:bottom w:val="single" w:color="auto" w:sz="4" w:space="0"/>
              <w:right w:val="doub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708" w:type="dxa"/>
            <w:gridSpan w:val="2"/>
            <w:tcBorders>
              <w:top w:val="single" w:color="auto" w:sz="4" w:space="0"/>
              <w:left w:val="doub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r>
              <w:rPr>
                <w:rFonts w:hint="eastAsia" w:ascii="宋体" w:hAnsi="宋体" w:eastAsia="宋体" w:cs="宋体"/>
                <w:kern w:val="0"/>
                <w:sz w:val="24"/>
                <w:szCs w:val="24"/>
              </w:rPr>
              <w:t>投标总报价</w:t>
            </w:r>
          </w:p>
        </w:tc>
        <w:tc>
          <w:tcPr>
            <w:tcW w:w="7839" w:type="dxa"/>
            <w:gridSpan w:val="5"/>
            <w:tcBorders>
              <w:top w:val="single" w:color="auto" w:sz="4" w:space="0"/>
              <w:left w:val="single" w:color="auto" w:sz="4" w:space="0"/>
              <w:bottom w:val="single" w:color="auto" w:sz="4" w:space="0"/>
              <w:right w:val="double" w:color="auto" w:sz="4" w:space="0"/>
            </w:tcBorders>
            <w:vAlign w:val="center"/>
          </w:tcPr>
          <w:p>
            <w:pPr>
              <w:spacing w:after="120" w:line="400" w:lineRule="atLeast"/>
              <w:ind w:left="206" w:leftChars="98" w:right="-65" w:rightChars="-31"/>
              <w:jc w:val="left"/>
              <w:rPr>
                <w:rFonts w:ascii="宋体" w:hAnsi="宋体" w:eastAsia="宋体" w:cs="宋体"/>
                <w:kern w:val="0"/>
                <w:sz w:val="24"/>
                <w:szCs w:val="24"/>
              </w:rPr>
            </w:pPr>
            <w:r>
              <w:rPr>
                <w:rFonts w:hint="eastAsia" w:ascii="宋体" w:hAnsi="宋体" w:eastAsia="宋体" w:cs="宋体"/>
                <w:kern w:val="0"/>
                <w:sz w:val="24"/>
                <w:szCs w:val="24"/>
              </w:rPr>
              <w:t>小写：</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万元整</w:t>
            </w:r>
          </w:p>
          <w:p>
            <w:pPr>
              <w:spacing w:after="120" w:line="400" w:lineRule="atLeast"/>
              <w:ind w:left="206" w:leftChars="98" w:right="-65" w:rightChars="-31"/>
              <w:jc w:val="left"/>
              <w:rPr>
                <w:rFonts w:ascii="宋体" w:hAnsi="宋体" w:eastAsia="宋体" w:cs="宋体"/>
                <w:kern w:val="0"/>
                <w:sz w:val="24"/>
                <w:szCs w:val="24"/>
              </w:rPr>
            </w:pPr>
            <w:r>
              <w:rPr>
                <w:rFonts w:hint="eastAsia" w:ascii="宋体" w:hAnsi="宋体" w:eastAsia="宋体" w:cs="宋体"/>
                <w:kern w:val="0"/>
                <w:sz w:val="24"/>
                <w:szCs w:val="24"/>
              </w:rPr>
              <w:t>大写：</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万</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仟</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佰元整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708" w:type="dxa"/>
            <w:gridSpan w:val="2"/>
            <w:tcBorders>
              <w:top w:val="single" w:color="auto" w:sz="4" w:space="0"/>
              <w:left w:val="doub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r>
              <w:rPr>
                <w:rFonts w:hint="eastAsia" w:ascii="宋体" w:hAnsi="宋体" w:eastAsia="宋体" w:cs="宋体"/>
                <w:kern w:val="0"/>
                <w:sz w:val="24"/>
                <w:szCs w:val="24"/>
              </w:rPr>
              <w:t>项目工期</w:t>
            </w:r>
          </w:p>
          <w:p>
            <w:pPr>
              <w:spacing w:line="240" w:lineRule="atLeast"/>
              <w:ind w:left="-48" w:leftChars="-23" w:right="-65" w:rightChars="-31"/>
              <w:jc w:val="center"/>
              <w:rPr>
                <w:rFonts w:ascii="宋体" w:hAnsi="宋体" w:eastAsia="宋体" w:cs="宋体"/>
                <w:kern w:val="0"/>
                <w:sz w:val="24"/>
                <w:szCs w:val="24"/>
              </w:rPr>
            </w:pPr>
            <w:r>
              <w:rPr>
                <w:rFonts w:hint="eastAsia" w:ascii="宋体" w:hAnsi="宋体" w:eastAsia="宋体" w:cs="宋体"/>
                <w:kern w:val="0"/>
                <w:sz w:val="24"/>
                <w:szCs w:val="24"/>
              </w:rPr>
              <w:t>（服务期限）</w:t>
            </w:r>
          </w:p>
        </w:tc>
        <w:tc>
          <w:tcPr>
            <w:tcW w:w="7839" w:type="dxa"/>
            <w:gridSpan w:val="5"/>
            <w:tcBorders>
              <w:top w:val="single" w:color="auto" w:sz="4" w:space="0"/>
              <w:left w:val="single" w:color="auto" w:sz="4" w:space="0"/>
              <w:bottom w:val="single" w:color="auto" w:sz="4" w:space="0"/>
              <w:right w:val="double" w:color="auto" w:sz="4" w:space="0"/>
            </w:tcBorders>
            <w:vAlign w:val="center"/>
          </w:tcPr>
          <w:p>
            <w:pPr>
              <w:spacing w:line="240" w:lineRule="atLeast"/>
              <w:ind w:left="-48" w:leftChars="-23" w:right="-65" w:rightChars="-31"/>
              <w:jc w:val="left"/>
              <w:rPr>
                <w:rFonts w:ascii="宋体" w:hAnsi="宋体" w:eastAsia="宋体" w:cs="宋体"/>
                <w:kern w:val="0"/>
                <w:sz w:val="24"/>
                <w:szCs w:val="24"/>
              </w:rPr>
            </w:pPr>
            <w:r>
              <w:rPr>
                <w:rFonts w:hint="eastAsia" w:ascii="宋体" w:hAnsi="宋体" w:eastAsia="宋体" w:cs="宋体"/>
                <w:kern w:val="0"/>
                <w:sz w:val="24"/>
                <w:szCs w:val="24"/>
              </w:rPr>
              <w:t>（单位：日历天）</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1708" w:type="dxa"/>
            <w:gridSpan w:val="2"/>
            <w:tcBorders>
              <w:top w:val="single" w:color="auto" w:sz="4" w:space="0"/>
              <w:left w:val="doub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r>
              <w:rPr>
                <w:rFonts w:hint="eastAsia" w:ascii="宋体" w:hAnsi="宋体" w:eastAsia="宋体" w:cs="宋体"/>
                <w:kern w:val="0"/>
                <w:sz w:val="24"/>
                <w:szCs w:val="24"/>
              </w:rPr>
              <w:t>质保期</w:t>
            </w:r>
          </w:p>
        </w:tc>
        <w:tc>
          <w:tcPr>
            <w:tcW w:w="7839" w:type="dxa"/>
            <w:gridSpan w:val="5"/>
            <w:tcBorders>
              <w:top w:val="single" w:color="auto" w:sz="4" w:space="0"/>
              <w:left w:val="single" w:color="auto" w:sz="4" w:space="0"/>
              <w:bottom w:val="single" w:color="auto" w:sz="4" w:space="0"/>
              <w:right w:val="double" w:color="auto" w:sz="4" w:space="0"/>
            </w:tcBorders>
            <w:vAlign w:val="center"/>
          </w:tcPr>
          <w:p>
            <w:pPr>
              <w:spacing w:line="240" w:lineRule="atLeast"/>
              <w:ind w:left="-48" w:leftChars="-23" w:right="-65" w:rightChars="-31"/>
              <w:jc w:val="left"/>
              <w:rPr>
                <w:rFonts w:ascii="宋体" w:hAnsi="宋体" w:eastAsia="宋体" w:cs="宋体"/>
                <w:kern w:val="0"/>
                <w:sz w:val="24"/>
                <w:szCs w:val="24"/>
              </w:rPr>
            </w:pPr>
            <w:r>
              <w:rPr>
                <w:rFonts w:hint="eastAsia" w:ascii="宋体" w:hAnsi="宋体" w:eastAsia="宋体" w:cs="宋体"/>
                <w:kern w:val="0"/>
                <w:sz w:val="24"/>
                <w:szCs w:val="24"/>
              </w:rPr>
              <w:t>（单位：年）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1708" w:type="dxa"/>
            <w:gridSpan w:val="2"/>
            <w:tcBorders>
              <w:top w:val="single" w:color="auto" w:sz="4" w:space="0"/>
              <w:left w:val="double" w:color="auto" w:sz="4" w:space="0"/>
              <w:bottom w:val="doub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r>
              <w:rPr>
                <w:rFonts w:hint="eastAsia" w:ascii="宋体" w:hAnsi="宋体" w:eastAsia="宋体" w:cs="宋体"/>
                <w:kern w:val="0"/>
                <w:sz w:val="24"/>
                <w:szCs w:val="24"/>
              </w:rPr>
              <w:t>备注</w:t>
            </w:r>
          </w:p>
        </w:tc>
        <w:tc>
          <w:tcPr>
            <w:tcW w:w="7839" w:type="dxa"/>
            <w:gridSpan w:val="5"/>
            <w:tcBorders>
              <w:top w:val="single" w:color="auto" w:sz="4" w:space="0"/>
              <w:left w:val="single" w:color="auto" w:sz="4" w:space="0"/>
              <w:bottom w:val="double" w:color="auto" w:sz="4" w:space="0"/>
              <w:right w:val="double" w:color="auto" w:sz="4" w:space="0"/>
            </w:tcBorders>
            <w:vAlign w:val="center"/>
          </w:tcPr>
          <w:p>
            <w:pPr>
              <w:spacing w:line="276" w:lineRule="auto"/>
              <w:ind w:left="-48" w:leftChars="-23" w:right="-65" w:rightChars="-31"/>
              <w:jc w:val="left"/>
              <w:rPr>
                <w:rFonts w:ascii="宋体" w:hAnsi="宋体" w:eastAsia="宋体" w:cs="宋体"/>
                <w:kern w:val="0"/>
                <w:sz w:val="24"/>
                <w:szCs w:val="24"/>
                <w:lang w:val="zh-CN"/>
              </w:rPr>
            </w:pPr>
          </w:p>
        </w:tc>
      </w:tr>
    </w:tbl>
    <w:p>
      <w:pPr>
        <w:spacing w:line="360" w:lineRule="auto"/>
        <w:ind w:left="1056" w:hanging="1052" w:hangingChars="437"/>
        <w:jc w:val="left"/>
        <w:rPr>
          <w:rFonts w:ascii="宋体" w:hAnsi="宋体"/>
          <w:sz w:val="24"/>
        </w:rPr>
      </w:pPr>
      <w:r>
        <w:rPr>
          <w:rFonts w:hint="eastAsia" w:ascii="宋体" w:hAnsi="宋体"/>
          <w:sz w:val="24"/>
        </w:rPr>
        <w:t>说明：1．所有价格均用人民币表示，单位为元。</w:t>
      </w:r>
    </w:p>
    <w:p>
      <w:pPr>
        <w:spacing w:line="360" w:lineRule="auto"/>
        <w:ind w:left="1066" w:leftChars="339" w:hanging="351" w:hangingChars="146"/>
        <w:jc w:val="left"/>
        <w:rPr>
          <w:rFonts w:ascii="宋体" w:hAnsi="宋体" w:eastAsia="宋体" w:cs="Times New Roman"/>
          <w:sz w:val="24"/>
          <w:szCs w:val="24"/>
        </w:rPr>
      </w:pPr>
      <w:r>
        <w:rPr>
          <w:rFonts w:hint="eastAsia" w:ascii="宋体" w:hAnsi="宋体" w:eastAsia="宋体" w:cs="Times New Roman"/>
          <w:sz w:val="24"/>
          <w:szCs w:val="24"/>
        </w:rPr>
        <w:t>2．价格应按照招标文件第二章“投标人须知”中第12条的要求进行报价。</w:t>
      </w:r>
    </w:p>
    <w:p>
      <w:pPr>
        <w:spacing w:line="360" w:lineRule="auto"/>
        <w:ind w:left="1066" w:leftChars="339" w:hanging="351" w:hangingChars="146"/>
        <w:jc w:val="left"/>
        <w:rPr>
          <w:rFonts w:ascii="宋体" w:hAnsi="宋体" w:eastAsia="宋体" w:cs="Times New Roman"/>
          <w:b/>
          <w:sz w:val="24"/>
          <w:szCs w:val="24"/>
        </w:rPr>
      </w:pPr>
      <w:r>
        <w:rPr>
          <w:rFonts w:hint="eastAsia" w:ascii="宋体" w:hAnsi="宋体" w:eastAsia="宋体" w:cs="Times New Roman"/>
          <w:sz w:val="24"/>
          <w:szCs w:val="24"/>
        </w:rPr>
        <w:t>3．为方便开标时唱标，投标人应另附《开标一览表》一份</w:t>
      </w:r>
      <w:r>
        <w:rPr>
          <w:rFonts w:hint="eastAsia" w:ascii="宋体" w:hAnsi="宋体" w:eastAsia="宋体" w:cs="Times New Roman"/>
          <w:spacing w:val="-6"/>
          <w:kern w:val="0"/>
          <w:sz w:val="24"/>
          <w:szCs w:val="24"/>
        </w:rPr>
        <w:t>装入一个信封，单独密封提交</w:t>
      </w:r>
      <w:r>
        <w:rPr>
          <w:rFonts w:hint="eastAsia" w:ascii="宋体" w:hAnsi="宋体" w:eastAsia="宋体" w:cs="Times New Roman"/>
          <w:sz w:val="24"/>
          <w:szCs w:val="24"/>
        </w:rPr>
        <w:t>，并在信封上标明“开标一览表”字样。未单独提交或单独提交的上述资料未按照招标文件规定的格式填写完整并签字、盖章</w:t>
      </w:r>
      <w:r>
        <w:rPr>
          <w:rFonts w:hint="eastAsia" w:ascii="宋体" w:hAnsi="宋体" w:eastAsia="宋体" w:cs="Times New Roman"/>
          <w:sz w:val="24"/>
          <w:szCs w:val="20"/>
          <w:lang w:val="zh-CN"/>
        </w:rPr>
        <w:t>的集中采购机构</w:t>
      </w:r>
      <w:r>
        <w:rPr>
          <w:rFonts w:hint="eastAsia" w:ascii="宋体" w:hAnsi="宋体" w:eastAsia="宋体" w:cs="Times New Roman"/>
          <w:b/>
          <w:sz w:val="24"/>
          <w:szCs w:val="20"/>
          <w:lang w:val="zh-CN"/>
        </w:rPr>
        <w:t>拒绝</w:t>
      </w:r>
      <w:r>
        <w:rPr>
          <w:rFonts w:hint="eastAsia" w:ascii="宋体" w:hAnsi="宋体" w:eastAsia="宋体" w:cs="Times New Roman"/>
          <w:sz w:val="24"/>
          <w:szCs w:val="20"/>
          <w:lang w:val="zh-CN"/>
        </w:rPr>
        <w:t>其投标。</w:t>
      </w:r>
    </w:p>
    <w:p>
      <w:pPr>
        <w:spacing w:line="360" w:lineRule="auto"/>
        <w:ind w:left="1066" w:leftChars="339" w:hanging="351" w:hangingChars="146"/>
        <w:jc w:val="left"/>
        <w:rPr>
          <w:rFonts w:ascii="宋体" w:hAnsi="宋体" w:eastAsia="宋体" w:cs="Times New Roman"/>
          <w:sz w:val="24"/>
          <w:szCs w:val="24"/>
        </w:rPr>
      </w:pPr>
      <w:r>
        <w:rPr>
          <w:rFonts w:hint="eastAsia" w:ascii="宋体" w:hAnsi="宋体" w:eastAsia="宋体" w:cs="Times New Roman"/>
          <w:sz w:val="24"/>
          <w:szCs w:val="24"/>
        </w:rPr>
        <w:t>4. 本表应按要求由投标人法人授权代表签字，并加盖投标单位公章，否则将被视为非响应性投标，将按照</w:t>
      </w:r>
      <w:r>
        <w:rPr>
          <w:rFonts w:hint="eastAsia" w:ascii="宋体" w:hAnsi="宋体" w:eastAsia="宋体" w:cs="Times New Roman"/>
          <w:b/>
          <w:sz w:val="24"/>
          <w:szCs w:val="24"/>
        </w:rPr>
        <w:t>无效投标处理</w:t>
      </w:r>
      <w:r>
        <w:rPr>
          <w:rFonts w:hint="eastAsia" w:ascii="宋体" w:hAnsi="宋体" w:eastAsia="宋体" w:cs="Times New Roman"/>
          <w:sz w:val="24"/>
          <w:szCs w:val="24"/>
        </w:rPr>
        <w:t>。</w:t>
      </w:r>
    </w:p>
    <w:p>
      <w:pPr>
        <w:spacing w:before="100" w:beforeAutospacing="1" w:after="100" w:afterAutospacing="1" w:line="360" w:lineRule="auto"/>
        <w:ind w:firstLine="3329" w:firstLineChars="1382"/>
        <w:rPr>
          <w:rFonts w:ascii="宋体" w:hAnsi="宋体" w:eastAsia="宋体" w:cs="Times New Roman"/>
          <w:b/>
          <w:bCs/>
          <w:sz w:val="24"/>
          <w:szCs w:val="21"/>
          <w:u w:val="single"/>
          <w:lang w:val="zh-CN"/>
        </w:rPr>
      </w:pPr>
      <w:r>
        <w:rPr>
          <w:rFonts w:hint="eastAsia" w:ascii="宋体" w:hAnsi="宋体" w:eastAsia="宋体" w:cs="Times New Roman"/>
          <w:b/>
          <w:bCs/>
          <w:sz w:val="24"/>
          <w:szCs w:val="21"/>
          <w:lang w:val="zh-CN"/>
        </w:rPr>
        <w:t>投标人（公章）：</w:t>
      </w:r>
    </w:p>
    <w:p>
      <w:pPr>
        <w:spacing w:before="100" w:beforeAutospacing="1" w:after="100" w:afterAutospacing="1" w:line="360" w:lineRule="auto"/>
        <w:ind w:firstLine="3329" w:firstLineChars="1382"/>
        <w:rPr>
          <w:rFonts w:ascii="宋体" w:hAnsi="宋体" w:eastAsia="宋体" w:cs="Times New Roman"/>
          <w:b/>
          <w:bCs/>
          <w:sz w:val="24"/>
          <w:szCs w:val="21"/>
          <w:u w:val="single"/>
          <w:lang w:val="zh-CN"/>
        </w:rPr>
      </w:pPr>
      <w:r>
        <w:rPr>
          <w:rFonts w:hint="eastAsia" w:ascii="宋体" w:hAnsi="宋体" w:eastAsia="宋体" w:cs="Times New Roman"/>
          <w:b/>
          <w:bCs/>
          <w:sz w:val="24"/>
          <w:szCs w:val="21"/>
          <w:lang w:val="zh-CN"/>
        </w:rPr>
        <w:t>投标人授权代表（签字）：</w:t>
      </w:r>
    </w:p>
    <w:p>
      <w:pPr>
        <w:spacing w:before="100" w:beforeAutospacing="1" w:after="100" w:afterAutospacing="1" w:line="360" w:lineRule="auto"/>
        <w:ind w:firstLine="3329" w:firstLineChars="1382"/>
        <w:rPr>
          <w:rFonts w:ascii="宋体" w:hAnsi="宋体" w:eastAsia="宋体" w:cs="Times New Roman"/>
          <w:b/>
          <w:bCs/>
          <w:sz w:val="24"/>
          <w:szCs w:val="21"/>
          <w:u w:val="single"/>
          <w:lang w:val="zh-CN"/>
        </w:rPr>
      </w:pPr>
      <w:r>
        <w:rPr>
          <w:rFonts w:hint="eastAsia" w:ascii="宋体" w:hAnsi="宋体" w:eastAsia="宋体" w:cs="Times New Roman"/>
          <w:b/>
          <w:bCs/>
          <w:sz w:val="24"/>
          <w:szCs w:val="21"/>
          <w:lang w:val="zh-CN"/>
        </w:rPr>
        <w:t>投标时间：</w:t>
      </w:r>
    </w:p>
    <w:p>
      <w:r>
        <w:br w:type="page"/>
      </w:r>
    </w:p>
    <w:p>
      <w:pPr>
        <w:pStyle w:val="5"/>
        <w:numPr>
          <w:ilvl w:val="0"/>
          <w:numId w:val="62"/>
        </w:numPr>
        <w:spacing w:before="100" w:beforeAutospacing="1" w:afterLines="50" w:line="360" w:lineRule="auto"/>
        <w:ind w:left="1288" w:hanging="1288"/>
        <w:rPr>
          <w:rFonts w:ascii="宋体" w:hAnsi="宋体" w:eastAsia="宋体"/>
        </w:rPr>
      </w:pPr>
      <w:bookmarkStart w:id="141" w:name="_Toc494665008"/>
      <w:bookmarkStart w:id="142" w:name="_Toc494665561"/>
      <w:bookmarkStart w:id="143" w:name="_Toc494721108"/>
      <w:bookmarkStart w:id="144" w:name="_Toc494745325"/>
      <w:bookmarkStart w:id="145" w:name="_Toc494665958"/>
      <w:bookmarkStart w:id="146" w:name="_Toc494702278"/>
      <w:bookmarkStart w:id="147" w:name="_Toc25801"/>
      <w:r>
        <w:rPr>
          <w:rFonts w:hint="eastAsia" w:ascii="宋体" w:hAnsi="宋体" w:eastAsia="宋体"/>
        </w:rPr>
        <w:t>投标货物（工程或服务）清单</w:t>
      </w:r>
      <w:bookmarkEnd w:id="141"/>
      <w:bookmarkEnd w:id="142"/>
      <w:bookmarkEnd w:id="143"/>
      <w:bookmarkEnd w:id="144"/>
      <w:bookmarkEnd w:id="145"/>
      <w:bookmarkEnd w:id="146"/>
      <w:bookmarkEnd w:id="147"/>
    </w:p>
    <w:p>
      <w:pPr>
        <w:adjustRightInd w:val="0"/>
        <w:snapToGrid w:val="0"/>
        <w:spacing w:line="360" w:lineRule="auto"/>
        <w:rPr>
          <w:rFonts w:ascii="宋体" w:hAnsi="宋体"/>
          <w:b/>
          <w:sz w:val="24"/>
        </w:rPr>
      </w:pPr>
      <w:r>
        <w:rPr>
          <w:rFonts w:hint="eastAsia" w:ascii="宋体" w:hAnsi="宋体"/>
          <w:b/>
          <w:sz w:val="24"/>
        </w:rPr>
        <w:t>投 标 人：</w:t>
      </w:r>
    </w:p>
    <w:p>
      <w:pPr>
        <w:adjustRightInd w:val="0"/>
        <w:snapToGrid w:val="0"/>
        <w:spacing w:line="360" w:lineRule="auto"/>
        <w:rPr>
          <w:rFonts w:ascii="宋体" w:hAnsi="宋体"/>
          <w:b/>
          <w:color w:val="FF0000"/>
          <w:sz w:val="24"/>
        </w:rPr>
      </w:pPr>
      <w:r>
        <w:rPr>
          <w:rFonts w:hint="eastAsia" w:ascii="宋体" w:hAnsi="宋体" w:eastAsia="宋体" w:cs="Times New Roman"/>
          <w:b/>
          <w:sz w:val="24"/>
          <w:szCs w:val="21"/>
          <w:lang w:val="zh-CN"/>
        </w:rPr>
        <w:t>项目编号：</w:t>
      </w:r>
      <w:r>
        <w:rPr>
          <w:rFonts w:hint="eastAsia" w:ascii="宋体" w:hAnsi="宋体" w:eastAsia="宋体" w:cs="Times New Roman"/>
          <w:b/>
          <w:bCs/>
          <w:sz w:val="24"/>
          <w:szCs w:val="21"/>
          <w:lang w:val="zh-CN"/>
        </w:rPr>
        <w:t xml:space="preserve">                所投包号：</w:t>
      </w:r>
    </w:p>
    <w:tbl>
      <w:tblPr>
        <w:tblStyle w:val="21"/>
        <w:tblW w:w="9370" w:type="dxa"/>
        <w:jc w:val="center"/>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45"/>
        <w:gridCol w:w="2722"/>
        <w:gridCol w:w="2459"/>
        <w:gridCol w:w="851"/>
        <w:gridCol w:w="259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745" w:type="dxa"/>
            <w:tcBorders>
              <w:top w:val="single" w:color="auto" w:sz="4" w:space="0"/>
              <w:bottom w:val="single" w:color="auto" w:sz="4" w:space="0"/>
              <w:right w:val="single" w:color="auto" w:sz="4" w:space="0"/>
            </w:tcBorders>
            <w:shd w:val="clear" w:color="auto" w:fill="F1F1F1" w:themeFill="background1" w:themeFillShade="F2"/>
            <w:vAlign w:val="center"/>
          </w:tcPr>
          <w:p>
            <w:pPr>
              <w:spacing w:line="360" w:lineRule="auto"/>
              <w:ind w:left="-23" w:leftChars="-11" w:right="-84" w:rightChars="-40"/>
              <w:jc w:val="center"/>
              <w:rPr>
                <w:rFonts w:ascii="宋体" w:hAnsi="宋体" w:cs="宋体"/>
                <w:color w:val="0D0D0D"/>
                <w:kern w:val="0"/>
                <w:sz w:val="24"/>
              </w:rPr>
            </w:pPr>
            <w:r>
              <w:rPr>
                <w:rFonts w:hint="eastAsia" w:ascii="宋体" w:hAnsi="宋体" w:cs="宋体"/>
                <w:color w:val="0D0D0D"/>
                <w:kern w:val="0"/>
                <w:sz w:val="24"/>
              </w:rPr>
              <w:t>序号</w:t>
            </w:r>
          </w:p>
        </w:tc>
        <w:tc>
          <w:tcPr>
            <w:tcW w:w="2722"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line="360" w:lineRule="auto"/>
              <w:ind w:left="-23" w:leftChars="-11" w:right="-65" w:rightChars="-31"/>
              <w:jc w:val="center"/>
              <w:rPr>
                <w:rFonts w:ascii="宋体" w:hAnsi="宋体" w:cs="宋体"/>
                <w:color w:val="0D0D0D"/>
                <w:kern w:val="0"/>
                <w:sz w:val="24"/>
              </w:rPr>
            </w:pPr>
            <w:r>
              <w:rPr>
                <w:rFonts w:hint="eastAsia" w:ascii="宋体" w:hAnsi="宋体" w:cs="宋体"/>
                <w:color w:val="0D0D0D"/>
                <w:kern w:val="0"/>
                <w:sz w:val="24"/>
              </w:rPr>
              <w:t>货物（工程或服务）名称</w:t>
            </w:r>
          </w:p>
        </w:tc>
        <w:tc>
          <w:tcPr>
            <w:tcW w:w="2459"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line="360" w:lineRule="auto"/>
              <w:ind w:left="-23" w:leftChars="-11" w:right="-65" w:rightChars="-31"/>
              <w:jc w:val="center"/>
              <w:rPr>
                <w:rFonts w:ascii="宋体" w:hAnsi="宋体" w:cs="宋体"/>
                <w:color w:val="0D0D0D"/>
                <w:kern w:val="0"/>
                <w:sz w:val="24"/>
              </w:rPr>
            </w:pPr>
            <w:r>
              <w:rPr>
                <w:rFonts w:hint="eastAsia" w:ascii="宋体" w:hAnsi="宋体" w:cs="宋体"/>
                <w:color w:val="0D0D0D"/>
                <w:kern w:val="0"/>
                <w:sz w:val="24"/>
              </w:rPr>
              <w:t>主要规格、技术参数</w:t>
            </w:r>
          </w:p>
        </w:tc>
        <w:tc>
          <w:tcPr>
            <w:tcW w:w="851"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line="360" w:lineRule="auto"/>
              <w:ind w:left="-23" w:leftChars="-11" w:right="-65" w:rightChars="-31"/>
              <w:jc w:val="center"/>
              <w:rPr>
                <w:rFonts w:ascii="宋体" w:hAnsi="宋体" w:cs="宋体"/>
                <w:color w:val="0D0D0D"/>
                <w:kern w:val="0"/>
                <w:sz w:val="24"/>
              </w:rPr>
            </w:pPr>
            <w:r>
              <w:rPr>
                <w:rFonts w:hint="eastAsia" w:ascii="宋体" w:hAnsi="宋体" w:cs="宋体"/>
                <w:color w:val="0D0D0D"/>
                <w:kern w:val="0"/>
                <w:sz w:val="24"/>
              </w:rPr>
              <w:t>数量</w:t>
            </w:r>
          </w:p>
        </w:tc>
        <w:tc>
          <w:tcPr>
            <w:tcW w:w="2593" w:type="dxa"/>
            <w:tcBorders>
              <w:top w:val="single" w:color="auto" w:sz="4" w:space="0"/>
              <w:left w:val="single" w:color="auto" w:sz="4" w:space="0"/>
              <w:bottom w:val="single" w:color="auto" w:sz="4" w:space="0"/>
            </w:tcBorders>
            <w:shd w:val="clear" w:color="auto" w:fill="F1F1F1" w:themeFill="background1" w:themeFillShade="F2"/>
            <w:vAlign w:val="center"/>
          </w:tcPr>
          <w:p>
            <w:pPr>
              <w:spacing w:line="360" w:lineRule="auto"/>
              <w:ind w:left="-23" w:leftChars="-11" w:right="-65" w:rightChars="-31"/>
              <w:jc w:val="center"/>
              <w:rPr>
                <w:rFonts w:ascii="宋体" w:hAnsi="宋体" w:cs="宋体"/>
                <w:color w:val="0D0D0D"/>
                <w:kern w:val="0"/>
                <w:sz w:val="24"/>
              </w:rPr>
            </w:pPr>
            <w:r>
              <w:rPr>
                <w:rFonts w:hint="eastAsia" w:ascii="宋体" w:hAnsi="宋体" w:cs="宋体"/>
                <w:color w:val="0D0D0D"/>
                <w:kern w:val="0"/>
                <w:sz w:val="24"/>
              </w:rPr>
              <w:t>制造厂家/产地及国家</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745" w:type="dxa"/>
            <w:tcBorders>
              <w:top w:val="single" w:color="auto" w:sz="4" w:space="0"/>
            </w:tcBorders>
            <w:vAlign w:val="center"/>
          </w:tcPr>
          <w:p>
            <w:pPr>
              <w:adjustRightInd w:val="0"/>
              <w:snapToGrid w:val="0"/>
              <w:ind w:left="-88" w:leftChars="-42"/>
              <w:jc w:val="center"/>
              <w:rPr>
                <w:rFonts w:ascii="宋体" w:hAnsi="宋体"/>
                <w:sz w:val="24"/>
              </w:rPr>
            </w:pPr>
            <w:r>
              <w:rPr>
                <w:rFonts w:hint="eastAsia" w:ascii="宋体" w:hAnsi="宋体"/>
                <w:sz w:val="24"/>
              </w:rPr>
              <w:t>1</w:t>
            </w:r>
          </w:p>
        </w:tc>
        <w:tc>
          <w:tcPr>
            <w:tcW w:w="2722" w:type="dxa"/>
            <w:tcBorders>
              <w:top w:val="single" w:color="auto" w:sz="4" w:space="0"/>
            </w:tcBorders>
            <w:vAlign w:val="center"/>
          </w:tcPr>
          <w:p>
            <w:pPr>
              <w:adjustRightInd w:val="0"/>
              <w:snapToGrid w:val="0"/>
              <w:ind w:left="-88" w:leftChars="-42"/>
              <w:jc w:val="center"/>
              <w:rPr>
                <w:rFonts w:ascii="宋体" w:hAnsi="宋体"/>
                <w:sz w:val="24"/>
              </w:rPr>
            </w:pPr>
          </w:p>
        </w:tc>
        <w:tc>
          <w:tcPr>
            <w:tcW w:w="2459" w:type="dxa"/>
            <w:tcBorders>
              <w:top w:val="single" w:color="auto" w:sz="4" w:space="0"/>
            </w:tcBorders>
            <w:vAlign w:val="center"/>
          </w:tcPr>
          <w:p>
            <w:pPr>
              <w:adjustRightInd w:val="0"/>
              <w:snapToGrid w:val="0"/>
              <w:jc w:val="center"/>
              <w:rPr>
                <w:rFonts w:ascii="宋体" w:hAnsi="宋体"/>
                <w:sz w:val="24"/>
              </w:rPr>
            </w:pPr>
          </w:p>
        </w:tc>
        <w:tc>
          <w:tcPr>
            <w:tcW w:w="851" w:type="dxa"/>
            <w:tcBorders>
              <w:top w:val="single" w:color="auto" w:sz="4" w:space="0"/>
            </w:tcBorders>
            <w:vAlign w:val="center"/>
          </w:tcPr>
          <w:p>
            <w:pPr>
              <w:adjustRightInd w:val="0"/>
              <w:snapToGrid w:val="0"/>
              <w:jc w:val="center"/>
              <w:rPr>
                <w:rFonts w:ascii="宋体" w:hAnsi="宋体"/>
                <w:sz w:val="24"/>
              </w:rPr>
            </w:pPr>
          </w:p>
        </w:tc>
        <w:tc>
          <w:tcPr>
            <w:tcW w:w="2593" w:type="dxa"/>
            <w:tcBorders>
              <w:top w:val="single" w:color="auto" w:sz="4" w:space="0"/>
            </w:tcBorders>
            <w:vAlign w:val="center"/>
          </w:tcPr>
          <w:p>
            <w:pPr>
              <w:adjustRightInd w:val="0"/>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745" w:type="dxa"/>
            <w:vAlign w:val="center"/>
          </w:tcPr>
          <w:p>
            <w:pPr>
              <w:adjustRightInd w:val="0"/>
              <w:snapToGrid w:val="0"/>
              <w:ind w:left="-88" w:leftChars="-42"/>
              <w:jc w:val="center"/>
              <w:rPr>
                <w:rFonts w:ascii="宋体" w:hAnsi="宋体"/>
                <w:sz w:val="24"/>
              </w:rPr>
            </w:pPr>
            <w:r>
              <w:rPr>
                <w:rFonts w:hint="eastAsia" w:ascii="宋体" w:hAnsi="宋体"/>
                <w:sz w:val="24"/>
              </w:rPr>
              <w:t>2</w:t>
            </w:r>
          </w:p>
        </w:tc>
        <w:tc>
          <w:tcPr>
            <w:tcW w:w="2722" w:type="dxa"/>
            <w:vAlign w:val="center"/>
          </w:tcPr>
          <w:p>
            <w:pPr>
              <w:adjustRightInd w:val="0"/>
              <w:snapToGrid w:val="0"/>
              <w:ind w:left="-88" w:leftChars="-42"/>
              <w:jc w:val="center"/>
              <w:rPr>
                <w:rFonts w:ascii="宋体" w:hAnsi="宋体"/>
                <w:sz w:val="24"/>
              </w:rPr>
            </w:pPr>
          </w:p>
        </w:tc>
        <w:tc>
          <w:tcPr>
            <w:tcW w:w="2459" w:type="dxa"/>
            <w:vAlign w:val="center"/>
          </w:tcPr>
          <w:p>
            <w:pPr>
              <w:adjustRightInd w:val="0"/>
              <w:snapToGrid w:val="0"/>
              <w:jc w:val="center"/>
              <w:rPr>
                <w:rFonts w:ascii="宋体" w:hAnsi="宋体"/>
                <w:sz w:val="24"/>
              </w:rPr>
            </w:pPr>
          </w:p>
        </w:tc>
        <w:tc>
          <w:tcPr>
            <w:tcW w:w="851" w:type="dxa"/>
            <w:vAlign w:val="center"/>
          </w:tcPr>
          <w:p>
            <w:pPr>
              <w:adjustRightInd w:val="0"/>
              <w:snapToGrid w:val="0"/>
              <w:jc w:val="center"/>
              <w:rPr>
                <w:rFonts w:ascii="宋体" w:hAnsi="宋体"/>
                <w:sz w:val="24"/>
              </w:rPr>
            </w:pPr>
          </w:p>
        </w:tc>
        <w:tc>
          <w:tcPr>
            <w:tcW w:w="2593" w:type="dxa"/>
            <w:vAlign w:val="center"/>
          </w:tcPr>
          <w:p>
            <w:pPr>
              <w:adjustRightInd w:val="0"/>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745" w:type="dxa"/>
            <w:vAlign w:val="center"/>
          </w:tcPr>
          <w:p>
            <w:pPr>
              <w:adjustRightInd w:val="0"/>
              <w:snapToGrid w:val="0"/>
              <w:ind w:left="-88" w:leftChars="-42"/>
              <w:jc w:val="center"/>
              <w:rPr>
                <w:rFonts w:ascii="宋体" w:hAnsi="宋体"/>
                <w:sz w:val="24"/>
              </w:rPr>
            </w:pPr>
            <w:r>
              <w:rPr>
                <w:rFonts w:hint="eastAsia" w:ascii="宋体" w:hAnsi="宋体"/>
                <w:sz w:val="24"/>
              </w:rPr>
              <w:t>3</w:t>
            </w:r>
          </w:p>
        </w:tc>
        <w:tc>
          <w:tcPr>
            <w:tcW w:w="2722" w:type="dxa"/>
            <w:vAlign w:val="center"/>
          </w:tcPr>
          <w:p>
            <w:pPr>
              <w:adjustRightInd w:val="0"/>
              <w:snapToGrid w:val="0"/>
              <w:ind w:left="-88" w:leftChars="-42"/>
              <w:jc w:val="center"/>
              <w:rPr>
                <w:rFonts w:ascii="宋体" w:hAnsi="宋体"/>
                <w:sz w:val="24"/>
              </w:rPr>
            </w:pPr>
          </w:p>
        </w:tc>
        <w:tc>
          <w:tcPr>
            <w:tcW w:w="2459" w:type="dxa"/>
            <w:vAlign w:val="center"/>
          </w:tcPr>
          <w:p>
            <w:pPr>
              <w:adjustRightInd w:val="0"/>
              <w:snapToGrid w:val="0"/>
              <w:ind w:left="-88" w:leftChars="-42"/>
              <w:jc w:val="center"/>
              <w:rPr>
                <w:rFonts w:ascii="宋体" w:hAnsi="宋体"/>
                <w:sz w:val="24"/>
              </w:rPr>
            </w:pPr>
          </w:p>
        </w:tc>
        <w:tc>
          <w:tcPr>
            <w:tcW w:w="851" w:type="dxa"/>
            <w:vAlign w:val="center"/>
          </w:tcPr>
          <w:p>
            <w:pPr>
              <w:adjustRightInd w:val="0"/>
              <w:snapToGrid w:val="0"/>
              <w:ind w:left="-88" w:leftChars="-42"/>
              <w:jc w:val="center"/>
              <w:rPr>
                <w:rFonts w:ascii="宋体" w:hAnsi="宋体"/>
                <w:sz w:val="24"/>
              </w:rPr>
            </w:pPr>
          </w:p>
        </w:tc>
        <w:tc>
          <w:tcPr>
            <w:tcW w:w="2593" w:type="dxa"/>
            <w:vAlign w:val="center"/>
          </w:tcPr>
          <w:p>
            <w:pPr>
              <w:adjustRightInd w:val="0"/>
              <w:snapToGrid w:val="0"/>
              <w:ind w:left="-88" w:leftChars="-42"/>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745" w:type="dxa"/>
            <w:vAlign w:val="center"/>
          </w:tcPr>
          <w:p>
            <w:pPr>
              <w:adjustRightInd w:val="0"/>
              <w:snapToGrid w:val="0"/>
              <w:ind w:left="-88" w:leftChars="-42"/>
              <w:jc w:val="center"/>
              <w:rPr>
                <w:rFonts w:ascii="宋体" w:hAnsi="宋体"/>
                <w:sz w:val="24"/>
              </w:rPr>
            </w:pPr>
            <w:r>
              <w:rPr>
                <w:rFonts w:hint="eastAsia" w:ascii="宋体" w:hAnsi="宋体"/>
                <w:sz w:val="24"/>
              </w:rPr>
              <w:t>4</w:t>
            </w:r>
          </w:p>
        </w:tc>
        <w:tc>
          <w:tcPr>
            <w:tcW w:w="2722" w:type="dxa"/>
            <w:vAlign w:val="center"/>
          </w:tcPr>
          <w:p>
            <w:pPr>
              <w:adjustRightInd w:val="0"/>
              <w:snapToGrid w:val="0"/>
              <w:ind w:left="-88" w:leftChars="-42"/>
              <w:jc w:val="center"/>
              <w:rPr>
                <w:rFonts w:ascii="宋体" w:hAnsi="宋体"/>
                <w:sz w:val="24"/>
              </w:rPr>
            </w:pPr>
          </w:p>
        </w:tc>
        <w:tc>
          <w:tcPr>
            <w:tcW w:w="2459" w:type="dxa"/>
            <w:vAlign w:val="center"/>
          </w:tcPr>
          <w:p>
            <w:pPr>
              <w:adjustRightInd w:val="0"/>
              <w:snapToGrid w:val="0"/>
              <w:jc w:val="center"/>
              <w:rPr>
                <w:rFonts w:ascii="宋体" w:hAnsi="宋体"/>
                <w:sz w:val="24"/>
              </w:rPr>
            </w:pPr>
          </w:p>
        </w:tc>
        <w:tc>
          <w:tcPr>
            <w:tcW w:w="851" w:type="dxa"/>
            <w:vAlign w:val="center"/>
          </w:tcPr>
          <w:p>
            <w:pPr>
              <w:adjustRightInd w:val="0"/>
              <w:snapToGrid w:val="0"/>
              <w:jc w:val="center"/>
              <w:rPr>
                <w:rFonts w:ascii="宋体" w:hAnsi="宋体"/>
                <w:sz w:val="24"/>
              </w:rPr>
            </w:pPr>
          </w:p>
        </w:tc>
        <w:tc>
          <w:tcPr>
            <w:tcW w:w="2593" w:type="dxa"/>
            <w:vAlign w:val="center"/>
          </w:tcPr>
          <w:p>
            <w:pPr>
              <w:adjustRightInd w:val="0"/>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745" w:type="dxa"/>
            <w:vAlign w:val="center"/>
          </w:tcPr>
          <w:p>
            <w:pPr>
              <w:adjustRightInd w:val="0"/>
              <w:snapToGrid w:val="0"/>
              <w:ind w:left="-88" w:leftChars="-42"/>
              <w:jc w:val="center"/>
              <w:rPr>
                <w:rFonts w:ascii="宋体" w:hAnsi="宋体"/>
                <w:sz w:val="24"/>
              </w:rPr>
            </w:pPr>
            <w:r>
              <w:rPr>
                <w:rFonts w:hint="eastAsia" w:ascii="宋体" w:hAnsi="宋体"/>
                <w:sz w:val="24"/>
              </w:rPr>
              <w:t>5</w:t>
            </w:r>
          </w:p>
        </w:tc>
        <w:tc>
          <w:tcPr>
            <w:tcW w:w="2722" w:type="dxa"/>
            <w:vAlign w:val="center"/>
          </w:tcPr>
          <w:p>
            <w:pPr>
              <w:adjustRightInd w:val="0"/>
              <w:snapToGrid w:val="0"/>
              <w:ind w:left="-88" w:leftChars="-42"/>
              <w:jc w:val="center"/>
              <w:rPr>
                <w:rFonts w:ascii="宋体" w:hAnsi="宋体"/>
                <w:sz w:val="24"/>
              </w:rPr>
            </w:pPr>
          </w:p>
        </w:tc>
        <w:tc>
          <w:tcPr>
            <w:tcW w:w="2459" w:type="dxa"/>
            <w:vAlign w:val="center"/>
          </w:tcPr>
          <w:p>
            <w:pPr>
              <w:adjustRightInd w:val="0"/>
              <w:snapToGrid w:val="0"/>
              <w:jc w:val="center"/>
              <w:rPr>
                <w:rFonts w:ascii="宋体" w:hAnsi="宋体"/>
                <w:sz w:val="24"/>
              </w:rPr>
            </w:pPr>
          </w:p>
        </w:tc>
        <w:tc>
          <w:tcPr>
            <w:tcW w:w="851" w:type="dxa"/>
            <w:vAlign w:val="center"/>
          </w:tcPr>
          <w:p>
            <w:pPr>
              <w:adjustRightInd w:val="0"/>
              <w:snapToGrid w:val="0"/>
              <w:jc w:val="center"/>
              <w:rPr>
                <w:rFonts w:ascii="宋体" w:hAnsi="宋体"/>
                <w:sz w:val="24"/>
              </w:rPr>
            </w:pPr>
          </w:p>
        </w:tc>
        <w:tc>
          <w:tcPr>
            <w:tcW w:w="2593" w:type="dxa"/>
            <w:vAlign w:val="center"/>
          </w:tcPr>
          <w:p>
            <w:pPr>
              <w:adjustRightInd w:val="0"/>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745" w:type="dxa"/>
            <w:vAlign w:val="center"/>
          </w:tcPr>
          <w:p>
            <w:pPr>
              <w:adjustRightInd w:val="0"/>
              <w:snapToGrid w:val="0"/>
              <w:ind w:left="-88" w:leftChars="-42"/>
              <w:jc w:val="center"/>
              <w:rPr>
                <w:rFonts w:ascii="宋体" w:hAnsi="宋体"/>
                <w:sz w:val="24"/>
              </w:rPr>
            </w:pPr>
            <w:r>
              <w:rPr>
                <w:rFonts w:hint="eastAsia" w:ascii="宋体" w:hAnsi="宋体"/>
                <w:sz w:val="24"/>
              </w:rPr>
              <w:t>6</w:t>
            </w:r>
          </w:p>
        </w:tc>
        <w:tc>
          <w:tcPr>
            <w:tcW w:w="2722" w:type="dxa"/>
            <w:vAlign w:val="center"/>
          </w:tcPr>
          <w:p>
            <w:pPr>
              <w:adjustRightInd w:val="0"/>
              <w:snapToGrid w:val="0"/>
              <w:ind w:left="-88" w:leftChars="-42"/>
              <w:jc w:val="center"/>
              <w:rPr>
                <w:rFonts w:ascii="宋体" w:hAnsi="宋体"/>
                <w:sz w:val="24"/>
              </w:rPr>
            </w:pPr>
          </w:p>
        </w:tc>
        <w:tc>
          <w:tcPr>
            <w:tcW w:w="2459" w:type="dxa"/>
            <w:vAlign w:val="center"/>
          </w:tcPr>
          <w:p>
            <w:pPr>
              <w:adjustRightInd w:val="0"/>
              <w:snapToGrid w:val="0"/>
              <w:jc w:val="center"/>
              <w:rPr>
                <w:rFonts w:ascii="宋体" w:hAnsi="宋体"/>
                <w:sz w:val="24"/>
              </w:rPr>
            </w:pPr>
          </w:p>
        </w:tc>
        <w:tc>
          <w:tcPr>
            <w:tcW w:w="851" w:type="dxa"/>
            <w:vAlign w:val="center"/>
          </w:tcPr>
          <w:p>
            <w:pPr>
              <w:adjustRightInd w:val="0"/>
              <w:snapToGrid w:val="0"/>
              <w:jc w:val="center"/>
              <w:rPr>
                <w:rFonts w:ascii="宋体" w:hAnsi="宋体"/>
                <w:sz w:val="24"/>
              </w:rPr>
            </w:pPr>
          </w:p>
        </w:tc>
        <w:tc>
          <w:tcPr>
            <w:tcW w:w="2593" w:type="dxa"/>
            <w:vAlign w:val="center"/>
          </w:tcPr>
          <w:p>
            <w:pPr>
              <w:adjustRightInd w:val="0"/>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745" w:type="dxa"/>
            <w:vAlign w:val="center"/>
          </w:tcPr>
          <w:p>
            <w:pPr>
              <w:adjustRightInd w:val="0"/>
              <w:snapToGrid w:val="0"/>
              <w:ind w:left="-88" w:leftChars="-42"/>
              <w:jc w:val="center"/>
              <w:rPr>
                <w:rFonts w:ascii="宋体" w:hAnsi="宋体"/>
                <w:sz w:val="24"/>
              </w:rPr>
            </w:pPr>
            <w:r>
              <w:rPr>
                <w:rFonts w:hint="eastAsia" w:ascii="宋体" w:hAnsi="宋体"/>
                <w:sz w:val="24"/>
              </w:rPr>
              <w:t>…</w:t>
            </w:r>
          </w:p>
        </w:tc>
        <w:tc>
          <w:tcPr>
            <w:tcW w:w="2722" w:type="dxa"/>
            <w:vAlign w:val="center"/>
          </w:tcPr>
          <w:p>
            <w:pPr>
              <w:adjustRightInd w:val="0"/>
              <w:snapToGrid w:val="0"/>
              <w:ind w:left="-88" w:leftChars="-42"/>
              <w:jc w:val="center"/>
              <w:rPr>
                <w:rFonts w:ascii="宋体" w:hAnsi="宋体"/>
                <w:sz w:val="24"/>
              </w:rPr>
            </w:pPr>
          </w:p>
        </w:tc>
        <w:tc>
          <w:tcPr>
            <w:tcW w:w="2459" w:type="dxa"/>
            <w:vAlign w:val="center"/>
          </w:tcPr>
          <w:p>
            <w:pPr>
              <w:adjustRightInd w:val="0"/>
              <w:snapToGrid w:val="0"/>
              <w:jc w:val="center"/>
              <w:rPr>
                <w:rFonts w:ascii="宋体" w:hAnsi="宋体"/>
                <w:sz w:val="24"/>
              </w:rPr>
            </w:pPr>
          </w:p>
        </w:tc>
        <w:tc>
          <w:tcPr>
            <w:tcW w:w="851" w:type="dxa"/>
            <w:vAlign w:val="center"/>
          </w:tcPr>
          <w:p>
            <w:pPr>
              <w:adjustRightInd w:val="0"/>
              <w:snapToGrid w:val="0"/>
              <w:jc w:val="center"/>
              <w:rPr>
                <w:rFonts w:ascii="宋体" w:hAnsi="宋体"/>
                <w:sz w:val="24"/>
              </w:rPr>
            </w:pPr>
          </w:p>
        </w:tc>
        <w:tc>
          <w:tcPr>
            <w:tcW w:w="2593" w:type="dxa"/>
            <w:vAlign w:val="center"/>
          </w:tcPr>
          <w:p>
            <w:pPr>
              <w:adjustRightInd w:val="0"/>
              <w:snapToGrid w:val="0"/>
              <w:jc w:val="center"/>
              <w:rPr>
                <w:rFonts w:ascii="宋体" w:hAnsi="宋体"/>
                <w:sz w:val="24"/>
              </w:rPr>
            </w:pPr>
          </w:p>
        </w:tc>
      </w:tr>
    </w:tbl>
    <w:p>
      <w:pPr>
        <w:spacing w:line="360" w:lineRule="auto"/>
        <w:ind w:left="1085" w:hanging="1081" w:hangingChars="449"/>
        <w:jc w:val="left"/>
        <w:rPr>
          <w:rFonts w:ascii="宋体" w:hAnsi="宋体"/>
          <w:sz w:val="24"/>
        </w:rPr>
      </w:pPr>
      <w:r>
        <w:rPr>
          <w:rFonts w:hint="eastAsia" w:ascii="宋体" w:hAnsi="宋体"/>
          <w:sz w:val="24"/>
        </w:rPr>
        <w:t>说明：1．此表为货物（工程或服务）清单，投标人应提供所投货物（工程或服务）详细的供货（工程或服务）范围，包括主要配件及生产厂家、备品备件等。</w:t>
      </w:r>
    </w:p>
    <w:p>
      <w:pPr>
        <w:spacing w:line="360" w:lineRule="auto"/>
        <w:ind w:left="1066" w:leftChars="339" w:hanging="351" w:hangingChars="146"/>
        <w:jc w:val="left"/>
        <w:rPr>
          <w:rFonts w:ascii="宋体" w:hAnsi="宋体"/>
          <w:sz w:val="24"/>
        </w:rPr>
      </w:pPr>
      <w:r>
        <w:rPr>
          <w:rFonts w:hint="eastAsia" w:ascii="宋体" w:hAnsi="宋体"/>
          <w:sz w:val="24"/>
        </w:rPr>
        <w:t>2．各项货物（工程或服务）详细技术规格、参数及要求性能，应另页描述。</w:t>
      </w:r>
    </w:p>
    <w:p>
      <w:pPr>
        <w:adjustRightInd w:val="0"/>
        <w:snapToGrid w:val="0"/>
        <w:spacing w:line="360" w:lineRule="auto"/>
        <w:ind w:left="770" w:leftChars="194" w:hanging="361" w:hangingChars="150"/>
        <w:rPr>
          <w:rFonts w:ascii="宋体" w:hAnsi="宋体"/>
          <w:sz w:val="24"/>
        </w:rPr>
      </w:pPr>
    </w:p>
    <w:p>
      <w:pPr>
        <w:adjustRightInd w:val="0"/>
        <w:snapToGrid w:val="0"/>
        <w:spacing w:line="360" w:lineRule="auto"/>
        <w:ind w:left="770" w:leftChars="194" w:hanging="361" w:hangingChars="150"/>
        <w:rPr>
          <w:rFonts w:ascii="宋体" w:hAnsi="宋体"/>
          <w:sz w:val="24"/>
        </w:rPr>
      </w:pPr>
    </w:p>
    <w:p>
      <w:pPr>
        <w:adjustRightInd w:val="0"/>
        <w:snapToGrid w:val="0"/>
        <w:spacing w:line="360" w:lineRule="auto"/>
        <w:ind w:left="770" w:leftChars="194" w:hanging="361" w:hangingChars="150"/>
        <w:rPr>
          <w:rFonts w:ascii="宋体" w:hAnsi="宋体"/>
          <w:sz w:val="24"/>
        </w:rPr>
      </w:pPr>
    </w:p>
    <w:p>
      <w:pPr>
        <w:adjustRightInd w:val="0"/>
        <w:snapToGrid w:val="0"/>
        <w:spacing w:line="360" w:lineRule="auto"/>
        <w:ind w:left="770" w:leftChars="194" w:hanging="361" w:hangingChars="150"/>
        <w:rPr>
          <w:rFonts w:ascii="宋体" w:hAnsi="宋体"/>
          <w:sz w:val="24"/>
        </w:rPr>
      </w:pPr>
    </w:p>
    <w:p>
      <w:pPr>
        <w:spacing w:before="100" w:beforeAutospacing="1" w:after="100" w:afterAutospacing="1" w:line="360" w:lineRule="auto"/>
        <w:ind w:firstLine="3329"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29" w:firstLineChars="1382"/>
        <w:rPr>
          <w:rFonts w:hAnsi="宋体"/>
          <w:b/>
          <w:bCs/>
          <w:sz w:val="24"/>
          <w:u w:val="single"/>
        </w:rPr>
      </w:pPr>
      <w:r>
        <w:rPr>
          <w:rFonts w:hint="eastAsia" w:ascii="宋体" w:hAnsi="宋体" w:eastAsia="宋体" w:cs="Times New Roman"/>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29" w:firstLineChars="1382"/>
        <w:rPr>
          <w:rFonts w:hAnsi="宋体"/>
          <w:b/>
          <w:bCs/>
          <w:sz w:val="24"/>
          <w:u w:val="single"/>
        </w:rPr>
      </w:pPr>
      <w:r>
        <w:rPr>
          <w:rFonts w:hint="eastAsia" w:ascii="宋体" w:hAnsi="宋体" w:eastAsia="宋体" w:cs="Times New Roman"/>
          <w:b/>
          <w:bCs/>
          <w:sz w:val="24"/>
          <w:szCs w:val="21"/>
          <w:lang w:val="zh-CN"/>
        </w:rPr>
        <w:t>投标</w:t>
      </w:r>
      <w:r>
        <w:rPr>
          <w:rFonts w:hint="eastAsia" w:hAnsi="宋体"/>
          <w:b/>
          <w:bCs/>
          <w:sz w:val="24"/>
        </w:rPr>
        <w:t>时间：</w:t>
      </w:r>
    </w:p>
    <w:p>
      <w:r>
        <w:br w:type="page"/>
      </w:r>
    </w:p>
    <w:p>
      <w:pPr>
        <w:pStyle w:val="5"/>
        <w:numPr>
          <w:ilvl w:val="0"/>
          <w:numId w:val="62"/>
        </w:numPr>
        <w:spacing w:before="100" w:beforeAutospacing="1" w:afterLines="50" w:line="360" w:lineRule="auto"/>
        <w:ind w:left="1288" w:hanging="1288"/>
        <w:rPr>
          <w:rFonts w:ascii="宋体" w:hAnsi="宋体" w:eastAsia="宋体"/>
        </w:rPr>
      </w:pPr>
      <w:bookmarkStart w:id="148" w:name="_Toc494745326"/>
      <w:bookmarkStart w:id="149" w:name="_Toc494665562"/>
      <w:bookmarkStart w:id="150" w:name="_Toc494665959"/>
      <w:bookmarkStart w:id="151" w:name="_Toc494721109"/>
      <w:bookmarkStart w:id="152" w:name="_Toc494665009"/>
      <w:bookmarkStart w:id="153" w:name="_Toc494702279"/>
      <w:bookmarkStart w:id="154" w:name="_Toc7115"/>
      <w:r>
        <w:rPr>
          <w:rFonts w:hint="eastAsia" w:ascii="宋体" w:hAnsi="宋体" w:eastAsia="宋体"/>
        </w:rPr>
        <w:t>交纳投标保证金的银行凭证</w:t>
      </w:r>
      <w:bookmarkEnd w:id="148"/>
      <w:bookmarkEnd w:id="149"/>
      <w:bookmarkEnd w:id="150"/>
      <w:bookmarkEnd w:id="151"/>
      <w:bookmarkEnd w:id="152"/>
      <w:bookmarkEnd w:id="153"/>
      <w:bookmarkEnd w:id="154"/>
    </w:p>
    <w:p>
      <w:pPr>
        <w:jc w:val="center"/>
        <w:rPr>
          <w:rFonts w:ascii="宋体" w:hAnsi="宋体" w:eastAsia="宋体" w:cs="Times New Roman"/>
          <w:b/>
          <w:kern w:val="0"/>
          <w:sz w:val="28"/>
          <w:szCs w:val="32"/>
        </w:rPr>
      </w:pPr>
      <w:r>
        <w:rPr>
          <w:rFonts w:hint="eastAsia" w:ascii="宋体" w:hAnsi="宋体" w:eastAsia="宋体" w:cs="Times New Roman"/>
          <w:b/>
          <w:kern w:val="0"/>
          <w:sz w:val="28"/>
          <w:szCs w:val="32"/>
        </w:rPr>
        <w:t>（本项目不适用）</w:t>
      </w:r>
    </w:p>
    <w:p/>
    <w:p>
      <w:pPr>
        <w:spacing w:line="480" w:lineRule="auto"/>
        <w:rPr>
          <w:rFonts w:ascii="宋体" w:hAnsi="宋体" w:cs="Courier New"/>
          <w:b/>
          <w:sz w:val="28"/>
          <w:szCs w:val="28"/>
        </w:rPr>
      </w:pPr>
      <w:r>
        <w:rPr>
          <w:rFonts w:hint="eastAsia" w:ascii="宋体" w:hAnsi="宋体" w:cs="Courier New"/>
          <w:b/>
          <w:sz w:val="28"/>
          <w:szCs w:val="28"/>
        </w:rPr>
        <w:t>阳新县公共资源交易中心：</w:t>
      </w:r>
    </w:p>
    <w:p>
      <w:pPr>
        <w:spacing w:line="360" w:lineRule="auto"/>
        <w:ind w:firstLine="491" w:firstLineChars="204"/>
        <w:jc w:val="left"/>
        <w:rPr>
          <w:rFonts w:ascii="宋体" w:hAnsi="宋体" w:eastAsia="宋体" w:cs="Times New Roman"/>
          <w:sz w:val="24"/>
          <w:szCs w:val="21"/>
          <w:lang w:val="zh-CN"/>
        </w:rPr>
      </w:pPr>
      <w:r>
        <w:rPr>
          <w:rFonts w:hint="eastAsia" w:ascii="宋体" w:hAnsi="宋体" w:eastAsia="宋体" w:cs="Times New Roman"/>
          <w:sz w:val="24"/>
          <w:szCs w:val="21"/>
          <w:u w:val="single"/>
          <w:lang w:val="zh-CN"/>
        </w:rPr>
        <w:t xml:space="preserve">  （投标人全称）  </w:t>
      </w:r>
      <w:r>
        <w:rPr>
          <w:rFonts w:hint="eastAsia" w:ascii="宋体" w:hAnsi="宋体" w:eastAsia="宋体" w:cs="Times New Roman"/>
          <w:sz w:val="24"/>
          <w:szCs w:val="21"/>
          <w:lang w:val="zh-CN"/>
        </w:rPr>
        <w:t>参加贵方组织的</w:t>
      </w:r>
      <w:r>
        <w:rPr>
          <w:rFonts w:hint="eastAsia" w:ascii="宋体" w:hAnsi="宋体" w:eastAsia="宋体" w:cs="Times New Roman"/>
          <w:color w:val="0D0D0D"/>
          <w:sz w:val="24"/>
          <w:szCs w:val="21"/>
          <w:lang w:val="zh-CN"/>
        </w:rPr>
        <w:t>__</w:t>
      </w:r>
      <w:r>
        <w:rPr>
          <w:rFonts w:hint="eastAsia" w:ascii="宋体" w:hAnsi="宋体" w:eastAsia="宋体" w:cs="Times New Roman"/>
          <w:color w:val="0D0D0D"/>
          <w:sz w:val="24"/>
          <w:szCs w:val="21"/>
          <w:u w:val="single"/>
          <w:lang w:val="zh-CN"/>
        </w:rPr>
        <w:t>_    _</w:t>
      </w:r>
      <w:r>
        <w:rPr>
          <w:rFonts w:hint="eastAsia" w:ascii="宋体" w:hAnsi="宋体" w:eastAsia="宋体" w:cs="Times New Roman"/>
          <w:color w:val="0D0D0D"/>
          <w:sz w:val="24"/>
          <w:szCs w:val="21"/>
          <w:lang w:val="zh-CN"/>
        </w:rPr>
        <w:t>项目（项目编号：_____</w:t>
      </w:r>
      <w:r>
        <w:rPr>
          <w:rFonts w:hint="eastAsia" w:ascii="宋体" w:hAnsi="宋体" w:eastAsia="宋体" w:cs="Times New Roman"/>
          <w:sz w:val="24"/>
          <w:szCs w:val="21"/>
          <w:lang w:val="zh-CN"/>
        </w:rPr>
        <w:t>_）的政府采购活动。按招标文件的规定，已递交人民币（大写）万元的投标保证金。</w:t>
      </w:r>
    </w:p>
    <w:tbl>
      <w:tblPr>
        <w:tblStyle w:val="21"/>
        <w:tblW w:w="9548"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885"/>
        <w:gridCol w:w="2160"/>
        <w:gridCol w:w="1440"/>
        <w:gridCol w:w="3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540" w:type="dxa"/>
            <w:vMerge w:val="restart"/>
            <w:vAlign w:val="center"/>
          </w:tcPr>
          <w:p>
            <w:pPr>
              <w:widowControl/>
              <w:spacing w:line="360" w:lineRule="auto"/>
              <w:jc w:val="center"/>
              <w:rPr>
                <w:rFonts w:ascii="宋体" w:hAnsi="宋体" w:eastAsia="宋体" w:cs="宋体"/>
                <w:kern w:val="0"/>
                <w:sz w:val="24"/>
                <w:szCs w:val="21"/>
              </w:rPr>
            </w:pPr>
            <w:r>
              <w:rPr>
                <w:rFonts w:hint="eastAsia" w:ascii="宋体" w:hAnsi="宋体" w:eastAsia="宋体" w:cs="宋体"/>
                <w:kern w:val="0"/>
                <w:sz w:val="24"/>
                <w:szCs w:val="21"/>
              </w:rPr>
              <w:t>投标人</w:t>
            </w:r>
          </w:p>
        </w:tc>
        <w:tc>
          <w:tcPr>
            <w:tcW w:w="1885" w:type="dxa"/>
            <w:vAlign w:val="center"/>
          </w:tcPr>
          <w:p>
            <w:pPr>
              <w:widowControl/>
              <w:spacing w:line="360" w:lineRule="auto"/>
              <w:jc w:val="center"/>
              <w:rPr>
                <w:rFonts w:ascii="宋体" w:hAnsi="宋体" w:eastAsia="宋体" w:cs="宋体"/>
                <w:kern w:val="0"/>
                <w:sz w:val="24"/>
                <w:szCs w:val="21"/>
              </w:rPr>
            </w:pPr>
            <w:r>
              <w:rPr>
                <w:rFonts w:hint="eastAsia" w:ascii="宋体" w:hAnsi="宋体" w:eastAsia="宋体" w:cs="宋体"/>
                <w:kern w:val="0"/>
                <w:sz w:val="24"/>
                <w:szCs w:val="21"/>
              </w:rPr>
              <w:t>全  称</w:t>
            </w:r>
          </w:p>
        </w:tc>
        <w:tc>
          <w:tcPr>
            <w:tcW w:w="7123" w:type="dxa"/>
            <w:gridSpan w:val="3"/>
            <w:vAlign w:val="center"/>
          </w:tcPr>
          <w:p>
            <w:pPr>
              <w:widowControl/>
              <w:spacing w:line="360" w:lineRule="auto"/>
              <w:jc w:val="left"/>
              <w:rPr>
                <w:rFonts w:ascii="宋体" w:hAnsi="宋体" w:eastAsia="宋体" w:cs="宋体"/>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540" w:type="dxa"/>
            <w:vMerge w:val="continue"/>
            <w:vAlign w:val="center"/>
          </w:tcPr>
          <w:p>
            <w:pPr>
              <w:widowControl/>
              <w:spacing w:line="360" w:lineRule="auto"/>
              <w:jc w:val="left"/>
              <w:rPr>
                <w:rFonts w:ascii="宋体" w:hAnsi="宋体" w:eastAsia="宋体" w:cs="宋体"/>
                <w:kern w:val="0"/>
                <w:sz w:val="24"/>
                <w:szCs w:val="21"/>
              </w:rPr>
            </w:pPr>
          </w:p>
        </w:tc>
        <w:tc>
          <w:tcPr>
            <w:tcW w:w="1885" w:type="dxa"/>
            <w:vAlign w:val="center"/>
          </w:tcPr>
          <w:p>
            <w:pPr>
              <w:widowControl/>
              <w:spacing w:line="360" w:lineRule="auto"/>
              <w:jc w:val="center"/>
              <w:rPr>
                <w:rFonts w:ascii="宋体" w:hAnsi="宋体" w:eastAsia="宋体" w:cs="宋体"/>
                <w:kern w:val="0"/>
                <w:sz w:val="24"/>
                <w:szCs w:val="21"/>
              </w:rPr>
            </w:pPr>
            <w:r>
              <w:rPr>
                <w:rFonts w:hint="eastAsia" w:ascii="宋体" w:hAnsi="宋体" w:eastAsia="宋体" w:cs="宋体"/>
                <w:kern w:val="0"/>
                <w:sz w:val="24"/>
                <w:szCs w:val="21"/>
              </w:rPr>
              <w:t>地  址</w:t>
            </w:r>
          </w:p>
        </w:tc>
        <w:tc>
          <w:tcPr>
            <w:tcW w:w="7123" w:type="dxa"/>
            <w:gridSpan w:val="3"/>
            <w:vAlign w:val="center"/>
          </w:tcPr>
          <w:p>
            <w:pPr>
              <w:widowControl/>
              <w:spacing w:line="360" w:lineRule="auto"/>
              <w:jc w:val="left"/>
              <w:rPr>
                <w:rFonts w:ascii="宋体" w:hAnsi="宋体" w:eastAsia="宋体" w:cs="宋体"/>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540" w:type="dxa"/>
            <w:vMerge w:val="continue"/>
            <w:vAlign w:val="center"/>
          </w:tcPr>
          <w:p>
            <w:pPr>
              <w:widowControl/>
              <w:spacing w:line="360" w:lineRule="auto"/>
              <w:jc w:val="left"/>
              <w:rPr>
                <w:rFonts w:ascii="宋体" w:hAnsi="宋体" w:eastAsia="宋体" w:cs="宋体"/>
                <w:kern w:val="0"/>
                <w:sz w:val="24"/>
                <w:szCs w:val="21"/>
              </w:rPr>
            </w:pPr>
          </w:p>
        </w:tc>
        <w:tc>
          <w:tcPr>
            <w:tcW w:w="1885" w:type="dxa"/>
            <w:vAlign w:val="center"/>
          </w:tcPr>
          <w:p>
            <w:pPr>
              <w:widowControl/>
              <w:spacing w:line="360" w:lineRule="auto"/>
              <w:jc w:val="center"/>
              <w:rPr>
                <w:rFonts w:ascii="宋体" w:hAnsi="宋体" w:eastAsia="宋体" w:cs="宋体"/>
                <w:kern w:val="0"/>
                <w:sz w:val="24"/>
                <w:szCs w:val="21"/>
              </w:rPr>
            </w:pPr>
            <w:r>
              <w:rPr>
                <w:rFonts w:hint="eastAsia" w:ascii="宋体" w:hAnsi="宋体" w:eastAsia="宋体" w:cs="宋体"/>
                <w:kern w:val="0"/>
                <w:sz w:val="24"/>
                <w:szCs w:val="21"/>
              </w:rPr>
              <w:t>邮  编</w:t>
            </w:r>
          </w:p>
        </w:tc>
        <w:tc>
          <w:tcPr>
            <w:tcW w:w="7123" w:type="dxa"/>
            <w:gridSpan w:val="3"/>
            <w:vAlign w:val="center"/>
          </w:tcPr>
          <w:p>
            <w:pPr>
              <w:widowControl/>
              <w:spacing w:line="360" w:lineRule="auto"/>
              <w:jc w:val="left"/>
              <w:rPr>
                <w:rFonts w:ascii="宋体" w:hAnsi="宋体" w:eastAsia="宋体" w:cs="宋体"/>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540" w:type="dxa"/>
            <w:vMerge w:val="continue"/>
            <w:vAlign w:val="center"/>
          </w:tcPr>
          <w:p>
            <w:pPr>
              <w:widowControl/>
              <w:spacing w:line="360" w:lineRule="auto"/>
              <w:jc w:val="left"/>
              <w:rPr>
                <w:rFonts w:ascii="宋体" w:hAnsi="宋体" w:eastAsia="宋体" w:cs="宋体"/>
                <w:kern w:val="0"/>
                <w:sz w:val="24"/>
                <w:szCs w:val="21"/>
              </w:rPr>
            </w:pPr>
          </w:p>
        </w:tc>
        <w:tc>
          <w:tcPr>
            <w:tcW w:w="1885" w:type="dxa"/>
            <w:vAlign w:val="center"/>
          </w:tcPr>
          <w:p>
            <w:pPr>
              <w:widowControl/>
              <w:spacing w:line="360" w:lineRule="auto"/>
              <w:jc w:val="center"/>
              <w:rPr>
                <w:rFonts w:ascii="宋体" w:hAnsi="宋体" w:eastAsia="宋体" w:cs="宋体"/>
                <w:kern w:val="0"/>
                <w:sz w:val="24"/>
                <w:szCs w:val="21"/>
              </w:rPr>
            </w:pPr>
            <w:r>
              <w:rPr>
                <w:rFonts w:hint="eastAsia" w:ascii="宋体" w:hAnsi="宋体" w:eastAsia="宋体" w:cs="宋体"/>
                <w:kern w:val="0"/>
                <w:sz w:val="24"/>
                <w:szCs w:val="21"/>
              </w:rPr>
              <w:t>联 系 人</w:t>
            </w:r>
          </w:p>
        </w:tc>
        <w:tc>
          <w:tcPr>
            <w:tcW w:w="2160" w:type="dxa"/>
            <w:vAlign w:val="center"/>
          </w:tcPr>
          <w:p>
            <w:pPr>
              <w:widowControl/>
              <w:spacing w:line="360" w:lineRule="auto"/>
              <w:jc w:val="left"/>
              <w:rPr>
                <w:rFonts w:ascii="宋体" w:hAnsi="宋体" w:eastAsia="宋体" w:cs="宋体"/>
                <w:kern w:val="0"/>
                <w:sz w:val="24"/>
                <w:szCs w:val="21"/>
              </w:rPr>
            </w:pPr>
          </w:p>
        </w:tc>
        <w:tc>
          <w:tcPr>
            <w:tcW w:w="1440" w:type="dxa"/>
            <w:vAlign w:val="center"/>
          </w:tcPr>
          <w:p>
            <w:pPr>
              <w:widowControl/>
              <w:spacing w:line="360" w:lineRule="auto"/>
              <w:jc w:val="center"/>
              <w:rPr>
                <w:rFonts w:ascii="宋体" w:hAnsi="宋体" w:eastAsia="宋体" w:cs="宋体"/>
                <w:kern w:val="0"/>
                <w:sz w:val="24"/>
                <w:szCs w:val="21"/>
              </w:rPr>
            </w:pPr>
            <w:r>
              <w:rPr>
                <w:rFonts w:hint="eastAsia" w:ascii="宋体" w:hAnsi="宋体" w:eastAsia="宋体" w:cs="宋体"/>
                <w:kern w:val="0"/>
                <w:sz w:val="24"/>
                <w:szCs w:val="21"/>
              </w:rPr>
              <w:t>联系电话</w:t>
            </w:r>
          </w:p>
        </w:tc>
        <w:tc>
          <w:tcPr>
            <w:tcW w:w="3523" w:type="dxa"/>
            <w:vAlign w:val="center"/>
          </w:tcPr>
          <w:p>
            <w:pPr>
              <w:widowControl/>
              <w:spacing w:line="360" w:lineRule="auto"/>
              <w:jc w:val="left"/>
              <w:rPr>
                <w:rFonts w:ascii="宋体" w:hAnsi="宋体" w:eastAsia="宋体" w:cs="宋体"/>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540" w:type="dxa"/>
            <w:vMerge w:val="continue"/>
            <w:vAlign w:val="center"/>
          </w:tcPr>
          <w:p>
            <w:pPr>
              <w:widowControl/>
              <w:spacing w:line="360" w:lineRule="auto"/>
              <w:jc w:val="left"/>
              <w:rPr>
                <w:rFonts w:ascii="宋体" w:hAnsi="宋体" w:eastAsia="宋体" w:cs="宋体"/>
                <w:kern w:val="0"/>
                <w:sz w:val="24"/>
                <w:szCs w:val="21"/>
              </w:rPr>
            </w:pPr>
          </w:p>
        </w:tc>
        <w:tc>
          <w:tcPr>
            <w:tcW w:w="1885" w:type="dxa"/>
            <w:vAlign w:val="center"/>
          </w:tcPr>
          <w:p>
            <w:pPr>
              <w:widowControl/>
              <w:spacing w:line="360" w:lineRule="auto"/>
              <w:jc w:val="center"/>
              <w:rPr>
                <w:rFonts w:ascii="宋体" w:hAnsi="宋体" w:eastAsia="宋体" w:cs="宋体"/>
                <w:kern w:val="0"/>
                <w:sz w:val="24"/>
                <w:szCs w:val="21"/>
              </w:rPr>
            </w:pPr>
            <w:r>
              <w:rPr>
                <w:rFonts w:hint="eastAsia" w:ascii="宋体" w:hAnsi="宋体" w:eastAsia="宋体" w:cs="宋体"/>
                <w:kern w:val="0"/>
                <w:sz w:val="24"/>
                <w:szCs w:val="21"/>
              </w:rPr>
              <w:t>开 户 银 行</w:t>
            </w:r>
          </w:p>
        </w:tc>
        <w:tc>
          <w:tcPr>
            <w:tcW w:w="7123" w:type="dxa"/>
            <w:gridSpan w:val="3"/>
            <w:vAlign w:val="center"/>
          </w:tcPr>
          <w:p>
            <w:pPr>
              <w:widowControl/>
              <w:spacing w:line="360" w:lineRule="auto"/>
              <w:jc w:val="left"/>
              <w:rPr>
                <w:rFonts w:ascii="宋体" w:hAnsi="宋体" w:eastAsia="宋体" w:cs="Arial"/>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540" w:type="dxa"/>
            <w:vMerge w:val="continue"/>
            <w:vAlign w:val="center"/>
          </w:tcPr>
          <w:p>
            <w:pPr>
              <w:widowControl/>
              <w:spacing w:line="360" w:lineRule="auto"/>
              <w:jc w:val="left"/>
              <w:rPr>
                <w:rFonts w:ascii="宋体" w:hAnsi="宋体" w:eastAsia="宋体" w:cs="宋体"/>
                <w:kern w:val="0"/>
                <w:sz w:val="24"/>
                <w:szCs w:val="21"/>
              </w:rPr>
            </w:pPr>
          </w:p>
        </w:tc>
        <w:tc>
          <w:tcPr>
            <w:tcW w:w="1885" w:type="dxa"/>
            <w:vAlign w:val="center"/>
          </w:tcPr>
          <w:p>
            <w:pPr>
              <w:widowControl/>
              <w:spacing w:line="360" w:lineRule="auto"/>
              <w:jc w:val="center"/>
              <w:rPr>
                <w:rFonts w:ascii="宋体" w:hAnsi="宋体" w:eastAsia="宋体" w:cs="宋体"/>
                <w:kern w:val="0"/>
                <w:sz w:val="24"/>
                <w:szCs w:val="21"/>
              </w:rPr>
            </w:pPr>
            <w:r>
              <w:rPr>
                <w:rFonts w:hint="eastAsia" w:ascii="宋体" w:hAnsi="宋体" w:eastAsia="宋体" w:cs="宋体"/>
                <w:kern w:val="0"/>
                <w:sz w:val="24"/>
                <w:szCs w:val="21"/>
              </w:rPr>
              <w:t>帐  号</w:t>
            </w:r>
          </w:p>
        </w:tc>
        <w:tc>
          <w:tcPr>
            <w:tcW w:w="7123" w:type="dxa"/>
            <w:gridSpan w:val="3"/>
            <w:vAlign w:val="center"/>
          </w:tcPr>
          <w:p>
            <w:pPr>
              <w:widowControl/>
              <w:spacing w:line="360" w:lineRule="auto"/>
              <w:jc w:val="left"/>
              <w:rPr>
                <w:rFonts w:ascii="宋体" w:hAnsi="宋体" w:eastAsia="宋体" w:cs="Arial"/>
                <w:kern w:val="0"/>
                <w:sz w:val="24"/>
                <w:szCs w:val="21"/>
              </w:rPr>
            </w:pPr>
          </w:p>
        </w:tc>
      </w:tr>
    </w:tbl>
    <w:p>
      <w:pPr>
        <w:spacing w:before="100" w:beforeAutospacing="1" w:after="100" w:afterAutospacing="1" w:line="360" w:lineRule="auto"/>
        <w:ind w:firstLine="3329"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29" w:firstLineChars="1382"/>
        <w:rPr>
          <w:rFonts w:hAnsi="宋体"/>
          <w:b/>
          <w:bCs/>
          <w:sz w:val="24"/>
          <w:u w:val="single"/>
        </w:rPr>
      </w:pPr>
      <w:r>
        <w:rPr>
          <w:rFonts w:hint="eastAsia" w:ascii="宋体" w:hAnsi="宋体" w:eastAsia="宋体" w:cs="Times New Roman"/>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29" w:firstLineChars="1382"/>
        <w:rPr>
          <w:rFonts w:hAnsi="宋体"/>
          <w:b/>
          <w:bCs/>
          <w:sz w:val="24"/>
          <w:u w:val="single"/>
        </w:rPr>
      </w:pPr>
      <w:r>
        <w:rPr>
          <w:rFonts w:hint="eastAsia" w:ascii="宋体" w:hAnsi="宋体" w:eastAsia="宋体" w:cs="Times New Roman"/>
          <w:b/>
          <w:bCs/>
          <w:sz w:val="24"/>
          <w:szCs w:val="21"/>
          <w:lang w:val="zh-CN"/>
        </w:rPr>
        <w:t>投标</w:t>
      </w:r>
      <w:r>
        <w:rPr>
          <w:rFonts w:hint="eastAsia" w:hAnsi="宋体"/>
          <w:b/>
          <w:bCs/>
          <w:sz w:val="24"/>
        </w:rPr>
        <w:t>时间：</w:t>
      </w:r>
    </w:p>
    <w:tbl>
      <w:tblPr>
        <w:tblStyle w:val="21"/>
        <w:tblW w:w="9547" w:type="dxa"/>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9" w:hRule="exact"/>
        </w:trPr>
        <w:tc>
          <w:tcPr>
            <w:tcW w:w="9547" w:type="dxa"/>
          </w:tcPr>
          <w:p>
            <w:pPr>
              <w:spacing w:line="360" w:lineRule="auto"/>
              <w:rPr>
                <w:rFonts w:ascii="宋体" w:hAnsi="宋体" w:eastAsia="宋体" w:cs="Times New Roman"/>
                <w:sz w:val="24"/>
                <w:szCs w:val="24"/>
              </w:rPr>
            </w:pPr>
            <w:r>
              <w:rPr>
                <w:rFonts w:hint="eastAsia" w:ascii="宋体" w:hAnsi="宋体" w:eastAsia="宋体" w:cs="Times New Roman"/>
                <w:sz w:val="24"/>
                <w:szCs w:val="24"/>
              </w:rPr>
              <w:t>粘贴转帐、电汇或网上银行凭证（清晰影印件）</w:t>
            </w:r>
          </w:p>
          <w:p>
            <w:pPr>
              <w:spacing w:line="360" w:lineRule="auto"/>
              <w:rPr>
                <w:rFonts w:ascii="宋体" w:hAnsi="宋体" w:eastAsia="宋体" w:cs="Times New Roman"/>
                <w:sz w:val="24"/>
                <w:szCs w:val="24"/>
              </w:rPr>
            </w:pPr>
          </w:p>
          <w:p>
            <w:pPr>
              <w:spacing w:line="360" w:lineRule="auto"/>
              <w:rPr>
                <w:rFonts w:ascii="宋体" w:hAnsi="宋体" w:eastAsia="宋体" w:cs="Times New Roman"/>
                <w:sz w:val="24"/>
                <w:szCs w:val="24"/>
              </w:rPr>
            </w:pPr>
          </w:p>
          <w:p>
            <w:pPr>
              <w:spacing w:line="360" w:lineRule="auto"/>
              <w:rPr>
                <w:rFonts w:ascii="宋体" w:hAnsi="宋体" w:eastAsia="宋体" w:cs="Times New Roman"/>
                <w:sz w:val="24"/>
                <w:szCs w:val="24"/>
              </w:rPr>
            </w:pPr>
          </w:p>
          <w:p>
            <w:pPr>
              <w:spacing w:line="360" w:lineRule="auto"/>
              <w:rPr>
                <w:rFonts w:ascii="宋体" w:hAnsi="宋体" w:eastAsia="宋体" w:cs="Times New Roman"/>
                <w:sz w:val="24"/>
                <w:szCs w:val="24"/>
              </w:rPr>
            </w:pPr>
          </w:p>
          <w:p>
            <w:pPr>
              <w:spacing w:line="360" w:lineRule="auto"/>
              <w:ind w:left="111" w:leftChars="38" w:hanging="31" w:hangingChars="13"/>
              <w:rPr>
                <w:rFonts w:ascii="宋体" w:hAnsi="宋体" w:eastAsia="宋体" w:cs="Times New Roman"/>
                <w:b/>
                <w:sz w:val="24"/>
                <w:szCs w:val="20"/>
                <w:lang w:val="zh-CN"/>
              </w:rPr>
            </w:pPr>
            <w:r>
              <w:rPr>
                <w:rFonts w:hint="eastAsia" w:ascii="宋体" w:hAnsi="宋体" w:eastAsia="宋体" w:cs="Times New Roman"/>
                <w:sz w:val="24"/>
                <w:szCs w:val="20"/>
                <w:lang w:val="zh-CN"/>
              </w:rPr>
              <w:t>注：在交款凭证备注中说明项目编号及开标时间</w:t>
            </w:r>
          </w:p>
        </w:tc>
      </w:tr>
    </w:tbl>
    <w:p>
      <w:pPr>
        <w:spacing w:line="360" w:lineRule="auto"/>
        <w:ind w:left="725" w:hanging="723" w:hangingChars="300"/>
        <w:jc w:val="left"/>
        <w:rPr>
          <w:rFonts w:ascii="宋体" w:hAnsi="宋体" w:eastAsia="宋体" w:cs="Times New Roman"/>
          <w:sz w:val="24"/>
          <w:szCs w:val="24"/>
        </w:rPr>
      </w:pPr>
      <w:r>
        <w:rPr>
          <w:rFonts w:hint="eastAsia" w:ascii="宋体" w:hAnsi="宋体" w:eastAsia="宋体" w:cs="Times New Roman"/>
          <w:sz w:val="24"/>
          <w:szCs w:val="24"/>
        </w:rPr>
        <w:t>说明：投标人应认真填写银行信息，与转帐或电汇银行凭证的相关信息一致，集中采购机构将依据此凭证信息查退投标保证金。</w:t>
      </w:r>
    </w:p>
    <w:p>
      <w:r>
        <w:br w:type="page"/>
      </w:r>
    </w:p>
    <w:p>
      <w:pPr>
        <w:pStyle w:val="5"/>
        <w:numPr>
          <w:ilvl w:val="0"/>
          <w:numId w:val="62"/>
        </w:numPr>
        <w:spacing w:before="100" w:beforeAutospacing="1" w:afterLines="50" w:line="360" w:lineRule="auto"/>
        <w:ind w:left="1288" w:hanging="1288"/>
        <w:rPr>
          <w:rFonts w:ascii="宋体" w:hAnsi="宋体" w:eastAsia="宋体"/>
        </w:rPr>
      </w:pPr>
      <w:bookmarkStart w:id="155" w:name="_Toc494721110"/>
      <w:bookmarkStart w:id="156" w:name="_Toc236473303"/>
      <w:bookmarkStart w:id="157" w:name="_Toc494745327"/>
      <w:bookmarkStart w:id="158" w:name="_Toc238276247"/>
      <w:bookmarkStart w:id="159" w:name="_Toc494702280"/>
      <w:bookmarkStart w:id="160" w:name="_Toc494665563"/>
      <w:bookmarkStart w:id="161" w:name="_Toc494665960"/>
      <w:bookmarkStart w:id="162" w:name="_Toc494665010"/>
      <w:bookmarkStart w:id="163" w:name="_Toc14586"/>
      <w:r>
        <w:rPr>
          <w:rFonts w:hint="eastAsia" w:ascii="宋体" w:hAnsi="宋体" w:eastAsia="宋体"/>
        </w:rPr>
        <w:t>法定代表人授权书</w:t>
      </w:r>
      <w:bookmarkEnd w:id="155"/>
      <w:bookmarkEnd w:id="156"/>
      <w:bookmarkEnd w:id="157"/>
      <w:bookmarkEnd w:id="158"/>
      <w:bookmarkEnd w:id="159"/>
      <w:bookmarkEnd w:id="160"/>
      <w:bookmarkEnd w:id="161"/>
      <w:bookmarkEnd w:id="162"/>
      <w:bookmarkEnd w:id="163"/>
    </w:p>
    <w:p>
      <w:pPr>
        <w:spacing w:line="480" w:lineRule="auto"/>
        <w:rPr>
          <w:rFonts w:ascii="宋体" w:hAnsi="宋体" w:eastAsia="宋体" w:cs="Times New Roman"/>
          <w:b/>
          <w:sz w:val="24"/>
          <w:szCs w:val="24"/>
        </w:rPr>
      </w:pPr>
      <w:r>
        <w:rPr>
          <w:rFonts w:hint="eastAsia" w:ascii="宋体" w:hAnsi="宋体" w:cs="Courier New"/>
          <w:b/>
          <w:sz w:val="28"/>
          <w:szCs w:val="28"/>
        </w:rPr>
        <w:t>阳新县公共资源交易中心：</w:t>
      </w:r>
    </w:p>
    <w:p>
      <w:pPr>
        <w:spacing w:line="360" w:lineRule="auto"/>
        <w:ind w:firstLine="482" w:firstLineChars="200"/>
        <w:rPr>
          <w:rFonts w:ascii="宋体" w:hAnsi="宋体" w:eastAsia="宋体" w:cs="Times New Roman"/>
          <w:sz w:val="24"/>
          <w:szCs w:val="24"/>
        </w:rPr>
      </w:pPr>
      <w:r>
        <w:rPr>
          <w:rFonts w:hint="eastAsia" w:ascii="宋体" w:hAnsi="宋体" w:eastAsia="宋体" w:cs="Times New Roman"/>
          <w:sz w:val="24"/>
          <w:szCs w:val="24"/>
        </w:rPr>
        <w:t>兹授权同志为我单位参加贵方组织的</w:t>
      </w:r>
      <w:r>
        <w:rPr>
          <w:rFonts w:hint="eastAsia" w:ascii="Times New Roman" w:hAnsi="宋体" w:eastAsia="宋体" w:cs="Times New Roman"/>
          <w:color w:val="0D0D0D"/>
          <w:sz w:val="24"/>
          <w:szCs w:val="24"/>
        </w:rPr>
        <w:t>项目（项目编号：_____</w:t>
      </w:r>
      <w:r>
        <w:rPr>
          <w:rFonts w:hint="eastAsia" w:ascii="Times New Roman" w:hAnsi="宋体" w:eastAsia="宋体" w:cs="Times New Roman"/>
          <w:sz w:val="24"/>
          <w:szCs w:val="24"/>
        </w:rPr>
        <w:t>_）</w:t>
      </w:r>
      <w:r>
        <w:rPr>
          <w:rFonts w:hint="eastAsia" w:ascii="宋体" w:hAnsi="宋体" w:eastAsia="宋体" w:cs="Times New Roman"/>
          <w:sz w:val="24"/>
          <w:szCs w:val="24"/>
        </w:rPr>
        <w:t xml:space="preserve">采购活动的投标人授权代表，全权代表我公司处理在项目采购活动中的一切事宜。代理期限从年月日起至年月日止。 </w:t>
      </w:r>
    </w:p>
    <w:p>
      <w:pPr>
        <w:spacing w:line="360" w:lineRule="auto"/>
        <w:ind w:firstLine="542" w:firstLineChars="225"/>
        <w:rPr>
          <w:rFonts w:ascii="宋体" w:hAnsi="宋体" w:eastAsia="宋体" w:cs="Times New Roman"/>
          <w:sz w:val="24"/>
          <w:szCs w:val="24"/>
        </w:rPr>
      </w:pPr>
      <w:r>
        <w:rPr>
          <w:rFonts w:hint="eastAsia" w:ascii="宋体" w:hAnsi="宋体" w:eastAsia="宋体" w:cs="Times New Roman"/>
          <w:sz w:val="24"/>
          <w:szCs w:val="24"/>
        </w:rPr>
        <w:t>被授权代表无转委托权。</w:t>
      </w:r>
    </w:p>
    <w:p>
      <w:pPr>
        <w:spacing w:line="360" w:lineRule="auto"/>
        <w:ind w:firstLine="542" w:firstLineChars="225"/>
        <w:rPr>
          <w:rFonts w:ascii="宋体" w:hAnsi="宋体" w:eastAsia="宋体" w:cs="Times New Roman"/>
          <w:sz w:val="24"/>
          <w:szCs w:val="24"/>
        </w:rPr>
      </w:pPr>
    </w:p>
    <w:p>
      <w:pPr>
        <w:spacing w:before="100" w:beforeAutospacing="1" w:after="100" w:afterAutospacing="1" w:line="360" w:lineRule="auto"/>
        <w:ind w:firstLine="3329" w:firstLineChars="1382"/>
        <w:rPr>
          <w:rFonts w:hAnsi="宋体"/>
          <w:b/>
          <w:bCs/>
          <w:sz w:val="24"/>
          <w:u w:val="single"/>
        </w:rPr>
      </w:pPr>
      <w:r>
        <w:rPr>
          <w:rFonts w:hint="eastAsia" w:hAnsi="宋体"/>
          <w:b/>
          <w:bCs/>
          <w:sz w:val="24"/>
        </w:rPr>
        <w:t>授权单位（公章）：</w:t>
      </w:r>
    </w:p>
    <w:p>
      <w:pPr>
        <w:spacing w:before="100" w:beforeAutospacing="1" w:after="100" w:afterAutospacing="1" w:line="360" w:lineRule="auto"/>
        <w:ind w:firstLine="3329" w:firstLineChars="1382"/>
        <w:rPr>
          <w:rFonts w:hAnsi="宋体"/>
          <w:b/>
          <w:bCs/>
          <w:sz w:val="24"/>
          <w:u w:val="single"/>
        </w:rPr>
      </w:pPr>
      <w:r>
        <w:rPr>
          <w:rFonts w:hint="eastAsia" w:ascii="宋体" w:hAnsi="宋体" w:eastAsia="宋体" w:cs="Times New Roman"/>
          <w:b/>
          <w:bCs/>
          <w:sz w:val="24"/>
          <w:szCs w:val="21"/>
          <w:lang w:val="zh-CN"/>
        </w:rPr>
        <w:t>法定代表人（签字或盖章）</w:t>
      </w:r>
      <w:r>
        <w:rPr>
          <w:rFonts w:hint="eastAsia" w:hAnsi="宋体"/>
          <w:b/>
          <w:bCs/>
          <w:sz w:val="24"/>
        </w:rPr>
        <w:t>：</w:t>
      </w:r>
    </w:p>
    <w:p>
      <w:pPr>
        <w:spacing w:before="100" w:beforeAutospacing="1" w:after="100" w:afterAutospacing="1" w:line="360" w:lineRule="auto"/>
        <w:ind w:firstLine="3329" w:firstLineChars="1382"/>
        <w:rPr>
          <w:rFonts w:hAnsi="宋体"/>
          <w:b/>
          <w:bCs/>
          <w:sz w:val="24"/>
          <w:u w:val="single"/>
        </w:rPr>
      </w:pPr>
      <w:r>
        <w:rPr>
          <w:rFonts w:hint="eastAsia" w:ascii="宋体" w:hAnsi="宋体" w:eastAsia="宋体" w:cs="Times New Roman"/>
          <w:b/>
          <w:sz w:val="24"/>
          <w:szCs w:val="21"/>
          <w:lang w:val="zh-CN"/>
        </w:rPr>
        <w:t>签发日期：年月日</w:t>
      </w:r>
    </w:p>
    <w:p>
      <w:pPr>
        <w:spacing w:line="360" w:lineRule="auto"/>
        <w:rPr>
          <w:rFonts w:ascii="宋体" w:hAnsi="宋体" w:eastAsia="宋体" w:cs="Times New Roman"/>
          <w:sz w:val="24"/>
          <w:szCs w:val="24"/>
        </w:rPr>
      </w:pPr>
      <w:r>
        <w:rPr>
          <w:rFonts w:hint="eastAsia" w:ascii="宋体" w:hAnsi="宋体" w:eastAsia="宋体" w:cs="Times New Roman"/>
          <w:sz w:val="24"/>
          <w:szCs w:val="24"/>
        </w:rPr>
        <w:t>附：</w:t>
      </w:r>
    </w:p>
    <w:p>
      <w:pPr>
        <w:spacing w:line="360" w:lineRule="auto"/>
        <w:ind w:firstLine="482" w:firstLineChars="200"/>
        <w:rPr>
          <w:rFonts w:ascii="宋体" w:hAnsi="宋体" w:eastAsia="宋体" w:cs="Times New Roman"/>
          <w:sz w:val="24"/>
          <w:szCs w:val="24"/>
        </w:rPr>
      </w:pPr>
      <w:r>
        <w:rPr>
          <w:rFonts w:hint="eastAsia" w:ascii="宋体" w:hAnsi="宋体" w:eastAsia="宋体" w:cs="Times New Roman"/>
          <w:sz w:val="24"/>
          <w:szCs w:val="24"/>
        </w:rPr>
        <w:t>投标人授权代表单位名称：</w:t>
      </w:r>
    </w:p>
    <w:p>
      <w:pPr>
        <w:spacing w:line="360" w:lineRule="auto"/>
        <w:ind w:firstLine="482" w:firstLineChars="200"/>
        <w:rPr>
          <w:rFonts w:ascii="宋体" w:hAnsi="宋体" w:eastAsia="宋体" w:cs="Times New Roman"/>
          <w:sz w:val="24"/>
          <w:szCs w:val="24"/>
        </w:rPr>
      </w:pPr>
      <w:r>
        <w:rPr>
          <w:rFonts w:hint="eastAsia" w:ascii="宋体" w:hAnsi="宋体" w:eastAsia="宋体" w:cs="Times New Roman"/>
          <w:sz w:val="24"/>
          <w:szCs w:val="24"/>
        </w:rPr>
        <w:t>职务： 性别：</w:t>
      </w:r>
    </w:p>
    <w:p>
      <w:pPr>
        <w:spacing w:line="360" w:lineRule="auto"/>
        <w:ind w:firstLine="482" w:firstLineChars="200"/>
        <w:rPr>
          <w:rFonts w:ascii="宋体" w:hAnsi="宋体" w:eastAsia="宋体" w:cs="Times New Roman"/>
          <w:sz w:val="24"/>
          <w:szCs w:val="24"/>
          <w:u w:val="single"/>
        </w:rPr>
      </w:pPr>
      <w:r>
        <w:rPr>
          <w:rFonts w:hint="eastAsia" w:ascii="宋体" w:hAnsi="宋体" w:eastAsia="宋体" w:cs="Times New Roman"/>
          <w:sz w:val="24"/>
          <w:szCs w:val="24"/>
        </w:rPr>
        <w:t>身份证号码：</w:t>
      </w:r>
    </w:p>
    <w:p>
      <w:pPr>
        <w:spacing w:line="360" w:lineRule="auto"/>
        <w:ind w:firstLine="482" w:firstLineChars="200"/>
        <w:rPr>
          <w:rFonts w:ascii="宋体" w:hAnsi="宋体" w:eastAsia="宋体" w:cs="Times New Roman"/>
          <w:sz w:val="24"/>
          <w:szCs w:val="24"/>
        </w:rPr>
      </w:pPr>
      <w:r>
        <w:rPr>
          <w:rFonts w:hint="eastAsia" w:ascii="宋体" w:hAnsi="宋体" w:eastAsia="宋体" w:cs="Times New Roman"/>
          <w:sz w:val="24"/>
          <w:szCs w:val="24"/>
        </w:rPr>
        <w:t>电话：</w:t>
      </w:r>
    </w:p>
    <w:tbl>
      <w:tblPr>
        <w:tblStyle w:val="21"/>
        <w:tblW w:w="953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2" w:hRule="atLeast"/>
          <w:jc w:val="center"/>
        </w:trPr>
        <w:tc>
          <w:tcPr>
            <w:tcW w:w="9532" w:type="dxa"/>
          </w:tcPr>
          <w:p>
            <w:pPr>
              <w:spacing w:line="300" w:lineRule="auto"/>
              <w:rPr>
                <w:rFonts w:ascii="宋体" w:hAnsi="宋体" w:eastAsia="宋体" w:cs="Times New Roman"/>
                <w:sz w:val="24"/>
                <w:szCs w:val="24"/>
              </w:rPr>
            </w:pPr>
            <w:r>
              <w:rPr>
                <w:rFonts w:hint="eastAsia" w:ascii="宋体" w:hAnsi="宋体" w:eastAsia="宋体" w:cs="Times New Roman"/>
                <w:sz w:val="24"/>
                <w:szCs w:val="24"/>
              </w:rPr>
              <w:t>粘贴被授权人身份证（清晰影印件）</w:t>
            </w:r>
          </w:p>
        </w:tc>
      </w:tr>
    </w:tbl>
    <w:p>
      <w:r>
        <w:br w:type="page"/>
      </w:r>
    </w:p>
    <w:p>
      <w:pPr>
        <w:pStyle w:val="5"/>
        <w:numPr>
          <w:ilvl w:val="0"/>
          <w:numId w:val="62"/>
        </w:numPr>
        <w:spacing w:before="100" w:beforeAutospacing="1" w:afterLines="50" w:line="360" w:lineRule="auto"/>
        <w:ind w:left="1610" w:hanging="1610"/>
        <w:rPr>
          <w:rFonts w:ascii="宋体" w:hAnsi="宋体" w:eastAsia="宋体"/>
        </w:rPr>
      </w:pPr>
      <w:bookmarkStart w:id="164" w:name="_Toc494745328"/>
      <w:bookmarkStart w:id="165" w:name="_Toc494702281"/>
      <w:bookmarkStart w:id="166" w:name="_Toc238276248"/>
      <w:bookmarkStart w:id="167" w:name="_Toc494721111"/>
      <w:bookmarkStart w:id="168" w:name="_Toc494665961"/>
      <w:bookmarkStart w:id="169" w:name="_Toc494665011"/>
      <w:bookmarkStart w:id="170" w:name="_Toc494665564"/>
      <w:bookmarkStart w:id="171" w:name="_Toc236473304"/>
      <w:bookmarkStart w:id="172" w:name="_Toc22014"/>
      <w:r>
        <w:rPr>
          <w:rFonts w:hint="eastAsia" w:ascii="宋体" w:hAnsi="宋体" w:eastAsia="宋体"/>
        </w:rPr>
        <w:t>投标人的资格声明</w:t>
      </w:r>
      <w:bookmarkEnd w:id="164"/>
      <w:bookmarkEnd w:id="165"/>
      <w:bookmarkEnd w:id="166"/>
      <w:bookmarkEnd w:id="167"/>
      <w:bookmarkEnd w:id="168"/>
      <w:bookmarkEnd w:id="169"/>
      <w:bookmarkEnd w:id="170"/>
      <w:bookmarkEnd w:id="171"/>
      <w:bookmarkEnd w:id="172"/>
    </w:p>
    <w:p>
      <w:pPr>
        <w:spacing w:line="360" w:lineRule="auto"/>
        <w:ind w:left="1085" w:hanging="1081" w:hangingChars="449"/>
        <w:jc w:val="left"/>
        <w:rPr>
          <w:rFonts w:ascii="宋体" w:hAnsi="宋体" w:eastAsia="宋体" w:cs="Times New Roman"/>
          <w:sz w:val="24"/>
          <w:szCs w:val="24"/>
        </w:rPr>
      </w:pPr>
      <w:r>
        <w:rPr>
          <w:rFonts w:hint="eastAsia" w:ascii="宋体" w:hAnsi="宋体" w:eastAsia="宋体" w:cs="Times New Roman"/>
          <w:sz w:val="24"/>
          <w:szCs w:val="24"/>
        </w:rPr>
        <w:t>1．名称及基本情况：</w:t>
      </w:r>
    </w:p>
    <w:p>
      <w:pPr>
        <w:spacing w:line="360" w:lineRule="exact"/>
        <w:ind w:firstLine="241" w:firstLineChars="100"/>
        <w:rPr>
          <w:rFonts w:ascii="宋体" w:hAnsi="宋体" w:eastAsia="宋体" w:cs="Times New Roman"/>
          <w:sz w:val="24"/>
          <w:szCs w:val="24"/>
        </w:rPr>
      </w:pPr>
      <w:r>
        <w:rPr>
          <w:rFonts w:hint="eastAsia" w:ascii="宋体" w:hAnsi="宋体" w:eastAsia="宋体" w:cs="Times New Roman"/>
          <w:sz w:val="24"/>
          <w:szCs w:val="24"/>
        </w:rPr>
        <w:t>（1）投标人：</w:t>
      </w:r>
    </w:p>
    <w:p>
      <w:pPr>
        <w:spacing w:line="360" w:lineRule="exact"/>
        <w:ind w:firstLine="241" w:firstLineChars="100"/>
        <w:rPr>
          <w:rFonts w:ascii="宋体" w:hAnsi="宋体" w:eastAsia="宋体" w:cs="Times New Roman"/>
          <w:sz w:val="24"/>
          <w:szCs w:val="24"/>
        </w:rPr>
      </w:pPr>
      <w:r>
        <w:rPr>
          <w:rFonts w:hint="eastAsia" w:ascii="宋体" w:hAnsi="宋体" w:eastAsia="宋体" w:cs="Times New Roman"/>
          <w:sz w:val="24"/>
          <w:szCs w:val="24"/>
        </w:rPr>
        <w:t>（2）地址：     邮编：</w:t>
      </w:r>
    </w:p>
    <w:p>
      <w:pPr>
        <w:spacing w:line="360" w:lineRule="exact"/>
        <w:ind w:firstLine="843" w:firstLineChars="350"/>
        <w:rPr>
          <w:rFonts w:ascii="宋体" w:hAnsi="宋体" w:eastAsia="宋体" w:cs="Times New Roman"/>
          <w:sz w:val="24"/>
          <w:szCs w:val="24"/>
          <w:u w:val="single"/>
        </w:rPr>
      </w:pPr>
      <w:r>
        <w:rPr>
          <w:rFonts w:hint="eastAsia" w:ascii="宋体" w:hAnsi="宋体" w:eastAsia="宋体" w:cs="Times New Roman"/>
          <w:sz w:val="24"/>
          <w:szCs w:val="24"/>
        </w:rPr>
        <w:t>电话：     传真：</w:t>
      </w:r>
    </w:p>
    <w:p>
      <w:pPr>
        <w:spacing w:line="360" w:lineRule="exact"/>
        <w:ind w:firstLine="241" w:firstLineChars="100"/>
        <w:rPr>
          <w:rFonts w:ascii="宋体" w:hAnsi="宋体" w:eastAsia="宋体" w:cs="Times New Roman"/>
          <w:sz w:val="24"/>
          <w:szCs w:val="24"/>
        </w:rPr>
      </w:pPr>
      <w:r>
        <w:rPr>
          <w:rFonts w:hint="eastAsia" w:ascii="宋体" w:hAnsi="宋体" w:eastAsia="宋体" w:cs="Times New Roman"/>
          <w:sz w:val="24"/>
          <w:szCs w:val="24"/>
        </w:rPr>
        <w:t>（3）成立或注册日期：</w:t>
      </w:r>
    </w:p>
    <w:p>
      <w:pPr>
        <w:spacing w:line="360" w:lineRule="exact"/>
        <w:ind w:firstLine="241" w:firstLineChars="100"/>
        <w:rPr>
          <w:rFonts w:ascii="宋体" w:hAnsi="宋体" w:eastAsia="宋体" w:cs="Times New Roman"/>
          <w:sz w:val="24"/>
          <w:szCs w:val="24"/>
        </w:rPr>
      </w:pPr>
      <w:r>
        <w:rPr>
          <w:rFonts w:hint="eastAsia" w:ascii="宋体" w:hAnsi="宋体" w:eastAsia="宋体" w:cs="Times New Roman"/>
          <w:sz w:val="24"/>
          <w:szCs w:val="24"/>
        </w:rPr>
        <w:t>（4）单位性质：</w:t>
      </w:r>
    </w:p>
    <w:p>
      <w:pPr>
        <w:spacing w:line="360" w:lineRule="exact"/>
        <w:ind w:firstLine="241" w:firstLineChars="100"/>
        <w:rPr>
          <w:rFonts w:ascii="宋体" w:hAnsi="宋体" w:eastAsia="宋体" w:cs="Times New Roman"/>
          <w:sz w:val="24"/>
          <w:szCs w:val="24"/>
        </w:rPr>
      </w:pPr>
      <w:r>
        <w:rPr>
          <w:rFonts w:hint="eastAsia" w:ascii="宋体" w:hAnsi="宋体" w:eastAsia="宋体" w:cs="Times New Roman"/>
          <w:sz w:val="24"/>
          <w:szCs w:val="24"/>
        </w:rPr>
        <w:t>（5）法定代表人或主要负责人：</w:t>
      </w:r>
    </w:p>
    <w:p>
      <w:pPr>
        <w:spacing w:line="360" w:lineRule="exact"/>
        <w:ind w:firstLine="241" w:firstLineChars="100"/>
        <w:rPr>
          <w:rFonts w:ascii="宋体" w:hAnsi="宋体" w:eastAsia="宋体" w:cs="Times New Roman"/>
          <w:sz w:val="24"/>
          <w:szCs w:val="24"/>
        </w:rPr>
      </w:pPr>
      <w:r>
        <w:rPr>
          <w:rFonts w:hint="eastAsia" w:ascii="宋体" w:hAnsi="宋体" w:eastAsia="宋体" w:cs="Times New Roman"/>
          <w:sz w:val="24"/>
          <w:szCs w:val="24"/>
        </w:rPr>
        <w:t>（6）员工人数：</w:t>
      </w:r>
    </w:p>
    <w:p>
      <w:pPr>
        <w:spacing w:line="360" w:lineRule="exact"/>
        <w:ind w:firstLine="241" w:firstLineChars="100"/>
        <w:rPr>
          <w:rFonts w:ascii="宋体" w:hAnsi="宋体" w:eastAsia="宋体" w:cs="Times New Roman"/>
          <w:sz w:val="24"/>
          <w:szCs w:val="24"/>
        </w:rPr>
      </w:pPr>
      <w:r>
        <w:rPr>
          <w:rFonts w:hint="eastAsia" w:ascii="宋体" w:hAnsi="宋体" w:eastAsia="宋体" w:cs="Times New Roman"/>
          <w:sz w:val="24"/>
          <w:szCs w:val="24"/>
        </w:rPr>
        <w:t>（7）注册资本：</w:t>
      </w:r>
    </w:p>
    <w:p>
      <w:pPr>
        <w:spacing w:line="360" w:lineRule="exact"/>
        <w:ind w:firstLine="241" w:firstLineChars="100"/>
        <w:rPr>
          <w:rFonts w:ascii="宋体" w:hAnsi="宋体" w:eastAsia="宋体" w:cs="Times New Roman"/>
          <w:sz w:val="24"/>
          <w:szCs w:val="24"/>
        </w:rPr>
      </w:pPr>
      <w:r>
        <w:rPr>
          <w:rFonts w:hint="eastAsia" w:ascii="宋体" w:hAnsi="宋体" w:eastAsia="宋体" w:cs="Times New Roman"/>
          <w:sz w:val="24"/>
          <w:szCs w:val="24"/>
        </w:rPr>
        <w:t>（8）实收资本：</w:t>
      </w:r>
    </w:p>
    <w:p>
      <w:pPr>
        <w:spacing w:line="360" w:lineRule="exact"/>
        <w:ind w:firstLine="241" w:firstLineChars="100"/>
        <w:rPr>
          <w:rFonts w:ascii="宋体" w:hAnsi="宋体" w:eastAsia="宋体" w:cs="Times New Roman"/>
          <w:sz w:val="24"/>
          <w:szCs w:val="24"/>
        </w:rPr>
      </w:pPr>
      <w:r>
        <w:rPr>
          <w:rFonts w:hint="eastAsia" w:ascii="宋体" w:hAnsi="宋体" w:eastAsia="宋体" w:cs="Times New Roman"/>
          <w:sz w:val="24"/>
          <w:szCs w:val="24"/>
        </w:rPr>
        <w:t>（9）上年末资产负债表：</w:t>
      </w:r>
    </w:p>
    <w:p>
      <w:pPr>
        <w:spacing w:line="360" w:lineRule="exact"/>
        <w:ind w:firstLine="730" w:firstLineChars="303"/>
        <w:rPr>
          <w:rFonts w:ascii="宋体" w:hAnsi="宋体" w:eastAsia="宋体" w:cs="Times New Roman"/>
          <w:sz w:val="24"/>
          <w:szCs w:val="24"/>
        </w:rPr>
      </w:pPr>
      <w:r>
        <w:rPr>
          <w:rFonts w:hint="eastAsia" w:ascii="宋体" w:hAnsi="宋体" w:eastAsia="宋体" w:cs="Times New Roman"/>
          <w:sz w:val="24"/>
          <w:szCs w:val="24"/>
        </w:rPr>
        <w:t>1）固定资产</w:t>
      </w:r>
    </w:p>
    <w:p>
      <w:pPr>
        <w:spacing w:line="360" w:lineRule="exact"/>
        <w:ind w:firstLine="730" w:firstLineChars="303"/>
        <w:rPr>
          <w:rFonts w:ascii="宋体" w:hAnsi="宋体" w:eastAsia="宋体" w:cs="Times New Roman"/>
          <w:sz w:val="24"/>
          <w:szCs w:val="24"/>
        </w:rPr>
      </w:pPr>
      <w:r>
        <w:rPr>
          <w:rFonts w:hint="eastAsia" w:ascii="宋体" w:hAnsi="宋体" w:eastAsia="宋体" w:cs="Times New Roman"/>
          <w:sz w:val="24"/>
          <w:szCs w:val="24"/>
        </w:rPr>
        <w:t xml:space="preserve">原   值：    净   值： </w:t>
      </w:r>
    </w:p>
    <w:p>
      <w:pPr>
        <w:spacing w:line="360" w:lineRule="exact"/>
        <w:ind w:firstLine="730" w:firstLineChars="303"/>
        <w:rPr>
          <w:rFonts w:ascii="宋体" w:hAnsi="宋体" w:eastAsia="宋体" w:cs="Times New Roman"/>
          <w:sz w:val="24"/>
          <w:szCs w:val="24"/>
        </w:rPr>
      </w:pPr>
      <w:r>
        <w:rPr>
          <w:rFonts w:hint="eastAsia" w:ascii="宋体" w:hAnsi="宋体" w:eastAsia="宋体" w:cs="Times New Roman"/>
          <w:sz w:val="24"/>
          <w:szCs w:val="24"/>
        </w:rPr>
        <w:t>2）流动资金：</w:t>
      </w:r>
    </w:p>
    <w:p>
      <w:pPr>
        <w:spacing w:line="360" w:lineRule="exact"/>
        <w:ind w:firstLine="730" w:firstLineChars="303"/>
        <w:rPr>
          <w:rFonts w:ascii="宋体" w:hAnsi="宋体" w:eastAsia="宋体" w:cs="Times New Roman"/>
          <w:sz w:val="24"/>
          <w:szCs w:val="24"/>
        </w:rPr>
      </w:pPr>
      <w:r>
        <w:rPr>
          <w:rFonts w:hint="eastAsia" w:ascii="宋体" w:hAnsi="宋体" w:eastAsia="宋体" w:cs="Times New Roman"/>
          <w:sz w:val="24"/>
          <w:szCs w:val="24"/>
        </w:rPr>
        <w:t>3）长期负债：</w:t>
      </w:r>
    </w:p>
    <w:p>
      <w:pPr>
        <w:spacing w:line="360" w:lineRule="exact"/>
        <w:ind w:firstLine="730" w:firstLineChars="303"/>
        <w:rPr>
          <w:rFonts w:ascii="宋体" w:hAnsi="宋体" w:eastAsia="宋体" w:cs="Times New Roman"/>
          <w:sz w:val="24"/>
          <w:szCs w:val="24"/>
        </w:rPr>
      </w:pPr>
      <w:r>
        <w:rPr>
          <w:rFonts w:hint="eastAsia" w:ascii="宋体" w:hAnsi="宋体" w:eastAsia="宋体" w:cs="Times New Roman"/>
          <w:sz w:val="24"/>
          <w:szCs w:val="24"/>
        </w:rPr>
        <w:t>4）短期负债：</w:t>
      </w:r>
    </w:p>
    <w:p>
      <w:pPr>
        <w:spacing w:line="360" w:lineRule="exact"/>
        <w:rPr>
          <w:rFonts w:ascii="宋体" w:hAnsi="宋体" w:eastAsia="宋体" w:cs="Times New Roman"/>
          <w:sz w:val="24"/>
          <w:szCs w:val="24"/>
        </w:rPr>
      </w:pPr>
      <w:r>
        <w:rPr>
          <w:rFonts w:hint="eastAsia" w:ascii="宋体" w:hAnsi="宋体" w:eastAsia="宋体" w:cs="Times New Roman"/>
          <w:sz w:val="24"/>
          <w:szCs w:val="24"/>
        </w:rPr>
        <w:t xml:space="preserve">2．与投标货物的生产、销售和服务有关的情况： </w:t>
      </w:r>
    </w:p>
    <w:p>
      <w:pPr>
        <w:spacing w:line="360" w:lineRule="exact"/>
        <w:ind w:firstLine="241" w:firstLineChars="100"/>
        <w:rPr>
          <w:rFonts w:ascii="宋体" w:hAnsi="宋体" w:eastAsia="宋体" w:cs="Times New Roman"/>
          <w:sz w:val="24"/>
          <w:szCs w:val="24"/>
        </w:rPr>
      </w:pPr>
      <w:r>
        <w:rPr>
          <w:rFonts w:hint="eastAsia" w:ascii="宋体" w:hAnsi="宋体" w:eastAsia="宋体" w:cs="Times New Roman"/>
          <w:sz w:val="24"/>
          <w:szCs w:val="24"/>
        </w:rPr>
        <w:t>（1）关于制造投标货物的设施及其它情况：</w:t>
      </w:r>
    </w:p>
    <w:tbl>
      <w:tblPr>
        <w:tblStyle w:val="21"/>
        <w:tblW w:w="953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83"/>
        <w:gridCol w:w="2383"/>
        <w:gridCol w:w="2383"/>
        <w:gridCol w:w="23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2383" w:type="dxa"/>
            <w:shd w:val="pct10" w:color="auto" w:fill="auto"/>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r>
              <w:rPr>
                <w:rFonts w:hint="eastAsia" w:ascii="宋体" w:hAnsi="宋体" w:eastAsia="宋体" w:cs="Times New Roman"/>
                <w:sz w:val="24"/>
                <w:szCs w:val="24"/>
              </w:rPr>
              <w:t>生产基地地址</w:t>
            </w:r>
          </w:p>
        </w:tc>
        <w:tc>
          <w:tcPr>
            <w:tcW w:w="2383" w:type="dxa"/>
            <w:shd w:val="pct10" w:color="auto" w:fill="auto"/>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r>
              <w:rPr>
                <w:rFonts w:hint="eastAsia" w:ascii="宋体" w:hAnsi="宋体" w:eastAsia="宋体" w:cs="Times New Roman"/>
                <w:sz w:val="24"/>
                <w:szCs w:val="24"/>
              </w:rPr>
              <w:t>生产的项目</w:t>
            </w:r>
          </w:p>
        </w:tc>
        <w:tc>
          <w:tcPr>
            <w:tcW w:w="2383" w:type="dxa"/>
            <w:shd w:val="pct10" w:color="auto" w:fill="auto"/>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r>
              <w:rPr>
                <w:rFonts w:hint="eastAsia" w:ascii="宋体" w:hAnsi="宋体" w:eastAsia="宋体" w:cs="Times New Roman"/>
                <w:sz w:val="24"/>
                <w:szCs w:val="24"/>
              </w:rPr>
              <w:t>年生产能力</w:t>
            </w:r>
          </w:p>
        </w:tc>
        <w:tc>
          <w:tcPr>
            <w:tcW w:w="2384" w:type="dxa"/>
            <w:shd w:val="pct10" w:color="auto" w:fill="auto"/>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r>
              <w:rPr>
                <w:rFonts w:hint="eastAsia" w:ascii="宋体" w:hAnsi="宋体" w:eastAsia="宋体" w:cs="Times New Roman"/>
                <w:sz w:val="24"/>
                <w:szCs w:val="24"/>
              </w:rPr>
              <w:t>员工人数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trPr>
        <w:tc>
          <w:tcPr>
            <w:tcW w:w="2383"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c>
          <w:tcPr>
            <w:tcW w:w="2383"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c>
          <w:tcPr>
            <w:tcW w:w="2383"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c>
          <w:tcPr>
            <w:tcW w:w="2384"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trPr>
        <w:tc>
          <w:tcPr>
            <w:tcW w:w="2383"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c>
          <w:tcPr>
            <w:tcW w:w="2383"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c>
          <w:tcPr>
            <w:tcW w:w="2383"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c>
          <w:tcPr>
            <w:tcW w:w="2384"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r>
    </w:tbl>
    <w:p>
      <w:pPr>
        <w:spacing w:line="360" w:lineRule="exact"/>
        <w:ind w:firstLine="241" w:firstLineChars="100"/>
        <w:rPr>
          <w:rFonts w:ascii="宋体" w:hAnsi="宋体" w:eastAsia="宋体" w:cs="Times New Roman"/>
          <w:sz w:val="24"/>
          <w:szCs w:val="24"/>
        </w:rPr>
      </w:pPr>
      <w:r>
        <w:rPr>
          <w:rFonts w:hint="eastAsia" w:ascii="宋体" w:hAnsi="宋体" w:eastAsia="宋体" w:cs="Times New Roman"/>
          <w:sz w:val="24"/>
          <w:szCs w:val="24"/>
        </w:rPr>
        <w:t>（2）投标人生产此投标货物的经验（包括年限、项目业主、额定能力、商业运营的起始日期等）：</w:t>
      </w:r>
    </w:p>
    <w:p>
      <w:pPr>
        <w:spacing w:line="360" w:lineRule="exact"/>
        <w:ind w:firstLine="241" w:firstLineChars="100"/>
        <w:rPr>
          <w:rFonts w:ascii="宋体" w:hAnsi="宋体" w:eastAsia="宋体" w:cs="Times New Roman"/>
          <w:sz w:val="24"/>
          <w:szCs w:val="24"/>
        </w:rPr>
      </w:pPr>
      <w:r>
        <w:rPr>
          <w:rFonts w:hint="eastAsia" w:ascii="宋体" w:hAnsi="宋体" w:eastAsia="宋体" w:cs="Times New Roman"/>
          <w:sz w:val="24"/>
          <w:szCs w:val="24"/>
        </w:rPr>
        <w:t>（3）销售、服务网点分布（可另行附表）：</w:t>
      </w:r>
    </w:p>
    <w:tbl>
      <w:tblPr>
        <w:tblStyle w:val="21"/>
        <w:tblW w:w="953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47"/>
        <w:gridCol w:w="2155"/>
        <w:gridCol w:w="1763"/>
        <w:gridCol w:w="1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47" w:type="dxa"/>
            <w:shd w:val="pct10" w:color="auto" w:fill="auto"/>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r>
              <w:rPr>
                <w:rFonts w:hint="eastAsia" w:ascii="宋体" w:hAnsi="宋体" w:eastAsia="宋体" w:cs="Times New Roman"/>
                <w:sz w:val="24"/>
                <w:szCs w:val="24"/>
              </w:rPr>
              <w:t>销售服务网点名称和地址</w:t>
            </w:r>
          </w:p>
        </w:tc>
        <w:tc>
          <w:tcPr>
            <w:tcW w:w="2155" w:type="dxa"/>
            <w:shd w:val="pct10" w:color="auto" w:fill="auto"/>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r>
              <w:rPr>
                <w:rFonts w:hint="eastAsia" w:ascii="宋体" w:hAnsi="宋体" w:eastAsia="宋体" w:cs="Times New Roman"/>
                <w:sz w:val="24"/>
                <w:szCs w:val="24"/>
              </w:rPr>
              <w:t>主要服务范围</w:t>
            </w:r>
          </w:p>
        </w:tc>
        <w:tc>
          <w:tcPr>
            <w:tcW w:w="1763" w:type="dxa"/>
            <w:shd w:val="pct10" w:color="auto" w:fill="auto"/>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r>
              <w:rPr>
                <w:rFonts w:hint="eastAsia" w:ascii="宋体" w:hAnsi="宋体" w:eastAsia="宋体" w:cs="Times New Roman"/>
                <w:sz w:val="24"/>
                <w:szCs w:val="24"/>
              </w:rPr>
              <w:t>服务人员数</w:t>
            </w:r>
          </w:p>
        </w:tc>
        <w:tc>
          <w:tcPr>
            <w:tcW w:w="1968" w:type="dxa"/>
            <w:shd w:val="pct10" w:color="auto" w:fill="auto"/>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r>
              <w:rPr>
                <w:rFonts w:hint="eastAsia" w:ascii="宋体" w:hAnsi="宋体" w:eastAsia="宋体" w:cs="Times New Roman"/>
                <w:sz w:val="24"/>
                <w:szCs w:val="24"/>
              </w:rPr>
              <w:t>内部等级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2" w:hRule="atLeast"/>
        </w:trPr>
        <w:tc>
          <w:tcPr>
            <w:tcW w:w="3647"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c>
          <w:tcPr>
            <w:tcW w:w="2155"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c>
          <w:tcPr>
            <w:tcW w:w="1763"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c>
          <w:tcPr>
            <w:tcW w:w="1968"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2" w:hRule="atLeast"/>
        </w:trPr>
        <w:tc>
          <w:tcPr>
            <w:tcW w:w="3647"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c>
          <w:tcPr>
            <w:tcW w:w="2155"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c>
          <w:tcPr>
            <w:tcW w:w="1763"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c>
          <w:tcPr>
            <w:tcW w:w="1968"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r>
    </w:tbl>
    <w:p>
      <w:pPr>
        <w:spacing w:line="360" w:lineRule="exact"/>
        <w:rPr>
          <w:rFonts w:ascii="宋体" w:hAnsi="宋体" w:eastAsia="宋体" w:cs="Times New Roman"/>
          <w:sz w:val="24"/>
          <w:szCs w:val="24"/>
        </w:rPr>
      </w:pPr>
      <w:r>
        <w:rPr>
          <w:rFonts w:hint="eastAsia" w:ascii="宋体" w:hAnsi="宋体" w:eastAsia="宋体" w:cs="Times New Roman"/>
          <w:sz w:val="24"/>
          <w:szCs w:val="24"/>
        </w:rPr>
        <w:t xml:space="preserve">3．投标人认为需要声明的其它情况：                         </w:t>
      </w:r>
    </w:p>
    <w:p>
      <w:pPr>
        <w:spacing w:line="360" w:lineRule="exact"/>
        <w:ind w:firstLine="476" w:firstLineChars="198"/>
        <w:rPr>
          <w:rFonts w:ascii="宋体" w:hAnsi="宋体" w:eastAsia="宋体" w:cs="Times New Roman"/>
          <w:sz w:val="24"/>
          <w:szCs w:val="24"/>
        </w:rPr>
      </w:pPr>
      <w:r>
        <w:rPr>
          <w:rFonts w:hint="eastAsia" w:ascii="宋体" w:hAnsi="宋体" w:eastAsia="宋体" w:cs="Times New Roman"/>
          <w:sz w:val="24"/>
          <w:szCs w:val="24"/>
        </w:rPr>
        <w:t xml:space="preserve">兹证明上述声明是真实的、正确，并提供了全部能提供的资料和数据，同意按照集中采购机构要求出示有关证明文件。                      </w:t>
      </w:r>
    </w:p>
    <w:p>
      <w:pPr>
        <w:spacing w:line="360" w:lineRule="auto"/>
        <w:ind w:left="506" w:leftChars="240"/>
        <w:rPr>
          <w:rFonts w:ascii="宋体" w:hAnsi="宋体" w:eastAsia="宋体" w:cs="Times New Roman"/>
          <w:b/>
          <w:sz w:val="24"/>
          <w:szCs w:val="24"/>
        </w:rPr>
      </w:pPr>
      <w:r>
        <w:rPr>
          <w:rFonts w:hint="eastAsia" w:ascii="宋体" w:hAnsi="宋体" w:eastAsia="宋体" w:cs="Times New Roman"/>
          <w:b/>
          <w:sz w:val="24"/>
          <w:szCs w:val="24"/>
        </w:rPr>
        <w:t>投标人</w:t>
      </w:r>
      <w:r>
        <w:rPr>
          <w:rFonts w:hint="eastAsia" w:ascii="Times New Roman" w:hAnsi="宋体" w:eastAsia="宋体" w:cs="Times New Roman"/>
          <w:b/>
          <w:sz w:val="24"/>
          <w:szCs w:val="24"/>
        </w:rPr>
        <w:t>（公章）</w:t>
      </w:r>
      <w:r>
        <w:rPr>
          <w:rFonts w:hint="eastAsia" w:ascii="宋体" w:hAnsi="宋体" w:eastAsia="宋体" w:cs="Times New Roman"/>
          <w:b/>
          <w:sz w:val="24"/>
          <w:szCs w:val="24"/>
        </w:rPr>
        <w:t>：</w:t>
      </w:r>
    </w:p>
    <w:p>
      <w:pPr>
        <w:spacing w:line="360" w:lineRule="auto"/>
        <w:ind w:left="506" w:leftChars="240"/>
        <w:rPr>
          <w:rFonts w:ascii="宋体" w:hAnsi="宋体" w:eastAsia="宋体" w:cs="Times New Roman"/>
          <w:b/>
          <w:sz w:val="24"/>
          <w:szCs w:val="24"/>
        </w:rPr>
      </w:pPr>
      <w:r>
        <w:rPr>
          <w:rFonts w:hint="eastAsia" w:ascii="Times New Roman" w:hAnsi="宋体" w:eastAsia="宋体" w:cs="Times New Roman"/>
          <w:b/>
          <w:sz w:val="24"/>
          <w:szCs w:val="24"/>
        </w:rPr>
        <w:t>法定代表人（签字或盖章）</w:t>
      </w:r>
      <w:r>
        <w:rPr>
          <w:rFonts w:hint="eastAsia" w:ascii="宋体" w:hAnsi="宋体" w:eastAsia="宋体" w:cs="Times New Roman"/>
          <w:b/>
          <w:sz w:val="24"/>
          <w:szCs w:val="24"/>
        </w:rPr>
        <w:t>：</w:t>
      </w:r>
    </w:p>
    <w:p>
      <w:pPr>
        <w:spacing w:line="360" w:lineRule="auto"/>
        <w:ind w:left="506" w:leftChars="240"/>
        <w:rPr>
          <w:rFonts w:ascii="宋体" w:hAnsi="宋体" w:eastAsia="宋体" w:cs="Times New Roman"/>
          <w:b/>
          <w:sz w:val="24"/>
          <w:szCs w:val="24"/>
        </w:rPr>
      </w:pPr>
      <w:r>
        <w:rPr>
          <w:rFonts w:hint="eastAsia" w:ascii="宋体" w:hAnsi="宋体" w:eastAsia="宋体" w:cs="Times New Roman"/>
          <w:b/>
          <w:sz w:val="24"/>
          <w:szCs w:val="24"/>
        </w:rPr>
        <w:t>电    话：</w:t>
      </w:r>
    </w:p>
    <w:p>
      <w:pPr>
        <w:spacing w:line="360" w:lineRule="auto"/>
        <w:ind w:left="506" w:leftChars="240"/>
        <w:rPr>
          <w:rFonts w:ascii="宋体" w:hAnsi="宋体" w:eastAsia="宋体" w:cs="Times New Roman"/>
          <w:b/>
          <w:sz w:val="24"/>
          <w:szCs w:val="24"/>
          <w:u w:val="single"/>
        </w:rPr>
      </w:pPr>
      <w:r>
        <w:rPr>
          <w:rFonts w:hint="eastAsia" w:ascii="宋体" w:hAnsi="宋体" w:eastAsia="宋体" w:cs="Times New Roman"/>
          <w:b/>
          <w:sz w:val="24"/>
          <w:szCs w:val="24"/>
        </w:rPr>
        <w:t>传    真：</w:t>
      </w:r>
    </w:p>
    <w:p>
      <w:pPr>
        <w:spacing w:line="360" w:lineRule="auto"/>
        <w:ind w:left="506" w:leftChars="240"/>
        <w:rPr>
          <w:rFonts w:ascii="宋体" w:hAnsi="宋体" w:eastAsia="宋体" w:cs="Times New Roman"/>
          <w:b/>
          <w:sz w:val="24"/>
          <w:szCs w:val="24"/>
        </w:rPr>
      </w:pPr>
      <w:r>
        <w:rPr>
          <w:rFonts w:hint="eastAsia" w:ascii="宋体" w:hAnsi="宋体" w:eastAsia="宋体" w:cs="Times New Roman"/>
          <w:b/>
          <w:sz w:val="24"/>
          <w:szCs w:val="24"/>
        </w:rPr>
        <w:t>日    期：年月 日</w:t>
      </w:r>
    </w:p>
    <w:p>
      <w:pPr>
        <w:pStyle w:val="5"/>
        <w:numPr>
          <w:ilvl w:val="0"/>
          <w:numId w:val="62"/>
        </w:numPr>
        <w:spacing w:before="100" w:beforeAutospacing="1" w:afterLines="50" w:line="360" w:lineRule="auto"/>
        <w:ind w:left="1610" w:hanging="1610"/>
        <w:rPr>
          <w:rFonts w:ascii="宋体" w:hAnsi="宋体" w:eastAsia="宋体"/>
        </w:rPr>
      </w:pPr>
      <w:bookmarkStart w:id="173" w:name="_Toc494721112"/>
      <w:bookmarkStart w:id="174" w:name="_Toc494665012"/>
      <w:bookmarkStart w:id="175" w:name="_Toc494665565"/>
      <w:bookmarkStart w:id="176" w:name="_Toc494665962"/>
      <w:bookmarkStart w:id="177" w:name="_Toc494702282"/>
      <w:bookmarkStart w:id="178" w:name="_Toc494745329"/>
      <w:bookmarkStart w:id="179" w:name="_Toc12206"/>
      <w:r>
        <w:rPr>
          <w:rFonts w:hint="eastAsia" w:ascii="宋体" w:hAnsi="宋体" w:eastAsia="宋体"/>
        </w:rPr>
        <w:t>项目负责人、技术负责人简历表</w:t>
      </w:r>
      <w:bookmarkEnd w:id="173"/>
      <w:bookmarkEnd w:id="174"/>
      <w:bookmarkEnd w:id="175"/>
      <w:bookmarkEnd w:id="176"/>
      <w:bookmarkEnd w:id="177"/>
      <w:bookmarkEnd w:id="178"/>
      <w:bookmarkEnd w:id="179"/>
    </w:p>
    <w:p>
      <w:pPr>
        <w:spacing w:line="360" w:lineRule="auto"/>
        <w:jc w:val="left"/>
        <w:rPr>
          <w:rFonts w:hAnsi="宋体"/>
          <w:b/>
          <w:sz w:val="24"/>
        </w:rPr>
      </w:pPr>
      <w:r>
        <w:rPr>
          <w:rFonts w:hint="eastAsia" w:hAnsi="宋体"/>
          <w:b/>
          <w:sz w:val="24"/>
        </w:rPr>
        <w:t>投标人：</w:t>
      </w:r>
    </w:p>
    <w:p>
      <w:pPr>
        <w:spacing w:line="360" w:lineRule="auto"/>
        <w:jc w:val="left"/>
        <w:rPr>
          <w:rFonts w:hAnsi="宋体"/>
          <w:b/>
          <w:sz w:val="24"/>
        </w:rPr>
      </w:pPr>
      <w:r>
        <w:rPr>
          <w:rFonts w:hint="eastAsia" w:ascii="宋体" w:hAnsi="宋体" w:eastAsia="宋体" w:cs="Times New Roman"/>
          <w:b/>
          <w:sz w:val="24"/>
          <w:szCs w:val="21"/>
          <w:lang w:val="zh-CN"/>
        </w:rPr>
        <w:t>项目编号：</w:t>
      </w:r>
      <w:r>
        <w:rPr>
          <w:rFonts w:hint="eastAsia" w:ascii="宋体" w:hAnsi="宋体" w:eastAsia="宋体" w:cs="Times New Roman"/>
          <w:b/>
          <w:bCs/>
          <w:sz w:val="24"/>
          <w:szCs w:val="21"/>
          <w:lang w:val="zh-CN"/>
        </w:rPr>
        <w:t xml:space="preserve">                所投包号：</w:t>
      </w:r>
    </w:p>
    <w:tbl>
      <w:tblPr>
        <w:tblStyle w:val="21"/>
        <w:tblW w:w="935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2"/>
        <w:gridCol w:w="306"/>
        <w:gridCol w:w="1224"/>
        <w:gridCol w:w="612"/>
        <w:gridCol w:w="918"/>
        <w:gridCol w:w="918"/>
        <w:gridCol w:w="612"/>
        <w:gridCol w:w="1224"/>
        <w:gridCol w:w="306"/>
        <w:gridCol w:w="1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2" w:type="dxa"/>
            <w:vAlign w:val="center"/>
          </w:tcPr>
          <w:p>
            <w:pPr>
              <w:autoSpaceDE w:val="0"/>
              <w:autoSpaceDN w:val="0"/>
              <w:adjustRightInd w:val="0"/>
              <w:spacing w:line="360" w:lineRule="auto"/>
              <w:jc w:val="center"/>
              <w:rPr>
                <w:rFonts w:ascii="宋体" w:hAnsi="宋体" w:eastAsia="宋体" w:cs="Times New Roman"/>
                <w:kern w:val="0"/>
                <w:sz w:val="24"/>
                <w:szCs w:val="28"/>
              </w:rPr>
            </w:pPr>
            <w:r>
              <w:rPr>
                <w:rFonts w:hint="eastAsia" w:ascii="宋体" w:hAnsi="宋体" w:eastAsia="宋体" w:cs="Times New Roman"/>
                <w:kern w:val="0"/>
                <w:sz w:val="24"/>
                <w:szCs w:val="28"/>
              </w:rPr>
              <w:t>姓    名</w:t>
            </w:r>
          </w:p>
        </w:tc>
        <w:tc>
          <w:tcPr>
            <w:tcW w:w="1530" w:type="dxa"/>
            <w:gridSpan w:val="2"/>
            <w:vAlign w:val="center"/>
          </w:tcPr>
          <w:p>
            <w:pPr>
              <w:autoSpaceDE w:val="0"/>
              <w:autoSpaceDN w:val="0"/>
              <w:adjustRightInd w:val="0"/>
              <w:spacing w:line="360" w:lineRule="auto"/>
              <w:ind w:right="286" w:rightChars="136"/>
              <w:jc w:val="center"/>
              <w:rPr>
                <w:rFonts w:ascii="宋体" w:hAnsi="宋体" w:eastAsia="宋体" w:cs="Times New Roman"/>
                <w:kern w:val="0"/>
                <w:sz w:val="24"/>
                <w:szCs w:val="28"/>
              </w:rPr>
            </w:pPr>
          </w:p>
        </w:tc>
        <w:tc>
          <w:tcPr>
            <w:tcW w:w="1530" w:type="dxa"/>
            <w:gridSpan w:val="2"/>
            <w:vAlign w:val="center"/>
          </w:tcPr>
          <w:p>
            <w:pPr>
              <w:autoSpaceDE w:val="0"/>
              <w:autoSpaceDN w:val="0"/>
              <w:adjustRightInd w:val="0"/>
              <w:spacing w:line="360" w:lineRule="auto"/>
              <w:ind w:right="-128" w:rightChars="-61"/>
              <w:jc w:val="center"/>
              <w:rPr>
                <w:rFonts w:ascii="宋体" w:hAnsi="宋体" w:eastAsia="宋体" w:cs="Times New Roman"/>
                <w:kern w:val="0"/>
                <w:sz w:val="24"/>
                <w:szCs w:val="28"/>
              </w:rPr>
            </w:pPr>
            <w:r>
              <w:rPr>
                <w:rFonts w:hint="eastAsia" w:ascii="宋体" w:hAnsi="宋体" w:eastAsia="宋体" w:cs="Times New Roman"/>
                <w:kern w:val="0"/>
                <w:sz w:val="24"/>
                <w:szCs w:val="28"/>
              </w:rPr>
              <w:t>性    别</w:t>
            </w:r>
          </w:p>
        </w:tc>
        <w:tc>
          <w:tcPr>
            <w:tcW w:w="1530" w:type="dxa"/>
            <w:gridSpan w:val="2"/>
            <w:vAlign w:val="center"/>
          </w:tcPr>
          <w:p>
            <w:pPr>
              <w:autoSpaceDE w:val="0"/>
              <w:autoSpaceDN w:val="0"/>
              <w:adjustRightInd w:val="0"/>
              <w:spacing w:line="360" w:lineRule="auto"/>
              <w:ind w:right="286" w:rightChars="136"/>
              <w:jc w:val="center"/>
              <w:rPr>
                <w:rFonts w:ascii="宋体" w:hAnsi="宋体" w:eastAsia="宋体" w:cs="Times New Roman"/>
                <w:kern w:val="0"/>
                <w:sz w:val="24"/>
                <w:szCs w:val="28"/>
              </w:rPr>
            </w:pPr>
          </w:p>
        </w:tc>
        <w:tc>
          <w:tcPr>
            <w:tcW w:w="1530" w:type="dxa"/>
            <w:gridSpan w:val="2"/>
            <w:vAlign w:val="center"/>
          </w:tcPr>
          <w:p>
            <w:pPr>
              <w:autoSpaceDE w:val="0"/>
              <w:autoSpaceDN w:val="0"/>
              <w:adjustRightInd w:val="0"/>
              <w:spacing w:line="360" w:lineRule="auto"/>
              <w:ind w:right="2" w:rightChars="1"/>
              <w:jc w:val="center"/>
              <w:rPr>
                <w:rFonts w:ascii="宋体" w:hAnsi="宋体" w:eastAsia="宋体" w:cs="Times New Roman"/>
                <w:kern w:val="0"/>
                <w:sz w:val="24"/>
                <w:szCs w:val="28"/>
              </w:rPr>
            </w:pPr>
            <w:r>
              <w:rPr>
                <w:rFonts w:hint="eastAsia" w:ascii="宋体" w:hAnsi="宋体" w:eastAsia="宋体" w:cs="Times New Roman"/>
                <w:kern w:val="0"/>
                <w:sz w:val="24"/>
                <w:szCs w:val="28"/>
              </w:rPr>
              <w:t>年    龄</w:t>
            </w:r>
          </w:p>
        </w:tc>
        <w:tc>
          <w:tcPr>
            <w:tcW w:w="1530" w:type="dxa"/>
            <w:vAlign w:val="center"/>
          </w:tcPr>
          <w:p>
            <w:pPr>
              <w:autoSpaceDE w:val="0"/>
              <w:autoSpaceDN w:val="0"/>
              <w:adjustRightInd w:val="0"/>
              <w:spacing w:line="360" w:lineRule="auto"/>
              <w:ind w:right="286" w:rightChars="136"/>
              <w:jc w:val="center"/>
              <w:rPr>
                <w:rFonts w:ascii="宋体" w:hAnsi="宋体" w:eastAsia="宋体" w:cs="Times New Roman"/>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2" w:type="dxa"/>
            <w:vAlign w:val="center"/>
          </w:tcPr>
          <w:p>
            <w:pPr>
              <w:autoSpaceDE w:val="0"/>
              <w:autoSpaceDN w:val="0"/>
              <w:adjustRightInd w:val="0"/>
              <w:spacing w:line="360" w:lineRule="auto"/>
              <w:jc w:val="center"/>
              <w:rPr>
                <w:rFonts w:ascii="宋体" w:hAnsi="宋体" w:eastAsia="宋体" w:cs="Times New Roman"/>
                <w:kern w:val="0"/>
                <w:sz w:val="24"/>
                <w:szCs w:val="28"/>
              </w:rPr>
            </w:pPr>
            <w:r>
              <w:rPr>
                <w:rFonts w:hint="eastAsia" w:ascii="宋体" w:hAnsi="宋体" w:eastAsia="宋体" w:cs="Times New Roman"/>
                <w:kern w:val="0"/>
                <w:sz w:val="24"/>
                <w:szCs w:val="28"/>
              </w:rPr>
              <w:t>职    务</w:t>
            </w:r>
          </w:p>
        </w:tc>
        <w:tc>
          <w:tcPr>
            <w:tcW w:w="1530" w:type="dxa"/>
            <w:gridSpan w:val="2"/>
            <w:vAlign w:val="center"/>
          </w:tcPr>
          <w:p>
            <w:pPr>
              <w:autoSpaceDE w:val="0"/>
              <w:autoSpaceDN w:val="0"/>
              <w:adjustRightInd w:val="0"/>
              <w:spacing w:line="360" w:lineRule="auto"/>
              <w:ind w:right="286" w:rightChars="136"/>
              <w:jc w:val="center"/>
              <w:rPr>
                <w:rFonts w:ascii="宋体" w:hAnsi="宋体" w:eastAsia="宋体" w:cs="Times New Roman"/>
                <w:kern w:val="0"/>
                <w:sz w:val="24"/>
                <w:szCs w:val="28"/>
              </w:rPr>
            </w:pPr>
          </w:p>
        </w:tc>
        <w:tc>
          <w:tcPr>
            <w:tcW w:w="1530" w:type="dxa"/>
            <w:gridSpan w:val="2"/>
            <w:vAlign w:val="center"/>
          </w:tcPr>
          <w:p>
            <w:pPr>
              <w:autoSpaceDE w:val="0"/>
              <w:autoSpaceDN w:val="0"/>
              <w:adjustRightInd w:val="0"/>
              <w:spacing w:line="360" w:lineRule="auto"/>
              <w:ind w:right="-84" w:rightChars="-40"/>
              <w:jc w:val="center"/>
              <w:rPr>
                <w:rFonts w:ascii="宋体" w:hAnsi="宋体" w:eastAsia="宋体" w:cs="Times New Roman"/>
                <w:kern w:val="0"/>
                <w:sz w:val="24"/>
                <w:szCs w:val="28"/>
              </w:rPr>
            </w:pPr>
            <w:r>
              <w:rPr>
                <w:rFonts w:hint="eastAsia" w:ascii="宋体" w:hAnsi="宋体" w:eastAsia="宋体" w:cs="Times New Roman"/>
                <w:kern w:val="0"/>
                <w:sz w:val="24"/>
                <w:szCs w:val="28"/>
              </w:rPr>
              <w:t>职    称</w:t>
            </w:r>
          </w:p>
        </w:tc>
        <w:tc>
          <w:tcPr>
            <w:tcW w:w="1530" w:type="dxa"/>
            <w:gridSpan w:val="2"/>
            <w:vAlign w:val="center"/>
          </w:tcPr>
          <w:p>
            <w:pPr>
              <w:autoSpaceDE w:val="0"/>
              <w:autoSpaceDN w:val="0"/>
              <w:adjustRightInd w:val="0"/>
              <w:spacing w:line="360" w:lineRule="auto"/>
              <w:ind w:right="286" w:rightChars="136"/>
              <w:jc w:val="center"/>
              <w:rPr>
                <w:rFonts w:ascii="宋体" w:hAnsi="宋体" w:eastAsia="宋体" w:cs="Times New Roman"/>
                <w:kern w:val="0"/>
                <w:sz w:val="24"/>
                <w:szCs w:val="28"/>
              </w:rPr>
            </w:pPr>
          </w:p>
        </w:tc>
        <w:tc>
          <w:tcPr>
            <w:tcW w:w="1530" w:type="dxa"/>
            <w:gridSpan w:val="2"/>
            <w:vAlign w:val="center"/>
          </w:tcPr>
          <w:p>
            <w:pPr>
              <w:autoSpaceDE w:val="0"/>
              <w:autoSpaceDN w:val="0"/>
              <w:adjustRightInd w:val="0"/>
              <w:spacing w:line="360" w:lineRule="auto"/>
              <w:ind w:right="2" w:rightChars="1"/>
              <w:jc w:val="center"/>
              <w:rPr>
                <w:rFonts w:ascii="宋体" w:hAnsi="宋体" w:eastAsia="宋体" w:cs="Times New Roman"/>
                <w:kern w:val="0"/>
                <w:sz w:val="24"/>
                <w:szCs w:val="28"/>
              </w:rPr>
            </w:pPr>
            <w:r>
              <w:rPr>
                <w:rFonts w:hint="eastAsia" w:ascii="宋体" w:hAnsi="宋体" w:eastAsia="宋体" w:cs="Times New Roman"/>
                <w:kern w:val="0"/>
                <w:sz w:val="24"/>
                <w:szCs w:val="28"/>
              </w:rPr>
              <w:t>学    历</w:t>
            </w:r>
          </w:p>
        </w:tc>
        <w:tc>
          <w:tcPr>
            <w:tcW w:w="1530" w:type="dxa"/>
            <w:vAlign w:val="center"/>
          </w:tcPr>
          <w:p>
            <w:pPr>
              <w:autoSpaceDE w:val="0"/>
              <w:autoSpaceDN w:val="0"/>
              <w:adjustRightInd w:val="0"/>
              <w:spacing w:line="360" w:lineRule="auto"/>
              <w:ind w:right="2" w:rightChars="1"/>
              <w:jc w:val="center"/>
              <w:rPr>
                <w:rFonts w:ascii="宋体" w:hAnsi="宋体" w:eastAsia="宋体" w:cs="Times New Roman"/>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702" w:type="dxa"/>
            <w:vAlign w:val="center"/>
          </w:tcPr>
          <w:p>
            <w:pPr>
              <w:autoSpaceDE w:val="0"/>
              <w:autoSpaceDN w:val="0"/>
              <w:adjustRightInd w:val="0"/>
              <w:spacing w:line="360" w:lineRule="auto"/>
              <w:jc w:val="center"/>
              <w:rPr>
                <w:rFonts w:ascii="宋体" w:hAnsi="宋体" w:eastAsia="宋体" w:cs="Times New Roman"/>
                <w:kern w:val="0"/>
                <w:sz w:val="24"/>
                <w:szCs w:val="28"/>
              </w:rPr>
            </w:pPr>
            <w:r>
              <w:rPr>
                <w:rFonts w:hint="eastAsia" w:ascii="宋体" w:hAnsi="宋体" w:eastAsia="宋体" w:cs="Times New Roman"/>
                <w:kern w:val="0"/>
                <w:sz w:val="24"/>
                <w:szCs w:val="28"/>
              </w:rPr>
              <w:t>参加工作</w:t>
            </w:r>
          </w:p>
          <w:p>
            <w:pPr>
              <w:autoSpaceDE w:val="0"/>
              <w:autoSpaceDN w:val="0"/>
              <w:adjustRightInd w:val="0"/>
              <w:spacing w:line="360" w:lineRule="auto"/>
              <w:jc w:val="center"/>
              <w:rPr>
                <w:rFonts w:ascii="宋体" w:hAnsi="宋体" w:eastAsia="宋体" w:cs="Times New Roman"/>
                <w:kern w:val="0"/>
                <w:sz w:val="24"/>
                <w:szCs w:val="28"/>
              </w:rPr>
            </w:pPr>
            <w:r>
              <w:rPr>
                <w:rFonts w:hint="eastAsia" w:ascii="宋体" w:hAnsi="宋体" w:eastAsia="宋体" w:cs="Times New Roman"/>
                <w:kern w:val="0"/>
                <w:sz w:val="24"/>
                <w:szCs w:val="28"/>
              </w:rPr>
              <w:t>时间</w:t>
            </w:r>
          </w:p>
        </w:tc>
        <w:tc>
          <w:tcPr>
            <w:tcW w:w="1530" w:type="dxa"/>
            <w:gridSpan w:val="2"/>
            <w:vAlign w:val="center"/>
          </w:tcPr>
          <w:p>
            <w:pPr>
              <w:autoSpaceDE w:val="0"/>
              <w:autoSpaceDN w:val="0"/>
              <w:adjustRightInd w:val="0"/>
              <w:spacing w:line="360" w:lineRule="auto"/>
              <w:jc w:val="center"/>
              <w:rPr>
                <w:rFonts w:ascii="宋体" w:hAnsi="宋体" w:eastAsia="宋体" w:cs="Times New Roman"/>
                <w:kern w:val="0"/>
                <w:sz w:val="24"/>
                <w:szCs w:val="28"/>
              </w:rPr>
            </w:pPr>
          </w:p>
        </w:tc>
        <w:tc>
          <w:tcPr>
            <w:tcW w:w="1530" w:type="dxa"/>
            <w:gridSpan w:val="2"/>
            <w:vAlign w:val="center"/>
          </w:tcPr>
          <w:p>
            <w:pPr>
              <w:autoSpaceDE w:val="0"/>
              <w:autoSpaceDN w:val="0"/>
              <w:adjustRightInd w:val="0"/>
              <w:spacing w:line="360" w:lineRule="auto"/>
              <w:jc w:val="center"/>
              <w:rPr>
                <w:rFonts w:ascii="宋体" w:hAnsi="宋体" w:eastAsia="宋体" w:cs="Times New Roman"/>
                <w:kern w:val="0"/>
                <w:sz w:val="24"/>
                <w:szCs w:val="28"/>
              </w:rPr>
            </w:pPr>
            <w:r>
              <w:rPr>
                <w:rFonts w:hint="eastAsia" w:ascii="宋体" w:hAnsi="宋体" w:eastAsia="宋体" w:cs="Times New Roman"/>
                <w:kern w:val="0"/>
                <w:sz w:val="24"/>
                <w:szCs w:val="28"/>
              </w:rPr>
              <w:t>从事本行业工作年限</w:t>
            </w:r>
          </w:p>
        </w:tc>
        <w:tc>
          <w:tcPr>
            <w:tcW w:w="1530" w:type="dxa"/>
            <w:gridSpan w:val="2"/>
            <w:vAlign w:val="center"/>
          </w:tcPr>
          <w:p>
            <w:pPr>
              <w:autoSpaceDE w:val="0"/>
              <w:autoSpaceDN w:val="0"/>
              <w:adjustRightInd w:val="0"/>
              <w:spacing w:line="360" w:lineRule="auto"/>
              <w:jc w:val="center"/>
              <w:rPr>
                <w:rFonts w:ascii="宋体" w:hAnsi="宋体" w:eastAsia="宋体" w:cs="Times New Roman"/>
                <w:kern w:val="0"/>
                <w:sz w:val="24"/>
                <w:szCs w:val="28"/>
              </w:rPr>
            </w:pPr>
          </w:p>
        </w:tc>
        <w:tc>
          <w:tcPr>
            <w:tcW w:w="1530" w:type="dxa"/>
            <w:gridSpan w:val="2"/>
            <w:vAlign w:val="center"/>
          </w:tcPr>
          <w:p>
            <w:pPr>
              <w:autoSpaceDE w:val="0"/>
              <w:autoSpaceDN w:val="0"/>
              <w:adjustRightInd w:val="0"/>
              <w:spacing w:line="360" w:lineRule="auto"/>
              <w:jc w:val="center"/>
              <w:rPr>
                <w:rFonts w:ascii="宋体" w:hAnsi="宋体" w:eastAsia="宋体" w:cs="Times New Roman"/>
                <w:kern w:val="0"/>
                <w:sz w:val="24"/>
                <w:szCs w:val="28"/>
              </w:rPr>
            </w:pPr>
            <w:r>
              <w:rPr>
                <w:rFonts w:hint="eastAsia" w:ascii="宋体" w:hAnsi="宋体" w:eastAsia="宋体" w:cs="Times New Roman"/>
                <w:kern w:val="0"/>
                <w:sz w:val="24"/>
                <w:szCs w:val="28"/>
              </w:rPr>
              <w:t>个人专业资质及证书</w:t>
            </w:r>
          </w:p>
        </w:tc>
        <w:tc>
          <w:tcPr>
            <w:tcW w:w="1530" w:type="dxa"/>
            <w:vAlign w:val="center"/>
          </w:tcPr>
          <w:p>
            <w:pPr>
              <w:autoSpaceDE w:val="0"/>
              <w:autoSpaceDN w:val="0"/>
              <w:adjustRightInd w:val="0"/>
              <w:spacing w:line="360" w:lineRule="auto"/>
              <w:jc w:val="center"/>
              <w:rPr>
                <w:rFonts w:ascii="宋体" w:hAnsi="宋体" w:eastAsia="宋体" w:cs="Times New Roman"/>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7" w:hRule="atLeast"/>
          <w:jc w:val="center"/>
        </w:trPr>
        <w:tc>
          <w:tcPr>
            <w:tcW w:w="9352" w:type="dxa"/>
            <w:gridSpan w:val="10"/>
            <w:vAlign w:val="center"/>
          </w:tcPr>
          <w:p>
            <w:pPr>
              <w:autoSpaceDE w:val="0"/>
              <w:autoSpaceDN w:val="0"/>
              <w:adjustRightInd w:val="0"/>
              <w:spacing w:line="360" w:lineRule="auto"/>
              <w:ind w:right="286" w:rightChars="136"/>
              <w:jc w:val="center"/>
              <w:rPr>
                <w:rFonts w:ascii="宋体" w:hAnsi="宋体" w:eastAsia="宋体" w:cs="Times New Roman"/>
                <w:kern w:val="0"/>
                <w:sz w:val="24"/>
                <w:szCs w:val="28"/>
              </w:rPr>
            </w:pPr>
            <w:r>
              <w:rPr>
                <w:rFonts w:hint="eastAsia" w:ascii="宋体" w:hAnsi="宋体" w:eastAsia="宋体" w:cs="Times New Roman"/>
                <w:kern w:val="0"/>
                <w:sz w:val="24"/>
                <w:szCs w:val="28"/>
              </w:rPr>
              <w:t>个人简介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61" w:hRule="atLeast"/>
          <w:jc w:val="center"/>
        </w:trPr>
        <w:tc>
          <w:tcPr>
            <w:tcW w:w="9352" w:type="dxa"/>
            <w:gridSpan w:val="10"/>
            <w:vAlign w:val="center"/>
          </w:tcPr>
          <w:p>
            <w:pPr>
              <w:autoSpaceDE w:val="0"/>
              <w:autoSpaceDN w:val="0"/>
              <w:adjustRightInd w:val="0"/>
              <w:spacing w:line="360" w:lineRule="auto"/>
              <w:ind w:right="286" w:rightChars="136"/>
              <w:jc w:val="center"/>
              <w:rPr>
                <w:rFonts w:ascii="宋体" w:hAnsi="宋体" w:eastAsia="宋体" w:cs="Times New Roman"/>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9" w:hRule="atLeast"/>
          <w:jc w:val="center"/>
        </w:trPr>
        <w:tc>
          <w:tcPr>
            <w:tcW w:w="9352" w:type="dxa"/>
            <w:gridSpan w:val="10"/>
            <w:vAlign w:val="center"/>
          </w:tcPr>
          <w:p>
            <w:pPr>
              <w:autoSpaceDE w:val="0"/>
              <w:autoSpaceDN w:val="0"/>
              <w:adjustRightInd w:val="0"/>
              <w:spacing w:line="360" w:lineRule="auto"/>
              <w:ind w:right="286" w:rightChars="136"/>
              <w:jc w:val="center"/>
              <w:rPr>
                <w:rFonts w:ascii="宋体" w:hAnsi="宋体" w:eastAsia="宋体" w:cs="Times New Roman"/>
                <w:kern w:val="0"/>
                <w:sz w:val="24"/>
                <w:szCs w:val="28"/>
              </w:rPr>
            </w:pPr>
            <w:r>
              <w:rPr>
                <w:rFonts w:hint="eastAsia" w:ascii="宋体" w:hAnsi="宋体" w:eastAsia="宋体" w:cs="Times New Roman"/>
                <w:kern w:val="0"/>
                <w:sz w:val="24"/>
                <w:szCs w:val="28"/>
              </w:rPr>
              <w:t>类似项目经验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jc w:val="center"/>
        </w:trPr>
        <w:tc>
          <w:tcPr>
            <w:tcW w:w="2008" w:type="dxa"/>
            <w:gridSpan w:val="2"/>
            <w:vAlign w:val="center"/>
          </w:tcPr>
          <w:p>
            <w:pPr>
              <w:autoSpaceDE w:val="0"/>
              <w:autoSpaceDN w:val="0"/>
              <w:adjustRightInd w:val="0"/>
              <w:spacing w:line="360" w:lineRule="auto"/>
              <w:ind w:right="-80" w:rightChars="-38"/>
              <w:jc w:val="center"/>
              <w:rPr>
                <w:rFonts w:ascii="宋体" w:hAnsi="宋体" w:eastAsia="宋体" w:cs="Times New Roman"/>
                <w:kern w:val="0"/>
                <w:sz w:val="24"/>
                <w:szCs w:val="28"/>
              </w:rPr>
            </w:pPr>
            <w:r>
              <w:rPr>
                <w:rFonts w:hint="eastAsia" w:ascii="宋体" w:hAnsi="宋体" w:eastAsia="宋体" w:cs="Times New Roman"/>
                <w:kern w:val="0"/>
                <w:sz w:val="24"/>
                <w:szCs w:val="28"/>
              </w:rPr>
              <w:t>项目单位</w:t>
            </w:r>
          </w:p>
        </w:tc>
        <w:tc>
          <w:tcPr>
            <w:tcW w:w="1836" w:type="dxa"/>
            <w:gridSpan w:val="2"/>
            <w:vAlign w:val="center"/>
          </w:tcPr>
          <w:p>
            <w:pPr>
              <w:autoSpaceDE w:val="0"/>
              <w:autoSpaceDN w:val="0"/>
              <w:adjustRightInd w:val="0"/>
              <w:spacing w:line="360" w:lineRule="auto"/>
              <w:ind w:right="-80" w:rightChars="-38"/>
              <w:jc w:val="center"/>
              <w:rPr>
                <w:rFonts w:ascii="宋体" w:hAnsi="宋体" w:eastAsia="宋体" w:cs="Times New Roman"/>
                <w:kern w:val="0"/>
                <w:sz w:val="24"/>
                <w:szCs w:val="28"/>
              </w:rPr>
            </w:pPr>
            <w:r>
              <w:rPr>
                <w:rFonts w:hint="eastAsia" w:ascii="宋体" w:hAnsi="宋体" w:eastAsia="宋体" w:cs="Times New Roman"/>
                <w:kern w:val="0"/>
                <w:sz w:val="24"/>
                <w:szCs w:val="28"/>
              </w:rPr>
              <w:t>项目名称</w:t>
            </w:r>
          </w:p>
        </w:tc>
        <w:tc>
          <w:tcPr>
            <w:tcW w:w="1836" w:type="dxa"/>
            <w:gridSpan w:val="2"/>
            <w:vAlign w:val="center"/>
          </w:tcPr>
          <w:p>
            <w:pPr>
              <w:autoSpaceDE w:val="0"/>
              <w:autoSpaceDN w:val="0"/>
              <w:adjustRightInd w:val="0"/>
              <w:spacing w:line="360" w:lineRule="auto"/>
              <w:ind w:right="-80" w:rightChars="-38"/>
              <w:jc w:val="center"/>
              <w:rPr>
                <w:rFonts w:ascii="宋体" w:hAnsi="宋体" w:eastAsia="宋体" w:cs="Times New Roman"/>
                <w:kern w:val="0"/>
                <w:sz w:val="24"/>
                <w:szCs w:val="28"/>
              </w:rPr>
            </w:pPr>
            <w:r>
              <w:rPr>
                <w:rFonts w:hint="eastAsia" w:ascii="宋体" w:hAnsi="宋体" w:eastAsia="宋体" w:cs="Times New Roman"/>
                <w:kern w:val="0"/>
                <w:sz w:val="24"/>
                <w:szCs w:val="28"/>
              </w:rPr>
              <w:t>项目内容</w:t>
            </w:r>
          </w:p>
        </w:tc>
        <w:tc>
          <w:tcPr>
            <w:tcW w:w="1836" w:type="dxa"/>
            <w:gridSpan w:val="2"/>
            <w:vAlign w:val="center"/>
          </w:tcPr>
          <w:p>
            <w:pPr>
              <w:autoSpaceDE w:val="0"/>
              <w:autoSpaceDN w:val="0"/>
              <w:adjustRightInd w:val="0"/>
              <w:spacing w:line="360" w:lineRule="auto"/>
              <w:ind w:right="-80" w:rightChars="-38"/>
              <w:jc w:val="center"/>
              <w:rPr>
                <w:rFonts w:ascii="宋体" w:hAnsi="宋体" w:eastAsia="宋体" w:cs="Times New Roman"/>
                <w:kern w:val="0"/>
                <w:sz w:val="24"/>
                <w:szCs w:val="28"/>
              </w:rPr>
            </w:pPr>
            <w:r>
              <w:rPr>
                <w:rFonts w:hint="eastAsia" w:ascii="宋体" w:hAnsi="宋体" w:eastAsia="宋体" w:cs="Times New Roman"/>
                <w:kern w:val="0"/>
                <w:sz w:val="24"/>
                <w:szCs w:val="28"/>
              </w:rPr>
              <w:t>项目金额</w:t>
            </w:r>
          </w:p>
        </w:tc>
        <w:tc>
          <w:tcPr>
            <w:tcW w:w="1836" w:type="dxa"/>
            <w:gridSpan w:val="2"/>
            <w:vAlign w:val="center"/>
          </w:tcPr>
          <w:p>
            <w:pPr>
              <w:autoSpaceDE w:val="0"/>
              <w:autoSpaceDN w:val="0"/>
              <w:adjustRightInd w:val="0"/>
              <w:spacing w:line="360" w:lineRule="auto"/>
              <w:ind w:right="-80" w:rightChars="-38"/>
              <w:jc w:val="center"/>
              <w:rPr>
                <w:rFonts w:ascii="宋体" w:hAnsi="宋体" w:eastAsia="宋体" w:cs="Times New Roman"/>
                <w:kern w:val="0"/>
                <w:sz w:val="24"/>
                <w:szCs w:val="28"/>
              </w:rPr>
            </w:pPr>
            <w:r>
              <w:rPr>
                <w:rFonts w:hint="eastAsia" w:ascii="宋体" w:hAnsi="宋体" w:eastAsia="宋体" w:cs="Times New Roman"/>
                <w:kern w:val="0"/>
                <w:sz w:val="24"/>
                <w:szCs w:val="28"/>
              </w:rPr>
              <w:t>项目时间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jc w:val="center"/>
        </w:trPr>
        <w:tc>
          <w:tcPr>
            <w:tcW w:w="2008" w:type="dxa"/>
            <w:gridSpan w:val="2"/>
            <w:vAlign w:val="center"/>
          </w:tcPr>
          <w:p>
            <w:pPr>
              <w:autoSpaceDE w:val="0"/>
              <w:autoSpaceDN w:val="0"/>
              <w:adjustRightInd w:val="0"/>
              <w:spacing w:line="360" w:lineRule="auto"/>
              <w:ind w:right="-80"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80"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80"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80"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80" w:rightChars="-38"/>
              <w:jc w:val="center"/>
              <w:rPr>
                <w:rFonts w:ascii="宋体" w:hAnsi="宋体" w:eastAsia="宋体" w:cs="Times New Roman"/>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jc w:val="center"/>
        </w:trPr>
        <w:tc>
          <w:tcPr>
            <w:tcW w:w="2008" w:type="dxa"/>
            <w:gridSpan w:val="2"/>
            <w:vAlign w:val="center"/>
          </w:tcPr>
          <w:p>
            <w:pPr>
              <w:autoSpaceDE w:val="0"/>
              <w:autoSpaceDN w:val="0"/>
              <w:adjustRightInd w:val="0"/>
              <w:spacing w:line="360" w:lineRule="auto"/>
              <w:ind w:right="-80"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80"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80"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80"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80" w:rightChars="-38"/>
              <w:jc w:val="center"/>
              <w:rPr>
                <w:rFonts w:ascii="宋体" w:hAnsi="宋体" w:eastAsia="宋体" w:cs="Times New Roman"/>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jc w:val="center"/>
        </w:trPr>
        <w:tc>
          <w:tcPr>
            <w:tcW w:w="2008" w:type="dxa"/>
            <w:gridSpan w:val="2"/>
            <w:vAlign w:val="center"/>
          </w:tcPr>
          <w:p>
            <w:pPr>
              <w:autoSpaceDE w:val="0"/>
              <w:autoSpaceDN w:val="0"/>
              <w:adjustRightInd w:val="0"/>
              <w:spacing w:line="360" w:lineRule="auto"/>
              <w:ind w:right="-80"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80"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80"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80"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80" w:rightChars="-38"/>
              <w:jc w:val="center"/>
              <w:rPr>
                <w:rFonts w:ascii="宋体" w:hAnsi="宋体" w:eastAsia="宋体" w:cs="Times New Roman"/>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jc w:val="center"/>
        </w:trPr>
        <w:tc>
          <w:tcPr>
            <w:tcW w:w="2008" w:type="dxa"/>
            <w:gridSpan w:val="2"/>
            <w:vAlign w:val="center"/>
          </w:tcPr>
          <w:p>
            <w:pPr>
              <w:autoSpaceDE w:val="0"/>
              <w:autoSpaceDN w:val="0"/>
              <w:adjustRightInd w:val="0"/>
              <w:spacing w:line="360" w:lineRule="auto"/>
              <w:ind w:right="-80"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80"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80"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80"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80" w:rightChars="-38"/>
              <w:jc w:val="center"/>
              <w:rPr>
                <w:rFonts w:ascii="宋体" w:hAnsi="宋体" w:eastAsia="宋体" w:cs="Times New Roman"/>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jc w:val="center"/>
        </w:trPr>
        <w:tc>
          <w:tcPr>
            <w:tcW w:w="2008" w:type="dxa"/>
            <w:gridSpan w:val="2"/>
            <w:vAlign w:val="center"/>
          </w:tcPr>
          <w:p>
            <w:pPr>
              <w:autoSpaceDE w:val="0"/>
              <w:autoSpaceDN w:val="0"/>
              <w:adjustRightInd w:val="0"/>
              <w:spacing w:line="360" w:lineRule="auto"/>
              <w:ind w:right="-80"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80"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80"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80"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80" w:rightChars="-38"/>
              <w:jc w:val="center"/>
              <w:rPr>
                <w:rFonts w:ascii="宋体" w:hAnsi="宋体" w:eastAsia="宋体" w:cs="Times New Roman"/>
                <w:kern w:val="0"/>
                <w:sz w:val="24"/>
                <w:szCs w:val="28"/>
              </w:rPr>
            </w:pPr>
          </w:p>
        </w:tc>
      </w:tr>
    </w:tbl>
    <w:p>
      <w:pPr>
        <w:spacing w:line="360" w:lineRule="auto"/>
        <w:ind w:left="725" w:hanging="723" w:hangingChars="300"/>
        <w:jc w:val="left"/>
        <w:rPr>
          <w:rFonts w:ascii="宋体" w:hAnsi="宋体" w:eastAsia="宋体" w:cs="Times New Roman"/>
          <w:sz w:val="24"/>
          <w:szCs w:val="24"/>
          <w:lang w:val="zh-CN"/>
        </w:rPr>
      </w:pPr>
      <w:r>
        <w:rPr>
          <w:rFonts w:hint="eastAsia" w:ascii="宋体" w:hAnsi="宋体" w:eastAsia="宋体" w:cs="Times New Roman"/>
          <w:sz w:val="24"/>
          <w:szCs w:val="24"/>
          <w:lang w:val="zh-CN"/>
        </w:rPr>
        <w:t>说明：投标文件正本应附完整的相关证明材料清晰影印件，未按照要求详细完整填写此表，导致的后果由投标人自行承担。</w:t>
      </w:r>
    </w:p>
    <w:p>
      <w:pPr>
        <w:spacing w:line="360" w:lineRule="auto"/>
        <w:jc w:val="left"/>
        <w:rPr>
          <w:rFonts w:ascii="宋体" w:hAnsi="宋体" w:eastAsia="宋体" w:cs="Times New Roman"/>
          <w:sz w:val="24"/>
          <w:szCs w:val="24"/>
          <w:lang w:val="zh-CN"/>
        </w:rPr>
      </w:pPr>
    </w:p>
    <w:p>
      <w:pPr>
        <w:spacing w:before="100" w:beforeAutospacing="1" w:after="100" w:afterAutospacing="1" w:line="360" w:lineRule="auto"/>
        <w:ind w:firstLine="3329"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29" w:firstLineChars="1382"/>
        <w:rPr>
          <w:rFonts w:hAnsi="宋体"/>
          <w:b/>
          <w:bCs/>
          <w:sz w:val="24"/>
          <w:u w:val="single"/>
        </w:rPr>
      </w:pPr>
      <w:r>
        <w:rPr>
          <w:rFonts w:hint="eastAsia" w:ascii="宋体" w:hAnsi="宋体" w:eastAsia="宋体" w:cs="Times New Roman"/>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29" w:firstLineChars="1382"/>
        <w:rPr>
          <w:rFonts w:hAnsi="宋体"/>
          <w:b/>
          <w:bCs/>
          <w:sz w:val="24"/>
          <w:u w:val="single"/>
        </w:rPr>
      </w:pPr>
      <w:r>
        <w:rPr>
          <w:rFonts w:hint="eastAsia" w:ascii="宋体" w:hAnsi="宋体" w:eastAsia="宋体" w:cs="Times New Roman"/>
          <w:b/>
          <w:bCs/>
          <w:sz w:val="24"/>
          <w:szCs w:val="21"/>
          <w:lang w:val="zh-CN"/>
        </w:rPr>
        <w:t>投标</w:t>
      </w:r>
      <w:r>
        <w:rPr>
          <w:rFonts w:hint="eastAsia" w:hAnsi="宋体"/>
          <w:b/>
          <w:bCs/>
          <w:sz w:val="24"/>
        </w:rPr>
        <w:t>时间：</w:t>
      </w:r>
    </w:p>
    <w:p>
      <w:r>
        <w:br w:type="page"/>
      </w:r>
    </w:p>
    <w:p>
      <w:pPr>
        <w:pStyle w:val="5"/>
        <w:numPr>
          <w:ilvl w:val="0"/>
          <w:numId w:val="62"/>
        </w:numPr>
        <w:spacing w:before="100" w:beforeAutospacing="1" w:afterLines="50" w:line="360" w:lineRule="auto"/>
        <w:ind w:left="1610" w:hanging="1610"/>
        <w:rPr>
          <w:rFonts w:ascii="宋体" w:hAnsi="宋体" w:eastAsia="宋体"/>
        </w:rPr>
      </w:pPr>
      <w:bookmarkStart w:id="180" w:name="_Toc494665963"/>
      <w:bookmarkStart w:id="181" w:name="_Toc238276251"/>
      <w:bookmarkStart w:id="182" w:name="_Toc494702283"/>
      <w:bookmarkStart w:id="183" w:name="_Toc494665566"/>
      <w:bookmarkStart w:id="184" w:name="_Toc494665013"/>
      <w:bookmarkStart w:id="185" w:name="_Toc494745330"/>
      <w:bookmarkStart w:id="186" w:name="_Toc494721113"/>
      <w:bookmarkStart w:id="187" w:name="_Toc236473307"/>
      <w:bookmarkStart w:id="188" w:name="_Toc9493"/>
      <w:r>
        <w:rPr>
          <w:rFonts w:hint="eastAsia" w:ascii="宋体" w:hAnsi="宋体" w:eastAsia="宋体"/>
        </w:rPr>
        <w:t>项目班子成员情况表</w:t>
      </w:r>
      <w:bookmarkEnd w:id="180"/>
      <w:bookmarkEnd w:id="181"/>
      <w:bookmarkEnd w:id="182"/>
      <w:bookmarkEnd w:id="183"/>
      <w:bookmarkEnd w:id="184"/>
      <w:bookmarkEnd w:id="185"/>
      <w:bookmarkEnd w:id="186"/>
      <w:bookmarkEnd w:id="187"/>
      <w:bookmarkEnd w:id="188"/>
    </w:p>
    <w:p>
      <w:pPr>
        <w:spacing w:line="360" w:lineRule="auto"/>
        <w:jc w:val="left"/>
        <w:rPr>
          <w:rFonts w:hAnsi="宋体"/>
          <w:b/>
          <w:sz w:val="24"/>
        </w:rPr>
      </w:pPr>
      <w:r>
        <w:rPr>
          <w:rFonts w:hint="eastAsia" w:hAnsi="宋体"/>
          <w:b/>
          <w:sz w:val="24"/>
        </w:rPr>
        <w:t>投标人：</w:t>
      </w:r>
    </w:p>
    <w:p>
      <w:pPr>
        <w:spacing w:line="360" w:lineRule="auto"/>
        <w:jc w:val="left"/>
        <w:rPr>
          <w:rFonts w:hAnsi="宋体"/>
          <w:b/>
          <w:sz w:val="24"/>
        </w:rPr>
      </w:pPr>
      <w:r>
        <w:rPr>
          <w:rFonts w:hint="eastAsia" w:ascii="宋体" w:hAnsi="宋体" w:eastAsia="宋体" w:cs="Times New Roman"/>
          <w:b/>
          <w:sz w:val="24"/>
          <w:szCs w:val="21"/>
          <w:lang w:val="zh-CN"/>
        </w:rPr>
        <w:t>项目编号：</w:t>
      </w:r>
      <w:r>
        <w:rPr>
          <w:rFonts w:hint="eastAsia" w:ascii="宋体" w:hAnsi="宋体" w:eastAsia="宋体" w:cs="Times New Roman"/>
          <w:b/>
          <w:bCs/>
          <w:sz w:val="24"/>
          <w:szCs w:val="21"/>
          <w:lang w:val="zh-CN"/>
        </w:rPr>
        <w:t xml:space="preserve">                所投包号：</w:t>
      </w:r>
    </w:p>
    <w:tbl>
      <w:tblPr>
        <w:tblStyle w:val="21"/>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992"/>
        <w:gridCol w:w="1134"/>
        <w:gridCol w:w="1134"/>
        <w:gridCol w:w="1418"/>
        <w:gridCol w:w="1843"/>
        <w:gridCol w:w="1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jc w:val="center"/>
              <w:rPr>
                <w:rFonts w:ascii="宋体" w:hAnsi="宋体" w:eastAsia="宋体" w:cs="Times New Roman"/>
                <w:sz w:val="24"/>
                <w:szCs w:val="24"/>
              </w:rPr>
            </w:pPr>
            <w:r>
              <w:rPr>
                <w:rFonts w:hint="eastAsia" w:ascii="宋体" w:hAnsi="宋体" w:eastAsia="宋体" w:cs="Times New Roman"/>
                <w:sz w:val="24"/>
                <w:szCs w:val="24"/>
              </w:rPr>
              <w:t>序号</w:t>
            </w:r>
          </w:p>
        </w:tc>
        <w:tc>
          <w:tcPr>
            <w:tcW w:w="992"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jc w:val="center"/>
              <w:rPr>
                <w:rFonts w:ascii="宋体" w:hAnsi="宋体" w:eastAsia="宋体" w:cs="Times New Roman"/>
                <w:sz w:val="24"/>
                <w:szCs w:val="24"/>
              </w:rPr>
            </w:pPr>
            <w:r>
              <w:rPr>
                <w:rFonts w:hint="eastAsia" w:ascii="宋体" w:hAnsi="宋体" w:eastAsia="宋体" w:cs="Times New Roman"/>
                <w:sz w:val="24"/>
                <w:szCs w:val="24"/>
              </w:rPr>
              <w:t>姓 名</w:t>
            </w:r>
          </w:p>
        </w:tc>
        <w:tc>
          <w:tcPr>
            <w:tcW w:w="1134"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jc w:val="center"/>
              <w:rPr>
                <w:rFonts w:ascii="宋体" w:hAnsi="宋体" w:eastAsia="宋体" w:cs="Times New Roman"/>
                <w:sz w:val="24"/>
                <w:szCs w:val="24"/>
              </w:rPr>
            </w:pPr>
            <w:r>
              <w:rPr>
                <w:rFonts w:hint="eastAsia" w:ascii="宋体" w:hAnsi="宋体" w:eastAsia="宋体" w:cs="Times New Roman"/>
                <w:sz w:val="24"/>
                <w:szCs w:val="24"/>
              </w:rPr>
              <w:t>专 业</w:t>
            </w:r>
          </w:p>
        </w:tc>
        <w:tc>
          <w:tcPr>
            <w:tcW w:w="1134"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jc w:val="center"/>
              <w:rPr>
                <w:rFonts w:ascii="宋体" w:hAnsi="宋体" w:eastAsia="宋体" w:cs="Times New Roman"/>
                <w:sz w:val="24"/>
                <w:szCs w:val="24"/>
              </w:rPr>
            </w:pPr>
            <w:r>
              <w:rPr>
                <w:rFonts w:hint="eastAsia" w:ascii="宋体" w:hAnsi="宋体" w:eastAsia="宋体" w:cs="Times New Roman"/>
                <w:sz w:val="24"/>
                <w:szCs w:val="24"/>
              </w:rPr>
              <w:t>年 龄</w:t>
            </w:r>
          </w:p>
        </w:tc>
        <w:tc>
          <w:tcPr>
            <w:tcW w:w="1418"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jc w:val="center"/>
              <w:rPr>
                <w:rFonts w:ascii="宋体" w:hAnsi="宋体" w:eastAsia="宋体" w:cs="Times New Roman"/>
                <w:sz w:val="24"/>
                <w:szCs w:val="24"/>
              </w:rPr>
            </w:pPr>
            <w:r>
              <w:rPr>
                <w:rFonts w:hint="eastAsia" w:ascii="宋体" w:hAnsi="宋体" w:eastAsia="宋体" w:cs="Times New Roman"/>
                <w:kern w:val="0"/>
                <w:sz w:val="24"/>
                <w:szCs w:val="28"/>
              </w:rPr>
              <w:t>从事本行业工作年限</w:t>
            </w:r>
          </w:p>
        </w:tc>
        <w:tc>
          <w:tcPr>
            <w:tcW w:w="1843" w:type="dxa"/>
            <w:tcBorders>
              <w:top w:val="single" w:color="auto" w:sz="4" w:space="0"/>
              <w:left w:val="single" w:color="auto" w:sz="4" w:space="0"/>
              <w:right w:val="single" w:color="auto" w:sz="4" w:space="0"/>
            </w:tcBorders>
            <w:shd w:val="clear" w:color="auto" w:fill="F1F1F1" w:themeFill="background1" w:themeFillShade="F2"/>
            <w:vAlign w:val="center"/>
          </w:tcPr>
          <w:p>
            <w:pPr>
              <w:jc w:val="center"/>
              <w:rPr>
                <w:rFonts w:ascii="宋体" w:hAnsi="宋体" w:eastAsia="宋体" w:cs="Times New Roman"/>
                <w:sz w:val="24"/>
                <w:szCs w:val="24"/>
              </w:rPr>
            </w:pPr>
            <w:r>
              <w:rPr>
                <w:rFonts w:hint="eastAsia" w:ascii="宋体" w:hAnsi="宋体" w:eastAsia="宋体" w:cs="Times New Roman"/>
                <w:sz w:val="24"/>
                <w:szCs w:val="24"/>
              </w:rPr>
              <w:t>在本项目中承担的工作</w:t>
            </w:r>
          </w:p>
        </w:tc>
        <w:tc>
          <w:tcPr>
            <w:tcW w:w="1842" w:type="dxa"/>
            <w:tcBorders>
              <w:top w:val="single" w:color="auto" w:sz="4" w:space="0"/>
              <w:left w:val="single" w:color="auto" w:sz="4" w:space="0"/>
              <w:right w:val="single" w:color="auto" w:sz="4" w:space="0"/>
            </w:tcBorders>
            <w:shd w:val="clear" w:color="auto" w:fill="F1F1F1" w:themeFill="background1" w:themeFillShade="F2"/>
            <w:vAlign w:val="center"/>
          </w:tcPr>
          <w:p>
            <w:pPr>
              <w:jc w:val="center"/>
              <w:rPr>
                <w:rFonts w:ascii="宋体" w:hAnsi="宋体" w:eastAsia="宋体" w:cs="Times New Roman"/>
                <w:sz w:val="24"/>
                <w:szCs w:val="24"/>
              </w:rPr>
            </w:pPr>
            <w:r>
              <w:rPr>
                <w:rFonts w:hint="eastAsia" w:ascii="宋体" w:hAnsi="宋体" w:eastAsia="宋体" w:cs="Times New Roman"/>
                <w:kern w:val="0"/>
                <w:sz w:val="24"/>
                <w:szCs w:val="28"/>
              </w:rPr>
              <w:t>个人专业资质及证书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r>
              <w:rPr>
                <w:rFonts w:hint="eastAsia" w:ascii="宋体" w:hAnsi="宋体" w:eastAsia="宋体" w:cs="Times New Roman"/>
                <w:sz w:val="24"/>
                <w:szCs w:val="24"/>
              </w:rPr>
              <w:t>1</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 w:val="24"/>
                <w:szCs w:val="24"/>
              </w:rPr>
            </w:pPr>
          </w:p>
        </w:tc>
        <w:tc>
          <w:tcPr>
            <w:tcW w:w="1843" w:type="dxa"/>
            <w:tcBorders>
              <w:left w:val="single" w:color="auto" w:sz="4" w:space="0"/>
              <w:right w:val="single" w:color="auto" w:sz="4" w:space="0"/>
            </w:tcBorders>
            <w:vAlign w:val="center"/>
          </w:tcPr>
          <w:p>
            <w:pPr>
              <w:rPr>
                <w:rFonts w:ascii="宋体" w:hAnsi="宋体" w:eastAsia="宋体" w:cs="Times New Roman"/>
                <w:sz w:val="24"/>
                <w:szCs w:val="24"/>
              </w:rPr>
            </w:pPr>
          </w:p>
        </w:tc>
        <w:tc>
          <w:tcPr>
            <w:tcW w:w="1842" w:type="dxa"/>
            <w:tcBorders>
              <w:left w:val="single" w:color="auto" w:sz="4" w:space="0"/>
              <w:right w:val="single" w:color="auto" w:sz="4" w:space="0"/>
            </w:tcBorders>
            <w:vAlign w:val="center"/>
          </w:tcPr>
          <w:p>
            <w:pP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r>
              <w:rPr>
                <w:rFonts w:hint="eastAsia" w:ascii="宋体" w:hAnsi="宋体" w:eastAsia="宋体" w:cs="Times New Roman"/>
                <w:sz w:val="24"/>
                <w:szCs w:val="24"/>
              </w:rPr>
              <w:t>2</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843" w:type="dxa"/>
            <w:tcBorders>
              <w:left w:val="single" w:color="auto" w:sz="4" w:space="0"/>
              <w:right w:val="single" w:color="auto" w:sz="4" w:space="0"/>
            </w:tcBorders>
            <w:vAlign w:val="center"/>
          </w:tcPr>
          <w:p>
            <w:pPr>
              <w:jc w:val="center"/>
              <w:rPr>
                <w:rFonts w:ascii="宋体" w:hAnsi="宋体" w:eastAsia="宋体" w:cs="Times New Roman"/>
                <w:sz w:val="24"/>
                <w:szCs w:val="24"/>
              </w:rPr>
            </w:pPr>
          </w:p>
        </w:tc>
        <w:tc>
          <w:tcPr>
            <w:tcW w:w="1842" w:type="dxa"/>
            <w:tcBorders>
              <w:left w:val="single" w:color="auto" w:sz="4" w:space="0"/>
              <w:right w:val="single" w:color="auto" w:sz="4" w:space="0"/>
            </w:tcBorders>
            <w:vAlign w:val="center"/>
          </w:tcPr>
          <w:p>
            <w:pPr>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r>
              <w:rPr>
                <w:rFonts w:hint="eastAsia" w:ascii="宋体" w:hAnsi="宋体" w:eastAsia="宋体" w:cs="Times New Roman"/>
                <w:sz w:val="24"/>
                <w:szCs w:val="24"/>
              </w:rPr>
              <w:t>3</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843" w:type="dxa"/>
            <w:tcBorders>
              <w:left w:val="single" w:color="auto" w:sz="4" w:space="0"/>
              <w:right w:val="single" w:color="auto" w:sz="4" w:space="0"/>
            </w:tcBorders>
            <w:vAlign w:val="center"/>
          </w:tcPr>
          <w:p>
            <w:pPr>
              <w:jc w:val="center"/>
              <w:rPr>
                <w:rFonts w:ascii="宋体" w:hAnsi="宋体" w:eastAsia="宋体" w:cs="Times New Roman"/>
                <w:sz w:val="24"/>
                <w:szCs w:val="24"/>
              </w:rPr>
            </w:pPr>
          </w:p>
        </w:tc>
        <w:tc>
          <w:tcPr>
            <w:tcW w:w="1842" w:type="dxa"/>
            <w:tcBorders>
              <w:left w:val="single" w:color="auto" w:sz="4" w:space="0"/>
              <w:right w:val="single" w:color="auto" w:sz="4" w:space="0"/>
            </w:tcBorders>
            <w:vAlign w:val="center"/>
          </w:tcPr>
          <w:p>
            <w:pPr>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r>
              <w:rPr>
                <w:rFonts w:hint="eastAsia" w:ascii="宋体" w:hAnsi="宋体" w:eastAsia="宋体" w:cs="Times New Roman"/>
                <w:sz w:val="24"/>
                <w:szCs w:val="24"/>
              </w:rPr>
              <w:t>4</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843" w:type="dxa"/>
            <w:tcBorders>
              <w:left w:val="single" w:color="auto" w:sz="4" w:space="0"/>
              <w:right w:val="single" w:color="auto" w:sz="4" w:space="0"/>
            </w:tcBorders>
            <w:vAlign w:val="center"/>
          </w:tcPr>
          <w:p>
            <w:pPr>
              <w:jc w:val="center"/>
              <w:rPr>
                <w:rFonts w:ascii="宋体" w:hAnsi="宋体" w:eastAsia="宋体" w:cs="Times New Roman"/>
                <w:sz w:val="24"/>
                <w:szCs w:val="24"/>
              </w:rPr>
            </w:pPr>
          </w:p>
        </w:tc>
        <w:tc>
          <w:tcPr>
            <w:tcW w:w="1842" w:type="dxa"/>
            <w:tcBorders>
              <w:left w:val="single" w:color="auto" w:sz="4" w:space="0"/>
              <w:right w:val="single" w:color="auto" w:sz="4" w:space="0"/>
            </w:tcBorders>
            <w:vAlign w:val="center"/>
          </w:tcPr>
          <w:p>
            <w:pPr>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r>
              <w:rPr>
                <w:rFonts w:hint="eastAsia" w:ascii="宋体" w:hAnsi="宋体" w:eastAsia="宋体" w:cs="Times New Roman"/>
                <w:sz w:val="24"/>
                <w:szCs w:val="24"/>
              </w:rPr>
              <w:t>5</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843" w:type="dxa"/>
            <w:tcBorders>
              <w:left w:val="single" w:color="auto" w:sz="4" w:space="0"/>
              <w:right w:val="single" w:color="auto" w:sz="4" w:space="0"/>
            </w:tcBorders>
            <w:vAlign w:val="center"/>
          </w:tcPr>
          <w:p>
            <w:pPr>
              <w:jc w:val="center"/>
              <w:rPr>
                <w:rFonts w:ascii="宋体" w:hAnsi="宋体" w:eastAsia="宋体" w:cs="Times New Roman"/>
                <w:sz w:val="24"/>
                <w:szCs w:val="24"/>
              </w:rPr>
            </w:pPr>
          </w:p>
        </w:tc>
        <w:tc>
          <w:tcPr>
            <w:tcW w:w="1842" w:type="dxa"/>
            <w:tcBorders>
              <w:left w:val="single" w:color="auto" w:sz="4" w:space="0"/>
              <w:right w:val="single" w:color="auto" w:sz="4" w:space="0"/>
            </w:tcBorders>
            <w:vAlign w:val="center"/>
          </w:tcPr>
          <w:p>
            <w:pPr>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r>
              <w:rPr>
                <w:rFonts w:hint="eastAsia" w:ascii="宋体" w:hAnsi="宋体" w:eastAsia="宋体" w:cs="Times New Roman"/>
                <w:sz w:val="24"/>
                <w:szCs w:val="24"/>
              </w:rPr>
              <w:t>6</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843" w:type="dxa"/>
            <w:tcBorders>
              <w:left w:val="single" w:color="auto" w:sz="4" w:space="0"/>
              <w:right w:val="single" w:color="auto" w:sz="4" w:space="0"/>
            </w:tcBorders>
            <w:vAlign w:val="center"/>
          </w:tcPr>
          <w:p>
            <w:pPr>
              <w:jc w:val="center"/>
              <w:rPr>
                <w:rFonts w:ascii="宋体" w:hAnsi="宋体" w:eastAsia="宋体" w:cs="Times New Roman"/>
                <w:sz w:val="24"/>
                <w:szCs w:val="24"/>
              </w:rPr>
            </w:pPr>
          </w:p>
        </w:tc>
        <w:tc>
          <w:tcPr>
            <w:tcW w:w="1842" w:type="dxa"/>
            <w:tcBorders>
              <w:left w:val="single" w:color="auto" w:sz="4" w:space="0"/>
              <w:right w:val="single" w:color="auto" w:sz="4" w:space="0"/>
            </w:tcBorders>
            <w:vAlign w:val="center"/>
          </w:tcPr>
          <w:p>
            <w:pPr>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b/>
                <w:sz w:val="24"/>
                <w:szCs w:val="24"/>
              </w:rPr>
            </w:pPr>
            <w:r>
              <w:rPr>
                <w:rFonts w:ascii="宋体" w:hAnsi="宋体" w:eastAsia="宋体" w:cs="Times New Roman"/>
                <w:b/>
                <w:sz w:val="24"/>
                <w:szCs w:val="24"/>
              </w:rPr>
              <w:t>…</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843" w:type="dxa"/>
            <w:tcBorders>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842" w:type="dxa"/>
            <w:tcBorders>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r>
    </w:tbl>
    <w:p>
      <w:pPr>
        <w:spacing w:line="360" w:lineRule="auto"/>
        <w:ind w:left="725" w:hanging="723" w:hangingChars="300"/>
        <w:jc w:val="left"/>
        <w:rPr>
          <w:rFonts w:ascii="宋体" w:hAnsi="宋体" w:eastAsia="宋体" w:cs="Times New Roman"/>
          <w:sz w:val="24"/>
          <w:szCs w:val="24"/>
          <w:lang w:val="zh-CN"/>
        </w:rPr>
      </w:pPr>
      <w:r>
        <w:rPr>
          <w:rFonts w:hint="eastAsia" w:ascii="宋体" w:hAnsi="宋体" w:eastAsia="宋体" w:cs="Times New Roman"/>
          <w:sz w:val="24"/>
          <w:szCs w:val="24"/>
          <w:lang w:val="zh-CN"/>
        </w:rPr>
        <w:t>说明：投标文件正本应附完整的相关证明材料清晰影印件，</w:t>
      </w:r>
      <w:r>
        <w:rPr>
          <w:rFonts w:hint="eastAsia" w:ascii="宋体" w:hAnsi="宋体" w:eastAsia="宋体" w:cs="Corbel"/>
          <w:sz w:val="24"/>
          <w:szCs w:val="21"/>
          <w:lang w:val="zh-CN"/>
        </w:rPr>
        <w:t>未按照要求详细完整填写此表，</w:t>
      </w:r>
      <w:r>
        <w:rPr>
          <w:rFonts w:hint="eastAsia" w:ascii="宋体" w:hAnsi="宋体" w:eastAsia="宋体" w:cs="Times New Roman"/>
          <w:sz w:val="24"/>
          <w:szCs w:val="21"/>
          <w:lang w:val="zh-CN"/>
        </w:rPr>
        <w:t>导致的后果由投标人自行承担。</w:t>
      </w:r>
    </w:p>
    <w:p>
      <w:pPr>
        <w:spacing w:line="360" w:lineRule="auto"/>
        <w:jc w:val="left"/>
        <w:rPr>
          <w:rFonts w:ascii="宋体" w:hAnsi="宋体" w:eastAsia="宋体" w:cs="Times New Roman"/>
          <w:sz w:val="24"/>
          <w:szCs w:val="24"/>
          <w:lang w:val="zh-CN"/>
        </w:rPr>
      </w:pPr>
    </w:p>
    <w:p>
      <w:pPr>
        <w:spacing w:line="360" w:lineRule="auto"/>
        <w:jc w:val="left"/>
        <w:rPr>
          <w:rFonts w:ascii="宋体" w:hAnsi="宋体" w:eastAsia="宋体" w:cs="Times New Roman"/>
          <w:sz w:val="24"/>
          <w:szCs w:val="24"/>
          <w:lang w:val="zh-CN"/>
        </w:rPr>
      </w:pPr>
    </w:p>
    <w:p>
      <w:pPr>
        <w:spacing w:line="360" w:lineRule="auto"/>
        <w:jc w:val="left"/>
        <w:rPr>
          <w:rFonts w:ascii="宋体" w:hAnsi="宋体" w:eastAsia="宋体" w:cs="Times New Roman"/>
          <w:sz w:val="24"/>
          <w:szCs w:val="24"/>
          <w:lang w:val="zh-CN"/>
        </w:rPr>
      </w:pPr>
    </w:p>
    <w:p>
      <w:pPr>
        <w:spacing w:line="360" w:lineRule="auto"/>
        <w:jc w:val="left"/>
        <w:rPr>
          <w:rFonts w:ascii="宋体" w:hAnsi="宋体" w:eastAsia="宋体" w:cs="Times New Roman"/>
          <w:sz w:val="24"/>
          <w:szCs w:val="24"/>
          <w:lang w:val="zh-CN"/>
        </w:rPr>
      </w:pPr>
    </w:p>
    <w:p>
      <w:pPr>
        <w:spacing w:line="360" w:lineRule="auto"/>
        <w:jc w:val="left"/>
        <w:rPr>
          <w:rFonts w:ascii="宋体" w:hAnsi="宋体" w:eastAsia="宋体" w:cs="Times New Roman"/>
          <w:sz w:val="24"/>
          <w:szCs w:val="24"/>
          <w:lang w:val="zh-CN"/>
        </w:rPr>
      </w:pPr>
    </w:p>
    <w:p>
      <w:pPr>
        <w:spacing w:before="100" w:beforeAutospacing="1" w:after="100" w:afterAutospacing="1" w:line="360" w:lineRule="auto"/>
        <w:ind w:firstLine="3329"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29" w:firstLineChars="1382"/>
        <w:rPr>
          <w:rFonts w:hAnsi="宋体"/>
          <w:b/>
          <w:bCs/>
          <w:sz w:val="24"/>
          <w:u w:val="single"/>
        </w:rPr>
      </w:pPr>
      <w:r>
        <w:rPr>
          <w:rFonts w:hint="eastAsia" w:ascii="宋体" w:hAnsi="宋体" w:eastAsia="宋体" w:cs="Times New Roman"/>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29" w:firstLineChars="1382"/>
        <w:rPr>
          <w:rFonts w:hAnsi="宋体"/>
          <w:b/>
          <w:bCs/>
          <w:sz w:val="24"/>
          <w:u w:val="single"/>
        </w:rPr>
      </w:pPr>
      <w:r>
        <w:rPr>
          <w:rFonts w:hint="eastAsia" w:ascii="宋体" w:hAnsi="宋体" w:eastAsia="宋体" w:cs="Times New Roman"/>
          <w:b/>
          <w:bCs/>
          <w:sz w:val="24"/>
          <w:szCs w:val="21"/>
          <w:lang w:val="zh-CN"/>
        </w:rPr>
        <w:t>投标</w:t>
      </w:r>
      <w:r>
        <w:rPr>
          <w:rFonts w:hint="eastAsia" w:hAnsi="宋体"/>
          <w:b/>
          <w:bCs/>
          <w:sz w:val="24"/>
        </w:rPr>
        <w:t>时间：</w:t>
      </w:r>
    </w:p>
    <w:p>
      <w:r>
        <w:br w:type="page"/>
      </w:r>
    </w:p>
    <w:p>
      <w:pPr>
        <w:pStyle w:val="5"/>
        <w:numPr>
          <w:ilvl w:val="0"/>
          <w:numId w:val="62"/>
        </w:numPr>
        <w:spacing w:before="100" w:beforeAutospacing="1" w:afterLines="50" w:line="360" w:lineRule="auto"/>
        <w:ind w:left="1610" w:hanging="1610"/>
        <w:rPr>
          <w:rFonts w:ascii="宋体" w:hAnsi="宋体" w:eastAsia="宋体"/>
        </w:rPr>
      </w:pPr>
      <w:bookmarkStart w:id="189" w:name="_Toc494665014"/>
      <w:bookmarkStart w:id="190" w:name="_Toc494702284"/>
      <w:bookmarkStart w:id="191" w:name="_Toc494721114"/>
      <w:bookmarkStart w:id="192" w:name="_Toc494665964"/>
      <w:bookmarkStart w:id="193" w:name="_Toc494665567"/>
      <w:bookmarkStart w:id="194" w:name="_Toc238276256"/>
      <w:bookmarkStart w:id="195" w:name="_Toc236473312"/>
      <w:bookmarkStart w:id="196" w:name="_Toc494745331"/>
      <w:bookmarkStart w:id="197" w:name="_Toc16234"/>
      <w:r>
        <w:rPr>
          <w:rFonts w:hint="eastAsia" w:ascii="宋体" w:hAnsi="宋体" w:eastAsia="宋体"/>
        </w:rPr>
        <w:t>投标人类似项目业绩表</w:t>
      </w:r>
      <w:bookmarkEnd w:id="189"/>
      <w:bookmarkEnd w:id="190"/>
      <w:bookmarkEnd w:id="191"/>
      <w:bookmarkEnd w:id="192"/>
      <w:bookmarkEnd w:id="193"/>
      <w:bookmarkEnd w:id="194"/>
      <w:bookmarkEnd w:id="195"/>
      <w:bookmarkEnd w:id="196"/>
      <w:bookmarkEnd w:id="197"/>
    </w:p>
    <w:p>
      <w:pPr>
        <w:spacing w:line="360" w:lineRule="auto"/>
        <w:jc w:val="left"/>
        <w:rPr>
          <w:rFonts w:hAnsi="宋体"/>
          <w:b/>
          <w:sz w:val="24"/>
        </w:rPr>
      </w:pPr>
      <w:r>
        <w:rPr>
          <w:rFonts w:hint="eastAsia" w:hAnsi="宋体"/>
          <w:b/>
          <w:sz w:val="24"/>
        </w:rPr>
        <w:t>投标人：</w:t>
      </w:r>
    </w:p>
    <w:p>
      <w:pPr>
        <w:spacing w:line="360" w:lineRule="auto"/>
        <w:jc w:val="left"/>
        <w:rPr>
          <w:rFonts w:hAnsi="宋体"/>
          <w:b/>
          <w:sz w:val="24"/>
        </w:rPr>
      </w:pPr>
      <w:r>
        <w:rPr>
          <w:rFonts w:hint="eastAsia" w:ascii="宋体" w:hAnsi="宋体" w:eastAsia="宋体" w:cs="Times New Roman"/>
          <w:b/>
          <w:sz w:val="24"/>
          <w:szCs w:val="21"/>
          <w:lang w:val="zh-CN"/>
        </w:rPr>
        <w:t>项目编号：</w:t>
      </w:r>
      <w:r>
        <w:rPr>
          <w:rFonts w:hint="eastAsia" w:ascii="宋体" w:hAnsi="宋体" w:eastAsia="宋体" w:cs="Times New Roman"/>
          <w:b/>
          <w:bCs/>
          <w:sz w:val="24"/>
          <w:szCs w:val="21"/>
          <w:lang w:val="zh-CN"/>
        </w:rPr>
        <w:t xml:space="preserve">                所投包号：</w:t>
      </w:r>
    </w:p>
    <w:tbl>
      <w:tblPr>
        <w:tblStyle w:val="21"/>
        <w:tblW w:w="94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0"/>
        <w:gridCol w:w="7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jc w:val="center"/>
        </w:trPr>
        <w:tc>
          <w:tcPr>
            <w:tcW w:w="2220" w:type="dxa"/>
            <w:shd w:val="clear" w:color="auto" w:fill="auto"/>
            <w:vAlign w:val="center"/>
          </w:tcPr>
          <w:p>
            <w:pPr>
              <w:jc w:val="center"/>
              <w:rPr>
                <w:rFonts w:ascii="宋体" w:hAnsi="宋体" w:eastAsia="宋体" w:cs="Courier New"/>
                <w:sz w:val="24"/>
                <w:szCs w:val="24"/>
              </w:rPr>
            </w:pPr>
            <w:r>
              <w:rPr>
                <w:rFonts w:hint="eastAsia" w:ascii="宋体" w:hAnsi="宋体" w:eastAsia="宋体" w:cs="Courier New"/>
                <w:sz w:val="24"/>
                <w:szCs w:val="24"/>
              </w:rPr>
              <w:t>项目单位名称</w:t>
            </w:r>
          </w:p>
        </w:tc>
        <w:tc>
          <w:tcPr>
            <w:tcW w:w="7200" w:type="dxa"/>
            <w:shd w:val="clear" w:color="auto" w:fill="auto"/>
          </w:tcPr>
          <w:p>
            <w:pPr>
              <w:rPr>
                <w:rFonts w:ascii="宋体" w:hAnsi="宋体" w:eastAsia="宋体" w:cs="Courier New"/>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jc w:val="center"/>
        </w:trPr>
        <w:tc>
          <w:tcPr>
            <w:tcW w:w="2220" w:type="dxa"/>
            <w:shd w:val="clear" w:color="auto" w:fill="auto"/>
            <w:vAlign w:val="center"/>
          </w:tcPr>
          <w:p>
            <w:pPr>
              <w:jc w:val="center"/>
              <w:rPr>
                <w:rFonts w:ascii="宋体" w:hAnsi="宋体" w:eastAsia="宋体" w:cs="Courier New"/>
                <w:sz w:val="24"/>
                <w:szCs w:val="24"/>
              </w:rPr>
            </w:pPr>
            <w:r>
              <w:rPr>
                <w:rFonts w:hint="eastAsia" w:ascii="宋体" w:hAnsi="宋体" w:eastAsia="宋体" w:cs="Courier New"/>
                <w:sz w:val="24"/>
                <w:szCs w:val="24"/>
              </w:rPr>
              <w:t>项目名称</w:t>
            </w:r>
          </w:p>
        </w:tc>
        <w:tc>
          <w:tcPr>
            <w:tcW w:w="7200" w:type="dxa"/>
            <w:shd w:val="clear" w:color="auto" w:fill="auto"/>
          </w:tcPr>
          <w:p>
            <w:pPr>
              <w:rPr>
                <w:rFonts w:ascii="宋体" w:hAnsi="宋体" w:eastAsia="宋体" w:cs="Courier New"/>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jc w:val="center"/>
        </w:trPr>
        <w:tc>
          <w:tcPr>
            <w:tcW w:w="2220" w:type="dxa"/>
            <w:shd w:val="clear" w:color="auto" w:fill="auto"/>
            <w:vAlign w:val="center"/>
          </w:tcPr>
          <w:p>
            <w:pPr>
              <w:jc w:val="center"/>
              <w:rPr>
                <w:rFonts w:ascii="宋体" w:hAnsi="宋体" w:eastAsia="宋体" w:cs="Courier New"/>
                <w:sz w:val="24"/>
                <w:szCs w:val="24"/>
              </w:rPr>
            </w:pPr>
            <w:r>
              <w:rPr>
                <w:rFonts w:hint="eastAsia" w:ascii="宋体" w:hAnsi="宋体" w:eastAsia="宋体" w:cs="Courier New"/>
                <w:sz w:val="24"/>
                <w:szCs w:val="24"/>
              </w:rPr>
              <w:t>项目单位联系人姓名及联系方式</w:t>
            </w:r>
          </w:p>
        </w:tc>
        <w:tc>
          <w:tcPr>
            <w:tcW w:w="7200" w:type="dxa"/>
            <w:shd w:val="clear" w:color="auto" w:fill="auto"/>
          </w:tcPr>
          <w:p>
            <w:pPr>
              <w:rPr>
                <w:rFonts w:ascii="宋体" w:hAnsi="宋体" w:eastAsia="宋体" w:cs="Courier New"/>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jc w:val="center"/>
        </w:trPr>
        <w:tc>
          <w:tcPr>
            <w:tcW w:w="2220" w:type="dxa"/>
            <w:shd w:val="clear" w:color="auto" w:fill="auto"/>
            <w:vAlign w:val="center"/>
          </w:tcPr>
          <w:p>
            <w:pPr>
              <w:jc w:val="center"/>
              <w:rPr>
                <w:rFonts w:ascii="宋体" w:hAnsi="宋体" w:eastAsia="宋体" w:cs="Courier New"/>
                <w:sz w:val="24"/>
                <w:szCs w:val="24"/>
              </w:rPr>
            </w:pPr>
            <w:r>
              <w:rPr>
                <w:rFonts w:hint="eastAsia" w:ascii="宋体" w:hAnsi="宋体" w:eastAsia="宋体" w:cs="Courier New"/>
                <w:sz w:val="24"/>
                <w:szCs w:val="24"/>
              </w:rPr>
              <w:t>项目金额</w:t>
            </w:r>
          </w:p>
        </w:tc>
        <w:tc>
          <w:tcPr>
            <w:tcW w:w="7200" w:type="dxa"/>
            <w:shd w:val="clear" w:color="auto" w:fill="auto"/>
          </w:tcPr>
          <w:p>
            <w:pPr>
              <w:rPr>
                <w:rFonts w:ascii="宋体" w:hAnsi="宋体" w:eastAsia="宋体" w:cs="Courier New"/>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3" w:hRule="atLeast"/>
          <w:jc w:val="center"/>
        </w:trPr>
        <w:tc>
          <w:tcPr>
            <w:tcW w:w="2220" w:type="dxa"/>
            <w:shd w:val="clear" w:color="auto" w:fill="auto"/>
            <w:vAlign w:val="center"/>
          </w:tcPr>
          <w:p>
            <w:pPr>
              <w:jc w:val="center"/>
              <w:rPr>
                <w:rFonts w:ascii="宋体" w:hAnsi="宋体" w:eastAsia="宋体" w:cs="Courier New"/>
                <w:sz w:val="24"/>
                <w:szCs w:val="24"/>
              </w:rPr>
            </w:pPr>
            <w:r>
              <w:rPr>
                <w:rFonts w:hint="eastAsia" w:ascii="宋体" w:hAnsi="宋体" w:eastAsia="宋体" w:cs="Courier New"/>
                <w:sz w:val="24"/>
                <w:szCs w:val="24"/>
              </w:rPr>
              <w:t>项目负责人姓名</w:t>
            </w:r>
          </w:p>
        </w:tc>
        <w:tc>
          <w:tcPr>
            <w:tcW w:w="7200" w:type="dxa"/>
            <w:shd w:val="clear" w:color="auto" w:fill="auto"/>
          </w:tcPr>
          <w:p>
            <w:pPr>
              <w:rPr>
                <w:rFonts w:ascii="宋体" w:hAnsi="宋体" w:eastAsia="宋体" w:cs="Courier New"/>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9" w:hRule="atLeast"/>
          <w:jc w:val="center"/>
        </w:trPr>
        <w:tc>
          <w:tcPr>
            <w:tcW w:w="2220" w:type="dxa"/>
            <w:shd w:val="clear" w:color="auto" w:fill="auto"/>
            <w:vAlign w:val="center"/>
          </w:tcPr>
          <w:p>
            <w:pPr>
              <w:jc w:val="center"/>
              <w:rPr>
                <w:rFonts w:ascii="宋体" w:hAnsi="宋体" w:eastAsia="宋体" w:cs="Courier New"/>
                <w:sz w:val="24"/>
                <w:szCs w:val="24"/>
              </w:rPr>
            </w:pPr>
            <w:r>
              <w:rPr>
                <w:rFonts w:hint="eastAsia" w:ascii="宋体" w:hAnsi="宋体" w:eastAsia="宋体" w:cs="Courier New"/>
                <w:sz w:val="24"/>
                <w:szCs w:val="24"/>
              </w:rPr>
              <w:t>项目时间</w:t>
            </w:r>
          </w:p>
        </w:tc>
        <w:tc>
          <w:tcPr>
            <w:tcW w:w="7200" w:type="dxa"/>
            <w:shd w:val="clear" w:color="auto" w:fill="auto"/>
          </w:tcPr>
          <w:p>
            <w:pPr>
              <w:rPr>
                <w:rFonts w:ascii="宋体" w:hAnsi="宋体" w:eastAsia="宋体" w:cs="Courier New"/>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58" w:hRule="atLeast"/>
          <w:jc w:val="center"/>
        </w:trPr>
        <w:tc>
          <w:tcPr>
            <w:tcW w:w="2220" w:type="dxa"/>
            <w:shd w:val="clear" w:color="auto" w:fill="auto"/>
            <w:vAlign w:val="center"/>
          </w:tcPr>
          <w:p>
            <w:pPr>
              <w:jc w:val="center"/>
              <w:rPr>
                <w:rFonts w:ascii="宋体" w:hAnsi="宋体" w:eastAsia="宋体" w:cs="Courier New"/>
                <w:sz w:val="24"/>
                <w:szCs w:val="24"/>
              </w:rPr>
            </w:pPr>
            <w:r>
              <w:rPr>
                <w:rFonts w:hint="eastAsia" w:ascii="宋体" w:hAnsi="宋体" w:eastAsia="宋体" w:cs="Courier New"/>
                <w:sz w:val="24"/>
                <w:szCs w:val="24"/>
              </w:rPr>
              <w:t>项目内容</w:t>
            </w:r>
          </w:p>
        </w:tc>
        <w:tc>
          <w:tcPr>
            <w:tcW w:w="7200" w:type="dxa"/>
            <w:shd w:val="clear" w:color="auto" w:fill="auto"/>
          </w:tcPr>
          <w:p>
            <w:pPr>
              <w:rPr>
                <w:rFonts w:ascii="宋体" w:hAnsi="宋体" w:eastAsia="宋体" w:cs="Courier New"/>
                <w:sz w:val="24"/>
                <w:szCs w:val="24"/>
              </w:rPr>
            </w:pPr>
          </w:p>
        </w:tc>
      </w:tr>
    </w:tbl>
    <w:p>
      <w:pPr>
        <w:spacing w:line="360" w:lineRule="auto"/>
        <w:ind w:left="1099" w:hanging="1096" w:hangingChars="455"/>
        <w:jc w:val="left"/>
        <w:rPr>
          <w:rFonts w:ascii="宋体" w:hAnsi="宋体" w:eastAsia="宋体" w:cs="Times New Roman"/>
          <w:sz w:val="24"/>
          <w:szCs w:val="24"/>
        </w:rPr>
      </w:pPr>
      <w:r>
        <w:rPr>
          <w:rFonts w:hint="eastAsia" w:ascii="宋体" w:hAnsi="宋体" w:eastAsia="宋体" w:cs="Times New Roman"/>
          <w:sz w:val="24"/>
          <w:szCs w:val="24"/>
        </w:rPr>
        <w:t>说明：1．每个合同应单独附表，并附上相关证明材料，</w:t>
      </w:r>
      <w:r>
        <w:rPr>
          <w:rFonts w:hint="eastAsia" w:ascii="宋体" w:hAnsi="宋体" w:eastAsia="宋体" w:cs="Corbel"/>
          <w:sz w:val="24"/>
          <w:szCs w:val="24"/>
        </w:rPr>
        <w:t>未按照要求详细完整填写此表，</w:t>
      </w:r>
      <w:r>
        <w:rPr>
          <w:rFonts w:hint="eastAsia" w:ascii="宋体" w:hAnsi="宋体" w:eastAsia="宋体" w:cs="Times New Roman"/>
          <w:sz w:val="24"/>
          <w:szCs w:val="24"/>
        </w:rPr>
        <w:t>导致的后果由投标人自行承担。</w:t>
      </w:r>
    </w:p>
    <w:p>
      <w:pPr>
        <w:spacing w:line="360" w:lineRule="auto"/>
        <w:ind w:left="1066" w:leftChars="339" w:hanging="351" w:hangingChars="146"/>
        <w:jc w:val="left"/>
        <w:rPr>
          <w:rFonts w:ascii="宋体" w:hAnsi="宋体" w:eastAsia="宋体" w:cs="Times New Roman"/>
          <w:sz w:val="24"/>
          <w:szCs w:val="24"/>
        </w:rPr>
      </w:pPr>
      <w:r>
        <w:rPr>
          <w:rFonts w:hint="eastAsia" w:ascii="宋体" w:hAnsi="宋体" w:eastAsia="宋体" w:cs="Times New Roman"/>
          <w:sz w:val="24"/>
          <w:szCs w:val="24"/>
        </w:rPr>
        <w:t>2．项目内容请详细说明所承担的具体工作内容等。</w:t>
      </w:r>
    </w:p>
    <w:p>
      <w:pPr>
        <w:spacing w:line="360" w:lineRule="auto"/>
        <w:ind w:firstLine="723" w:firstLineChars="300"/>
        <w:rPr>
          <w:rFonts w:ascii="宋体" w:hAnsi="宋体" w:eastAsia="宋体" w:cs="Times New Roman"/>
          <w:sz w:val="24"/>
          <w:szCs w:val="24"/>
        </w:rPr>
      </w:pPr>
    </w:p>
    <w:p>
      <w:pPr>
        <w:spacing w:line="360" w:lineRule="auto"/>
        <w:ind w:firstLine="723" w:firstLineChars="300"/>
        <w:rPr>
          <w:rFonts w:ascii="宋体" w:hAnsi="宋体" w:eastAsia="宋体" w:cs="Times New Roman"/>
          <w:sz w:val="24"/>
          <w:szCs w:val="24"/>
        </w:rPr>
      </w:pPr>
    </w:p>
    <w:p>
      <w:pPr>
        <w:spacing w:before="100" w:beforeAutospacing="1" w:after="100" w:afterAutospacing="1" w:line="360" w:lineRule="auto"/>
        <w:ind w:firstLine="3329"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29" w:firstLineChars="1382"/>
        <w:rPr>
          <w:rFonts w:hAnsi="宋体"/>
          <w:b/>
          <w:bCs/>
          <w:sz w:val="24"/>
          <w:u w:val="single"/>
        </w:rPr>
      </w:pPr>
      <w:r>
        <w:rPr>
          <w:rFonts w:hint="eastAsia" w:ascii="宋体" w:hAnsi="宋体" w:eastAsia="宋体" w:cs="Times New Roman"/>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29" w:firstLineChars="1382"/>
      </w:pPr>
      <w:r>
        <w:rPr>
          <w:rFonts w:hint="eastAsia" w:ascii="宋体" w:hAnsi="宋体" w:eastAsia="宋体" w:cs="Times New Roman"/>
          <w:b/>
          <w:bCs/>
          <w:sz w:val="24"/>
          <w:szCs w:val="21"/>
          <w:lang w:val="zh-CN"/>
        </w:rPr>
        <w:t>投标</w:t>
      </w:r>
      <w:r>
        <w:rPr>
          <w:rFonts w:hint="eastAsia" w:hAnsi="宋体"/>
          <w:b/>
          <w:bCs/>
          <w:sz w:val="24"/>
        </w:rPr>
        <w:t>时间：</w:t>
      </w:r>
    </w:p>
    <w:p>
      <w:r>
        <w:br w:type="page"/>
      </w:r>
    </w:p>
    <w:p>
      <w:pPr>
        <w:pStyle w:val="5"/>
        <w:numPr>
          <w:ilvl w:val="0"/>
          <w:numId w:val="62"/>
        </w:numPr>
        <w:spacing w:before="100" w:beforeAutospacing="1" w:afterLines="50" w:line="360" w:lineRule="auto"/>
        <w:ind w:left="1610" w:hanging="1610"/>
        <w:rPr>
          <w:rFonts w:ascii="宋体" w:hAnsi="宋体" w:eastAsia="宋体"/>
        </w:rPr>
      </w:pPr>
      <w:bookmarkStart w:id="198" w:name="_Toc494665568"/>
      <w:bookmarkStart w:id="199" w:name="_Toc494665965"/>
      <w:bookmarkStart w:id="200" w:name="_Toc494721115"/>
      <w:bookmarkStart w:id="201" w:name="_Toc494665015"/>
      <w:bookmarkStart w:id="202" w:name="_Toc494702285"/>
      <w:bookmarkStart w:id="203" w:name="_Toc494745332"/>
      <w:bookmarkStart w:id="204" w:name="_Toc15104"/>
      <w:r>
        <w:rPr>
          <w:rFonts w:hint="eastAsia" w:ascii="宋体" w:hAnsi="宋体" w:eastAsia="宋体"/>
        </w:rPr>
        <w:t>符合性审查对照表</w:t>
      </w:r>
      <w:bookmarkEnd w:id="198"/>
      <w:bookmarkEnd w:id="199"/>
      <w:bookmarkEnd w:id="200"/>
      <w:bookmarkEnd w:id="201"/>
      <w:bookmarkEnd w:id="202"/>
      <w:bookmarkEnd w:id="203"/>
      <w:bookmarkEnd w:id="204"/>
    </w:p>
    <w:p>
      <w:pPr>
        <w:spacing w:line="360" w:lineRule="auto"/>
        <w:jc w:val="left"/>
        <w:rPr>
          <w:rFonts w:hAnsi="宋体"/>
          <w:b/>
          <w:sz w:val="24"/>
        </w:rPr>
      </w:pPr>
      <w:r>
        <w:rPr>
          <w:rFonts w:hint="eastAsia" w:hAnsi="宋体"/>
          <w:b/>
          <w:sz w:val="24"/>
        </w:rPr>
        <w:t>投标人：</w:t>
      </w:r>
    </w:p>
    <w:p>
      <w:pPr>
        <w:spacing w:line="360" w:lineRule="auto"/>
        <w:jc w:val="left"/>
        <w:rPr>
          <w:rFonts w:hAnsi="宋体"/>
          <w:b/>
          <w:sz w:val="24"/>
        </w:rPr>
      </w:pPr>
      <w:r>
        <w:rPr>
          <w:rFonts w:hint="eastAsia" w:ascii="宋体" w:hAnsi="宋体" w:eastAsia="宋体" w:cs="Times New Roman"/>
          <w:b/>
          <w:sz w:val="24"/>
          <w:szCs w:val="21"/>
          <w:lang w:val="zh-CN"/>
        </w:rPr>
        <w:t>项目编号：</w:t>
      </w:r>
      <w:r>
        <w:rPr>
          <w:rFonts w:hint="eastAsia" w:ascii="宋体" w:hAnsi="宋体" w:eastAsia="宋体" w:cs="Times New Roman"/>
          <w:b/>
          <w:bCs/>
          <w:sz w:val="24"/>
          <w:szCs w:val="21"/>
          <w:lang w:val="zh-CN"/>
        </w:rPr>
        <w:t xml:space="preserve">                所投包号：</w:t>
      </w:r>
    </w:p>
    <w:tbl>
      <w:tblPr>
        <w:tblStyle w:val="21"/>
        <w:tblW w:w="950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3"/>
        <w:gridCol w:w="3032"/>
        <w:gridCol w:w="2754"/>
        <w:gridCol w:w="1363"/>
        <w:gridCol w:w="1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753"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序号</w:t>
            </w:r>
          </w:p>
        </w:tc>
        <w:tc>
          <w:tcPr>
            <w:tcW w:w="3032"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招标文件</w:t>
            </w:r>
            <w:r>
              <w:rPr>
                <w:rFonts w:hint="eastAsia" w:ascii="宋体" w:hAnsi="宋体" w:eastAsia="宋体" w:cs="Corbel"/>
                <w:sz w:val="24"/>
                <w:szCs w:val="24"/>
              </w:rPr>
              <w:t>符合性审查条款</w:t>
            </w:r>
          </w:p>
        </w:tc>
        <w:tc>
          <w:tcPr>
            <w:tcW w:w="2754"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投标响应内容对应简述</w:t>
            </w:r>
          </w:p>
        </w:tc>
        <w:tc>
          <w:tcPr>
            <w:tcW w:w="1363"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偏离说明</w:t>
            </w:r>
          </w:p>
        </w:tc>
        <w:tc>
          <w:tcPr>
            <w:tcW w:w="1602" w:type="dxa"/>
            <w:shd w:val="clear" w:color="auto" w:fill="F1F1F1" w:themeFill="background1" w:themeFillShade="F2"/>
          </w:tcPr>
          <w:p>
            <w:pPr>
              <w:jc w:val="center"/>
              <w:rPr>
                <w:rFonts w:ascii="宋体" w:hAnsi="宋体" w:eastAsia="宋体" w:cs="仿宋_GB2312"/>
                <w:sz w:val="24"/>
                <w:szCs w:val="24"/>
              </w:rPr>
            </w:pPr>
            <w:r>
              <w:rPr>
                <w:rFonts w:hint="eastAsia" w:ascii="宋体" w:hAnsi="宋体" w:eastAsia="宋体" w:cs="仿宋_GB2312"/>
                <w:sz w:val="24"/>
                <w:szCs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4" w:hRule="atLeast"/>
        </w:trPr>
        <w:tc>
          <w:tcPr>
            <w:tcW w:w="753"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1</w:t>
            </w:r>
          </w:p>
        </w:tc>
        <w:tc>
          <w:tcPr>
            <w:tcW w:w="3032" w:type="dxa"/>
            <w:vAlign w:val="center"/>
          </w:tcPr>
          <w:p>
            <w:pPr>
              <w:jc w:val="center"/>
              <w:rPr>
                <w:rFonts w:ascii="宋体" w:hAnsi="宋体" w:eastAsia="宋体" w:cs="仿宋_GB2312"/>
                <w:sz w:val="24"/>
                <w:szCs w:val="24"/>
              </w:rPr>
            </w:pPr>
          </w:p>
        </w:tc>
        <w:tc>
          <w:tcPr>
            <w:tcW w:w="2754" w:type="dxa"/>
            <w:vAlign w:val="center"/>
          </w:tcPr>
          <w:p>
            <w:pPr>
              <w:jc w:val="center"/>
              <w:rPr>
                <w:rFonts w:ascii="宋体" w:hAnsi="宋体" w:eastAsia="宋体" w:cs="仿宋_GB2312"/>
                <w:sz w:val="24"/>
                <w:szCs w:val="24"/>
              </w:rPr>
            </w:pPr>
          </w:p>
        </w:tc>
        <w:tc>
          <w:tcPr>
            <w:tcW w:w="1363" w:type="dxa"/>
            <w:vAlign w:val="center"/>
          </w:tcPr>
          <w:p>
            <w:pPr>
              <w:jc w:val="center"/>
              <w:rPr>
                <w:rFonts w:ascii="宋体" w:hAnsi="宋体" w:eastAsia="宋体" w:cs="仿宋_GB2312"/>
                <w:sz w:val="24"/>
                <w:szCs w:val="24"/>
              </w:rPr>
            </w:pPr>
          </w:p>
        </w:tc>
        <w:tc>
          <w:tcPr>
            <w:tcW w:w="1602"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4" w:hRule="atLeast"/>
        </w:trPr>
        <w:tc>
          <w:tcPr>
            <w:tcW w:w="753"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2</w:t>
            </w:r>
          </w:p>
        </w:tc>
        <w:tc>
          <w:tcPr>
            <w:tcW w:w="3032" w:type="dxa"/>
            <w:vAlign w:val="center"/>
          </w:tcPr>
          <w:p>
            <w:pPr>
              <w:jc w:val="center"/>
              <w:rPr>
                <w:rFonts w:ascii="宋体" w:hAnsi="宋体" w:eastAsia="宋体" w:cs="仿宋_GB2312"/>
                <w:sz w:val="24"/>
                <w:szCs w:val="24"/>
              </w:rPr>
            </w:pPr>
          </w:p>
        </w:tc>
        <w:tc>
          <w:tcPr>
            <w:tcW w:w="2754" w:type="dxa"/>
            <w:vAlign w:val="center"/>
          </w:tcPr>
          <w:p>
            <w:pPr>
              <w:jc w:val="center"/>
              <w:rPr>
                <w:rFonts w:ascii="宋体" w:hAnsi="宋体" w:eastAsia="宋体" w:cs="仿宋_GB2312"/>
                <w:sz w:val="24"/>
                <w:szCs w:val="24"/>
              </w:rPr>
            </w:pPr>
          </w:p>
        </w:tc>
        <w:tc>
          <w:tcPr>
            <w:tcW w:w="1363" w:type="dxa"/>
            <w:vAlign w:val="center"/>
          </w:tcPr>
          <w:p>
            <w:pPr>
              <w:jc w:val="center"/>
              <w:rPr>
                <w:rFonts w:ascii="宋体" w:hAnsi="宋体" w:eastAsia="宋体" w:cs="仿宋_GB2312"/>
                <w:sz w:val="24"/>
                <w:szCs w:val="24"/>
              </w:rPr>
            </w:pPr>
          </w:p>
        </w:tc>
        <w:tc>
          <w:tcPr>
            <w:tcW w:w="1602"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4" w:hRule="atLeast"/>
        </w:trPr>
        <w:tc>
          <w:tcPr>
            <w:tcW w:w="753"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3</w:t>
            </w:r>
          </w:p>
        </w:tc>
        <w:tc>
          <w:tcPr>
            <w:tcW w:w="3032" w:type="dxa"/>
            <w:vAlign w:val="center"/>
          </w:tcPr>
          <w:p>
            <w:pPr>
              <w:jc w:val="center"/>
              <w:rPr>
                <w:rFonts w:ascii="宋体" w:hAnsi="宋体" w:eastAsia="宋体" w:cs="仿宋_GB2312"/>
                <w:sz w:val="24"/>
                <w:szCs w:val="24"/>
              </w:rPr>
            </w:pPr>
          </w:p>
        </w:tc>
        <w:tc>
          <w:tcPr>
            <w:tcW w:w="2754" w:type="dxa"/>
            <w:vAlign w:val="center"/>
          </w:tcPr>
          <w:p>
            <w:pPr>
              <w:jc w:val="center"/>
              <w:rPr>
                <w:rFonts w:ascii="宋体" w:hAnsi="宋体" w:eastAsia="宋体" w:cs="仿宋_GB2312"/>
                <w:sz w:val="24"/>
                <w:szCs w:val="24"/>
              </w:rPr>
            </w:pPr>
          </w:p>
        </w:tc>
        <w:tc>
          <w:tcPr>
            <w:tcW w:w="1363" w:type="dxa"/>
            <w:vAlign w:val="center"/>
          </w:tcPr>
          <w:p>
            <w:pPr>
              <w:jc w:val="center"/>
              <w:rPr>
                <w:rFonts w:ascii="宋体" w:hAnsi="宋体" w:eastAsia="宋体" w:cs="仿宋_GB2312"/>
                <w:sz w:val="24"/>
                <w:szCs w:val="24"/>
              </w:rPr>
            </w:pPr>
          </w:p>
        </w:tc>
        <w:tc>
          <w:tcPr>
            <w:tcW w:w="1602"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4" w:hRule="atLeast"/>
        </w:trPr>
        <w:tc>
          <w:tcPr>
            <w:tcW w:w="753"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4</w:t>
            </w:r>
          </w:p>
        </w:tc>
        <w:tc>
          <w:tcPr>
            <w:tcW w:w="3032" w:type="dxa"/>
            <w:vAlign w:val="center"/>
          </w:tcPr>
          <w:p>
            <w:pPr>
              <w:jc w:val="center"/>
              <w:rPr>
                <w:rFonts w:ascii="宋体" w:hAnsi="宋体" w:eastAsia="宋体" w:cs="仿宋_GB2312"/>
                <w:sz w:val="24"/>
                <w:szCs w:val="24"/>
              </w:rPr>
            </w:pPr>
          </w:p>
        </w:tc>
        <w:tc>
          <w:tcPr>
            <w:tcW w:w="2754" w:type="dxa"/>
            <w:vAlign w:val="center"/>
          </w:tcPr>
          <w:p>
            <w:pPr>
              <w:jc w:val="center"/>
              <w:rPr>
                <w:rFonts w:ascii="宋体" w:hAnsi="宋体" w:eastAsia="宋体" w:cs="仿宋_GB2312"/>
                <w:sz w:val="24"/>
                <w:szCs w:val="24"/>
              </w:rPr>
            </w:pPr>
          </w:p>
        </w:tc>
        <w:tc>
          <w:tcPr>
            <w:tcW w:w="1363" w:type="dxa"/>
            <w:vAlign w:val="center"/>
          </w:tcPr>
          <w:p>
            <w:pPr>
              <w:jc w:val="center"/>
              <w:rPr>
                <w:rFonts w:ascii="宋体" w:hAnsi="宋体" w:eastAsia="宋体" w:cs="仿宋_GB2312"/>
                <w:sz w:val="24"/>
                <w:szCs w:val="24"/>
              </w:rPr>
            </w:pPr>
          </w:p>
        </w:tc>
        <w:tc>
          <w:tcPr>
            <w:tcW w:w="1602"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4" w:hRule="atLeast"/>
        </w:trPr>
        <w:tc>
          <w:tcPr>
            <w:tcW w:w="753"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5</w:t>
            </w:r>
          </w:p>
        </w:tc>
        <w:tc>
          <w:tcPr>
            <w:tcW w:w="3032" w:type="dxa"/>
            <w:vAlign w:val="center"/>
          </w:tcPr>
          <w:p>
            <w:pPr>
              <w:jc w:val="center"/>
              <w:rPr>
                <w:rFonts w:ascii="宋体" w:hAnsi="宋体" w:eastAsia="宋体" w:cs="仿宋_GB2312"/>
                <w:sz w:val="24"/>
                <w:szCs w:val="24"/>
              </w:rPr>
            </w:pPr>
          </w:p>
        </w:tc>
        <w:tc>
          <w:tcPr>
            <w:tcW w:w="2754" w:type="dxa"/>
            <w:vAlign w:val="center"/>
          </w:tcPr>
          <w:p>
            <w:pPr>
              <w:jc w:val="center"/>
              <w:rPr>
                <w:rFonts w:ascii="宋体" w:hAnsi="宋体" w:eastAsia="宋体" w:cs="仿宋_GB2312"/>
                <w:sz w:val="24"/>
                <w:szCs w:val="24"/>
              </w:rPr>
            </w:pPr>
          </w:p>
        </w:tc>
        <w:tc>
          <w:tcPr>
            <w:tcW w:w="1363" w:type="dxa"/>
            <w:vAlign w:val="center"/>
          </w:tcPr>
          <w:p>
            <w:pPr>
              <w:jc w:val="center"/>
              <w:rPr>
                <w:rFonts w:ascii="宋体" w:hAnsi="宋体" w:eastAsia="宋体" w:cs="仿宋_GB2312"/>
                <w:sz w:val="24"/>
                <w:szCs w:val="24"/>
              </w:rPr>
            </w:pPr>
          </w:p>
        </w:tc>
        <w:tc>
          <w:tcPr>
            <w:tcW w:w="1602"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4" w:hRule="atLeast"/>
        </w:trPr>
        <w:tc>
          <w:tcPr>
            <w:tcW w:w="753"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6</w:t>
            </w:r>
          </w:p>
        </w:tc>
        <w:tc>
          <w:tcPr>
            <w:tcW w:w="3032" w:type="dxa"/>
            <w:vAlign w:val="center"/>
          </w:tcPr>
          <w:p>
            <w:pPr>
              <w:jc w:val="center"/>
              <w:rPr>
                <w:rFonts w:ascii="宋体" w:hAnsi="宋体" w:eastAsia="宋体" w:cs="仿宋_GB2312"/>
                <w:sz w:val="24"/>
                <w:szCs w:val="24"/>
              </w:rPr>
            </w:pPr>
          </w:p>
        </w:tc>
        <w:tc>
          <w:tcPr>
            <w:tcW w:w="2754" w:type="dxa"/>
            <w:vAlign w:val="center"/>
          </w:tcPr>
          <w:p>
            <w:pPr>
              <w:jc w:val="center"/>
              <w:rPr>
                <w:rFonts w:ascii="宋体" w:hAnsi="宋体" w:eastAsia="宋体" w:cs="仿宋_GB2312"/>
                <w:sz w:val="24"/>
                <w:szCs w:val="24"/>
              </w:rPr>
            </w:pPr>
          </w:p>
        </w:tc>
        <w:tc>
          <w:tcPr>
            <w:tcW w:w="1363" w:type="dxa"/>
            <w:vAlign w:val="center"/>
          </w:tcPr>
          <w:p>
            <w:pPr>
              <w:jc w:val="center"/>
              <w:rPr>
                <w:rFonts w:ascii="宋体" w:hAnsi="宋体" w:eastAsia="宋体" w:cs="仿宋_GB2312"/>
                <w:sz w:val="24"/>
                <w:szCs w:val="24"/>
              </w:rPr>
            </w:pPr>
          </w:p>
        </w:tc>
        <w:tc>
          <w:tcPr>
            <w:tcW w:w="1602"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4" w:hRule="atLeast"/>
        </w:trPr>
        <w:tc>
          <w:tcPr>
            <w:tcW w:w="753"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w:t>
            </w:r>
          </w:p>
        </w:tc>
        <w:tc>
          <w:tcPr>
            <w:tcW w:w="3032" w:type="dxa"/>
            <w:vAlign w:val="center"/>
          </w:tcPr>
          <w:p>
            <w:pPr>
              <w:jc w:val="center"/>
              <w:rPr>
                <w:rFonts w:ascii="宋体" w:hAnsi="宋体" w:eastAsia="宋体" w:cs="仿宋_GB2312"/>
                <w:sz w:val="24"/>
                <w:szCs w:val="24"/>
              </w:rPr>
            </w:pPr>
          </w:p>
        </w:tc>
        <w:tc>
          <w:tcPr>
            <w:tcW w:w="2754" w:type="dxa"/>
            <w:vAlign w:val="center"/>
          </w:tcPr>
          <w:p>
            <w:pPr>
              <w:jc w:val="center"/>
              <w:rPr>
                <w:rFonts w:ascii="宋体" w:hAnsi="宋体" w:eastAsia="宋体" w:cs="仿宋_GB2312"/>
                <w:sz w:val="24"/>
                <w:szCs w:val="24"/>
              </w:rPr>
            </w:pPr>
          </w:p>
        </w:tc>
        <w:tc>
          <w:tcPr>
            <w:tcW w:w="1363" w:type="dxa"/>
            <w:vAlign w:val="center"/>
          </w:tcPr>
          <w:p>
            <w:pPr>
              <w:jc w:val="center"/>
              <w:rPr>
                <w:rFonts w:ascii="宋体" w:hAnsi="宋体" w:eastAsia="宋体" w:cs="仿宋_GB2312"/>
                <w:sz w:val="24"/>
                <w:szCs w:val="24"/>
              </w:rPr>
            </w:pPr>
          </w:p>
        </w:tc>
        <w:tc>
          <w:tcPr>
            <w:tcW w:w="1602" w:type="dxa"/>
            <w:vAlign w:val="center"/>
          </w:tcPr>
          <w:p>
            <w:pPr>
              <w:jc w:val="center"/>
              <w:rPr>
                <w:rFonts w:ascii="宋体" w:hAnsi="宋体" w:eastAsia="宋体" w:cs="仿宋_GB2312"/>
                <w:sz w:val="24"/>
                <w:szCs w:val="24"/>
              </w:rPr>
            </w:pPr>
          </w:p>
        </w:tc>
      </w:tr>
    </w:tbl>
    <w:p>
      <w:pPr>
        <w:spacing w:line="360" w:lineRule="auto"/>
        <w:ind w:left="1099" w:hanging="1096" w:hangingChars="455"/>
        <w:jc w:val="left"/>
        <w:rPr>
          <w:rFonts w:ascii="宋体" w:hAnsi="宋体" w:eastAsia="宋体" w:cs="Times New Roman"/>
          <w:b/>
          <w:sz w:val="24"/>
          <w:szCs w:val="24"/>
        </w:rPr>
      </w:pPr>
      <w:r>
        <w:rPr>
          <w:rFonts w:hint="eastAsia" w:ascii="宋体" w:hAnsi="宋体" w:eastAsia="宋体" w:cs="Times New Roman"/>
          <w:sz w:val="24"/>
          <w:szCs w:val="24"/>
        </w:rPr>
        <w:t>说明</w:t>
      </w:r>
      <w:r>
        <w:rPr>
          <w:rFonts w:hint="eastAsia" w:ascii="宋体" w:hAnsi="宋体" w:eastAsia="宋体" w:cs="Corbel"/>
          <w:sz w:val="24"/>
          <w:szCs w:val="24"/>
        </w:rPr>
        <w:t>：1</w:t>
      </w:r>
      <w:r>
        <w:rPr>
          <w:rFonts w:hint="eastAsia" w:ascii="宋体" w:hAnsi="宋体" w:eastAsia="宋体" w:cs="Times New Roman"/>
          <w:sz w:val="24"/>
          <w:szCs w:val="24"/>
        </w:rPr>
        <w:t>．</w:t>
      </w:r>
      <w:r>
        <w:rPr>
          <w:rFonts w:hint="eastAsia" w:ascii="宋体" w:hAnsi="宋体" w:eastAsia="宋体" w:cs="Corbel"/>
          <w:sz w:val="24"/>
          <w:szCs w:val="24"/>
        </w:rPr>
        <w:t>投标人应按招标文件第五章“评标方法、程序及标准”中“符合性审查”的条款逐项说明是否满足要求，如有偏离,投标人应详细说明。未按照要求详细完整填写此表或仅注明“符合”、“满足”的，</w:t>
      </w:r>
      <w:r>
        <w:rPr>
          <w:rFonts w:hint="eastAsia" w:ascii="宋体" w:hAnsi="宋体" w:eastAsia="宋体" w:cs="Times New Roman"/>
          <w:sz w:val="24"/>
          <w:szCs w:val="24"/>
        </w:rPr>
        <w:t>导致的后果由投标人自行承担。</w:t>
      </w:r>
    </w:p>
    <w:p>
      <w:pPr>
        <w:spacing w:line="360" w:lineRule="auto"/>
        <w:ind w:left="1066" w:leftChars="339" w:hanging="351" w:hangingChars="146"/>
        <w:jc w:val="left"/>
        <w:rPr>
          <w:rFonts w:ascii="宋体" w:hAnsi="宋体" w:eastAsia="宋体" w:cs="Times New Roman"/>
          <w:b/>
          <w:sz w:val="24"/>
          <w:szCs w:val="24"/>
        </w:rPr>
      </w:pPr>
      <w:r>
        <w:rPr>
          <w:rFonts w:hint="eastAsia" w:ascii="宋体" w:hAnsi="宋体" w:eastAsia="宋体" w:cs="Corbel"/>
          <w:sz w:val="24"/>
          <w:szCs w:val="24"/>
        </w:rPr>
        <w:t>2．</w:t>
      </w:r>
      <w:r>
        <w:rPr>
          <w:rFonts w:hint="eastAsia" w:ascii="宋体" w:hAnsi="宋体" w:eastAsia="宋体" w:cs="Times New Roman"/>
          <w:sz w:val="24"/>
          <w:szCs w:val="24"/>
        </w:rPr>
        <w:t>投标人</w:t>
      </w:r>
      <w:r>
        <w:rPr>
          <w:rFonts w:hint="eastAsia" w:ascii="宋体" w:hAnsi="宋体" w:eastAsia="宋体" w:cs="Corbel"/>
          <w:sz w:val="24"/>
          <w:szCs w:val="24"/>
        </w:rPr>
        <w:t>提供的相关证明文件对应的页码填写到上表“投标文件对应的页码”中。如未提供页码或内容页码完全不一致的，</w:t>
      </w:r>
      <w:r>
        <w:rPr>
          <w:rFonts w:hint="eastAsia" w:ascii="宋体" w:hAnsi="宋体" w:eastAsia="宋体" w:cs="Times New Roman"/>
          <w:sz w:val="24"/>
          <w:szCs w:val="24"/>
        </w:rPr>
        <w:t>导致的后果由投标人自行承担。</w:t>
      </w:r>
    </w:p>
    <w:p>
      <w:pPr>
        <w:spacing w:before="100" w:beforeAutospacing="1" w:after="100" w:afterAutospacing="1" w:line="360" w:lineRule="auto"/>
        <w:ind w:firstLine="3826" w:firstLineChars="1588"/>
        <w:rPr>
          <w:rFonts w:ascii="宋体" w:hAnsi="宋体" w:eastAsia="宋体" w:cs="Times New Roman"/>
          <w:b/>
          <w:bCs/>
          <w:sz w:val="24"/>
          <w:szCs w:val="21"/>
          <w:lang w:val="zh-CN"/>
        </w:rPr>
      </w:pPr>
    </w:p>
    <w:p>
      <w:pPr>
        <w:spacing w:before="100" w:beforeAutospacing="1" w:after="100" w:afterAutospacing="1" w:line="360" w:lineRule="auto"/>
        <w:ind w:firstLine="3329"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29" w:firstLineChars="1382"/>
        <w:rPr>
          <w:rFonts w:hAnsi="宋体"/>
          <w:b/>
          <w:bCs/>
          <w:sz w:val="24"/>
          <w:u w:val="single"/>
        </w:rPr>
      </w:pPr>
      <w:r>
        <w:rPr>
          <w:rFonts w:hint="eastAsia" w:ascii="宋体" w:hAnsi="宋体" w:eastAsia="宋体" w:cs="Times New Roman"/>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29" w:firstLineChars="1382"/>
      </w:pPr>
      <w:r>
        <w:rPr>
          <w:rFonts w:hint="eastAsia" w:ascii="宋体" w:hAnsi="宋体" w:eastAsia="宋体" w:cs="Times New Roman"/>
          <w:b/>
          <w:bCs/>
          <w:sz w:val="24"/>
          <w:szCs w:val="21"/>
          <w:lang w:val="zh-CN"/>
        </w:rPr>
        <w:t>投标</w:t>
      </w:r>
      <w:r>
        <w:rPr>
          <w:rFonts w:hint="eastAsia" w:hAnsi="宋体"/>
          <w:b/>
          <w:bCs/>
          <w:sz w:val="24"/>
        </w:rPr>
        <w:t>时间：</w:t>
      </w:r>
    </w:p>
    <w:p>
      <w:r>
        <w:br w:type="page"/>
      </w:r>
    </w:p>
    <w:p>
      <w:pPr>
        <w:pStyle w:val="5"/>
        <w:numPr>
          <w:ilvl w:val="0"/>
          <w:numId w:val="62"/>
        </w:numPr>
        <w:spacing w:before="100" w:beforeAutospacing="1" w:afterLines="50" w:line="360" w:lineRule="auto"/>
        <w:ind w:left="1610" w:hanging="1610"/>
        <w:rPr>
          <w:rFonts w:ascii="宋体" w:hAnsi="宋体" w:eastAsia="宋体"/>
        </w:rPr>
      </w:pPr>
      <w:bookmarkStart w:id="205" w:name="_Toc494665966"/>
      <w:bookmarkStart w:id="206" w:name="_Toc494745333"/>
      <w:bookmarkStart w:id="207" w:name="_Toc494702286"/>
      <w:bookmarkStart w:id="208" w:name="_Toc494721116"/>
      <w:bookmarkStart w:id="209" w:name="_Toc494665016"/>
      <w:bookmarkStart w:id="210" w:name="_Toc494665569"/>
      <w:bookmarkStart w:id="211" w:name="_Toc31212"/>
      <w:r>
        <w:rPr>
          <w:rFonts w:hint="eastAsia" w:ascii="宋体" w:hAnsi="宋体" w:eastAsia="宋体"/>
        </w:rPr>
        <w:t>商务要求响应、偏离说明表</w:t>
      </w:r>
      <w:bookmarkEnd w:id="205"/>
      <w:bookmarkEnd w:id="206"/>
      <w:bookmarkEnd w:id="207"/>
      <w:bookmarkEnd w:id="208"/>
      <w:bookmarkEnd w:id="209"/>
      <w:bookmarkEnd w:id="210"/>
      <w:bookmarkEnd w:id="211"/>
    </w:p>
    <w:p>
      <w:pPr>
        <w:spacing w:line="360" w:lineRule="auto"/>
        <w:jc w:val="left"/>
        <w:rPr>
          <w:rFonts w:hAnsi="宋体"/>
          <w:b/>
          <w:sz w:val="24"/>
        </w:rPr>
      </w:pPr>
      <w:r>
        <w:rPr>
          <w:rFonts w:hint="eastAsia" w:hAnsi="宋体"/>
          <w:b/>
          <w:sz w:val="24"/>
        </w:rPr>
        <w:t>投标人：</w:t>
      </w:r>
    </w:p>
    <w:p>
      <w:pPr>
        <w:spacing w:line="360" w:lineRule="auto"/>
        <w:jc w:val="left"/>
        <w:rPr>
          <w:rFonts w:hAnsi="宋体"/>
          <w:b/>
          <w:sz w:val="24"/>
        </w:rPr>
      </w:pPr>
      <w:r>
        <w:rPr>
          <w:rFonts w:hint="eastAsia" w:ascii="宋体" w:hAnsi="宋体" w:eastAsia="宋体" w:cs="Times New Roman"/>
          <w:b/>
          <w:sz w:val="24"/>
          <w:szCs w:val="21"/>
          <w:lang w:val="zh-CN"/>
        </w:rPr>
        <w:t>项目编号：</w:t>
      </w:r>
      <w:r>
        <w:rPr>
          <w:rFonts w:hint="eastAsia" w:ascii="宋体" w:hAnsi="宋体" w:eastAsia="宋体" w:cs="Times New Roman"/>
          <w:b/>
          <w:bCs/>
          <w:sz w:val="24"/>
          <w:szCs w:val="21"/>
          <w:lang w:val="zh-CN"/>
        </w:rPr>
        <w:t xml:space="preserve">                所投包号：</w:t>
      </w:r>
    </w:p>
    <w:tbl>
      <w:tblPr>
        <w:tblStyle w:val="21"/>
        <w:tblW w:w="95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2767"/>
        <w:gridCol w:w="2767"/>
        <w:gridCol w:w="1619"/>
        <w:gridCol w:w="1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742"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序号</w:t>
            </w:r>
          </w:p>
        </w:tc>
        <w:tc>
          <w:tcPr>
            <w:tcW w:w="2767"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招标文件商务要求条款</w:t>
            </w:r>
          </w:p>
        </w:tc>
        <w:tc>
          <w:tcPr>
            <w:tcW w:w="2767"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投标响应内容对应简述</w:t>
            </w:r>
          </w:p>
        </w:tc>
        <w:tc>
          <w:tcPr>
            <w:tcW w:w="1619"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偏离说明</w:t>
            </w:r>
          </w:p>
        </w:tc>
        <w:tc>
          <w:tcPr>
            <w:tcW w:w="1619" w:type="dxa"/>
            <w:shd w:val="clear" w:color="auto" w:fill="F1F1F1" w:themeFill="background1" w:themeFillShade="F2"/>
          </w:tcPr>
          <w:p>
            <w:pPr>
              <w:jc w:val="center"/>
              <w:rPr>
                <w:rFonts w:ascii="宋体" w:hAnsi="宋体" w:eastAsia="宋体" w:cs="仿宋_GB2312"/>
                <w:sz w:val="24"/>
                <w:szCs w:val="24"/>
              </w:rPr>
            </w:pPr>
            <w:r>
              <w:rPr>
                <w:rFonts w:hint="eastAsia" w:ascii="宋体" w:hAnsi="宋体" w:eastAsia="宋体" w:cs="仿宋_GB2312"/>
                <w:sz w:val="24"/>
                <w:szCs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1</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2</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3</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4</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5</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6</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bl>
    <w:p>
      <w:pPr>
        <w:spacing w:line="360" w:lineRule="auto"/>
        <w:ind w:left="1099" w:hanging="1096" w:hangingChars="455"/>
        <w:jc w:val="left"/>
        <w:rPr>
          <w:rFonts w:ascii="宋体" w:hAnsi="宋体" w:eastAsia="宋体" w:cs="Times New Roman"/>
          <w:sz w:val="24"/>
          <w:szCs w:val="24"/>
        </w:rPr>
      </w:pPr>
      <w:r>
        <w:rPr>
          <w:rFonts w:hint="eastAsia" w:ascii="宋体" w:hAnsi="宋体" w:eastAsia="宋体" w:cs="Times New Roman"/>
          <w:sz w:val="24"/>
          <w:szCs w:val="24"/>
        </w:rPr>
        <w:t>说明</w:t>
      </w:r>
      <w:r>
        <w:rPr>
          <w:rFonts w:hint="eastAsia" w:ascii="宋体" w:hAnsi="宋体" w:eastAsia="宋体" w:cs="Corbel"/>
          <w:sz w:val="24"/>
          <w:szCs w:val="24"/>
        </w:rPr>
        <w:t>：1．投标人应按招标文件第三章“项目技术、服务及商务要求”中“商务要求”条款逐项说明是否满足要求，如有偏离,投标人应详细说明。未按照要求填写此表或仅注明“符合”、“满足”的，</w:t>
      </w:r>
      <w:r>
        <w:rPr>
          <w:rFonts w:hint="eastAsia" w:ascii="宋体" w:hAnsi="宋体" w:eastAsia="宋体" w:cs="Times New Roman"/>
          <w:sz w:val="24"/>
          <w:szCs w:val="24"/>
        </w:rPr>
        <w:t>导致的后果由投标人自行承担。</w:t>
      </w:r>
    </w:p>
    <w:p>
      <w:pPr>
        <w:spacing w:line="360" w:lineRule="auto"/>
        <w:ind w:left="1066" w:leftChars="339" w:hanging="351" w:hangingChars="146"/>
        <w:jc w:val="left"/>
        <w:rPr>
          <w:rFonts w:ascii="宋体" w:hAnsi="宋体" w:eastAsia="宋体" w:cs="Times New Roman"/>
          <w:sz w:val="24"/>
          <w:szCs w:val="24"/>
        </w:rPr>
      </w:pPr>
      <w:r>
        <w:rPr>
          <w:rFonts w:hint="eastAsia" w:ascii="宋体" w:hAnsi="宋体" w:eastAsia="宋体" w:cs="Corbel"/>
          <w:sz w:val="24"/>
          <w:szCs w:val="24"/>
        </w:rPr>
        <w:t>2．投标人</w:t>
      </w:r>
      <w:r>
        <w:rPr>
          <w:rFonts w:hint="eastAsia" w:ascii="宋体" w:hAnsi="宋体" w:eastAsia="宋体" w:cs="Times New Roman"/>
          <w:sz w:val="24"/>
          <w:szCs w:val="24"/>
        </w:rPr>
        <w:t>提供</w:t>
      </w:r>
      <w:r>
        <w:rPr>
          <w:rFonts w:hint="eastAsia" w:ascii="宋体" w:hAnsi="宋体" w:eastAsia="宋体" w:cs="Corbel"/>
          <w:sz w:val="24"/>
          <w:szCs w:val="24"/>
        </w:rPr>
        <w:t>的相关证明文件对应的页码填写到上表“投标文件对应的页码”中。如未提供页码或内容页码完全不一致的，</w:t>
      </w:r>
      <w:r>
        <w:rPr>
          <w:rFonts w:hint="eastAsia" w:ascii="宋体" w:hAnsi="宋体" w:eastAsia="宋体" w:cs="Times New Roman"/>
          <w:sz w:val="24"/>
          <w:szCs w:val="24"/>
        </w:rPr>
        <w:t>导致的后果由投标人自行承担。</w:t>
      </w:r>
    </w:p>
    <w:p>
      <w:pPr>
        <w:adjustRightInd w:val="0"/>
        <w:snapToGrid w:val="0"/>
        <w:spacing w:line="360" w:lineRule="auto"/>
        <w:ind w:left="785" w:leftChars="258" w:hanging="241" w:hangingChars="100"/>
        <w:rPr>
          <w:rFonts w:ascii="宋体" w:hAnsi="宋体" w:eastAsia="宋体" w:cs="Corbel"/>
          <w:sz w:val="24"/>
          <w:szCs w:val="24"/>
        </w:rPr>
      </w:pPr>
    </w:p>
    <w:p>
      <w:pPr>
        <w:adjustRightInd w:val="0"/>
        <w:snapToGrid w:val="0"/>
        <w:spacing w:line="360" w:lineRule="auto"/>
        <w:ind w:left="785" w:leftChars="258" w:hanging="241" w:hangingChars="100"/>
        <w:rPr>
          <w:rFonts w:ascii="宋体" w:hAnsi="宋体" w:eastAsia="宋体" w:cs="Corbel"/>
          <w:sz w:val="24"/>
          <w:szCs w:val="24"/>
        </w:rPr>
      </w:pPr>
    </w:p>
    <w:p>
      <w:pPr>
        <w:spacing w:before="100" w:beforeAutospacing="1" w:after="100" w:afterAutospacing="1" w:line="360" w:lineRule="auto"/>
        <w:ind w:firstLine="3329"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29" w:firstLineChars="1382"/>
        <w:rPr>
          <w:rFonts w:hAnsi="宋体"/>
          <w:b/>
          <w:bCs/>
          <w:sz w:val="24"/>
          <w:u w:val="single"/>
        </w:rPr>
      </w:pPr>
      <w:r>
        <w:rPr>
          <w:rFonts w:hint="eastAsia" w:ascii="宋体" w:hAnsi="宋体" w:eastAsia="宋体" w:cs="Times New Roman"/>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29" w:firstLineChars="1382"/>
      </w:pPr>
      <w:r>
        <w:rPr>
          <w:rFonts w:hint="eastAsia" w:ascii="宋体" w:hAnsi="宋体" w:eastAsia="宋体" w:cs="Times New Roman"/>
          <w:b/>
          <w:bCs/>
          <w:sz w:val="24"/>
          <w:szCs w:val="21"/>
          <w:lang w:val="zh-CN"/>
        </w:rPr>
        <w:t>投标</w:t>
      </w:r>
      <w:r>
        <w:rPr>
          <w:rFonts w:hint="eastAsia" w:hAnsi="宋体"/>
          <w:b/>
          <w:bCs/>
          <w:sz w:val="24"/>
        </w:rPr>
        <w:t>时间：</w:t>
      </w:r>
    </w:p>
    <w:p>
      <w:r>
        <w:br w:type="page"/>
      </w:r>
    </w:p>
    <w:p>
      <w:pPr>
        <w:pStyle w:val="5"/>
        <w:numPr>
          <w:ilvl w:val="0"/>
          <w:numId w:val="62"/>
        </w:numPr>
        <w:spacing w:before="100" w:beforeAutospacing="1" w:afterLines="50" w:line="360" w:lineRule="auto"/>
        <w:ind w:left="1610" w:hanging="1610"/>
        <w:rPr>
          <w:rFonts w:ascii="宋体" w:hAnsi="宋体" w:eastAsia="宋体"/>
        </w:rPr>
      </w:pPr>
      <w:bookmarkStart w:id="212" w:name="_Toc494665570"/>
      <w:bookmarkStart w:id="213" w:name="_Toc494721117"/>
      <w:bookmarkStart w:id="214" w:name="_Toc494745334"/>
      <w:bookmarkStart w:id="215" w:name="_Toc494702287"/>
      <w:bookmarkStart w:id="216" w:name="_Toc494665017"/>
      <w:bookmarkStart w:id="217" w:name="_Toc494665967"/>
      <w:bookmarkStart w:id="218" w:name="_Toc13259"/>
      <w:r>
        <w:rPr>
          <w:rFonts w:hint="eastAsia" w:ascii="宋体" w:hAnsi="宋体" w:eastAsia="宋体"/>
        </w:rPr>
        <w:t>商务要求“★”号条款响应、偏离说明表</w:t>
      </w:r>
      <w:bookmarkEnd w:id="212"/>
      <w:bookmarkEnd w:id="213"/>
      <w:bookmarkEnd w:id="214"/>
      <w:bookmarkEnd w:id="215"/>
      <w:bookmarkEnd w:id="216"/>
      <w:bookmarkEnd w:id="217"/>
      <w:bookmarkEnd w:id="218"/>
    </w:p>
    <w:p>
      <w:pPr>
        <w:spacing w:line="360" w:lineRule="auto"/>
        <w:jc w:val="left"/>
        <w:rPr>
          <w:rFonts w:hAnsi="宋体"/>
          <w:b/>
          <w:sz w:val="24"/>
        </w:rPr>
      </w:pPr>
      <w:r>
        <w:rPr>
          <w:rFonts w:hint="eastAsia" w:hAnsi="宋体"/>
          <w:b/>
          <w:sz w:val="24"/>
        </w:rPr>
        <w:t>投标人：</w:t>
      </w:r>
    </w:p>
    <w:p>
      <w:pPr>
        <w:spacing w:line="360" w:lineRule="auto"/>
        <w:jc w:val="left"/>
        <w:rPr>
          <w:rFonts w:hAnsi="宋体"/>
          <w:b/>
          <w:sz w:val="24"/>
        </w:rPr>
      </w:pPr>
      <w:r>
        <w:rPr>
          <w:rFonts w:hint="eastAsia" w:ascii="宋体" w:hAnsi="宋体" w:eastAsia="宋体" w:cs="Times New Roman"/>
          <w:b/>
          <w:sz w:val="24"/>
          <w:szCs w:val="21"/>
          <w:lang w:val="zh-CN"/>
        </w:rPr>
        <w:t>项目编号：</w:t>
      </w:r>
      <w:r>
        <w:rPr>
          <w:rFonts w:hint="eastAsia" w:ascii="宋体" w:hAnsi="宋体" w:eastAsia="宋体" w:cs="Times New Roman"/>
          <w:b/>
          <w:bCs/>
          <w:sz w:val="24"/>
          <w:szCs w:val="21"/>
          <w:lang w:val="zh-CN"/>
        </w:rPr>
        <w:t xml:space="preserve">                所投包号：</w:t>
      </w:r>
    </w:p>
    <w:tbl>
      <w:tblPr>
        <w:tblStyle w:val="21"/>
        <w:tblW w:w="95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2767"/>
        <w:gridCol w:w="2767"/>
        <w:gridCol w:w="1619"/>
        <w:gridCol w:w="1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742"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序号</w:t>
            </w:r>
          </w:p>
        </w:tc>
        <w:tc>
          <w:tcPr>
            <w:tcW w:w="2767"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招标文件</w:t>
            </w:r>
            <w:r>
              <w:rPr>
                <w:rFonts w:hint="eastAsia" w:ascii="宋体" w:hAnsi="宋体" w:eastAsia="宋体" w:cs="Corbel"/>
                <w:sz w:val="24"/>
                <w:szCs w:val="24"/>
              </w:rPr>
              <w:t>商务要求“★”号条款</w:t>
            </w:r>
          </w:p>
        </w:tc>
        <w:tc>
          <w:tcPr>
            <w:tcW w:w="2767"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投标响应内容对应简述</w:t>
            </w:r>
          </w:p>
        </w:tc>
        <w:tc>
          <w:tcPr>
            <w:tcW w:w="1619"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偏离说明</w:t>
            </w:r>
          </w:p>
        </w:tc>
        <w:tc>
          <w:tcPr>
            <w:tcW w:w="1619" w:type="dxa"/>
            <w:shd w:val="clear" w:color="auto" w:fill="F1F1F1" w:themeFill="background1" w:themeFillShade="F2"/>
          </w:tcPr>
          <w:p>
            <w:pPr>
              <w:jc w:val="center"/>
              <w:rPr>
                <w:rFonts w:ascii="宋体" w:hAnsi="宋体" w:eastAsia="宋体" w:cs="仿宋_GB2312"/>
                <w:sz w:val="24"/>
                <w:szCs w:val="24"/>
              </w:rPr>
            </w:pPr>
            <w:r>
              <w:rPr>
                <w:rFonts w:hint="eastAsia" w:ascii="宋体" w:hAnsi="宋体" w:eastAsia="宋体" w:cs="仿宋_GB2312"/>
                <w:sz w:val="24"/>
                <w:szCs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1</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2</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3</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4</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5</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6</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bl>
    <w:p>
      <w:pPr>
        <w:spacing w:line="360" w:lineRule="auto"/>
        <w:ind w:left="1099" w:hanging="1096" w:hangingChars="455"/>
        <w:jc w:val="left"/>
        <w:rPr>
          <w:rFonts w:ascii="宋体" w:hAnsi="宋体" w:eastAsia="宋体" w:cs="Corbel"/>
          <w:sz w:val="24"/>
          <w:szCs w:val="24"/>
        </w:rPr>
      </w:pPr>
      <w:r>
        <w:rPr>
          <w:rFonts w:hint="eastAsia" w:ascii="宋体" w:hAnsi="宋体" w:eastAsia="宋体" w:cs="Corbel"/>
          <w:sz w:val="24"/>
          <w:szCs w:val="24"/>
        </w:rPr>
        <w:t>说明：1．投标人应按招标文件第三章“项目技术、服务及商务要求”中商务要求“★”号条款进行逐项说明是否满足要求，如有偏离,投标人应详细说明。未按照要求填写此表或仅注明“符合”、“满足”的，导致的后果由投标人自行承担。</w:t>
      </w:r>
    </w:p>
    <w:p>
      <w:pPr>
        <w:spacing w:line="360" w:lineRule="auto"/>
        <w:ind w:left="1066" w:leftChars="339" w:hanging="351" w:hangingChars="146"/>
        <w:jc w:val="left"/>
        <w:rPr>
          <w:rFonts w:ascii="宋体" w:hAnsi="宋体" w:eastAsia="宋体" w:cs="Corbel"/>
          <w:sz w:val="24"/>
          <w:szCs w:val="24"/>
        </w:rPr>
      </w:pPr>
      <w:r>
        <w:rPr>
          <w:rFonts w:hint="eastAsia" w:ascii="宋体" w:hAnsi="宋体" w:eastAsia="宋体" w:cs="Corbel"/>
          <w:sz w:val="24"/>
          <w:szCs w:val="24"/>
        </w:rPr>
        <w:t>2．投标人提供的相关证明文件对应的页码填写到上表“投标文件对应的页码”中。如未提供页码或内容页码完全不一致的，</w:t>
      </w:r>
      <w:r>
        <w:rPr>
          <w:rFonts w:hint="eastAsia" w:ascii="宋体" w:hAnsi="宋体" w:eastAsia="宋体" w:cs="Times New Roman"/>
          <w:sz w:val="24"/>
          <w:szCs w:val="24"/>
        </w:rPr>
        <w:t>导致的后果由投标人自行承担。</w:t>
      </w:r>
    </w:p>
    <w:p>
      <w:pPr>
        <w:spacing w:before="100" w:beforeAutospacing="1" w:after="100" w:afterAutospacing="1" w:line="360" w:lineRule="auto"/>
        <w:ind w:firstLine="3329"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29" w:firstLineChars="1382"/>
        <w:rPr>
          <w:rFonts w:hAnsi="宋体"/>
          <w:b/>
          <w:bCs/>
          <w:sz w:val="24"/>
          <w:u w:val="single"/>
        </w:rPr>
      </w:pPr>
      <w:r>
        <w:rPr>
          <w:rFonts w:hint="eastAsia" w:ascii="宋体" w:hAnsi="宋体" w:eastAsia="宋体" w:cs="Times New Roman"/>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29" w:firstLineChars="1382"/>
      </w:pPr>
      <w:r>
        <w:rPr>
          <w:rFonts w:hint="eastAsia" w:ascii="宋体" w:hAnsi="宋体" w:eastAsia="宋体" w:cs="Times New Roman"/>
          <w:b/>
          <w:bCs/>
          <w:sz w:val="24"/>
          <w:szCs w:val="21"/>
          <w:lang w:val="zh-CN"/>
        </w:rPr>
        <w:t>投标</w:t>
      </w:r>
      <w:r>
        <w:rPr>
          <w:rFonts w:hint="eastAsia" w:hAnsi="宋体"/>
          <w:b/>
          <w:bCs/>
          <w:sz w:val="24"/>
        </w:rPr>
        <w:t>时间：</w:t>
      </w:r>
    </w:p>
    <w:p>
      <w:r>
        <w:br w:type="page"/>
      </w:r>
    </w:p>
    <w:p>
      <w:pPr>
        <w:pStyle w:val="5"/>
        <w:numPr>
          <w:ilvl w:val="0"/>
          <w:numId w:val="62"/>
        </w:numPr>
        <w:spacing w:before="100" w:beforeAutospacing="1" w:afterLines="50" w:line="360" w:lineRule="auto"/>
        <w:ind w:left="1610" w:hanging="1610"/>
        <w:rPr>
          <w:rFonts w:ascii="宋体" w:hAnsi="宋体" w:eastAsia="宋体"/>
        </w:rPr>
      </w:pPr>
      <w:bookmarkStart w:id="219" w:name="_Toc494665571"/>
      <w:bookmarkStart w:id="220" w:name="_Toc494721118"/>
      <w:bookmarkStart w:id="221" w:name="_Toc494745335"/>
      <w:bookmarkStart w:id="222" w:name="_Toc494665018"/>
      <w:bookmarkStart w:id="223" w:name="_Toc494702288"/>
      <w:bookmarkStart w:id="224" w:name="_Toc494665968"/>
      <w:bookmarkStart w:id="225" w:name="_Toc16183"/>
      <w:r>
        <w:rPr>
          <w:rFonts w:hint="eastAsia" w:ascii="宋体" w:hAnsi="宋体" w:eastAsia="宋体"/>
        </w:rPr>
        <w:t>商务评议对照表</w:t>
      </w:r>
      <w:bookmarkEnd w:id="219"/>
      <w:bookmarkEnd w:id="220"/>
      <w:bookmarkEnd w:id="221"/>
      <w:bookmarkEnd w:id="222"/>
      <w:bookmarkEnd w:id="223"/>
      <w:bookmarkEnd w:id="224"/>
      <w:bookmarkEnd w:id="225"/>
    </w:p>
    <w:p>
      <w:pPr>
        <w:spacing w:line="360" w:lineRule="auto"/>
        <w:jc w:val="left"/>
        <w:rPr>
          <w:rFonts w:hAnsi="宋体"/>
          <w:b/>
          <w:sz w:val="24"/>
        </w:rPr>
      </w:pPr>
      <w:r>
        <w:rPr>
          <w:rFonts w:hint="eastAsia" w:hAnsi="宋体"/>
          <w:b/>
          <w:sz w:val="24"/>
        </w:rPr>
        <w:t>投标人：</w:t>
      </w:r>
    </w:p>
    <w:p>
      <w:pPr>
        <w:spacing w:line="360" w:lineRule="auto"/>
        <w:jc w:val="left"/>
        <w:rPr>
          <w:rFonts w:hAnsi="宋体"/>
          <w:b/>
          <w:sz w:val="24"/>
        </w:rPr>
      </w:pPr>
      <w:r>
        <w:rPr>
          <w:rFonts w:hint="eastAsia" w:ascii="宋体" w:hAnsi="宋体" w:eastAsia="宋体" w:cs="Times New Roman"/>
          <w:b/>
          <w:sz w:val="24"/>
          <w:szCs w:val="21"/>
          <w:lang w:val="zh-CN"/>
        </w:rPr>
        <w:t>项目编号：</w:t>
      </w:r>
      <w:r>
        <w:rPr>
          <w:rFonts w:hint="eastAsia" w:ascii="宋体" w:hAnsi="宋体" w:eastAsia="宋体" w:cs="Times New Roman"/>
          <w:b/>
          <w:bCs/>
          <w:sz w:val="24"/>
          <w:szCs w:val="21"/>
          <w:lang w:val="zh-CN"/>
        </w:rPr>
        <w:t xml:space="preserve">                所投包号：</w:t>
      </w:r>
    </w:p>
    <w:tbl>
      <w:tblPr>
        <w:tblStyle w:val="21"/>
        <w:tblW w:w="95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1"/>
        <w:gridCol w:w="2848"/>
        <w:gridCol w:w="2767"/>
        <w:gridCol w:w="1619"/>
        <w:gridCol w:w="1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661" w:type="dxa"/>
            <w:shd w:val="clear" w:color="auto" w:fill="F1F1F1" w:themeFill="background1" w:themeFillShade="F2"/>
            <w:vAlign w:val="center"/>
          </w:tcPr>
          <w:p>
            <w:pPr>
              <w:ind w:left="-37" w:leftChars="-18" w:right="-48" w:rightChars="-23"/>
              <w:jc w:val="center"/>
              <w:rPr>
                <w:rFonts w:ascii="宋体" w:hAnsi="宋体" w:eastAsia="宋体" w:cs="仿宋_GB2312"/>
                <w:sz w:val="24"/>
                <w:szCs w:val="24"/>
              </w:rPr>
            </w:pPr>
            <w:r>
              <w:rPr>
                <w:rFonts w:hint="eastAsia" w:ascii="宋体" w:hAnsi="宋体" w:eastAsia="宋体" w:cs="仿宋_GB2312"/>
                <w:sz w:val="24"/>
                <w:szCs w:val="24"/>
              </w:rPr>
              <w:t>序号</w:t>
            </w:r>
          </w:p>
        </w:tc>
        <w:tc>
          <w:tcPr>
            <w:tcW w:w="2848"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招标文件商务评分标准</w:t>
            </w:r>
          </w:p>
        </w:tc>
        <w:tc>
          <w:tcPr>
            <w:tcW w:w="2767"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投标响应内容对应简述</w:t>
            </w:r>
          </w:p>
        </w:tc>
        <w:tc>
          <w:tcPr>
            <w:tcW w:w="1619"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偏离说明</w:t>
            </w:r>
          </w:p>
        </w:tc>
        <w:tc>
          <w:tcPr>
            <w:tcW w:w="1619" w:type="dxa"/>
            <w:shd w:val="clear" w:color="auto" w:fill="F1F1F1" w:themeFill="background1" w:themeFillShade="F2"/>
          </w:tcPr>
          <w:p>
            <w:pPr>
              <w:jc w:val="center"/>
              <w:rPr>
                <w:rFonts w:ascii="宋体" w:hAnsi="宋体" w:eastAsia="宋体" w:cs="仿宋_GB2312"/>
                <w:sz w:val="24"/>
                <w:szCs w:val="24"/>
              </w:rPr>
            </w:pPr>
            <w:r>
              <w:rPr>
                <w:rFonts w:hint="eastAsia" w:ascii="宋体" w:hAnsi="宋体" w:eastAsia="宋体" w:cs="仿宋_GB2312"/>
                <w:sz w:val="24"/>
                <w:szCs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661" w:type="dxa"/>
            <w:vAlign w:val="center"/>
          </w:tcPr>
          <w:p>
            <w:pPr>
              <w:numPr>
                <w:ilvl w:val="0"/>
                <w:numId w:val="64"/>
              </w:numPr>
              <w:jc w:val="center"/>
              <w:rPr>
                <w:rFonts w:ascii="宋体" w:hAnsi="宋体" w:eastAsia="宋体" w:cs="仿宋_GB2312"/>
                <w:sz w:val="24"/>
                <w:szCs w:val="24"/>
              </w:rPr>
            </w:pPr>
          </w:p>
        </w:tc>
        <w:tc>
          <w:tcPr>
            <w:tcW w:w="2848"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661" w:type="dxa"/>
            <w:vAlign w:val="center"/>
          </w:tcPr>
          <w:p>
            <w:pPr>
              <w:numPr>
                <w:ilvl w:val="0"/>
                <w:numId w:val="64"/>
              </w:numPr>
              <w:jc w:val="center"/>
              <w:rPr>
                <w:rFonts w:ascii="宋体" w:hAnsi="宋体" w:eastAsia="宋体" w:cs="仿宋_GB2312"/>
                <w:sz w:val="24"/>
                <w:szCs w:val="24"/>
              </w:rPr>
            </w:pPr>
          </w:p>
        </w:tc>
        <w:tc>
          <w:tcPr>
            <w:tcW w:w="2848"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661" w:type="dxa"/>
            <w:vAlign w:val="center"/>
          </w:tcPr>
          <w:p>
            <w:pPr>
              <w:numPr>
                <w:ilvl w:val="0"/>
                <w:numId w:val="64"/>
              </w:numPr>
              <w:jc w:val="center"/>
              <w:rPr>
                <w:rFonts w:ascii="宋体" w:hAnsi="宋体" w:eastAsia="宋体" w:cs="仿宋_GB2312"/>
                <w:sz w:val="24"/>
                <w:szCs w:val="24"/>
              </w:rPr>
            </w:pPr>
          </w:p>
        </w:tc>
        <w:tc>
          <w:tcPr>
            <w:tcW w:w="2848"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661" w:type="dxa"/>
            <w:vAlign w:val="center"/>
          </w:tcPr>
          <w:p>
            <w:pPr>
              <w:numPr>
                <w:ilvl w:val="0"/>
                <w:numId w:val="64"/>
              </w:numPr>
              <w:jc w:val="center"/>
              <w:rPr>
                <w:rFonts w:ascii="宋体" w:hAnsi="宋体" w:eastAsia="宋体" w:cs="仿宋_GB2312"/>
                <w:sz w:val="24"/>
                <w:szCs w:val="24"/>
              </w:rPr>
            </w:pPr>
          </w:p>
        </w:tc>
        <w:tc>
          <w:tcPr>
            <w:tcW w:w="2848"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661" w:type="dxa"/>
            <w:vAlign w:val="center"/>
          </w:tcPr>
          <w:p>
            <w:pPr>
              <w:numPr>
                <w:ilvl w:val="0"/>
                <w:numId w:val="64"/>
              </w:numPr>
              <w:jc w:val="center"/>
              <w:rPr>
                <w:rFonts w:ascii="宋体" w:hAnsi="宋体" w:eastAsia="宋体" w:cs="仿宋_GB2312"/>
                <w:sz w:val="24"/>
                <w:szCs w:val="24"/>
              </w:rPr>
            </w:pPr>
          </w:p>
        </w:tc>
        <w:tc>
          <w:tcPr>
            <w:tcW w:w="2848"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661" w:type="dxa"/>
            <w:vAlign w:val="center"/>
          </w:tcPr>
          <w:p>
            <w:pPr>
              <w:numPr>
                <w:ilvl w:val="0"/>
                <w:numId w:val="64"/>
              </w:numPr>
              <w:jc w:val="center"/>
              <w:rPr>
                <w:rFonts w:ascii="宋体" w:hAnsi="宋体" w:eastAsia="宋体" w:cs="仿宋_GB2312"/>
                <w:sz w:val="24"/>
                <w:szCs w:val="24"/>
              </w:rPr>
            </w:pPr>
          </w:p>
        </w:tc>
        <w:tc>
          <w:tcPr>
            <w:tcW w:w="2848"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661"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w:t>
            </w:r>
          </w:p>
        </w:tc>
        <w:tc>
          <w:tcPr>
            <w:tcW w:w="2848"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bl>
    <w:p>
      <w:pPr>
        <w:spacing w:line="360" w:lineRule="auto"/>
        <w:ind w:left="1099" w:hanging="1096" w:hangingChars="455"/>
        <w:jc w:val="left"/>
        <w:rPr>
          <w:rFonts w:ascii="宋体" w:hAnsi="宋体" w:eastAsia="宋体" w:cs="Corbel"/>
          <w:sz w:val="24"/>
          <w:szCs w:val="24"/>
        </w:rPr>
      </w:pPr>
      <w:r>
        <w:rPr>
          <w:rFonts w:hint="eastAsia" w:ascii="宋体" w:hAnsi="宋体" w:eastAsia="宋体" w:cs="Corbel"/>
          <w:sz w:val="24"/>
          <w:szCs w:val="24"/>
        </w:rPr>
        <w:t>说明：1．投标人应按招标文件第五章“评标方法、程序及标准”中“商务评议”的评分标准逐项说明是否满足要求，如有偏离,投标人应详细说明。未按照要求填写此表或仅注明“符合”、“满足”的，</w:t>
      </w:r>
      <w:r>
        <w:rPr>
          <w:rFonts w:hint="eastAsia" w:ascii="宋体" w:hAnsi="宋体" w:eastAsia="宋体" w:cs="Times New Roman"/>
          <w:sz w:val="24"/>
          <w:szCs w:val="24"/>
        </w:rPr>
        <w:t>导致的后果由投标人自行承担。</w:t>
      </w:r>
    </w:p>
    <w:p>
      <w:pPr>
        <w:spacing w:line="360" w:lineRule="auto"/>
        <w:ind w:left="1066" w:leftChars="339" w:hanging="351" w:hangingChars="146"/>
        <w:jc w:val="left"/>
        <w:rPr>
          <w:rFonts w:ascii="宋体" w:hAnsi="宋体" w:eastAsia="宋体" w:cs="Corbel"/>
          <w:sz w:val="24"/>
          <w:szCs w:val="24"/>
        </w:rPr>
      </w:pPr>
      <w:r>
        <w:rPr>
          <w:rFonts w:hint="eastAsia" w:ascii="宋体" w:hAnsi="宋体" w:eastAsia="宋体" w:cs="Corbel"/>
          <w:sz w:val="24"/>
          <w:szCs w:val="24"/>
        </w:rPr>
        <w:t>2．投标人提供的相关证明文件对应的页码填写到上表“投标文件对应的页码”中。如未提供页码或内容页码完全不一致的，</w:t>
      </w:r>
      <w:r>
        <w:rPr>
          <w:rFonts w:hint="eastAsia" w:ascii="宋体" w:hAnsi="宋体" w:eastAsia="宋体" w:cs="Times New Roman"/>
          <w:sz w:val="24"/>
          <w:szCs w:val="24"/>
        </w:rPr>
        <w:t>导致的后果由投标人自行承担。</w:t>
      </w:r>
    </w:p>
    <w:p>
      <w:pPr>
        <w:spacing w:before="100" w:beforeAutospacing="1" w:after="100" w:afterAutospacing="1" w:line="360" w:lineRule="auto"/>
        <w:ind w:firstLine="3329"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29" w:firstLineChars="1382"/>
        <w:rPr>
          <w:rFonts w:hAnsi="宋体"/>
          <w:b/>
          <w:bCs/>
          <w:sz w:val="24"/>
          <w:u w:val="single"/>
        </w:rPr>
      </w:pPr>
      <w:r>
        <w:rPr>
          <w:rFonts w:hint="eastAsia" w:ascii="宋体" w:hAnsi="宋体" w:eastAsia="宋体" w:cs="Times New Roman"/>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29" w:firstLineChars="1382"/>
      </w:pPr>
      <w:r>
        <w:rPr>
          <w:rFonts w:hint="eastAsia" w:ascii="宋体" w:hAnsi="宋体" w:eastAsia="宋体" w:cs="Times New Roman"/>
          <w:b/>
          <w:bCs/>
          <w:sz w:val="24"/>
          <w:szCs w:val="21"/>
          <w:lang w:val="zh-CN"/>
        </w:rPr>
        <w:t>投标</w:t>
      </w:r>
      <w:r>
        <w:rPr>
          <w:rFonts w:hint="eastAsia" w:hAnsi="宋体"/>
          <w:b/>
          <w:bCs/>
          <w:sz w:val="24"/>
        </w:rPr>
        <w:t>时间：</w:t>
      </w:r>
    </w:p>
    <w:p>
      <w:r>
        <w:br w:type="page"/>
      </w:r>
    </w:p>
    <w:p>
      <w:pPr>
        <w:pStyle w:val="5"/>
        <w:numPr>
          <w:ilvl w:val="0"/>
          <w:numId w:val="62"/>
        </w:numPr>
        <w:spacing w:before="100" w:beforeAutospacing="1" w:afterLines="50" w:line="360" w:lineRule="auto"/>
        <w:ind w:left="1610" w:hanging="1610"/>
        <w:rPr>
          <w:rFonts w:ascii="宋体" w:hAnsi="宋体" w:eastAsia="宋体"/>
        </w:rPr>
      </w:pPr>
      <w:bookmarkStart w:id="226" w:name="_Toc494665572"/>
      <w:bookmarkStart w:id="227" w:name="_Toc494745336"/>
      <w:bookmarkStart w:id="228" w:name="_Toc494665019"/>
      <w:bookmarkStart w:id="229" w:name="_Toc494721119"/>
      <w:bookmarkStart w:id="230" w:name="_Toc494702289"/>
      <w:bookmarkStart w:id="231" w:name="_Toc494665969"/>
      <w:bookmarkStart w:id="232" w:name="_Toc23304"/>
      <w:r>
        <w:rPr>
          <w:rFonts w:hint="eastAsia" w:ascii="宋体" w:hAnsi="宋体" w:eastAsia="宋体"/>
        </w:rPr>
        <w:t>技术、服务要求响应、偏离说明表</w:t>
      </w:r>
      <w:bookmarkEnd w:id="226"/>
      <w:bookmarkEnd w:id="227"/>
      <w:bookmarkEnd w:id="228"/>
      <w:bookmarkEnd w:id="229"/>
      <w:bookmarkEnd w:id="230"/>
      <w:bookmarkEnd w:id="231"/>
      <w:bookmarkEnd w:id="232"/>
    </w:p>
    <w:p>
      <w:pPr>
        <w:spacing w:line="360" w:lineRule="auto"/>
        <w:jc w:val="left"/>
        <w:rPr>
          <w:rFonts w:hAnsi="宋体"/>
          <w:b/>
          <w:sz w:val="24"/>
        </w:rPr>
      </w:pPr>
      <w:r>
        <w:rPr>
          <w:rFonts w:hint="eastAsia" w:hAnsi="宋体"/>
          <w:b/>
          <w:sz w:val="24"/>
        </w:rPr>
        <w:t>投标人：</w:t>
      </w:r>
    </w:p>
    <w:p>
      <w:pPr>
        <w:spacing w:line="360" w:lineRule="auto"/>
        <w:jc w:val="left"/>
        <w:rPr>
          <w:rFonts w:hAnsi="宋体"/>
          <w:b/>
          <w:sz w:val="24"/>
        </w:rPr>
      </w:pPr>
      <w:r>
        <w:rPr>
          <w:rFonts w:hint="eastAsia" w:ascii="宋体" w:hAnsi="宋体" w:eastAsia="宋体" w:cs="Times New Roman"/>
          <w:b/>
          <w:sz w:val="24"/>
          <w:szCs w:val="21"/>
          <w:lang w:val="zh-CN"/>
        </w:rPr>
        <w:t>项目编号：</w:t>
      </w:r>
      <w:r>
        <w:rPr>
          <w:rFonts w:hint="eastAsia" w:ascii="宋体" w:hAnsi="宋体" w:eastAsia="宋体" w:cs="Times New Roman"/>
          <w:b/>
          <w:bCs/>
          <w:sz w:val="24"/>
          <w:szCs w:val="21"/>
          <w:lang w:val="zh-CN"/>
        </w:rPr>
        <w:t xml:space="preserve">                所投包号：</w:t>
      </w:r>
    </w:p>
    <w:tbl>
      <w:tblPr>
        <w:tblStyle w:val="21"/>
        <w:tblW w:w="95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3031"/>
        <w:gridCol w:w="2755"/>
        <w:gridCol w:w="1364"/>
        <w:gridCol w:w="1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745"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序号</w:t>
            </w:r>
          </w:p>
        </w:tc>
        <w:tc>
          <w:tcPr>
            <w:tcW w:w="3031"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招标文件技术、服务要求条款</w:t>
            </w:r>
          </w:p>
        </w:tc>
        <w:tc>
          <w:tcPr>
            <w:tcW w:w="2755"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投标响应内容对应简述</w:t>
            </w:r>
          </w:p>
        </w:tc>
        <w:tc>
          <w:tcPr>
            <w:tcW w:w="1364"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偏离说明</w:t>
            </w:r>
          </w:p>
        </w:tc>
        <w:tc>
          <w:tcPr>
            <w:tcW w:w="1619" w:type="dxa"/>
            <w:shd w:val="clear" w:color="auto" w:fill="F1F1F1" w:themeFill="background1" w:themeFillShade="F2"/>
          </w:tcPr>
          <w:p>
            <w:pPr>
              <w:jc w:val="center"/>
              <w:rPr>
                <w:rFonts w:ascii="宋体" w:hAnsi="宋体" w:eastAsia="宋体" w:cs="仿宋_GB2312"/>
                <w:sz w:val="24"/>
                <w:szCs w:val="24"/>
              </w:rPr>
            </w:pPr>
            <w:r>
              <w:rPr>
                <w:rFonts w:hint="eastAsia" w:ascii="宋体" w:hAnsi="宋体" w:eastAsia="宋体" w:cs="仿宋_GB2312"/>
                <w:sz w:val="24"/>
                <w:szCs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5"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1</w:t>
            </w:r>
          </w:p>
        </w:tc>
        <w:tc>
          <w:tcPr>
            <w:tcW w:w="3031" w:type="dxa"/>
            <w:vAlign w:val="center"/>
          </w:tcPr>
          <w:p>
            <w:pPr>
              <w:jc w:val="center"/>
              <w:rPr>
                <w:rFonts w:ascii="宋体" w:hAnsi="宋体" w:eastAsia="宋体" w:cs="仿宋_GB2312"/>
                <w:sz w:val="24"/>
                <w:szCs w:val="24"/>
              </w:rPr>
            </w:pPr>
          </w:p>
        </w:tc>
        <w:tc>
          <w:tcPr>
            <w:tcW w:w="2755" w:type="dxa"/>
            <w:vAlign w:val="center"/>
          </w:tcPr>
          <w:p>
            <w:pPr>
              <w:jc w:val="center"/>
              <w:rPr>
                <w:rFonts w:ascii="宋体" w:hAnsi="宋体" w:eastAsia="宋体" w:cs="仿宋_GB2312"/>
                <w:sz w:val="24"/>
                <w:szCs w:val="24"/>
              </w:rPr>
            </w:pPr>
          </w:p>
        </w:tc>
        <w:tc>
          <w:tcPr>
            <w:tcW w:w="1364"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5"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2</w:t>
            </w:r>
          </w:p>
        </w:tc>
        <w:tc>
          <w:tcPr>
            <w:tcW w:w="3031" w:type="dxa"/>
            <w:vAlign w:val="center"/>
          </w:tcPr>
          <w:p>
            <w:pPr>
              <w:jc w:val="center"/>
              <w:rPr>
                <w:rFonts w:ascii="宋体" w:hAnsi="宋体" w:eastAsia="宋体" w:cs="仿宋_GB2312"/>
                <w:sz w:val="24"/>
                <w:szCs w:val="24"/>
              </w:rPr>
            </w:pPr>
          </w:p>
        </w:tc>
        <w:tc>
          <w:tcPr>
            <w:tcW w:w="2755" w:type="dxa"/>
            <w:vAlign w:val="center"/>
          </w:tcPr>
          <w:p>
            <w:pPr>
              <w:jc w:val="center"/>
              <w:rPr>
                <w:rFonts w:ascii="宋体" w:hAnsi="宋体" w:eastAsia="宋体" w:cs="仿宋_GB2312"/>
                <w:sz w:val="24"/>
                <w:szCs w:val="24"/>
              </w:rPr>
            </w:pPr>
          </w:p>
        </w:tc>
        <w:tc>
          <w:tcPr>
            <w:tcW w:w="1364"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5"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3</w:t>
            </w:r>
          </w:p>
        </w:tc>
        <w:tc>
          <w:tcPr>
            <w:tcW w:w="3031" w:type="dxa"/>
            <w:vAlign w:val="center"/>
          </w:tcPr>
          <w:p>
            <w:pPr>
              <w:jc w:val="center"/>
              <w:rPr>
                <w:rFonts w:ascii="宋体" w:hAnsi="宋体" w:eastAsia="宋体" w:cs="仿宋_GB2312"/>
                <w:sz w:val="24"/>
                <w:szCs w:val="24"/>
              </w:rPr>
            </w:pPr>
          </w:p>
        </w:tc>
        <w:tc>
          <w:tcPr>
            <w:tcW w:w="2755" w:type="dxa"/>
            <w:vAlign w:val="center"/>
          </w:tcPr>
          <w:p>
            <w:pPr>
              <w:jc w:val="center"/>
              <w:rPr>
                <w:rFonts w:ascii="宋体" w:hAnsi="宋体" w:eastAsia="宋体" w:cs="仿宋_GB2312"/>
                <w:sz w:val="24"/>
                <w:szCs w:val="24"/>
              </w:rPr>
            </w:pPr>
          </w:p>
        </w:tc>
        <w:tc>
          <w:tcPr>
            <w:tcW w:w="1364"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5"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4</w:t>
            </w:r>
          </w:p>
        </w:tc>
        <w:tc>
          <w:tcPr>
            <w:tcW w:w="3031" w:type="dxa"/>
            <w:vAlign w:val="center"/>
          </w:tcPr>
          <w:p>
            <w:pPr>
              <w:jc w:val="center"/>
              <w:rPr>
                <w:rFonts w:ascii="宋体" w:hAnsi="宋体" w:eastAsia="宋体" w:cs="仿宋_GB2312"/>
                <w:sz w:val="24"/>
                <w:szCs w:val="24"/>
              </w:rPr>
            </w:pPr>
          </w:p>
        </w:tc>
        <w:tc>
          <w:tcPr>
            <w:tcW w:w="2755" w:type="dxa"/>
            <w:vAlign w:val="center"/>
          </w:tcPr>
          <w:p>
            <w:pPr>
              <w:jc w:val="center"/>
              <w:rPr>
                <w:rFonts w:ascii="宋体" w:hAnsi="宋体" w:eastAsia="宋体" w:cs="仿宋_GB2312"/>
                <w:sz w:val="24"/>
                <w:szCs w:val="24"/>
              </w:rPr>
            </w:pPr>
          </w:p>
        </w:tc>
        <w:tc>
          <w:tcPr>
            <w:tcW w:w="1364"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5"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5</w:t>
            </w:r>
          </w:p>
        </w:tc>
        <w:tc>
          <w:tcPr>
            <w:tcW w:w="3031" w:type="dxa"/>
            <w:vAlign w:val="center"/>
          </w:tcPr>
          <w:p>
            <w:pPr>
              <w:jc w:val="center"/>
              <w:rPr>
                <w:rFonts w:ascii="宋体" w:hAnsi="宋体" w:eastAsia="宋体" w:cs="仿宋_GB2312"/>
                <w:sz w:val="24"/>
                <w:szCs w:val="24"/>
              </w:rPr>
            </w:pPr>
          </w:p>
        </w:tc>
        <w:tc>
          <w:tcPr>
            <w:tcW w:w="2755" w:type="dxa"/>
            <w:vAlign w:val="center"/>
          </w:tcPr>
          <w:p>
            <w:pPr>
              <w:jc w:val="center"/>
              <w:rPr>
                <w:rFonts w:ascii="宋体" w:hAnsi="宋体" w:eastAsia="宋体" w:cs="仿宋_GB2312"/>
                <w:sz w:val="24"/>
                <w:szCs w:val="24"/>
              </w:rPr>
            </w:pPr>
          </w:p>
        </w:tc>
        <w:tc>
          <w:tcPr>
            <w:tcW w:w="1364"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5"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6</w:t>
            </w:r>
          </w:p>
        </w:tc>
        <w:tc>
          <w:tcPr>
            <w:tcW w:w="3031" w:type="dxa"/>
            <w:vAlign w:val="center"/>
          </w:tcPr>
          <w:p>
            <w:pPr>
              <w:jc w:val="center"/>
              <w:rPr>
                <w:rFonts w:ascii="宋体" w:hAnsi="宋体" w:eastAsia="宋体" w:cs="仿宋_GB2312"/>
                <w:sz w:val="24"/>
                <w:szCs w:val="24"/>
              </w:rPr>
            </w:pPr>
          </w:p>
        </w:tc>
        <w:tc>
          <w:tcPr>
            <w:tcW w:w="2755" w:type="dxa"/>
            <w:vAlign w:val="center"/>
          </w:tcPr>
          <w:p>
            <w:pPr>
              <w:jc w:val="center"/>
              <w:rPr>
                <w:rFonts w:ascii="宋体" w:hAnsi="宋体" w:eastAsia="宋体" w:cs="仿宋_GB2312"/>
                <w:sz w:val="24"/>
                <w:szCs w:val="24"/>
              </w:rPr>
            </w:pPr>
          </w:p>
        </w:tc>
        <w:tc>
          <w:tcPr>
            <w:tcW w:w="1364"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5"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w:t>
            </w:r>
          </w:p>
        </w:tc>
        <w:tc>
          <w:tcPr>
            <w:tcW w:w="3031" w:type="dxa"/>
            <w:vAlign w:val="center"/>
          </w:tcPr>
          <w:p>
            <w:pPr>
              <w:jc w:val="center"/>
              <w:rPr>
                <w:rFonts w:ascii="宋体" w:hAnsi="宋体" w:eastAsia="宋体" w:cs="仿宋_GB2312"/>
                <w:sz w:val="24"/>
                <w:szCs w:val="24"/>
              </w:rPr>
            </w:pPr>
          </w:p>
        </w:tc>
        <w:tc>
          <w:tcPr>
            <w:tcW w:w="2755" w:type="dxa"/>
            <w:vAlign w:val="center"/>
          </w:tcPr>
          <w:p>
            <w:pPr>
              <w:jc w:val="center"/>
              <w:rPr>
                <w:rFonts w:ascii="宋体" w:hAnsi="宋体" w:eastAsia="宋体" w:cs="仿宋_GB2312"/>
                <w:sz w:val="24"/>
                <w:szCs w:val="24"/>
              </w:rPr>
            </w:pPr>
          </w:p>
        </w:tc>
        <w:tc>
          <w:tcPr>
            <w:tcW w:w="1364"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bl>
    <w:p>
      <w:pPr>
        <w:spacing w:line="360" w:lineRule="auto"/>
        <w:ind w:left="1099" w:hanging="1096" w:hangingChars="455"/>
        <w:jc w:val="left"/>
        <w:rPr>
          <w:rFonts w:ascii="宋体" w:hAnsi="宋体" w:eastAsia="宋体" w:cs="Times New Roman"/>
          <w:sz w:val="24"/>
          <w:szCs w:val="24"/>
        </w:rPr>
      </w:pPr>
      <w:r>
        <w:rPr>
          <w:rFonts w:hint="eastAsia" w:ascii="宋体" w:hAnsi="宋体" w:eastAsia="宋体" w:cs="Corbel"/>
          <w:sz w:val="24"/>
          <w:szCs w:val="24"/>
        </w:rPr>
        <w:t>说明：1．投标人应按招标文件第三章“项目技术、服务及商务要求”中“技术、服务要求”条款逐项说明是否满足要求，如有偏离,投标人应详细说明。未按照要求填写此表或仅注明“符合”、“满足”的，</w:t>
      </w:r>
      <w:r>
        <w:rPr>
          <w:rFonts w:hint="eastAsia" w:ascii="宋体" w:hAnsi="宋体" w:eastAsia="宋体" w:cs="Times New Roman"/>
          <w:sz w:val="24"/>
          <w:szCs w:val="24"/>
        </w:rPr>
        <w:t>导致的后果由投标人自行承担。</w:t>
      </w:r>
    </w:p>
    <w:p>
      <w:pPr>
        <w:spacing w:line="360" w:lineRule="auto"/>
        <w:ind w:left="1066" w:leftChars="339" w:hanging="351" w:hangingChars="146"/>
        <w:jc w:val="left"/>
        <w:rPr>
          <w:rFonts w:ascii="宋体" w:hAnsi="宋体" w:eastAsia="宋体" w:cs="Corbel"/>
          <w:sz w:val="24"/>
          <w:szCs w:val="24"/>
        </w:rPr>
      </w:pPr>
      <w:r>
        <w:rPr>
          <w:rFonts w:hint="eastAsia" w:ascii="宋体" w:hAnsi="宋体" w:eastAsia="宋体" w:cs="Corbel"/>
          <w:sz w:val="24"/>
          <w:szCs w:val="24"/>
        </w:rPr>
        <w:t>2．投标人提供的相关证明文件对应的页码填写到上表“投标文件对应的页码”中。如未提供页码或内容页码完全不一致的，</w:t>
      </w:r>
      <w:r>
        <w:rPr>
          <w:rFonts w:hint="eastAsia" w:ascii="宋体" w:hAnsi="宋体" w:eastAsia="宋体" w:cs="Times New Roman"/>
          <w:sz w:val="24"/>
          <w:szCs w:val="24"/>
        </w:rPr>
        <w:t>导致的后果由投标人自行承担。</w:t>
      </w:r>
    </w:p>
    <w:p>
      <w:pPr>
        <w:spacing w:before="100" w:beforeAutospacing="1" w:after="100" w:afterAutospacing="1" w:line="360" w:lineRule="auto"/>
        <w:ind w:firstLine="3329"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29" w:firstLineChars="1382"/>
        <w:rPr>
          <w:rFonts w:hAnsi="宋体"/>
          <w:b/>
          <w:bCs/>
          <w:sz w:val="24"/>
          <w:u w:val="single"/>
        </w:rPr>
      </w:pPr>
      <w:r>
        <w:rPr>
          <w:rFonts w:hint="eastAsia" w:ascii="宋体" w:hAnsi="宋体" w:eastAsia="宋体" w:cs="Times New Roman"/>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29" w:firstLineChars="1382"/>
      </w:pPr>
      <w:r>
        <w:rPr>
          <w:rFonts w:hint="eastAsia" w:ascii="宋体" w:hAnsi="宋体" w:eastAsia="宋体" w:cs="Times New Roman"/>
          <w:b/>
          <w:bCs/>
          <w:sz w:val="24"/>
          <w:szCs w:val="21"/>
          <w:lang w:val="zh-CN"/>
        </w:rPr>
        <w:t>投标</w:t>
      </w:r>
      <w:r>
        <w:rPr>
          <w:rFonts w:hint="eastAsia" w:hAnsi="宋体"/>
          <w:b/>
          <w:bCs/>
          <w:sz w:val="24"/>
        </w:rPr>
        <w:t>时间：</w:t>
      </w:r>
    </w:p>
    <w:p>
      <w:r>
        <w:br w:type="page"/>
      </w:r>
    </w:p>
    <w:p>
      <w:pPr>
        <w:pStyle w:val="5"/>
        <w:numPr>
          <w:ilvl w:val="0"/>
          <w:numId w:val="62"/>
        </w:numPr>
        <w:spacing w:before="100" w:beforeAutospacing="1" w:afterLines="50" w:line="360" w:lineRule="auto"/>
        <w:ind w:left="1610" w:hanging="1610"/>
        <w:rPr>
          <w:rFonts w:ascii="宋体" w:hAnsi="宋体" w:eastAsia="宋体"/>
        </w:rPr>
      </w:pPr>
      <w:bookmarkStart w:id="233" w:name="_Toc494721120"/>
      <w:bookmarkStart w:id="234" w:name="_Toc494665970"/>
      <w:bookmarkStart w:id="235" w:name="_Toc494745337"/>
      <w:bookmarkStart w:id="236" w:name="_Toc494665573"/>
      <w:bookmarkStart w:id="237" w:name="_Toc494665020"/>
      <w:bookmarkStart w:id="238" w:name="_Toc494702290"/>
      <w:bookmarkStart w:id="239" w:name="_Toc20930"/>
      <w:bookmarkStart w:id="240" w:name="_Toc329859066"/>
      <w:r>
        <w:rPr>
          <w:rFonts w:hint="eastAsia" w:ascii="宋体" w:hAnsi="宋体" w:eastAsia="宋体"/>
        </w:rPr>
        <w:t>技术、服务要求“★”号条款响应、偏离说明表</w:t>
      </w:r>
      <w:bookmarkEnd w:id="233"/>
      <w:bookmarkEnd w:id="234"/>
      <w:bookmarkEnd w:id="235"/>
      <w:bookmarkEnd w:id="236"/>
      <w:bookmarkEnd w:id="237"/>
      <w:bookmarkEnd w:id="238"/>
      <w:bookmarkEnd w:id="239"/>
    </w:p>
    <w:p>
      <w:pPr>
        <w:spacing w:line="360" w:lineRule="auto"/>
        <w:jc w:val="left"/>
        <w:rPr>
          <w:rFonts w:hAnsi="宋体"/>
          <w:b/>
          <w:sz w:val="24"/>
        </w:rPr>
      </w:pPr>
      <w:r>
        <w:rPr>
          <w:rFonts w:hint="eastAsia" w:hAnsi="宋体"/>
          <w:b/>
          <w:sz w:val="24"/>
        </w:rPr>
        <w:t>投标人：</w:t>
      </w:r>
    </w:p>
    <w:p>
      <w:pPr>
        <w:spacing w:line="360" w:lineRule="auto"/>
        <w:jc w:val="left"/>
        <w:rPr>
          <w:rFonts w:hAnsi="宋体"/>
          <w:b/>
          <w:sz w:val="24"/>
        </w:rPr>
      </w:pPr>
      <w:r>
        <w:rPr>
          <w:rFonts w:hint="eastAsia" w:ascii="宋体" w:hAnsi="宋体" w:eastAsia="宋体" w:cs="Times New Roman"/>
          <w:b/>
          <w:sz w:val="24"/>
          <w:szCs w:val="21"/>
          <w:lang w:val="zh-CN"/>
        </w:rPr>
        <w:t>项目编号：</w:t>
      </w:r>
      <w:r>
        <w:rPr>
          <w:rFonts w:hint="eastAsia" w:ascii="宋体" w:hAnsi="宋体" w:eastAsia="宋体" w:cs="Times New Roman"/>
          <w:b/>
          <w:bCs/>
          <w:sz w:val="24"/>
          <w:szCs w:val="21"/>
          <w:lang w:val="zh-CN"/>
        </w:rPr>
        <w:t xml:space="preserve">                所投包号：</w:t>
      </w:r>
    </w:p>
    <w:tbl>
      <w:tblPr>
        <w:tblStyle w:val="21"/>
        <w:tblW w:w="95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2767"/>
        <w:gridCol w:w="2877"/>
        <w:gridCol w:w="1509"/>
        <w:gridCol w:w="1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742"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序号</w:t>
            </w:r>
          </w:p>
        </w:tc>
        <w:tc>
          <w:tcPr>
            <w:tcW w:w="2767"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招标文件</w:t>
            </w:r>
            <w:r>
              <w:rPr>
                <w:rFonts w:hint="eastAsia" w:ascii="宋体" w:hAnsi="宋体" w:eastAsia="宋体" w:cs="Corbel"/>
                <w:sz w:val="24"/>
                <w:szCs w:val="24"/>
              </w:rPr>
              <w:t>技术、服务要求“★”号条款</w:t>
            </w:r>
          </w:p>
        </w:tc>
        <w:tc>
          <w:tcPr>
            <w:tcW w:w="2877"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投标响应内容对应简述</w:t>
            </w:r>
          </w:p>
        </w:tc>
        <w:tc>
          <w:tcPr>
            <w:tcW w:w="1509"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偏离说明</w:t>
            </w:r>
          </w:p>
        </w:tc>
        <w:tc>
          <w:tcPr>
            <w:tcW w:w="1619" w:type="dxa"/>
            <w:shd w:val="clear" w:color="auto" w:fill="F1F1F1" w:themeFill="background1" w:themeFillShade="F2"/>
          </w:tcPr>
          <w:p>
            <w:pPr>
              <w:jc w:val="center"/>
              <w:rPr>
                <w:rFonts w:ascii="宋体" w:hAnsi="宋体" w:eastAsia="宋体" w:cs="仿宋_GB2312"/>
                <w:sz w:val="24"/>
                <w:szCs w:val="24"/>
              </w:rPr>
            </w:pPr>
            <w:r>
              <w:rPr>
                <w:rFonts w:hint="eastAsia" w:ascii="宋体" w:hAnsi="宋体" w:eastAsia="宋体" w:cs="仿宋_GB2312"/>
                <w:sz w:val="24"/>
                <w:szCs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1</w:t>
            </w:r>
          </w:p>
        </w:tc>
        <w:tc>
          <w:tcPr>
            <w:tcW w:w="2767" w:type="dxa"/>
            <w:vAlign w:val="center"/>
          </w:tcPr>
          <w:p>
            <w:pPr>
              <w:jc w:val="center"/>
              <w:rPr>
                <w:rFonts w:ascii="宋体" w:hAnsi="宋体" w:eastAsia="宋体" w:cs="仿宋_GB2312"/>
                <w:sz w:val="24"/>
                <w:szCs w:val="24"/>
              </w:rPr>
            </w:pPr>
          </w:p>
        </w:tc>
        <w:tc>
          <w:tcPr>
            <w:tcW w:w="2877" w:type="dxa"/>
            <w:vAlign w:val="center"/>
          </w:tcPr>
          <w:p>
            <w:pPr>
              <w:jc w:val="center"/>
              <w:rPr>
                <w:rFonts w:ascii="宋体" w:hAnsi="宋体" w:eastAsia="宋体" w:cs="仿宋_GB2312"/>
                <w:sz w:val="24"/>
                <w:szCs w:val="24"/>
              </w:rPr>
            </w:pPr>
          </w:p>
        </w:tc>
        <w:tc>
          <w:tcPr>
            <w:tcW w:w="150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2</w:t>
            </w:r>
          </w:p>
        </w:tc>
        <w:tc>
          <w:tcPr>
            <w:tcW w:w="2767" w:type="dxa"/>
            <w:vAlign w:val="center"/>
          </w:tcPr>
          <w:p>
            <w:pPr>
              <w:jc w:val="center"/>
              <w:rPr>
                <w:rFonts w:ascii="宋体" w:hAnsi="宋体" w:eastAsia="宋体" w:cs="仿宋_GB2312"/>
                <w:sz w:val="24"/>
                <w:szCs w:val="24"/>
              </w:rPr>
            </w:pPr>
          </w:p>
        </w:tc>
        <w:tc>
          <w:tcPr>
            <w:tcW w:w="2877" w:type="dxa"/>
            <w:vAlign w:val="center"/>
          </w:tcPr>
          <w:p>
            <w:pPr>
              <w:jc w:val="center"/>
              <w:rPr>
                <w:rFonts w:ascii="宋体" w:hAnsi="宋体" w:eastAsia="宋体" w:cs="仿宋_GB2312"/>
                <w:sz w:val="24"/>
                <w:szCs w:val="24"/>
              </w:rPr>
            </w:pPr>
          </w:p>
        </w:tc>
        <w:tc>
          <w:tcPr>
            <w:tcW w:w="150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3</w:t>
            </w:r>
          </w:p>
        </w:tc>
        <w:tc>
          <w:tcPr>
            <w:tcW w:w="2767" w:type="dxa"/>
            <w:vAlign w:val="center"/>
          </w:tcPr>
          <w:p>
            <w:pPr>
              <w:jc w:val="center"/>
              <w:rPr>
                <w:rFonts w:ascii="宋体" w:hAnsi="宋体" w:eastAsia="宋体" w:cs="仿宋_GB2312"/>
                <w:sz w:val="24"/>
                <w:szCs w:val="24"/>
              </w:rPr>
            </w:pPr>
          </w:p>
        </w:tc>
        <w:tc>
          <w:tcPr>
            <w:tcW w:w="2877" w:type="dxa"/>
            <w:vAlign w:val="center"/>
          </w:tcPr>
          <w:p>
            <w:pPr>
              <w:jc w:val="center"/>
              <w:rPr>
                <w:rFonts w:ascii="宋体" w:hAnsi="宋体" w:eastAsia="宋体" w:cs="仿宋_GB2312"/>
                <w:sz w:val="24"/>
                <w:szCs w:val="24"/>
              </w:rPr>
            </w:pPr>
          </w:p>
        </w:tc>
        <w:tc>
          <w:tcPr>
            <w:tcW w:w="150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4</w:t>
            </w:r>
          </w:p>
        </w:tc>
        <w:tc>
          <w:tcPr>
            <w:tcW w:w="2767" w:type="dxa"/>
            <w:vAlign w:val="center"/>
          </w:tcPr>
          <w:p>
            <w:pPr>
              <w:jc w:val="center"/>
              <w:rPr>
                <w:rFonts w:ascii="宋体" w:hAnsi="宋体" w:eastAsia="宋体" w:cs="仿宋_GB2312"/>
                <w:sz w:val="24"/>
                <w:szCs w:val="24"/>
              </w:rPr>
            </w:pPr>
          </w:p>
        </w:tc>
        <w:tc>
          <w:tcPr>
            <w:tcW w:w="2877" w:type="dxa"/>
            <w:vAlign w:val="center"/>
          </w:tcPr>
          <w:p>
            <w:pPr>
              <w:jc w:val="center"/>
              <w:rPr>
                <w:rFonts w:ascii="宋体" w:hAnsi="宋体" w:eastAsia="宋体" w:cs="仿宋_GB2312"/>
                <w:sz w:val="24"/>
                <w:szCs w:val="24"/>
              </w:rPr>
            </w:pPr>
          </w:p>
        </w:tc>
        <w:tc>
          <w:tcPr>
            <w:tcW w:w="150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5</w:t>
            </w:r>
          </w:p>
        </w:tc>
        <w:tc>
          <w:tcPr>
            <w:tcW w:w="2767" w:type="dxa"/>
            <w:vAlign w:val="center"/>
          </w:tcPr>
          <w:p>
            <w:pPr>
              <w:jc w:val="center"/>
              <w:rPr>
                <w:rFonts w:ascii="宋体" w:hAnsi="宋体" w:eastAsia="宋体" w:cs="仿宋_GB2312"/>
                <w:sz w:val="24"/>
                <w:szCs w:val="24"/>
              </w:rPr>
            </w:pPr>
          </w:p>
        </w:tc>
        <w:tc>
          <w:tcPr>
            <w:tcW w:w="2877" w:type="dxa"/>
            <w:vAlign w:val="center"/>
          </w:tcPr>
          <w:p>
            <w:pPr>
              <w:jc w:val="center"/>
              <w:rPr>
                <w:rFonts w:ascii="宋体" w:hAnsi="宋体" w:eastAsia="宋体" w:cs="仿宋_GB2312"/>
                <w:sz w:val="24"/>
                <w:szCs w:val="24"/>
              </w:rPr>
            </w:pPr>
          </w:p>
        </w:tc>
        <w:tc>
          <w:tcPr>
            <w:tcW w:w="150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6</w:t>
            </w:r>
          </w:p>
        </w:tc>
        <w:tc>
          <w:tcPr>
            <w:tcW w:w="2767" w:type="dxa"/>
            <w:vAlign w:val="center"/>
          </w:tcPr>
          <w:p>
            <w:pPr>
              <w:jc w:val="center"/>
              <w:rPr>
                <w:rFonts w:ascii="宋体" w:hAnsi="宋体" w:eastAsia="宋体" w:cs="仿宋_GB2312"/>
                <w:sz w:val="24"/>
                <w:szCs w:val="24"/>
              </w:rPr>
            </w:pPr>
          </w:p>
        </w:tc>
        <w:tc>
          <w:tcPr>
            <w:tcW w:w="2877" w:type="dxa"/>
            <w:vAlign w:val="center"/>
          </w:tcPr>
          <w:p>
            <w:pPr>
              <w:jc w:val="center"/>
              <w:rPr>
                <w:rFonts w:ascii="宋体" w:hAnsi="宋体" w:eastAsia="宋体" w:cs="仿宋_GB2312"/>
                <w:sz w:val="24"/>
                <w:szCs w:val="24"/>
              </w:rPr>
            </w:pPr>
          </w:p>
        </w:tc>
        <w:tc>
          <w:tcPr>
            <w:tcW w:w="150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w:t>
            </w:r>
          </w:p>
        </w:tc>
        <w:tc>
          <w:tcPr>
            <w:tcW w:w="2767" w:type="dxa"/>
            <w:vAlign w:val="center"/>
          </w:tcPr>
          <w:p>
            <w:pPr>
              <w:jc w:val="center"/>
              <w:rPr>
                <w:rFonts w:ascii="宋体" w:hAnsi="宋体" w:eastAsia="宋体" w:cs="仿宋_GB2312"/>
                <w:sz w:val="24"/>
                <w:szCs w:val="24"/>
              </w:rPr>
            </w:pPr>
          </w:p>
        </w:tc>
        <w:tc>
          <w:tcPr>
            <w:tcW w:w="2877" w:type="dxa"/>
            <w:vAlign w:val="center"/>
          </w:tcPr>
          <w:p>
            <w:pPr>
              <w:jc w:val="center"/>
              <w:rPr>
                <w:rFonts w:ascii="宋体" w:hAnsi="宋体" w:eastAsia="宋体" w:cs="仿宋_GB2312"/>
                <w:sz w:val="24"/>
                <w:szCs w:val="24"/>
              </w:rPr>
            </w:pPr>
          </w:p>
        </w:tc>
        <w:tc>
          <w:tcPr>
            <w:tcW w:w="150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bl>
    <w:p>
      <w:pPr>
        <w:spacing w:line="360" w:lineRule="auto"/>
        <w:ind w:left="942" w:hanging="939" w:hangingChars="390"/>
        <w:jc w:val="left"/>
        <w:rPr>
          <w:rFonts w:ascii="宋体" w:hAnsi="宋体" w:eastAsia="宋体" w:cs="Corbel"/>
          <w:sz w:val="24"/>
          <w:szCs w:val="24"/>
        </w:rPr>
      </w:pPr>
      <w:r>
        <w:rPr>
          <w:rFonts w:hint="eastAsia" w:ascii="宋体" w:hAnsi="宋体" w:eastAsia="宋体" w:cs="Corbel"/>
          <w:sz w:val="24"/>
          <w:szCs w:val="24"/>
        </w:rPr>
        <w:t>说明：1．投标人应按招标文件第三章“项目技术、服务及商务要求”中技术、服务要求</w:t>
      </w:r>
      <w:r>
        <w:rPr>
          <w:rFonts w:hint="eastAsia" w:ascii="Times New Roman" w:hAnsi="宋体" w:eastAsia="宋体" w:cs="Times New Roman"/>
          <w:sz w:val="24"/>
          <w:szCs w:val="24"/>
        </w:rPr>
        <w:t>“★”号</w:t>
      </w:r>
      <w:r>
        <w:rPr>
          <w:rFonts w:hint="eastAsia" w:ascii="宋体" w:hAnsi="宋体" w:eastAsia="宋体" w:cs="Corbel"/>
          <w:sz w:val="24"/>
          <w:szCs w:val="24"/>
        </w:rPr>
        <w:t>条款进行逐项说明是否满足要求，如有偏离,投标人应详细说明。未按照要求填写此表或仅注明“符合”、“满足”的，</w:t>
      </w:r>
      <w:r>
        <w:rPr>
          <w:rFonts w:hint="eastAsia" w:ascii="宋体" w:hAnsi="宋体" w:eastAsia="宋体" w:cs="Times New Roman"/>
          <w:sz w:val="24"/>
          <w:szCs w:val="24"/>
        </w:rPr>
        <w:t>导致的后果由投标人自行承担。</w:t>
      </w:r>
    </w:p>
    <w:p>
      <w:pPr>
        <w:spacing w:line="360" w:lineRule="auto"/>
        <w:ind w:left="1010" w:leftChars="306" w:hanging="365" w:hangingChars="152"/>
        <w:jc w:val="left"/>
        <w:rPr>
          <w:rFonts w:ascii="宋体" w:hAnsi="宋体" w:eastAsia="宋体" w:cs="Corbel"/>
          <w:sz w:val="24"/>
          <w:szCs w:val="24"/>
        </w:rPr>
      </w:pPr>
      <w:r>
        <w:rPr>
          <w:rFonts w:hint="eastAsia" w:ascii="宋体" w:hAnsi="宋体" w:eastAsia="宋体" w:cs="Corbel"/>
          <w:sz w:val="24"/>
          <w:szCs w:val="24"/>
        </w:rPr>
        <w:t>2．投标人提供的相关证明文件对应的页码填写到上表“投标文件对应的页码”中。如未提供页码或内容页码完全不一致的，</w:t>
      </w:r>
      <w:r>
        <w:rPr>
          <w:rFonts w:hint="eastAsia" w:ascii="宋体" w:hAnsi="宋体" w:eastAsia="宋体" w:cs="Times New Roman"/>
          <w:sz w:val="24"/>
          <w:szCs w:val="24"/>
        </w:rPr>
        <w:t>导致的后果由投标人自行承担。</w:t>
      </w:r>
    </w:p>
    <w:bookmarkEnd w:id="240"/>
    <w:p>
      <w:pPr>
        <w:spacing w:before="100" w:beforeAutospacing="1" w:after="100" w:afterAutospacing="1" w:line="360" w:lineRule="auto"/>
        <w:ind w:firstLine="3329"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29" w:firstLineChars="1382"/>
        <w:rPr>
          <w:rFonts w:hAnsi="宋体"/>
          <w:b/>
          <w:bCs/>
          <w:sz w:val="24"/>
          <w:u w:val="single"/>
        </w:rPr>
      </w:pPr>
      <w:r>
        <w:rPr>
          <w:rFonts w:hint="eastAsia" w:ascii="宋体" w:hAnsi="宋体" w:eastAsia="宋体" w:cs="Times New Roman"/>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29" w:firstLineChars="1382"/>
      </w:pPr>
      <w:r>
        <w:rPr>
          <w:rFonts w:hint="eastAsia" w:ascii="宋体" w:hAnsi="宋体" w:eastAsia="宋体" w:cs="Times New Roman"/>
          <w:b/>
          <w:bCs/>
          <w:sz w:val="24"/>
          <w:szCs w:val="21"/>
          <w:lang w:val="zh-CN"/>
        </w:rPr>
        <w:t>投标</w:t>
      </w:r>
      <w:r>
        <w:rPr>
          <w:rFonts w:hint="eastAsia" w:hAnsi="宋体"/>
          <w:b/>
          <w:bCs/>
          <w:sz w:val="24"/>
        </w:rPr>
        <w:t>时间：</w:t>
      </w:r>
    </w:p>
    <w:p>
      <w:r>
        <w:br w:type="page"/>
      </w:r>
    </w:p>
    <w:p>
      <w:pPr>
        <w:pStyle w:val="5"/>
        <w:numPr>
          <w:ilvl w:val="0"/>
          <w:numId w:val="62"/>
        </w:numPr>
        <w:spacing w:before="100" w:beforeAutospacing="1" w:afterLines="50" w:line="360" w:lineRule="auto"/>
        <w:ind w:left="1610" w:hanging="1610"/>
        <w:rPr>
          <w:rFonts w:ascii="宋体" w:hAnsi="宋体" w:eastAsia="宋体"/>
        </w:rPr>
      </w:pPr>
      <w:bookmarkStart w:id="241" w:name="_Toc494721121"/>
      <w:bookmarkStart w:id="242" w:name="_Toc494665971"/>
      <w:bookmarkStart w:id="243" w:name="_Toc494665574"/>
      <w:bookmarkStart w:id="244" w:name="_Toc494702291"/>
      <w:bookmarkStart w:id="245" w:name="_Toc494745338"/>
      <w:bookmarkStart w:id="246" w:name="_Toc494665021"/>
      <w:bookmarkStart w:id="247" w:name="_Toc16829"/>
      <w:r>
        <w:rPr>
          <w:rFonts w:hint="eastAsia" w:ascii="宋体" w:hAnsi="宋体" w:eastAsia="宋体"/>
        </w:rPr>
        <w:t>技术、服务评议对照表</w:t>
      </w:r>
      <w:bookmarkEnd w:id="241"/>
      <w:bookmarkEnd w:id="242"/>
      <w:bookmarkEnd w:id="243"/>
      <w:bookmarkEnd w:id="244"/>
      <w:bookmarkEnd w:id="245"/>
      <w:bookmarkEnd w:id="246"/>
      <w:bookmarkEnd w:id="247"/>
    </w:p>
    <w:p>
      <w:pPr>
        <w:spacing w:line="360" w:lineRule="auto"/>
        <w:jc w:val="left"/>
        <w:rPr>
          <w:rFonts w:hAnsi="宋体"/>
          <w:b/>
          <w:sz w:val="24"/>
        </w:rPr>
      </w:pPr>
      <w:r>
        <w:rPr>
          <w:rFonts w:hint="eastAsia" w:hAnsi="宋体"/>
          <w:b/>
          <w:sz w:val="24"/>
        </w:rPr>
        <w:t>投标人：</w:t>
      </w:r>
    </w:p>
    <w:p>
      <w:pPr>
        <w:spacing w:line="360" w:lineRule="auto"/>
        <w:jc w:val="left"/>
        <w:rPr>
          <w:rFonts w:hAnsi="宋体"/>
          <w:b/>
          <w:sz w:val="24"/>
        </w:rPr>
      </w:pPr>
      <w:r>
        <w:rPr>
          <w:rFonts w:hint="eastAsia" w:ascii="宋体" w:hAnsi="宋体" w:eastAsia="宋体" w:cs="Times New Roman"/>
          <w:b/>
          <w:sz w:val="24"/>
          <w:szCs w:val="21"/>
          <w:lang w:val="zh-CN"/>
        </w:rPr>
        <w:t>项目编号：</w:t>
      </w:r>
      <w:r>
        <w:rPr>
          <w:rFonts w:hint="eastAsia" w:ascii="宋体" w:hAnsi="宋体" w:eastAsia="宋体" w:cs="Times New Roman"/>
          <w:b/>
          <w:bCs/>
          <w:sz w:val="24"/>
          <w:szCs w:val="21"/>
          <w:lang w:val="zh-CN"/>
        </w:rPr>
        <w:t xml:space="preserve">                所投包号：</w:t>
      </w:r>
    </w:p>
    <w:tbl>
      <w:tblPr>
        <w:tblStyle w:val="21"/>
        <w:tblW w:w="95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2389"/>
        <w:gridCol w:w="3227"/>
        <w:gridCol w:w="1256"/>
        <w:gridCol w:w="1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659" w:type="dxa"/>
            <w:shd w:val="clear" w:color="auto" w:fill="F1F1F1" w:themeFill="background1" w:themeFillShade="F2"/>
            <w:vAlign w:val="center"/>
          </w:tcPr>
          <w:p>
            <w:pPr>
              <w:ind w:left="-37" w:leftChars="-18" w:right="-48" w:rightChars="-23"/>
              <w:jc w:val="center"/>
              <w:rPr>
                <w:rFonts w:ascii="宋体" w:hAnsi="宋体" w:eastAsia="宋体" w:cs="仿宋_GB2312"/>
                <w:sz w:val="24"/>
                <w:szCs w:val="24"/>
              </w:rPr>
            </w:pPr>
            <w:r>
              <w:rPr>
                <w:rFonts w:hint="eastAsia" w:ascii="宋体" w:hAnsi="宋体" w:eastAsia="宋体" w:cs="仿宋_GB2312"/>
                <w:sz w:val="24"/>
                <w:szCs w:val="24"/>
              </w:rPr>
              <w:t>序号</w:t>
            </w:r>
          </w:p>
        </w:tc>
        <w:tc>
          <w:tcPr>
            <w:tcW w:w="2389"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招标文件技术、服务评分标准</w:t>
            </w:r>
          </w:p>
        </w:tc>
        <w:tc>
          <w:tcPr>
            <w:tcW w:w="3227"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投标响应内容对应简述</w:t>
            </w:r>
          </w:p>
        </w:tc>
        <w:tc>
          <w:tcPr>
            <w:tcW w:w="1256"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偏离说明</w:t>
            </w:r>
          </w:p>
        </w:tc>
        <w:tc>
          <w:tcPr>
            <w:tcW w:w="1983" w:type="dxa"/>
            <w:shd w:val="clear" w:color="auto" w:fill="F1F1F1" w:themeFill="background1" w:themeFillShade="F2"/>
          </w:tcPr>
          <w:p>
            <w:pPr>
              <w:jc w:val="center"/>
              <w:rPr>
                <w:rFonts w:ascii="宋体" w:hAnsi="宋体" w:eastAsia="宋体" w:cs="仿宋_GB2312"/>
                <w:sz w:val="24"/>
                <w:szCs w:val="24"/>
              </w:rPr>
            </w:pPr>
            <w:r>
              <w:rPr>
                <w:rFonts w:hint="eastAsia" w:ascii="宋体" w:hAnsi="宋体" w:eastAsia="宋体" w:cs="仿宋_GB2312"/>
                <w:sz w:val="24"/>
                <w:szCs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659" w:type="dxa"/>
            <w:vAlign w:val="center"/>
          </w:tcPr>
          <w:p>
            <w:pPr>
              <w:numPr>
                <w:ilvl w:val="0"/>
                <w:numId w:val="65"/>
              </w:numPr>
              <w:jc w:val="center"/>
              <w:rPr>
                <w:rFonts w:ascii="宋体" w:hAnsi="宋体" w:eastAsia="宋体" w:cs="仿宋_GB2312"/>
                <w:sz w:val="24"/>
                <w:szCs w:val="24"/>
              </w:rPr>
            </w:pPr>
          </w:p>
        </w:tc>
        <w:tc>
          <w:tcPr>
            <w:tcW w:w="2389" w:type="dxa"/>
            <w:vAlign w:val="center"/>
          </w:tcPr>
          <w:p>
            <w:pPr>
              <w:jc w:val="center"/>
              <w:rPr>
                <w:rFonts w:ascii="宋体" w:hAnsi="宋体" w:eastAsia="宋体" w:cs="仿宋_GB2312"/>
                <w:sz w:val="24"/>
                <w:szCs w:val="24"/>
              </w:rPr>
            </w:pPr>
          </w:p>
        </w:tc>
        <w:tc>
          <w:tcPr>
            <w:tcW w:w="3227" w:type="dxa"/>
            <w:vAlign w:val="center"/>
          </w:tcPr>
          <w:p>
            <w:pPr>
              <w:jc w:val="center"/>
              <w:rPr>
                <w:rFonts w:ascii="宋体" w:hAnsi="宋体" w:eastAsia="宋体" w:cs="仿宋_GB2312"/>
                <w:sz w:val="24"/>
                <w:szCs w:val="24"/>
              </w:rPr>
            </w:pPr>
          </w:p>
        </w:tc>
        <w:tc>
          <w:tcPr>
            <w:tcW w:w="1256" w:type="dxa"/>
            <w:vAlign w:val="center"/>
          </w:tcPr>
          <w:p>
            <w:pPr>
              <w:jc w:val="center"/>
              <w:rPr>
                <w:rFonts w:ascii="宋体" w:hAnsi="宋体" w:eastAsia="宋体" w:cs="仿宋_GB2312"/>
                <w:sz w:val="24"/>
                <w:szCs w:val="24"/>
              </w:rPr>
            </w:pPr>
          </w:p>
        </w:tc>
        <w:tc>
          <w:tcPr>
            <w:tcW w:w="1983"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659" w:type="dxa"/>
            <w:vAlign w:val="center"/>
          </w:tcPr>
          <w:p>
            <w:pPr>
              <w:numPr>
                <w:ilvl w:val="0"/>
                <w:numId w:val="65"/>
              </w:numPr>
              <w:jc w:val="center"/>
              <w:rPr>
                <w:rFonts w:ascii="宋体" w:hAnsi="宋体" w:eastAsia="宋体" w:cs="仿宋_GB2312"/>
                <w:sz w:val="24"/>
                <w:szCs w:val="24"/>
              </w:rPr>
            </w:pPr>
          </w:p>
        </w:tc>
        <w:tc>
          <w:tcPr>
            <w:tcW w:w="2389" w:type="dxa"/>
            <w:vAlign w:val="center"/>
          </w:tcPr>
          <w:p>
            <w:pPr>
              <w:jc w:val="center"/>
              <w:rPr>
                <w:rFonts w:ascii="宋体" w:hAnsi="宋体" w:eastAsia="宋体" w:cs="仿宋_GB2312"/>
                <w:sz w:val="24"/>
                <w:szCs w:val="24"/>
              </w:rPr>
            </w:pPr>
          </w:p>
        </w:tc>
        <w:tc>
          <w:tcPr>
            <w:tcW w:w="3227" w:type="dxa"/>
            <w:vAlign w:val="center"/>
          </w:tcPr>
          <w:p>
            <w:pPr>
              <w:jc w:val="center"/>
              <w:rPr>
                <w:rFonts w:ascii="宋体" w:hAnsi="宋体" w:eastAsia="宋体" w:cs="仿宋_GB2312"/>
                <w:sz w:val="24"/>
                <w:szCs w:val="24"/>
              </w:rPr>
            </w:pPr>
          </w:p>
        </w:tc>
        <w:tc>
          <w:tcPr>
            <w:tcW w:w="1256" w:type="dxa"/>
            <w:vAlign w:val="center"/>
          </w:tcPr>
          <w:p>
            <w:pPr>
              <w:jc w:val="center"/>
              <w:rPr>
                <w:rFonts w:ascii="宋体" w:hAnsi="宋体" w:eastAsia="宋体" w:cs="仿宋_GB2312"/>
                <w:sz w:val="24"/>
                <w:szCs w:val="24"/>
              </w:rPr>
            </w:pPr>
          </w:p>
        </w:tc>
        <w:tc>
          <w:tcPr>
            <w:tcW w:w="1983"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659" w:type="dxa"/>
            <w:vAlign w:val="center"/>
          </w:tcPr>
          <w:p>
            <w:pPr>
              <w:numPr>
                <w:ilvl w:val="0"/>
                <w:numId w:val="65"/>
              </w:numPr>
              <w:jc w:val="center"/>
              <w:rPr>
                <w:rFonts w:ascii="宋体" w:hAnsi="宋体" w:eastAsia="宋体" w:cs="仿宋_GB2312"/>
                <w:sz w:val="24"/>
                <w:szCs w:val="24"/>
              </w:rPr>
            </w:pPr>
          </w:p>
        </w:tc>
        <w:tc>
          <w:tcPr>
            <w:tcW w:w="2389" w:type="dxa"/>
            <w:vAlign w:val="center"/>
          </w:tcPr>
          <w:p>
            <w:pPr>
              <w:jc w:val="center"/>
              <w:rPr>
                <w:rFonts w:ascii="宋体" w:hAnsi="宋体" w:eastAsia="宋体" w:cs="仿宋_GB2312"/>
                <w:sz w:val="24"/>
                <w:szCs w:val="24"/>
              </w:rPr>
            </w:pPr>
          </w:p>
        </w:tc>
        <w:tc>
          <w:tcPr>
            <w:tcW w:w="3227" w:type="dxa"/>
            <w:vAlign w:val="center"/>
          </w:tcPr>
          <w:p>
            <w:pPr>
              <w:jc w:val="center"/>
              <w:rPr>
                <w:rFonts w:ascii="宋体" w:hAnsi="宋体" w:eastAsia="宋体" w:cs="仿宋_GB2312"/>
                <w:sz w:val="24"/>
                <w:szCs w:val="24"/>
              </w:rPr>
            </w:pPr>
          </w:p>
        </w:tc>
        <w:tc>
          <w:tcPr>
            <w:tcW w:w="1256" w:type="dxa"/>
            <w:vAlign w:val="center"/>
          </w:tcPr>
          <w:p>
            <w:pPr>
              <w:jc w:val="center"/>
              <w:rPr>
                <w:rFonts w:ascii="宋体" w:hAnsi="宋体" w:eastAsia="宋体" w:cs="仿宋_GB2312"/>
                <w:sz w:val="24"/>
                <w:szCs w:val="24"/>
              </w:rPr>
            </w:pPr>
          </w:p>
        </w:tc>
        <w:tc>
          <w:tcPr>
            <w:tcW w:w="1983"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659" w:type="dxa"/>
            <w:vAlign w:val="center"/>
          </w:tcPr>
          <w:p>
            <w:pPr>
              <w:numPr>
                <w:ilvl w:val="0"/>
                <w:numId w:val="65"/>
              </w:numPr>
              <w:jc w:val="center"/>
              <w:rPr>
                <w:rFonts w:ascii="宋体" w:hAnsi="宋体" w:eastAsia="宋体" w:cs="仿宋_GB2312"/>
                <w:sz w:val="24"/>
                <w:szCs w:val="24"/>
              </w:rPr>
            </w:pPr>
          </w:p>
        </w:tc>
        <w:tc>
          <w:tcPr>
            <w:tcW w:w="2389" w:type="dxa"/>
            <w:vAlign w:val="center"/>
          </w:tcPr>
          <w:p>
            <w:pPr>
              <w:jc w:val="center"/>
              <w:rPr>
                <w:rFonts w:ascii="宋体" w:hAnsi="宋体" w:eastAsia="宋体" w:cs="仿宋_GB2312"/>
                <w:sz w:val="24"/>
                <w:szCs w:val="24"/>
              </w:rPr>
            </w:pPr>
          </w:p>
        </w:tc>
        <w:tc>
          <w:tcPr>
            <w:tcW w:w="3227" w:type="dxa"/>
            <w:vAlign w:val="center"/>
          </w:tcPr>
          <w:p>
            <w:pPr>
              <w:jc w:val="center"/>
              <w:rPr>
                <w:rFonts w:ascii="宋体" w:hAnsi="宋体" w:eastAsia="宋体" w:cs="仿宋_GB2312"/>
                <w:sz w:val="24"/>
                <w:szCs w:val="24"/>
              </w:rPr>
            </w:pPr>
          </w:p>
        </w:tc>
        <w:tc>
          <w:tcPr>
            <w:tcW w:w="1256" w:type="dxa"/>
            <w:vAlign w:val="center"/>
          </w:tcPr>
          <w:p>
            <w:pPr>
              <w:jc w:val="center"/>
              <w:rPr>
                <w:rFonts w:ascii="宋体" w:hAnsi="宋体" w:eastAsia="宋体" w:cs="仿宋_GB2312"/>
                <w:sz w:val="24"/>
                <w:szCs w:val="24"/>
              </w:rPr>
            </w:pPr>
          </w:p>
        </w:tc>
        <w:tc>
          <w:tcPr>
            <w:tcW w:w="1983"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659" w:type="dxa"/>
            <w:vAlign w:val="center"/>
          </w:tcPr>
          <w:p>
            <w:pPr>
              <w:numPr>
                <w:ilvl w:val="0"/>
                <w:numId w:val="65"/>
              </w:numPr>
              <w:jc w:val="center"/>
              <w:rPr>
                <w:rFonts w:ascii="宋体" w:hAnsi="宋体" w:eastAsia="宋体" w:cs="仿宋_GB2312"/>
                <w:sz w:val="24"/>
                <w:szCs w:val="24"/>
              </w:rPr>
            </w:pPr>
          </w:p>
        </w:tc>
        <w:tc>
          <w:tcPr>
            <w:tcW w:w="2389" w:type="dxa"/>
            <w:vAlign w:val="center"/>
          </w:tcPr>
          <w:p>
            <w:pPr>
              <w:jc w:val="center"/>
              <w:rPr>
                <w:rFonts w:ascii="宋体" w:hAnsi="宋体" w:eastAsia="宋体" w:cs="仿宋_GB2312"/>
                <w:sz w:val="24"/>
                <w:szCs w:val="24"/>
              </w:rPr>
            </w:pPr>
          </w:p>
        </w:tc>
        <w:tc>
          <w:tcPr>
            <w:tcW w:w="3227" w:type="dxa"/>
            <w:vAlign w:val="center"/>
          </w:tcPr>
          <w:p>
            <w:pPr>
              <w:jc w:val="center"/>
              <w:rPr>
                <w:rFonts w:ascii="宋体" w:hAnsi="宋体" w:eastAsia="宋体" w:cs="仿宋_GB2312"/>
                <w:sz w:val="24"/>
                <w:szCs w:val="24"/>
              </w:rPr>
            </w:pPr>
          </w:p>
        </w:tc>
        <w:tc>
          <w:tcPr>
            <w:tcW w:w="1256" w:type="dxa"/>
            <w:vAlign w:val="center"/>
          </w:tcPr>
          <w:p>
            <w:pPr>
              <w:jc w:val="center"/>
              <w:rPr>
                <w:rFonts w:ascii="宋体" w:hAnsi="宋体" w:eastAsia="宋体" w:cs="仿宋_GB2312"/>
                <w:sz w:val="24"/>
                <w:szCs w:val="24"/>
              </w:rPr>
            </w:pPr>
          </w:p>
        </w:tc>
        <w:tc>
          <w:tcPr>
            <w:tcW w:w="1983"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659" w:type="dxa"/>
            <w:vAlign w:val="center"/>
          </w:tcPr>
          <w:p>
            <w:pPr>
              <w:numPr>
                <w:ilvl w:val="0"/>
                <w:numId w:val="65"/>
              </w:numPr>
              <w:jc w:val="center"/>
              <w:rPr>
                <w:rFonts w:ascii="宋体" w:hAnsi="宋体" w:eastAsia="宋体" w:cs="仿宋_GB2312"/>
                <w:sz w:val="24"/>
                <w:szCs w:val="24"/>
              </w:rPr>
            </w:pPr>
          </w:p>
        </w:tc>
        <w:tc>
          <w:tcPr>
            <w:tcW w:w="2389" w:type="dxa"/>
            <w:vAlign w:val="center"/>
          </w:tcPr>
          <w:p>
            <w:pPr>
              <w:jc w:val="center"/>
              <w:rPr>
                <w:rFonts w:ascii="宋体" w:hAnsi="宋体" w:eastAsia="宋体" w:cs="仿宋_GB2312"/>
                <w:sz w:val="24"/>
                <w:szCs w:val="24"/>
              </w:rPr>
            </w:pPr>
          </w:p>
        </w:tc>
        <w:tc>
          <w:tcPr>
            <w:tcW w:w="3227" w:type="dxa"/>
            <w:vAlign w:val="center"/>
          </w:tcPr>
          <w:p>
            <w:pPr>
              <w:jc w:val="center"/>
              <w:rPr>
                <w:rFonts w:ascii="宋体" w:hAnsi="宋体" w:eastAsia="宋体" w:cs="仿宋_GB2312"/>
                <w:sz w:val="24"/>
                <w:szCs w:val="24"/>
              </w:rPr>
            </w:pPr>
          </w:p>
        </w:tc>
        <w:tc>
          <w:tcPr>
            <w:tcW w:w="1256" w:type="dxa"/>
            <w:vAlign w:val="center"/>
          </w:tcPr>
          <w:p>
            <w:pPr>
              <w:jc w:val="center"/>
              <w:rPr>
                <w:rFonts w:ascii="宋体" w:hAnsi="宋体" w:eastAsia="宋体" w:cs="仿宋_GB2312"/>
                <w:sz w:val="24"/>
                <w:szCs w:val="24"/>
              </w:rPr>
            </w:pPr>
          </w:p>
        </w:tc>
        <w:tc>
          <w:tcPr>
            <w:tcW w:w="1983"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659"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w:t>
            </w:r>
          </w:p>
        </w:tc>
        <w:tc>
          <w:tcPr>
            <w:tcW w:w="2389" w:type="dxa"/>
            <w:vAlign w:val="center"/>
          </w:tcPr>
          <w:p>
            <w:pPr>
              <w:jc w:val="center"/>
              <w:rPr>
                <w:rFonts w:ascii="宋体" w:hAnsi="宋体" w:eastAsia="宋体" w:cs="仿宋_GB2312"/>
                <w:sz w:val="24"/>
                <w:szCs w:val="24"/>
              </w:rPr>
            </w:pPr>
          </w:p>
        </w:tc>
        <w:tc>
          <w:tcPr>
            <w:tcW w:w="3227" w:type="dxa"/>
            <w:vAlign w:val="center"/>
          </w:tcPr>
          <w:p>
            <w:pPr>
              <w:jc w:val="center"/>
              <w:rPr>
                <w:rFonts w:ascii="宋体" w:hAnsi="宋体" w:eastAsia="宋体" w:cs="仿宋_GB2312"/>
                <w:sz w:val="24"/>
                <w:szCs w:val="24"/>
              </w:rPr>
            </w:pPr>
          </w:p>
        </w:tc>
        <w:tc>
          <w:tcPr>
            <w:tcW w:w="1256" w:type="dxa"/>
            <w:vAlign w:val="center"/>
          </w:tcPr>
          <w:p>
            <w:pPr>
              <w:jc w:val="center"/>
              <w:rPr>
                <w:rFonts w:ascii="宋体" w:hAnsi="宋体" w:eastAsia="宋体" w:cs="仿宋_GB2312"/>
                <w:sz w:val="24"/>
                <w:szCs w:val="24"/>
              </w:rPr>
            </w:pPr>
          </w:p>
        </w:tc>
        <w:tc>
          <w:tcPr>
            <w:tcW w:w="1983" w:type="dxa"/>
            <w:vAlign w:val="center"/>
          </w:tcPr>
          <w:p>
            <w:pPr>
              <w:jc w:val="center"/>
              <w:rPr>
                <w:rFonts w:ascii="宋体" w:hAnsi="宋体" w:eastAsia="宋体" w:cs="仿宋_GB2312"/>
                <w:sz w:val="24"/>
                <w:szCs w:val="24"/>
              </w:rPr>
            </w:pPr>
          </w:p>
        </w:tc>
      </w:tr>
    </w:tbl>
    <w:p>
      <w:pPr>
        <w:spacing w:line="360" w:lineRule="auto"/>
        <w:ind w:left="1099" w:hanging="1096" w:hangingChars="455"/>
        <w:jc w:val="left"/>
        <w:rPr>
          <w:rFonts w:ascii="宋体" w:hAnsi="宋体" w:eastAsia="宋体" w:cs="Corbel"/>
          <w:sz w:val="24"/>
          <w:szCs w:val="24"/>
        </w:rPr>
      </w:pPr>
      <w:r>
        <w:rPr>
          <w:rFonts w:hint="eastAsia" w:ascii="宋体" w:hAnsi="宋体" w:eastAsia="宋体" w:cs="Corbel"/>
          <w:sz w:val="24"/>
          <w:szCs w:val="24"/>
        </w:rPr>
        <w:t>说明：1．投标人应按招标文件第五章“评标方法、程序及标准”中“技术、服务评议”的评分标准逐项说明是否满足要求，如有偏离,投标人应详细说明。未按照要求填写此表或仅注明“符合”、“满足”的，</w:t>
      </w:r>
      <w:r>
        <w:rPr>
          <w:rFonts w:hint="eastAsia" w:ascii="宋体" w:hAnsi="宋体" w:eastAsia="宋体" w:cs="Times New Roman"/>
          <w:sz w:val="24"/>
          <w:szCs w:val="24"/>
        </w:rPr>
        <w:t>导致的后果由投标人自行承担。</w:t>
      </w:r>
    </w:p>
    <w:p>
      <w:pPr>
        <w:spacing w:line="360" w:lineRule="auto"/>
        <w:ind w:left="1010" w:leftChars="306" w:hanging="365" w:hangingChars="152"/>
        <w:jc w:val="left"/>
        <w:rPr>
          <w:rFonts w:ascii="宋体" w:hAnsi="宋体" w:eastAsia="宋体" w:cs="Corbel"/>
          <w:sz w:val="24"/>
          <w:szCs w:val="24"/>
        </w:rPr>
      </w:pPr>
      <w:r>
        <w:rPr>
          <w:rFonts w:hint="eastAsia" w:ascii="宋体" w:hAnsi="宋体" w:eastAsia="宋体" w:cs="Corbel"/>
          <w:sz w:val="24"/>
          <w:szCs w:val="24"/>
        </w:rPr>
        <w:t>2．投标人提供的相关证明文件对应的页码填写到上表“投标文件对应的页码”中。如未提供页码或内容页码完全不一致的，</w:t>
      </w:r>
      <w:r>
        <w:rPr>
          <w:rFonts w:hint="eastAsia" w:ascii="宋体" w:hAnsi="宋体" w:eastAsia="宋体" w:cs="Times New Roman"/>
          <w:sz w:val="24"/>
          <w:szCs w:val="24"/>
        </w:rPr>
        <w:t>导致的后果由投标人自行承担。</w:t>
      </w:r>
    </w:p>
    <w:p>
      <w:pPr>
        <w:adjustRightInd w:val="0"/>
        <w:snapToGrid w:val="0"/>
        <w:spacing w:line="300" w:lineRule="auto"/>
        <w:ind w:left="725" w:hanging="723" w:hangingChars="300"/>
        <w:rPr>
          <w:rFonts w:ascii="宋体" w:hAnsi="宋体" w:eastAsia="宋体" w:cs="Corbel"/>
          <w:sz w:val="24"/>
          <w:szCs w:val="24"/>
        </w:rPr>
      </w:pPr>
    </w:p>
    <w:p>
      <w:pPr>
        <w:spacing w:before="100" w:beforeAutospacing="1" w:after="100" w:afterAutospacing="1" w:line="360" w:lineRule="auto"/>
        <w:ind w:firstLine="3329"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29" w:firstLineChars="1382"/>
        <w:rPr>
          <w:rFonts w:hAnsi="宋体"/>
          <w:b/>
          <w:bCs/>
          <w:sz w:val="24"/>
          <w:u w:val="single"/>
        </w:rPr>
      </w:pPr>
      <w:r>
        <w:rPr>
          <w:rFonts w:hint="eastAsia" w:ascii="宋体" w:hAnsi="宋体" w:eastAsia="宋体" w:cs="Times New Roman"/>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29" w:firstLineChars="1382"/>
      </w:pPr>
      <w:r>
        <w:rPr>
          <w:rFonts w:hint="eastAsia" w:ascii="宋体" w:hAnsi="宋体" w:eastAsia="宋体" w:cs="Times New Roman"/>
          <w:b/>
          <w:bCs/>
          <w:sz w:val="24"/>
          <w:szCs w:val="21"/>
          <w:lang w:val="zh-CN"/>
        </w:rPr>
        <w:t>投标</w:t>
      </w:r>
      <w:r>
        <w:rPr>
          <w:rFonts w:hint="eastAsia" w:hAnsi="宋体"/>
          <w:b/>
          <w:bCs/>
          <w:sz w:val="24"/>
        </w:rPr>
        <w:t>时间：</w:t>
      </w:r>
    </w:p>
    <w:p/>
    <w:p/>
    <w:sectPr>
      <w:pgSz w:w="11906" w:h="16838"/>
      <w:pgMar w:top="1417" w:right="1417" w:bottom="1417" w:left="1417" w:header="851" w:footer="850" w:gutter="0"/>
      <w:cols w:space="0" w:num="1"/>
      <w:docGrid w:type="linesAndChars" w:linePitch="317" w:charSpace="33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Noto Sans Mono CJK JP Regular">
    <w:altName w:val="Calibri"/>
    <w:panose1 w:val="00000000000000000000"/>
    <w:charset w:val="00"/>
    <w:family w:val="swiss"/>
    <w:pitch w:val="default"/>
    <w:sig w:usb0="00000000" w:usb1="00000000" w:usb2="00000000" w:usb3="00000000" w:csb0="00040001" w:csb1="00000000"/>
  </w:font>
  <w:font w:name="Segoe UI">
    <w:panose1 w:val="020B0502040204020203"/>
    <w:charset w:val="00"/>
    <w:family w:val="auto"/>
    <w:pitch w:val="default"/>
    <w:sig w:usb0="E10022FF" w:usb1="C000E47F" w:usb2="00000029" w:usb3="00000000" w:csb0="200001DF" w:csb1="2000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楷体">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0000012" w:usb3="00000000" w:csb0="4002009F" w:csb1="DFD70000"/>
  </w:font>
  <w:font w:name="Corbel">
    <w:panose1 w:val="020B0503020204020204"/>
    <w:charset w:val="00"/>
    <w:family w:val="swiss"/>
    <w:pitch w:val="default"/>
    <w:sig w:usb0="A00002EF" w:usb1="4000A44B" w:usb2="00000000" w:usb3="00000000" w:csb0="2000019F"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top w:val="single" w:color="000000" w:themeColor="text1" w:sz="4" w:space="1"/>
      </w:pBdr>
      <w:tabs>
        <w:tab w:val="clear" w:pos="4153"/>
        <w:tab w:val="clear" w:pos="8306"/>
      </w:tabs>
      <w:ind w:right="-9"/>
      <w:rPr>
        <w:rFonts w:asciiTheme="minorEastAsia" w:hAnsiTheme="minorEastAsia"/>
      </w:rPr>
    </w:pPr>
    <w:r>
      <w:rPr>
        <w:rFonts w:hint="eastAsia" w:asciiTheme="minorEastAsia" w:hAnsiTheme="minorEastAsia"/>
      </w:rPr>
      <w:t>阳新县公共资源交易中心编制</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top w:val="single" w:color="000000" w:themeColor="text1" w:sz="4" w:space="1"/>
      </w:pBdr>
      <w:tabs>
        <w:tab w:val="clear" w:pos="4153"/>
        <w:tab w:val="clear" w:pos="8306"/>
      </w:tabs>
      <w:ind w:right="-9"/>
      <w:rPr>
        <w:rFonts w:asciiTheme="minorEastAsia" w:hAnsiTheme="minorEastAsia"/>
      </w:rPr>
    </w:pPr>
    <w:r>
      <w:rPr>
        <w:rFonts w:hint="eastAsia" w:asciiTheme="minorEastAsia" w:hAnsiTheme="minorEastAsia"/>
      </w:rPr>
      <w:t>阳新县公共资源交易中心编制</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top w:val="single" w:color="000000" w:themeColor="text1" w:sz="4" w:space="1"/>
      </w:pBdr>
      <w:tabs>
        <w:tab w:val="clear" w:pos="4153"/>
        <w:tab w:val="clear" w:pos="8306"/>
      </w:tabs>
      <w:ind w:right="-9"/>
      <w:rPr>
        <w:rFonts w:asciiTheme="minorEastAsia" w:hAnsiTheme="minorEastAsia"/>
        <w:b/>
      </w:rPr>
    </w:pPr>
    <w:r>
      <w:rPr>
        <w:rFonts w:hint="eastAsia" w:asciiTheme="minorEastAsia" w:hAnsiTheme="minorEastAsia"/>
      </w:rPr>
      <w:t>阳新县公共资源交易中心编制</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top w:val="single" w:color="000000" w:themeColor="text1" w:sz="4" w:space="1"/>
      </w:pBdr>
      <w:tabs>
        <w:tab w:val="clear" w:pos="4153"/>
        <w:tab w:val="clear" w:pos="8306"/>
      </w:tabs>
      <w:ind w:right="-9"/>
      <w:jc w:val="both"/>
      <w:rPr>
        <w:rFonts w:asciiTheme="minorEastAsia" w:hAnsiTheme="minorEastAsia"/>
        <w:b/>
      </w:rPr>
    </w:pPr>
    <w:r>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dBVQXRQCAAAVBAAADgAAAAAAAAAB&#10;ACAAAAAfAQAAZHJzL2Uyb0RvYy54bWxQSwUGAAAAAAYABgBZAQAApQUAAAAA&#10;">
          <v:path/>
          <v:fill on="f" focussize="0,0"/>
          <v:stroke on="f" weight="0.5pt" joinstyle="miter"/>
          <v:imagedata o:title=""/>
          <o:lock v:ext="edit"/>
          <v:textbox inset="0mm,0mm,0mm,0mm" style="mso-fit-shape-to-text:t;">
            <w:txbxContent>
              <w:p>
                <w:pPr>
                  <w:pStyle w:val="13"/>
                </w:pPr>
                <w:r>
                  <w:rPr>
                    <w:rFonts w:hint="eastAsia"/>
                  </w:rPr>
                  <w:t>第</w:t>
                </w:r>
                <w:r>
                  <w:fldChar w:fldCharType="begin"/>
                </w:r>
                <w:r>
                  <w:instrText xml:space="preserve"> PAGE  \* MERGEFORMAT </w:instrText>
                </w:r>
                <w:r>
                  <w:fldChar w:fldCharType="separate"/>
                </w:r>
                <w:r>
                  <w:t>28</w:t>
                </w:r>
                <w:r>
                  <w:fldChar w:fldCharType="end"/>
                </w:r>
                <w:r>
                  <w:rPr>
                    <w:rFonts w:hint="eastAsia"/>
                  </w:rPr>
                  <w:t>页共 54 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single" w:color="000000" w:themeColor="text1" w:sz="4" w:space="1"/>
      </w:pBdr>
      <w:tabs>
        <w:tab w:val="clear" w:pos="4153"/>
      </w:tabs>
      <w:jc w:val="left"/>
      <w:rPr>
        <w:rFonts w:hint="eastAsia"/>
        <w:b/>
      </w:rPr>
    </w:pPr>
    <w:r>
      <w:rPr>
        <w:rFonts w:hint="eastAsia"/>
        <w:b/>
      </w:rPr>
      <w:t>项目名称</w:t>
    </w:r>
    <w:r>
      <w:rPr>
        <w:rFonts w:hint="eastAsia" w:asciiTheme="minorEastAsia" w:hAnsiTheme="minorEastAsia"/>
        <w:b/>
      </w:rPr>
      <w:t>：</w:t>
    </w:r>
    <w:r>
      <w:rPr>
        <w:rFonts w:hint="eastAsia"/>
        <w:b/>
      </w:rPr>
      <w:t>阳新县地名志编纂出版招标项目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17788"/>
    <w:multiLevelType w:val="multilevel"/>
    <w:tmpl w:val="00317788"/>
    <w:lvl w:ilvl="0" w:tentative="0">
      <w:start w:val="1"/>
      <w:numFmt w:val="decimal"/>
      <w:lvlText w:val="3.%1 "/>
      <w:lvlJc w:val="left"/>
      <w:pPr>
        <w:ind w:left="3681" w:hanging="420"/>
      </w:pPr>
      <w:rPr>
        <w:rFonts w:hint="default" w:ascii="仿宋" w:hAnsi="仿宋" w:eastAsia="仿宋"/>
        <w:b w:val="0"/>
        <w:strike w:val="0"/>
        <w:color w:val="auto"/>
      </w:rPr>
    </w:lvl>
    <w:lvl w:ilvl="1" w:tentative="0">
      <w:start w:val="1"/>
      <w:numFmt w:val="lowerLetter"/>
      <w:lvlText w:val="%2)"/>
      <w:lvlJc w:val="left"/>
      <w:pPr>
        <w:ind w:left="3643" w:hanging="420"/>
      </w:pPr>
    </w:lvl>
    <w:lvl w:ilvl="2" w:tentative="0">
      <w:start w:val="1"/>
      <w:numFmt w:val="lowerRoman"/>
      <w:lvlText w:val="%3."/>
      <w:lvlJc w:val="right"/>
      <w:pPr>
        <w:ind w:left="4063" w:hanging="420"/>
      </w:pPr>
    </w:lvl>
    <w:lvl w:ilvl="3" w:tentative="0">
      <w:start w:val="1"/>
      <w:numFmt w:val="decimal"/>
      <w:lvlText w:val="%4."/>
      <w:lvlJc w:val="left"/>
      <w:pPr>
        <w:ind w:left="4483" w:hanging="420"/>
      </w:pPr>
    </w:lvl>
    <w:lvl w:ilvl="4" w:tentative="0">
      <w:start w:val="1"/>
      <w:numFmt w:val="lowerLetter"/>
      <w:lvlText w:val="%5)"/>
      <w:lvlJc w:val="left"/>
      <w:pPr>
        <w:ind w:left="4903" w:hanging="420"/>
      </w:pPr>
    </w:lvl>
    <w:lvl w:ilvl="5" w:tentative="0">
      <w:start w:val="1"/>
      <w:numFmt w:val="lowerRoman"/>
      <w:lvlText w:val="%6."/>
      <w:lvlJc w:val="right"/>
      <w:pPr>
        <w:ind w:left="5323" w:hanging="420"/>
      </w:pPr>
    </w:lvl>
    <w:lvl w:ilvl="6" w:tentative="0">
      <w:start w:val="1"/>
      <w:numFmt w:val="decimal"/>
      <w:lvlText w:val="%7."/>
      <w:lvlJc w:val="left"/>
      <w:pPr>
        <w:ind w:left="5743" w:hanging="420"/>
      </w:pPr>
    </w:lvl>
    <w:lvl w:ilvl="7" w:tentative="0">
      <w:start w:val="1"/>
      <w:numFmt w:val="lowerLetter"/>
      <w:lvlText w:val="%8)"/>
      <w:lvlJc w:val="left"/>
      <w:pPr>
        <w:ind w:left="6163" w:hanging="420"/>
      </w:pPr>
    </w:lvl>
    <w:lvl w:ilvl="8" w:tentative="0">
      <w:start w:val="1"/>
      <w:numFmt w:val="lowerRoman"/>
      <w:lvlText w:val="%9."/>
      <w:lvlJc w:val="right"/>
      <w:pPr>
        <w:ind w:left="6583" w:hanging="420"/>
      </w:pPr>
    </w:lvl>
  </w:abstractNum>
  <w:abstractNum w:abstractNumId="1">
    <w:nsid w:val="0068509E"/>
    <w:multiLevelType w:val="multilevel"/>
    <w:tmpl w:val="0068509E"/>
    <w:lvl w:ilvl="0" w:tentative="0">
      <w:start w:val="1"/>
      <w:numFmt w:val="decimal"/>
      <w:lvlText w:val="35.%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3226416"/>
    <w:multiLevelType w:val="multilevel"/>
    <w:tmpl w:val="03226416"/>
    <w:lvl w:ilvl="0" w:tentative="0">
      <w:start w:val="1"/>
      <w:numFmt w:val="chineseCountingThousand"/>
      <w:lvlText w:val="%1、"/>
      <w:lvlJc w:val="left"/>
      <w:pPr>
        <w:ind w:left="420" w:hanging="420"/>
      </w:pPr>
      <w:rPr>
        <w:rFonts w:hint="eastAsia"/>
        <w:sz w:val="30"/>
        <w:szCs w:val="3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8112400"/>
    <w:multiLevelType w:val="multilevel"/>
    <w:tmpl w:val="08112400"/>
    <w:lvl w:ilvl="0" w:tentative="0">
      <w:start w:val="1"/>
      <w:numFmt w:val="decimal"/>
      <w:lvlText w:val="8.%1"/>
      <w:lvlJc w:val="left"/>
      <w:pPr>
        <w:ind w:left="988" w:hanging="420"/>
      </w:pPr>
      <w:rPr>
        <w:rFonts w:hint="default" w:ascii="仿宋" w:hAnsi="仿宋" w:eastAsia="仿宋"/>
        <w:b w:val="0"/>
        <w:color w:val="auto"/>
      </w:rPr>
    </w:lvl>
    <w:lvl w:ilvl="1" w:tentative="0">
      <w:start w:val="1"/>
      <w:numFmt w:val="lowerLetter"/>
      <w:lvlText w:val="%2)"/>
      <w:lvlJc w:val="left"/>
      <w:pPr>
        <w:ind w:left="1408" w:hanging="420"/>
      </w:pPr>
    </w:lvl>
    <w:lvl w:ilvl="2" w:tentative="0">
      <w:start w:val="1"/>
      <w:numFmt w:val="lowerRoman"/>
      <w:lvlText w:val="%3."/>
      <w:lvlJc w:val="right"/>
      <w:pPr>
        <w:ind w:left="1828" w:hanging="420"/>
      </w:pPr>
    </w:lvl>
    <w:lvl w:ilvl="3" w:tentative="0">
      <w:start w:val="1"/>
      <w:numFmt w:val="decimal"/>
      <w:lvlText w:val="%4."/>
      <w:lvlJc w:val="left"/>
      <w:pPr>
        <w:ind w:left="2248" w:hanging="420"/>
      </w:pPr>
    </w:lvl>
    <w:lvl w:ilvl="4" w:tentative="0">
      <w:start w:val="1"/>
      <w:numFmt w:val="lowerLetter"/>
      <w:lvlText w:val="%5)"/>
      <w:lvlJc w:val="left"/>
      <w:pPr>
        <w:ind w:left="2668" w:hanging="420"/>
      </w:pPr>
    </w:lvl>
    <w:lvl w:ilvl="5" w:tentative="0">
      <w:start w:val="1"/>
      <w:numFmt w:val="lowerRoman"/>
      <w:lvlText w:val="%6."/>
      <w:lvlJc w:val="right"/>
      <w:pPr>
        <w:ind w:left="3088" w:hanging="420"/>
      </w:pPr>
    </w:lvl>
    <w:lvl w:ilvl="6" w:tentative="0">
      <w:start w:val="1"/>
      <w:numFmt w:val="decimal"/>
      <w:lvlText w:val="%7."/>
      <w:lvlJc w:val="left"/>
      <w:pPr>
        <w:ind w:left="3508" w:hanging="420"/>
      </w:pPr>
    </w:lvl>
    <w:lvl w:ilvl="7" w:tentative="0">
      <w:start w:val="1"/>
      <w:numFmt w:val="lowerLetter"/>
      <w:lvlText w:val="%8)"/>
      <w:lvlJc w:val="left"/>
      <w:pPr>
        <w:ind w:left="3928" w:hanging="420"/>
      </w:pPr>
    </w:lvl>
    <w:lvl w:ilvl="8" w:tentative="0">
      <w:start w:val="1"/>
      <w:numFmt w:val="lowerRoman"/>
      <w:lvlText w:val="%9."/>
      <w:lvlJc w:val="right"/>
      <w:pPr>
        <w:ind w:left="4348" w:hanging="420"/>
      </w:pPr>
    </w:lvl>
  </w:abstractNum>
  <w:abstractNum w:abstractNumId="4">
    <w:nsid w:val="092D2B91"/>
    <w:multiLevelType w:val="multilevel"/>
    <w:tmpl w:val="092D2B91"/>
    <w:lvl w:ilvl="0" w:tentative="0">
      <w:start w:val="1"/>
      <w:numFmt w:val="decimal"/>
      <w:lvlText w:val="3.%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EA0403F"/>
    <w:multiLevelType w:val="multilevel"/>
    <w:tmpl w:val="0EA0403F"/>
    <w:lvl w:ilvl="0" w:tentative="0">
      <w:start w:val="1"/>
      <w:numFmt w:val="decimal"/>
      <w:lvlText w:val="%1. "/>
      <w:lvlJc w:val="left"/>
      <w:pPr>
        <w:ind w:left="988" w:hanging="420"/>
      </w:pPr>
      <w:rPr>
        <w:rFonts w:hint="default" w:ascii="宋体" w:hAnsi="宋体" w:eastAsia="宋体"/>
        <w:b/>
        <w:strike w:val="0"/>
        <w:color w:val="auto"/>
      </w:rPr>
    </w:lvl>
    <w:lvl w:ilvl="1" w:tentative="0">
      <w:start w:val="1"/>
      <w:numFmt w:val="lowerLetter"/>
      <w:lvlText w:val="%2)"/>
      <w:lvlJc w:val="left"/>
      <w:pPr>
        <w:ind w:left="2881" w:hanging="420"/>
      </w:pPr>
    </w:lvl>
    <w:lvl w:ilvl="2" w:tentative="0">
      <w:start w:val="1"/>
      <w:numFmt w:val="lowerRoman"/>
      <w:lvlText w:val="%3."/>
      <w:lvlJc w:val="right"/>
      <w:pPr>
        <w:ind w:left="3301" w:hanging="420"/>
      </w:pPr>
    </w:lvl>
    <w:lvl w:ilvl="3" w:tentative="0">
      <w:start w:val="1"/>
      <w:numFmt w:val="decimal"/>
      <w:lvlText w:val="%4."/>
      <w:lvlJc w:val="left"/>
      <w:pPr>
        <w:ind w:left="3721" w:hanging="420"/>
      </w:pPr>
    </w:lvl>
    <w:lvl w:ilvl="4" w:tentative="0">
      <w:start w:val="1"/>
      <w:numFmt w:val="lowerLetter"/>
      <w:lvlText w:val="%5)"/>
      <w:lvlJc w:val="left"/>
      <w:pPr>
        <w:ind w:left="4141" w:hanging="420"/>
      </w:pPr>
    </w:lvl>
    <w:lvl w:ilvl="5" w:tentative="0">
      <w:start w:val="1"/>
      <w:numFmt w:val="lowerRoman"/>
      <w:lvlText w:val="%6."/>
      <w:lvlJc w:val="right"/>
      <w:pPr>
        <w:ind w:left="4561" w:hanging="420"/>
      </w:pPr>
    </w:lvl>
    <w:lvl w:ilvl="6" w:tentative="0">
      <w:start w:val="1"/>
      <w:numFmt w:val="decimal"/>
      <w:lvlText w:val="%7."/>
      <w:lvlJc w:val="left"/>
      <w:pPr>
        <w:ind w:left="4981" w:hanging="420"/>
      </w:pPr>
    </w:lvl>
    <w:lvl w:ilvl="7" w:tentative="0">
      <w:start w:val="1"/>
      <w:numFmt w:val="lowerLetter"/>
      <w:lvlText w:val="%8)"/>
      <w:lvlJc w:val="left"/>
      <w:pPr>
        <w:ind w:left="5401" w:hanging="420"/>
      </w:pPr>
    </w:lvl>
    <w:lvl w:ilvl="8" w:tentative="0">
      <w:start w:val="1"/>
      <w:numFmt w:val="lowerRoman"/>
      <w:lvlText w:val="%9."/>
      <w:lvlJc w:val="right"/>
      <w:pPr>
        <w:ind w:left="5821" w:hanging="420"/>
      </w:pPr>
    </w:lvl>
  </w:abstractNum>
  <w:abstractNum w:abstractNumId="6">
    <w:nsid w:val="0EB600DC"/>
    <w:multiLevelType w:val="multilevel"/>
    <w:tmpl w:val="0EB600DC"/>
    <w:lvl w:ilvl="0" w:tentative="0">
      <w:start w:val="1"/>
      <w:numFmt w:val="decimal"/>
      <w:lvlText w:val="27.%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0F196355"/>
    <w:multiLevelType w:val="multilevel"/>
    <w:tmpl w:val="0F196355"/>
    <w:lvl w:ilvl="0" w:tentative="0">
      <w:start w:val="1"/>
      <w:numFmt w:val="decimal"/>
      <w:lvlText w:val="15.%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12F3169F"/>
    <w:multiLevelType w:val="multilevel"/>
    <w:tmpl w:val="12F3169F"/>
    <w:lvl w:ilvl="0" w:tentative="0">
      <w:start w:val="1"/>
      <w:numFmt w:val="decimal"/>
      <w:lvlText w:val="18.%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1433242D"/>
    <w:multiLevelType w:val="multilevel"/>
    <w:tmpl w:val="1433242D"/>
    <w:lvl w:ilvl="0" w:tentative="0">
      <w:start w:val="1"/>
      <w:numFmt w:val="decimal"/>
      <w:lvlText w:val="%1）"/>
      <w:lvlJc w:val="left"/>
      <w:pPr>
        <w:ind w:left="906" w:hanging="420"/>
      </w:pPr>
      <w:rPr>
        <w:rFonts w:hint="eastAsia"/>
      </w:rPr>
    </w:lvl>
    <w:lvl w:ilvl="1" w:tentative="0">
      <w:start w:val="1"/>
      <w:numFmt w:val="lowerLetter"/>
      <w:lvlText w:val="%2)"/>
      <w:lvlJc w:val="left"/>
      <w:pPr>
        <w:ind w:left="1326" w:hanging="420"/>
      </w:pPr>
    </w:lvl>
    <w:lvl w:ilvl="2" w:tentative="0">
      <w:start w:val="1"/>
      <w:numFmt w:val="lowerRoman"/>
      <w:lvlText w:val="%3."/>
      <w:lvlJc w:val="right"/>
      <w:pPr>
        <w:ind w:left="1746" w:hanging="420"/>
      </w:pPr>
    </w:lvl>
    <w:lvl w:ilvl="3" w:tentative="0">
      <w:start w:val="1"/>
      <w:numFmt w:val="decimal"/>
      <w:lvlText w:val="%4."/>
      <w:lvlJc w:val="left"/>
      <w:pPr>
        <w:ind w:left="2166" w:hanging="420"/>
      </w:pPr>
    </w:lvl>
    <w:lvl w:ilvl="4" w:tentative="0">
      <w:start w:val="1"/>
      <w:numFmt w:val="lowerLetter"/>
      <w:lvlText w:val="%5)"/>
      <w:lvlJc w:val="left"/>
      <w:pPr>
        <w:ind w:left="2586" w:hanging="420"/>
      </w:pPr>
    </w:lvl>
    <w:lvl w:ilvl="5" w:tentative="0">
      <w:start w:val="1"/>
      <w:numFmt w:val="lowerRoman"/>
      <w:lvlText w:val="%6."/>
      <w:lvlJc w:val="right"/>
      <w:pPr>
        <w:ind w:left="3006" w:hanging="420"/>
      </w:pPr>
    </w:lvl>
    <w:lvl w:ilvl="6" w:tentative="0">
      <w:start w:val="1"/>
      <w:numFmt w:val="decimal"/>
      <w:lvlText w:val="%7."/>
      <w:lvlJc w:val="left"/>
      <w:pPr>
        <w:ind w:left="3426" w:hanging="420"/>
      </w:pPr>
    </w:lvl>
    <w:lvl w:ilvl="7" w:tentative="0">
      <w:start w:val="1"/>
      <w:numFmt w:val="lowerLetter"/>
      <w:lvlText w:val="%8)"/>
      <w:lvlJc w:val="left"/>
      <w:pPr>
        <w:ind w:left="3846" w:hanging="420"/>
      </w:pPr>
    </w:lvl>
    <w:lvl w:ilvl="8" w:tentative="0">
      <w:start w:val="1"/>
      <w:numFmt w:val="lowerRoman"/>
      <w:lvlText w:val="%9."/>
      <w:lvlJc w:val="right"/>
      <w:pPr>
        <w:ind w:left="4266" w:hanging="420"/>
      </w:pPr>
    </w:lvl>
  </w:abstractNum>
  <w:abstractNum w:abstractNumId="10">
    <w:nsid w:val="143A1834"/>
    <w:multiLevelType w:val="multilevel"/>
    <w:tmpl w:val="143A1834"/>
    <w:lvl w:ilvl="0" w:tentative="0">
      <w:start w:val="1"/>
      <w:numFmt w:val="chineseCountingThousand"/>
      <w:lvlText w:val="附件%1、"/>
      <w:lvlJc w:val="left"/>
      <w:pPr>
        <w:ind w:left="420" w:hanging="420"/>
      </w:pPr>
      <w:rPr>
        <w:rFonts w:hint="eastAsia" w:ascii="宋体" w:hAnsi="宋体" w:eastAsia="宋体"/>
        <w:b/>
        <w:i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15F76080"/>
    <w:multiLevelType w:val="multilevel"/>
    <w:tmpl w:val="15F76080"/>
    <w:lvl w:ilvl="0" w:tentative="0">
      <w:start w:val="1"/>
      <w:numFmt w:val="decimal"/>
      <w:lvlText w:val="4.%1 "/>
      <w:lvlJc w:val="left"/>
      <w:pPr>
        <w:ind w:left="3681" w:hanging="420"/>
      </w:pPr>
      <w:rPr>
        <w:rFonts w:hint="default" w:ascii="仿宋" w:hAnsi="仿宋" w:eastAsia="仿宋"/>
        <w:b w:val="0"/>
        <w:strike w:val="0"/>
        <w:color w:val="auto"/>
      </w:rPr>
    </w:lvl>
    <w:lvl w:ilvl="1" w:tentative="0">
      <w:start w:val="1"/>
      <w:numFmt w:val="lowerLetter"/>
      <w:lvlText w:val="%2)"/>
      <w:lvlJc w:val="left"/>
      <w:pPr>
        <w:ind w:left="3643" w:hanging="420"/>
      </w:pPr>
    </w:lvl>
    <w:lvl w:ilvl="2" w:tentative="0">
      <w:start w:val="1"/>
      <w:numFmt w:val="lowerRoman"/>
      <w:lvlText w:val="%3."/>
      <w:lvlJc w:val="right"/>
      <w:pPr>
        <w:ind w:left="4063" w:hanging="420"/>
      </w:pPr>
    </w:lvl>
    <w:lvl w:ilvl="3" w:tentative="0">
      <w:start w:val="1"/>
      <w:numFmt w:val="decimal"/>
      <w:lvlText w:val="%4."/>
      <w:lvlJc w:val="left"/>
      <w:pPr>
        <w:ind w:left="4483" w:hanging="420"/>
      </w:pPr>
    </w:lvl>
    <w:lvl w:ilvl="4" w:tentative="0">
      <w:start w:val="1"/>
      <w:numFmt w:val="lowerLetter"/>
      <w:lvlText w:val="%5)"/>
      <w:lvlJc w:val="left"/>
      <w:pPr>
        <w:ind w:left="4903" w:hanging="420"/>
      </w:pPr>
    </w:lvl>
    <w:lvl w:ilvl="5" w:tentative="0">
      <w:start w:val="1"/>
      <w:numFmt w:val="lowerRoman"/>
      <w:lvlText w:val="%6."/>
      <w:lvlJc w:val="right"/>
      <w:pPr>
        <w:ind w:left="5323" w:hanging="420"/>
      </w:pPr>
    </w:lvl>
    <w:lvl w:ilvl="6" w:tentative="0">
      <w:start w:val="1"/>
      <w:numFmt w:val="decimal"/>
      <w:lvlText w:val="%7."/>
      <w:lvlJc w:val="left"/>
      <w:pPr>
        <w:ind w:left="5743" w:hanging="420"/>
      </w:pPr>
    </w:lvl>
    <w:lvl w:ilvl="7" w:tentative="0">
      <w:start w:val="1"/>
      <w:numFmt w:val="lowerLetter"/>
      <w:lvlText w:val="%8)"/>
      <w:lvlJc w:val="left"/>
      <w:pPr>
        <w:ind w:left="6163" w:hanging="420"/>
      </w:pPr>
    </w:lvl>
    <w:lvl w:ilvl="8" w:tentative="0">
      <w:start w:val="1"/>
      <w:numFmt w:val="lowerRoman"/>
      <w:lvlText w:val="%9."/>
      <w:lvlJc w:val="right"/>
      <w:pPr>
        <w:ind w:left="6583" w:hanging="420"/>
      </w:pPr>
    </w:lvl>
  </w:abstractNum>
  <w:abstractNum w:abstractNumId="12">
    <w:nsid w:val="1636573F"/>
    <w:multiLevelType w:val="multilevel"/>
    <w:tmpl w:val="1636573F"/>
    <w:lvl w:ilvl="0" w:tentative="0">
      <w:start w:val="1"/>
      <w:numFmt w:val="decimal"/>
      <w:lvlText w:val="1.%1"/>
      <w:lvlJc w:val="left"/>
      <w:pPr>
        <w:ind w:left="420" w:hanging="420"/>
      </w:pPr>
      <w:rPr>
        <w:rFonts w:hint="eastAsia"/>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16962145"/>
    <w:multiLevelType w:val="multilevel"/>
    <w:tmpl w:val="16962145"/>
    <w:lvl w:ilvl="0" w:tentative="0">
      <w:start w:val="1"/>
      <w:numFmt w:val="decimal"/>
      <w:lvlText w:val="2.%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22067FA2"/>
    <w:multiLevelType w:val="multilevel"/>
    <w:tmpl w:val="22067FA2"/>
    <w:lvl w:ilvl="0" w:tentative="0">
      <w:start w:val="1"/>
      <w:numFmt w:val="decimal"/>
      <w:lvlText w:val="%1"/>
      <w:lvlJc w:val="left"/>
      <w:pPr>
        <w:tabs>
          <w:tab w:val="left" w:pos="432"/>
        </w:tabs>
        <w:ind w:left="432" w:hanging="432"/>
      </w:pPr>
      <w:rPr>
        <w:rFonts w:hint="eastAsia"/>
      </w:rPr>
    </w:lvl>
    <w:lvl w:ilvl="1" w:tentative="0">
      <w:start w:val="1"/>
      <w:numFmt w:val="decimal"/>
      <w:lvlText w:val="%1.%2"/>
      <w:lvlJc w:val="left"/>
      <w:pPr>
        <w:tabs>
          <w:tab w:val="left" w:pos="576"/>
        </w:tabs>
        <w:ind w:left="576" w:hanging="576"/>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pStyle w:val="6"/>
      <w:lvlText w:val="%1.%2.%3.%4"/>
      <w:lvlJc w:val="left"/>
      <w:pPr>
        <w:tabs>
          <w:tab w:val="left" w:pos="864"/>
        </w:tabs>
        <w:ind w:left="864" w:hanging="864"/>
      </w:pPr>
      <w:rPr>
        <w:rFonts w:hint="default" w:ascii="Arial" w:hAnsi="Arial" w:cs="Arial"/>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5">
    <w:nsid w:val="25015415"/>
    <w:multiLevelType w:val="multilevel"/>
    <w:tmpl w:val="25015415"/>
    <w:lvl w:ilvl="0" w:tentative="0">
      <w:start w:val="1"/>
      <w:numFmt w:val="decimal"/>
      <w:lvlText w:val="%1. "/>
      <w:lvlJc w:val="left"/>
      <w:pPr>
        <w:ind w:left="2121" w:hanging="420"/>
      </w:pPr>
      <w:rPr>
        <w:rFonts w:hint="default" w:ascii="宋体" w:hAnsi="宋体" w:eastAsia="宋体"/>
        <w:b/>
        <w:strike w:val="0"/>
        <w:color w:val="auto"/>
      </w:rPr>
    </w:lvl>
    <w:lvl w:ilvl="1" w:tentative="0">
      <w:start w:val="1"/>
      <w:numFmt w:val="lowerLetter"/>
      <w:lvlText w:val="%2)"/>
      <w:lvlJc w:val="left"/>
      <w:pPr>
        <w:ind w:left="2881" w:hanging="420"/>
      </w:pPr>
    </w:lvl>
    <w:lvl w:ilvl="2" w:tentative="0">
      <w:start w:val="1"/>
      <w:numFmt w:val="lowerRoman"/>
      <w:lvlText w:val="%3."/>
      <w:lvlJc w:val="right"/>
      <w:pPr>
        <w:ind w:left="3301" w:hanging="420"/>
      </w:pPr>
    </w:lvl>
    <w:lvl w:ilvl="3" w:tentative="0">
      <w:start w:val="1"/>
      <w:numFmt w:val="decimal"/>
      <w:lvlText w:val="%4."/>
      <w:lvlJc w:val="left"/>
      <w:pPr>
        <w:ind w:left="3721" w:hanging="420"/>
      </w:pPr>
    </w:lvl>
    <w:lvl w:ilvl="4" w:tentative="0">
      <w:start w:val="1"/>
      <w:numFmt w:val="lowerLetter"/>
      <w:lvlText w:val="%5)"/>
      <w:lvlJc w:val="left"/>
      <w:pPr>
        <w:ind w:left="4141" w:hanging="420"/>
      </w:pPr>
    </w:lvl>
    <w:lvl w:ilvl="5" w:tentative="0">
      <w:start w:val="1"/>
      <w:numFmt w:val="lowerRoman"/>
      <w:lvlText w:val="%6."/>
      <w:lvlJc w:val="right"/>
      <w:pPr>
        <w:ind w:left="4561" w:hanging="420"/>
      </w:pPr>
    </w:lvl>
    <w:lvl w:ilvl="6" w:tentative="0">
      <w:start w:val="1"/>
      <w:numFmt w:val="decimal"/>
      <w:lvlText w:val="%7."/>
      <w:lvlJc w:val="left"/>
      <w:pPr>
        <w:ind w:left="4981" w:hanging="420"/>
      </w:pPr>
    </w:lvl>
    <w:lvl w:ilvl="7" w:tentative="0">
      <w:start w:val="1"/>
      <w:numFmt w:val="lowerLetter"/>
      <w:lvlText w:val="%8)"/>
      <w:lvlJc w:val="left"/>
      <w:pPr>
        <w:ind w:left="5401" w:hanging="420"/>
      </w:pPr>
    </w:lvl>
    <w:lvl w:ilvl="8" w:tentative="0">
      <w:start w:val="1"/>
      <w:numFmt w:val="lowerRoman"/>
      <w:lvlText w:val="%9."/>
      <w:lvlJc w:val="right"/>
      <w:pPr>
        <w:ind w:left="5821" w:hanging="420"/>
      </w:pPr>
    </w:lvl>
  </w:abstractNum>
  <w:abstractNum w:abstractNumId="16">
    <w:nsid w:val="251B2B6C"/>
    <w:multiLevelType w:val="multilevel"/>
    <w:tmpl w:val="251B2B6C"/>
    <w:lvl w:ilvl="0" w:tentative="0">
      <w:start w:val="1"/>
      <w:numFmt w:val="chineseCountingThousand"/>
      <w:lvlText w:val="（%1） "/>
      <w:lvlJc w:val="left"/>
      <w:pPr>
        <w:ind w:left="902" w:hanging="420"/>
      </w:pPr>
      <w:rPr>
        <w:rFonts w:hint="eastAsia"/>
        <w:b/>
        <w:strike w:val="0"/>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17">
    <w:nsid w:val="251F49FC"/>
    <w:multiLevelType w:val="multilevel"/>
    <w:tmpl w:val="251F49FC"/>
    <w:lvl w:ilvl="0" w:tentative="0">
      <w:start w:val="1"/>
      <w:numFmt w:val="decimal"/>
      <w:lvlText w:val="%1."/>
      <w:lvlJc w:val="left"/>
      <w:pPr>
        <w:ind w:left="902" w:hanging="420"/>
      </w:pPr>
      <w:rPr>
        <w:rFonts w:hint="default" w:ascii="宋体" w:hAnsi="宋体" w:eastAsia="宋体"/>
        <w:b w:val="0"/>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18">
    <w:nsid w:val="279A794F"/>
    <w:multiLevelType w:val="multilevel"/>
    <w:tmpl w:val="279A794F"/>
    <w:lvl w:ilvl="0" w:tentative="0">
      <w:start w:val="1"/>
      <w:numFmt w:val="decimal"/>
      <w:lvlText w:val="3.%1 "/>
      <w:lvlJc w:val="left"/>
      <w:pPr>
        <w:ind w:left="3681" w:hanging="420"/>
      </w:pPr>
      <w:rPr>
        <w:rFonts w:hint="default" w:ascii="仿宋" w:hAnsi="仿宋" w:eastAsia="仿宋"/>
        <w:b w:val="0"/>
        <w:strike w:val="0"/>
        <w:color w:val="auto"/>
      </w:rPr>
    </w:lvl>
    <w:lvl w:ilvl="1" w:tentative="0">
      <w:start w:val="1"/>
      <w:numFmt w:val="lowerLetter"/>
      <w:lvlText w:val="%2)"/>
      <w:lvlJc w:val="left"/>
      <w:pPr>
        <w:ind w:left="3643" w:hanging="420"/>
      </w:pPr>
    </w:lvl>
    <w:lvl w:ilvl="2" w:tentative="0">
      <w:start w:val="1"/>
      <w:numFmt w:val="lowerRoman"/>
      <w:lvlText w:val="%3."/>
      <w:lvlJc w:val="right"/>
      <w:pPr>
        <w:ind w:left="4063" w:hanging="420"/>
      </w:pPr>
    </w:lvl>
    <w:lvl w:ilvl="3" w:tentative="0">
      <w:start w:val="1"/>
      <w:numFmt w:val="decimal"/>
      <w:lvlText w:val="%4."/>
      <w:lvlJc w:val="left"/>
      <w:pPr>
        <w:ind w:left="4483" w:hanging="420"/>
      </w:pPr>
    </w:lvl>
    <w:lvl w:ilvl="4" w:tentative="0">
      <w:start w:val="1"/>
      <w:numFmt w:val="lowerLetter"/>
      <w:lvlText w:val="%5)"/>
      <w:lvlJc w:val="left"/>
      <w:pPr>
        <w:ind w:left="4903" w:hanging="420"/>
      </w:pPr>
    </w:lvl>
    <w:lvl w:ilvl="5" w:tentative="0">
      <w:start w:val="1"/>
      <w:numFmt w:val="lowerRoman"/>
      <w:lvlText w:val="%6."/>
      <w:lvlJc w:val="right"/>
      <w:pPr>
        <w:ind w:left="5323" w:hanging="420"/>
      </w:pPr>
    </w:lvl>
    <w:lvl w:ilvl="6" w:tentative="0">
      <w:start w:val="1"/>
      <w:numFmt w:val="decimal"/>
      <w:lvlText w:val="%7."/>
      <w:lvlJc w:val="left"/>
      <w:pPr>
        <w:ind w:left="5743" w:hanging="420"/>
      </w:pPr>
    </w:lvl>
    <w:lvl w:ilvl="7" w:tentative="0">
      <w:start w:val="1"/>
      <w:numFmt w:val="lowerLetter"/>
      <w:lvlText w:val="%8)"/>
      <w:lvlJc w:val="left"/>
      <w:pPr>
        <w:ind w:left="6163" w:hanging="420"/>
      </w:pPr>
    </w:lvl>
    <w:lvl w:ilvl="8" w:tentative="0">
      <w:start w:val="1"/>
      <w:numFmt w:val="lowerRoman"/>
      <w:lvlText w:val="%9."/>
      <w:lvlJc w:val="right"/>
      <w:pPr>
        <w:ind w:left="6583" w:hanging="420"/>
      </w:pPr>
    </w:lvl>
  </w:abstractNum>
  <w:abstractNum w:abstractNumId="19">
    <w:nsid w:val="27FE7BA7"/>
    <w:multiLevelType w:val="multilevel"/>
    <w:tmpl w:val="27FE7BA7"/>
    <w:lvl w:ilvl="0" w:tentative="0">
      <w:start w:val="1"/>
      <w:numFmt w:val="decimal"/>
      <w:lvlText w:val="27.1.%1 "/>
      <w:lvlJc w:val="left"/>
      <w:pPr>
        <w:ind w:left="643" w:hanging="420"/>
      </w:pPr>
      <w:rPr>
        <w:rFonts w:hint="default" w:ascii="楷体" w:hAnsi="楷体" w:eastAsia="楷体"/>
        <w:b w:val="0"/>
        <w:strike w:val="0"/>
        <w:color w:val="auto"/>
      </w:rPr>
    </w:lvl>
    <w:lvl w:ilvl="1" w:tentative="0">
      <w:start w:val="1"/>
      <w:numFmt w:val="lowerLetter"/>
      <w:lvlText w:val="%2)"/>
      <w:lvlJc w:val="left"/>
      <w:pPr>
        <w:ind w:left="1063" w:hanging="420"/>
      </w:pPr>
    </w:lvl>
    <w:lvl w:ilvl="2" w:tentative="0">
      <w:start w:val="1"/>
      <w:numFmt w:val="lowerRoman"/>
      <w:lvlText w:val="%3."/>
      <w:lvlJc w:val="right"/>
      <w:pPr>
        <w:ind w:left="1483" w:hanging="420"/>
      </w:pPr>
    </w:lvl>
    <w:lvl w:ilvl="3" w:tentative="0">
      <w:start w:val="1"/>
      <w:numFmt w:val="decimal"/>
      <w:lvlText w:val="%4."/>
      <w:lvlJc w:val="left"/>
      <w:pPr>
        <w:ind w:left="1903" w:hanging="420"/>
      </w:pPr>
    </w:lvl>
    <w:lvl w:ilvl="4" w:tentative="0">
      <w:start w:val="1"/>
      <w:numFmt w:val="lowerLetter"/>
      <w:lvlText w:val="%5)"/>
      <w:lvlJc w:val="left"/>
      <w:pPr>
        <w:ind w:left="2323" w:hanging="420"/>
      </w:pPr>
    </w:lvl>
    <w:lvl w:ilvl="5" w:tentative="0">
      <w:start w:val="1"/>
      <w:numFmt w:val="lowerRoman"/>
      <w:lvlText w:val="%6."/>
      <w:lvlJc w:val="right"/>
      <w:pPr>
        <w:ind w:left="2743" w:hanging="420"/>
      </w:pPr>
    </w:lvl>
    <w:lvl w:ilvl="6" w:tentative="0">
      <w:start w:val="1"/>
      <w:numFmt w:val="decimal"/>
      <w:lvlText w:val="%7."/>
      <w:lvlJc w:val="left"/>
      <w:pPr>
        <w:ind w:left="3163" w:hanging="420"/>
      </w:pPr>
    </w:lvl>
    <w:lvl w:ilvl="7" w:tentative="0">
      <w:start w:val="1"/>
      <w:numFmt w:val="lowerLetter"/>
      <w:lvlText w:val="%8)"/>
      <w:lvlJc w:val="left"/>
      <w:pPr>
        <w:ind w:left="3583" w:hanging="420"/>
      </w:pPr>
    </w:lvl>
    <w:lvl w:ilvl="8" w:tentative="0">
      <w:start w:val="1"/>
      <w:numFmt w:val="lowerRoman"/>
      <w:lvlText w:val="%9."/>
      <w:lvlJc w:val="right"/>
      <w:pPr>
        <w:ind w:left="4003" w:hanging="420"/>
      </w:pPr>
    </w:lvl>
  </w:abstractNum>
  <w:abstractNum w:abstractNumId="20">
    <w:nsid w:val="28AA4AF5"/>
    <w:multiLevelType w:val="multilevel"/>
    <w:tmpl w:val="28AA4AF5"/>
    <w:lvl w:ilvl="0" w:tentative="0">
      <w:start w:val="1"/>
      <w:numFmt w:val="decimal"/>
      <w:lvlText w:val="%1. "/>
      <w:lvlJc w:val="left"/>
      <w:pPr>
        <w:ind w:left="824" w:hanging="420"/>
      </w:pPr>
      <w:rPr>
        <w:rFonts w:hint="default" w:ascii="宋体" w:hAnsi="宋体" w:eastAsia="宋体"/>
        <w:b/>
        <w:strike w:val="0"/>
        <w:color w:val="auto"/>
      </w:rPr>
    </w:lvl>
    <w:lvl w:ilvl="1" w:tentative="0">
      <w:start w:val="1"/>
      <w:numFmt w:val="lowerLetter"/>
      <w:lvlText w:val="%2)"/>
      <w:lvlJc w:val="left"/>
      <w:pPr>
        <w:ind w:left="1244" w:hanging="420"/>
      </w:pPr>
    </w:lvl>
    <w:lvl w:ilvl="2" w:tentative="0">
      <w:start w:val="1"/>
      <w:numFmt w:val="lowerRoman"/>
      <w:lvlText w:val="%3."/>
      <w:lvlJc w:val="right"/>
      <w:pPr>
        <w:ind w:left="1664" w:hanging="420"/>
      </w:pPr>
    </w:lvl>
    <w:lvl w:ilvl="3" w:tentative="0">
      <w:start w:val="1"/>
      <w:numFmt w:val="decimal"/>
      <w:lvlText w:val="%4."/>
      <w:lvlJc w:val="left"/>
      <w:pPr>
        <w:ind w:left="2084" w:hanging="420"/>
      </w:pPr>
    </w:lvl>
    <w:lvl w:ilvl="4" w:tentative="0">
      <w:start w:val="1"/>
      <w:numFmt w:val="lowerLetter"/>
      <w:lvlText w:val="%5)"/>
      <w:lvlJc w:val="left"/>
      <w:pPr>
        <w:ind w:left="2504" w:hanging="420"/>
      </w:pPr>
    </w:lvl>
    <w:lvl w:ilvl="5" w:tentative="0">
      <w:start w:val="1"/>
      <w:numFmt w:val="lowerRoman"/>
      <w:lvlText w:val="%6."/>
      <w:lvlJc w:val="right"/>
      <w:pPr>
        <w:ind w:left="2924" w:hanging="420"/>
      </w:pPr>
    </w:lvl>
    <w:lvl w:ilvl="6" w:tentative="0">
      <w:start w:val="1"/>
      <w:numFmt w:val="decimal"/>
      <w:lvlText w:val="%7."/>
      <w:lvlJc w:val="left"/>
      <w:pPr>
        <w:ind w:left="3344" w:hanging="420"/>
      </w:pPr>
    </w:lvl>
    <w:lvl w:ilvl="7" w:tentative="0">
      <w:start w:val="1"/>
      <w:numFmt w:val="lowerLetter"/>
      <w:lvlText w:val="%8)"/>
      <w:lvlJc w:val="left"/>
      <w:pPr>
        <w:ind w:left="3764" w:hanging="420"/>
      </w:pPr>
    </w:lvl>
    <w:lvl w:ilvl="8" w:tentative="0">
      <w:start w:val="1"/>
      <w:numFmt w:val="lowerRoman"/>
      <w:lvlText w:val="%9."/>
      <w:lvlJc w:val="right"/>
      <w:pPr>
        <w:ind w:left="4184" w:hanging="420"/>
      </w:pPr>
    </w:lvl>
  </w:abstractNum>
  <w:abstractNum w:abstractNumId="21">
    <w:nsid w:val="29735AF9"/>
    <w:multiLevelType w:val="multilevel"/>
    <w:tmpl w:val="29735AF9"/>
    <w:lvl w:ilvl="0" w:tentative="0">
      <w:start w:val="1"/>
      <w:numFmt w:val="decimal"/>
      <w:lvlText w:val="11.%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2A0256CE"/>
    <w:multiLevelType w:val="multilevel"/>
    <w:tmpl w:val="2A0256CE"/>
    <w:lvl w:ilvl="0" w:tentative="0">
      <w:start w:val="1"/>
      <w:numFmt w:val="decimal"/>
      <w:lvlText w:val="2.%1"/>
      <w:lvlJc w:val="left"/>
      <w:pPr>
        <w:ind w:left="372" w:hanging="420"/>
      </w:pPr>
      <w:rPr>
        <w:rFonts w:hint="default" w:ascii="宋体" w:hAnsi="宋体" w:eastAsia="宋体"/>
        <w:b/>
        <w:color w:val="auto"/>
      </w:rPr>
    </w:lvl>
    <w:lvl w:ilvl="1" w:tentative="0">
      <w:start w:val="1"/>
      <w:numFmt w:val="lowerLetter"/>
      <w:lvlText w:val="%2)"/>
      <w:lvlJc w:val="left"/>
      <w:pPr>
        <w:ind w:left="792" w:hanging="420"/>
      </w:pPr>
    </w:lvl>
    <w:lvl w:ilvl="2" w:tentative="0">
      <w:start w:val="1"/>
      <w:numFmt w:val="lowerRoman"/>
      <w:lvlText w:val="%3."/>
      <w:lvlJc w:val="right"/>
      <w:pPr>
        <w:ind w:left="1212" w:hanging="420"/>
      </w:pPr>
    </w:lvl>
    <w:lvl w:ilvl="3" w:tentative="0">
      <w:start w:val="1"/>
      <w:numFmt w:val="decimal"/>
      <w:lvlText w:val="%4."/>
      <w:lvlJc w:val="left"/>
      <w:pPr>
        <w:ind w:left="1632" w:hanging="420"/>
      </w:pPr>
    </w:lvl>
    <w:lvl w:ilvl="4" w:tentative="0">
      <w:start w:val="1"/>
      <w:numFmt w:val="lowerLetter"/>
      <w:lvlText w:val="%5)"/>
      <w:lvlJc w:val="left"/>
      <w:pPr>
        <w:ind w:left="2052" w:hanging="420"/>
      </w:pPr>
    </w:lvl>
    <w:lvl w:ilvl="5" w:tentative="0">
      <w:start w:val="1"/>
      <w:numFmt w:val="lowerRoman"/>
      <w:lvlText w:val="%6."/>
      <w:lvlJc w:val="right"/>
      <w:pPr>
        <w:ind w:left="2472" w:hanging="420"/>
      </w:pPr>
    </w:lvl>
    <w:lvl w:ilvl="6" w:tentative="0">
      <w:start w:val="1"/>
      <w:numFmt w:val="decimal"/>
      <w:lvlText w:val="%7."/>
      <w:lvlJc w:val="left"/>
      <w:pPr>
        <w:ind w:left="2892" w:hanging="420"/>
      </w:pPr>
    </w:lvl>
    <w:lvl w:ilvl="7" w:tentative="0">
      <w:start w:val="1"/>
      <w:numFmt w:val="lowerLetter"/>
      <w:lvlText w:val="%8)"/>
      <w:lvlJc w:val="left"/>
      <w:pPr>
        <w:ind w:left="3312" w:hanging="420"/>
      </w:pPr>
    </w:lvl>
    <w:lvl w:ilvl="8" w:tentative="0">
      <w:start w:val="1"/>
      <w:numFmt w:val="lowerRoman"/>
      <w:lvlText w:val="%9."/>
      <w:lvlJc w:val="right"/>
      <w:pPr>
        <w:ind w:left="3732" w:hanging="420"/>
      </w:pPr>
    </w:lvl>
  </w:abstractNum>
  <w:abstractNum w:abstractNumId="23">
    <w:nsid w:val="2ABF2833"/>
    <w:multiLevelType w:val="multilevel"/>
    <w:tmpl w:val="2ABF2833"/>
    <w:lvl w:ilvl="0" w:tentative="0">
      <w:start w:val="1"/>
      <w:numFmt w:val="decimal"/>
      <w:lvlText w:val="12.%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2CC65A04"/>
    <w:multiLevelType w:val="multilevel"/>
    <w:tmpl w:val="2CC65A04"/>
    <w:lvl w:ilvl="0" w:tentative="0">
      <w:start w:val="1"/>
      <w:numFmt w:val="decimal"/>
      <w:lvlText w:val="32.%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2D665F38"/>
    <w:multiLevelType w:val="multilevel"/>
    <w:tmpl w:val="2D665F38"/>
    <w:lvl w:ilvl="0" w:tentative="0">
      <w:start w:val="1"/>
      <w:numFmt w:val="decimal"/>
      <w:lvlText w:val="5.%1 "/>
      <w:lvlJc w:val="left"/>
      <w:pPr>
        <w:ind w:left="3681" w:hanging="420"/>
      </w:pPr>
      <w:rPr>
        <w:rFonts w:hint="default" w:ascii="仿宋" w:hAnsi="仿宋" w:eastAsia="仿宋"/>
        <w:b w:val="0"/>
        <w:strike w:val="0"/>
        <w:color w:val="auto"/>
      </w:rPr>
    </w:lvl>
    <w:lvl w:ilvl="1" w:tentative="0">
      <w:start w:val="1"/>
      <w:numFmt w:val="lowerLetter"/>
      <w:lvlText w:val="%2)"/>
      <w:lvlJc w:val="left"/>
      <w:pPr>
        <w:ind w:left="3643" w:hanging="420"/>
      </w:pPr>
    </w:lvl>
    <w:lvl w:ilvl="2" w:tentative="0">
      <w:start w:val="1"/>
      <w:numFmt w:val="lowerRoman"/>
      <w:lvlText w:val="%3."/>
      <w:lvlJc w:val="right"/>
      <w:pPr>
        <w:ind w:left="4063" w:hanging="420"/>
      </w:pPr>
    </w:lvl>
    <w:lvl w:ilvl="3" w:tentative="0">
      <w:start w:val="1"/>
      <w:numFmt w:val="decimal"/>
      <w:lvlText w:val="%4."/>
      <w:lvlJc w:val="left"/>
      <w:pPr>
        <w:ind w:left="4483" w:hanging="420"/>
      </w:pPr>
    </w:lvl>
    <w:lvl w:ilvl="4" w:tentative="0">
      <w:start w:val="1"/>
      <w:numFmt w:val="lowerLetter"/>
      <w:lvlText w:val="%5)"/>
      <w:lvlJc w:val="left"/>
      <w:pPr>
        <w:ind w:left="4903" w:hanging="420"/>
      </w:pPr>
    </w:lvl>
    <w:lvl w:ilvl="5" w:tentative="0">
      <w:start w:val="1"/>
      <w:numFmt w:val="lowerRoman"/>
      <w:lvlText w:val="%6."/>
      <w:lvlJc w:val="right"/>
      <w:pPr>
        <w:ind w:left="5323" w:hanging="420"/>
      </w:pPr>
    </w:lvl>
    <w:lvl w:ilvl="6" w:tentative="0">
      <w:start w:val="1"/>
      <w:numFmt w:val="decimal"/>
      <w:lvlText w:val="%7."/>
      <w:lvlJc w:val="left"/>
      <w:pPr>
        <w:ind w:left="5743" w:hanging="420"/>
      </w:pPr>
    </w:lvl>
    <w:lvl w:ilvl="7" w:tentative="0">
      <w:start w:val="1"/>
      <w:numFmt w:val="lowerLetter"/>
      <w:lvlText w:val="%8)"/>
      <w:lvlJc w:val="left"/>
      <w:pPr>
        <w:ind w:left="6163" w:hanging="420"/>
      </w:pPr>
    </w:lvl>
    <w:lvl w:ilvl="8" w:tentative="0">
      <w:start w:val="1"/>
      <w:numFmt w:val="lowerRoman"/>
      <w:lvlText w:val="%9."/>
      <w:lvlJc w:val="right"/>
      <w:pPr>
        <w:ind w:left="6583" w:hanging="420"/>
      </w:pPr>
    </w:lvl>
  </w:abstractNum>
  <w:abstractNum w:abstractNumId="26">
    <w:nsid w:val="2D850054"/>
    <w:multiLevelType w:val="multilevel"/>
    <w:tmpl w:val="2D850054"/>
    <w:lvl w:ilvl="0" w:tentative="0">
      <w:start w:val="1"/>
      <w:numFmt w:val="decimal"/>
      <w:lvlText w:val="%1. "/>
      <w:lvlJc w:val="left"/>
      <w:pPr>
        <w:ind w:left="704" w:hanging="420"/>
      </w:pPr>
      <w:rPr>
        <w:rFonts w:hint="default" w:ascii="宋体" w:hAnsi="宋体" w:eastAsia="宋体"/>
        <w:b/>
        <w:strike w:val="0"/>
        <w:color w:val="auto"/>
      </w:r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27">
    <w:nsid w:val="2E825AFA"/>
    <w:multiLevelType w:val="multilevel"/>
    <w:tmpl w:val="2E825AFA"/>
    <w:lvl w:ilvl="0" w:tentative="0">
      <w:start w:val="1"/>
      <w:numFmt w:val="decimal"/>
      <w:lvlText w:val="2.%1"/>
      <w:lvlJc w:val="left"/>
      <w:pPr>
        <w:ind w:left="420" w:hanging="420"/>
      </w:pPr>
      <w:rPr>
        <w:rFonts w:hint="eastAsia"/>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311832AE"/>
    <w:multiLevelType w:val="multilevel"/>
    <w:tmpl w:val="311832AE"/>
    <w:lvl w:ilvl="0" w:tentative="0">
      <w:start w:val="1"/>
      <w:numFmt w:val="decimal"/>
      <w:lvlText w:val="19.%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315F4B3A"/>
    <w:multiLevelType w:val="multilevel"/>
    <w:tmpl w:val="315F4B3A"/>
    <w:lvl w:ilvl="0" w:tentative="0">
      <w:start w:val="1"/>
      <w:numFmt w:val="decimal"/>
      <w:lvlText w:val="7.%1"/>
      <w:lvlJc w:val="left"/>
      <w:pPr>
        <w:ind w:left="988" w:hanging="420"/>
      </w:pPr>
      <w:rPr>
        <w:rFonts w:hint="default" w:ascii="仿宋" w:hAnsi="仿宋" w:eastAsia="仿宋"/>
        <w:b w:val="0"/>
        <w:color w:val="auto"/>
      </w:rPr>
    </w:lvl>
    <w:lvl w:ilvl="1" w:tentative="0">
      <w:start w:val="1"/>
      <w:numFmt w:val="lowerLetter"/>
      <w:lvlText w:val="%2)"/>
      <w:lvlJc w:val="left"/>
      <w:pPr>
        <w:ind w:left="1408" w:hanging="420"/>
      </w:pPr>
    </w:lvl>
    <w:lvl w:ilvl="2" w:tentative="0">
      <w:start w:val="1"/>
      <w:numFmt w:val="lowerRoman"/>
      <w:lvlText w:val="%3."/>
      <w:lvlJc w:val="right"/>
      <w:pPr>
        <w:ind w:left="1828" w:hanging="420"/>
      </w:pPr>
    </w:lvl>
    <w:lvl w:ilvl="3" w:tentative="0">
      <w:start w:val="1"/>
      <w:numFmt w:val="decimal"/>
      <w:lvlText w:val="%4."/>
      <w:lvlJc w:val="left"/>
      <w:pPr>
        <w:ind w:left="2248" w:hanging="420"/>
      </w:pPr>
    </w:lvl>
    <w:lvl w:ilvl="4" w:tentative="0">
      <w:start w:val="1"/>
      <w:numFmt w:val="lowerLetter"/>
      <w:lvlText w:val="%5)"/>
      <w:lvlJc w:val="left"/>
      <w:pPr>
        <w:ind w:left="2668" w:hanging="420"/>
      </w:pPr>
    </w:lvl>
    <w:lvl w:ilvl="5" w:tentative="0">
      <w:start w:val="1"/>
      <w:numFmt w:val="lowerRoman"/>
      <w:lvlText w:val="%6."/>
      <w:lvlJc w:val="right"/>
      <w:pPr>
        <w:ind w:left="3088" w:hanging="420"/>
      </w:pPr>
    </w:lvl>
    <w:lvl w:ilvl="6" w:tentative="0">
      <w:start w:val="1"/>
      <w:numFmt w:val="decimal"/>
      <w:lvlText w:val="%7."/>
      <w:lvlJc w:val="left"/>
      <w:pPr>
        <w:ind w:left="3508" w:hanging="420"/>
      </w:pPr>
    </w:lvl>
    <w:lvl w:ilvl="7" w:tentative="0">
      <w:start w:val="1"/>
      <w:numFmt w:val="lowerLetter"/>
      <w:lvlText w:val="%8)"/>
      <w:lvlJc w:val="left"/>
      <w:pPr>
        <w:ind w:left="3928" w:hanging="420"/>
      </w:pPr>
    </w:lvl>
    <w:lvl w:ilvl="8" w:tentative="0">
      <w:start w:val="1"/>
      <w:numFmt w:val="lowerRoman"/>
      <w:lvlText w:val="%9."/>
      <w:lvlJc w:val="right"/>
      <w:pPr>
        <w:ind w:left="4348" w:hanging="420"/>
      </w:pPr>
    </w:lvl>
  </w:abstractNum>
  <w:abstractNum w:abstractNumId="30">
    <w:nsid w:val="33020AE6"/>
    <w:multiLevelType w:val="multilevel"/>
    <w:tmpl w:val="33020AE6"/>
    <w:lvl w:ilvl="0" w:tentative="0">
      <w:start w:val="1"/>
      <w:numFmt w:val="decimal"/>
      <w:lvlText w:val="%1"/>
      <w:lvlJc w:val="left"/>
      <w:pPr>
        <w:ind w:left="420" w:hanging="420"/>
      </w:pPr>
      <w:rPr>
        <w:rFonts w:hint="default" w:ascii="宋体" w:hAnsi="宋体" w:eastAsia="宋体"/>
        <w:b/>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1">
    <w:nsid w:val="35442C9F"/>
    <w:multiLevelType w:val="multilevel"/>
    <w:tmpl w:val="35442C9F"/>
    <w:lvl w:ilvl="0" w:tentative="0">
      <w:start w:val="1"/>
      <w:numFmt w:val="decimal"/>
      <w:lvlText w:val="（%1）"/>
      <w:lvlJc w:val="left"/>
      <w:pPr>
        <w:ind w:left="6516" w:hanging="420"/>
      </w:pPr>
      <w:rPr>
        <w:rFonts w:hint="eastAsia" w:ascii="仿宋" w:hAnsi="仿宋" w:eastAsia="仿宋"/>
        <w:b w:val="0"/>
        <w:caps w:val="0"/>
        <w:strike w:val="0"/>
        <w:dstrike w:val="0"/>
        <w:vanish w:val="0"/>
        <w:color w:val="auto"/>
        <w:vertAlign w:val="baseline"/>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2">
    <w:nsid w:val="35FBB970"/>
    <w:multiLevelType w:val="singleLevel"/>
    <w:tmpl w:val="35FBB970"/>
    <w:lvl w:ilvl="0" w:tentative="0">
      <w:start w:val="1"/>
      <w:numFmt w:val="chineseCounting"/>
      <w:suff w:val="nothing"/>
      <w:lvlText w:val="%1、"/>
      <w:lvlJc w:val="left"/>
      <w:rPr>
        <w:rFonts w:hint="eastAsia"/>
      </w:rPr>
    </w:lvl>
  </w:abstractNum>
  <w:abstractNum w:abstractNumId="33">
    <w:nsid w:val="37C132BF"/>
    <w:multiLevelType w:val="multilevel"/>
    <w:tmpl w:val="37C132BF"/>
    <w:lvl w:ilvl="0" w:tentative="0">
      <w:start w:val="1"/>
      <w:numFmt w:val="decimal"/>
      <w:lvlText w:val="4.%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4">
    <w:nsid w:val="38F606C2"/>
    <w:multiLevelType w:val="multilevel"/>
    <w:tmpl w:val="38F606C2"/>
    <w:lvl w:ilvl="0" w:tentative="0">
      <w:start w:val="1"/>
      <w:numFmt w:val="chineseCountingThousand"/>
      <w:lvlText w:val="%1、"/>
      <w:lvlJc w:val="left"/>
      <w:pPr>
        <w:ind w:left="420" w:hanging="420"/>
      </w:pPr>
      <w:rPr>
        <w:rFonts w:hint="eastAsia"/>
        <w:sz w:val="30"/>
        <w:szCs w:val="3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5">
    <w:nsid w:val="3DE06FC6"/>
    <w:multiLevelType w:val="multilevel"/>
    <w:tmpl w:val="3DE06FC6"/>
    <w:lvl w:ilvl="0" w:tentative="0">
      <w:start w:val="1"/>
      <w:numFmt w:val="decimal"/>
      <w:lvlText w:val="20.%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6">
    <w:nsid w:val="3FF72387"/>
    <w:multiLevelType w:val="multilevel"/>
    <w:tmpl w:val="3FF72387"/>
    <w:lvl w:ilvl="0" w:tentative="0">
      <w:start w:val="1"/>
      <w:numFmt w:val="decimal"/>
      <w:lvlText w:val="%1. "/>
      <w:lvlJc w:val="left"/>
      <w:pPr>
        <w:ind w:left="824" w:hanging="420"/>
      </w:pPr>
      <w:rPr>
        <w:rFonts w:hint="default" w:ascii="宋体" w:hAnsi="宋体" w:eastAsia="宋体"/>
        <w:b/>
        <w:strike w:val="0"/>
        <w:color w:val="auto"/>
      </w:rPr>
    </w:lvl>
    <w:lvl w:ilvl="1" w:tentative="0">
      <w:start w:val="1"/>
      <w:numFmt w:val="lowerLetter"/>
      <w:lvlText w:val="%2)"/>
      <w:lvlJc w:val="left"/>
      <w:pPr>
        <w:ind w:left="1244" w:hanging="420"/>
      </w:pPr>
    </w:lvl>
    <w:lvl w:ilvl="2" w:tentative="0">
      <w:start w:val="1"/>
      <w:numFmt w:val="lowerRoman"/>
      <w:lvlText w:val="%3."/>
      <w:lvlJc w:val="right"/>
      <w:pPr>
        <w:ind w:left="1664" w:hanging="420"/>
      </w:pPr>
    </w:lvl>
    <w:lvl w:ilvl="3" w:tentative="0">
      <w:start w:val="1"/>
      <w:numFmt w:val="decimal"/>
      <w:lvlText w:val="%4."/>
      <w:lvlJc w:val="left"/>
      <w:pPr>
        <w:ind w:left="2084" w:hanging="420"/>
      </w:pPr>
    </w:lvl>
    <w:lvl w:ilvl="4" w:tentative="0">
      <w:start w:val="1"/>
      <w:numFmt w:val="lowerLetter"/>
      <w:lvlText w:val="%5)"/>
      <w:lvlJc w:val="left"/>
      <w:pPr>
        <w:ind w:left="2504" w:hanging="420"/>
      </w:pPr>
    </w:lvl>
    <w:lvl w:ilvl="5" w:tentative="0">
      <w:start w:val="1"/>
      <w:numFmt w:val="lowerRoman"/>
      <w:lvlText w:val="%6."/>
      <w:lvlJc w:val="right"/>
      <w:pPr>
        <w:ind w:left="2924" w:hanging="420"/>
      </w:pPr>
    </w:lvl>
    <w:lvl w:ilvl="6" w:tentative="0">
      <w:start w:val="1"/>
      <w:numFmt w:val="decimal"/>
      <w:lvlText w:val="%7."/>
      <w:lvlJc w:val="left"/>
      <w:pPr>
        <w:ind w:left="3344" w:hanging="420"/>
      </w:pPr>
    </w:lvl>
    <w:lvl w:ilvl="7" w:tentative="0">
      <w:start w:val="1"/>
      <w:numFmt w:val="lowerLetter"/>
      <w:lvlText w:val="%8)"/>
      <w:lvlJc w:val="left"/>
      <w:pPr>
        <w:ind w:left="3764" w:hanging="420"/>
      </w:pPr>
    </w:lvl>
    <w:lvl w:ilvl="8" w:tentative="0">
      <w:start w:val="1"/>
      <w:numFmt w:val="lowerRoman"/>
      <w:lvlText w:val="%9."/>
      <w:lvlJc w:val="right"/>
      <w:pPr>
        <w:ind w:left="4184" w:hanging="420"/>
      </w:pPr>
    </w:lvl>
  </w:abstractNum>
  <w:abstractNum w:abstractNumId="37">
    <w:nsid w:val="40E6015E"/>
    <w:multiLevelType w:val="multilevel"/>
    <w:tmpl w:val="40E6015E"/>
    <w:lvl w:ilvl="0" w:tentative="0">
      <w:start w:val="1"/>
      <w:numFmt w:val="decimal"/>
      <w:lvlText w:val="29.2.%1 "/>
      <w:lvlJc w:val="left"/>
      <w:pPr>
        <w:ind w:left="643" w:hanging="420"/>
      </w:pPr>
      <w:rPr>
        <w:rFonts w:hint="default" w:ascii="楷体" w:hAnsi="楷体" w:eastAsia="楷体"/>
        <w:b w:val="0"/>
        <w:strike w:val="0"/>
        <w:color w:val="auto"/>
      </w:rPr>
    </w:lvl>
    <w:lvl w:ilvl="1" w:tentative="0">
      <w:start w:val="1"/>
      <w:numFmt w:val="lowerLetter"/>
      <w:lvlText w:val="%2)"/>
      <w:lvlJc w:val="left"/>
      <w:pPr>
        <w:ind w:left="1063" w:hanging="420"/>
      </w:pPr>
    </w:lvl>
    <w:lvl w:ilvl="2" w:tentative="0">
      <w:start w:val="1"/>
      <w:numFmt w:val="lowerRoman"/>
      <w:lvlText w:val="%3."/>
      <w:lvlJc w:val="right"/>
      <w:pPr>
        <w:ind w:left="1483" w:hanging="420"/>
      </w:pPr>
    </w:lvl>
    <w:lvl w:ilvl="3" w:tentative="0">
      <w:start w:val="1"/>
      <w:numFmt w:val="decimal"/>
      <w:lvlText w:val="%4."/>
      <w:lvlJc w:val="left"/>
      <w:pPr>
        <w:ind w:left="1903" w:hanging="420"/>
      </w:pPr>
    </w:lvl>
    <w:lvl w:ilvl="4" w:tentative="0">
      <w:start w:val="1"/>
      <w:numFmt w:val="lowerLetter"/>
      <w:lvlText w:val="%5)"/>
      <w:lvlJc w:val="left"/>
      <w:pPr>
        <w:ind w:left="2323" w:hanging="420"/>
      </w:pPr>
    </w:lvl>
    <w:lvl w:ilvl="5" w:tentative="0">
      <w:start w:val="1"/>
      <w:numFmt w:val="lowerRoman"/>
      <w:lvlText w:val="%6."/>
      <w:lvlJc w:val="right"/>
      <w:pPr>
        <w:ind w:left="2743" w:hanging="420"/>
      </w:pPr>
    </w:lvl>
    <w:lvl w:ilvl="6" w:tentative="0">
      <w:start w:val="1"/>
      <w:numFmt w:val="decimal"/>
      <w:lvlText w:val="%7."/>
      <w:lvlJc w:val="left"/>
      <w:pPr>
        <w:ind w:left="3163" w:hanging="420"/>
      </w:pPr>
    </w:lvl>
    <w:lvl w:ilvl="7" w:tentative="0">
      <w:start w:val="1"/>
      <w:numFmt w:val="lowerLetter"/>
      <w:lvlText w:val="%8)"/>
      <w:lvlJc w:val="left"/>
      <w:pPr>
        <w:ind w:left="3583" w:hanging="420"/>
      </w:pPr>
    </w:lvl>
    <w:lvl w:ilvl="8" w:tentative="0">
      <w:start w:val="1"/>
      <w:numFmt w:val="lowerRoman"/>
      <w:lvlText w:val="%9."/>
      <w:lvlJc w:val="right"/>
      <w:pPr>
        <w:ind w:left="4003" w:hanging="420"/>
      </w:pPr>
    </w:lvl>
  </w:abstractNum>
  <w:abstractNum w:abstractNumId="38">
    <w:nsid w:val="41730A17"/>
    <w:multiLevelType w:val="multilevel"/>
    <w:tmpl w:val="41730A17"/>
    <w:lvl w:ilvl="0" w:tentative="0">
      <w:start w:val="1"/>
      <w:numFmt w:val="decimal"/>
      <w:lvlText w:val="21.%1"/>
      <w:lvlJc w:val="left"/>
      <w:pPr>
        <w:ind w:left="562" w:hanging="420"/>
      </w:pPr>
      <w:rPr>
        <w:rFonts w:hint="default" w:ascii="仿宋" w:hAnsi="仿宋" w:eastAsia="仿宋"/>
        <w:b w:val="0"/>
        <w:strike w:val="0"/>
        <w:color w:val="auto"/>
      </w:rPr>
    </w:lvl>
    <w:lvl w:ilvl="1" w:tentative="0">
      <w:start w:val="1"/>
      <w:numFmt w:val="lowerLetter"/>
      <w:lvlText w:val="%2)"/>
      <w:lvlJc w:val="left"/>
      <w:pPr>
        <w:ind w:left="982" w:hanging="420"/>
      </w:pPr>
    </w:lvl>
    <w:lvl w:ilvl="2" w:tentative="0">
      <w:start w:val="1"/>
      <w:numFmt w:val="lowerRoman"/>
      <w:lvlText w:val="%3."/>
      <w:lvlJc w:val="right"/>
      <w:pPr>
        <w:ind w:left="1402" w:hanging="420"/>
      </w:pPr>
    </w:lvl>
    <w:lvl w:ilvl="3" w:tentative="0">
      <w:start w:val="1"/>
      <w:numFmt w:val="decimal"/>
      <w:lvlText w:val="%4."/>
      <w:lvlJc w:val="left"/>
      <w:pPr>
        <w:ind w:left="1822" w:hanging="420"/>
      </w:pPr>
    </w:lvl>
    <w:lvl w:ilvl="4" w:tentative="0">
      <w:start w:val="1"/>
      <w:numFmt w:val="lowerLetter"/>
      <w:lvlText w:val="%5)"/>
      <w:lvlJc w:val="left"/>
      <w:pPr>
        <w:ind w:left="2242" w:hanging="420"/>
      </w:pPr>
    </w:lvl>
    <w:lvl w:ilvl="5" w:tentative="0">
      <w:start w:val="1"/>
      <w:numFmt w:val="lowerRoman"/>
      <w:lvlText w:val="%6."/>
      <w:lvlJc w:val="right"/>
      <w:pPr>
        <w:ind w:left="2662" w:hanging="420"/>
      </w:pPr>
    </w:lvl>
    <w:lvl w:ilvl="6" w:tentative="0">
      <w:start w:val="1"/>
      <w:numFmt w:val="decimal"/>
      <w:lvlText w:val="%7."/>
      <w:lvlJc w:val="left"/>
      <w:pPr>
        <w:ind w:left="3082" w:hanging="420"/>
      </w:pPr>
    </w:lvl>
    <w:lvl w:ilvl="7" w:tentative="0">
      <w:start w:val="1"/>
      <w:numFmt w:val="lowerLetter"/>
      <w:lvlText w:val="%8)"/>
      <w:lvlJc w:val="left"/>
      <w:pPr>
        <w:ind w:left="3502" w:hanging="420"/>
      </w:pPr>
    </w:lvl>
    <w:lvl w:ilvl="8" w:tentative="0">
      <w:start w:val="1"/>
      <w:numFmt w:val="lowerRoman"/>
      <w:lvlText w:val="%9."/>
      <w:lvlJc w:val="right"/>
      <w:pPr>
        <w:ind w:left="3922" w:hanging="420"/>
      </w:pPr>
    </w:lvl>
  </w:abstractNum>
  <w:abstractNum w:abstractNumId="39">
    <w:nsid w:val="440821F5"/>
    <w:multiLevelType w:val="multilevel"/>
    <w:tmpl w:val="440821F5"/>
    <w:lvl w:ilvl="0" w:tentative="0">
      <w:start w:val="1"/>
      <w:numFmt w:val="decimal"/>
      <w:lvlText w:val="%1."/>
      <w:lvlJc w:val="left"/>
      <w:pPr>
        <w:ind w:left="420" w:hanging="420"/>
      </w:pPr>
      <w:rPr>
        <w:rFonts w:hint="default" w:ascii="宋体" w:hAnsi="宋体" w:eastAsia="宋体"/>
        <w:b/>
        <w:strike w:val="0"/>
        <w:color w:val="auto"/>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0">
    <w:nsid w:val="445F2796"/>
    <w:multiLevelType w:val="multilevel"/>
    <w:tmpl w:val="445F2796"/>
    <w:lvl w:ilvl="0" w:tentative="0">
      <w:start w:val="1"/>
      <w:numFmt w:val="decimal"/>
      <w:lvlText w:val="2.%1 "/>
      <w:lvlJc w:val="left"/>
      <w:pPr>
        <w:ind w:left="840" w:hanging="420"/>
      </w:pPr>
      <w:rPr>
        <w:rFonts w:hint="eastAsia" w:ascii="仿宋" w:hAnsi="仿宋" w:eastAsia="仿宋"/>
        <w:b w:val="0"/>
        <w:caps w:val="0"/>
        <w:strike w:val="0"/>
        <w:dstrike w:val="0"/>
        <w:vanish w:val="0"/>
        <w:color w:val="auto"/>
        <w:vertAlign w:val="baseline"/>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1">
    <w:nsid w:val="4EAF5455"/>
    <w:multiLevelType w:val="multilevel"/>
    <w:tmpl w:val="4EAF5455"/>
    <w:lvl w:ilvl="0" w:tentative="0">
      <w:start w:val="1"/>
      <w:numFmt w:val="chineseCountingThousand"/>
      <w:lvlText w:val="第%1章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2">
    <w:nsid w:val="505F200A"/>
    <w:multiLevelType w:val="multilevel"/>
    <w:tmpl w:val="505F200A"/>
    <w:lvl w:ilvl="0" w:tentative="0">
      <w:start w:val="1"/>
      <w:numFmt w:val="decimal"/>
      <w:lvlText w:val="1.%1 "/>
      <w:lvlJc w:val="left"/>
      <w:pPr>
        <w:ind w:left="840" w:hanging="420"/>
      </w:pPr>
      <w:rPr>
        <w:rFonts w:hint="eastAsia" w:ascii="仿宋" w:hAnsi="仿宋" w:eastAsia="仿宋"/>
        <w:b w:val="0"/>
        <w:caps w:val="0"/>
        <w:strike w:val="0"/>
        <w:dstrike w:val="0"/>
        <w:vanish w:val="0"/>
        <w:color w:val="auto"/>
        <w:vertAlign w:val="baseline"/>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3">
    <w:nsid w:val="54AC2495"/>
    <w:multiLevelType w:val="multilevel"/>
    <w:tmpl w:val="54AC2495"/>
    <w:lvl w:ilvl="0" w:tentative="0">
      <w:start w:val="1"/>
      <w:numFmt w:val="decimal"/>
      <w:lvlText w:val="26.%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4">
    <w:nsid w:val="56886DD6"/>
    <w:multiLevelType w:val="multilevel"/>
    <w:tmpl w:val="56886DD6"/>
    <w:lvl w:ilvl="0" w:tentative="0">
      <w:start w:val="1"/>
      <w:numFmt w:val="chineseCountingThousand"/>
      <w:lvlText w:val="%1、"/>
      <w:lvlJc w:val="left"/>
      <w:pPr>
        <w:ind w:left="420" w:hanging="420"/>
      </w:pPr>
      <w:rPr>
        <w:rFonts w:hint="default" w:ascii="黑体" w:hAnsi="黑体" w:eastAsia="黑体"/>
        <w:b/>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5">
    <w:nsid w:val="570117E4"/>
    <w:multiLevelType w:val="multilevel"/>
    <w:tmpl w:val="570117E4"/>
    <w:lvl w:ilvl="0" w:tentative="0">
      <w:start w:val="1"/>
      <w:numFmt w:val="decimal"/>
      <w:lvlText w:val="23.%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6">
    <w:nsid w:val="577C0B87"/>
    <w:multiLevelType w:val="multilevel"/>
    <w:tmpl w:val="577C0B87"/>
    <w:lvl w:ilvl="0" w:tentative="0">
      <w:start w:val="1"/>
      <w:numFmt w:val="chineseCountingThousand"/>
      <w:lvlText w:val="%1、"/>
      <w:lvlJc w:val="left"/>
      <w:pPr>
        <w:ind w:left="420" w:hanging="420"/>
      </w:pPr>
      <w:rPr>
        <w:rFonts w:hint="eastAsia"/>
        <w:sz w:val="30"/>
        <w:szCs w:val="3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7">
    <w:nsid w:val="589C2C0F"/>
    <w:multiLevelType w:val="multilevel"/>
    <w:tmpl w:val="589C2C0F"/>
    <w:lvl w:ilvl="0" w:tentative="0">
      <w:start w:val="1"/>
      <w:numFmt w:val="decimal"/>
      <w:lvlText w:val="1.%1"/>
      <w:lvlJc w:val="left"/>
      <w:pPr>
        <w:ind w:left="372" w:hanging="420"/>
      </w:pPr>
      <w:rPr>
        <w:rFonts w:hint="default" w:ascii="宋体" w:hAnsi="宋体" w:eastAsia="宋体"/>
        <w:b/>
        <w:color w:val="auto"/>
      </w:rPr>
    </w:lvl>
    <w:lvl w:ilvl="1" w:tentative="0">
      <w:start w:val="1"/>
      <w:numFmt w:val="lowerLetter"/>
      <w:lvlText w:val="%2)"/>
      <w:lvlJc w:val="left"/>
      <w:pPr>
        <w:ind w:left="792" w:hanging="420"/>
      </w:pPr>
    </w:lvl>
    <w:lvl w:ilvl="2" w:tentative="0">
      <w:start w:val="1"/>
      <w:numFmt w:val="lowerRoman"/>
      <w:lvlText w:val="%3."/>
      <w:lvlJc w:val="right"/>
      <w:pPr>
        <w:ind w:left="1212" w:hanging="420"/>
      </w:pPr>
    </w:lvl>
    <w:lvl w:ilvl="3" w:tentative="0">
      <w:start w:val="1"/>
      <w:numFmt w:val="decimal"/>
      <w:lvlText w:val="%4."/>
      <w:lvlJc w:val="left"/>
      <w:pPr>
        <w:ind w:left="1632" w:hanging="420"/>
      </w:pPr>
    </w:lvl>
    <w:lvl w:ilvl="4" w:tentative="0">
      <w:start w:val="1"/>
      <w:numFmt w:val="lowerLetter"/>
      <w:lvlText w:val="%5)"/>
      <w:lvlJc w:val="left"/>
      <w:pPr>
        <w:ind w:left="2052" w:hanging="420"/>
      </w:pPr>
    </w:lvl>
    <w:lvl w:ilvl="5" w:tentative="0">
      <w:start w:val="1"/>
      <w:numFmt w:val="lowerRoman"/>
      <w:lvlText w:val="%6."/>
      <w:lvlJc w:val="right"/>
      <w:pPr>
        <w:ind w:left="2472" w:hanging="420"/>
      </w:pPr>
    </w:lvl>
    <w:lvl w:ilvl="6" w:tentative="0">
      <w:start w:val="1"/>
      <w:numFmt w:val="decimal"/>
      <w:lvlText w:val="%7."/>
      <w:lvlJc w:val="left"/>
      <w:pPr>
        <w:ind w:left="2892" w:hanging="420"/>
      </w:pPr>
    </w:lvl>
    <w:lvl w:ilvl="7" w:tentative="0">
      <w:start w:val="1"/>
      <w:numFmt w:val="lowerLetter"/>
      <w:lvlText w:val="%8)"/>
      <w:lvlJc w:val="left"/>
      <w:pPr>
        <w:ind w:left="3312" w:hanging="420"/>
      </w:pPr>
    </w:lvl>
    <w:lvl w:ilvl="8" w:tentative="0">
      <w:start w:val="1"/>
      <w:numFmt w:val="lowerRoman"/>
      <w:lvlText w:val="%9."/>
      <w:lvlJc w:val="right"/>
      <w:pPr>
        <w:ind w:left="3732" w:hanging="420"/>
      </w:pPr>
    </w:lvl>
  </w:abstractNum>
  <w:abstractNum w:abstractNumId="48">
    <w:nsid w:val="59A852BA"/>
    <w:multiLevelType w:val="multilevel"/>
    <w:tmpl w:val="59A852BA"/>
    <w:lvl w:ilvl="0" w:tentative="0">
      <w:start w:val="1"/>
      <w:numFmt w:val="decimal"/>
      <w:lvlText w:val="6.%1"/>
      <w:lvlJc w:val="left"/>
      <w:pPr>
        <w:ind w:left="988" w:hanging="420"/>
      </w:pPr>
      <w:rPr>
        <w:rFonts w:hint="default" w:ascii="仿宋" w:hAnsi="仿宋" w:eastAsia="仿宋"/>
        <w:b w:val="0"/>
        <w:color w:val="auto"/>
      </w:rPr>
    </w:lvl>
    <w:lvl w:ilvl="1" w:tentative="0">
      <w:start w:val="1"/>
      <w:numFmt w:val="lowerLetter"/>
      <w:lvlText w:val="%2)"/>
      <w:lvlJc w:val="left"/>
      <w:pPr>
        <w:ind w:left="1408" w:hanging="420"/>
      </w:pPr>
    </w:lvl>
    <w:lvl w:ilvl="2" w:tentative="0">
      <w:start w:val="1"/>
      <w:numFmt w:val="lowerRoman"/>
      <w:lvlText w:val="%3."/>
      <w:lvlJc w:val="right"/>
      <w:pPr>
        <w:ind w:left="1828" w:hanging="420"/>
      </w:pPr>
    </w:lvl>
    <w:lvl w:ilvl="3" w:tentative="0">
      <w:start w:val="1"/>
      <w:numFmt w:val="decimal"/>
      <w:lvlText w:val="%4."/>
      <w:lvlJc w:val="left"/>
      <w:pPr>
        <w:ind w:left="2248" w:hanging="420"/>
      </w:pPr>
    </w:lvl>
    <w:lvl w:ilvl="4" w:tentative="0">
      <w:start w:val="1"/>
      <w:numFmt w:val="lowerLetter"/>
      <w:lvlText w:val="%5)"/>
      <w:lvlJc w:val="left"/>
      <w:pPr>
        <w:ind w:left="2668" w:hanging="420"/>
      </w:pPr>
    </w:lvl>
    <w:lvl w:ilvl="5" w:tentative="0">
      <w:start w:val="1"/>
      <w:numFmt w:val="lowerRoman"/>
      <w:lvlText w:val="%6."/>
      <w:lvlJc w:val="right"/>
      <w:pPr>
        <w:ind w:left="3088" w:hanging="420"/>
      </w:pPr>
    </w:lvl>
    <w:lvl w:ilvl="6" w:tentative="0">
      <w:start w:val="1"/>
      <w:numFmt w:val="decimal"/>
      <w:lvlText w:val="%7."/>
      <w:lvlJc w:val="left"/>
      <w:pPr>
        <w:ind w:left="3508" w:hanging="420"/>
      </w:pPr>
    </w:lvl>
    <w:lvl w:ilvl="7" w:tentative="0">
      <w:start w:val="1"/>
      <w:numFmt w:val="lowerLetter"/>
      <w:lvlText w:val="%8)"/>
      <w:lvlJc w:val="left"/>
      <w:pPr>
        <w:ind w:left="3928" w:hanging="420"/>
      </w:pPr>
    </w:lvl>
    <w:lvl w:ilvl="8" w:tentative="0">
      <w:start w:val="1"/>
      <w:numFmt w:val="lowerRoman"/>
      <w:lvlText w:val="%9."/>
      <w:lvlJc w:val="right"/>
      <w:pPr>
        <w:ind w:left="4348" w:hanging="420"/>
      </w:pPr>
    </w:lvl>
  </w:abstractNum>
  <w:abstractNum w:abstractNumId="49">
    <w:nsid w:val="5A0B11B2"/>
    <w:multiLevelType w:val="multilevel"/>
    <w:tmpl w:val="5A0B11B2"/>
    <w:lvl w:ilvl="0" w:tentative="0">
      <w:start w:val="1"/>
      <w:numFmt w:val="decimal"/>
      <w:lvlText w:val="%1. "/>
      <w:lvlJc w:val="left"/>
      <w:pPr>
        <w:ind w:left="2121" w:hanging="420"/>
      </w:pPr>
      <w:rPr>
        <w:rFonts w:hint="default" w:ascii="宋体" w:hAnsi="宋体" w:eastAsia="宋体"/>
        <w:b/>
        <w:strike w:val="0"/>
        <w:color w:val="auto"/>
      </w:rPr>
    </w:lvl>
    <w:lvl w:ilvl="1" w:tentative="0">
      <w:start w:val="1"/>
      <w:numFmt w:val="lowerLetter"/>
      <w:lvlText w:val="%2)"/>
      <w:lvlJc w:val="left"/>
      <w:pPr>
        <w:ind w:left="2881" w:hanging="420"/>
      </w:pPr>
    </w:lvl>
    <w:lvl w:ilvl="2" w:tentative="0">
      <w:start w:val="1"/>
      <w:numFmt w:val="lowerRoman"/>
      <w:lvlText w:val="%3."/>
      <w:lvlJc w:val="right"/>
      <w:pPr>
        <w:ind w:left="3301" w:hanging="420"/>
      </w:pPr>
    </w:lvl>
    <w:lvl w:ilvl="3" w:tentative="0">
      <w:start w:val="1"/>
      <w:numFmt w:val="decimal"/>
      <w:lvlText w:val="%4."/>
      <w:lvlJc w:val="left"/>
      <w:pPr>
        <w:ind w:left="3721" w:hanging="420"/>
      </w:pPr>
    </w:lvl>
    <w:lvl w:ilvl="4" w:tentative="0">
      <w:start w:val="1"/>
      <w:numFmt w:val="lowerLetter"/>
      <w:lvlText w:val="%5)"/>
      <w:lvlJc w:val="left"/>
      <w:pPr>
        <w:ind w:left="4141" w:hanging="420"/>
      </w:pPr>
    </w:lvl>
    <w:lvl w:ilvl="5" w:tentative="0">
      <w:start w:val="1"/>
      <w:numFmt w:val="lowerRoman"/>
      <w:lvlText w:val="%6."/>
      <w:lvlJc w:val="right"/>
      <w:pPr>
        <w:ind w:left="4561" w:hanging="420"/>
      </w:pPr>
    </w:lvl>
    <w:lvl w:ilvl="6" w:tentative="0">
      <w:start w:val="1"/>
      <w:numFmt w:val="decimal"/>
      <w:lvlText w:val="%7."/>
      <w:lvlJc w:val="left"/>
      <w:pPr>
        <w:ind w:left="4981" w:hanging="420"/>
      </w:pPr>
    </w:lvl>
    <w:lvl w:ilvl="7" w:tentative="0">
      <w:start w:val="1"/>
      <w:numFmt w:val="lowerLetter"/>
      <w:lvlText w:val="%8)"/>
      <w:lvlJc w:val="left"/>
      <w:pPr>
        <w:ind w:left="5401" w:hanging="420"/>
      </w:pPr>
    </w:lvl>
    <w:lvl w:ilvl="8" w:tentative="0">
      <w:start w:val="1"/>
      <w:numFmt w:val="lowerRoman"/>
      <w:lvlText w:val="%9."/>
      <w:lvlJc w:val="right"/>
      <w:pPr>
        <w:ind w:left="5821" w:hanging="420"/>
      </w:pPr>
    </w:lvl>
  </w:abstractNum>
  <w:abstractNum w:abstractNumId="50">
    <w:nsid w:val="5AFD36B5"/>
    <w:multiLevelType w:val="multilevel"/>
    <w:tmpl w:val="5AFD36B5"/>
    <w:lvl w:ilvl="0" w:tentative="0">
      <w:start w:val="1"/>
      <w:numFmt w:val="chineseCountingThousand"/>
      <w:lvlText w:val="%1、"/>
      <w:lvlJc w:val="left"/>
      <w:pPr>
        <w:ind w:left="420" w:hanging="420"/>
      </w:pPr>
      <w:rPr>
        <w:rFonts w:hint="eastAsia" w:ascii="宋体" w:hAnsi="宋体" w:eastAsia="宋体"/>
        <w:sz w:val="28"/>
        <w:szCs w:val="28"/>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51">
    <w:nsid w:val="61F95093"/>
    <w:multiLevelType w:val="multilevel"/>
    <w:tmpl w:val="61F95093"/>
    <w:lvl w:ilvl="0" w:tentative="0">
      <w:start w:val="1"/>
      <w:numFmt w:val="decimal"/>
      <w:lvlText w:val="31.%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2">
    <w:nsid w:val="643B08CA"/>
    <w:multiLevelType w:val="multilevel"/>
    <w:tmpl w:val="643B08CA"/>
    <w:lvl w:ilvl="0" w:tentative="0">
      <w:start w:val="1"/>
      <w:numFmt w:val="decimal"/>
      <w:lvlText w:val="3.1.%1 "/>
      <w:lvlJc w:val="left"/>
      <w:pPr>
        <w:ind w:left="643" w:hanging="420"/>
      </w:pPr>
      <w:rPr>
        <w:rFonts w:hint="default" w:ascii="楷体" w:hAnsi="楷体" w:eastAsia="楷体"/>
        <w:b w:val="0"/>
        <w:strike w:val="0"/>
        <w:color w:val="auto"/>
      </w:rPr>
    </w:lvl>
    <w:lvl w:ilvl="1" w:tentative="0">
      <w:start w:val="1"/>
      <w:numFmt w:val="lowerLetter"/>
      <w:lvlText w:val="%2)"/>
      <w:lvlJc w:val="left"/>
      <w:pPr>
        <w:ind w:left="1063" w:hanging="420"/>
      </w:pPr>
    </w:lvl>
    <w:lvl w:ilvl="2" w:tentative="0">
      <w:start w:val="1"/>
      <w:numFmt w:val="lowerRoman"/>
      <w:lvlText w:val="%3."/>
      <w:lvlJc w:val="right"/>
      <w:pPr>
        <w:ind w:left="1483" w:hanging="420"/>
      </w:pPr>
    </w:lvl>
    <w:lvl w:ilvl="3" w:tentative="0">
      <w:start w:val="1"/>
      <w:numFmt w:val="decimal"/>
      <w:lvlText w:val="%4."/>
      <w:lvlJc w:val="left"/>
      <w:pPr>
        <w:ind w:left="1903" w:hanging="420"/>
      </w:pPr>
    </w:lvl>
    <w:lvl w:ilvl="4" w:tentative="0">
      <w:start w:val="1"/>
      <w:numFmt w:val="lowerLetter"/>
      <w:lvlText w:val="%5)"/>
      <w:lvlJc w:val="left"/>
      <w:pPr>
        <w:ind w:left="2323" w:hanging="420"/>
      </w:pPr>
    </w:lvl>
    <w:lvl w:ilvl="5" w:tentative="0">
      <w:start w:val="1"/>
      <w:numFmt w:val="lowerRoman"/>
      <w:lvlText w:val="%6."/>
      <w:lvlJc w:val="right"/>
      <w:pPr>
        <w:ind w:left="2743" w:hanging="420"/>
      </w:pPr>
    </w:lvl>
    <w:lvl w:ilvl="6" w:tentative="0">
      <w:start w:val="1"/>
      <w:numFmt w:val="decimal"/>
      <w:lvlText w:val="%7."/>
      <w:lvlJc w:val="left"/>
      <w:pPr>
        <w:ind w:left="3163" w:hanging="420"/>
      </w:pPr>
    </w:lvl>
    <w:lvl w:ilvl="7" w:tentative="0">
      <w:start w:val="1"/>
      <w:numFmt w:val="lowerLetter"/>
      <w:lvlText w:val="%8)"/>
      <w:lvlJc w:val="left"/>
      <w:pPr>
        <w:ind w:left="3583" w:hanging="420"/>
      </w:pPr>
    </w:lvl>
    <w:lvl w:ilvl="8" w:tentative="0">
      <w:start w:val="1"/>
      <w:numFmt w:val="lowerRoman"/>
      <w:lvlText w:val="%9."/>
      <w:lvlJc w:val="right"/>
      <w:pPr>
        <w:ind w:left="4003" w:hanging="420"/>
      </w:pPr>
    </w:lvl>
  </w:abstractNum>
  <w:abstractNum w:abstractNumId="53">
    <w:nsid w:val="64E31E93"/>
    <w:multiLevelType w:val="multilevel"/>
    <w:tmpl w:val="64E31E93"/>
    <w:lvl w:ilvl="0" w:tentative="0">
      <w:start w:val="1"/>
      <w:numFmt w:val="decimal"/>
      <w:lvlText w:val="29.%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4">
    <w:nsid w:val="69647823"/>
    <w:multiLevelType w:val="multilevel"/>
    <w:tmpl w:val="69647823"/>
    <w:lvl w:ilvl="0" w:tentative="0">
      <w:start w:val="1"/>
      <w:numFmt w:val="decimal"/>
      <w:lvlText w:val="34.%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5">
    <w:nsid w:val="71581402"/>
    <w:multiLevelType w:val="multilevel"/>
    <w:tmpl w:val="71581402"/>
    <w:lvl w:ilvl="0" w:tentative="0">
      <w:start w:val="1"/>
      <w:numFmt w:val="decimal"/>
      <w:lvlText w:val="24.%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6">
    <w:nsid w:val="71731B18"/>
    <w:multiLevelType w:val="multilevel"/>
    <w:tmpl w:val="71731B18"/>
    <w:lvl w:ilvl="0" w:tentative="0">
      <w:start w:val="1"/>
      <w:numFmt w:val="decimal"/>
      <w:lvlText w:val="28.%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7">
    <w:nsid w:val="730B37A3"/>
    <w:multiLevelType w:val="multilevel"/>
    <w:tmpl w:val="730B37A3"/>
    <w:lvl w:ilvl="0" w:tentative="0">
      <w:start w:val="1"/>
      <w:numFmt w:val="decimal"/>
      <w:lvlText w:val="2.%1"/>
      <w:lvlJc w:val="left"/>
      <w:pPr>
        <w:ind w:left="372" w:hanging="420"/>
      </w:pPr>
      <w:rPr>
        <w:rFonts w:hint="default" w:ascii="仿宋" w:hAnsi="仿宋" w:eastAsia="仿宋"/>
        <w:b w:val="0"/>
        <w:color w:val="auto"/>
      </w:rPr>
    </w:lvl>
    <w:lvl w:ilvl="1" w:tentative="0">
      <w:start w:val="1"/>
      <w:numFmt w:val="lowerLetter"/>
      <w:lvlText w:val="%2)"/>
      <w:lvlJc w:val="left"/>
      <w:pPr>
        <w:ind w:left="792" w:hanging="420"/>
      </w:pPr>
    </w:lvl>
    <w:lvl w:ilvl="2" w:tentative="0">
      <w:start w:val="1"/>
      <w:numFmt w:val="lowerRoman"/>
      <w:lvlText w:val="%3."/>
      <w:lvlJc w:val="right"/>
      <w:pPr>
        <w:ind w:left="1212" w:hanging="420"/>
      </w:pPr>
    </w:lvl>
    <w:lvl w:ilvl="3" w:tentative="0">
      <w:start w:val="1"/>
      <w:numFmt w:val="decimal"/>
      <w:lvlText w:val="%4."/>
      <w:lvlJc w:val="left"/>
      <w:pPr>
        <w:ind w:left="1632" w:hanging="420"/>
      </w:pPr>
    </w:lvl>
    <w:lvl w:ilvl="4" w:tentative="0">
      <w:start w:val="1"/>
      <w:numFmt w:val="lowerLetter"/>
      <w:lvlText w:val="%5)"/>
      <w:lvlJc w:val="left"/>
      <w:pPr>
        <w:ind w:left="2052" w:hanging="420"/>
      </w:pPr>
    </w:lvl>
    <w:lvl w:ilvl="5" w:tentative="0">
      <w:start w:val="1"/>
      <w:numFmt w:val="lowerRoman"/>
      <w:lvlText w:val="%6."/>
      <w:lvlJc w:val="right"/>
      <w:pPr>
        <w:ind w:left="2472" w:hanging="420"/>
      </w:pPr>
    </w:lvl>
    <w:lvl w:ilvl="6" w:tentative="0">
      <w:start w:val="1"/>
      <w:numFmt w:val="decimal"/>
      <w:lvlText w:val="%7."/>
      <w:lvlJc w:val="left"/>
      <w:pPr>
        <w:ind w:left="2892" w:hanging="420"/>
      </w:pPr>
    </w:lvl>
    <w:lvl w:ilvl="7" w:tentative="0">
      <w:start w:val="1"/>
      <w:numFmt w:val="lowerLetter"/>
      <w:lvlText w:val="%8)"/>
      <w:lvlJc w:val="left"/>
      <w:pPr>
        <w:ind w:left="3312" w:hanging="420"/>
      </w:pPr>
    </w:lvl>
    <w:lvl w:ilvl="8" w:tentative="0">
      <w:start w:val="1"/>
      <w:numFmt w:val="lowerRoman"/>
      <w:lvlText w:val="%9."/>
      <w:lvlJc w:val="right"/>
      <w:pPr>
        <w:ind w:left="3732" w:hanging="420"/>
      </w:pPr>
    </w:lvl>
  </w:abstractNum>
  <w:abstractNum w:abstractNumId="58">
    <w:nsid w:val="76137D61"/>
    <w:multiLevelType w:val="multilevel"/>
    <w:tmpl w:val="76137D61"/>
    <w:lvl w:ilvl="0" w:tentative="0">
      <w:start w:val="1"/>
      <w:numFmt w:val="decimal"/>
      <w:lvlText w:val="3.%1"/>
      <w:lvlJc w:val="left"/>
      <w:pPr>
        <w:ind w:left="372" w:hanging="420"/>
      </w:pPr>
      <w:rPr>
        <w:rFonts w:hint="default" w:ascii="宋体" w:hAnsi="宋体" w:eastAsia="宋体"/>
        <w:b/>
        <w:color w:val="auto"/>
      </w:rPr>
    </w:lvl>
    <w:lvl w:ilvl="1" w:tentative="0">
      <w:start w:val="1"/>
      <w:numFmt w:val="lowerLetter"/>
      <w:lvlText w:val="%2)"/>
      <w:lvlJc w:val="left"/>
      <w:pPr>
        <w:ind w:left="792" w:hanging="420"/>
      </w:pPr>
    </w:lvl>
    <w:lvl w:ilvl="2" w:tentative="0">
      <w:start w:val="1"/>
      <w:numFmt w:val="lowerRoman"/>
      <w:lvlText w:val="%3."/>
      <w:lvlJc w:val="right"/>
      <w:pPr>
        <w:ind w:left="1212" w:hanging="420"/>
      </w:pPr>
    </w:lvl>
    <w:lvl w:ilvl="3" w:tentative="0">
      <w:start w:val="1"/>
      <w:numFmt w:val="decimal"/>
      <w:lvlText w:val="%4."/>
      <w:lvlJc w:val="left"/>
      <w:pPr>
        <w:ind w:left="1632" w:hanging="420"/>
      </w:pPr>
    </w:lvl>
    <w:lvl w:ilvl="4" w:tentative="0">
      <w:start w:val="1"/>
      <w:numFmt w:val="lowerLetter"/>
      <w:lvlText w:val="%5)"/>
      <w:lvlJc w:val="left"/>
      <w:pPr>
        <w:ind w:left="2052" w:hanging="420"/>
      </w:pPr>
    </w:lvl>
    <w:lvl w:ilvl="5" w:tentative="0">
      <w:start w:val="1"/>
      <w:numFmt w:val="lowerRoman"/>
      <w:lvlText w:val="%6."/>
      <w:lvlJc w:val="right"/>
      <w:pPr>
        <w:ind w:left="2472" w:hanging="420"/>
      </w:pPr>
    </w:lvl>
    <w:lvl w:ilvl="6" w:tentative="0">
      <w:start w:val="1"/>
      <w:numFmt w:val="decimal"/>
      <w:lvlText w:val="%7."/>
      <w:lvlJc w:val="left"/>
      <w:pPr>
        <w:ind w:left="2892" w:hanging="420"/>
      </w:pPr>
    </w:lvl>
    <w:lvl w:ilvl="7" w:tentative="0">
      <w:start w:val="1"/>
      <w:numFmt w:val="lowerLetter"/>
      <w:lvlText w:val="%8)"/>
      <w:lvlJc w:val="left"/>
      <w:pPr>
        <w:ind w:left="3312" w:hanging="420"/>
      </w:pPr>
    </w:lvl>
    <w:lvl w:ilvl="8" w:tentative="0">
      <w:start w:val="1"/>
      <w:numFmt w:val="lowerRoman"/>
      <w:lvlText w:val="%9."/>
      <w:lvlJc w:val="right"/>
      <w:pPr>
        <w:ind w:left="3732" w:hanging="420"/>
      </w:pPr>
    </w:lvl>
  </w:abstractNum>
  <w:abstractNum w:abstractNumId="59">
    <w:nsid w:val="768933D5"/>
    <w:multiLevelType w:val="multilevel"/>
    <w:tmpl w:val="768933D5"/>
    <w:lvl w:ilvl="0" w:tentative="0">
      <w:start w:val="1"/>
      <w:numFmt w:val="decimal"/>
      <w:lvlText w:val="%1. "/>
      <w:lvlJc w:val="left"/>
      <w:pPr>
        <w:ind w:left="824" w:hanging="420"/>
      </w:pPr>
      <w:rPr>
        <w:rFonts w:hint="default" w:ascii="宋体" w:hAnsi="宋体" w:eastAsia="宋体"/>
        <w:b/>
        <w:strike w:val="0"/>
        <w:color w:val="auto"/>
      </w:rPr>
    </w:lvl>
    <w:lvl w:ilvl="1" w:tentative="0">
      <w:start w:val="1"/>
      <w:numFmt w:val="lowerLetter"/>
      <w:lvlText w:val="%2)"/>
      <w:lvlJc w:val="left"/>
      <w:pPr>
        <w:ind w:left="1244" w:hanging="420"/>
      </w:pPr>
    </w:lvl>
    <w:lvl w:ilvl="2" w:tentative="0">
      <w:start w:val="1"/>
      <w:numFmt w:val="lowerRoman"/>
      <w:lvlText w:val="%3."/>
      <w:lvlJc w:val="right"/>
      <w:pPr>
        <w:ind w:left="1664" w:hanging="420"/>
      </w:pPr>
    </w:lvl>
    <w:lvl w:ilvl="3" w:tentative="0">
      <w:start w:val="1"/>
      <w:numFmt w:val="decimal"/>
      <w:lvlText w:val="%4."/>
      <w:lvlJc w:val="left"/>
      <w:pPr>
        <w:ind w:left="2084" w:hanging="420"/>
      </w:pPr>
    </w:lvl>
    <w:lvl w:ilvl="4" w:tentative="0">
      <w:start w:val="1"/>
      <w:numFmt w:val="lowerLetter"/>
      <w:lvlText w:val="%5)"/>
      <w:lvlJc w:val="left"/>
      <w:pPr>
        <w:ind w:left="2504" w:hanging="420"/>
      </w:pPr>
    </w:lvl>
    <w:lvl w:ilvl="5" w:tentative="0">
      <w:start w:val="1"/>
      <w:numFmt w:val="lowerRoman"/>
      <w:lvlText w:val="%6."/>
      <w:lvlJc w:val="right"/>
      <w:pPr>
        <w:ind w:left="2924" w:hanging="420"/>
      </w:pPr>
    </w:lvl>
    <w:lvl w:ilvl="6" w:tentative="0">
      <w:start w:val="1"/>
      <w:numFmt w:val="decimal"/>
      <w:lvlText w:val="%7."/>
      <w:lvlJc w:val="left"/>
      <w:pPr>
        <w:ind w:left="3344" w:hanging="420"/>
      </w:pPr>
    </w:lvl>
    <w:lvl w:ilvl="7" w:tentative="0">
      <w:start w:val="1"/>
      <w:numFmt w:val="lowerLetter"/>
      <w:lvlText w:val="%8)"/>
      <w:lvlJc w:val="left"/>
      <w:pPr>
        <w:ind w:left="3764" w:hanging="420"/>
      </w:pPr>
    </w:lvl>
    <w:lvl w:ilvl="8" w:tentative="0">
      <w:start w:val="1"/>
      <w:numFmt w:val="lowerRoman"/>
      <w:lvlText w:val="%9."/>
      <w:lvlJc w:val="right"/>
      <w:pPr>
        <w:ind w:left="4184" w:hanging="420"/>
      </w:pPr>
    </w:lvl>
  </w:abstractNum>
  <w:abstractNum w:abstractNumId="60">
    <w:nsid w:val="774C7C21"/>
    <w:multiLevelType w:val="multilevel"/>
    <w:tmpl w:val="774C7C21"/>
    <w:lvl w:ilvl="0" w:tentative="0">
      <w:start w:val="1"/>
      <w:numFmt w:val="decimal"/>
      <w:lvlText w:val="16.%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1">
    <w:nsid w:val="786B7301"/>
    <w:multiLevelType w:val="multilevel"/>
    <w:tmpl w:val="786B7301"/>
    <w:lvl w:ilvl="0" w:tentative="0">
      <w:start w:val="1"/>
      <w:numFmt w:val="decimal"/>
      <w:lvlText w:val="25.%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2">
    <w:nsid w:val="797F553B"/>
    <w:multiLevelType w:val="multilevel"/>
    <w:tmpl w:val="797F553B"/>
    <w:lvl w:ilvl="0" w:tentative="0">
      <w:start w:val="1"/>
      <w:numFmt w:val="decimal"/>
      <w:lvlText w:val="%1. "/>
      <w:lvlJc w:val="left"/>
      <w:pPr>
        <w:ind w:left="988" w:hanging="420"/>
      </w:pPr>
      <w:rPr>
        <w:rFonts w:hint="default" w:ascii="宋体" w:hAnsi="宋体" w:eastAsia="宋体"/>
        <w:b/>
        <w:strike w:val="0"/>
        <w:color w:val="auto"/>
      </w:rPr>
    </w:lvl>
    <w:lvl w:ilvl="1" w:tentative="0">
      <w:start w:val="1"/>
      <w:numFmt w:val="lowerLetter"/>
      <w:lvlText w:val="%2)"/>
      <w:lvlJc w:val="left"/>
      <w:pPr>
        <w:ind w:left="2881" w:hanging="420"/>
      </w:pPr>
    </w:lvl>
    <w:lvl w:ilvl="2" w:tentative="0">
      <w:start w:val="1"/>
      <w:numFmt w:val="lowerRoman"/>
      <w:lvlText w:val="%3."/>
      <w:lvlJc w:val="right"/>
      <w:pPr>
        <w:ind w:left="3301" w:hanging="420"/>
      </w:pPr>
    </w:lvl>
    <w:lvl w:ilvl="3" w:tentative="0">
      <w:start w:val="1"/>
      <w:numFmt w:val="decimal"/>
      <w:lvlText w:val="%4."/>
      <w:lvlJc w:val="left"/>
      <w:pPr>
        <w:ind w:left="3721" w:hanging="420"/>
      </w:pPr>
    </w:lvl>
    <w:lvl w:ilvl="4" w:tentative="0">
      <w:start w:val="1"/>
      <w:numFmt w:val="lowerLetter"/>
      <w:lvlText w:val="%5)"/>
      <w:lvlJc w:val="left"/>
      <w:pPr>
        <w:ind w:left="4141" w:hanging="420"/>
      </w:pPr>
    </w:lvl>
    <w:lvl w:ilvl="5" w:tentative="0">
      <w:start w:val="1"/>
      <w:numFmt w:val="lowerRoman"/>
      <w:lvlText w:val="%6."/>
      <w:lvlJc w:val="right"/>
      <w:pPr>
        <w:ind w:left="4561" w:hanging="420"/>
      </w:pPr>
    </w:lvl>
    <w:lvl w:ilvl="6" w:tentative="0">
      <w:start w:val="1"/>
      <w:numFmt w:val="decimal"/>
      <w:lvlText w:val="%7."/>
      <w:lvlJc w:val="left"/>
      <w:pPr>
        <w:ind w:left="4981" w:hanging="420"/>
      </w:pPr>
    </w:lvl>
    <w:lvl w:ilvl="7" w:tentative="0">
      <w:start w:val="1"/>
      <w:numFmt w:val="lowerLetter"/>
      <w:lvlText w:val="%8)"/>
      <w:lvlJc w:val="left"/>
      <w:pPr>
        <w:ind w:left="5401" w:hanging="420"/>
      </w:pPr>
    </w:lvl>
    <w:lvl w:ilvl="8" w:tentative="0">
      <w:start w:val="1"/>
      <w:numFmt w:val="lowerRoman"/>
      <w:lvlText w:val="%9."/>
      <w:lvlJc w:val="right"/>
      <w:pPr>
        <w:ind w:left="5821" w:hanging="420"/>
      </w:pPr>
    </w:lvl>
  </w:abstractNum>
  <w:abstractNum w:abstractNumId="63">
    <w:nsid w:val="7A0C6CFB"/>
    <w:multiLevelType w:val="multilevel"/>
    <w:tmpl w:val="7A0C6CFB"/>
    <w:lvl w:ilvl="0" w:tentative="0">
      <w:start w:val="1"/>
      <w:numFmt w:val="decimal"/>
      <w:lvlText w:val="22.%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4">
    <w:nsid w:val="7ECB03B9"/>
    <w:multiLevelType w:val="multilevel"/>
    <w:tmpl w:val="7ECB03B9"/>
    <w:lvl w:ilvl="0" w:tentative="0">
      <w:start w:val="1"/>
      <w:numFmt w:val="decimal"/>
      <w:lvlText w:val="%1. "/>
      <w:lvlJc w:val="left"/>
      <w:pPr>
        <w:ind w:left="2121" w:hanging="420"/>
      </w:pPr>
      <w:rPr>
        <w:rFonts w:hint="default" w:ascii="宋体" w:hAnsi="宋体" w:eastAsia="宋体"/>
        <w:b/>
        <w:strike w:val="0"/>
        <w:color w:val="auto"/>
      </w:rPr>
    </w:lvl>
    <w:lvl w:ilvl="1" w:tentative="0">
      <w:start w:val="1"/>
      <w:numFmt w:val="lowerLetter"/>
      <w:lvlText w:val="%2)"/>
      <w:lvlJc w:val="left"/>
      <w:pPr>
        <w:ind w:left="2881" w:hanging="420"/>
      </w:pPr>
    </w:lvl>
    <w:lvl w:ilvl="2" w:tentative="0">
      <w:start w:val="1"/>
      <w:numFmt w:val="lowerRoman"/>
      <w:lvlText w:val="%3."/>
      <w:lvlJc w:val="right"/>
      <w:pPr>
        <w:ind w:left="3301" w:hanging="420"/>
      </w:pPr>
    </w:lvl>
    <w:lvl w:ilvl="3" w:tentative="0">
      <w:start w:val="1"/>
      <w:numFmt w:val="decimal"/>
      <w:lvlText w:val="%4."/>
      <w:lvlJc w:val="left"/>
      <w:pPr>
        <w:ind w:left="3721" w:hanging="420"/>
      </w:pPr>
    </w:lvl>
    <w:lvl w:ilvl="4" w:tentative="0">
      <w:start w:val="1"/>
      <w:numFmt w:val="lowerLetter"/>
      <w:lvlText w:val="%5)"/>
      <w:lvlJc w:val="left"/>
      <w:pPr>
        <w:ind w:left="4141" w:hanging="420"/>
      </w:pPr>
    </w:lvl>
    <w:lvl w:ilvl="5" w:tentative="0">
      <w:start w:val="1"/>
      <w:numFmt w:val="lowerRoman"/>
      <w:lvlText w:val="%6."/>
      <w:lvlJc w:val="right"/>
      <w:pPr>
        <w:ind w:left="4561" w:hanging="420"/>
      </w:pPr>
    </w:lvl>
    <w:lvl w:ilvl="6" w:tentative="0">
      <w:start w:val="1"/>
      <w:numFmt w:val="decimal"/>
      <w:lvlText w:val="%7."/>
      <w:lvlJc w:val="left"/>
      <w:pPr>
        <w:ind w:left="4981" w:hanging="420"/>
      </w:pPr>
    </w:lvl>
    <w:lvl w:ilvl="7" w:tentative="0">
      <w:start w:val="1"/>
      <w:numFmt w:val="lowerLetter"/>
      <w:lvlText w:val="%8)"/>
      <w:lvlJc w:val="left"/>
      <w:pPr>
        <w:ind w:left="5401" w:hanging="420"/>
      </w:pPr>
    </w:lvl>
    <w:lvl w:ilvl="8" w:tentative="0">
      <w:start w:val="1"/>
      <w:numFmt w:val="lowerRoman"/>
      <w:lvlText w:val="%9."/>
      <w:lvlJc w:val="right"/>
      <w:pPr>
        <w:ind w:left="5821" w:hanging="420"/>
      </w:pPr>
    </w:lvl>
  </w:abstractNum>
  <w:num w:numId="1">
    <w:abstractNumId w:val="14"/>
  </w:num>
  <w:num w:numId="2">
    <w:abstractNumId w:val="41"/>
  </w:num>
  <w:num w:numId="3">
    <w:abstractNumId w:val="32"/>
  </w:num>
  <w:num w:numId="4">
    <w:abstractNumId w:val="17"/>
  </w:num>
  <w:num w:numId="5">
    <w:abstractNumId w:val="30"/>
  </w:num>
  <w:num w:numId="6">
    <w:abstractNumId w:val="44"/>
  </w:num>
  <w:num w:numId="7">
    <w:abstractNumId w:val="2"/>
  </w:num>
  <w:num w:numId="8">
    <w:abstractNumId w:val="39"/>
  </w:num>
  <w:num w:numId="9">
    <w:abstractNumId w:val="13"/>
  </w:num>
  <w:num w:numId="10">
    <w:abstractNumId w:val="4"/>
  </w:num>
  <w:num w:numId="11">
    <w:abstractNumId w:val="52"/>
  </w:num>
  <w:num w:numId="12">
    <w:abstractNumId w:val="33"/>
  </w:num>
  <w:num w:numId="13">
    <w:abstractNumId w:val="48"/>
  </w:num>
  <w:num w:numId="14">
    <w:abstractNumId w:val="29"/>
  </w:num>
  <w:num w:numId="15">
    <w:abstractNumId w:val="3"/>
  </w:num>
  <w:num w:numId="16">
    <w:abstractNumId w:val="21"/>
  </w:num>
  <w:num w:numId="17">
    <w:abstractNumId w:val="23"/>
  </w:num>
  <w:num w:numId="18">
    <w:abstractNumId w:val="7"/>
  </w:num>
  <w:num w:numId="19">
    <w:abstractNumId w:val="60"/>
  </w:num>
  <w:num w:numId="20">
    <w:abstractNumId w:val="8"/>
  </w:num>
  <w:num w:numId="21">
    <w:abstractNumId w:val="28"/>
  </w:num>
  <w:num w:numId="22">
    <w:abstractNumId w:val="35"/>
  </w:num>
  <w:num w:numId="23">
    <w:abstractNumId w:val="38"/>
  </w:num>
  <w:num w:numId="24">
    <w:abstractNumId w:val="63"/>
  </w:num>
  <w:num w:numId="25">
    <w:abstractNumId w:val="45"/>
  </w:num>
  <w:num w:numId="26">
    <w:abstractNumId w:val="55"/>
  </w:num>
  <w:num w:numId="27">
    <w:abstractNumId w:val="61"/>
  </w:num>
  <w:num w:numId="28">
    <w:abstractNumId w:val="43"/>
  </w:num>
  <w:num w:numId="29">
    <w:abstractNumId w:val="6"/>
  </w:num>
  <w:num w:numId="30">
    <w:abstractNumId w:val="19"/>
  </w:num>
  <w:num w:numId="31">
    <w:abstractNumId w:val="56"/>
  </w:num>
  <w:num w:numId="32">
    <w:abstractNumId w:val="53"/>
  </w:num>
  <w:num w:numId="33">
    <w:abstractNumId w:val="37"/>
  </w:num>
  <w:num w:numId="34">
    <w:abstractNumId w:val="51"/>
  </w:num>
  <w:num w:numId="35">
    <w:abstractNumId w:val="24"/>
  </w:num>
  <w:num w:numId="36">
    <w:abstractNumId w:val="54"/>
  </w:num>
  <w:num w:numId="37">
    <w:abstractNumId w:val="1"/>
  </w:num>
  <w:num w:numId="38">
    <w:abstractNumId w:val="50"/>
    <w:lvlOverride w:ilvl="0">
      <w:startOverride w:val="1"/>
    </w:lvlOverride>
  </w:num>
  <w:num w:numId="39">
    <w:abstractNumId w:val="46"/>
  </w:num>
  <w:num w:numId="40">
    <w:abstractNumId w:val="26"/>
  </w:num>
  <w:num w:numId="41">
    <w:abstractNumId w:val="42"/>
  </w:num>
  <w:num w:numId="42">
    <w:abstractNumId w:val="31"/>
  </w:num>
  <w:num w:numId="43">
    <w:abstractNumId w:val="40"/>
  </w:num>
  <w:num w:numId="44">
    <w:abstractNumId w:val="34"/>
  </w:num>
  <w:num w:numId="45">
    <w:abstractNumId w:val="16"/>
  </w:num>
  <w:num w:numId="46">
    <w:abstractNumId w:val="49"/>
  </w:num>
  <w:num w:numId="47">
    <w:abstractNumId w:val="64"/>
  </w:num>
  <w:num w:numId="48">
    <w:abstractNumId w:val="18"/>
  </w:num>
  <w:num w:numId="49">
    <w:abstractNumId w:val="15"/>
  </w:num>
  <w:num w:numId="50">
    <w:abstractNumId w:val="0"/>
  </w:num>
  <w:num w:numId="51">
    <w:abstractNumId w:val="11"/>
  </w:num>
  <w:num w:numId="52">
    <w:abstractNumId w:val="25"/>
  </w:num>
  <w:num w:numId="53">
    <w:abstractNumId w:val="62"/>
  </w:num>
  <w:num w:numId="54">
    <w:abstractNumId w:val="5"/>
  </w:num>
  <w:num w:numId="55">
    <w:abstractNumId w:val="47"/>
  </w:num>
  <w:num w:numId="56">
    <w:abstractNumId w:val="22"/>
  </w:num>
  <w:num w:numId="57">
    <w:abstractNumId w:val="58"/>
  </w:num>
  <w:num w:numId="58">
    <w:abstractNumId w:val="20"/>
  </w:num>
  <w:num w:numId="59">
    <w:abstractNumId w:val="57"/>
  </w:num>
  <w:num w:numId="60">
    <w:abstractNumId w:val="36"/>
  </w:num>
  <w:num w:numId="61">
    <w:abstractNumId w:val="59"/>
  </w:num>
  <w:num w:numId="62">
    <w:abstractNumId w:val="10"/>
  </w:num>
  <w:num w:numId="63">
    <w:abstractNumId w:val="9"/>
  </w:num>
  <w:num w:numId="64">
    <w:abstractNumId w:val="12"/>
  </w:num>
  <w:num w:numId="6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106"/>
  <w:drawingGridVerticalSpacing w:val="159"/>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A00DB5"/>
    <w:rsid w:val="00036C10"/>
    <w:rsid w:val="00084E98"/>
    <w:rsid w:val="00092B59"/>
    <w:rsid w:val="000A71A8"/>
    <w:rsid w:val="000C0D63"/>
    <w:rsid w:val="00125BA9"/>
    <w:rsid w:val="0016197C"/>
    <w:rsid w:val="001739D0"/>
    <w:rsid w:val="001B2D02"/>
    <w:rsid w:val="001C79D5"/>
    <w:rsid w:val="001D69B5"/>
    <w:rsid w:val="002148A1"/>
    <w:rsid w:val="00266F12"/>
    <w:rsid w:val="0027431E"/>
    <w:rsid w:val="002B07B4"/>
    <w:rsid w:val="002C264F"/>
    <w:rsid w:val="002D0D60"/>
    <w:rsid w:val="002E0358"/>
    <w:rsid w:val="002E3734"/>
    <w:rsid w:val="003863D4"/>
    <w:rsid w:val="003A4F80"/>
    <w:rsid w:val="003D67F3"/>
    <w:rsid w:val="003F1C36"/>
    <w:rsid w:val="003F2BB8"/>
    <w:rsid w:val="003F4EB1"/>
    <w:rsid w:val="00412746"/>
    <w:rsid w:val="00436B52"/>
    <w:rsid w:val="00442D6D"/>
    <w:rsid w:val="0045431C"/>
    <w:rsid w:val="00494078"/>
    <w:rsid w:val="004A3A0F"/>
    <w:rsid w:val="004A3B0B"/>
    <w:rsid w:val="004C074A"/>
    <w:rsid w:val="004D7CFC"/>
    <w:rsid w:val="0050047C"/>
    <w:rsid w:val="0050349F"/>
    <w:rsid w:val="0051507C"/>
    <w:rsid w:val="005232AE"/>
    <w:rsid w:val="00531CA5"/>
    <w:rsid w:val="005323A6"/>
    <w:rsid w:val="0053605F"/>
    <w:rsid w:val="00552802"/>
    <w:rsid w:val="005B384E"/>
    <w:rsid w:val="005B75DC"/>
    <w:rsid w:val="005C050C"/>
    <w:rsid w:val="005C7A45"/>
    <w:rsid w:val="005D1DA1"/>
    <w:rsid w:val="005E5226"/>
    <w:rsid w:val="005F4064"/>
    <w:rsid w:val="00606BCE"/>
    <w:rsid w:val="00613BE1"/>
    <w:rsid w:val="0062035B"/>
    <w:rsid w:val="00633727"/>
    <w:rsid w:val="00643811"/>
    <w:rsid w:val="006538F6"/>
    <w:rsid w:val="00672A78"/>
    <w:rsid w:val="00677B81"/>
    <w:rsid w:val="00691536"/>
    <w:rsid w:val="006B0913"/>
    <w:rsid w:val="006D5B6D"/>
    <w:rsid w:val="006E24CD"/>
    <w:rsid w:val="006E6D50"/>
    <w:rsid w:val="00791667"/>
    <w:rsid w:val="007E24AF"/>
    <w:rsid w:val="007F3D64"/>
    <w:rsid w:val="008214CE"/>
    <w:rsid w:val="00866E9D"/>
    <w:rsid w:val="00871048"/>
    <w:rsid w:val="008A7168"/>
    <w:rsid w:val="008F33F2"/>
    <w:rsid w:val="009344DC"/>
    <w:rsid w:val="00942A08"/>
    <w:rsid w:val="00977A03"/>
    <w:rsid w:val="009A2805"/>
    <w:rsid w:val="009B3B1F"/>
    <w:rsid w:val="009C4DA5"/>
    <w:rsid w:val="009D39D5"/>
    <w:rsid w:val="009F2C5C"/>
    <w:rsid w:val="009F796C"/>
    <w:rsid w:val="00A00DB5"/>
    <w:rsid w:val="00A03973"/>
    <w:rsid w:val="00A319B1"/>
    <w:rsid w:val="00A41F61"/>
    <w:rsid w:val="00A53E88"/>
    <w:rsid w:val="00AB4D1D"/>
    <w:rsid w:val="00AD3129"/>
    <w:rsid w:val="00B433C9"/>
    <w:rsid w:val="00B5597F"/>
    <w:rsid w:val="00BB6E09"/>
    <w:rsid w:val="00BD4445"/>
    <w:rsid w:val="00BE6B28"/>
    <w:rsid w:val="00C80AA0"/>
    <w:rsid w:val="00C8145A"/>
    <w:rsid w:val="00C96F19"/>
    <w:rsid w:val="00CF72FC"/>
    <w:rsid w:val="00D25A91"/>
    <w:rsid w:val="00D35C8D"/>
    <w:rsid w:val="00DE66D9"/>
    <w:rsid w:val="00E101E8"/>
    <w:rsid w:val="00E11B10"/>
    <w:rsid w:val="00E16C71"/>
    <w:rsid w:val="00E26587"/>
    <w:rsid w:val="00E35388"/>
    <w:rsid w:val="00E72726"/>
    <w:rsid w:val="00E92827"/>
    <w:rsid w:val="00EA33C0"/>
    <w:rsid w:val="00ED7F1B"/>
    <w:rsid w:val="00EF7DD6"/>
    <w:rsid w:val="00F216C5"/>
    <w:rsid w:val="00F370C1"/>
    <w:rsid w:val="00F54A0A"/>
    <w:rsid w:val="00F5653F"/>
    <w:rsid w:val="00F62CEC"/>
    <w:rsid w:val="00F64DD1"/>
    <w:rsid w:val="00F81076"/>
    <w:rsid w:val="00FC598F"/>
    <w:rsid w:val="00FF44D8"/>
    <w:rsid w:val="03A64B69"/>
    <w:rsid w:val="04B91D18"/>
    <w:rsid w:val="058F5E07"/>
    <w:rsid w:val="05ED35C6"/>
    <w:rsid w:val="080D6787"/>
    <w:rsid w:val="08C57871"/>
    <w:rsid w:val="09F62C91"/>
    <w:rsid w:val="0B6B1F0B"/>
    <w:rsid w:val="0B7D148B"/>
    <w:rsid w:val="0C457F28"/>
    <w:rsid w:val="0D992867"/>
    <w:rsid w:val="0DD065F4"/>
    <w:rsid w:val="0E2A7D58"/>
    <w:rsid w:val="0F3110C8"/>
    <w:rsid w:val="0FD30983"/>
    <w:rsid w:val="11DF1E58"/>
    <w:rsid w:val="11F3145E"/>
    <w:rsid w:val="12134C2C"/>
    <w:rsid w:val="125024E1"/>
    <w:rsid w:val="12B02035"/>
    <w:rsid w:val="12E60311"/>
    <w:rsid w:val="13D42198"/>
    <w:rsid w:val="13E46216"/>
    <w:rsid w:val="14D01A84"/>
    <w:rsid w:val="14EA1CE0"/>
    <w:rsid w:val="15F75246"/>
    <w:rsid w:val="16356A34"/>
    <w:rsid w:val="16421F11"/>
    <w:rsid w:val="16C76622"/>
    <w:rsid w:val="178F63E3"/>
    <w:rsid w:val="179675A0"/>
    <w:rsid w:val="18381870"/>
    <w:rsid w:val="18F56002"/>
    <w:rsid w:val="19322AE7"/>
    <w:rsid w:val="1A9C7638"/>
    <w:rsid w:val="1AB339DA"/>
    <w:rsid w:val="1B217985"/>
    <w:rsid w:val="1BDB40CE"/>
    <w:rsid w:val="1C050AF3"/>
    <w:rsid w:val="1C0E1A98"/>
    <w:rsid w:val="1C7A6BC9"/>
    <w:rsid w:val="1CDE1C97"/>
    <w:rsid w:val="1CE600AE"/>
    <w:rsid w:val="1D5E56F8"/>
    <w:rsid w:val="1DA32D45"/>
    <w:rsid w:val="1E9B0A3A"/>
    <w:rsid w:val="1EB02F65"/>
    <w:rsid w:val="1F5A702D"/>
    <w:rsid w:val="20264D57"/>
    <w:rsid w:val="20320ABD"/>
    <w:rsid w:val="212328BD"/>
    <w:rsid w:val="21241869"/>
    <w:rsid w:val="21452025"/>
    <w:rsid w:val="21B5210B"/>
    <w:rsid w:val="22853453"/>
    <w:rsid w:val="22F2096C"/>
    <w:rsid w:val="231C5618"/>
    <w:rsid w:val="24C41630"/>
    <w:rsid w:val="252E5011"/>
    <w:rsid w:val="25827F37"/>
    <w:rsid w:val="25DC5DEC"/>
    <w:rsid w:val="263B17C8"/>
    <w:rsid w:val="273B4398"/>
    <w:rsid w:val="291701C8"/>
    <w:rsid w:val="29967C3E"/>
    <w:rsid w:val="2AA91261"/>
    <w:rsid w:val="2BE64AE3"/>
    <w:rsid w:val="2CDF1F2B"/>
    <w:rsid w:val="2D9B3963"/>
    <w:rsid w:val="2E8677CD"/>
    <w:rsid w:val="2F536A98"/>
    <w:rsid w:val="2FB91465"/>
    <w:rsid w:val="30036F32"/>
    <w:rsid w:val="302C7240"/>
    <w:rsid w:val="30A966D8"/>
    <w:rsid w:val="31713F39"/>
    <w:rsid w:val="31964007"/>
    <w:rsid w:val="32B1206F"/>
    <w:rsid w:val="33540C46"/>
    <w:rsid w:val="357953FE"/>
    <w:rsid w:val="36AB150F"/>
    <w:rsid w:val="36D55EF9"/>
    <w:rsid w:val="37051ACD"/>
    <w:rsid w:val="37253E8A"/>
    <w:rsid w:val="37534178"/>
    <w:rsid w:val="375F32CB"/>
    <w:rsid w:val="37952C81"/>
    <w:rsid w:val="37996117"/>
    <w:rsid w:val="37A57869"/>
    <w:rsid w:val="37D416A4"/>
    <w:rsid w:val="386C2E0E"/>
    <w:rsid w:val="39354E4A"/>
    <w:rsid w:val="396C508C"/>
    <w:rsid w:val="3A59064C"/>
    <w:rsid w:val="3AB91A2A"/>
    <w:rsid w:val="3B3F60E8"/>
    <w:rsid w:val="3C3104DF"/>
    <w:rsid w:val="3CDF116D"/>
    <w:rsid w:val="3D5556A9"/>
    <w:rsid w:val="3DF02BFD"/>
    <w:rsid w:val="3E487E67"/>
    <w:rsid w:val="3EA63361"/>
    <w:rsid w:val="3EB01EEA"/>
    <w:rsid w:val="3F89210D"/>
    <w:rsid w:val="403F2B47"/>
    <w:rsid w:val="40DF302C"/>
    <w:rsid w:val="40E46C28"/>
    <w:rsid w:val="41741B70"/>
    <w:rsid w:val="41D44426"/>
    <w:rsid w:val="41F63DD0"/>
    <w:rsid w:val="424E4B6A"/>
    <w:rsid w:val="427A663F"/>
    <w:rsid w:val="4330314B"/>
    <w:rsid w:val="4353614C"/>
    <w:rsid w:val="455E5FE8"/>
    <w:rsid w:val="458E0E3B"/>
    <w:rsid w:val="45BB0276"/>
    <w:rsid w:val="47562586"/>
    <w:rsid w:val="48180C2B"/>
    <w:rsid w:val="49AA7CAD"/>
    <w:rsid w:val="4AA21989"/>
    <w:rsid w:val="4AB16169"/>
    <w:rsid w:val="4AE333C7"/>
    <w:rsid w:val="4B422933"/>
    <w:rsid w:val="4CC51A03"/>
    <w:rsid w:val="4E474A4B"/>
    <w:rsid w:val="4E5E3137"/>
    <w:rsid w:val="4F3E25D9"/>
    <w:rsid w:val="50065EA4"/>
    <w:rsid w:val="50E336C1"/>
    <w:rsid w:val="51086382"/>
    <w:rsid w:val="52922686"/>
    <w:rsid w:val="532D7D83"/>
    <w:rsid w:val="53F2217D"/>
    <w:rsid w:val="541F67DB"/>
    <w:rsid w:val="55D831E4"/>
    <w:rsid w:val="57680125"/>
    <w:rsid w:val="582E0E94"/>
    <w:rsid w:val="5B333A82"/>
    <w:rsid w:val="5B792034"/>
    <w:rsid w:val="5BC26DAF"/>
    <w:rsid w:val="5C5D7C48"/>
    <w:rsid w:val="5E325597"/>
    <w:rsid w:val="5EC90ABC"/>
    <w:rsid w:val="5F01496B"/>
    <w:rsid w:val="5F2330F5"/>
    <w:rsid w:val="5F276DA9"/>
    <w:rsid w:val="5FC1205A"/>
    <w:rsid w:val="60AF69DC"/>
    <w:rsid w:val="612B2CF7"/>
    <w:rsid w:val="61554288"/>
    <w:rsid w:val="629D7D44"/>
    <w:rsid w:val="63B73047"/>
    <w:rsid w:val="63CE3478"/>
    <w:rsid w:val="64A92CF8"/>
    <w:rsid w:val="66281EC1"/>
    <w:rsid w:val="663D76A1"/>
    <w:rsid w:val="669D0885"/>
    <w:rsid w:val="682A60F2"/>
    <w:rsid w:val="682A7ED7"/>
    <w:rsid w:val="68754EED"/>
    <w:rsid w:val="68A52399"/>
    <w:rsid w:val="68B51559"/>
    <w:rsid w:val="68EE1602"/>
    <w:rsid w:val="69732BB6"/>
    <w:rsid w:val="69A63060"/>
    <w:rsid w:val="69BC1740"/>
    <w:rsid w:val="69DC5D71"/>
    <w:rsid w:val="6A5B247A"/>
    <w:rsid w:val="6BAE6CB9"/>
    <w:rsid w:val="6C7C6F35"/>
    <w:rsid w:val="6C8266AE"/>
    <w:rsid w:val="6E007F15"/>
    <w:rsid w:val="6E2D5DD3"/>
    <w:rsid w:val="6EE52D4A"/>
    <w:rsid w:val="6F53712D"/>
    <w:rsid w:val="70165A66"/>
    <w:rsid w:val="705339F7"/>
    <w:rsid w:val="70A567B9"/>
    <w:rsid w:val="71326D93"/>
    <w:rsid w:val="716236AE"/>
    <w:rsid w:val="7193658F"/>
    <w:rsid w:val="71FB579F"/>
    <w:rsid w:val="73C94B85"/>
    <w:rsid w:val="73F310C6"/>
    <w:rsid w:val="742665A0"/>
    <w:rsid w:val="74FC4AA9"/>
    <w:rsid w:val="75D4469A"/>
    <w:rsid w:val="77170532"/>
    <w:rsid w:val="777138F3"/>
    <w:rsid w:val="78B125B1"/>
    <w:rsid w:val="78D244C8"/>
    <w:rsid w:val="79094B82"/>
    <w:rsid w:val="794376E8"/>
    <w:rsid w:val="7999055C"/>
    <w:rsid w:val="7A5429A6"/>
    <w:rsid w:val="7A5D6AD3"/>
    <w:rsid w:val="7ADE3E86"/>
    <w:rsid w:val="7AE06308"/>
    <w:rsid w:val="7C8C7D58"/>
    <w:rsid w:val="7E424DCC"/>
    <w:rsid w:val="7F347064"/>
    <w:rsid w:val="7FB05AB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qFormat="1" w:uiPriority="99" w:semiHidden="0" w:name="endnote reference"/>
    <w:lsdException w:qFormat="1"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30"/>
    <w:qFormat/>
    <w:uiPriority w:val="9"/>
    <w:pPr>
      <w:keepNext/>
      <w:keepLines/>
      <w:spacing w:before="340" w:after="330" w:line="578" w:lineRule="auto"/>
      <w:outlineLvl w:val="0"/>
    </w:pPr>
    <w:rPr>
      <w:b/>
      <w:bCs/>
      <w:kern w:val="44"/>
      <w:sz w:val="44"/>
      <w:szCs w:val="44"/>
    </w:rPr>
  </w:style>
  <w:style w:type="paragraph" w:styleId="5">
    <w:name w:val="heading 2"/>
    <w:basedOn w:val="1"/>
    <w:next w:val="1"/>
    <w:link w:val="3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6">
    <w:name w:val="heading 4"/>
    <w:basedOn w:val="1"/>
    <w:next w:val="1"/>
    <w:qFormat/>
    <w:uiPriority w:val="0"/>
    <w:pPr>
      <w:keepNext/>
      <w:keepLines/>
      <w:numPr>
        <w:ilvl w:val="3"/>
        <w:numId w:val="1"/>
      </w:numPr>
      <w:spacing w:before="280" w:after="290" w:line="377" w:lineRule="auto"/>
      <w:outlineLvl w:val="3"/>
    </w:pPr>
    <w:rPr>
      <w:rFonts w:ascii="Arial" w:hAnsi="Arial"/>
      <w:sz w:val="24"/>
      <w:szCs w:val="20"/>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正文首行缩进 21"/>
    <w:basedOn w:val="3"/>
    <w:qFormat/>
    <w:uiPriority w:val="0"/>
    <w:pPr>
      <w:ind w:firstLine="420"/>
    </w:pPr>
  </w:style>
  <w:style w:type="paragraph" w:customStyle="1" w:styleId="3">
    <w:name w:val="正文文本缩进1"/>
    <w:basedOn w:val="1"/>
    <w:qFormat/>
    <w:uiPriority w:val="0"/>
    <w:pPr>
      <w:spacing w:after="120"/>
      <w:ind w:left="420" w:leftChars="200"/>
    </w:pPr>
  </w:style>
  <w:style w:type="paragraph" w:styleId="7">
    <w:name w:val="Normal Indent"/>
    <w:basedOn w:val="1"/>
    <w:link w:val="41"/>
    <w:qFormat/>
    <w:uiPriority w:val="0"/>
    <w:pPr>
      <w:ind w:firstLine="420"/>
    </w:pPr>
  </w:style>
  <w:style w:type="paragraph" w:styleId="8">
    <w:name w:val="annotation text"/>
    <w:basedOn w:val="1"/>
    <w:link w:val="32"/>
    <w:unhideWhenUsed/>
    <w:qFormat/>
    <w:uiPriority w:val="99"/>
    <w:pPr>
      <w:jc w:val="left"/>
    </w:pPr>
  </w:style>
  <w:style w:type="paragraph" w:styleId="9">
    <w:name w:val="toc 3"/>
    <w:basedOn w:val="1"/>
    <w:next w:val="1"/>
    <w:unhideWhenUsed/>
    <w:qFormat/>
    <w:uiPriority w:val="39"/>
    <w:pPr>
      <w:widowControl/>
      <w:spacing w:after="100" w:line="276" w:lineRule="auto"/>
      <w:ind w:left="440"/>
      <w:jc w:val="left"/>
    </w:pPr>
    <w:rPr>
      <w:kern w:val="0"/>
      <w:sz w:val="22"/>
    </w:rPr>
  </w:style>
  <w:style w:type="paragraph" w:styleId="10">
    <w:name w:val="Plain Text"/>
    <w:basedOn w:val="1"/>
    <w:link w:val="34"/>
    <w:qFormat/>
    <w:uiPriority w:val="0"/>
    <w:rPr>
      <w:rFonts w:ascii="宋体" w:hAnsi="Courier New" w:cs="Courier New"/>
      <w:szCs w:val="21"/>
    </w:rPr>
  </w:style>
  <w:style w:type="paragraph" w:styleId="11">
    <w:name w:val="endnote text"/>
    <w:basedOn w:val="1"/>
    <w:link w:val="35"/>
    <w:unhideWhenUsed/>
    <w:qFormat/>
    <w:uiPriority w:val="99"/>
    <w:pPr>
      <w:snapToGrid w:val="0"/>
      <w:jc w:val="left"/>
    </w:pPr>
  </w:style>
  <w:style w:type="paragraph" w:styleId="12">
    <w:name w:val="Balloon Text"/>
    <w:basedOn w:val="1"/>
    <w:link w:val="36"/>
    <w:unhideWhenUsed/>
    <w:qFormat/>
    <w:uiPriority w:val="99"/>
    <w:rPr>
      <w:sz w:val="18"/>
      <w:szCs w:val="18"/>
    </w:rPr>
  </w:style>
  <w:style w:type="paragraph" w:styleId="13">
    <w:name w:val="footer"/>
    <w:basedOn w:val="1"/>
    <w:link w:val="29"/>
    <w:unhideWhenUsed/>
    <w:qFormat/>
    <w:uiPriority w:val="99"/>
    <w:pPr>
      <w:tabs>
        <w:tab w:val="center" w:pos="4153"/>
        <w:tab w:val="right" w:pos="8306"/>
      </w:tabs>
      <w:snapToGrid w:val="0"/>
      <w:jc w:val="left"/>
    </w:pPr>
    <w:rPr>
      <w:sz w:val="18"/>
      <w:szCs w:val="18"/>
    </w:rPr>
  </w:style>
  <w:style w:type="paragraph" w:styleId="14">
    <w:name w:val="header"/>
    <w:basedOn w:val="1"/>
    <w:link w:val="28"/>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6"/>
    <w:next w:val="4"/>
    <w:unhideWhenUsed/>
    <w:qFormat/>
    <w:uiPriority w:val="39"/>
    <w:pPr>
      <w:widowControl/>
      <w:spacing w:line="440" w:lineRule="exact"/>
      <w:jc w:val="left"/>
    </w:pPr>
    <w:rPr>
      <w:rFonts w:eastAsia="黑体"/>
      <w:b/>
      <w:i w:val="0"/>
      <w:kern w:val="0"/>
      <w:sz w:val="28"/>
    </w:rPr>
  </w:style>
  <w:style w:type="paragraph" w:customStyle="1" w:styleId="16">
    <w:name w:val="引用1"/>
    <w:basedOn w:val="1"/>
    <w:next w:val="1"/>
    <w:link w:val="40"/>
    <w:qFormat/>
    <w:uiPriority w:val="29"/>
    <w:rPr>
      <w:i/>
      <w:iCs/>
      <w:color w:val="000000" w:themeColor="text1"/>
    </w:rPr>
  </w:style>
  <w:style w:type="paragraph" w:styleId="17">
    <w:name w:val="toc 2"/>
    <w:basedOn w:val="16"/>
    <w:next w:val="5"/>
    <w:unhideWhenUsed/>
    <w:qFormat/>
    <w:uiPriority w:val="39"/>
    <w:pPr>
      <w:widowControl/>
      <w:tabs>
        <w:tab w:val="left" w:pos="756"/>
        <w:tab w:val="left" w:pos="966"/>
        <w:tab w:val="left" w:pos="1204"/>
        <w:tab w:val="left" w:pos="1442"/>
        <w:tab w:val="right" w:leader="dot" w:pos="9514"/>
      </w:tabs>
      <w:spacing w:line="276" w:lineRule="auto"/>
      <w:ind w:left="220"/>
      <w:jc w:val="left"/>
    </w:pPr>
    <w:rPr>
      <w:rFonts w:ascii="宋体" w:hAnsi="宋体"/>
      <w:i w:val="0"/>
      <w:kern w:val="0"/>
      <w:sz w:val="24"/>
    </w:rPr>
  </w:style>
  <w:style w:type="paragraph" w:styleId="18">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9">
    <w:name w:val="Title"/>
    <w:basedOn w:val="1"/>
    <w:next w:val="1"/>
    <w:qFormat/>
    <w:uiPriority w:val="10"/>
    <w:pPr>
      <w:spacing w:before="240" w:after="60"/>
      <w:jc w:val="center"/>
      <w:outlineLvl w:val="0"/>
    </w:pPr>
    <w:rPr>
      <w:rFonts w:ascii="Cambria" w:hAnsi="Cambria"/>
      <w:b/>
      <w:bCs/>
      <w:kern w:val="0"/>
      <w:sz w:val="32"/>
      <w:szCs w:val="32"/>
    </w:rPr>
  </w:style>
  <w:style w:type="paragraph" w:styleId="20">
    <w:name w:val="annotation subject"/>
    <w:basedOn w:val="8"/>
    <w:next w:val="8"/>
    <w:link w:val="33"/>
    <w:unhideWhenUsed/>
    <w:qFormat/>
    <w:uiPriority w:val="99"/>
    <w:rPr>
      <w:b/>
      <w:bCs/>
    </w:r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24">
    <w:name w:val="Strong"/>
    <w:basedOn w:val="23"/>
    <w:qFormat/>
    <w:uiPriority w:val="22"/>
    <w:rPr>
      <w:b/>
    </w:rPr>
  </w:style>
  <w:style w:type="character" w:styleId="25">
    <w:name w:val="endnote reference"/>
    <w:basedOn w:val="23"/>
    <w:unhideWhenUsed/>
    <w:qFormat/>
    <w:uiPriority w:val="99"/>
    <w:rPr>
      <w:vertAlign w:val="superscript"/>
    </w:rPr>
  </w:style>
  <w:style w:type="character" w:styleId="26">
    <w:name w:val="Hyperlink"/>
    <w:basedOn w:val="23"/>
    <w:unhideWhenUsed/>
    <w:qFormat/>
    <w:uiPriority w:val="99"/>
    <w:rPr>
      <w:color w:val="0000FF" w:themeColor="hyperlink"/>
      <w:u w:val="single"/>
    </w:rPr>
  </w:style>
  <w:style w:type="character" w:styleId="27">
    <w:name w:val="annotation reference"/>
    <w:qFormat/>
    <w:uiPriority w:val="99"/>
    <w:rPr>
      <w:sz w:val="21"/>
    </w:rPr>
  </w:style>
  <w:style w:type="character" w:customStyle="1" w:styleId="28">
    <w:name w:val="页眉 Char"/>
    <w:basedOn w:val="23"/>
    <w:link w:val="14"/>
    <w:qFormat/>
    <w:uiPriority w:val="99"/>
    <w:rPr>
      <w:sz w:val="18"/>
      <w:szCs w:val="18"/>
    </w:rPr>
  </w:style>
  <w:style w:type="character" w:customStyle="1" w:styleId="29">
    <w:name w:val="页脚 Char"/>
    <w:basedOn w:val="23"/>
    <w:link w:val="13"/>
    <w:qFormat/>
    <w:uiPriority w:val="99"/>
    <w:rPr>
      <w:sz w:val="18"/>
      <w:szCs w:val="18"/>
    </w:rPr>
  </w:style>
  <w:style w:type="character" w:customStyle="1" w:styleId="30">
    <w:name w:val="标题 1 Char"/>
    <w:basedOn w:val="23"/>
    <w:link w:val="4"/>
    <w:qFormat/>
    <w:uiPriority w:val="9"/>
    <w:rPr>
      <w:b/>
      <w:bCs/>
      <w:kern w:val="44"/>
      <w:sz w:val="44"/>
      <w:szCs w:val="44"/>
    </w:rPr>
  </w:style>
  <w:style w:type="character" w:customStyle="1" w:styleId="31">
    <w:name w:val="标题 2 Char"/>
    <w:basedOn w:val="23"/>
    <w:link w:val="5"/>
    <w:qFormat/>
    <w:uiPriority w:val="9"/>
    <w:rPr>
      <w:rFonts w:asciiTheme="majorHAnsi" w:hAnsiTheme="majorHAnsi" w:eastAsiaTheme="majorEastAsia" w:cstheme="majorBidi"/>
      <w:b/>
      <w:bCs/>
      <w:sz w:val="32"/>
      <w:szCs w:val="32"/>
    </w:rPr>
  </w:style>
  <w:style w:type="character" w:customStyle="1" w:styleId="32">
    <w:name w:val="批注文字 Char"/>
    <w:basedOn w:val="23"/>
    <w:link w:val="8"/>
    <w:qFormat/>
    <w:uiPriority w:val="99"/>
  </w:style>
  <w:style w:type="character" w:customStyle="1" w:styleId="33">
    <w:name w:val="批注主题 Char"/>
    <w:basedOn w:val="32"/>
    <w:link w:val="20"/>
    <w:qFormat/>
    <w:uiPriority w:val="99"/>
    <w:rPr>
      <w:b/>
      <w:bCs/>
    </w:rPr>
  </w:style>
  <w:style w:type="character" w:customStyle="1" w:styleId="34">
    <w:name w:val="纯文本 Char"/>
    <w:basedOn w:val="23"/>
    <w:link w:val="10"/>
    <w:qFormat/>
    <w:uiPriority w:val="0"/>
    <w:rPr>
      <w:rFonts w:ascii="宋体" w:hAnsi="Courier New" w:cs="Courier New"/>
      <w:szCs w:val="21"/>
    </w:rPr>
  </w:style>
  <w:style w:type="character" w:customStyle="1" w:styleId="35">
    <w:name w:val="尾注文本 Char"/>
    <w:basedOn w:val="23"/>
    <w:link w:val="11"/>
    <w:qFormat/>
    <w:uiPriority w:val="99"/>
  </w:style>
  <w:style w:type="character" w:customStyle="1" w:styleId="36">
    <w:name w:val="批注框文本 Char"/>
    <w:basedOn w:val="23"/>
    <w:link w:val="12"/>
    <w:qFormat/>
    <w:uiPriority w:val="99"/>
    <w:rPr>
      <w:sz w:val="18"/>
      <w:szCs w:val="18"/>
    </w:rPr>
  </w:style>
  <w:style w:type="paragraph" w:customStyle="1" w:styleId="37">
    <w:name w:val="列出段落1"/>
    <w:basedOn w:val="1"/>
    <w:qFormat/>
    <w:uiPriority w:val="34"/>
    <w:pPr>
      <w:ind w:firstLine="420" w:firstLineChars="200"/>
    </w:pPr>
  </w:style>
  <w:style w:type="paragraph" w:customStyle="1" w:styleId="38">
    <w:name w:val="TOC 标题1"/>
    <w:basedOn w:val="4"/>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39">
    <w:name w:val="纯文本 Char1"/>
    <w:basedOn w:val="23"/>
    <w:semiHidden/>
    <w:qFormat/>
    <w:uiPriority w:val="99"/>
    <w:rPr>
      <w:rFonts w:ascii="宋体" w:hAnsi="Courier New" w:eastAsia="宋体" w:cs="Courier New"/>
      <w:szCs w:val="21"/>
    </w:rPr>
  </w:style>
  <w:style w:type="character" w:customStyle="1" w:styleId="40">
    <w:name w:val="引用 Char"/>
    <w:basedOn w:val="23"/>
    <w:link w:val="16"/>
    <w:qFormat/>
    <w:uiPriority w:val="29"/>
    <w:rPr>
      <w:i/>
      <w:iCs/>
      <w:color w:val="000000" w:themeColor="text1"/>
    </w:rPr>
  </w:style>
  <w:style w:type="character" w:customStyle="1" w:styleId="41">
    <w:name w:val="正文缩进 Char"/>
    <w:link w:val="7"/>
    <w:qFormat/>
    <w:uiPriority w:val="0"/>
  </w:style>
  <w:style w:type="paragraph" w:customStyle="1" w:styleId="42">
    <w:name w:val="列出段落2"/>
    <w:basedOn w:val="1"/>
    <w:qFormat/>
    <w:uiPriority w:val="34"/>
    <w:pPr>
      <w:ind w:firstLine="420" w:firstLineChars="200"/>
    </w:pPr>
  </w:style>
  <w:style w:type="character" w:customStyle="1" w:styleId="43">
    <w:name w:val="纯文本 Char2"/>
    <w:qFormat/>
    <w:locked/>
    <w:uiPriority w:val="0"/>
    <w:rPr>
      <w:rFonts w:ascii="宋体" w:hAnsi="Courier New" w:eastAsia="宋体" w:cs="Courier New"/>
      <w:szCs w:val="21"/>
    </w:rPr>
  </w:style>
  <w:style w:type="paragraph" w:customStyle="1" w:styleId="44">
    <w:name w:val="Char Char"/>
    <w:basedOn w:val="1"/>
    <w:qFormat/>
    <w:uiPriority w:val="0"/>
    <w:rPr>
      <w:rFonts w:ascii="Tahoma" w:hAnsi="Tahoma" w:eastAsia="宋体" w:cs="Times New Roman"/>
      <w:sz w:val="24"/>
      <w:szCs w:val="20"/>
    </w:rPr>
  </w:style>
  <w:style w:type="paragraph" w:customStyle="1" w:styleId="45">
    <w:name w:val="无间隔1"/>
    <w:qFormat/>
    <w:uiPriority w:val="1"/>
    <w:pPr>
      <w:widowControl w:val="0"/>
      <w:jc w:val="both"/>
    </w:pPr>
    <w:rPr>
      <w:rFonts w:ascii="Calibri" w:hAnsi="Calibri" w:eastAsia="宋体" w:cs="Times New Roman"/>
      <w:kern w:val="2"/>
      <w:sz w:val="21"/>
      <w:szCs w:val="22"/>
      <w:lang w:val="en-US" w:eastAsia="zh-CN" w:bidi="ar-SA"/>
    </w:rPr>
  </w:style>
  <w:style w:type="paragraph" w:customStyle="1" w:styleId="46">
    <w:name w:val="正文 New New New New New New New New New New New New New New New New New New New"/>
    <w:qFormat/>
    <w:uiPriority w:val="0"/>
    <w:pPr>
      <w:widowControl w:val="0"/>
      <w:jc w:val="both"/>
    </w:pPr>
    <w:rPr>
      <w:rFonts w:ascii="Times New Roman" w:hAnsi="Times New Roman" w:eastAsia="宋体" w:cs="Times New Roman"/>
      <w:kern w:val="2"/>
      <w:sz w:val="28"/>
      <w:szCs w:val="24"/>
      <w:lang w:val="en-US" w:eastAsia="zh-CN" w:bidi="ar-SA"/>
    </w:rPr>
  </w:style>
  <w:style w:type="paragraph" w:customStyle="1" w:styleId="47">
    <w:name w:val="标题2"/>
    <w:basedOn w:val="4"/>
    <w:qFormat/>
    <w:uiPriority w:val="0"/>
    <w:pPr>
      <w:spacing w:before="100" w:beforeAutospacing="1" w:after="100" w:afterAutospacing="1"/>
      <w:jc w:val="left"/>
    </w:pPr>
    <w:rPr>
      <w:rFonts w:ascii="宋体" w:hAnsi="宋体" w:eastAsia="黑体"/>
      <w:sz w:val="24"/>
      <w:szCs w:val="24"/>
    </w:rPr>
  </w:style>
  <w:style w:type="paragraph" w:customStyle="1" w:styleId="48">
    <w:name w:val="Crp正文"/>
    <w:basedOn w:val="1"/>
    <w:qFormat/>
    <w:uiPriority w:val="0"/>
    <w:pPr>
      <w:spacing w:after="120"/>
      <w:ind w:left="420" w:leftChars="200" w:firstLine="560" w:firstLineChars="200"/>
      <w:jc w:val="left"/>
    </w:pPr>
    <w:rPr>
      <w:rFonts w:ascii="仿宋_GB2312" w:eastAsia="仿宋_GB2312"/>
      <w:sz w:val="28"/>
      <w:szCs w:val="28"/>
    </w:rPr>
  </w:style>
  <w:style w:type="paragraph" w:customStyle="1" w:styleId="49">
    <w:name w:val="B"/>
    <w:basedOn w:val="1"/>
    <w:next w:val="50"/>
    <w:qFormat/>
    <w:uiPriority w:val="0"/>
    <w:pPr>
      <w:spacing w:line="360" w:lineRule="auto"/>
      <w:ind w:left="840" w:hanging="840"/>
      <w:jc w:val="left"/>
      <w:outlineLvl w:val="1"/>
    </w:pPr>
    <w:rPr>
      <w:rFonts w:eastAsia="黑体"/>
      <w:sz w:val="28"/>
      <w:szCs w:val="20"/>
    </w:rPr>
  </w:style>
  <w:style w:type="paragraph" w:customStyle="1" w:styleId="50">
    <w:name w:val="D"/>
    <w:basedOn w:val="1"/>
    <w:qFormat/>
    <w:uiPriority w:val="0"/>
    <w:pPr>
      <w:spacing w:line="360" w:lineRule="auto"/>
      <w:ind w:left="511" w:hanging="114"/>
      <w:jc w:val="left"/>
      <w:outlineLvl w:val="3"/>
    </w:pPr>
    <w:rPr>
      <w:rFonts w:eastAsia="黑体"/>
      <w:sz w:val="24"/>
      <w:szCs w:val="20"/>
    </w:rPr>
  </w:style>
  <w:style w:type="paragraph" w:customStyle="1" w:styleId="51">
    <w:name w:val="E 正文"/>
    <w:basedOn w:val="1"/>
    <w:qFormat/>
    <w:uiPriority w:val="0"/>
    <w:pPr>
      <w:spacing w:line="360" w:lineRule="auto"/>
      <w:ind w:firstLine="200" w:firstLineChars="200"/>
      <w:jc w:val="left"/>
    </w:pPr>
    <w:rPr>
      <w:color w:val="000000"/>
      <w:sz w:val="24"/>
      <w:szCs w:val="20"/>
    </w:rPr>
  </w:style>
  <w:style w:type="paragraph" w:customStyle="1" w:styleId="52">
    <w:name w:val="列表段落1"/>
    <w:basedOn w:val="1"/>
    <w:qFormat/>
    <w:uiPriority w:val="34"/>
    <w:pPr>
      <w:ind w:firstLine="420" w:firstLineChars="200"/>
    </w:pPr>
    <w:rPr>
      <w:szCs w:val="21"/>
    </w:rPr>
  </w:style>
  <w:style w:type="paragraph" w:customStyle="1" w:styleId="53">
    <w:name w:val="列表段落11"/>
    <w:basedOn w:val="1"/>
    <w:qFormat/>
    <w:uiPriority w:val="0"/>
    <w:pPr>
      <w:widowControl/>
      <w:ind w:firstLine="200" w:firstLineChars="200"/>
      <w:jc w:val="left"/>
    </w:pPr>
  </w:style>
  <w:style w:type="paragraph" w:customStyle="1" w:styleId="54">
    <w:name w:val="正文1"/>
    <w:qFormat/>
    <w:uiPriority w:val="0"/>
    <w:pPr>
      <w:jc w:val="both"/>
    </w:pPr>
    <w:rPr>
      <w:rFonts w:ascii="Calibri" w:hAnsi="Calibri" w:eastAsia="宋体" w:cs="宋体"/>
      <w:kern w:val="2"/>
      <w:sz w:val="21"/>
      <w:szCs w:val="21"/>
      <w:lang w:val="en-US" w:eastAsia="zh-CN" w:bidi="ar-SA"/>
    </w:rPr>
  </w:style>
  <w:style w:type="paragraph" w:customStyle="1" w:styleId="55">
    <w:name w:val="列出段落3"/>
    <w:basedOn w:val="1"/>
    <w:qFormat/>
    <w:uiPriority w:val="34"/>
    <w:pPr>
      <w:ind w:firstLine="420" w:firstLineChars="200"/>
    </w:pPr>
  </w:style>
  <w:style w:type="paragraph" w:customStyle="1" w:styleId="56">
    <w:name w:val="Table Paragraph"/>
    <w:basedOn w:val="1"/>
    <w:qFormat/>
    <w:uiPriority w:val="1"/>
    <w:rPr>
      <w:rFonts w:ascii="Noto Sans Mono CJK JP Regular" w:hAnsi="Noto Sans Mono CJK JP Regular" w:eastAsia="Noto Sans Mono CJK JP Regular" w:cs="Noto Sans Mono CJK JP Regular"/>
    </w:rPr>
  </w:style>
  <w:style w:type="paragraph" w:customStyle="1" w:styleId="57">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210AF4-3866-4EBB-AACF-3DDD76078DE2}">
  <ds:schemaRefs/>
</ds:datastoreItem>
</file>

<file path=docProps/app.xml><?xml version="1.0" encoding="utf-8"?>
<Properties xmlns="http://schemas.openxmlformats.org/officeDocument/2006/extended-properties" xmlns:vt="http://schemas.openxmlformats.org/officeDocument/2006/docPropsVTypes">
  <Template>Normal</Template>
  <Company>UQi.me</Company>
  <Pages>59</Pages>
  <Words>4288</Words>
  <Characters>24443</Characters>
  <Lines>203</Lines>
  <Paragraphs>57</Paragraphs>
  <TotalTime>0</TotalTime>
  <ScaleCrop>false</ScaleCrop>
  <LinksUpToDate>false</LinksUpToDate>
  <CharactersWithSpaces>28674</CharactersWithSpaces>
  <Application>WPS Office_11.1.0.8812_F1E327BC-269C-435d-A152-05C5408002CA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2018-09-28T01:45:00Z</dcterms:created>
  <dc:creator>UQi.me</dc:creator>
  <cp:lastModifiedBy>Administrator</cp:lastModifiedBy>
  <cp:lastPrinted>2019-06-18T01:06:00Z</cp:lastPrinted>
  <dcterms:modified xsi:type="dcterms:W3CDTF">2019-07-15T02:22:53Z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2052-11.1.0.8812</vt:lpwstr>
  </property>
</Properties>
</file>