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28"/>
          <w:szCs w:val="28"/>
        </w:rPr>
      </w:pPr>
      <w:r>
        <w:rPr>
          <w:rFonts w:hint="eastAsia"/>
          <w:color w:val="000000"/>
          <w:sz w:val="28"/>
          <w:szCs w:val="28"/>
        </w:rPr>
        <w:t>附件</w:t>
      </w:r>
      <w:r>
        <w:rPr>
          <w:color w:val="000000"/>
          <w:sz w:val="28"/>
          <w:szCs w:val="28"/>
        </w:rPr>
        <w:t>1</w:t>
      </w:r>
      <w:r>
        <w:rPr>
          <w:rFonts w:hint="eastAsia"/>
          <w:color w:val="000000"/>
          <w:sz w:val="28"/>
          <w:szCs w:val="28"/>
        </w:rPr>
        <w:t>：</w:t>
      </w:r>
    </w:p>
    <w:p>
      <w:pPr>
        <w:spacing w:line="520" w:lineRule="exact"/>
        <w:jc w:val="center"/>
        <w:rPr>
          <w:b/>
          <w:color w:val="000000"/>
          <w:sz w:val="28"/>
          <w:szCs w:val="28"/>
        </w:rPr>
      </w:pPr>
      <w:r>
        <w:rPr>
          <w:rFonts w:hint="eastAsia"/>
          <w:b/>
          <w:color w:val="000000"/>
          <w:sz w:val="28"/>
          <w:szCs w:val="28"/>
        </w:rPr>
        <w:t>技</w:t>
      </w:r>
      <w:r>
        <w:rPr>
          <w:b/>
          <w:color w:val="000000"/>
          <w:sz w:val="28"/>
          <w:szCs w:val="28"/>
        </w:rPr>
        <w:t xml:space="preserve"> </w:t>
      </w:r>
      <w:r>
        <w:rPr>
          <w:rFonts w:hint="eastAsia"/>
          <w:b/>
          <w:color w:val="000000"/>
          <w:sz w:val="28"/>
          <w:szCs w:val="28"/>
        </w:rPr>
        <w:t>术</w:t>
      </w:r>
      <w:r>
        <w:rPr>
          <w:b/>
          <w:color w:val="000000"/>
          <w:sz w:val="28"/>
          <w:szCs w:val="28"/>
        </w:rPr>
        <w:t xml:space="preserve"> </w:t>
      </w:r>
      <w:r>
        <w:rPr>
          <w:rFonts w:hint="eastAsia"/>
          <w:b/>
          <w:color w:val="000000"/>
          <w:sz w:val="28"/>
          <w:szCs w:val="28"/>
        </w:rPr>
        <w:t>参</w:t>
      </w:r>
      <w:r>
        <w:rPr>
          <w:b/>
          <w:color w:val="000000"/>
          <w:sz w:val="28"/>
          <w:szCs w:val="28"/>
        </w:rPr>
        <w:t xml:space="preserve"> </w:t>
      </w:r>
      <w:r>
        <w:rPr>
          <w:rFonts w:hint="eastAsia"/>
          <w:b/>
          <w:color w:val="000000"/>
          <w:sz w:val="28"/>
          <w:szCs w:val="28"/>
        </w:rPr>
        <w:t>数</w:t>
      </w:r>
    </w:p>
    <w:p>
      <w:pPr>
        <w:spacing w:line="520" w:lineRule="exact"/>
        <w:rPr>
          <w:color w:val="000000"/>
          <w:sz w:val="24"/>
          <w:szCs w:val="24"/>
        </w:rPr>
      </w:pPr>
      <w:r>
        <w:rPr>
          <w:rFonts w:hint="eastAsia"/>
          <w:color w:val="000000"/>
          <w:sz w:val="24"/>
          <w:szCs w:val="24"/>
        </w:rPr>
        <w:t>一、设计范围</w:t>
      </w:r>
    </w:p>
    <w:p>
      <w:pPr>
        <w:spacing w:line="520" w:lineRule="exact"/>
        <w:rPr>
          <w:color w:val="000000"/>
          <w:sz w:val="24"/>
          <w:szCs w:val="24"/>
        </w:rPr>
      </w:pPr>
      <w:r>
        <w:rPr>
          <w:rFonts w:hint="eastAsia"/>
          <w:color w:val="000000"/>
          <w:sz w:val="24"/>
          <w:szCs w:val="24"/>
        </w:rPr>
        <w:t>阳新县</w:t>
      </w:r>
      <w:r>
        <w:rPr>
          <w:color w:val="000000"/>
          <w:sz w:val="24"/>
          <w:szCs w:val="24"/>
        </w:rPr>
        <w:t>2019</w:t>
      </w:r>
      <w:r>
        <w:rPr>
          <w:rFonts w:hint="eastAsia"/>
          <w:color w:val="000000"/>
          <w:sz w:val="24"/>
          <w:szCs w:val="24"/>
        </w:rPr>
        <w:t>年高标准农田建设项目三溪镇等三镇（区）（补建项目）规划总面积</w:t>
      </w:r>
      <w:r>
        <w:rPr>
          <w:color w:val="000000"/>
          <w:sz w:val="24"/>
          <w:szCs w:val="24"/>
        </w:rPr>
        <w:t>4</w:t>
      </w:r>
      <w:r>
        <w:rPr>
          <w:rFonts w:hint="eastAsia"/>
          <w:color w:val="000000"/>
          <w:sz w:val="24"/>
          <w:szCs w:val="24"/>
        </w:rPr>
        <w:t>万亩，工程项目前期规划投资估算</w:t>
      </w:r>
      <w:r>
        <w:rPr>
          <w:color w:val="000000"/>
          <w:sz w:val="24"/>
          <w:szCs w:val="24"/>
        </w:rPr>
        <w:t>4000</w:t>
      </w:r>
      <w:r>
        <w:rPr>
          <w:rFonts w:hint="eastAsia"/>
          <w:color w:val="000000"/>
          <w:sz w:val="24"/>
          <w:szCs w:val="24"/>
        </w:rPr>
        <w:t>万元，工程建设投入标准</w:t>
      </w:r>
      <w:r>
        <w:rPr>
          <w:color w:val="000000"/>
          <w:sz w:val="24"/>
          <w:szCs w:val="24"/>
        </w:rPr>
        <w:t>1000</w:t>
      </w:r>
      <w:r>
        <w:rPr>
          <w:rFonts w:hint="eastAsia"/>
          <w:color w:val="000000"/>
          <w:sz w:val="24"/>
          <w:szCs w:val="24"/>
        </w:rPr>
        <w:t>元</w:t>
      </w:r>
      <w:r>
        <w:rPr>
          <w:color w:val="000000"/>
          <w:sz w:val="24"/>
          <w:szCs w:val="24"/>
        </w:rPr>
        <w:t>/</w:t>
      </w:r>
      <w:r>
        <w:rPr>
          <w:rFonts w:hint="eastAsia"/>
          <w:color w:val="000000"/>
          <w:sz w:val="24"/>
          <w:szCs w:val="24"/>
        </w:rPr>
        <w:t>亩。项目实施地点：三溪镇八湘片和姜福村、综合农场十里湖片、排市镇太郁片。</w:t>
      </w:r>
    </w:p>
    <w:p>
      <w:pPr>
        <w:spacing w:line="520" w:lineRule="exact"/>
        <w:rPr>
          <w:color w:val="000000"/>
          <w:sz w:val="24"/>
          <w:szCs w:val="24"/>
        </w:rPr>
      </w:pPr>
      <w:r>
        <w:rPr>
          <w:rFonts w:hint="eastAsia"/>
          <w:color w:val="000000"/>
          <w:sz w:val="24"/>
          <w:szCs w:val="24"/>
        </w:rPr>
        <w:t>二、设计任务</w:t>
      </w:r>
    </w:p>
    <w:p>
      <w:pPr>
        <w:spacing w:line="520" w:lineRule="exact"/>
        <w:rPr>
          <w:color w:val="000000"/>
          <w:sz w:val="24"/>
          <w:szCs w:val="24"/>
        </w:rPr>
      </w:pPr>
      <w:r>
        <w:rPr>
          <w:rFonts w:hint="eastAsia"/>
          <w:color w:val="000000"/>
          <w:sz w:val="24"/>
          <w:szCs w:val="24"/>
        </w:rPr>
        <w:t>对阳新县</w:t>
      </w:r>
      <w:r>
        <w:rPr>
          <w:color w:val="000000"/>
          <w:sz w:val="24"/>
          <w:szCs w:val="24"/>
        </w:rPr>
        <w:t>2019</w:t>
      </w:r>
      <w:r>
        <w:rPr>
          <w:rFonts w:hint="eastAsia"/>
          <w:color w:val="000000"/>
          <w:sz w:val="24"/>
          <w:szCs w:val="24"/>
        </w:rPr>
        <w:t>年高标准农田建设项目三溪镇等三镇（区）（补建）项目，要求按照航拍资料进行勘察设计，提供项目的立项报告、可行性研究报告、建设区域规划图、实施方案、图纸、项目预算及上图入库的数据和资料。</w:t>
      </w:r>
    </w:p>
    <w:p>
      <w:pPr>
        <w:spacing w:line="520" w:lineRule="exact"/>
        <w:rPr>
          <w:color w:val="000000"/>
          <w:sz w:val="24"/>
          <w:szCs w:val="24"/>
        </w:rPr>
      </w:pPr>
      <w:r>
        <w:rPr>
          <w:rFonts w:hint="eastAsia"/>
          <w:color w:val="000000"/>
          <w:sz w:val="24"/>
          <w:szCs w:val="24"/>
        </w:rPr>
        <w:t>三、设计周期</w:t>
      </w:r>
    </w:p>
    <w:p>
      <w:pPr>
        <w:spacing w:line="520" w:lineRule="exact"/>
        <w:rPr>
          <w:color w:val="000000"/>
          <w:sz w:val="24"/>
          <w:szCs w:val="24"/>
        </w:rPr>
      </w:pPr>
      <w:r>
        <w:rPr>
          <w:rFonts w:hint="eastAsia"/>
          <w:color w:val="000000"/>
          <w:sz w:val="24"/>
          <w:szCs w:val="24"/>
        </w:rPr>
        <w:t>合同签订程序结束后，</w:t>
      </w:r>
      <w:r>
        <w:rPr>
          <w:color w:val="000000"/>
          <w:sz w:val="24"/>
          <w:szCs w:val="24"/>
        </w:rPr>
        <w:t>60</w:t>
      </w:r>
      <w:r>
        <w:rPr>
          <w:rFonts w:hint="eastAsia"/>
          <w:color w:val="000000"/>
          <w:sz w:val="24"/>
          <w:szCs w:val="24"/>
        </w:rPr>
        <w:t>日历天内完成并提供设计图册、实施方案和工程预算。</w:t>
      </w:r>
    </w:p>
    <w:p>
      <w:pPr>
        <w:spacing w:line="520" w:lineRule="exact"/>
        <w:rPr>
          <w:color w:val="000000"/>
          <w:sz w:val="24"/>
          <w:szCs w:val="24"/>
        </w:rPr>
      </w:pPr>
      <w:r>
        <w:rPr>
          <w:rFonts w:hint="eastAsia"/>
          <w:color w:val="000000"/>
          <w:sz w:val="24"/>
          <w:szCs w:val="24"/>
        </w:rPr>
        <w:t>四、售后服务要求</w:t>
      </w:r>
    </w:p>
    <w:p>
      <w:pPr>
        <w:spacing w:line="520" w:lineRule="exact"/>
        <w:rPr>
          <w:color w:val="000000"/>
          <w:sz w:val="24"/>
          <w:szCs w:val="24"/>
        </w:rPr>
      </w:pPr>
      <w:r>
        <w:rPr>
          <w:color w:val="000000"/>
          <w:sz w:val="24"/>
          <w:szCs w:val="24"/>
        </w:rPr>
        <w:t>1</w:t>
      </w:r>
      <w:r>
        <w:rPr>
          <w:rFonts w:hint="eastAsia"/>
          <w:color w:val="000000"/>
          <w:sz w:val="24"/>
          <w:szCs w:val="24"/>
        </w:rPr>
        <w:t>、初步方案形成后，由项目所在镇、村进行初评，在初评的基础上，组织相关部门和专家进行评审，再上报县政府批准。</w:t>
      </w:r>
    </w:p>
    <w:p>
      <w:pPr>
        <w:spacing w:line="520" w:lineRule="exact"/>
        <w:rPr>
          <w:color w:val="000000"/>
          <w:sz w:val="24"/>
          <w:szCs w:val="24"/>
        </w:rPr>
      </w:pPr>
      <w:r>
        <w:rPr>
          <w:color w:val="000000"/>
          <w:sz w:val="24"/>
          <w:szCs w:val="24"/>
        </w:rPr>
        <w:t>2</w:t>
      </w:r>
      <w:r>
        <w:rPr>
          <w:rFonts w:hint="eastAsia"/>
          <w:color w:val="000000"/>
          <w:sz w:val="24"/>
          <w:szCs w:val="24"/>
        </w:rPr>
        <w:t>、为财政部门评审中心后期对《方案》、《图册》和《预算》的评审除提供纸质版材料外，还要提供软件版资料，《设计图纸》必须用</w:t>
      </w:r>
      <w:r>
        <w:rPr>
          <w:color w:val="000000"/>
          <w:sz w:val="24"/>
          <w:szCs w:val="24"/>
        </w:rPr>
        <w:t>CAD</w:t>
      </w:r>
      <w:r>
        <w:rPr>
          <w:rFonts w:hint="eastAsia"/>
          <w:color w:val="000000"/>
          <w:sz w:val="24"/>
          <w:szCs w:val="24"/>
        </w:rPr>
        <w:t>软件绘制。</w:t>
      </w:r>
    </w:p>
    <w:p>
      <w:pPr>
        <w:spacing w:line="520" w:lineRule="exact"/>
        <w:rPr>
          <w:color w:val="000000"/>
          <w:sz w:val="24"/>
          <w:szCs w:val="24"/>
        </w:rPr>
      </w:pPr>
      <w:r>
        <w:rPr>
          <w:color w:val="000000"/>
          <w:sz w:val="24"/>
          <w:szCs w:val="24"/>
        </w:rPr>
        <w:t>3</w:t>
      </w:r>
      <w:r>
        <w:rPr>
          <w:rFonts w:hint="eastAsia"/>
          <w:color w:val="000000"/>
          <w:sz w:val="24"/>
          <w:szCs w:val="24"/>
        </w:rPr>
        <w:t>、中标供应商必须在阳新县设立办公场所并长期跟踪服务。</w:t>
      </w:r>
    </w:p>
    <w:p>
      <w:pPr>
        <w:spacing w:line="520" w:lineRule="exact"/>
        <w:rPr>
          <w:color w:val="000000"/>
          <w:sz w:val="24"/>
          <w:szCs w:val="24"/>
        </w:rPr>
      </w:pPr>
    </w:p>
    <w:p>
      <w:pPr>
        <w:spacing w:line="520" w:lineRule="exact"/>
        <w:rPr>
          <w:color w:val="000000"/>
          <w:sz w:val="24"/>
          <w:szCs w:val="24"/>
        </w:rPr>
      </w:pPr>
    </w:p>
    <w:p>
      <w:pPr>
        <w:spacing w:line="520" w:lineRule="exact"/>
        <w:rPr>
          <w:color w:val="000000"/>
          <w:sz w:val="24"/>
          <w:szCs w:val="24"/>
        </w:rPr>
      </w:pPr>
    </w:p>
    <w:p>
      <w:pPr>
        <w:spacing w:line="520" w:lineRule="exact"/>
        <w:rPr>
          <w:color w:val="000000"/>
          <w:sz w:val="24"/>
          <w:szCs w:val="24"/>
        </w:rPr>
      </w:pPr>
    </w:p>
    <w:p>
      <w:pPr>
        <w:spacing w:line="520" w:lineRule="exact"/>
        <w:rPr>
          <w:color w:val="000000"/>
          <w:sz w:val="24"/>
          <w:szCs w:val="24"/>
        </w:rPr>
      </w:pPr>
    </w:p>
    <w:p>
      <w:pPr>
        <w:spacing w:line="520" w:lineRule="exact"/>
        <w:rPr>
          <w:color w:val="000000"/>
          <w:sz w:val="24"/>
          <w:szCs w:val="24"/>
        </w:rPr>
      </w:pPr>
    </w:p>
    <w:p>
      <w:pPr>
        <w:spacing w:line="520" w:lineRule="exact"/>
        <w:rPr>
          <w:color w:val="000000"/>
          <w:sz w:val="24"/>
          <w:szCs w:val="24"/>
        </w:rPr>
      </w:pPr>
    </w:p>
    <w:p>
      <w:pPr>
        <w:spacing w:line="520" w:lineRule="exact"/>
        <w:rPr>
          <w:color w:val="000000"/>
          <w:sz w:val="24"/>
          <w:szCs w:val="24"/>
        </w:rPr>
      </w:pPr>
    </w:p>
    <w:p>
      <w:pPr>
        <w:tabs>
          <w:tab w:val="left" w:leader="dot" w:pos="8505"/>
        </w:tabs>
        <w:spacing w:line="360" w:lineRule="auto"/>
        <w:jc w:val="center"/>
        <w:rPr>
          <w:rFonts w:ascii="宋体" w:cs="宋体"/>
          <w:color w:val="000000"/>
          <w:sz w:val="24"/>
          <w:szCs w:val="24"/>
        </w:rPr>
      </w:pPr>
      <w:r>
        <w:rPr>
          <w:rFonts w:hint="eastAsia" w:ascii="宋体" w:hAnsi="宋体" w:cs="宋体"/>
          <w:color w:val="000000"/>
          <w:sz w:val="24"/>
          <w:szCs w:val="24"/>
        </w:rPr>
        <w:t>评分标准</w:t>
      </w:r>
    </w:p>
    <w:tbl>
      <w:tblPr>
        <w:tblStyle w:val="3"/>
        <w:tblW w:w="8596" w:type="dxa"/>
        <w:jc w:val="center"/>
        <w:tblInd w:w="0" w:type="dxa"/>
        <w:tblLayout w:type="fixed"/>
        <w:tblCellMar>
          <w:top w:w="0" w:type="dxa"/>
          <w:left w:w="108" w:type="dxa"/>
          <w:bottom w:w="0" w:type="dxa"/>
          <w:right w:w="108" w:type="dxa"/>
        </w:tblCellMar>
      </w:tblPr>
      <w:tblGrid>
        <w:gridCol w:w="548"/>
        <w:gridCol w:w="1157"/>
        <w:gridCol w:w="567"/>
        <w:gridCol w:w="6324"/>
      </w:tblGrid>
      <w:tr>
        <w:tblPrEx>
          <w:tblLayout w:type="fixed"/>
          <w:tblCellMar>
            <w:top w:w="0" w:type="dxa"/>
            <w:left w:w="108" w:type="dxa"/>
            <w:bottom w:w="0" w:type="dxa"/>
            <w:right w:w="108" w:type="dxa"/>
          </w:tblCellMar>
        </w:tblPrEx>
        <w:trPr>
          <w:trHeight w:val="532"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widowControl/>
              <w:ind w:firstLine="211" w:firstLineChars="100"/>
              <w:rPr>
                <w:rFonts w:ascii="宋体" w:cs="宋体"/>
                <w:b/>
                <w:color w:val="000000"/>
                <w:kern w:val="0"/>
                <w:szCs w:val="21"/>
              </w:rPr>
            </w:pPr>
            <w:r>
              <w:rPr>
                <w:rFonts w:hint="eastAsia" w:ascii="宋体" w:hAnsi="宋体" w:cs="宋体"/>
                <w:b/>
                <w:color w:val="000000"/>
                <w:kern w:val="0"/>
                <w:szCs w:val="21"/>
              </w:rPr>
              <w:t>评分项目</w:t>
            </w:r>
          </w:p>
        </w:tc>
        <w:tc>
          <w:tcPr>
            <w:tcW w:w="567" w:type="dxa"/>
            <w:tcBorders>
              <w:top w:val="single" w:color="auto" w:sz="4" w:space="0"/>
              <w:left w:val="nil"/>
              <w:bottom w:val="single" w:color="auto" w:sz="4" w:space="0"/>
              <w:right w:val="nil"/>
            </w:tcBorders>
            <w:vAlign w:val="center"/>
          </w:tcPr>
          <w:p>
            <w:pPr>
              <w:widowControl/>
              <w:jc w:val="center"/>
              <w:rPr>
                <w:rFonts w:ascii="宋体" w:cs="宋体"/>
                <w:b/>
                <w:color w:val="000000"/>
                <w:kern w:val="0"/>
                <w:szCs w:val="21"/>
              </w:rPr>
            </w:pPr>
            <w:r>
              <w:rPr>
                <w:rFonts w:hint="eastAsia" w:ascii="宋体" w:hAnsi="宋体" w:cs="宋体"/>
                <w:b/>
                <w:color w:val="000000"/>
                <w:kern w:val="0"/>
                <w:szCs w:val="21"/>
              </w:rPr>
              <w:t>分数</w:t>
            </w:r>
          </w:p>
        </w:tc>
        <w:tc>
          <w:tcPr>
            <w:tcW w:w="6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w:t>
            </w:r>
            <w:r>
              <w:rPr>
                <w:rFonts w:ascii="宋体" w:hAnsi="宋体" w:cs="宋体"/>
                <w:b/>
                <w:bCs/>
                <w:color w:val="000000"/>
                <w:kern w:val="0"/>
                <w:szCs w:val="21"/>
              </w:rPr>
              <w:t xml:space="preserve">  </w:t>
            </w:r>
            <w:r>
              <w:rPr>
                <w:rFonts w:hint="eastAsia" w:ascii="宋体" w:hAnsi="宋体" w:cs="宋体"/>
                <w:b/>
                <w:bCs/>
                <w:color w:val="000000"/>
                <w:kern w:val="0"/>
                <w:szCs w:val="21"/>
              </w:rPr>
              <w:t>分</w:t>
            </w:r>
            <w:r>
              <w:rPr>
                <w:rFonts w:ascii="宋体" w:hAnsi="宋体" w:cs="宋体"/>
                <w:b/>
                <w:bCs/>
                <w:color w:val="000000"/>
                <w:kern w:val="0"/>
                <w:szCs w:val="21"/>
              </w:rPr>
              <w:t xml:space="preserve">  </w:t>
            </w:r>
            <w:r>
              <w:rPr>
                <w:rFonts w:hint="eastAsia" w:ascii="宋体" w:hAnsi="宋体" w:cs="宋体"/>
                <w:b/>
                <w:bCs/>
                <w:color w:val="000000"/>
                <w:kern w:val="0"/>
                <w:szCs w:val="21"/>
              </w:rPr>
              <w:t>标</w:t>
            </w:r>
            <w:r>
              <w:rPr>
                <w:rFonts w:ascii="宋体" w:hAnsi="宋体" w:cs="宋体"/>
                <w:b/>
                <w:bCs/>
                <w:color w:val="000000"/>
                <w:kern w:val="0"/>
                <w:szCs w:val="21"/>
              </w:rPr>
              <w:t xml:space="preserve">  </w:t>
            </w:r>
            <w:r>
              <w:rPr>
                <w:rFonts w:hint="eastAsia" w:ascii="宋体" w:hAnsi="宋体" w:cs="宋体"/>
                <w:b/>
                <w:bCs/>
                <w:color w:val="000000"/>
                <w:kern w:val="0"/>
                <w:szCs w:val="21"/>
              </w:rPr>
              <w:t>准</w:t>
            </w:r>
          </w:p>
        </w:tc>
      </w:tr>
      <w:tr>
        <w:tblPrEx>
          <w:tblLayout w:type="fixed"/>
          <w:tblCellMar>
            <w:top w:w="0" w:type="dxa"/>
            <w:left w:w="108" w:type="dxa"/>
            <w:bottom w:w="0" w:type="dxa"/>
            <w:right w:w="108" w:type="dxa"/>
          </w:tblCellMar>
        </w:tblPrEx>
        <w:trPr>
          <w:trHeight w:val="758" w:hRule="atLeast"/>
          <w:jc w:val="center"/>
        </w:trPr>
        <w:tc>
          <w:tcPr>
            <w:tcW w:w="1705"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报价部分</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6324"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以所有合格供应商最终报价中最低的报价为评审基准价，其价格分为</w:t>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分。其它供应商的报价得分按下列公式计算：报价得分</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（评标基准价</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磋商报价）×</w:t>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分。计算时保留两位小数。为保证服务质量，投标报价低于采购预算</w:t>
            </w:r>
            <w:r>
              <w:rPr>
                <w:rFonts w:ascii="宋体" w:hAnsi="宋体" w:cs="宋体"/>
                <w:color w:val="000000" w:themeColor="text1"/>
                <w:kern w:val="0"/>
                <w:szCs w:val="21"/>
                <w14:textFill>
                  <w14:solidFill>
                    <w14:schemeClr w14:val="tx1"/>
                  </w14:solidFill>
                </w14:textFill>
              </w:rPr>
              <w:t>80%</w:t>
            </w:r>
            <w:r>
              <w:rPr>
                <w:rFonts w:hint="eastAsia" w:ascii="宋体" w:hAnsi="宋体" w:cs="宋体"/>
                <w:color w:val="000000" w:themeColor="text1"/>
                <w:kern w:val="0"/>
                <w:szCs w:val="21"/>
                <w14:textFill>
                  <w14:solidFill>
                    <w14:schemeClr w14:val="tx1"/>
                  </w14:solidFill>
                </w14:textFill>
              </w:rPr>
              <w:t>时，评标委员会将对其进行成本分析，评标委员会认为报价低于成本价时将否决其投标。</w:t>
            </w:r>
          </w:p>
        </w:tc>
      </w:tr>
      <w:tr>
        <w:tblPrEx>
          <w:tblLayout w:type="fixed"/>
          <w:tblCellMar>
            <w:top w:w="0" w:type="dxa"/>
            <w:left w:w="108" w:type="dxa"/>
            <w:bottom w:w="0" w:type="dxa"/>
            <w:right w:w="108" w:type="dxa"/>
          </w:tblCellMar>
        </w:tblPrEx>
        <w:trPr>
          <w:trHeight w:val="722" w:hRule="atLeast"/>
          <w:jc w:val="center"/>
        </w:trPr>
        <w:tc>
          <w:tcPr>
            <w:tcW w:w="548" w:type="dxa"/>
            <w:vMerge w:val="restart"/>
            <w:tcBorders>
              <w:top w:val="nil"/>
              <w:left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技术部分</w:t>
            </w:r>
            <w:r>
              <w:rPr>
                <w:rFonts w:ascii="宋体" w:hAnsi="宋体" w:cs="宋体"/>
                <w:color w:val="000000"/>
                <w:kern w:val="0"/>
                <w:szCs w:val="21"/>
              </w:rPr>
              <w:t>60</w:t>
            </w:r>
            <w:r>
              <w:rPr>
                <w:rFonts w:hint="eastAsia" w:ascii="宋体" w:hAnsi="宋体" w:cs="宋体"/>
                <w:color w:val="000000"/>
                <w:kern w:val="0"/>
                <w:szCs w:val="21"/>
              </w:rPr>
              <w:t>分</w:t>
            </w:r>
          </w:p>
        </w:tc>
        <w:tc>
          <w:tcPr>
            <w:tcW w:w="1157" w:type="dxa"/>
            <w:tcBorders>
              <w:top w:val="nil"/>
              <w:left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对项目的</w:t>
            </w:r>
          </w:p>
          <w:p>
            <w:pPr>
              <w:widowControl/>
              <w:jc w:val="center"/>
              <w:rPr>
                <w:rFonts w:ascii="宋体" w:cs="宋体"/>
                <w:color w:val="000000"/>
                <w:kern w:val="0"/>
                <w:szCs w:val="21"/>
              </w:rPr>
            </w:pPr>
            <w:r>
              <w:rPr>
                <w:rFonts w:hint="eastAsia" w:ascii="宋体" w:hAnsi="宋体" w:cs="宋体"/>
                <w:color w:val="000000"/>
                <w:kern w:val="0"/>
                <w:szCs w:val="21"/>
              </w:rPr>
              <w:t>理解</w:t>
            </w:r>
          </w:p>
        </w:tc>
        <w:tc>
          <w:tcPr>
            <w:tcW w:w="567" w:type="dxa"/>
            <w:tcBorders>
              <w:top w:val="nil"/>
              <w:left w:val="nil"/>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6324"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对项目的总体布局、周边环境协调的理解与分析，对项目特点、重点与难点分析，针对特点、重点与难点的措施</w:t>
            </w:r>
            <w:r>
              <w:rPr>
                <w:rFonts w:ascii="宋体" w:hAnsi="宋体" w:cs="宋体"/>
                <w:color w:val="000000" w:themeColor="text1"/>
                <w:szCs w:val="21"/>
                <w:shd w:val="clear" w:color="auto" w:fill="FFFFFF"/>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分析清楚措施得力。</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第四名得</w:t>
            </w:r>
            <w:r>
              <w:rPr>
                <w:rFonts w:hint="eastAsia" w:ascii="宋体" w:hAnsi="宋体" w:cs="宋体"/>
                <w:color w:val="000000" w:themeColor="text1"/>
                <w:szCs w:val="21"/>
                <w:lang w:val="en-US" w:eastAsia="zh-CN"/>
                <w14:textFill>
                  <w14:solidFill>
                    <w14:schemeClr w14:val="tx1"/>
                  </w14:solidFill>
                </w14:textFill>
              </w:rPr>
              <w:t>2分</w:t>
            </w:r>
            <w:r>
              <w:rPr>
                <w:rFonts w:hint="eastAsia" w:ascii="宋体" w:hAnsi="宋体" w:cs="宋体"/>
                <w:color w:val="000000" w:themeColor="text1"/>
                <w:szCs w:val="21"/>
                <w14:textFill>
                  <w14:solidFill>
                    <w14:schemeClr w14:val="tx1"/>
                  </w14:solidFill>
                </w14:textFill>
              </w:rPr>
              <w:t>，无不得分。</w:t>
            </w:r>
          </w:p>
        </w:tc>
      </w:tr>
      <w:tr>
        <w:tblPrEx>
          <w:tblLayout w:type="fixed"/>
          <w:tblCellMar>
            <w:top w:w="0" w:type="dxa"/>
            <w:left w:w="108" w:type="dxa"/>
            <w:bottom w:w="0" w:type="dxa"/>
            <w:right w:w="108" w:type="dxa"/>
          </w:tblCellMar>
        </w:tblPrEx>
        <w:trPr>
          <w:trHeight w:val="56" w:hRule="atLeast"/>
          <w:jc w:val="center"/>
        </w:trPr>
        <w:tc>
          <w:tcPr>
            <w:tcW w:w="548"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项目工作</w:t>
            </w:r>
          </w:p>
          <w:p>
            <w:pPr>
              <w:widowControl/>
              <w:jc w:val="center"/>
              <w:rPr>
                <w:rFonts w:ascii="宋体" w:cs="宋体"/>
                <w:color w:val="000000"/>
                <w:kern w:val="0"/>
                <w:szCs w:val="21"/>
              </w:rPr>
            </w:pPr>
            <w:r>
              <w:rPr>
                <w:rFonts w:hint="eastAsia" w:ascii="宋体" w:hAnsi="宋体" w:cs="宋体"/>
                <w:color w:val="000000"/>
                <w:kern w:val="0"/>
                <w:szCs w:val="21"/>
              </w:rPr>
              <w:t>思路</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6324"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工作思路清晰，技术路线科学可行、主要方案科学合理。</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第四名得</w:t>
            </w:r>
            <w:r>
              <w:rPr>
                <w:rFonts w:hint="eastAsia" w:ascii="宋体" w:hAnsi="宋体" w:cs="宋体"/>
                <w:color w:val="000000" w:themeColor="text1"/>
                <w:szCs w:val="21"/>
                <w:lang w:val="en-US" w:eastAsia="zh-CN"/>
                <w14:textFill>
                  <w14:solidFill>
                    <w14:schemeClr w14:val="tx1"/>
                  </w14:solidFill>
                </w14:textFill>
              </w:rPr>
              <w:t>2分</w:t>
            </w:r>
            <w:r>
              <w:rPr>
                <w:rFonts w:hint="eastAsia" w:ascii="宋体" w:hAnsi="宋体" w:cs="宋体"/>
                <w:color w:val="000000" w:themeColor="text1"/>
                <w:szCs w:val="21"/>
                <w14:textFill>
                  <w14:solidFill>
                    <w14:schemeClr w14:val="tx1"/>
                  </w14:solidFill>
                </w14:textFill>
              </w:rPr>
              <w:t>，无不得分。</w:t>
            </w:r>
          </w:p>
        </w:tc>
      </w:tr>
      <w:tr>
        <w:tblPrEx>
          <w:tblLayout w:type="fixed"/>
          <w:tblCellMar>
            <w:top w:w="0" w:type="dxa"/>
            <w:left w:w="108" w:type="dxa"/>
            <w:bottom w:w="0" w:type="dxa"/>
            <w:right w:w="108" w:type="dxa"/>
          </w:tblCellMar>
        </w:tblPrEx>
        <w:trPr>
          <w:trHeight w:val="167" w:hRule="atLeast"/>
          <w:jc w:val="center"/>
        </w:trPr>
        <w:tc>
          <w:tcPr>
            <w:tcW w:w="548"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szCs w:val="21"/>
                <w:shd w:val="clear" w:color="auto" w:fill="FFFFFF"/>
              </w:rPr>
              <w:t>设计特点及关键性技术问题</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6324"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对项目设计的特点及关键性技术问题的对策措施：对项目设计深度、特点分析，如结构设计等，后期维护及管理等合理。</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第四名得</w:t>
            </w:r>
            <w:r>
              <w:rPr>
                <w:rFonts w:hint="eastAsia" w:ascii="宋体" w:hAnsi="宋体" w:cs="宋体"/>
                <w:color w:val="000000" w:themeColor="text1"/>
                <w:szCs w:val="21"/>
                <w:lang w:val="en-US" w:eastAsia="zh-CN"/>
                <w14:textFill>
                  <w14:solidFill>
                    <w14:schemeClr w14:val="tx1"/>
                  </w14:solidFill>
                </w14:textFill>
              </w:rPr>
              <w:t>2分</w:t>
            </w:r>
            <w:r>
              <w:rPr>
                <w:rFonts w:hint="eastAsia" w:ascii="宋体" w:hAnsi="宋体" w:cs="宋体"/>
                <w:color w:val="000000" w:themeColor="text1"/>
                <w:szCs w:val="21"/>
                <w14:textFill>
                  <w14:solidFill>
                    <w14:schemeClr w14:val="tx1"/>
                  </w14:solidFill>
                </w14:textFill>
              </w:rPr>
              <w:t>，无不得分。</w:t>
            </w:r>
          </w:p>
        </w:tc>
      </w:tr>
      <w:tr>
        <w:tblPrEx>
          <w:tblLayout w:type="fixed"/>
          <w:tblCellMar>
            <w:top w:w="0" w:type="dxa"/>
            <w:left w:w="108" w:type="dxa"/>
            <w:bottom w:w="0" w:type="dxa"/>
            <w:right w:w="108" w:type="dxa"/>
          </w:tblCellMar>
        </w:tblPrEx>
        <w:trPr>
          <w:trHeight w:val="224" w:hRule="atLeast"/>
          <w:jc w:val="center"/>
        </w:trPr>
        <w:tc>
          <w:tcPr>
            <w:tcW w:w="548"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szCs w:val="21"/>
                <w:shd w:val="clear" w:color="auto" w:fill="FFFFFF"/>
              </w:rPr>
            </w:pPr>
            <w:r>
              <w:rPr>
                <w:rFonts w:hint="eastAsia" w:ascii="宋体" w:hAnsi="宋体" w:cs="宋体"/>
                <w:color w:val="000000"/>
                <w:szCs w:val="21"/>
                <w:shd w:val="clear" w:color="auto" w:fill="FFFFFF"/>
              </w:rPr>
              <w:t>合理化</w:t>
            </w:r>
          </w:p>
          <w:p>
            <w:pPr>
              <w:widowControl/>
              <w:jc w:val="center"/>
              <w:rPr>
                <w:rFonts w:ascii="宋体" w:cs="宋体"/>
                <w:color w:val="000000"/>
                <w:kern w:val="0"/>
                <w:szCs w:val="21"/>
              </w:rPr>
            </w:pPr>
            <w:r>
              <w:rPr>
                <w:rFonts w:hint="eastAsia" w:ascii="宋体" w:hAnsi="宋体" w:cs="宋体"/>
                <w:color w:val="000000"/>
                <w:szCs w:val="21"/>
                <w:shd w:val="clear" w:color="auto" w:fill="FFFFFF"/>
              </w:rPr>
              <w:t>建议</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6324"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提出的勘察设计基础资料清单和各专业应遵循的勘察设计规定和规范全面、清晰，提出的实施建议方案切实可行。</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分，无不得分。</w:t>
            </w:r>
          </w:p>
        </w:tc>
      </w:tr>
      <w:tr>
        <w:tblPrEx>
          <w:tblLayout w:type="fixed"/>
          <w:tblCellMar>
            <w:top w:w="0" w:type="dxa"/>
            <w:left w:w="108" w:type="dxa"/>
            <w:bottom w:w="0" w:type="dxa"/>
            <w:right w:w="108" w:type="dxa"/>
          </w:tblCellMar>
        </w:tblPrEx>
        <w:trPr>
          <w:trHeight w:val="1244" w:hRule="atLeast"/>
          <w:jc w:val="center"/>
        </w:trPr>
        <w:tc>
          <w:tcPr>
            <w:tcW w:w="548"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szCs w:val="21"/>
                <w:shd w:val="clear" w:color="auto" w:fill="FFFFFF"/>
              </w:rPr>
              <w:t>保证措施</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6324" w:type="dxa"/>
            <w:tcBorders>
              <w:top w:val="single" w:color="auto" w:sz="4" w:space="0"/>
              <w:left w:val="nil"/>
              <w:bottom w:val="single" w:color="auto" w:sz="4" w:space="0"/>
              <w:right w:val="single" w:color="auto" w:sz="4" w:space="0"/>
            </w:tcBorders>
          </w:tcPr>
          <w:p>
            <w:pPr>
              <w:spacing w:before="156" w:after="15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与采购人、设计单位及相关审查部门配合的方法措施、提供优质服务的保证措施具体全面，可操作性强且有明确承诺。</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分；无不得分。</w:t>
            </w:r>
          </w:p>
        </w:tc>
      </w:tr>
      <w:tr>
        <w:tblPrEx>
          <w:tblLayout w:type="fixed"/>
          <w:tblCellMar>
            <w:top w:w="0" w:type="dxa"/>
            <w:left w:w="108" w:type="dxa"/>
            <w:bottom w:w="0" w:type="dxa"/>
            <w:right w:w="108" w:type="dxa"/>
          </w:tblCellMar>
        </w:tblPrEx>
        <w:trPr>
          <w:trHeight w:val="1462" w:hRule="atLeast"/>
          <w:jc w:val="center"/>
        </w:trPr>
        <w:tc>
          <w:tcPr>
            <w:tcW w:w="548"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szCs w:val="21"/>
                <w:shd w:val="clear" w:color="auto" w:fill="FFFFFF"/>
              </w:rPr>
              <w:t>工程投资控制</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6324"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工程投资控制措施具体详细，能有效控制工程投资、保证工程质量且勘察设计进度控制、各专业衔接计划，保证勘察设计成果符合国家有关规范标准的措施有效。</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分；无不得分。</w:t>
            </w:r>
          </w:p>
        </w:tc>
      </w:tr>
      <w:tr>
        <w:tblPrEx>
          <w:tblLayout w:type="fixed"/>
          <w:tblCellMar>
            <w:top w:w="0" w:type="dxa"/>
            <w:left w:w="108" w:type="dxa"/>
            <w:bottom w:w="0" w:type="dxa"/>
            <w:right w:w="108" w:type="dxa"/>
          </w:tblCellMar>
        </w:tblPrEx>
        <w:trPr>
          <w:trHeight w:val="517" w:hRule="atLeast"/>
          <w:jc w:val="center"/>
        </w:trPr>
        <w:tc>
          <w:tcPr>
            <w:tcW w:w="548"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7"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组织协调</w:t>
            </w:r>
          </w:p>
          <w:p>
            <w:pPr>
              <w:widowControl/>
              <w:jc w:val="center"/>
              <w:rPr>
                <w:rFonts w:ascii="宋体" w:cs="宋体"/>
                <w:color w:val="000000"/>
                <w:kern w:val="0"/>
                <w:szCs w:val="21"/>
              </w:rPr>
            </w:pPr>
            <w:r>
              <w:rPr>
                <w:rFonts w:hint="eastAsia" w:ascii="宋体" w:hAnsi="宋体" w:cs="宋体"/>
                <w:color w:val="000000"/>
                <w:kern w:val="0"/>
                <w:szCs w:val="21"/>
              </w:rPr>
              <w:t>方案</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6324"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针对本项目制定的编制组织协调方案合理性，编制组织协调方案合理。</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分；无不得分。</w:t>
            </w:r>
          </w:p>
        </w:tc>
      </w:tr>
      <w:tr>
        <w:tblPrEx>
          <w:tblLayout w:type="fixed"/>
          <w:tblCellMar>
            <w:top w:w="0" w:type="dxa"/>
            <w:left w:w="108" w:type="dxa"/>
            <w:bottom w:w="0" w:type="dxa"/>
            <w:right w:w="108" w:type="dxa"/>
          </w:tblCellMar>
        </w:tblPrEx>
        <w:trPr>
          <w:trHeight w:val="56" w:hRule="atLeast"/>
          <w:jc w:val="center"/>
        </w:trPr>
        <w:tc>
          <w:tcPr>
            <w:tcW w:w="548"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7" w:type="dxa"/>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进度计划</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6324"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对项目整体工作阶段及任务划分，进度控制合理，关键时间点把握科学准确。</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分；无不得分。</w:t>
            </w:r>
          </w:p>
        </w:tc>
      </w:tr>
      <w:tr>
        <w:tblPrEx>
          <w:tblLayout w:type="fixed"/>
          <w:tblCellMar>
            <w:top w:w="0" w:type="dxa"/>
            <w:left w:w="108" w:type="dxa"/>
            <w:bottom w:w="0" w:type="dxa"/>
            <w:right w:w="108" w:type="dxa"/>
          </w:tblCellMar>
        </w:tblPrEx>
        <w:trPr>
          <w:trHeight w:val="850" w:hRule="atLeast"/>
          <w:jc w:val="center"/>
        </w:trPr>
        <w:tc>
          <w:tcPr>
            <w:tcW w:w="548" w:type="dxa"/>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157" w:type="dxa"/>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技术创新</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6324"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在项目设计阶段提出工程施工拟（应）采用的新技术新工艺新材料等情况。</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分；无不得分。</w:t>
            </w:r>
          </w:p>
        </w:tc>
      </w:tr>
      <w:tr>
        <w:tblPrEx>
          <w:tblLayout w:type="fixed"/>
          <w:tblCellMar>
            <w:top w:w="0" w:type="dxa"/>
            <w:left w:w="108" w:type="dxa"/>
            <w:bottom w:w="0" w:type="dxa"/>
            <w:right w:w="108" w:type="dxa"/>
          </w:tblCellMar>
        </w:tblPrEx>
        <w:trPr>
          <w:trHeight w:val="693" w:hRule="atLeast"/>
          <w:jc w:val="center"/>
        </w:trPr>
        <w:tc>
          <w:tcPr>
            <w:tcW w:w="548" w:type="dxa"/>
            <w:vMerge w:val="continue"/>
            <w:tcBorders>
              <w:left w:val="single" w:color="auto" w:sz="4" w:space="0"/>
              <w:bottom w:val="single" w:color="000000" w:sz="4" w:space="0"/>
              <w:right w:val="single" w:color="auto" w:sz="4" w:space="0"/>
            </w:tcBorders>
            <w:vAlign w:val="center"/>
          </w:tcPr>
          <w:p>
            <w:pPr>
              <w:widowControl/>
              <w:jc w:val="left"/>
              <w:rPr>
                <w:rFonts w:ascii="宋体" w:cs="宋体"/>
                <w:color w:val="000000"/>
                <w:kern w:val="0"/>
                <w:szCs w:val="21"/>
              </w:rPr>
            </w:pPr>
          </w:p>
        </w:tc>
        <w:tc>
          <w:tcPr>
            <w:tcW w:w="11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质量保证体系</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6324" w:type="dxa"/>
            <w:tcBorders>
              <w:top w:val="single" w:color="auto" w:sz="4" w:space="0"/>
              <w:left w:val="nil"/>
              <w:bottom w:val="single" w:color="auto" w:sz="4" w:space="0"/>
              <w:right w:val="single" w:color="auto" w:sz="4" w:space="0"/>
            </w:tcBorders>
          </w:tcPr>
          <w:p>
            <w:pPr>
              <w:spacing w:before="156" w:after="156"/>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供应商针对本项目制定的质量保证体系及其措施情况。质量保证体系健全，措施合理。</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分；无不得分。</w:t>
            </w:r>
          </w:p>
        </w:tc>
      </w:tr>
      <w:tr>
        <w:tblPrEx>
          <w:tblLayout w:type="fixed"/>
          <w:tblCellMar>
            <w:top w:w="0" w:type="dxa"/>
            <w:left w:w="108" w:type="dxa"/>
            <w:bottom w:w="0" w:type="dxa"/>
            <w:right w:w="108" w:type="dxa"/>
          </w:tblCellMar>
        </w:tblPrEx>
        <w:trPr>
          <w:trHeight w:val="90" w:hRule="atLeast"/>
          <w:jc w:val="center"/>
        </w:trPr>
        <w:tc>
          <w:tcPr>
            <w:tcW w:w="548" w:type="dxa"/>
            <w:vMerge w:val="restart"/>
            <w:tcBorders>
              <w:top w:val="nil"/>
              <w:left w:val="single" w:color="auto" w:sz="4" w:space="0"/>
              <w:right w:val="single" w:color="auto" w:sz="4" w:space="0"/>
            </w:tcBorders>
            <w:vAlign w:val="center"/>
          </w:tcPr>
          <w:p>
            <w:pPr>
              <w:jc w:val="center"/>
              <w:rPr>
                <w:rFonts w:ascii="宋体" w:cs="宋体"/>
                <w:color w:val="000000"/>
                <w:kern w:val="0"/>
                <w:szCs w:val="21"/>
              </w:rPr>
            </w:pPr>
            <w:r>
              <w:rPr>
                <w:rFonts w:hint="eastAsia" w:ascii="宋体" w:hAnsi="宋体" w:cs="宋体"/>
                <w:color w:val="000000"/>
                <w:kern w:val="0"/>
                <w:szCs w:val="21"/>
              </w:rPr>
              <w:t>综合部分</w:t>
            </w:r>
            <w:r>
              <w:rPr>
                <w:rFonts w:ascii="宋体" w:hAnsi="宋体" w:cs="宋体"/>
                <w:color w:val="000000"/>
                <w:kern w:val="0"/>
                <w:szCs w:val="21"/>
              </w:rPr>
              <w:t>30</w:t>
            </w:r>
            <w:r>
              <w:rPr>
                <w:rFonts w:hint="eastAsia" w:ascii="宋体" w:hAnsi="宋体" w:cs="宋体"/>
                <w:color w:val="000000"/>
                <w:kern w:val="0"/>
                <w:szCs w:val="21"/>
              </w:rPr>
              <w:t>分</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Cs w:val="21"/>
              </w:rPr>
            </w:pPr>
            <w:r>
              <w:rPr>
                <w:rFonts w:hint="eastAsia" w:ascii="宋体" w:hAnsi="宋体" w:cs="宋体"/>
                <w:color w:val="000000"/>
                <w:kern w:val="0"/>
                <w:szCs w:val="21"/>
              </w:rPr>
              <w:t>类似业绩</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6324" w:type="dxa"/>
            <w:tcBorders>
              <w:top w:val="single" w:color="auto" w:sz="4" w:space="0"/>
              <w:left w:val="nil"/>
              <w:bottom w:val="single" w:color="auto" w:sz="4" w:space="0"/>
              <w:right w:val="single" w:color="auto" w:sz="4" w:space="0"/>
            </w:tcBorders>
          </w:tcPr>
          <w:p>
            <w:pPr>
              <w:widowControl/>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自投标截止日期前推三年以来至少承担过一个类似业绩的得</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分。每增加一个得</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分，满分</w:t>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分。需提供合同及中标通知书，不提供的不得分。需提供有效证明材料，且证明材料须提供真彩扫描打印件。</w:t>
            </w:r>
          </w:p>
        </w:tc>
      </w:tr>
      <w:tr>
        <w:tblPrEx>
          <w:tblLayout w:type="fixed"/>
          <w:tblCellMar>
            <w:top w:w="0" w:type="dxa"/>
            <w:left w:w="108" w:type="dxa"/>
            <w:bottom w:w="0" w:type="dxa"/>
            <w:right w:w="108" w:type="dxa"/>
          </w:tblCellMar>
        </w:tblPrEx>
        <w:trPr>
          <w:trHeight w:val="710" w:hRule="atLeast"/>
          <w:jc w:val="center"/>
        </w:trPr>
        <w:tc>
          <w:tcPr>
            <w:tcW w:w="548" w:type="dxa"/>
            <w:vMerge w:val="continue"/>
            <w:tcBorders>
              <w:left w:val="single" w:color="auto" w:sz="4" w:space="0"/>
              <w:right w:val="single" w:color="auto" w:sz="4" w:space="0"/>
            </w:tcBorders>
            <w:vAlign w:val="center"/>
          </w:tcPr>
          <w:p>
            <w:pPr>
              <w:widowControl/>
              <w:jc w:val="center"/>
              <w:rPr>
                <w:rFonts w:ascii="宋体" w:cs="宋体"/>
                <w:color w:val="000000"/>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项目</w:t>
            </w:r>
          </w:p>
          <w:p>
            <w:pPr>
              <w:widowControl/>
              <w:jc w:val="center"/>
              <w:rPr>
                <w:rFonts w:ascii="宋体" w:cs="宋体"/>
                <w:color w:val="000000"/>
                <w:kern w:val="0"/>
                <w:szCs w:val="21"/>
              </w:rPr>
            </w:pPr>
            <w:r>
              <w:rPr>
                <w:rFonts w:hint="eastAsia" w:ascii="宋体" w:hAnsi="宋体" w:cs="宋体"/>
                <w:color w:val="000000"/>
                <w:kern w:val="0"/>
                <w:szCs w:val="21"/>
              </w:rPr>
              <w:t>负责人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6324" w:type="dxa"/>
            <w:tcBorders>
              <w:top w:val="single" w:color="auto" w:sz="4" w:space="0"/>
              <w:left w:val="nil"/>
              <w:bottom w:val="single" w:color="auto" w:sz="4" w:space="0"/>
              <w:right w:val="single" w:color="auto" w:sz="4" w:space="0"/>
            </w:tcBorders>
          </w:tcPr>
          <w:p>
            <w:pPr>
              <w:widowControl/>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自投标截止日期前推三年以来至少承担过一个类似业绩的项目负责人得</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分。每增加一个得</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分，最高</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分。需提供合同及中标通知书及相关证明材料，不提供的不得分。需提供有效证明材料，且证明材料须提供真彩扫描打印件。</w:t>
            </w:r>
          </w:p>
        </w:tc>
      </w:tr>
      <w:tr>
        <w:tblPrEx>
          <w:tblLayout w:type="fixed"/>
          <w:tblCellMar>
            <w:top w:w="0" w:type="dxa"/>
            <w:left w:w="108" w:type="dxa"/>
            <w:bottom w:w="0" w:type="dxa"/>
            <w:right w:w="108" w:type="dxa"/>
          </w:tblCellMar>
        </w:tblPrEx>
        <w:trPr>
          <w:trHeight w:val="883" w:hRule="atLeast"/>
          <w:jc w:val="center"/>
        </w:trPr>
        <w:tc>
          <w:tcPr>
            <w:tcW w:w="548" w:type="dxa"/>
            <w:vMerge w:val="continue"/>
            <w:tcBorders>
              <w:left w:val="single" w:color="auto" w:sz="4" w:space="0"/>
              <w:right w:val="single" w:color="auto" w:sz="4" w:space="0"/>
            </w:tcBorders>
            <w:vAlign w:val="center"/>
          </w:tcPr>
          <w:p>
            <w:pPr>
              <w:widowControl/>
              <w:jc w:val="center"/>
              <w:rPr>
                <w:rFonts w:ascii="宋体" w:cs="宋体"/>
                <w:color w:val="000000"/>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人力资源配备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6324" w:type="dxa"/>
            <w:tcBorders>
              <w:top w:val="single" w:color="auto" w:sz="4" w:space="0"/>
              <w:left w:val="nil"/>
              <w:bottom w:val="single" w:color="auto" w:sz="4" w:space="0"/>
              <w:right w:val="single" w:color="auto" w:sz="4" w:space="0"/>
            </w:tcBorders>
          </w:tcPr>
          <w:p>
            <w:pPr>
              <w:suppressAutoHyphens/>
              <w:overflowPunct w:val="0"/>
              <w:topLinePunct/>
              <w:rPr>
                <w:rFonts w:asci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人力资源数量满足工程需要，专业配备合理。</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分；无不得分。</w:t>
            </w:r>
            <w:r>
              <w:rPr>
                <w:rFonts w:hint="eastAsia" w:ascii="宋体" w:hAnsi="宋体" w:cs="宋体"/>
                <w:color w:val="000000" w:themeColor="text1"/>
                <w:kern w:val="0"/>
                <w:szCs w:val="21"/>
                <w14:textFill>
                  <w14:solidFill>
                    <w14:schemeClr w14:val="tx1"/>
                  </w14:solidFill>
                </w14:textFill>
              </w:rPr>
              <w:t>需提供专业证书等有效证明材料，且证明材料须提供真彩扫描打印件。</w:t>
            </w:r>
          </w:p>
        </w:tc>
      </w:tr>
      <w:tr>
        <w:tblPrEx>
          <w:tblLayout w:type="fixed"/>
          <w:tblCellMar>
            <w:top w:w="0" w:type="dxa"/>
            <w:left w:w="108" w:type="dxa"/>
            <w:bottom w:w="0" w:type="dxa"/>
            <w:right w:w="108" w:type="dxa"/>
          </w:tblCellMar>
        </w:tblPrEx>
        <w:trPr>
          <w:trHeight w:val="475" w:hRule="atLeast"/>
          <w:jc w:val="center"/>
        </w:trPr>
        <w:tc>
          <w:tcPr>
            <w:tcW w:w="548" w:type="dxa"/>
            <w:vMerge w:val="continue"/>
            <w:tcBorders>
              <w:left w:val="single" w:color="auto" w:sz="4" w:space="0"/>
              <w:right w:val="single" w:color="auto" w:sz="4" w:space="0"/>
            </w:tcBorders>
            <w:vAlign w:val="center"/>
          </w:tcPr>
          <w:p>
            <w:pPr>
              <w:jc w:val="center"/>
              <w:rPr>
                <w:rFonts w:ascii="宋体" w:cs="宋体"/>
                <w:color w:val="000000"/>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后续服务承诺</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6324" w:type="dxa"/>
            <w:tcBorders>
              <w:top w:val="single" w:color="auto" w:sz="4" w:space="0"/>
              <w:left w:val="nil"/>
              <w:bottom w:val="single" w:color="auto" w:sz="4" w:space="0"/>
              <w:right w:val="single" w:color="auto" w:sz="4" w:space="0"/>
            </w:tcBorders>
          </w:tcPr>
          <w:p>
            <w:pPr>
              <w:suppressAutoHyphens/>
              <w:overflowPunct w:val="0"/>
              <w:topLinePunct/>
              <w:rPr>
                <w:rFonts w:asci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后续服务承诺到位，保障措施可靠，无后续服务承诺不得分。</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分，无不得分。</w:t>
            </w:r>
          </w:p>
        </w:tc>
      </w:tr>
      <w:tr>
        <w:tblPrEx>
          <w:tblLayout w:type="fixed"/>
          <w:tblCellMar>
            <w:top w:w="0" w:type="dxa"/>
            <w:left w:w="108" w:type="dxa"/>
            <w:bottom w:w="0" w:type="dxa"/>
            <w:right w:w="108" w:type="dxa"/>
          </w:tblCellMar>
        </w:tblPrEx>
        <w:trPr>
          <w:trHeight w:val="475" w:hRule="atLeast"/>
          <w:jc w:val="center"/>
        </w:trPr>
        <w:tc>
          <w:tcPr>
            <w:tcW w:w="548" w:type="dxa"/>
            <w:vMerge w:val="continue"/>
            <w:tcBorders>
              <w:left w:val="single" w:color="auto" w:sz="4" w:space="0"/>
              <w:right w:val="single" w:color="auto" w:sz="4" w:space="0"/>
            </w:tcBorders>
            <w:vAlign w:val="center"/>
          </w:tcPr>
          <w:p>
            <w:pPr>
              <w:widowControl/>
              <w:jc w:val="center"/>
              <w:rPr>
                <w:rFonts w:ascii="宋体" w:cs="宋体"/>
                <w:color w:val="000000"/>
                <w:kern w:val="0"/>
                <w:szCs w:val="21"/>
              </w:rPr>
            </w:pPr>
          </w:p>
        </w:tc>
        <w:tc>
          <w:tcPr>
            <w:tcW w:w="11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财务状况</w:t>
            </w:r>
          </w:p>
        </w:tc>
        <w:tc>
          <w:tcPr>
            <w:tcW w:w="567"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3</w:t>
            </w:r>
          </w:p>
        </w:tc>
        <w:tc>
          <w:tcPr>
            <w:tcW w:w="6324" w:type="dxa"/>
            <w:tcBorders>
              <w:top w:val="single" w:color="auto" w:sz="4" w:space="0"/>
              <w:left w:val="nil"/>
              <w:bottom w:val="single" w:color="auto" w:sz="4" w:space="0"/>
              <w:right w:val="single" w:color="auto" w:sz="4" w:space="0"/>
            </w:tcBorders>
          </w:tcPr>
          <w:p>
            <w:pPr>
              <w:suppressAutoHyphens/>
              <w:overflowPunct w:val="0"/>
              <w:topLinePunct/>
              <w:spacing w:line="300" w:lineRule="auto"/>
              <w:rPr>
                <w:rFonts w:asci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提供</w:t>
            </w:r>
            <w:r>
              <w:rPr>
                <w:rFonts w:ascii="宋体" w:hAnsi="宋体" w:cs="宋体"/>
                <w:bCs/>
                <w:color w:val="000000" w:themeColor="text1"/>
                <w:szCs w:val="21"/>
                <w14:textFill>
                  <w14:solidFill>
                    <w14:schemeClr w14:val="tx1"/>
                  </w14:solidFill>
                </w14:textFill>
              </w:rPr>
              <w:t>2018</w:t>
            </w:r>
            <w:r>
              <w:rPr>
                <w:rFonts w:hint="eastAsia" w:ascii="宋体" w:hAnsi="宋体" w:cs="宋体"/>
                <w:bCs/>
                <w:color w:val="000000" w:themeColor="text1"/>
                <w:szCs w:val="21"/>
                <w14:textFill>
                  <w14:solidFill>
                    <w14:schemeClr w14:val="tx1"/>
                  </w14:solidFill>
                </w14:textFill>
              </w:rPr>
              <w:t>年的财务审计报告。对比供应商的银行资信证明、企业财务状况、纳税情况等，依据各供应商所提供有关资料进行横向比较排名。</w:t>
            </w:r>
            <w:r>
              <w:rPr>
                <w:rFonts w:hint="eastAsia" w:ascii="宋体" w:hAnsi="宋体" w:cs="宋体"/>
                <w:color w:val="000000" w:themeColor="text1"/>
                <w:szCs w:val="21"/>
                <w14:textFill>
                  <w14:solidFill>
                    <w14:schemeClr w14:val="tx1"/>
                  </w14:solidFill>
                </w14:textFill>
              </w:rPr>
              <w:t>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分，无不得分。</w:t>
            </w:r>
            <w:r>
              <w:rPr>
                <w:rFonts w:hint="eastAsia" w:ascii="宋体" w:hAnsi="宋体" w:cs="宋体"/>
                <w:color w:val="000000" w:themeColor="text1"/>
                <w:kern w:val="0"/>
                <w:szCs w:val="21"/>
                <w14:textFill>
                  <w14:solidFill>
                    <w14:schemeClr w14:val="tx1"/>
                  </w14:solidFill>
                </w14:textFill>
              </w:rPr>
              <w:t>需提供有效证明材料，且证明材料须提供真彩扫描打印件。</w:t>
            </w:r>
          </w:p>
        </w:tc>
      </w:tr>
      <w:tr>
        <w:tblPrEx>
          <w:tblLayout w:type="fixed"/>
          <w:tblCellMar>
            <w:top w:w="0" w:type="dxa"/>
            <w:left w:w="108" w:type="dxa"/>
            <w:bottom w:w="0" w:type="dxa"/>
            <w:right w:w="108" w:type="dxa"/>
          </w:tblCellMar>
        </w:tblPrEx>
        <w:trPr>
          <w:trHeight w:val="475" w:hRule="atLeast"/>
          <w:jc w:val="center"/>
        </w:trPr>
        <w:tc>
          <w:tcPr>
            <w:tcW w:w="548" w:type="dxa"/>
            <w:vMerge w:val="continue"/>
            <w:tcBorders>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p>
        </w:tc>
        <w:tc>
          <w:tcPr>
            <w:tcW w:w="11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本地化</w:t>
            </w:r>
          </w:p>
          <w:p>
            <w:pPr>
              <w:widowControl/>
              <w:jc w:val="center"/>
              <w:rPr>
                <w:rFonts w:ascii="宋体" w:cs="宋体"/>
                <w:color w:val="000000"/>
                <w:kern w:val="0"/>
                <w:szCs w:val="21"/>
              </w:rPr>
            </w:pPr>
            <w:r>
              <w:rPr>
                <w:rFonts w:hint="eastAsia" w:ascii="宋体" w:hAnsi="宋体" w:cs="宋体"/>
                <w:color w:val="000000"/>
                <w:kern w:val="0"/>
                <w:szCs w:val="21"/>
              </w:rPr>
              <w:t>服务</w:t>
            </w:r>
          </w:p>
        </w:tc>
        <w:tc>
          <w:tcPr>
            <w:tcW w:w="567"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3</w:t>
            </w:r>
          </w:p>
        </w:tc>
        <w:tc>
          <w:tcPr>
            <w:tcW w:w="6324" w:type="dxa"/>
            <w:tcBorders>
              <w:top w:val="single" w:color="auto" w:sz="4" w:space="0"/>
              <w:left w:val="nil"/>
              <w:bottom w:val="single" w:color="auto" w:sz="4" w:space="0"/>
              <w:right w:val="single" w:color="auto" w:sz="4" w:space="0"/>
            </w:tcBorders>
          </w:tcPr>
          <w:p>
            <w:pP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提供完善的本地化服务，方案合理、可行，售后服务机构提供联系地址、联系人、联系电话。依据各</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所提供有关资料进行横向比较排名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第一名得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分；第二名得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分；第三名得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分，无不得分。</w:t>
            </w:r>
          </w:p>
        </w:tc>
      </w:tr>
      <w:tr>
        <w:tblPrEx>
          <w:tblLayout w:type="fixed"/>
          <w:tblCellMar>
            <w:top w:w="0" w:type="dxa"/>
            <w:left w:w="108" w:type="dxa"/>
            <w:bottom w:w="0" w:type="dxa"/>
            <w:right w:w="108" w:type="dxa"/>
          </w:tblCellMar>
        </w:tblPrEx>
        <w:trPr>
          <w:trHeight w:val="479" w:hRule="atLeast"/>
          <w:jc w:val="center"/>
        </w:trPr>
        <w:tc>
          <w:tcPr>
            <w:tcW w:w="1705"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合计得分</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100</w:t>
            </w:r>
          </w:p>
        </w:tc>
        <w:tc>
          <w:tcPr>
            <w:tcW w:w="6324" w:type="dxa"/>
            <w:tcBorders>
              <w:top w:val="nil"/>
              <w:left w:val="nil"/>
              <w:bottom w:val="single" w:color="auto"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bl>
    <w:p>
      <w:pPr>
        <w:spacing w:line="520" w:lineRule="exact"/>
        <w:rPr>
          <w:color w:val="000000"/>
          <w:sz w:val="24"/>
          <w:szCs w:val="24"/>
        </w:rPr>
      </w:pPr>
    </w:p>
    <w:p>
      <w:pPr>
        <w:spacing w:line="520" w:lineRule="exact"/>
        <w:rPr>
          <w:color w:val="000000"/>
          <w:sz w:val="24"/>
          <w:szCs w:val="24"/>
        </w:rPr>
      </w:pPr>
    </w:p>
    <w:p>
      <w:pPr>
        <w:spacing w:line="520" w:lineRule="exact"/>
        <w:rPr>
          <w:color w:val="000000"/>
          <w:sz w:val="24"/>
          <w:szCs w:val="24"/>
        </w:rPr>
      </w:pPr>
    </w:p>
    <w:p>
      <w:pPr>
        <w:spacing w:line="520" w:lineRule="exact"/>
        <w:rPr>
          <w:color w:val="000000"/>
          <w:sz w:val="24"/>
          <w:szCs w:val="24"/>
        </w:rPr>
      </w:pPr>
    </w:p>
    <w:p>
      <w:pPr>
        <w:spacing w:line="420" w:lineRule="exact"/>
        <w:rPr>
          <w:color w:val="000000"/>
          <w:sz w:val="24"/>
          <w:szCs w:val="24"/>
        </w:rPr>
      </w:pPr>
      <w:r>
        <w:rPr>
          <w:rFonts w:hint="eastAsia"/>
          <w:color w:val="000000"/>
          <w:sz w:val="24"/>
          <w:szCs w:val="24"/>
        </w:rPr>
        <w:t>附件</w:t>
      </w:r>
      <w:r>
        <w:rPr>
          <w:color w:val="000000"/>
          <w:sz w:val="24"/>
          <w:szCs w:val="24"/>
        </w:rPr>
        <w:t>2</w:t>
      </w:r>
      <w:r>
        <w:rPr>
          <w:rFonts w:hint="eastAsia"/>
          <w:color w:val="000000"/>
          <w:sz w:val="24"/>
          <w:szCs w:val="24"/>
        </w:rPr>
        <w:t>：</w:t>
      </w:r>
    </w:p>
    <w:p>
      <w:pPr>
        <w:spacing w:line="420" w:lineRule="exact"/>
        <w:jc w:val="center"/>
        <w:rPr>
          <w:b/>
          <w:color w:val="000000"/>
          <w:sz w:val="28"/>
          <w:szCs w:val="28"/>
        </w:rPr>
      </w:pPr>
      <w:r>
        <w:rPr>
          <w:rFonts w:hint="eastAsia"/>
          <w:b/>
          <w:color w:val="000000"/>
          <w:sz w:val="28"/>
          <w:szCs w:val="28"/>
        </w:rPr>
        <w:t>供应商报名表</w:t>
      </w:r>
    </w:p>
    <w:p>
      <w:pPr>
        <w:spacing w:line="420" w:lineRule="exact"/>
        <w:rPr>
          <w:color w:val="000000"/>
          <w:sz w:val="24"/>
          <w:szCs w:val="24"/>
        </w:rPr>
      </w:pPr>
      <w:r>
        <w:rPr>
          <w:rFonts w:hint="eastAsia"/>
          <w:color w:val="000000"/>
          <w:sz w:val="24"/>
          <w:szCs w:val="24"/>
        </w:rPr>
        <w:t>项目编号：</w:t>
      </w:r>
      <w:r>
        <w:rPr>
          <w:color w:val="000000"/>
          <w:sz w:val="24"/>
          <w:szCs w:val="24"/>
          <w:u w:val="single"/>
        </w:rPr>
        <w:t xml:space="preserve">               </w:t>
      </w:r>
      <w:r>
        <w:rPr>
          <w:rFonts w:hint="eastAsia"/>
          <w:color w:val="000000"/>
          <w:sz w:val="24"/>
          <w:szCs w:val="24"/>
        </w:rPr>
        <w:t>项目名称：</w:t>
      </w:r>
      <w:r>
        <w:rPr>
          <w:color w:val="000000"/>
          <w:sz w:val="24"/>
          <w:szCs w:val="24"/>
        </w:rPr>
        <w:t xml:space="preserve">  </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color w:val="000000"/>
          <w:sz w:val="24"/>
          <w:szCs w:val="24"/>
        </w:rPr>
        <w:t xml:space="preserve">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line="420" w:lineRule="exact"/>
              <w:jc w:val="left"/>
              <w:rPr>
                <w:rFonts w:ascii="宋体" w:cs="宋体"/>
                <w:color w:val="000000"/>
                <w:kern w:val="0"/>
                <w:sz w:val="24"/>
                <w:szCs w:val="24"/>
              </w:rPr>
            </w:pPr>
            <w:r>
              <w:rPr>
                <w:rFonts w:hint="eastAsia" w:ascii="宋体" w:hAnsi="宋体" w:cs="宋体"/>
                <w:color w:val="000000"/>
                <w:kern w:val="0"/>
                <w:sz w:val="24"/>
                <w:szCs w:val="24"/>
              </w:rPr>
              <w:t>供应商名称（盖章）</w:t>
            </w:r>
          </w:p>
        </w:tc>
        <w:tc>
          <w:tcPr>
            <w:tcW w:w="6288" w:type="dxa"/>
            <w:vAlign w:val="center"/>
          </w:tcPr>
          <w:p>
            <w:pPr>
              <w:widowControl/>
              <w:spacing w:before="100" w:beforeAutospacing="1" w:after="100" w:afterAutospacing="1" w:line="420" w:lineRule="exact"/>
              <w:jc w:val="left"/>
              <w:rPr>
                <w:rFonts w:ascii="宋体" w:cs="宋体"/>
                <w:color w:val="000000"/>
                <w:kern w:val="0"/>
                <w:sz w:val="24"/>
                <w:szCs w:val="24"/>
              </w:rPr>
            </w:pPr>
            <w:r>
              <w:rPr>
                <w:rFonts w:asci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line="420" w:lineRule="exact"/>
              <w:jc w:val="left"/>
              <w:rPr>
                <w:rFonts w:ascii="宋体" w:cs="宋体"/>
                <w:color w:val="000000"/>
                <w:kern w:val="0"/>
                <w:sz w:val="24"/>
                <w:szCs w:val="24"/>
              </w:rPr>
            </w:pPr>
            <w:r>
              <w:rPr>
                <w:rFonts w:hint="eastAsia" w:ascii="宋体" w:hAnsi="宋体" w:cs="宋体"/>
                <w:color w:val="000000"/>
                <w:kern w:val="0"/>
                <w:sz w:val="24"/>
                <w:szCs w:val="24"/>
              </w:rPr>
              <w:t>联系人姓名</w:t>
            </w:r>
          </w:p>
        </w:tc>
        <w:tc>
          <w:tcPr>
            <w:tcW w:w="6288" w:type="dxa"/>
            <w:vAlign w:val="center"/>
          </w:tcPr>
          <w:p>
            <w:pPr>
              <w:widowControl/>
              <w:spacing w:before="100" w:beforeAutospacing="1" w:after="100" w:afterAutospacing="1" w:line="420" w:lineRule="exact"/>
              <w:jc w:val="left"/>
              <w:rPr>
                <w:rFonts w:ascii="宋体" w:cs="宋体"/>
                <w:color w:val="000000"/>
                <w:kern w:val="0"/>
                <w:sz w:val="24"/>
                <w:szCs w:val="24"/>
              </w:rPr>
            </w:pPr>
            <w:r>
              <w:rPr>
                <w:rFonts w:asci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line="420" w:lineRule="exact"/>
              <w:jc w:val="left"/>
              <w:rPr>
                <w:rFonts w:ascii="宋体" w:cs="宋体"/>
                <w:color w:val="000000"/>
                <w:kern w:val="0"/>
                <w:sz w:val="24"/>
                <w:szCs w:val="24"/>
              </w:rPr>
            </w:pPr>
            <w:r>
              <w:rPr>
                <w:rFonts w:hint="eastAsia" w:ascii="宋体" w:hAnsi="宋体" w:cs="宋体"/>
                <w:color w:val="000000"/>
                <w:kern w:val="0"/>
                <w:sz w:val="24"/>
                <w:szCs w:val="24"/>
              </w:rPr>
              <w:t>联系人电话（办公电话和手机）</w:t>
            </w:r>
          </w:p>
        </w:tc>
        <w:tc>
          <w:tcPr>
            <w:tcW w:w="6288" w:type="dxa"/>
            <w:vAlign w:val="center"/>
          </w:tcPr>
          <w:p>
            <w:pPr>
              <w:widowControl/>
              <w:spacing w:before="100" w:beforeAutospacing="1" w:after="100" w:afterAutospacing="1" w:line="420" w:lineRule="exact"/>
              <w:jc w:val="left"/>
              <w:rPr>
                <w:rFonts w:ascii="宋体" w:cs="宋体"/>
                <w:color w:val="000000"/>
                <w:kern w:val="0"/>
                <w:sz w:val="24"/>
                <w:szCs w:val="24"/>
              </w:rPr>
            </w:pPr>
            <w:r>
              <w:rPr>
                <w:rFonts w:asci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line="420" w:lineRule="exact"/>
              <w:jc w:val="left"/>
              <w:rPr>
                <w:rFonts w:ascii="宋体" w:cs="宋体"/>
                <w:color w:val="000000"/>
                <w:kern w:val="0"/>
                <w:sz w:val="24"/>
                <w:szCs w:val="24"/>
              </w:rPr>
            </w:pPr>
            <w:r>
              <w:rPr>
                <w:rFonts w:hint="eastAsia" w:ascii="宋体" w:hAnsi="宋体" w:cs="宋体"/>
                <w:color w:val="000000"/>
                <w:kern w:val="0"/>
                <w:sz w:val="24"/>
                <w:szCs w:val="24"/>
              </w:rPr>
              <w:t>联系人邮箱</w:t>
            </w:r>
          </w:p>
        </w:tc>
        <w:tc>
          <w:tcPr>
            <w:tcW w:w="6288" w:type="dxa"/>
            <w:vAlign w:val="center"/>
          </w:tcPr>
          <w:p>
            <w:pPr>
              <w:widowControl/>
              <w:spacing w:before="100" w:beforeAutospacing="1" w:after="100" w:afterAutospacing="1" w:line="420" w:lineRule="exact"/>
              <w:jc w:val="left"/>
              <w:rPr>
                <w:rFonts w:ascii="宋体" w:cs="宋体"/>
                <w:color w:val="000000"/>
                <w:kern w:val="0"/>
                <w:sz w:val="24"/>
                <w:szCs w:val="24"/>
              </w:rPr>
            </w:pPr>
            <w:r>
              <w:rPr>
                <w:rFonts w:asci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Merge w:val="restart"/>
            <w:vAlign w:val="center"/>
          </w:tcPr>
          <w:p>
            <w:pPr>
              <w:widowControl/>
              <w:spacing w:before="100" w:beforeAutospacing="1" w:after="100" w:afterAutospacing="1" w:line="420" w:lineRule="exact"/>
              <w:jc w:val="left"/>
              <w:rPr>
                <w:rFonts w:ascii="宋体" w:cs="宋体"/>
                <w:color w:val="000000"/>
                <w:kern w:val="0"/>
                <w:sz w:val="24"/>
                <w:szCs w:val="24"/>
              </w:rPr>
            </w:pPr>
            <w:r>
              <w:rPr>
                <w:rFonts w:hint="eastAsia" w:ascii="宋体" w:hAnsi="宋体" w:cs="宋体"/>
                <w:color w:val="000000"/>
                <w:kern w:val="0"/>
                <w:sz w:val="24"/>
                <w:szCs w:val="24"/>
              </w:rPr>
              <w:t>供应商提供的</w:t>
            </w:r>
          </w:p>
          <w:p>
            <w:pPr>
              <w:widowControl/>
              <w:spacing w:before="100" w:beforeAutospacing="1" w:after="100" w:afterAutospacing="1" w:line="420" w:lineRule="exact"/>
              <w:jc w:val="left"/>
              <w:rPr>
                <w:rFonts w:ascii="宋体" w:cs="宋体"/>
                <w:color w:val="000000"/>
                <w:kern w:val="0"/>
                <w:sz w:val="24"/>
                <w:szCs w:val="24"/>
              </w:rPr>
            </w:pPr>
            <w:r>
              <w:rPr>
                <w:rFonts w:hint="eastAsia" w:ascii="宋体" w:hAnsi="宋体" w:cs="宋体"/>
                <w:color w:val="000000"/>
                <w:kern w:val="0"/>
                <w:sz w:val="24"/>
                <w:szCs w:val="24"/>
              </w:rPr>
              <w:t>报名资料</w:t>
            </w:r>
          </w:p>
        </w:tc>
        <w:tc>
          <w:tcPr>
            <w:tcW w:w="6288" w:type="dxa"/>
          </w:tcPr>
          <w:p>
            <w:pPr>
              <w:spacing w:line="420" w:lineRule="exact"/>
              <w:rPr>
                <w:color w:val="000000"/>
                <w:sz w:val="24"/>
                <w:szCs w:val="24"/>
              </w:rPr>
            </w:pPr>
            <w:r>
              <w:rPr>
                <w:color w:val="000000"/>
                <w:sz w:val="24"/>
                <w:szCs w:val="24"/>
              </w:rPr>
              <w:t>1.</w:t>
            </w:r>
            <w:r>
              <w:rPr>
                <w:rFonts w:hint="eastAsia"/>
                <w:color w:val="000000"/>
                <w:sz w:val="24"/>
                <w:szCs w:val="24"/>
              </w:rPr>
              <w:t>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Merge w:val="continue"/>
            <w:vAlign w:val="center"/>
          </w:tcPr>
          <w:p>
            <w:pPr>
              <w:widowControl/>
              <w:spacing w:line="420" w:lineRule="exact"/>
              <w:jc w:val="left"/>
              <w:rPr>
                <w:rFonts w:ascii="宋体" w:cs="宋体"/>
                <w:color w:val="000000"/>
                <w:kern w:val="0"/>
                <w:sz w:val="24"/>
                <w:szCs w:val="24"/>
              </w:rPr>
            </w:pPr>
          </w:p>
        </w:tc>
        <w:tc>
          <w:tcPr>
            <w:tcW w:w="6288" w:type="dxa"/>
          </w:tcPr>
          <w:p>
            <w:pPr>
              <w:spacing w:line="420" w:lineRule="exact"/>
              <w:rPr>
                <w:color w:val="000000"/>
                <w:sz w:val="24"/>
                <w:szCs w:val="24"/>
              </w:rPr>
            </w:pPr>
            <w:r>
              <w:rPr>
                <w:color w:val="000000"/>
                <w:sz w:val="24"/>
                <w:szCs w:val="24"/>
              </w:rPr>
              <w:t>2.</w:t>
            </w:r>
            <w:r>
              <w:rPr>
                <w:rFonts w:hint="eastAsia"/>
                <w:color w:val="000000"/>
                <w:sz w:val="24"/>
                <w:szCs w:val="24"/>
              </w:rPr>
              <w:t>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Merge w:val="continue"/>
            <w:vAlign w:val="center"/>
          </w:tcPr>
          <w:p>
            <w:pPr>
              <w:widowControl/>
              <w:spacing w:line="420" w:lineRule="exact"/>
              <w:jc w:val="left"/>
              <w:rPr>
                <w:rFonts w:ascii="宋体" w:cs="宋体"/>
                <w:color w:val="000000"/>
                <w:kern w:val="0"/>
                <w:sz w:val="24"/>
                <w:szCs w:val="24"/>
              </w:rPr>
            </w:pPr>
          </w:p>
        </w:tc>
        <w:tc>
          <w:tcPr>
            <w:tcW w:w="6288" w:type="dxa"/>
          </w:tcPr>
          <w:p>
            <w:pPr>
              <w:spacing w:line="420" w:lineRule="exact"/>
              <w:rPr>
                <w:color w:val="000000"/>
                <w:sz w:val="24"/>
                <w:szCs w:val="24"/>
              </w:rPr>
            </w:pPr>
            <w:r>
              <w:rPr>
                <w:color w:val="000000"/>
                <w:sz w:val="24"/>
                <w:szCs w:val="24"/>
              </w:rPr>
              <w:t>3.</w:t>
            </w:r>
            <w:r>
              <w:rPr>
                <w:rFonts w:hint="eastAsia"/>
                <w:color w:val="000000"/>
                <w:sz w:val="24"/>
                <w:szCs w:val="24"/>
              </w:rPr>
              <w:t>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Merge w:val="continue"/>
            <w:vAlign w:val="center"/>
          </w:tcPr>
          <w:p>
            <w:pPr>
              <w:widowControl/>
              <w:spacing w:line="420" w:lineRule="exact"/>
              <w:jc w:val="left"/>
              <w:rPr>
                <w:rFonts w:ascii="宋体" w:cs="宋体"/>
                <w:color w:val="000000"/>
                <w:kern w:val="0"/>
                <w:sz w:val="24"/>
                <w:szCs w:val="24"/>
              </w:rPr>
            </w:pPr>
          </w:p>
        </w:tc>
        <w:tc>
          <w:tcPr>
            <w:tcW w:w="6288" w:type="dxa"/>
          </w:tcPr>
          <w:p>
            <w:pPr>
              <w:spacing w:line="420" w:lineRule="exact"/>
              <w:rPr>
                <w:color w:val="000000"/>
                <w:sz w:val="24"/>
                <w:szCs w:val="24"/>
              </w:rPr>
            </w:pPr>
            <w:r>
              <w:rPr>
                <w:color w:val="000000"/>
                <w:sz w:val="24"/>
                <w:szCs w:val="24"/>
              </w:rPr>
              <w:t>4.</w:t>
            </w:r>
            <w:r>
              <w:rPr>
                <w:rFonts w:hint="eastAsia"/>
                <w:color w:val="000000"/>
                <w:sz w:val="24"/>
                <w:szCs w:val="24"/>
              </w:rPr>
              <w:t xml:space="preserve"> 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Merge w:val="continue"/>
            <w:vAlign w:val="center"/>
          </w:tcPr>
          <w:p>
            <w:pPr>
              <w:widowControl/>
              <w:spacing w:line="420" w:lineRule="exact"/>
              <w:jc w:val="left"/>
              <w:rPr>
                <w:rFonts w:ascii="宋体" w:cs="宋体"/>
                <w:color w:val="000000"/>
                <w:kern w:val="0"/>
                <w:sz w:val="24"/>
                <w:szCs w:val="24"/>
              </w:rPr>
            </w:pPr>
          </w:p>
        </w:tc>
        <w:tc>
          <w:tcPr>
            <w:tcW w:w="6288" w:type="dxa"/>
          </w:tcPr>
          <w:p>
            <w:pPr>
              <w:spacing w:line="420" w:lineRule="exact"/>
              <w:rPr>
                <w:color w:val="000000"/>
                <w:sz w:val="24"/>
                <w:szCs w:val="24"/>
              </w:rPr>
            </w:pPr>
            <w:r>
              <w:rPr>
                <w:color w:val="000000"/>
                <w:sz w:val="24"/>
                <w:szCs w:val="24"/>
              </w:rPr>
              <w:t>5.</w:t>
            </w:r>
            <w:r>
              <w:rPr>
                <w:rFonts w:hint="eastAsia"/>
                <w:color w:val="000000"/>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Merge w:val="continue"/>
            <w:vAlign w:val="center"/>
          </w:tcPr>
          <w:p>
            <w:pPr>
              <w:widowControl/>
              <w:spacing w:line="420" w:lineRule="exact"/>
              <w:jc w:val="left"/>
              <w:rPr>
                <w:rFonts w:ascii="宋体" w:cs="宋体"/>
                <w:color w:val="000000"/>
                <w:kern w:val="0"/>
                <w:sz w:val="24"/>
                <w:szCs w:val="24"/>
              </w:rPr>
            </w:pPr>
          </w:p>
        </w:tc>
        <w:tc>
          <w:tcPr>
            <w:tcW w:w="6288" w:type="dxa"/>
          </w:tcPr>
          <w:p>
            <w:pPr>
              <w:spacing w:line="420" w:lineRule="exact"/>
              <w:rPr>
                <w:color w:val="000000"/>
                <w:sz w:val="24"/>
                <w:szCs w:val="24"/>
              </w:rPr>
            </w:pPr>
            <w:r>
              <w:rPr>
                <w:color w:val="000000"/>
                <w:sz w:val="24"/>
                <w:szCs w:val="24"/>
              </w:rPr>
              <w:t>6.</w:t>
            </w:r>
            <w:r>
              <w:rPr>
                <w:rFonts w:hint="eastAsia"/>
                <w:color w:val="000000"/>
                <w:sz w:val="24"/>
                <w:szCs w:val="24"/>
              </w:rPr>
              <w:t>未被列入</w:t>
            </w:r>
            <w:r>
              <w:rPr>
                <w:color w:val="000000"/>
                <w:sz w:val="24"/>
                <w:szCs w:val="24"/>
              </w:rPr>
              <w:t xml:space="preserve"> </w:t>
            </w:r>
            <w:r>
              <w:rPr>
                <w:rFonts w:hint="eastAsia"/>
                <w:color w:val="000000"/>
                <w:sz w:val="24"/>
                <w:szCs w:val="24"/>
              </w:rPr>
              <w:t>“信用中国”网站（</w:t>
            </w:r>
            <w:r>
              <w:rPr>
                <w:color w:val="000000"/>
                <w:sz w:val="24"/>
                <w:szCs w:val="24"/>
              </w:rPr>
              <w:t>www.creditchina.gov.cn</w:t>
            </w:r>
            <w:r>
              <w:rPr>
                <w:rFonts w:hint="eastAsia"/>
                <w:color w:val="000000"/>
                <w:sz w:val="24"/>
                <w:szCs w:val="24"/>
              </w:rPr>
              <w:t>）失信被执行人、重大税收违法案件当事人名单、政府采购严重违法失信行为记录名单的网页打印件。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vMerge w:val="continue"/>
            <w:vAlign w:val="center"/>
          </w:tcPr>
          <w:p>
            <w:pPr>
              <w:widowControl/>
              <w:spacing w:line="420" w:lineRule="exact"/>
              <w:jc w:val="left"/>
              <w:rPr>
                <w:rFonts w:ascii="宋体" w:cs="宋体"/>
                <w:color w:val="000000"/>
                <w:kern w:val="0"/>
                <w:sz w:val="24"/>
                <w:szCs w:val="24"/>
              </w:rPr>
            </w:pPr>
          </w:p>
        </w:tc>
        <w:tc>
          <w:tcPr>
            <w:tcW w:w="6288" w:type="dxa"/>
          </w:tcPr>
          <w:p>
            <w:pPr>
              <w:spacing w:line="420" w:lineRule="exact"/>
              <w:rPr>
                <w:color w:val="000000"/>
                <w:sz w:val="24"/>
                <w:szCs w:val="24"/>
              </w:rPr>
            </w:pPr>
            <w:r>
              <w:rPr>
                <w:color w:val="000000"/>
                <w:sz w:val="24"/>
                <w:szCs w:val="24"/>
              </w:rPr>
              <w:t xml:space="preserve">7. </w:t>
            </w:r>
            <w:r>
              <w:rPr>
                <w:rFonts w:hint="eastAsia"/>
                <w:color w:val="000000"/>
                <w:sz w:val="24"/>
                <w:szCs w:val="24"/>
              </w:rPr>
              <w:t>提供资格要求内的特定条件</w:t>
            </w:r>
            <w:r>
              <w:rPr>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234" w:type="dxa"/>
          </w:tcPr>
          <w:p>
            <w:pPr>
              <w:spacing w:line="420" w:lineRule="exact"/>
              <w:rPr>
                <w:b/>
                <w:color w:val="000000"/>
                <w:sz w:val="24"/>
                <w:szCs w:val="24"/>
              </w:rPr>
            </w:pPr>
            <w:r>
              <w:rPr>
                <w:rFonts w:hint="eastAsia"/>
                <w:b/>
                <w:color w:val="000000"/>
                <w:sz w:val="24"/>
                <w:szCs w:val="24"/>
              </w:rPr>
              <w:t>供应商意见</w:t>
            </w:r>
          </w:p>
        </w:tc>
        <w:tc>
          <w:tcPr>
            <w:tcW w:w="6288" w:type="dxa"/>
          </w:tcPr>
          <w:p>
            <w:pPr>
              <w:spacing w:line="420" w:lineRule="exact"/>
              <w:rPr>
                <w:b/>
                <w:color w:val="000000"/>
                <w:sz w:val="24"/>
                <w:szCs w:val="24"/>
              </w:rPr>
            </w:pPr>
            <w:r>
              <w:rPr>
                <w:rFonts w:hint="eastAsia"/>
                <w:b/>
                <w:color w:val="000000"/>
                <w:sz w:val="24"/>
                <w:szCs w:val="24"/>
              </w:rPr>
              <w:t>供应商可对本项目采购需求及评分标准的公正性、专业性、合理性等提出自己正确的意见、建议等（可另页详细表述）。</w:t>
            </w:r>
          </w:p>
        </w:tc>
      </w:tr>
    </w:tbl>
    <w:p>
      <w:pPr>
        <w:pStyle w:val="2"/>
        <w:shd w:val="clear" w:color="auto" w:fill="FFFFFF"/>
        <w:spacing w:before="150" w:beforeAutospacing="0" w:after="150" w:afterAutospacing="0" w:line="420" w:lineRule="exact"/>
        <w:ind w:left="150"/>
      </w:pPr>
      <w:r>
        <w:rPr>
          <w:rStyle w:val="5"/>
          <w:rFonts w:hint="eastAsia"/>
          <w:color w:val="000000"/>
          <w:szCs w:val="24"/>
        </w:rPr>
        <w:t>注意事项</w:t>
      </w:r>
      <w:r>
        <w:rPr>
          <w:rStyle w:val="5"/>
          <w:rFonts w:hint="eastAsia"/>
          <w:b w:val="0"/>
          <w:color w:val="000000"/>
          <w:szCs w:val="24"/>
        </w:rPr>
        <w:t>：</w:t>
      </w:r>
      <w:r>
        <w:rPr>
          <w:color w:val="000000"/>
          <w:sz w:val="21"/>
          <w:szCs w:val="21"/>
        </w:rPr>
        <w:t>1.</w:t>
      </w:r>
      <w:r>
        <w:rPr>
          <w:rFonts w:hint="eastAsia"/>
          <w:color w:val="000000"/>
          <w:sz w:val="21"/>
          <w:szCs w:val="21"/>
        </w:rPr>
        <w:t>供应商必须严格按照公告的内容和要求，完整递交有关资料，逾期递交的将予以拒收。</w:t>
      </w:r>
      <w:r>
        <w:rPr>
          <w:color w:val="000000"/>
          <w:sz w:val="21"/>
          <w:szCs w:val="21"/>
        </w:rPr>
        <w:t>2.</w:t>
      </w:r>
      <w:r>
        <w:rPr>
          <w:rFonts w:hint="eastAsia"/>
          <w:color w:val="000000"/>
          <w:sz w:val="21"/>
          <w:szCs w:val="21"/>
        </w:rPr>
        <w:t>供应商所递交的资料（全部盖有单位公章）必须为一般常用电脑办公软件能够读取的清晰、易于辨识的彩色电子扫描件、照片（相关证书和证明材料的原件）</w:t>
      </w:r>
      <w:r>
        <w:rPr>
          <w:color w:val="000000"/>
          <w:sz w:val="21"/>
          <w:szCs w:val="21"/>
        </w:rPr>
        <w:t>,</w:t>
      </w:r>
      <w:r>
        <w:rPr>
          <w:rFonts w:hint="eastAsia"/>
          <w:color w:val="000000"/>
          <w:sz w:val="21"/>
          <w:szCs w:val="21"/>
        </w:rPr>
        <w:t>并对其他递交资料内容的真实性、有效性及完整性负责，如提供文件资料有错漏、模糊不清、复印件的电子扫描件、照片、无法读取识别或弄虚作假等，一律属于无效文件。</w:t>
      </w:r>
      <w:r>
        <w:rPr>
          <w:color w:val="000000"/>
          <w:sz w:val="21"/>
          <w:szCs w:val="21"/>
        </w:rPr>
        <w:t>3.</w:t>
      </w:r>
      <w:r>
        <w:rPr>
          <w:rFonts w:hint="eastAsia"/>
          <w:color w:val="000000"/>
          <w:sz w:val="21"/>
          <w:szCs w:val="21"/>
        </w:rPr>
        <w:t>须在邮件（附件文件名注明公司全称）注明公司全称、项目名称及项目编号（不注明我单位将拒收报名邮件）。</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80093"/>
    <w:rsid w:val="1D58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character" w:styleId="5">
    <w:name w:val="Strong"/>
    <w:qFormat/>
    <w:uiPriority w:val="99"/>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2019-07-15T08:56:00Z</dcterms:created>
  <dc:creator>Administrator</dc:creator>
  <cp:lastModifiedBy>Administrator</cp:lastModifiedBy>
  <dcterms:modified xsi:type="dcterms:W3CDTF">2019-07-15T08:56:25Z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