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9" w:rightChars="9"/>
        <w:jc w:val="center"/>
        <w:rPr>
          <w:rFonts w:ascii="黑体" w:hAnsi="宋体" w:eastAsia="黑体"/>
          <w:b/>
          <w:color w:val="000000" w:themeColor="text1"/>
          <w:sz w:val="72"/>
          <w:szCs w:val="72"/>
        </w:rPr>
      </w:pPr>
    </w:p>
    <w:p>
      <w:pPr>
        <w:spacing w:line="360" w:lineRule="auto"/>
        <w:ind w:right="19" w:rightChars="9"/>
        <w:jc w:val="center"/>
        <w:rPr>
          <w:rFonts w:ascii="黑体" w:hAnsi="宋体" w:eastAsia="黑体"/>
          <w:b/>
          <w:color w:val="000000" w:themeColor="text1"/>
          <w:sz w:val="72"/>
          <w:szCs w:val="72"/>
        </w:rPr>
      </w:pPr>
      <w:r>
        <w:rPr>
          <w:rFonts w:ascii="黑体" w:hAnsi="宋体" w:eastAsia="黑体"/>
          <w:color w:val="000000" w:themeColor="text1"/>
          <w:sz w:val="32"/>
          <w:szCs w:val="36"/>
        </w:rPr>
        <w:t xml:space="preserve">                                           </w:t>
      </w:r>
    </w:p>
    <w:p>
      <w:pPr>
        <w:spacing w:line="360" w:lineRule="auto"/>
        <w:ind w:right="19" w:rightChars="9"/>
        <w:jc w:val="center"/>
        <w:rPr>
          <w:rFonts w:ascii="黑体" w:hAnsi="宋体" w:eastAsia="黑体"/>
          <w:b/>
          <w:color w:val="000000" w:themeColor="text1"/>
          <w:sz w:val="48"/>
          <w:szCs w:val="48"/>
        </w:rPr>
      </w:pPr>
      <w:r>
        <w:rPr>
          <w:rFonts w:hint="eastAsia" w:ascii="黑体" w:hAnsi="宋体" w:eastAsia="黑体"/>
          <w:b/>
          <w:color w:val="000000" w:themeColor="text1"/>
          <w:sz w:val="72"/>
          <w:szCs w:val="72"/>
        </w:rPr>
        <w:t>政府采购项目</w:t>
      </w:r>
    </w:p>
    <w:p>
      <w:pPr>
        <w:jc w:val="center"/>
        <w:rPr>
          <w:rFonts w:ascii="黑体" w:hAnsi="黑体" w:eastAsia="黑体" w:cs="黑体"/>
          <w:b/>
          <w:color w:val="000000" w:themeColor="text1"/>
          <w:sz w:val="96"/>
          <w:szCs w:val="96"/>
        </w:rPr>
      </w:pPr>
      <w:r>
        <w:rPr>
          <w:rFonts w:hint="eastAsia" w:ascii="黑体" w:hAnsi="黑体" w:eastAsia="黑体" w:cs="黑体"/>
          <w:b/>
          <w:color w:val="000000" w:themeColor="text1"/>
          <w:sz w:val="144"/>
          <w:szCs w:val="144"/>
        </w:rPr>
        <w:t>招</w:t>
      </w:r>
      <w:r>
        <w:rPr>
          <w:rFonts w:ascii="黑体" w:hAnsi="黑体" w:eastAsia="黑体" w:cs="黑体"/>
          <w:b/>
          <w:color w:val="000000" w:themeColor="text1"/>
          <w:sz w:val="144"/>
          <w:szCs w:val="144"/>
        </w:rPr>
        <w:t xml:space="preserve"> </w:t>
      </w:r>
      <w:r>
        <w:rPr>
          <w:rFonts w:hint="eastAsia" w:ascii="黑体" w:hAnsi="黑体" w:eastAsia="黑体" w:cs="黑体"/>
          <w:b/>
          <w:color w:val="000000" w:themeColor="text1"/>
          <w:sz w:val="144"/>
          <w:szCs w:val="144"/>
        </w:rPr>
        <w:t>标</w:t>
      </w:r>
      <w:r>
        <w:rPr>
          <w:rFonts w:ascii="黑体" w:hAnsi="黑体" w:eastAsia="黑体" w:cs="黑体"/>
          <w:b/>
          <w:color w:val="000000" w:themeColor="text1"/>
          <w:sz w:val="144"/>
          <w:szCs w:val="144"/>
        </w:rPr>
        <w:t xml:space="preserve"> </w:t>
      </w:r>
      <w:r>
        <w:rPr>
          <w:rFonts w:hint="eastAsia" w:ascii="黑体" w:hAnsi="黑体" w:eastAsia="黑体" w:cs="黑体"/>
          <w:b/>
          <w:color w:val="000000" w:themeColor="text1"/>
          <w:sz w:val="144"/>
          <w:szCs w:val="144"/>
        </w:rPr>
        <w:t>文</w:t>
      </w:r>
      <w:r>
        <w:rPr>
          <w:rFonts w:ascii="黑体" w:hAnsi="黑体" w:eastAsia="黑体" w:cs="黑体"/>
          <w:b/>
          <w:color w:val="000000" w:themeColor="text1"/>
          <w:sz w:val="144"/>
          <w:szCs w:val="144"/>
        </w:rPr>
        <w:t xml:space="preserve"> </w:t>
      </w:r>
      <w:r>
        <w:rPr>
          <w:rFonts w:hint="eastAsia" w:ascii="黑体" w:hAnsi="黑体" w:eastAsia="黑体" w:cs="黑体"/>
          <w:b/>
          <w:color w:val="000000" w:themeColor="text1"/>
          <w:sz w:val="144"/>
          <w:szCs w:val="144"/>
        </w:rPr>
        <w:t>件</w:t>
      </w:r>
    </w:p>
    <w:p>
      <w:pPr>
        <w:pStyle w:val="9"/>
        <w:ind w:firstLine="833" w:firstLineChars="395"/>
        <w:rPr>
          <w:rFonts w:hAnsi="宋体"/>
          <w:b/>
          <w:color w:val="000000" w:themeColor="text1"/>
        </w:rPr>
      </w:pPr>
    </w:p>
    <w:p>
      <w:pPr>
        <w:pStyle w:val="9"/>
        <w:ind w:firstLine="833" w:firstLineChars="395"/>
        <w:rPr>
          <w:rFonts w:hAnsi="宋体"/>
          <w:b/>
          <w:color w:val="000000" w:themeColor="text1"/>
        </w:rPr>
      </w:pPr>
    </w:p>
    <w:p>
      <w:pPr>
        <w:pStyle w:val="9"/>
        <w:ind w:firstLine="833" w:firstLineChars="395"/>
        <w:rPr>
          <w:rFonts w:hAnsi="宋体"/>
          <w:b/>
          <w:color w:val="000000" w:themeColor="text1"/>
        </w:rPr>
      </w:pPr>
    </w:p>
    <w:p>
      <w:pPr>
        <w:pStyle w:val="9"/>
        <w:ind w:firstLine="833" w:firstLineChars="395"/>
        <w:rPr>
          <w:rFonts w:hAnsi="宋体"/>
          <w:b/>
          <w:color w:val="000000" w:themeColor="text1"/>
        </w:rPr>
      </w:pPr>
    </w:p>
    <w:p>
      <w:pPr>
        <w:pStyle w:val="9"/>
        <w:rPr>
          <w:rFonts w:hAnsi="宋体"/>
          <w:b/>
          <w:color w:val="000000" w:themeColor="text1"/>
        </w:rPr>
      </w:pPr>
    </w:p>
    <w:p>
      <w:pPr>
        <w:pStyle w:val="9"/>
        <w:rPr>
          <w:rFonts w:hAnsi="宋体"/>
          <w:b/>
          <w:color w:val="000000" w:themeColor="text1"/>
        </w:rPr>
      </w:pPr>
    </w:p>
    <w:p>
      <w:pPr>
        <w:pStyle w:val="9"/>
        <w:rPr>
          <w:rFonts w:hAnsi="宋体"/>
          <w:b/>
          <w:color w:val="000000" w:themeColor="text1"/>
        </w:rPr>
      </w:pPr>
    </w:p>
    <w:p>
      <w:pPr>
        <w:pStyle w:val="9"/>
        <w:rPr>
          <w:rFonts w:hAnsi="宋体"/>
          <w:b/>
          <w:color w:val="000000" w:themeColor="text1"/>
        </w:rPr>
      </w:pPr>
    </w:p>
    <w:p>
      <w:pPr>
        <w:pStyle w:val="9"/>
        <w:ind w:firstLine="833" w:firstLineChars="395"/>
        <w:rPr>
          <w:rFonts w:hAnsi="宋体"/>
          <w:b/>
          <w:color w:val="000000" w:themeColor="text1"/>
        </w:rPr>
      </w:pPr>
    </w:p>
    <w:p>
      <w:pPr>
        <w:pStyle w:val="9"/>
        <w:ind w:firstLine="833" w:firstLineChars="395"/>
        <w:rPr>
          <w:rFonts w:hAnsi="宋体"/>
          <w:b/>
          <w:color w:val="000000" w:themeColor="text1"/>
        </w:rPr>
      </w:pPr>
    </w:p>
    <w:p>
      <w:pPr>
        <w:pStyle w:val="9"/>
        <w:spacing w:line="360" w:lineRule="auto"/>
        <w:ind w:firstLine="281" w:firstLineChars="100"/>
        <w:rPr>
          <w:rFonts w:ascii="黑体" w:hAnsi="黑体" w:eastAsia="黑体" w:cs="黑体"/>
          <w:b/>
          <w:color w:val="000000" w:themeColor="text1"/>
          <w:sz w:val="28"/>
          <w:szCs w:val="28"/>
          <w:u w:val="single"/>
        </w:rPr>
      </w:pPr>
      <w:r>
        <w:rPr>
          <w:rFonts w:hint="eastAsia" w:ascii="黑体" w:hAnsi="黑体" w:eastAsia="黑体" w:cs="黑体"/>
          <w:b/>
          <w:color w:val="000000" w:themeColor="text1"/>
          <w:kern w:val="2"/>
          <w:sz w:val="28"/>
          <w:szCs w:val="28"/>
        </w:rPr>
        <w:t>中心</w:t>
      </w:r>
      <w:r>
        <w:rPr>
          <w:rFonts w:hint="eastAsia" w:ascii="黑体" w:hAnsi="黑体" w:eastAsia="黑体" w:cs="黑体"/>
          <w:b/>
          <w:color w:val="000000" w:themeColor="text1"/>
          <w:sz w:val="28"/>
          <w:szCs w:val="28"/>
        </w:rPr>
        <w:t>编号：</w:t>
      </w:r>
      <w:r>
        <w:rPr>
          <w:rFonts w:hint="eastAsia" w:ascii="黑体" w:hAnsi="黑体" w:eastAsia="黑体" w:cs="黑体"/>
          <w:b/>
          <w:color w:val="000000" w:themeColor="text1"/>
          <w:sz w:val="28"/>
          <w:szCs w:val="28"/>
          <w:u w:val="single"/>
        </w:rPr>
        <w:t>131-Zcg•2019-</w:t>
      </w:r>
      <w:r>
        <w:rPr>
          <w:rFonts w:ascii="黑体" w:hAnsi="黑体" w:eastAsia="黑体" w:cs="黑体"/>
          <w:b/>
          <w:color w:val="000000" w:themeColor="text1"/>
          <w:sz w:val="28"/>
          <w:szCs w:val="28"/>
          <w:u w:val="single"/>
        </w:rPr>
        <w:t xml:space="preserve"> </w:t>
      </w:r>
      <w:r>
        <w:rPr>
          <w:rFonts w:hint="eastAsia" w:ascii="黑体" w:hAnsi="黑体" w:eastAsia="黑体" w:cs="黑体"/>
          <w:b/>
          <w:color w:val="000000" w:themeColor="text1"/>
          <w:sz w:val="28"/>
          <w:szCs w:val="28"/>
          <w:u w:val="single"/>
        </w:rPr>
        <w:t>115</w:t>
      </w:r>
      <w:r>
        <w:rPr>
          <w:rFonts w:ascii="黑体" w:hAnsi="黑体" w:eastAsia="黑体" w:cs="黑体"/>
          <w:b/>
          <w:color w:val="000000" w:themeColor="text1"/>
          <w:sz w:val="28"/>
          <w:szCs w:val="28"/>
          <w:u w:val="single"/>
        </w:rPr>
        <w:t xml:space="preserve"> </w:t>
      </w:r>
    </w:p>
    <w:p>
      <w:pPr>
        <w:tabs>
          <w:tab w:val="left" w:pos="7230"/>
        </w:tabs>
        <w:spacing w:line="360" w:lineRule="auto"/>
        <w:ind w:left="279" w:leftChars="133"/>
        <w:rPr>
          <w:rFonts w:ascii="黑体" w:hAnsi="黑体" w:eastAsia="黑体" w:cs="黑体"/>
          <w:b/>
          <w:color w:val="000000" w:themeColor="text1"/>
          <w:sz w:val="28"/>
          <w:szCs w:val="28"/>
          <w:u w:val="single"/>
        </w:rPr>
      </w:pPr>
      <w:r>
        <w:rPr>
          <w:rFonts w:hint="eastAsia" w:ascii="黑体" w:hAnsi="黑体" w:eastAsia="黑体" w:cs="黑体"/>
          <w:b/>
          <w:color w:val="000000" w:themeColor="text1"/>
          <w:sz w:val="28"/>
          <w:szCs w:val="28"/>
        </w:rPr>
        <w:t>项目名称：</w:t>
      </w:r>
      <w:r>
        <w:rPr>
          <w:rFonts w:hint="eastAsia" w:ascii="黑体" w:hAnsi="黑体" w:eastAsia="黑体" w:cs="黑体"/>
          <w:b/>
          <w:color w:val="000000" w:themeColor="text1"/>
          <w:sz w:val="28"/>
          <w:szCs w:val="28"/>
          <w:u w:val="single"/>
        </w:rPr>
        <w:t>阳新县第一中学老校区理化生实验室设备、会议系统设备采购及安装项目</w:t>
      </w:r>
    </w:p>
    <w:p>
      <w:pPr>
        <w:tabs>
          <w:tab w:val="left" w:pos="7230"/>
        </w:tabs>
        <w:spacing w:line="360" w:lineRule="auto"/>
        <w:ind w:firstLine="281" w:firstLineChars="100"/>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采</w:t>
      </w:r>
      <w:r>
        <w:rPr>
          <w:rFonts w:ascii="黑体" w:hAnsi="黑体" w:eastAsia="黑体" w:cs="黑体"/>
          <w:b/>
          <w:color w:val="000000" w:themeColor="text1"/>
          <w:sz w:val="28"/>
          <w:szCs w:val="28"/>
        </w:rPr>
        <w:t xml:space="preserve"> </w:t>
      </w:r>
      <w:r>
        <w:rPr>
          <w:rFonts w:hint="eastAsia" w:ascii="黑体" w:hAnsi="黑体" w:eastAsia="黑体" w:cs="黑体"/>
          <w:b/>
          <w:color w:val="000000" w:themeColor="text1"/>
          <w:sz w:val="28"/>
          <w:szCs w:val="28"/>
        </w:rPr>
        <w:t>购</w:t>
      </w:r>
      <w:r>
        <w:rPr>
          <w:rFonts w:ascii="黑体" w:hAnsi="黑体" w:eastAsia="黑体" w:cs="黑体"/>
          <w:b/>
          <w:color w:val="000000" w:themeColor="text1"/>
          <w:sz w:val="28"/>
          <w:szCs w:val="28"/>
        </w:rPr>
        <w:t xml:space="preserve"> </w:t>
      </w:r>
      <w:r>
        <w:rPr>
          <w:rFonts w:hint="eastAsia" w:ascii="黑体" w:hAnsi="黑体" w:eastAsia="黑体" w:cs="黑体"/>
          <w:b/>
          <w:color w:val="000000" w:themeColor="text1"/>
          <w:sz w:val="28"/>
          <w:szCs w:val="28"/>
        </w:rPr>
        <w:t>人：</w:t>
      </w:r>
      <w:r>
        <w:rPr>
          <w:rFonts w:hint="eastAsia" w:ascii="黑体" w:hAnsi="黑体" w:eastAsia="黑体" w:cs="黑体"/>
          <w:b/>
          <w:color w:val="000000" w:themeColor="text1"/>
          <w:sz w:val="28"/>
          <w:szCs w:val="28"/>
          <w:u w:val="single"/>
        </w:rPr>
        <w:t>阳</w:t>
      </w:r>
      <w:r>
        <w:rPr>
          <w:rFonts w:hint="eastAsia" w:ascii="黑体" w:hAnsi="宋体" w:eastAsia="黑体" w:cs="宋体"/>
          <w:b/>
          <w:color w:val="000000" w:themeColor="text1"/>
          <w:kern w:val="0"/>
          <w:sz w:val="28"/>
          <w:szCs w:val="28"/>
          <w:u w:val="single"/>
        </w:rPr>
        <w:t>新县第一中学</w:t>
      </w:r>
      <w:r>
        <w:rPr>
          <w:rFonts w:ascii="黑体" w:hAnsi="黑体" w:eastAsia="黑体" w:cs="黑体"/>
          <w:b/>
          <w:bCs/>
          <w:color w:val="000000" w:themeColor="text1"/>
          <w:sz w:val="28"/>
          <w:szCs w:val="28"/>
          <w:u w:val="single"/>
        </w:rPr>
        <w:t xml:space="preserve"> </w:t>
      </w:r>
    </w:p>
    <w:p>
      <w:pPr>
        <w:tabs>
          <w:tab w:val="left" w:pos="7230"/>
        </w:tabs>
        <w:spacing w:line="360" w:lineRule="auto"/>
        <w:ind w:firstLine="281" w:firstLineChars="100"/>
        <w:rPr>
          <w:rFonts w:ascii="黑体" w:eastAsia="黑体"/>
          <w:b/>
          <w:color w:val="000000" w:themeColor="text1"/>
          <w:sz w:val="28"/>
          <w:szCs w:val="28"/>
          <w:u w:val="single"/>
        </w:rPr>
      </w:pPr>
      <w:r>
        <w:rPr>
          <w:rFonts w:hint="eastAsia" w:ascii="黑体" w:eastAsia="黑体"/>
          <w:b/>
          <w:color w:val="000000" w:themeColor="text1"/>
          <w:sz w:val="28"/>
          <w:szCs w:val="28"/>
        </w:rPr>
        <w:t>采购内容：</w:t>
      </w:r>
      <w:r>
        <w:rPr>
          <w:rFonts w:hint="eastAsia" w:ascii="黑体" w:eastAsia="黑体"/>
          <w:b/>
          <w:color w:val="000000" w:themeColor="text1"/>
          <w:sz w:val="28"/>
          <w:szCs w:val="28"/>
          <w:u w:val="single"/>
        </w:rPr>
        <w:t>一包：理化生实验室设备采购及安装项目</w:t>
      </w:r>
    </w:p>
    <w:p>
      <w:pPr>
        <w:pStyle w:val="28"/>
        <w:rPr>
          <w:rFonts w:ascii="黑体" w:eastAsia="黑体"/>
          <w:b/>
          <w:color w:val="000000" w:themeColor="text1"/>
          <w:kern w:val="2"/>
          <w:szCs w:val="28"/>
          <w:u w:val="single"/>
        </w:rPr>
      </w:pPr>
      <w:r>
        <w:rPr>
          <w:rFonts w:hint="eastAsia" w:ascii="黑体" w:eastAsia="黑体"/>
          <w:b/>
          <w:color w:val="000000" w:themeColor="text1"/>
          <w:szCs w:val="28"/>
        </w:rPr>
        <w:t xml:space="preserve">      </w:t>
      </w:r>
      <w:r>
        <w:rPr>
          <w:rFonts w:hint="eastAsia" w:ascii="黑体" w:eastAsia="黑体"/>
          <w:b/>
          <w:color w:val="000000" w:themeColor="text1"/>
          <w:szCs w:val="28"/>
          <w:u w:val="single"/>
        </w:rPr>
        <w:t xml:space="preserve">  二包：</w:t>
      </w:r>
      <w:r>
        <w:rPr>
          <w:rFonts w:hint="eastAsia" w:ascii="黑体" w:eastAsia="黑体"/>
          <w:b/>
          <w:color w:val="000000" w:themeColor="text1"/>
          <w:kern w:val="2"/>
          <w:szCs w:val="28"/>
          <w:u w:val="single"/>
        </w:rPr>
        <w:t>会议系统设备采购及安装项目</w:t>
      </w:r>
    </w:p>
    <w:p>
      <w:pPr>
        <w:jc w:val="center"/>
        <w:rPr>
          <w:rFonts w:ascii="黑体" w:eastAsia="黑体"/>
          <w:b/>
          <w:bCs/>
          <w:color w:val="000000" w:themeColor="text1"/>
          <w:sz w:val="52"/>
          <w:szCs w:val="52"/>
          <w:u w:val="single"/>
        </w:rPr>
      </w:pPr>
      <w:r>
        <w:rPr>
          <w:rFonts w:hint="eastAsia" w:ascii="黑体" w:eastAsia="黑体"/>
          <w:b/>
          <w:bCs/>
          <w:color w:val="000000" w:themeColor="text1"/>
          <w:sz w:val="52"/>
          <w:szCs w:val="52"/>
          <w:u w:val="single"/>
        </w:rPr>
        <w:t xml:space="preserve">正大鹏安建设项目管理有限公司 </w:t>
      </w:r>
    </w:p>
    <w:p>
      <w:pPr>
        <w:jc w:val="center"/>
        <w:rPr>
          <w:rFonts w:ascii="黑体" w:hAnsi="宋体" w:eastAsia="黑体"/>
          <w:b/>
          <w:color w:val="000000" w:themeColor="text1"/>
          <w:sz w:val="28"/>
          <w:szCs w:val="28"/>
        </w:rPr>
      </w:pPr>
      <w:r>
        <w:rPr>
          <w:rFonts w:ascii="黑体" w:hAnsi="宋体" w:eastAsia="黑体"/>
          <w:b/>
          <w:color w:val="000000" w:themeColor="text1"/>
          <w:sz w:val="28"/>
          <w:szCs w:val="28"/>
          <w:u w:val="single"/>
        </w:rPr>
        <w:t>201</w:t>
      </w:r>
      <w:r>
        <w:rPr>
          <w:rFonts w:hint="eastAsia" w:ascii="黑体" w:hAnsi="宋体" w:eastAsia="黑体"/>
          <w:b/>
          <w:color w:val="000000" w:themeColor="text1"/>
          <w:sz w:val="28"/>
          <w:szCs w:val="28"/>
          <w:u w:val="single"/>
        </w:rPr>
        <w:t>9</w:t>
      </w:r>
      <w:r>
        <w:rPr>
          <w:rFonts w:ascii="黑体" w:hAnsi="宋体" w:eastAsia="黑体"/>
          <w:b/>
          <w:color w:val="000000" w:themeColor="text1"/>
          <w:sz w:val="28"/>
          <w:szCs w:val="28"/>
          <w:u w:val="single"/>
        </w:rPr>
        <w:t xml:space="preserve"> </w:t>
      </w:r>
      <w:r>
        <w:rPr>
          <w:rFonts w:hint="eastAsia" w:ascii="黑体" w:hAnsi="宋体" w:eastAsia="黑体"/>
          <w:b/>
          <w:color w:val="000000" w:themeColor="text1"/>
          <w:sz w:val="28"/>
          <w:szCs w:val="28"/>
        </w:rPr>
        <w:t>年</w:t>
      </w:r>
      <w:r>
        <w:rPr>
          <w:rFonts w:hint="eastAsia" w:ascii="黑体" w:hAnsi="宋体" w:eastAsia="黑体"/>
          <w:b/>
          <w:color w:val="000000" w:themeColor="text1"/>
          <w:sz w:val="28"/>
          <w:szCs w:val="28"/>
          <w:u w:val="single"/>
        </w:rPr>
        <w:t xml:space="preserve"> 8 </w:t>
      </w:r>
      <w:r>
        <w:rPr>
          <w:rFonts w:hint="eastAsia" w:ascii="黑体" w:hAnsi="宋体" w:eastAsia="黑体"/>
          <w:b/>
          <w:color w:val="000000" w:themeColor="text1"/>
          <w:sz w:val="28"/>
          <w:szCs w:val="28"/>
        </w:rPr>
        <w:t>月</w:t>
      </w:r>
    </w:p>
    <w:p>
      <w:pPr>
        <w:rPr>
          <w:color w:val="000000" w:themeColor="text1"/>
        </w:rPr>
        <w:sectPr>
          <w:headerReference r:id="rId3" w:type="default"/>
          <w:footerReference r:id="rId5" w:type="default"/>
          <w:headerReference r:id="rId4" w:type="even"/>
          <w:footerReference r:id="rId6" w:type="even"/>
          <w:pgSz w:w="11906" w:h="16838"/>
          <w:pgMar w:top="1440" w:right="1800" w:bottom="1440" w:left="1800" w:header="680" w:footer="680" w:gutter="0"/>
          <w:cols w:space="425" w:num="1"/>
          <w:docGrid w:type="lines" w:linePitch="312" w:charSpace="0"/>
        </w:sectPr>
      </w:pPr>
    </w:p>
    <w:p>
      <w:pPr>
        <w:spacing w:before="312" w:beforeLines="100"/>
        <w:jc w:val="center"/>
        <w:rPr>
          <w:rFonts w:ascii="黑体" w:hAnsi="黑体" w:eastAsia="黑体"/>
          <w:color w:val="000000" w:themeColor="text1"/>
          <w:sz w:val="44"/>
          <w:szCs w:val="44"/>
        </w:rPr>
      </w:pPr>
      <w:r>
        <w:rPr>
          <w:rFonts w:hint="eastAsia" w:ascii="黑体" w:hAnsi="黑体" w:eastAsia="黑体"/>
          <w:color w:val="000000" w:themeColor="text1"/>
          <w:sz w:val="44"/>
          <w:szCs w:val="44"/>
        </w:rPr>
        <w:t>目</w:t>
      </w:r>
      <w:r>
        <w:rPr>
          <w:rFonts w:ascii="黑体" w:hAnsi="黑体" w:eastAsia="黑体"/>
          <w:color w:val="000000" w:themeColor="text1"/>
          <w:sz w:val="44"/>
          <w:szCs w:val="44"/>
        </w:rPr>
        <w:t xml:space="preserve">   </w:t>
      </w:r>
      <w:r>
        <w:rPr>
          <w:rFonts w:hint="eastAsia" w:ascii="黑体" w:hAnsi="黑体" w:eastAsia="黑体"/>
          <w:color w:val="000000" w:themeColor="text1"/>
          <w:sz w:val="44"/>
          <w:szCs w:val="44"/>
        </w:rPr>
        <w:t>录</w:t>
      </w:r>
    </w:p>
    <w:p>
      <w:pPr>
        <w:pStyle w:val="14"/>
        <w:tabs>
          <w:tab w:val="right" w:leader="dot" w:pos="8312"/>
        </w:tabs>
        <w:rPr>
          <w:color w:val="000000" w:themeColor="text1"/>
        </w:rPr>
      </w:pPr>
      <w:r>
        <w:rPr>
          <w:color w:val="000000" w:themeColor="text1"/>
        </w:rPr>
        <w:fldChar w:fldCharType="begin"/>
      </w:r>
      <w:r>
        <w:rPr>
          <w:color w:val="000000" w:themeColor="text1"/>
        </w:rPr>
        <w:instrText xml:space="preserve"> TOC \o "1-2" \h \z \u </w:instrText>
      </w:r>
      <w:r>
        <w:rPr>
          <w:color w:val="000000" w:themeColor="text1"/>
        </w:rPr>
        <w:fldChar w:fldCharType="separate"/>
      </w:r>
      <w:r>
        <w:fldChar w:fldCharType="begin"/>
      </w:r>
      <w:r>
        <w:instrText xml:space="preserve"> HYPERLINK \l "_Toc8702" </w:instrText>
      </w:r>
      <w:r>
        <w:fldChar w:fldCharType="separate"/>
      </w:r>
      <w:r>
        <w:rPr>
          <w:rFonts w:hint="eastAsia" w:ascii="黑体" w:hAnsi="黑体"/>
          <w:color w:val="000000" w:themeColor="text1"/>
        </w:rPr>
        <w:t>第一章 投标邀请书</w:t>
      </w:r>
      <w:r>
        <w:rPr>
          <w:color w:val="000000" w:themeColor="text1"/>
        </w:rPr>
        <w:tab/>
      </w:r>
      <w:r>
        <w:rPr>
          <w:color w:val="000000" w:themeColor="text1"/>
        </w:rPr>
        <w:fldChar w:fldCharType="begin"/>
      </w:r>
      <w:r>
        <w:rPr>
          <w:color w:val="000000" w:themeColor="text1"/>
        </w:rPr>
        <w:instrText xml:space="preserve"> PAGEREF _Toc8702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4"/>
        <w:tabs>
          <w:tab w:val="right" w:leader="dot" w:pos="8312"/>
        </w:tabs>
        <w:rPr>
          <w:color w:val="000000" w:themeColor="text1"/>
        </w:rPr>
      </w:pPr>
      <w:r>
        <w:fldChar w:fldCharType="begin"/>
      </w:r>
      <w:r>
        <w:instrText xml:space="preserve"> HYPERLINK \l "_Toc19071" </w:instrText>
      </w:r>
      <w:r>
        <w:fldChar w:fldCharType="separate"/>
      </w:r>
      <w:r>
        <w:rPr>
          <w:rFonts w:hint="eastAsia" w:ascii="黑体" w:hAnsi="黑体"/>
          <w:color w:val="000000" w:themeColor="text1"/>
        </w:rPr>
        <w:t>第二章 投标人须知</w:t>
      </w:r>
      <w:r>
        <w:rPr>
          <w:color w:val="000000" w:themeColor="text1"/>
        </w:rPr>
        <w:tab/>
      </w:r>
      <w:r>
        <w:rPr>
          <w:color w:val="000000" w:themeColor="text1"/>
        </w:rPr>
        <w:fldChar w:fldCharType="begin"/>
      </w:r>
      <w:r>
        <w:rPr>
          <w:color w:val="000000" w:themeColor="text1"/>
        </w:rPr>
        <w:instrText xml:space="preserve"> PAGEREF _Toc19071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"_Toc2219" </w:instrText>
      </w:r>
      <w:r>
        <w:fldChar w:fldCharType="separate"/>
      </w:r>
      <w:r>
        <w:rPr>
          <w:rFonts w:hint="eastAsia"/>
          <w:bCs/>
          <w:color w:val="000000" w:themeColor="text1"/>
          <w:szCs w:val="32"/>
          <w:lang w:val="zh-CN"/>
        </w:rPr>
        <w:t>投标须知前附表</w:t>
      </w:r>
      <w:r>
        <w:rPr>
          <w:color w:val="000000" w:themeColor="text1"/>
        </w:rPr>
        <w:tab/>
      </w:r>
      <w:r>
        <w:rPr>
          <w:color w:val="000000" w:themeColor="text1"/>
        </w:rPr>
        <w:fldChar w:fldCharType="begin"/>
      </w:r>
      <w:r>
        <w:rPr>
          <w:color w:val="000000" w:themeColor="text1"/>
        </w:rPr>
        <w:instrText xml:space="preserve"> PAGEREF _Toc2219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"_Toc26379" </w:instrText>
      </w:r>
      <w:r>
        <w:fldChar w:fldCharType="separate"/>
      </w:r>
      <w:r>
        <w:rPr>
          <w:rFonts w:hint="eastAsia"/>
          <w:color w:val="000000" w:themeColor="text1"/>
          <w:szCs w:val="30"/>
          <w:lang w:val="zh-CN"/>
        </w:rPr>
        <w:t xml:space="preserve">一、 </w:t>
      </w:r>
      <w:r>
        <w:rPr>
          <w:rFonts w:hint="eastAsia"/>
          <w:color w:val="000000" w:themeColor="text1"/>
          <w:lang w:val="zh-CN"/>
        </w:rPr>
        <w:t>说</w:t>
      </w:r>
      <w:r>
        <w:rPr>
          <w:color w:val="000000" w:themeColor="text1"/>
          <w:lang w:val="zh-CN"/>
        </w:rPr>
        <w:t xml:space="preserve">  </w:t>
      </w:r>
      <w:r>
        <w:rPr>
          <w:rFonts w:hint="eastAsia"/>
          <w:color w:val="000000" w:themeColor="text1"/>
          <w:lang w:val="zh-CN"/>
        </w:rPr>
        <w:t>明</w:t>
      </w:r>
      <w:r>
        <w:rPr>
          <w:color w:val="000000" w:themeColor="text1"/>
        </w:rPr>
        <w:tab/>
      </w:r>
      <w:r>
        <w:rPr>
          <w:color w:val="000000" w:themeColor="text1"/>
        </w:rPr>
        <w:fldChar w:fldCharType="begin"/>
      </w:r>
      <w:r>
        <w:rPr>
          <w:color w:val="000000" w:themeColor="text1"/>
        </w:rPr>
        <w:instrText xml:space="preserve"> PAGEREF _Toc26379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"_Toc372" </w:instrText>
      </w:r>
      <w:r>
        <w:fldChar w:fldCharType="separate"/>
      </w:r>
      <w:r>
        <w:rPr>
          <w:rFonts w:hint="eastAsia"/>
          <w:color w:val="000000" w:themeColor="text1"/>
          <w:szCs w:val="30"/>
          <w:lang w:val="zh-CN"/>
        </w:rPr>
        <w:t xml:space="preserve">二、 </w:t>
      </w:r>
      <w:r>
        <w:rPr>
          <w:rFonts w:hint="eastAsia"/>
          <w:color w:val="000000" w:themeColor="text1"/>
          <w:lang w:val="zh-CN"/>
        </w:rPr>
        <w:t>招标文件</w:t>
      </w:r>
      <w:r>
        <w:rPr>
          <w:color w:val="000000" w:themeColor="text1"/>
        </w:rPr>
        <w:tab/>
      </w:r>
      <w:r>
        <w:rPr>
          <w:color w:val="000000" w:themeColor="text1"/>
        </w:rPr>
        <w:fldChar w:fldCharType="begin"/>
      </w:r>
      <w:r>
        <w:rPr>
          <w:color w:val="000000" w:themeColor="text1"/>
        </w:rPr>
        <w:instrText xml:space="preserve"> PAGEREF _Toc372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"_Toc20751" </w:instrText>
      </w:r>
      <w:r>
        <w:fldChar w:fldCharType="separate"/>
      </w:r>
      <w:r>
        <w:rPr>
          <w:rFonts w:hint="eastAsia"/>
          <w:color w:val="000000" w:themeColor="text1"/>
          <w:szCs w:val="30"/>
          <w:lang w:val="zh-CN"/>
        </w:rPr>
        <w:t xml:space="preserve">三、 </w:t>
      </w:r>
      <w:r>
        <w:rPr>
          <w:rFonts w:hint="eastAsia"/>
          <w:color w:val="000000" w:themeColor="text1"/>
          <w:lang w:val="zh-CN"/>
        </w:rPr>
        <w:t>投标文件</w:t>
      </w:r>
      <w:r>
        <w:rPr>
          <w:color w:val="000000" w:themeColor="text1"/>
        </w:rPr>
        <w:tab/>
      </w:r>
      <w:r>
        <w:rPr>
          <w:color w:val="000000" w:themeColor="text1"/>
        </w:rPr>
        <w:fldChar w:fldCharType="begin"/>
      </w:r>
      <w:r>
        <w:rPr>
          <w:color w:val="000000" w:themeColor="text1"/>
        </w:rPr>
        <w:instrText xml:space="preserve"> PAGEREF _Toc20751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"_Toc1903" </w:instrText>
      </w:r>
      <w:r>
        <w:fldChar w:fldCharType="separate"/>
      </w:r>
      <w:r>
        <w:rPr>
          <w:rFonts w:hint="eastAsia"/>
          <w:color w:val="000000" w:themeColor="text1"/>
          <w:szCs w:val="30"/>
          <w:lang w:val="zh-CN"/>
        </w:rPr>
        <w:t xml:space="preserve">四、 </w:t>
      </w:r>
      <w:r>
        <w:rPr>
          <w:rFonts w:hint="eastAsia"/>
          <w:color w:val="000000" w:themeColor="text1"/>
          <w:lang w:val="zh-CN"/>
        </w:rPr>
        <w:t>开标与评标</w:t>
      </w:r>
      <w:r>
        <w:rPr>
          <w:color w:val="000000" w:themeColor="text1"/>
        </w:rPr>
        <w:tab/>
      </w:r>
      <w:r>
        <w:rPr>
          <w:color w:val="000000" w:themeColor="text1"/>
        </w:rPr>
        <w:fldChar w:fldCharType="begin"/>
      </w:r>
      <w:r>
        <w:rPr>
          <w:color w:val="000000" w:themeColor="text1"/>
        </w:rPr>
        <w:instrText xml:space="preserve"> PAGEREF _Toc1903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"_Toc12201" </w:instrText>
      </w:r>
      <w:r>
        <w:fldChar w:fldCharType="separate"/>
      </w:r>
      <w:r>
        <w:rPr>
          <w:rFonts w:hint="eastAsia"/>
          <w:color w:val="000000" w:themeColor="text1"/>
          <w:szCs w:val="30"/>
          <w:lang w:val="zh-CN"/>
        </w:rPr>
        <w:t xml:space="preserve">五、 </w:t>
      </w:r>
      <w:r>
        <w:rPr>
          <w:rFonts w:hint="eastAsia"/>
          <w:color w:val="000000" w:themeColor="text1"/>
          <w:lang w:val="zh-CN"/>
        </w:rPr>
        <w:t>投标人信用信息及查询</w:t>
      </w:r>
      <w:r>
        <w:rPr>
          <w:color w:val="000000" w:themeColor="text1"/>
        </w:rPr>
        <w:tab/>
      </w:r>
      <w:r>
        <w:rPr>
          <w:color w:val="000000" w:themeColor="text1"/>
        </w:rPr>
        <w:fldChar w:fldCharType="begin"/>
      </w:r>
      <w:r>
        <w:rPr>
          <w:color w:val="000000" w:themeColor="text1"/>
        </w:rPr>
        <w:instrText xml:space="preserve"> PAGEREF _Toc12201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"_Toc25629" </w:instrText>
      </w:r>
      <w:r>
        <w:fldChar w:fldCharType="separate"/>
      </w:r>
      <w:r>
        <w:rPr>
          <w:rFonts w:hint="eastAsia"/>
          <w:color w:val="000000" w:themeColor="text1"/>
          <w:szCs w:val="30"/>
          <w:lang w:val="zh-CN"/>
        </w:rPr>
        <w:t xml:space="preserve">六、 </w:t>
      </w:r>
      <w:r>
        <w:rPr>
          <w:rFonts w:hint="eastAsia"/>
          <w:color w:val="000000" w:themeColor="text1"/>
          <w:lang w:val="zh-CN"/>
        </w:rPr>
        <w:t>中标与合同</w:t>
      </w:r>
      <w:r>
        <w:rPr>
          <w:color w:val="000000" w:themeColor="text1"/>
        </w:rPr>
        <w:tab/>
      </w:r>
      <w:r>
        <w:rPr>
          <w:color w:val="000000" w:themeColor="text1"/>
        </w:rPr>
        <w:fldChar w:fldCharType="begin"/>
      </w:r>
      <w:r>
        <w:rPr>
          <w:color w:val="000000" w:themeColor="text1"/>
        </w:rPr>
        <w:instrText xml:space="preserve"> PAGEREF _Toc25629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"_Toc20938" </w:instrText>
      </w:r>
      <w:r>
        <w:fldChar w:fldCharType="separate"/>
      </w:r>
      <w:r>
        <w:rPr>
          <w:rFonts w:hint="eastAsia"/>
          <w:color w:val="000000" w:themeColor="text1"/>
          <w:szCs w:val="30"/>
          <w:lang w:val="zh-CN"/>
        </w:rPr>
        <w:t xml:space="preserve">七、 </w:t>
      </w:r>
      <w:r>
        <w:rPr>
          <w:rFonts w:hint="eastAsia"/>
          <w:color w:val="000000" w:themeColor="text1"/>
          <w:lang w:val="zh-CN"/>
        </w:rPr>
        <w:t>采购信息公告</w:t>
      </w:r>
      <w:r>
        <w:rPr>
          <w:color w:val="000000" w:themeColor="text1"/>
        </w:rPr>
        <w:tab/>
      </w:r>
      <w:r>
        <w:rPr>
          <w:color w:val="000000" w:themeColor="text1"/>
        </w:rPr>
        <w:fldChar w:fldCharType="begin"/>
      </w:r>
      <w:r>
        <w:rPr>
          <w:color w:val="000000" w:themeColor="text1"/>
        </w:rPr>
        <w:instrText xml:space="preserve"> PAGEREF _Toc20938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"_Toc28756" </w:instrText>
      </w:r>
      <w:r>
        <w:fldChar w:fldCharType="separate"/>
      </w:r>
      <w:r>
        <w:rPr>
          <w:rFonts w:hint="eastAsia"/>
          <w:color w:val="000000" w:themeColor="text1"/>
          <w:szCs w:val="30"/>
          <w:lang w:val="zh-CN"/>
        </w:rPr>
        <w:t xml:space="preserve">八、 </w:t>
      </w:r>
      <w:r>
        <w:rPr>
          <w:rFonts w:hint="eastAsia"/>
          <w:color w:val="000000" w:themeColor="text1"/>
          <w:lang w:val="zh-CN"/>
        </w:rPr>
        <w:t>质疑及提交</w:t>
      </w:r>
      <w:r>
        <w:rPr>
          <w:color w:val="000000" w:themeColor="text1"/>
        </w:rPr>
        <w:tab/>
      </w:r>
      <w:r>
        <w:rPr>
          <w:color w:val="000000" w:themeColor="text1"/>
        </w:rPr>
        <w:fldChar w:fldCharType="begin"/>
      </w:r>
      <w:r>
        <w:rPr>
          <w:color w:val="000000" w:themeColor="text1"/>
        </w:rPr>
        <w:instrText xml:space="preserve"> PAGEREF _Toc28756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"_Toc1011" </w:instrText>
      </w:r>
      <w:r>
        <w:fldChar w:fldCharType="separate"/>
      </w:r>
      <w:r>
        <w:rPr>
          <w:rFonts w:hint="eastAsia"/>
          <w:color w:val="000000" w:themeColor="text1"/>
          <w:szCs w:val="30"/>
          <w:lang w:val="zh-CN"/>
        </w:rPr>
        <w:t xml:space="preserve">九、 </w:t>
      </w:r>
      <w:r>
        <w:rPr>
          <w:rFonts w:hint="eastAsia"/>
          <w:color w:val="000000" w:themeColor="text1"/>
          <w:lang w:val="zh-CN"/>
        </w:rPr>
        <w:t>相关条文解读</w:t>
      </w:r>
      <w:r>
        <w:rPr>
          <w:color w:val="000000" w:themeColor="text1"/>
        </w:rPr>
        <w:tab/>
      </w:r>
      <w:r>
        <w:rPr>
          <w:color w:val="000000" w:themeColor="text1"/>
        </w:rPr>
        <w:fldChar w:fldCharType="begin"/>
      </w:r>
      <w:r>
        <w:rPr>
          <w:color w:val="000000" w:themeColor="text1"/>
        </w:rPr>
        <w:instrText xml:space="preserve"> PAGEREF _Toc1011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"_Toc18829" </w:instrText>
      </w:r>
      <w:r>
        <w:fldChar w:fldCharType="separate"/>
      </w:r>
      <w:r>
        <w:rPr>
          <w:rFonts w:hint="eastAsia"/>
          <w:color w:val="000000" w:themeColor="text1"/>
          <w:szCs w:val="30"/>
          <w:lang w:val="zh-CN"/>
        </w:rPr>
        <w:t xml:space="preserve">十、 </w:t>
      </w:r>
      <w:r>
        <w:rPr>
          <w:rFonts w:hint="eastAsia"/>
          <w:color w:val="000000" w:themeColor="text1"/>
          <w:lang w:val="zh-CN"/>
        </w:rPr>
        <w:t>其他注意事项</w:t>
      </w:r>
      <w:r>
        <w:rPr>
          <w:color w:val="000000" w:themeColor="text1"/>
        </w:rPr>
        <w:tab/>
      </w:r>
      <w:r>
        <w:rPr>
          <w:color w:val="000000" w:themeColor="text1"/>
        </w:rPr>
        <w:fldChar w:fldCharType="begin"/>
      </w:r>
      <w:r>
        <w:rPr>
          <w:color w:val="000000" w:themeColor="text1"/>
        </w:rPr>
        <w:instrText xml:space="preserve"> PAGEREF _Toc18829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"_Toc19661" </w:instrText>
      </w:r>
      <w:r>
        <w:fldChar w:fldCharType="separate"/>
      </w:r>
      <w:r>
        <w:rPr>
          <w:rFonts w:hint="eastAsia"/>
          <w:color w:val="000000" w:themeColor="text1"/>
          <w:szCs w:val="30"/>
          <w:lang w:val="zh-CN"/>
        </w:rPr>
        <w:t xml:space="preserve">十一、 </w:t>
      </w:r>
      <w:r>
        <w:rPr>
          <w:rFonts w:hint="eastAsia"/>
          <w:color w:val="000000" w:themeColor="text1"/>
          <w:lang w:val="zh-CN"/>
        </w:rPr>
        <w:t>适用法律</w:t>
      </w:r>
      <w:r>
        <w:rPr>
          <w:color w:val="000000" w:themeColor="text1"/>
        </w:rPr>
        <w:tab/>
      </w:r>
      <w:r>
        <w:rPr>
          <w:color w:val="000000" w:themeColor="text1"/>
        </w:rPr>
        <w:fldChar w:fldCharType="begin"/>
      </w:r>
      <w:r>
        <w:rPr>
          <w:color w:val="000000" w:themeColor="text1"/>
        </w:rPr>
        <w:instrText xml:space="preserve"> PAGEREF _Toc19661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"_Toc1688" </w:instrText>
      </w:r>
      <w:r>
        <w:fldChar w:fldCharType="separate"/>
      </w:r>
      <w:r>
        <w:rPr>
          <w:rFonts w:hint="eastAsia"/>
          <w:color w:val="000000" w:themeColor="text1"/>
          <w:szCs w:val="30"/>
          <w:lang w:val="zh-CN"/>
        </w:rPr>
        <w:t xml:space="preserve">十二、 </w:t>
      </w:r>
      <w:r>
        <w:rPr>
          <w:rFonts w:hint="eastAsia"/>
          <w:color w:val="000000" w:themeColor="text1"/>
          <w:lang w:val="zh-CN"/>
        </w:rPr>
        <w:t>招标文件的解释权</w:t>
      </w:r>
      <w:r>
        <w:rPr>
          <w:color w:val="000000" w:themeColor="text1"/>
        </w:rPr>
        <w:tab/>
      </w:r>
      <w:r>
        <w:rPr>
          <w:color w:val="000000" w:themeColor="text1"/>
        </w:rPr>
        <w:fldChar w:fldCharType="begin"/>
      </w:r>
      <w:r>
        <w:rPr>
          <w:color w:val="000000" w:themeColor="text1"/>
        </w:rPr>
        <w:instrText xml:space="preserve"> PAGEREF _Toc1688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14"/>
        <w:tabs>
          <w:tab w:val="right" w:leader="dot" w:pos="8312"/>
        </w:tabs>
        <w:rPr>
          <w:color w:val="000000" w:themeColor="text1"/>
        </w:rPr>
      </w:pPr>
      <w:r>
        <w:fldChar w:fldCharType="begin"/>
      </w:r>
      <w:r>
        <w:instrText xml:space="preserve"> HYPERLINK \l "_Toc3972" </w:instrText>
      </w:r>
      <w:r>
        <w:fldChar w:fldCharType="separate"/>
      </w:r>
      <w:r>
        <w:rPr>
          <w:rFonts w:hint="eastAsia" w:ascii="黑体" w:hAnsi="黑体"/>
          <w:color w:val="000000" w:themeColor="text1"/>
        </w:rPr>
        <w:t>第三章 项目技术、服务及商务要求</w:t>
      </w:r>
      <w:r>
        <w:rPr>
          <w:color w:val="000000" w:themeColor="text1"/>
        </w:rPr>
        <w:tab/>
      </w:r>
      <w:r>
        <w:rPr>
          <w:color w:val="000000" w:themeColor="text1"/>
        </w:rPr>
        <w:fldChar w:fldCharType="begin"/>
      </w:r>
      <w:r>
        <w:rPr>
          <w:color w:val="000000" w:themeColor="text1"/>
        </w:rPr>
        <w:instrText xml:space="preserve"> PAGEREF _Toc3972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rPr>
          <w:rFonts w:hint="eastAsia"/>
          <w:color w:val="000000" w:themeColor="text1"/>
        </w:rPr>
        <w:t>一、</w:t>
      </w:r>
      <w:r>
        <w:fldChar w:fldCharType="begin"/>
      </w:r>
      <w:r>
        <w:instrText xml:space="preserve"> HYPERLINK \l "_Toc3848" </w:instrText>
      </w:r>
      <w:r>
        <w:fldChar w:fldCharType="separate"/>
      </w:r>
      <w:r>
        <w:rPr>
          <w:rFonts w:hint="eastAsia" w:cs="宋体"/>
          <w:color w:val="000000" w:themeColor="text1"/>
          <w:szCs w:val="36"/>
        </w:rPr>
        <w:t>采购清单</w:t>
      </w:r>
      <w:r>
        <w:rPr>
          <w:color w:val="000000" w:themeColor="text1"/>
        </w:rPr>
        <w:tab/>
      </w:r>
      <w:r>
        <w:rPr>
          <w:color w:val="000000" w:themeColor="text1"/>
        </w:rPr>
        <w:fldChar w:fldCharType="begin"/>
      </w:r>
      <w:r>
        <w:rPr>
          <w:color w:val="000000" w:themeColor="text1"/>
        </w:rPr>
        <w:instrText xml:space="preserve"> PAGEREF _Toc3848 </w:instrText>
      </w:r>
      <w:r>
        <w:rPr>
          <w:color w:val="000000" w:themeColor="text1"/>
        </w:rPr>
        <w:fldChar w:fldCharType="separate"/>
      </w:r>
      <w:r>
        <w:rPr>
          <w:b/>
        </w:rPr>
        <w:t>错误！未定义书签。</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"_Toc18966" </w:instrText>
      </w:r>
      <w:r>
        <w:fldChar w:fldCharType="separate"/>
      </w:r>
      <w:r>
        <w:rPr>
          <w:rFonts w:hint="eastAsia"/>
          <w:color w:val="000000" w:themeColor="text1"/>
          <w:szCs w:val="24"/>
        </w:rPr>
        <w:t>二、概述及简介</w:t>
      </w:r>
      <w:r>
        <w:rPr>
          <w:color w:val="000000" w:themeColor="text1"/>
        </w:rPr>
        <w:tab/>
      </w:r>
      <w:r>
        <w:rPr>
          <w:color w:val="000000" w:themeColor="text1"/>
        </w:rPr>
        <w:fldChar w:fldCharType="begin"/>
      </w:r>
      <w:r>
        <w:rPr>
          <w:color w:val="000000" w:themeColor="text1"/>
        </w:rPr>
        <w:instrText xml:space="preserve"> PAGEREF _Toc18966 </w:instrText>
      </w:r>
      <w:r>
        <w:rPr>
          <w:color w:val="000000" w:themeColor="text1"/>
        </w:rPr>
        <w:fldChar w:fldCharType="separate"/>
      </w:r>
      <w:r>
        <w:rPr>
          <w:b/>
        </w:rPr>
        <w:t>错误！未定义书签。</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"_Toc4814" </w:instrText>
      </w:r>
      <w:r>
        <w:fldChar w:fldCharType="separate"/>
      </w:r>
      <w:r>
        <w:rPr>
          <w:rFonts w:hint="eastAsia"/>
          <w:color w:val="000000" w:themeColor="text1"/>
          <w:szCs w:val="24"/>
        </w:rPr>
        <w:t>三、国家相关行政主管部门颁发的强制标准、规范</w:t>
      </w:r>
      <w:r>
        <w:rPr>
          <w:color w:val="000000" w:themeColor="text1"/>
        </w:rPr>
        <w:tab/>
      </w:r>
      <w:r>
        <w:rPr>
          <w:color w:val="000000" w:themeColor="text1"/>
        </w:rPr>
        <w:fldChar w:fldCharType="begin"/>
      </w:r>
      <w:r>
        <w:rPr>
          <w:color w:val="000000" w:themeColor="text1"/>
        </w:rPr>
        <w:instrText xml:space="preserve"> PAGEREF _Toc4814 </w:instrText>
      </w:r>
      <w:r>
        <w:rPr>
          <w:color w:val="000000" w:themeColor="text1"/>
        </w:rPr>
        <w:fldChar w:fldCharType="separate"/>
      </w:r>
      <w:r>
        <w:rPr>
          <w:b/>
        </w:rPr>
        <w:t>错误！未定义书签。</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"_Toc5872" </w:instrText>
      </w:r>
      <w:r>
        <w:fldChar w:fldCharType="separate"/>
      </w:r>
      <w:r>
        <w:rPr>
          <w:rFonts w:hint="eastAsia"/>
          <w:color w:val="000000" w:themeColor="text1"/>
          <w:szCs w:val="24"/>
        </w:rPr>
        <w:t>四、技术、服务要求</w:t>
      </w:r>
      <w:r>
        <w:rPr>
          <w:color w:val="000000" w:themeColor="text1"/>
        </w:rPr>
        <w:tab/>
      </w:r>
      <w:r>
        <w:rPr>
          <w:color w:val="000000" w:themeColor="text1"/>
        </w:rPr>
        <w:fldChar w:fldCharType="begin"/>
      </w:r>
      <w:r>
        <w:rPr>
          <w:color w:val="000000" w:themeColor="text1"/>
        </w:rPr>
        <w:instrText xml:space="preserve"> PAGEREF _Toc5872 </w:instrText>
      </w:r>
      <w:r>
        <w:rPr>
          <w:color w:val="000000" w:themeColor="text1"/>
        </w:rPr>
        <w:fldChar w:fldCharType="separate"/>
      </w:r>
      <w:r>
        <w:rPr>
          <w:b/>
        </w:rPr>
        <w:t>错误！未定义书签。</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"_Toc19420" </w:instrText>
      </w:r>
      <w:r>
        <w:fldChar w:fldCharType="separate"/>
      </w:r>
      <w:r>
        <w:rPr>
          <w:rFonts w:hint="eastAsia"/>
          <w:color w:val="000000" w:themeColor="text1"/>
        </w:rPr>
        <w:t>五、商务</w:t>
      </w:r>
      <w:r>
        <w:rPr>
          <w:rFonts w:hint="eastAsia"/>
          <w:color w:val="000000" w:themeColor="text1"/>
          <w:szCs w:val="24"/>
        </w:rPr>
        <w:t>要求</w:t>
      </w:r>
      <w:r>
        <w:rPr>
          <w:color w:val="000000" w:themeColor="text1"/>
        </w:rPr>
        <w:tab/>
      </w:r>
      <w:r>
        <w:rPr>
          <w:color w:val="000000" w:themeColor="text1"/>
        </w:rPr>
        <w:fldChar w:fldCharType="begin"/>
      </w:r>
      <w:r>
        <w:rPr>
          <w:color w:val="000000" w:themeColor="text1"/>
        </w:rPr>
        <w:instrText xml:space="preserve"> PAGEREF _Toc19420 </w:instrText>
      </w:r>
      <w:r>
        <w:rPr>
          <w:color w:val="000000" w:themeColor="text1"/>
        </w:rPr>
        <w:fldChar w:fldCharType="separate"/>
      </w:r>
      <w:r>
        <w:rPr>
          <w:color w:val="000000" w:themeColor="text1"/>
        </w:rPr>
        <w:t>79</w:t>
      </w:r>
      <w:r>
        <w:rPr>
          <w:color w:val="000000" w:themeColor="text1"/>
        </w:rPr>
        <w:fldChar w:fldCharType="end"/>
      </w:r>
      <w:r>
        <w:rPr>
          <w:color w:val="000000" w:themeColor="text1"/>
        </w:rPr>
        <w:fldChar w:fldCharType="end"/>
      </w:r>
    </w:p>
    <w:p>
      <w:pPr>
        <w:pStyle w:val="14"/>
        <w:tabs>
          <w:tab w:val="right" w:leader="dot" w:pos="8312"/>
        </w:tabs>
        <w:rPr>
          <w:color w:val="000000" w:themeColor="text1"/>
        </w:rPr>
      </w:pPr>
      <w:r>
        <w:fldChar w:fldCharType="begin"/>
      </w:r>
      <w:r>
        <w:instrText xml:space="preserve"> HYPERLINK \l "_Toc10992" </w:instrText>
      </w:r>
      <w:r>
        <w:fldChar w:fldCharType="separate"/>
      </w:r>
      <w:r>
        <w:rPr>
          <w:rFonts w:hint="eastAsia" w:ascii="黑体" w:hAnsi="黑体"/>
          <w:color w:val="000000" w:themeColor="text1"/>
        </w:rPr>
        <w:t>第四章 资格审查方法及标准</w:t>
      </w:r>
      <w:r>
        <w:rPr>
          <w:color w:val="000000" w:themeColor="text1"/>
        </w:rPr>
        <w:tab/>
      </w:r>
      <w:r>
        <w:rPr>
          <w:color w:val="000000" w:themeColor="text1"/>
        </w:rPr>
        <w:fldChar w:fldCharType="begin"/>
      </w:r>
      <w:r>
        <w:rPr>
          <w:color w:val="000000" w:themeColor="text1"/>
        </w:rPr>
        <w:instrText xml:space="preserve"> PAGEREF _Toc10992 </w:instrText>
      </w:r>
      <w:r>
        <w:rPr>
          <w:color w:val="000000" w:themeColor="text1"/>
        </w:rPr>
        <w:fldChar w:fldCharType="separate"/>
      </w:r>
      <w:r>
        <w:rPr>
          <w:color w:val="000000" w:themeColor="text1"/>
        </w:rPr>
        <w:t>80</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"_Toc18420" </w:instrText>
      </w:r>
      <w:r>
        <w:fldChar w:fldCharType="separate"/>
      </w:r>
      <w:r>
        <w:rPr>
          <w:rFonts w:hint="eastAsia"/>
          <w:color w:val="000000" w:themeColor="text1"/>
          <w:szCs w:val="30"/>
          <w:lang w:val="zh-CN"/>
        </w:rPr>
        <w:t>一、 资格审查方法</w:t>
      </w:r>
      <w:r>
        <w:rPr>
          <w:color w:val="000000" w:themeColor="text1"/>
        </w:rPr>
        <w:tab/>
      </w:r>
      <w:r>
        <w:rPr>
          <w:color w:val="000000" w:themeColor="text1"/>
        </w:rPr>
        <w:fldChar w:fldCharType="begin"/>
      </w:r>
      <w:r>
        <w:rPr>
          <w:color w:val="000000" w:themeColor="text1"/>
        </w:rPr>
        <w:instrText xml:space="preserve"> PAGEREF _Toc18420 </w:instrText>
      </w:r>
      <w:r>
        <w:rPr>
          <w:color w:val="000000" w:themeColor="text1"/>
        </w:rPr>
        <w:fldChar w:fldCharType="separate"/>
      </w:r>
      <w:r>
        <w:rPr>
          <w:color w:val="000000" w:themeColor="text1"/>
        </w:rPr>
        <w:t>93</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"_Toc9791" </w:instrText>
      </w:r>
      <w:r>
        <w:fldChar w:fldCharType="separate"/>
      </w:r>
      <w:r>
        <w:rPr>
          <w:rFonts w:hint="eastAsia"/>
          <w:color w:val="000000" w:themeColor="text1"/>
          <w:szCs w:val="30"/>
          <w:lang w:val="zh-CN"/>
        </w:rPr>
        <w:t>二、 资格审查标准</w:t>
      </w:r>
      <w:r>
        <w:rPr>
          <w:color w:val="000000" w:themeColor="text1"/>
        </w:rPr>
        <w:tab/>
      </w:r>
      <w:r>
        <w:rPr>
          <w:color w:val="000000" w:themeColor="text1"/>
        </w:rPr>
        <w:fldChar w:fldCharType="begin"/>
      </w:r>
      <w:r>
        <w:rPr>
          <w:color w:val="000000" w:themeColor="text1"/>
        </w:rPr>
        <w:instrText xml:space="preserve"> PAGEREF _Toc9791 </w:instrText>
      </w:r>
      <w:r>
        <w:rPr>
          <w:color w:val="000000" w:themeColor="text1"/>
        </w:rPr>
        <w:fldChar w:fldCharType="separate"/>
      </w:r>
      <w:r>
        <w:rPr>
          <w:color w:val="000000" w:themeColor="text1"/>
        </w:rPr>
        <w:t>93</w:t>
      </w:r>
      <w:r>
        <w:rPr>
          <w:color w:val="000000" w:themeColor="text1"/>
        </w:rPr>
        <w:fldChar w:fldCharType="end"/>
      </w:r>
      <w:r>
        <w:rPr>
          <w:color w:val="000000" w:themeColor="text1"/>
        </w:rPr>
        <w:fldChar w:fldCharType="end"/>
      </w:r>
    </w:p>
    <w:p>
      <w:pPr>
        <w:pStyle w:val="14"/>
        <w:tabs>
          <w:tab w:val="right" w:leader="dot" w:pos="8312"/>
        </w:tabs>
        <w:rPr>
          <w:color w:val="000000" w:themeColor="text1"/>
        </w:rPr>
      </w:pPr>
      <w:r>
        <w:fldChar w:fldCharType="begin"/>
      </w:r>
      <w:r>
        <w:instrText xml:space="preserve"> HYPERLINK \l "_Toc28674" </w:instrText>
      </w:r>
      <w:r>
        <w:fldChar w:fldCharType="separate"/>
      </w:r>
      <w:r>
        <w:rPr>
          <w:rFonts w:hint="eastAsia" w:ascii="黑体" w:hAnsi="黑体"/>
          <w:color w:val="000000" w:themeColor="text1"/>
        </w:rPr>
        <w:t>第五章 评标方法、程序及标准</w:t>
      </w:r>
      <w:r>
        <w:rPr>
          <w:color w:val="000000" w:themeColor="text1"/>
        </w:rPr>
        <w:tab/>
      </w:r>
      <w:r>
        <w:rPr>
          <w:color w:val="000000" w:themeColor="text1"/>
        </w:rPr>
        <w:fldChar w:fldCharType="begin"/>
      </w:r>
      <w:r>
        <w:rPr>
          <w:color w:val="000000" w:themeColor="text1"/>
        </w:rPr>
        <w:instrText xml:space="preserve"> PAGEREF _Toc28674 </w:instrText>
      </w:r>
      <w:r>
        <w:rPr>
          <w:color w:val="000000" w:themeColor="text1"/>
        </w:rPr>
        <w:fldChar w:fldCharType="separate"/>
      </w:r>
      <w:r>
        <w:rPr>
          <w:color w:val="000000" w:themeColor="text1"/>
        </w:rPr>
        <w:t>95</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"_Toc5823" </w:instrText>
      </w:r>
      <w:r>
        <w:fldChar w:fldCharType="separate"/>
      </w:r>
      <w:r>
        <w:rPr>
          <w:rFonts w:hint="eastAsia"/>
          <w:color w:val="000000" w:themeColor="text1"/>
          <w:szCs w:val="30"/>
          <w:lang w:val="zh-CN"/>
        </w:rPr>
        <w:t>一、 评标方法</w:t>
      </w:r>
      <w:r>
        <w:rPr>
          <w:color w:val="000000" w:themeColor="text1"/>
        </w:rPr>
        <w:tab/>
      </w:r>
      <w:r>
        <w:rPr>
          <w:color w:val="000000" w:themeColor="text1"/>
        </w:rPr>
        <w:fldChar w:fldCharType="begin"/>
      </w:r>
      <w:r>
        <w:rPr>
          <w:color w:val="000000" w:themeColor="text1"/>
        </w:rPr>
        <w:instrText xml:space="preserve"> PAGEREF _Toc5823 </w:instrText>
      </w:r>
      <w:r>
        <w:rPr>
          <w:color w:val="000000" w:themeColor="text1"/>
        </w:rPr>
        <w:fldChar w:fldCharType="separate"/>
      </w:r>
      <w:r>
        <w:rPr>
          <w:color w:val="000000" w:themeColor="text1"/>
        </w:rPr>
        <w:t>95</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"_Toc16555" </w:instrText>
      </w:r>
      <w:r>
        <w:fldChar w:fldCharType="separate"/>
      </w:r>
      <w:r>
        <w:rPr>
          <w:rFonts w:hint="eastAsia"/>
          <w:color w:val="000000" w:themeColor="text1"/>
          <w:szCs w:val="30"/>
          <w:lang w:val="zh-CN"/>
        </w:rPr>
        <w:t>二、 评标程序及标准</w:t>
      </w:r>
      <w:r>
        <w:rPr>
          <w:color w:val="000000" w:themeColor="text1"/>
        </w:rPr>
        <w:tab/>
      </w:r>
      <w:r>
        <w:rPr>
          <w:color w:val="000000" w:themeColor="text1"/>
        </w:rPr>
        <w:fldChar w:fldCharType="begin"/>
      </w:r>
      <w:r>
        <w:rPr>
          <w:color w:val="000000" w:themeColor="text1"/>
        </w:rPr>
        <w:instrText xml:space="preserve"> PAGEREF _Toc16555 </w:instrText>
      </w:r>
      <w:r>
        <w:rPr>
          <w:color w:val="000000" w:themeColor="text1"/>
        </w:rPr>
        <w:fldChar w:fldCharType="separate"/>
      </w:r>
      <w:r>
        <w:rPr>
          <w:color w:val="000000" w:themeColor="text1"/>
        </w:rPr>
        <w:t>95</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"_Toc10738" </w:instrText>
      </w:r>
      <w:r>
        <w:fldChar w:fldCharType="separate"/>
      </w:r>
      <w:r>
        <w:rPr>
          <w:rFonts w:hint="eastAsia"/>
          <w:color w:val="000000" w:themeColor="text1"/>
          <w:szCs w:val="30"/>
          <w:lang w:val="zh-CN"/>
        </w:rPr>
        <w:t>三、 评审因素及评分标准</w:t>
      </w:r>
      <w:r>
        <w:rPr>
          <w:color w:val="000000" w:themeColor="text1"/>
        </w:rPr>
        <w:tab/>
      </w:r>
      <w:r>
        <w:rPr>
          <w:color w:val="000000" w:themeColor="text1"/>
        </w:rPr>
        <w:fldChar w:fldCharType="begin"/>
      </w:r>
      <w:r>
        <w:rPr>
          <w:color w:val="000000" w:themeColor="text1"/>
        </w:rPr>
        <w:instrText xml:space="preserve"> PAGEREF _Toc10738 </w:instrText>
      </w:r>
      <w:r>
        <w:rPr>
          <w:color w:val="000000" w:themeColor="text1"/>
        </w:rPr>
        <w:fldChar w:fldCharType="separate"/>
      </w:r>
      <w:r>
        <w:rPr>
          <w:color w:val="000000" w:themeColor="text1"/>
        </w:rPr>
        <w:t>100</w:t>
      </w:r>
      <w:r>
        <w:rPr>
          <w:color w:val="000000" w:themeColor="text1"/>
        </w:rPr>
        <w:fldChar w:fldCharType="end"/>
      </w:r>
      <w:r>
        <w:rPr>
          <w:color w:val="000000" w:themeColor="text1"/>
        </w:rPr>
        <w:fldChar w:fldCharType="end"/>
      </w:r>
    </w:p>
    <w:p>
      <w:pPr>
        <w:pStyle w:val="14"/>
        <w:tabs>
          <w:tab w:val="right" w:leader="dot" w:pos="8312"/>
        </w:tabs>
        <w:rPr>
          <w:color w:val="000000" w:themeColor="text1"/>
        </w:rPr>
      </w:pPr>
      <w:r>
        <w:fldChar w:fldCharType="begin"/>
      </w:r>
      <w:r>
        <w:instrText xml:space="preserve"> HYPERLINK \l "_Toc13483" </w:instrText>
      </w:r>
      <w:r>
        <w:fldChar w:fldCharType="separate"/>
      </w:r>
      <w:r>
        <w:rPr>
          <w:rFonts w:hint="eastAsia" w:ascii="黑体" w:hAnsi="黑体"/>
          <w:color w:val="000000" w:themeColor="text1"/>
        </w:rPr>
        <w:t>第六章 合同书格式（参考）</w:t>
      </w:r>
      <w:r>
        <w:rPr>
          <w:color w:val="000000" w:themeColor="text1"/>
        </w:rPr>
        <w:tab/>
      </w:r>
      <w:r>
        <w:rPr>
          <w:color w:val="000000" w:themeColor="text1"/>
        </w:rPr>
        <w:fldChar w:fldCharType="begin"/>
      </w:r>
      <w:r>
        <w:rPr>
          <w:color w:val="000000" w:themeColor="text1"/>
        </w:rPr>
        <w:instrText xml:space="preserve"> PAGEREF _Toc13483 </w:instrText>
      </w:r>
      <w:r>
        <w:rPr>
          <w:color w:val="000000" w:themeColor="text1"/>
        </w:rPr>
        <w:fldChar w:fldCharType="separate"/>
      </w:r>
      <w:r>
        <w:rPr>
          <w:color w:val="000000" w:themeColor="text1"/>
        </w:rPr>
        <w:t>108</w:t>
      </w:r>
      <w:r>
        <w:rPr>
          <w:color w:val="000000" w:themeColor="text1"/>
        </w:rPr>
        <w:fldChar w:fldCharType="end"/>
      </w:r>
      <w:r>
        <w:rPr>
          <w:color w:val="000000" w:themeColor="text1"/>
        </w:rPr>
        <w:fldChar w:fldCharType="end"/>
      </w:r>
    </w:p>
    <w:p>
      <w:pPr>
        <w:pStyle w:val="14"/>
        <w:tabs>
          <w:tab w:val="right" w:leader="dot" w:pos="8312"/>
        </w:tabs>
        <w:rPr>
          <w:color w:val="000000" w:themeColor="text1"/>
        </w:rPr>
      </w:pPr>
      <w:r>
        <w:fldChar w:fldCharType="begin"/>
      </w:r>
      <w:r>
        <w:instrText xml:space="preserve"> HYPERLINK \l "_Toc3523" </w:instrText>
      </w:r>
      <w:r>
        <w:fldChar w:fldCharType="separate"/>
      </w:r>
      <w:r>
        <w:rPr>
          <w:rFonts w:hint="eastAsia" w:ascii="黑体" w:hAnsi="黑体"/>
          <w:color w:val="000000" w:themeColor="text1"/>
        </w:rPr>
        <w:t>第七章 投标文件格式（参考）</w:t>
      </w:r>
      <w:r>
        <w:rPr>
          <w:color w:val="000000" w:themeColor="text1"/>
        </w:rPr>
        <w:tab/>
      </w:r>
      <w:r>
        <w:rPr>
          <w:color w:val="000000" w:themeColor="text1"/>
        </w:rPr>
        <w:fldChar w:fldCharType="begin"/>
      </w:r>
      <w:r>
        <w:rPr>
          <w:color w:val="000000" w:themeColor="text1"/>
        </w:rPr>
        <w:instrText xml:space="preserve"> PAGEREF _Toc3523 </w:instrText>
      </w:r>
      <w:r>
        <w:rPr>
          <w:color w:val="000000" w:themeColor="text1"/>
        </w:rPr>
        <w:fldChar w:fldCharType="separate"/>
      </w:r>
      <w:r>
        <w:rPr>
          <w:color w:val="000000" w:themeColor="text1"/>
        </w:rPr>
        <w:t>110</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"_Toc28638" </w:instrText>
      </w:r>
      <w:r>
        <w:fldChar w:fldCharType="separate"/>
      </w:r>
      <w:r>
        <w:rPr>
          <w:rFonts w:hint="eastAsia"/>
          <w:color w:val="000000" w:themeColor="text1"/>
          <w:szCs w:val="44"/>
          <w:lang w:val="zh-CN"/>
        </w:rPr>
        <w:t>第一部分</w:t>
      </w:r>
      <w:r>
        <w:rPr>
          <w:color w:val="000000" w:themeColor="text1"/>
          <w:szCs w:val="44"/>
          <w:lang w:val="zh-CN"/>
        </w:rPr>
        <w:t xml:space="preserve"> </w:t>
      </w:r>
      <w:r>
        <w:rPr>
          <w:rFonts w:hint="eastAsia"/>
          <w:color w:val="000000" w:themeColor="text1"/>
          <w:szCs w:val="44"/>
          <w:lang w:val="zh-CN"/>
        </w:rPr>
        <w:t>资格证明文件</w:t>
      </w:r>
      <w:r>
        <w:rPr>
          <w:color w:val="000000" w:themeColor="text1"/>
        </w:rPr>
        <w:tab/>
      </w:r>
      <w:r>
        <w:rPr>
          <w:color w:val="000000" w:themeColor="text1"/>
        </w:rPr>
        <w:fldChar w:fldCharType="begin"/>
      </w:r>
      <w:r>
        <w:rPr>
          <w:color w:val="000000" w:themeColor="text1"/>
        </w:rPr>
        <w:instrText xml:space="preserve"> PAGEREF _Toc28638 </w:instrText>
      </w:r>
      <w:r>
        <w:rPr>
          <w:color w:val="000000" w:themeColor="text1"/>
        </w:rPr>
        <w:fldChar w:fldCharType="separate"/>
      </w:r>
      <w:r>
        <w:rPr>
          <w:color w:val="000000" w:themeColor="text1"/>
        </w:rPr>
        <w:t>110</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"_Toc13783" </w:instrText>
      </w:r>
      <w:r>
        <w:fldChar w:fldCharType="separate"/>
      </w:r>
      <w:r>
        <w:rPr>
          <w:rFonts w:hint="eastAsia"/>
          <w:color w:val="000000" w:themeColor="text1"/>
          <w:szCs w:val="44"/>
          <w:lang w:val="zh-CN"/>
        </w:rPr>
        <w:t>第二部分</w:t>
      </w:r>
      <w:r>
        <w:rPr>
          <w:color w:val="000000" w:themeColor="text1"/>
          <w:szCs w:val="44"/>
          <w:lang w:val="zh-CN"/>
        </w:rPr>
        <w:t xml:space="preserve"> </w:t>
      </w:r>
      <w:r>
        <w:rPr>
          <w:rFonts w:hint="eastAsia"/>
          <w:color w:val="000000" w:themeColor="text1"/>
          <w:szCs w:val="44"/>
          <w:lang w:val="zh-CN"/>
        </w:rPr>
        <w:t>商务文件</w:t>
      </w:r>
      <w:r>
        <w:rPr>
          <w:color w:val="000000" w:themeColor="text1"/>
        </w:rPr>
        <w:tab/>
      </w:r>
      <w:r>
        <w:rPr>
          <w:color w:val="000000" w:themeColor="text1"/>
        </w:rPr>
        <w:fldChar w:fldCharType="begin"/>
      </w:r>
      <w:r>
        <w:rPr>
          <w:color w:val="000000" w:themeColor="text1"/>
        </w:rPr>
        <w:instrText xml:space="preserve"> PAGEREF _Toc13783 </w:instrText>
      </w:r>
      <w:r>
        <w:rPr>
          <w:color w:val="000000" w:themeColor="text1"/>
        </w:rPr>
        <w:fldChar w:fldCharType="separate"/>
      </w:r>
      <w:r>
        <w:rPr>
          <w:color w:val="000000" w:themeColor="text1"/>
        </w:rPr>
        <w:t>112</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"_Toc16834" </w:instrText>
      </w:r>
      <w:r>
        <w:fldChar w:fldCharType="separate"/>
      </w:r>
      <w:r>
        <w:rPr>
          <w:rFonts w:hint="eastAsia"/>
          <w:color w:val="000000" w:themeColor="text1"/>
          <w:szCs w:val="44"/>
          <w:lang w:val="zh-CN"/>
        </w:rPr>
        <w:t>第三部分</w:t>
      </w:r>
      <w:r>
        <w:rPr>
          <w:color w:val="000000" w:themeColor="text1"/>
          <w:szCs w:val="44"/>
          <w:lang w:val="zh-CN"/>
        </w:rPr>
        <w:t xml:space="preserve"> </w:t>
      </w:r>
      <w:r>
        <w:rPr>
          <w:rFonts w:hint="eastAsia"/>
          <w:color w:val="000000" w:themeColor="text1"/>
          <w:szCs w:val="44"/>
          <w:lang w:val="zh-CN"/>
        </w:rPr>
        <w:t>技术、服务文件</w:t>
      </w:r>
      <w:r>
        <w:rPr>
          <w:color w:val="000000" w:themeColor="text1"/>
        </w:rPr>
        <w:tab/>
      </w:r>
      <w:r>
        <w:rPr>
          <w:color w:val="000000" w:themeColor="text1"/>
        </w:rPr>
        <w:fldChar w:fldCharType="begin"/>
      </w:r>
      <w:r>
        <w:rPr>
          <w:color w:val="000000" w:themeColor="text1"/>
        </w:rPr>
        <w:instrText xml:space="preserve"> PAGEREF _Toc16834 </w:instrText>
      </w:r>
      <w:r>
        <w:rPr>
          <w:color w:val="000000" w:themeColor="text1"/>
        </w:rPr>
        <w:fldChar w:fldCharType="separate"/>
      </w:r>
      <w:r>
        <w:rPr>
          <w:color w:val="000000" w:themeColor="text1"/>
        </w:rPr>
        <w:t>114</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"_Toc23664" </w:instrText>
      </w:r>
      <w:r>
        <w:fldChar w:fldCharType="separate"/>
      </w:r>
      <w:r>
        <w:rPr>
          <w:rFonts w:hint="eastAsia"/>
          <w:color w:val="000000" w:themeColor="text1"/>
        </w:rPr>
        <w:t>附件一、 投标书</w:t>
      </w:r>
      <w:r>
        <w:rPr>
          <w:color w:val="000000" w:themeColor="text1"/>
        </w:rPr>
        <w:tab/>
      </w:r>
      <w:r>
        <w:rPr>
          <w:color w:val="000000" w:themeColor="text1"/>
        </w:rPr>
        <w:fldChar w:fldCharType="begin"/>
      </w:r>
      <w:r>
        <w:rPr>
          <w:color w:val="000000" w:themeColor="text1"/>
        </w:rPr>
        <w:instrText xml:space="preserve"> PAGEREF _Toc23664 </w:instrText>
      </w:r>
      <w:r>
        <w:rPr>
          <w:color w:val="000000" w:themeColor="text1"/>
        </w:rPr>
        <w:fldChar w:fldCharType="separate"/>
      </w:r>
      <w:r>
        <w:rPr>
          <w:color w:val="000000" w:themeColor="text1"/>
        </w:rPr>
        <w:t>116</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"_Toc2373" </w:instrText>
      </w:r>
      <w:r>
        <w:fldChar w:fldCharType="separate"/>
      </w:r>
      <w:r>
        <w:rPr>
          <w:rFonts w:hint="eastAsia"/>
          <w:color w:val="000000" w:themeColor="text1"/>
        </w:rPr>
        <w:t>附件二、 制造商中小企业声明函</w:t>
      </w:r>
      <w:r>
        <w:rPr>
          <w:color w:val="000000" w:themeColor="text1"/>
        </w:rPr>
        <w:tab/>
      </w:r>
      <w:r>
        <w:rPr>
          <w:color w:val="000000" w:themeColor="text1"/>
        </w:rPr>
        <w:fldChar w:fldCharType="begin"/>
      </w:r>
      <w:r>
        <w:rPr>
          <w:color w:val="000000" w:themeColor="text1"/>
        </w:rPr>
        <w:instrText xml:space="preserve"> PAGEREF _Toc2373 </w:instrText>
      </w:r>
      <w:r>
        <w:rPr>
          <w:color w:val="000000" w:themeColor="text1"/>
        </w:rPr>
        <w:fldChar w:fldCharType="separate"/>
      </w:r>
      <w:r>
        <w:rPr>
          <w:color w:val="000000" w:themeColor="text1"/>
        </w:rPr>
        <w:t>117</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"_Toc9113" </w:instrText>
      </w:r>
      <w:r>
        <w:fldChar w:fldCharType="separate"/>
      </w:r>
      <w:r>
        <w:rPr>
          <w:rFonts w:hint="eastAsia"/>
          <w:color w:val="000000" w:themeColor="text1"/>
        </w:rPr>
        <w:t>附件三、 中小企业声明函</w:t>
      </w:r>
      <w:r>
        <w:rPr>
          <w:color w:val="000000" w:themeColor="text1"/>
        </w:rPr>
        <w:tab/>
      </w:r>
      <w:r>
        <w:rPr>
          <w:color w:val="000000" w:themeColor="text1"/>
        </w:rPr>
        <w:fldChar w:fldCharType="begin"/>
      </w:r>
      <w:r>
        <w:rPr>
          <w:color w:val="000000" w:themeColor="text1"/>
        </w:rPr>
        <w:instrText xml:space="preserve"> PAGEREF _Toc9113 </w:instrText>
      </w:r>
      <w:r>
        <w:rPr>
          <w:color w:val="000000" w:themeColor="text1"/>
        </w:rPr>
        <w:fldChar w:fldCharType="separate"/>
      </w:r>
      <w:r>
        <w:rPr>
          <w:color w:val="000000" w:themeColor="text1"/>
        </w:rPr>
        <w:t>118</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"_Toc27605" </w:instrText>
      </w:r>
      <w:r>
        <w:fldChar w:fldCharType="separate"/>
      </w:r>
      <w:r>
        <w:rPr>
          <w:rFonts w:hint="eastAsia"/>
          <w:color w:val="000000" w:themeColor="text1"/>
        </w:rPr>
        <w:t>附件四、 残疾人福利性单位声明函</w:t>
      </w:r>
      <w:r>
        <w:rPr>
          <w:color w:val="000000" w:themeColor="text1"/>
        </w:rPr>
        <w:tab/>
      </w:r>
      <w:r>
        <w:rPr>
          <w:color w:val="000000" w:themeColor="text1"/>
        </w:rPr>
        <w:fldChar w:fldCharType="begin"/>
      </w:r>
      <w:r>
        <w:rPr>
          <w:color w:val="000000" w:themeColor="text1"/>
        </w:rPr>
        <w:instrText xml:space="preserve"> PAGEREF _Toc27605 </w:instrText>
      </w:r>
      <w:r>
        <w:rPr>
          <w:color w:val="000000" w:themeColor="text1"/>
        </w:rPr>
        <w:fldChar w:fldCharType="separate"/>
      </w:r>
      <w:r>
        <w:rPr>
          <w:color w:val="000000" w:themeColor="text1"/>
        </w:rPr>
        <w:t>120</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"_Toc8298" </w:instrText>
      </w:r>
      <w:r>
        <w:fldChar w:fldCharType="separate"/>
      </w:r>
      <w:r>
        <w:rPr>
          <w:rFonts w:hint="eastAsia"/>
          <w:color w:val="000000" w:themeColor="text1"/>
        </w:rPr>
        <w:t>附件五、 开标一览表</w:t>
      </w:r>
      <w:r>
        <w:rPr>
          <w:color w:val="000000" w:themeColor="text1"/>
        </w:rPr>
        <w:tab/>
      </w:r>
      <w:r>
        <w:rPr>
          <w:color w:val="000000" w:themeColor="text1"/>
        </w:rPr>
        <w:fldChar w:fldCharType="begin"/>
      </w:r>
      <w:r>
        <w:rPr>
          <w:color w:val="000000" w:themeColor="text1"/>
        </w:rPr>
        <w:instrText xml:space="preserve"> PAGEREF _Toc8298 </w:instrText>
      </w:r>
      <w:r>
        <w:rPr>
          <w:color w:val="000000" w:themeColor="text1"/>
        </w:rPr>
        <w:fldChar w:fldCharType="separate"/>
      </w:r>
      <w:r>
        <w:rPr>
          <w:color w:val="000000" w:themeColor="text1"/>
        </w:rPr>
        <w:t>123</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"_Toc8707" </w:instrText>
      </w:r>
      <w:r>
        <w:fldChar w:fldCharType="separate"/>
      </w:r>
      <w:r>
        <w:rPr>
          <w:rFonts w:hint="eastAsia"/>
          <w:color w:val="000000" w:themeColor="text1"/>
        </w:rPr>
        <w:t>附件六、 投标报价明细表</w:t>
      </w:r>
      <w:r>
        <w:rPr>
          <w:color w:val="000000" w:themeColor="text1"/>
        </w:rPr>
        <w:tab/>
      </w:r>
      <w:r>
        <w:rPr>
          <w:color w:val="000000" w:themeColor="text1"/>
        </w:rPr>
        <w:fldChar w:fldCharType="begin"/>
      </w:r>
      <w:r>
        <w:rPr>
          <w:color w:val="000000" w:themeColor="text1"/>
        </w:rPr>
        <w:instrText xml:space="preserve"> PAGEREF _Toc8707 </w:instrText>
      </w:r>
      <w:r>
        <w:rPr>
          <w:color w:val="000000" w:themeColor="text1"/>
        </w:rPr>
        <w:fldChar w:fldCharType="separate"/>
      </w:r>
      <w:r>
        <w:rPr>
          <w:color w:val="000000" w:themeColor="text1"/>
        </w:rPr>
        <w:t>124</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"_Toc10655" </w:instrText>
      </w:r>
      <w:r>
        <w:fldChar w:fldCharType="separate"/>
      </w:r>
      <w:r>
        <w:rPr>
          <w:rFonts w:hint="eastAsia"/>
          <w:color w:val="000000" w:themeColor="text1"/>
          <w:szCs w:val="31"/>
        </w:rPr>
        <w:t>附件七、 小型和微型企业、监狱企业、残疾人福利性单位货物汇总表</w:t>
      </w:r>
      <w:r>
        <w:rPr>
          <w:color w:val="000000" w:themeColor="text1"/>
        </w:rPr>
        <w:tab/>
      </w:r>
      <w:r>
        <w:rPr>
          <w:color w:val="000000" w:themeColor="text1"/>
        </w:rPr>
        <w:fldChar w:fldCharType="begin"/>
      </w:r>
      <w:r>
        <w:rPr>
          <w:color w:val="000000" w:themeColor="text1"/>
        </w:rPr>
        <w:instrText xml:space="preserve"> PAGEREF _Toc10655 </w:instrText>
      </w:r>
      <w:r>
        <w:rPr>
          <w:color w:val="000000" w:themeColor="text1"/>
        </w:rPr>
        <w:fldChar w:fldCharType="separate"/>
      </w:r>
      <w:r>
        <w:rPr>
          <w:color w:val="000000" w:themeColor="text1"/>
        </w:rPr>
        <w:t>125</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"_Toc28224" </w:instrText>
      </w:r>
      <w:r>
        <w:fldChar w:fldCharType="separate"/>
      </w:r>
      <w:r>
        <w:rPr>
          <w:rFonts w:hint="eastAsia"/>
          <w:color w:val="000000" w:themeColor="text1"/>
        </w:rPr>
        <w:t>附件八、 投标货物（工程或服务）清单</w:t>
      </w:r>
      <w:r>
        <w:rPr>
          <w:color w:val="000000" w:themeColor="text1"/>
        </w:rPr>
        <w:tab/>
      </w:r>
      <w:r>
        <w:rPr>
          <w:color w:val="000000" w:themeColor="text1"/>
        </w:rPr>
        <w:fldChar w:fldCharType="begin"/>
      </w:r>
      <w:r>
        <w:rPr>
          <w:color w:val="000000" w:themeColor="text1"/>
        </w:rPr>
        <w:instrText xml:space="preserve"> PAGEREF _Toc28224 </w:instrText>
      </w:r>
      <w:r>
        <w:rPr>
          <w:color w:val="000000" w:themeColor="text1"/>
        </w:rPr>
        <w:fldChar w:fldCharType="separate"/>
      </w:r>
      <w:r>
        <w:rPr>
          <w:color w:val="000000" w:themeColor="text1"/>
        </w:rPr>
        <w:t>126</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"_Toc19433" </w:instrText>
      </w:r>
      <w:r>
        <w:fldChar w:fldCharType="separate"/>
      </w:r>
      <w:r>
        <w:rPr>
          <w:rFonts w:hint="eastAsia"/>
          <w:color w:val="000000" w:themeColor="text1"/>
        </w:rPr>
        <w:t>附件九、 交纳投标保证金的银行凭证</w:t>
      </w:r>
      <w:r>
        <w:rPr>
          <w:color w:val="000000" w:themeColor="text1"/>
        </w:rPr>
        <w:tab/>
      </w:r>
      <w:r>
        <w:rPr>
          <w:color w:val="000000" w:themeColor="text1"/>
        </w:rPr>
        <w:fldChar w:fldCharType="begin"/>
      </w:r>
      <w:r>
        <w:rPr>
          <w:color w:val="000000" w:themeColor="text1"/>
        </w:rPr>
        <w:instrText xml:space="preserve"> PAGEREF _Toc19433 </w:instrText>
      </w:r>
      <w:r>
        <w:rPr>
          <w:color w:val="000000" w:themeColor="text1"/>
        </w:rPr>
        <w:fldChar w:fldCharType="separate"/>
      </w:r>
      <w:r>
        <w:rPr>
          <w:color w:val="000000" w:themeColor="text1"/>
        </w:rPr>
        <w:t>127</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"_Toc13947" </w:instrText>
      </w:r>
      <w:r>
        <w:fldChar w:fldCharType="separate"/>
      </w:r>
      <w:r>
        <w:rPr>
          <w:rFonts w:hint="eastAsia"/>
          <w:color w:val="000000" w:themeColor="text1"/>
        </w:rPr>
        <w:t>附件十、 法定代表人授权书</w:t>
      </w:r>
      <w:r>
        <w:rPr>
          <w:color w:val="000000" w:themeColor="text1"/>
        </w:rPr>
        <w:tab/>
      </w:r>
      <w:r>
        <w:rPr>
          <w:color w:val="000000" w:themeColor="text1"/>
        </w:rPr>
        <w:fldChar w:fldCharType="begin"/>
      </w:r>
      <w:r>
        <w:rPr>
          <w:color w:val="000000" w:themeColor="text1"/>
        </w:rPr>
        <w:instrText xml:space="preserve"> PAGEREF _Toc13947 </w:instrText>
      </w:r>
      <w:r>
        <w:rPr>
          <w:color w:val="000000" w:themeColor="text1"/>
        </w:rPr>
        <w:fldChar w:fldCharType="separate"/>
      </w:r>
      <w:r>
        <w:rPr>
          <w:color w:val="000000" w:themeColor="text1"/>
        </w:rPr>
        <w:t>128</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"_Toc6544" </w:instrText>
      </w:r>
      <w:r>
        <w:fldChar w:fldCharType="separate"/>
      </w:r>
      <w:r>
        <w:rPr>
          <w:rFonts w:hint="eastAsia"/>
          <w:color w:val="000000" w:themeColor="text1"/>
        </w:rPr>
        <w:t>附件十一、 投标人的资格声明</w:t>
      </w:r>
      <w:r>
        <w:rPr>
          <w:color w:val="000000" w:themeColor="text1"/>
        </w:rPr>
        <w:tab/>
      </w:r>
      <w:r>
        <w:rPr>
          <w:color w:val="000000" w:themeColor="text1"/>
        </w:rPr>
        <w:fldChar w:fldCharType="begin"/>
      </w:r>
      <w:r>
        <w:rPr>
          <w:color w:val="000000" w:themeColor="text1"/>
        </w:rPr>
        <w:instrText xml:space="preserve"> PAGEREF _Toc6544 </w:instrText>
      </w:r>
      <w:r>
        <w:rPr>
          <w:color w:val="000000" w:themeColor="text1"/>
        </w:rPr>
        <w:fldChar w:fldCharType="separate"/>
      </w:r>
      <w:r>
        <w:rPr>
          <w:color w:val="000000" w:themeColor="text1"/>
        </w:rPr>
        <w:t>129</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"_Toc16292" </w:instrText>
      </w:r>
      <w:r>
        <w:fldChar w:fldCharType="separate"/>
      </w:r>
      <w:r>
        <w:rPr>
          <w:rFonts w:hint="eastAsia"/>
          <w:color w:val="000000" w:themeColor="text1"/>
        </w:rPr>
        <w:t>附件十二、 项目负责人、技术负责人简历表</w:t>
      </w:r>
      <w:r>
        <w:rPr>
          <w:color w:val="000000" w:themeColor="text1"/>
        </w:rPr>
        <w:tab/>
      </w:r>
      <w:r>
        <w:rPr>
          <w:color w:val="000000" w:themeColor="text1"/>
        </w:rPr>
        <w:fldChar w:fldCharType="begin"/>
      </w:r>
      <w:r>
        <w:rPr>
          <w:color w:val="000000" w:themeColor="text1"/>
        </w:rPr>
        <w:instrText xml:space="preserve"> PAGEREF _Toc16292 </w:instrText>
      </w:r>
      <w:r>
        <w:rPr>
          <w:color w:val="000000" w:themeColor="text1"/>
        </w:rPr>
        <w:fldChar w:fldCharType="separate"/>
      </w:r>
      <w:r>
        <w:rPr>
          <w:color w:val="000000" w:themeColor="text1"/>
        </w:rPr>
        <w:t>130</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"_Toc30818" </w:instrText>
      </w:r>
      <w:r>
        <w:fldChar w:fldCharType="separate"/>
      </w:r>
      <w:r>
        <w:rPr>
          <w:rFonts w:hint="eastAsia"/>
          <w:color w:val="000000" w:themeColor="text1"/>
        </w:rPr>
        <w:t>附件十三、 项目班子成员情况表</w:t>
      </w:r>
      <w:r>
        <w:rPr>
          <w:color w:val="000000" w:themeColor="text1"/>
        </w:rPr>
        <w:tab/>
      </w:r>
      <w:r>
        <w:rPr>
          <w:color w:val="000000" w:themeColor="text1"/>
        </w:rPr>
        <w:fldChar w:fldCharType="begin"/>
      </w:r>
      <w:r>
        <w:rPr>
          <w:color w:val="000000" w:themeColor="text1"/>
        </w:rPr>
        <w:instrText xml:space="preserve"> PAGEREF _Toc30818 </w:instrText>
      </w:r>
      <w:r>
        <w:rPr>
          <w:color w:val="000000" w:themeColor="text1"/>
        </w:rPr>
        <w:fldChar w:fldCharType="separate"/>
      </w:r>
      <w:r>
        <w:rPr>
          <w:color w:val="000000" w:themeColor="text1"/>
        </w:rPr>
        <w:t>131</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"_Toc16998" </w:instrText>
      </w:r>
      <w:r>
        <w:fldChar w:fldCharType="separate"/>
      </w:r>
      <w:r>
        <w:rPr>
          <w:rFonts w:hint="eastAsia"/>
          <w:color w:val="000000" w:themeColor="text1"/>
        </w:rPr>
        <w:t>附件十四、 投标人类似项目业绩表</w:t>
      </w:r>
      <w:r>
        <w:rPr>
          <w:color w:val="000000" w:themeColor="text1"/>
        </w:rPr>
        <w:tab/>
      </w:r>
      <w:r>
        <w:rPr>
          <w:color w:val="000000" w:themeColor="text1"/>
        </w:rPr>
        <w:fldChar w:fldCharType="begin"/>
      </w:r>
      <w:r>
        <w:rPr>
          <w:color w:val="000000" w:themeColor="text1"/>
        </w:rPr>
        <w:instrText xml:space="preserve"> PAGEREF _Toc16998 </w:instrText>
      </w:r>
      <w:r>
        <w:rPr>
          <w:color w:val="000000" w:themeColor="text1"/>
        </w:rPr>
        <w:fldChar w:fldCharType="separate"/>
      </w:r>
      <w:r>
        <w:rPr>
          <w:color w:val="000000" w:themeColor="text1"/>
        </w:rPr>
        <w:t>132</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"_Toc26642" </w:instrText>
      </w:r>
      <w:r>
        <w:fldChar w:fldCharType="separate"/>
      </w:r>
      <w:r>
        <w:rPr>
          <w:rFonts w:hint="eastAsia"/>
          <w:color w:val="000000" w:themeColor="text1"/>
        </w:rPr>
        <w:t>附件十五、 符合性审查对照表</w:t>
      </w:r>
      <w:r>
        <w:rPr>
          <w:color w:val="000000" w:themeColor="text1"/>
        </w:rPr>
        <w:tab/>
      </w:r>
      <w:r>
        <w:rPr>
          <w:color w:val="000000" w:themeColor="text1"/>
        </w:rPr>
        <w:fldChar w:fldCharType="begin"/>
      </w:r>
      <w:r>
        <w:rPr>
          <w:color w:val="000000" w:themeColor="text1"/>
        </w:rPr>
        <w:instrText xml:space="preserve"> PAGEREF _Toc26642 </w:instrText>
      </w:r>
      <w:r>
        <w:rPr>
          <w:color w:val="000000" w:themeColor="text1"/>
        </w:rPr>
        <w:fldChar w:fldCharType="separate"/>
      </w:r>
      <w:r>
        <w:rPr>
          <w:color w:val="000000" w:themeColor="text1"/>
        </w:rPr>
        <w:t>133</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"_Toc2709" </w:instrText>
      </w:r>
      <w:r>
        <w:fldChar w:fldCharType="separate"/>
      </w:r>
      <w:r>
        <w:rPr>
          <w:rFonts w:hint="eastAsia"/>
          <w:color w:val="000000" w:themeColor="text1"/>
        </w:rPr>
        <w:t>附件十六、 商务要求响应、偏离说明表</w:t>
      </w:r>
      <w:r>
        <w:rPr>
          <w:color w:val="000000" w:themeColor="text1"/>
        </w:rPr>
        <w:tab/>
      </w:r>
      <w:r>
        <w:rPr>
          <w:color w:val="000000" w:themeColor="text1"/>
        </w:rPr>
        <w:fldChar w:fldCharType="begin"/>
      </w:r>
      <w:r>
        <w:rPr>
          <w:color w:val="000000" w:themeColor="text1"/>
        </w:rPr>
        <w:instrText xml:space="preserve"> PAGEREF _Toc2709 </w:instrText>
      </w:r>
      <w:r>
        <w:rPr>
          <w:color w:val="000000" w:themeColor="text1"/>
        </w:rPr>
        <w:fldChar w:fldCharType="separate"/>
      </w:r>
      <w:r>
        <w:rPr>
          <w:color w:val="000000" w:themeColor="text1"/>
        </w:rPr>
        <w:t>134</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"_Toc19556" </w:instrText>
      </w:r>
      <w:r>
        <w:fldChar w:fldCharType="separate"/>
      </w:r>
      <w:r>
        <w:rPr>
          <w:rFonts w:hint="eastAsia"/>
          <w:color w:val="000000" w:themeColor="text1"/>
        </w:rPr>
        <w:t>附件十七、 商务要求“★”号条款响应、偏离说明表</w:t>
      </w:r>
      <w:r>
        <w:rPr>
          <w:color w:val="000000" w:themeColor="text1"/>
        </w:rPr>
        <w:tab/>
      </w:r>
      <w:r>
        <w:rPr>
          <w:color w:val="000000" w:themeColor="text1"/>
        </w:rPr>
        <w:fldChar w:fldCharType="begin"/>
      </w:r>
      <w:r>
        <w:rPr>
          <w:color w:val="000000" w:themeColor="text1"/>
        </w:rPr>
        <w:instrText xml:space="preserve"> PAGEREF _Toc19556 </w:instrText>
      </w:r>
      <w:r>
        <w:rPr>
          <w:color w:val="000000" w:themeColor="text1"/>
        </w:rPr>
        <w:fldChar w:fldCharType="separate"/>
      </w:r>
      <w:r>
        <w:rPr>
          <w:color w:val="000000" w:themeColor="text1"/>
        </w:rPr>
        <w:t>135</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"_Toc7970" </w:instrText>
      </w:r>
      <w:r>
        <w:fldChar w:fldCharType="separate"/>
      </w:r>
      <w:r>
        <w:rPr>
          <w:rFonts w:hint="eastAsia"/>
          <w:color w:val="000000" w:themeColor="text1"/>
        </w:rPr>
        <w:t>附件十八、 商务评议对照表</w:t>
      </w:r>
      <w:r>
        <w:rPr>
          <w:color w:val="000000" w:themeColor="text1"/>
        </w:rPr>
        <w:tab/>
      </w:r>
      <w:r>
        <w:rPr>
          <w:color w:val="000000" w:themeColor="text1"/>
        </w:rPr>
        <w:fldChar w:fldCharType="begin"/>
      </w:r>
      <w:r>
        <w:rPr>
          <w:color w:val="000000" w:themeColor="text1"/>
        </w:rPr>
        <w:instrText xml:space="preserve"> PAGEREF _Toc7970 </w:instrText>
      </w:r>
      <w:r>
        <w:rPr>
          <w:color w:val="000000" w:themeColor="text1"/>
        </w:rPr>
        <w:fldChar w:fldCharType="separate"/>
      </w:r>
      <w:r>
        <w:rPr>
          <w:color w:val="000000" w:themeColor="text1"/>
        </w:rPr>
        <w:t>136</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"_Toc25048" </w:instrText>
      </w:r>
      <w:r>
        <w:fldChar w:fldCharType="separate"/>
      </w:r>
      <w:r>
        <w:rPr>
          <w:rFonts w:hint="eastAsia"/>
          <w:color w:val="000000" w:themeColor="text1"/>
        </w:rPr>
        <w:t>附件十九、 技术、服务要求响应、偏离说明表</w:t>
      </w:r>
      <w:r>
        <w:rPr>
          <w:color w:val="000000" w:themeColor="text1"/>
        </w:rPr>
        <w:tab/>
      </w:r>
      <w:r>
        <w:rPr>
          <w:color w:val="000000" w:themeColor="text1"/>
        </w:rPr>
        <w:fldChar w:fldCharType="begin"/>
      </w:r>
      <w:r>
        <w:rPr>
          <w:color w:val="000000" w:themeColor="text1"/>
        </w:rPr>
        <w:instrText xml:space="preserve"> PAGEREF _Toc25048 </w:instrText>
      </w:r>
      <w:r>
        <w:rPr>
          <w:color w:val="000000" w:themeColor="text1"/>
        </w:rPr>
        <w:fldChar w:fldCharType="separate"/>
      </w:r>
      <w:r>
        <w:rPr>
          <w:color w:val="000000" w:themeColor="text1"/>
        </w:rPr>
        <w:t>137</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"_Toc7827" </w:instrText>
      </w:r>
      <w:r>
        <w:fldChar w:fldCharType="separate"/>
      </w:r>
      <w:r>
        <w:rPr>
          <w:rFonts w:hint="eastAsia"/>
          <w:color w:val="000000" w:themeColor="text1"/>
        </w:rPr>
        <w:t>附件二十、 技术、服务要求“★”号条款响应、偏离说明表</w:t>
      </w:r>
      <w:r>
        <w:rPr>
          <w:color w:val="000000" w:themeColor="text1"/>
        </w:rPr>
        <w:tab/>
      </w:r>
      <w:r>
        <w:rPr>
          <w:color w:val="000000" w:themeColor="text1"/>
        </w:rPr>
        <w:fldChar w:fldCharType="begin"/>
      </w:r>
      <w:r>
        <w:rPr>
          <w:color w:val="000000" w:themeColor="text1"/>
        </w:rPr>
        <w:instrText xml:space="preserve"> PAGEREF _Toc7827 </w:instrText>
      </w:r>
      <w:r>
        <w:rPr>
          <w:color w:val="000000" w:themeColor="text1"/>
        </w:rPr>
        <w:fldChar w:fldCharType="separate"/>
      </w:r>
      <w:r>
        <w:rPr>
          <w:color w:val="000000" w:themeColor="text1"/>
        </w:rPr>
        <w:t>138</w:t>
      </w:r>
      <w:r>
        <w:rPr>
          <w:color w:val="000000" w:themeColor="text1"/>
        </w:rPr>
        <w:fldChar w:fldCharType="end"/>
      </w:r>
      <w:r>
        <w:rPr>
          <w:color w:val="000000" w:themeColor="text1"/>
        </w:rPr>
        <w:fldChar w:fldCharType="end"/>
      </w:r>
    </w:p>
    <w:p>
      <w:pPr>
        <w:pStyle w:val="17"/>
        <w:tabs>
          <w:tab w:val="right" w:leader="dot" w:pos="8312"/>
          <w:tab w:val="clear" w:pos="756"/>
          <w:tab w:val="clear" w:pos="966"/>
          <w:tab w:val="clear" w:pos="1204"/>
          <w:tab w:val="clear" w:pos="1442"/>
          <w:tab w:val="clear" w:pos="9514"/>
        </w:tabs>
        <w:rPr>
          <w:color w:val="000000" w:themeColor="text1"/>
        </w:rPr>
      </w:pPr>
      <w:r>
        <w:fldChar w:fldCharType="begin"/>
      </w:r>
      <w:r>
        <w:instrText xml:space="preserve"> HYPERLINK \l "_Toc30912" </w:instrText>
      </w:r>
      <w:r>
        <w:fldChar w:fldCharType="separate"/>
      </w:r>
      <w:r>
        <w:rPr>
          <w:rFonts w:hint="eastAsia"/>
          <w:color w:val="000000" w:themeColor="text1"/>
        </w:rPr>
        <w:t>附件二十一、 技术、服务评议对照表</w:t>
      </w:r>
      <w:r>
        <w:rPr>
          <w:color w:val="000000" w:themeColor="text1"/>
        </w:rPr>
        <w:tab/>
      </w:r>
      <w:r>
        <w:rPr>
          <w:color w:val="000000" w:themeColor="text1"/>
        </w:rPr>
        <w:fldChar w:fldCharType="begin"/>
      </w:r>
      <w:r>
        <w:rPr>
          <w:color w:val="000000" w:themeColor="text1"/>
        </w:rPr>
        <w:instrText xml:space="preserve"> PAGEREF _Toc30912 </w:instrText>
      </w:r>
      <w:r>
        <w:rPr>
          <w:color w:val="000000" w:themeColor="text1"/>
        </w:rPr>
        <w:fldChar w:fldCharType="separate"/>
      </w:r>
      <w:r>
        <w:rPr>
          <w:color w:val="000000" w:themeColor="text1"/>
        </w:rPr>
        <w:t>139</w:t>
      </w:r>
      <w:r>
        <w:rPr>
          <w:color w:val="000000" w:themeColor="text1"/>
        </w:rPr>
        <w:fldChar w:fldCharType="end"/>
      </w:r>
      <w:r>
        <w:rPr>
          <w:color w:val="000000" w:themeColor="text1"/>
        </w:rPr>
        <w:fldChar w:fldCharType="end"/>
      </w:r>
    </w:p>
    <w:p>
      <w:pPr>
        <w:pStyle w:val="14"/>
        <w:tabs>
          <w:tab w:val="left" w:pos="1260"/>
          <w:tab w:val="right" w:leader="dot" w:pos="9514"/>
        </w:tabs>
        <w:rPr>
          <w:color w:val="000000" w:themeColor="text1"/>
        </w:rPr>
      </w:pPr>
      <w:r>
        <w:rPr>
          <w:color w:val="000000" w:themeColor="text1"/>
        </w:rPr>
        <w:fldChar w:fldCharType="end"/>
      </w:r>
      <w:r>
        <w:rPr>
          <w:b w:val="0"/>
          <w:bCs/>
          <w:color w:val="000000" w:themeColor="text1"/>
          <w:lang w:val="zh-CN"/>
        </w:rPr>
        <w:tab/>
      </w:r>
    </w:p>
    <w:p>
      <w:pPr>
        <w:pStyle w:val="2"/>
        <w:numPr>
          <w:ilvl w:val="0"/>
          <w:numId w:val="1"/>
        </w:numPr>
        <w:spacing w:before="240" w:after="120"/>
        <w:ind w:left="883" w:hanging="880" w:hangingChars="200"/>
        <w:jc w:val="center"/>
        <w:rPr>
          <w:rFonts w:ascii="黑体" w:hAnsi="黑体" w:eastAsia="黑体"/>
          <w:color w:val="000000" w:themeColor="text1"/>
        </w:rPr>
      </w:pPr>
      <w:r>
        <w:rPr>
          <w:rFonts w:ascii="黑体" w:hAnsi="黑体" w:eastAsia="黑体"/>
          <w:color w:val="000000" w:themeColor="text1"/>
        </w:rPr>
        <w:br w:type="page"/>
      </w:r>
      <w:bookmarkStart w:id="0" w:name="_Toc8702"/>
      <w:r>
        <w:rPr>
          <w:rFonts w:hint="eastAsia" w:ascii="黑体" w:hAnsi="黑体" w:eastAsia="黑体"/>
          <w:color w:val="000000" w:themeColor="text1"/>
        </w:rPr>
        <w:t>投标邀请书</w:t>
      </w:r>
      <w:bookmarkEnd w:id="0"/>
    </w:p>
    <w:p>
      <w:pPr>
        <w:spacing w:line="480" w:lineRule="auto"/>
        <w:ind w:firstLine="480" w:firstLineChars="200"/>
        <w:rPr>
          <w:rFonts w:ascii="宋体"/>
          <w:bCs/>
          <w:color w:val="000000" w:themeColor="text1"/>
          <w:sz w:val="32"/>
          <w:szCs w:val="32"/>
          <w:u w:val="single"/>
        </w:rPr>
      </w:pPr>
      <w:r>
        <w:rPr>
          <w:rFonts w:hint="eastAsia" w:ascii="宋体" w:hAnsi="宋体" w:cs="宋体"/>
          <w:color w:val="000000" w:themeColor="text1"/>
          <w:sz w:val="24"/>
          <w:szCs w:val="24"/>
        </w:rPr>
        <w:t>依据阳新县财政局阳财采计备</w:t>
      </w:r>
      <w:r>
        <w:rPr>
          <w:rFonts w:ascii="宋体" w:hAnsi="宋体" w:cs="宋体"/>
          <w:color w:val="000000" w:themeColor="text1"/>
          <w:sz w:val="24"/>
          <w:szCs w:val="24"/>
        </w:rPr>
        <w:t>[201</w:t>
      </w:r>
      <w:r>
        <w:rPr>
          <w:rFonts w:hint="eastAsia" w:ascii="宋体" w:hAnsi="宋体" w:cs="宋体"/>
          <w:color w:val="000000" w:themeColor="text1"/>
          <w:sz w:val="24"/>
          <w:szCs w:val="24"/>
        </w:rPr>
        <w:t>9</w:t>
      </w:r>
      <w:r>
        <w:rPr>
          <w:rFonts w:ascii="宋体" w:hAnsi="宋体" w:cs="宋体"/>
          <w:color w:val="000000" w:themeColor="text1"/>
          <w:sz w:val="24"/>
          <w:szCs w:val="24"/>
        </w:rPr>
        <w:t>] A</w:t>
      </w:r>
      <w:r>
        <w:rPr>
          <w:rFonts w:ascii="宋体" w:hAnsi="宋体" w:cs="宋体"/>
          <w:color w:val="000000" w:themeColor="text1"/>
          <w:sz w:val="24"/>
          <w:szCs w:val="24"/>
          <w:u w:val="single"/>
        </w:rPr>
        <w:t xml:space="preserve"> </w:t>
      </w:r>
      <w:r>
        <w:rPr>
          <w:rFonts w:hint="eastAsia" w:ascii="宋体" w:hAnsi="宋体" w:cs="宋体"/>
          <w:color w:val="000000" w:themeColor="text1"/>
          <w:sz w:val="24"/>
          <w:szCs w:val="24"/>
          <w:u w:val="single"/>
        </w:rPr>
        <w:t>91</w:t>
      </w:r>
      <w:r>
        <w:rPr>
          <w:rFonts w:ascii="宋体" w:hAnsi="宋体" w:cs="宋体"/>
          <w:color w:val="000000" w:themeColor="text1"/>
          <w:sz w:val="24"/>
          <w:szCs w:val="24"/>
          <w:u w:val="single"/>
        </w:rPr>
        <w:t xml:space="preserve"> </w:t>
      </w:r>
      <w:r>
        <w:rPr>
          <w:rFonts w:hint="eastAsia" w:ascii="宋体" w:hAnsi="宋体" w:cs="宋体"/>
          <w:color w:val="000000" w:themeColor="text1"/>
          <w:sz w:val="24"/>
          <w:szCs w:val="24"/>
        </w:rPr>
        <w:t>号计划函要求，正大鹏安建设项目管理有限公司受</w:t>
      </w:r>
      <w:r>
        <w:rPr>
          <w:rFonts w:hint="eastAsia" w:ascii="宋体" w:hAnsi="宋体" w:cs="宋体"/>
          <w:color w:val="000000" w:themeColor="text1"/>
          <w:kern w:val="0"/>
          <w:sz w:val="24"/>
        </w:rPr>
        <w:t>阳新县第一中学</w:t>
      </w:r>
      <w:r>
        <w:rPr>
          <w:rFonts w:hint="eastAsia" w:ascii="宋体" w:hAnsi="宋体" w:cs="宋体"/>
          <w:color w:val="000000" w:themeColor="text1"/>
          <w:sz w:val="24"/>
          <w:szCs w:val="24"/>
        </w:rPr>
        <w:t>的委托，就</w:t>
      </w:r>
      <w:r>
        <w:rPr>
          <w:rFonts w:hint="eastAsia" w:ascii="宋体" w:hAnsi="宋体" w:cs="宋体"/>
          <w:color w:val="000000" w:themeColor="text1"/>
          <w:kern w:val="0"/>
          <w:sz w:val="24"/>
          <w:u w:val="single"/>
        </w:rPr>
        <w:t>阳新县第一中学老校区理化生实验室设备、会议系统设备采购及安装项目</w:t>
      </w:r>
      <w:r>
        <w:rPr>
          <w:rFonts w:hint="eastAsia" w:ascii="宋体" w:hAnsi="宋体"/>
          <w:color w:val="000000" w:themeColor="text1"/>
          <w:sz w:val="24"/>
          <w:szCs w:val="24"/>
        </w:rPr>
        <w:t>进行公开招标采购，欢迎符合条件的供应商投标。</w:t>
      </w:r>
    </w:p>
    <w:p>
      <w:pPr>
        <w:numPr>
          <w:ilvl w:val="0"/>
          <w:numId w:val="2"/>
        </w:numPr>
        <w:spacing w:line="360" w:lineRule="auto"/>
        <w:ind w:left="490" w:hanging="490"/>
        <w:rPr>
          <w:rFonts w:ascii="宋体" w:cs="宋体"/>
          <w:b/>
          <w:bCs/>
          <w:color w:val="000000" w:themeColor="text1"/>
          <w:sz w:val="24"/>
          <w:szCs w:val="24"/>
        </w:rPr>
      </w:pPr>
      <w:r>
        <w:rPr>
          <w:rFonts w:hint="eastAsia" w:ascii="宋体" w:hAnsi="宋体"/>
          <w:b/>
          <w:color w:val="000000" w:themeColor="text1"/>
          <w:sz w:val="24"/>
          <w:szCs w:val="24"/>
        </w:rPr>
        <w:t>项目编号：</w:t>
      </w:r>
      <w:r>
        <w:rPr>
          <w:rFonts w:hint="eastAsia" w:ascii="宋体" w:hAnsi="宋体" w:cs="宋体"/>
          <w:color w:val="000000" w:themeColor="text1"/>
          <w:sz w:val="24"/>
          <w:szCs w:val="24"/>
        </w:rPr>
        <w:t>131-Zcg•2019-115</w:t>
      </w:r>
    </w:p>
    <w:p>
      <w:pPr>
        <w:numPr>
          <w:ilvl w:val="0"/>
          <w:numId w:val="2"/>
        </w:numPr>
        <w:spacing w:line="360" w:lineRule="auto"/>
        <w:ind w:left="490" w:hanging="490"/>
        <w:rPr>
          <w:rFonts w:ascii="宋体"/>
          <w:color w:val="000000" w:themeColor="text1"/>
          <w:szCs w:val="21"/>
        </w:rPr>
      </w:pPr>
      <w:r>
        <w:rPr>
          <w:rFonts w:hint="eastAsia" w:ascii="宋体" w:hAnsi="宋体" w:cs="宋体"/>
          <w:b/>
          <w:color w:val="000000" w:themeColor="text1"/>
          <w:sz w:val="24"/>
          <w:szCs w:val="24"/>
        </w:rPr>
        <w:t>项</w:t>
      </w:r>
      <w:r>
        <w:rPr>
          <w:rFonts w:hint="eastAsia" w:ascii="宋体" w:hAnsi="宋体"/>
          <w:b/>
          <w:color w:val="000000" w:themeColor="text1"/>
          <w:sz w:val="24"/>
          <w:szCs w:val="24"/>
        </w:rPr>
        <w:t>目名称：</w:t>
      </w:r>
      <w:r>
        <w:rPr>
          <w:rFonts w:hint="eastAsia" w:ascii="宋体" w:hAnsi="宋体" w:cs="宋体"/>
          <w:color w:val="000000" w:themeColor="text1"/>
          <w:kern w:val="0"/>
          <w:sz w:val="24"/>
        </w:rPr>
        <w:t>阳新县第一中学老校区理化生实验室设备、会议系统设备采购及安装项目</w:t>
      </w:r>
    </w:p>
    <w:p>
      <w:pPr>
        <w:numPr>
          <w:ilvl w:val="0"/>
          <w:numId w:val="2"/>
        </w:numPr>
        <w:spacing w:line="360" w:lineRule="auto"/>
        <w:ind w:left="490" w:hanging="490"/>
        <w:rPr>
          <w:rFonts w:ascii="宋体"/>
          <w:color w:val="000000" w:themeColor="text1"/>
          <w:szCs w:val="21"/>
        </w:rPr>
      </w:pPr>
      <w:r>
        <w:rPr>
          <w:rFonts w:hint="eastAsia" w:ascii="宋体" w:hAnsi="宋体"/>
          <w:b/>
          <w:color w:val="000000" w:themeColor="text1"/>
          <w:sz w:val="24"/>
          <w:szCs w:val="24"/>
        </w:rPr>
        <w:t>招标内容：</w:t>
      </w:r>
    </w:p>
    <w:tbl>
      <w:tblPr>
        <w:tblStyle w:val="21"/>
        <w:tblpPr w:leftFromText="180" w:rightFromText="180" w:vertAnchor="text" w:horzAnchor="page" w:tblpX="1520" w:tblpY="368"/>
        <w:tblOverlap w:val="never"/>
        <w:tblW w:w="9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420"/>
        <w:gridCol w:w="1440"/>
        <w:gridCol w:w="1260"/>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3" w:hRule="atLeast"/>
        </w:trPr>
        <w:tc>
          <w:tcPr>
            <w:tcW w:w="800" w:type="dxa"/>
            <w:vAlign w:val="center"/>
          </w:tcPr>
          <w:p>
            <w:pPr>
              <w:rPr>
                <w:rFonts w:ascii="宋体"/>
                <w:color w:val="000000" w:themeColor="text1"/>
                <w:szCs w:val="21"/>
              </w:rPr>
            </w:pPr>
            <w:r>
              <w:rPr>
                <w:rFonts w:hint="eastAsia" w:ascii="宋体" w:hAnsi="宋体"/>
                <w:color w:val="000000" w:themeColor="text1"/>
                <w:szCs w:val="21"/>
              </w:rPr>
              <w:t>序号</w:t>
            </w:r>
          </w:p>
        </w:tc>
        <w:tc>
          <w:tcPr>
            <w:tcW w:w="3420" w:type="dxa"/>
            <w:vAlign w:val="center"/>
          </w:tcPr>
          <w:p>
            <w:pPr>
              <w:ind w:firstLine="210" w:firstLineChars="100"/>
              <w:jc w:val="center"/>
              <w:rPr>
                <w:rFonts w:ascii="宋体"/>
                <w:color w:val="000000" w:themeColor="text1"/>
                <w:szCs w:val="21"/>
              </w:rPr>
            </w:pPr>
            <w:r>
              <w:rPr>
                <w:rFonts w:hint="eastAsia" w:ascii="宋体" w:hAnsi="宋体"/>
                <w:color w:val="000000" w:themeColor="text1"/>
                <w:szCs w:val="21"/>
              </w:rPr>
              <w:t>采购服务内容名称及包号</w:t>
            </w:r>
          </w:p>
        </w:tc>
        <w:tc>
          <w:tcPr>
            <w:tcW w:w="1440" w:type="dxa"/>
            <w:vAlign w:val="center"/>
          </w:tcPr>
          <w:p>
            <w:pPr>
              <w:jc w:val="center"/>
              <w:rPr>
                <w:rFonts w:ascii="宋体"/>
                <w:color w:val="000000" w:themeColor="text1"/>
                <w:szCs w:val="21"/>
              </w:rPr>
            </w:pPr>
            <w:r>
              <w:rPr>
                <w:rFonts w:hint="eastAsia" w:ascii="宋体" w:hAnsi="宋体"/>
                <w:color w:val="000000" w:themeColor="text1"/>
                <w:szCs w:val="21"/>
              </w:rPr>
              <w:t>预算金额</w:t>
            </w:r>
          </w:p>
          <w:p>
            <w:pPr>
              <w:jc w:val="center"/>
              <w:rPr>
                <w:rFonts w:ascii="宋体"/>
                <w:color w:val="000000" w:themeColor="text1"/>
                <w:szCs w:val="21"/>
              </w:rPr>
            </w:pPr>
            <w:r>
              <w:rPr>
                <w:rFonts w:hint="eastAsia" w:ascii="宋体" w:hAnsi="宋体"/>
                <w:color w:val="000000" w:themeColor="text1"/>
                <w:szCs w:val="21"/>
              </w:rPr>
              <w:t>（万元）</w:t>
            </w:r>
          </w:p>
        </w:tc>
        <w:tc>
          <w:tcPr>
            <w:tcW w:w="1260" w:type="dxa"/>
            <w:vAlign w:val="center"/>
          </w:tcPr>
          <w:p>
            <w:pPr>
              <w:jc w:val="center"/>
              <w:rPr>
                <w:rFonts w:ascii="宋体"/>
                <w:color w:val="000000" w:themeColor="text1"/>
                <w:szCs w:val="21"/>
              </w:rPr>
            </w:pPr>
            <w:r>
              <w:rPr>
                <w:rFonts w:hint="eastAsia" w:ascii="宋体" w:hAnsi="宋体"/>
                <w:color w:val="000000" w:themeColor="text1"/>
                <w:szCs w:val="21"/>
              </w:rPr>
              <w:t>供货期</w:t>
            </w:r>
          </w:p>
          <w:p>
            <w:pPr>
              <w:jc w:val="center"/>
              <w:rPr>
                <w:rFonts w:ascii="宋体"/>
                <w:color w:val="000000" w:themeColor="text1"/>
                <w:szCs w:val="21"/>
              </w:rPr>
            </w:pPr>
            <w:r>
              <w:rPr>
                <w:rFonts w:hint="eastAsia" w:ascii="宋体" w:hAnsi="宋体"/>
                <w:color w:val="000000" w:themeColor="text1"/>
                <w:szCs w:val="21"/>
              </w:rPr>
              <w:t>（含安装）</w:t>
            </w:r>
          </w:p>
        </w:tc>
        <w:tc>
          <w:tcPr>
            <w:tcW w:w="2092" w:type="dxa"/>
            <w:vAlign w:val="center"/>
          </w:tcPr>
          <w:p>
            <w:pPr>
              <w:jc w:val="center"/>
              <w:rPr>
                <w:rFonts w:ascii="宋体"/>
                <w:b/>
                <w:color w:val="000000" w:themeColor="text1"/>
                <w:szCs w:val="21"/>
              </w:rPr>
            </w:pPr>
            <w:r>
              <w:rPr>
                <w:rFonts w:hint="eastAsia" w:ascii="宋体" w:hAnsi="宋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80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1</w:t>
            </w:r>
          </w:p>
        </w:tc>
        <w:tc>
          <w:tcPr>
            <w:tcW w:w="3420" w:type="dxa"/>
            <w:vAlign w:val="center"/>
          </w:tcPr>
          <w:p>
            <w:pPr>
              <w:ind w:left="1050" w:hanging="1050" w:hangingChars="500"/>
              <w:rPr>
                <w:rFonts w:ascii="宋体" w:hAnsi="宋体" w:cs="宋体"/>
                <w:color w:val="000000" w:themeColor="text1"/>
                <w:sz w:val="24"/>
              </w:rPr>
            </w:pPr>
            <w:r>
              <w:rPr>
                <w:rFonts w:hint="eastAsia" w:ascii="宋体" w:hAnsi="宋体" w:cs="宋体"/>
                <w:color w:val="000000" w:themeColor="text1"/>
                <w:kern w:val="0"/>
                <w:szCs w:val="21"/>
              </w:rPr>
              <w:t>理化生实验室设备采购及安装项目    （一包）</w:t>
            </w:r>
          </w:p>
        </w:tc>
        <w:tc>
          <w:tcPr>
            <w:tcW w:w="144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159.982568</w:t>
            </w:r>
          </w:p>
        </w:tc>
        <w:tc>
          <w:tcPr>
            <w:tcW w:w="1260" w:type="dxa"/>
            <w:vMerge w:val="restart"/>
            <w:vAlign w:val="center"/>
          </w:tcPr>
          <w:p>
            <w:pPr>
              <w:jc w:val="center"/>
              <w:rPr>
                <w:rFonts w:ascii="宋体" w:hAnsi="宋体" w:cs="宋体"/>
                <w:color w:val="000000" w:themeColor="text1"/>
                <w:sz w:val="24"/>
              </w:rPr>
            </w:pPr>
            <w:r>
              <w:rPr>
                <w:rFonts w:hint="eastAsia" w:ascii="宋体" w:hAnsi="宋体" w:cs="宋体"/>
                <w:color w:val="000000" w:themeColor="text1"/>
                <w:szCs w:val="21"/>
              </w:rPr>
              <w:t>合同签订后</w:t>
            </w:r>
            <w:r>
              <w:rPr>
                <w:rFonts w:hint="eastAsia" w:ascii="宋体" w:hAnsi="宋体" w:cs="宋体"/>
                <w:b/>
                <w:color w:val="000000" w:themeColor="text1"/>
                <w:szCs w:val="21"/>
                <w:u w:val="single"/>
              </w:rPr>
              <w:t>30日</w:t>
            </w:r>
            <w:r>
              <w:rPr>
                <w:rFonts w:hint="eastAsia" w:ascii="宋体" w:hAnsi="宋体" w:cs="宋体"/>
                <w:color w:val="000000" w:themeColor="text1"/>
                <w:szCs w:val="21"/>
              </w:rPr>
              <w:t>历天</w:t>
            </w:r>
          </w:p>
        </w:tc>
        <w:tc>
          <w:tcPr>
            <w:tcW w:w="2092" w:type="dxa"/>
            <w:vMerge w:val="restart"/>
            <w:vAlign w:val="center"/>
          </w:tcPr>
          <w:p>
            <w:pPr>
              <w:rPr>
                <w:rFonts w:ascii="宋体" w:hAnsi="宋体" w:cs="宋体"/>
                <w:color w:val="000000" w:themeColor="text1"/>
                <w:szCs w:val="21"/>
              </w:rPr>
            </w:pPr>
            <w:r>
              <w:rPr>
                <w:rFonts w:hint="eastAsia" w:ascii="宋体" w:hAnsi="宋体" w:cs="宋体"/>
                <w:color w:val="000000" w:themeColor="text1"/>
                <w:szCs w:val="21"/>
              </w:rPr>
              <w:t>1、超过政府采购预算为废标</w:t>
            </w:r>
          </w:p>
          <w:p>
            <w:pPr>
              <w:rPr>
                <w:rFonts w:ascii="宋体" w:hAnsi="宋体" w:cs="宋体"/>
                <w:color w:val="000000" w:themeColor="text1"/>
                <w:sz w:val="24"/>
              </w:rPr>
            </w:pPr>
            <w:r>
              <w:rPr>
                <w:rFonts w:hint="eastAsia" w:ascii="宋体" w:hAnsi="宋体" w:cs="宋体"/>
                <w:color w:val="000000" w:themeColor="text1"/>
                <w:szCs w:val="21"/>
              </w:rPr>
              <w:t>2、其他要求详见招标文件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80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2</w:t>
            </w:r>
          </w:p>
        </w:tc>
        <w:tc>
          <w:tcPr>
            <w:tcW w:w="3420" w:type="dxa"/>
            <w:vAlign w:val="center"/>
          </w:tcPr>
          <w:p>
            <w:pPr>
              <w:rPr>
                <w:rFonts w:ascii="宋体" w:hAnsi="宋体" w:cs="宋体"/>
                <w:color w:val="000000" w:themeColor="text1"/>
                <w:kern w:val="0"/>
                <w:szCs w:val="21"/>
              </w:rPr>
            </w:pPr>
            <w:r>
              <w:rPr>
                <w:rFonts w:hint="eastAsia" w:ascii="宋体" w:hAnsi="宋体" w:cs="宋体"/>
                <w:color w:val="000000" w:themeColor="text1"/>
                <w:kern w:val="0"/>
                <w:szCs w:val="21"/>
              </w:rPr>
              <w:t>会议系统设备采购及安装项目</w:t>
            </w:r>
          </w:p>
          <w:p>
            <w:pPr>
              <w:ind w:firstLine="1050" w:firstLineChars="500"/>
              <w:rPr>
                <w:rFonts w:ascii="宋体" w:hAnsi="宋体" w:cs="宋体"/>
                <w:color w:val="000000" w:themeColor="text1"/>
                <w:kern w:val="0"/>
                <w:sz w:val="24"/>
              </w:rPr>
            </w:pPr>
            <w:r>
              <w:rPr>
                <w:rFonts w:hint="eastAsia" w:ascii="宋体" w:hAnsi="宋体" w:cs="宋体"/>
                <w:color w:val="000000" w:themeColor="text1"/>
                <w:kern w:val="0"/>
                <w:szCs w:val="21"/>
              </w:rPr>
              <w:t>（二包）</w:t>
            </w:r>
          </w:p>
        </w:tc>
        <w:tc>
          <w:tcPr>
            <w:tcW w:w="1440" w:type="dxa"/>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39.715532</w:t>
            </w:r>
          </w:p>
        </w:tc>
        <w:tc>
          <w:tcPr>
            <w:tcW w:w="1260" w:type="dxa"/>
            <w:vMerge w:val="continue"/>
            <w:vAlign w:val="center"/>
          </w:tcPr>
          <w:p>
            <w:pPr>
              <w:jc w:val="center"/>
              <w:rPr>
                <w:rFonts w:ascii="宋体" w:hAnsi="宋体" w:cs="宋体"/>
                <w:color w:val="000000" w:themeColor="text1"/>
                <w:sz w:val="24"/>
              </w:rPr>
            </w:pPr>
          </w:p>
        </w:tc>
        <w:tc>
          <w:tcPr>
            <w:tcW w:w="2092" w:type="dxa"/>
            <w:vMerge w:val="continue"/>
            <w:vAlign w:val="center"/>
          </w:tcPr>
          <w:p>
            <w:pPr>
              <w:rPr>
                <w:rFonts w:ascii="宋体" w:hAnsi="宋体" w:cs="宋体"/>
                <w:color w:val="000000" w:themeColor="text1"/>
                <w:sz w:val="24"/>
              </w:rPr>
            </w:pPr>
          </w:p>
        </w:tc>
      </w:tr>
    </w:tbl>
    <w:p>
      <w:pPr>
        <w:spacing w:line="360" w:lineRule="auto"/>
        <w:rPr>
          <w:rFonts w:ascii="宋体" w:hAnsi="宋体" w:cs="宋体"/>
          <w:color w:val="000000" w:themeColor="text1"/>
          <w:sz w:val="24"/>
          <w:szCs w:val="24"/>
        </w:rPr>
      </w:pPr>
    </w:p>
    <w:p>
      <w:pPr>
        <w:spacing w:line="360" w:lineRule="auto"/>
        <w:ind w:firstLine="1440" w:firstLineChars="600"/>
        <w:rPr>
          <w:rFonts w:ascii="宋体"/>
          <w:color w:val="000000" w:themeColor="text1"/>
          <w:sz w:val="24"/>
          <w:szCs w:val="24"/>
        </w:rPr>
      </w:pPr>
      <w:r>
        <w:rPr>
          <w:rFonts w:hint="eastAsia" w:ascii="宋体" w:hAnsi="宋体" w:cs="宋体"/>
          <w:color w:val="000000" w:themeColor="text1"/>
          <w:sz w:val="24"/>
          <w:szCs w:val="24"/>
        </w:rPr>
        <w:t>（详见招标文件《采购清单》）</w:t>
      </w:r>
    </w:p>
    <w:p>
      <w:pPr>
        <w:numPr>
          <w:ilvl w:val="0"/>
          <w:numId w:val="2"/>
        </w:numPr>
        <w:spacing w:line="360" w:lineRule="auto"/>
        <w:ind w:left="490" w:hanging="490"/>
        <w:rPr>
          <w:rFonts w:ascii="宋体"/>
          <w:color w:val="000000" w:themeColor="text1"/>
          <w:sz w:val="24"/>
          <w:szCs w:val="24"/>
        </w:rPr>
      </w:pPr>
      <w:r>
        <w:rPr>
          <w:rFonts w:hint="eastAsia" w:ascii="宋体" w:hAnsi="宋体"/>
          <w:b/>
          <w:color w:val="000000" w:themeColor="text1"/>
          <w:sz w:val="24"/>
          <w:szCs w:val="24"/>
        </w:rPr>
        <w:t>采购预算：</w:t>
      </w:r>
      <w:r>
        <w:rPr>
          <w:rFonts w:hint="eastAsia" w:ascii="宋体" w:hAnsi="宋体"/>
          <w:color w:val="000000" w:themeColor="text1"/>
          <w:sz w:val="24"/>
          <w:szCs w:val="24"/>
        </w:rPr>
        <w:t>一包:人民币</w:t>
      </w:r>
      <w:r>
        <w:rPr>
          <w:rFonts w:hint="eastAsia" w:ascii="宋体" w:hAnsi="宋体"/>
          <w:color w:val="000000" w:themeColor="text1"/>
          <w:sz w:val="24"/>
          <w:szCs w:val="24"/>
          <w:u w:val="single"/>
        </w:rPr>
        <w:t>159.982568</w:t>
      </w:r>
      <w:r>
        <w:rPr>
          <w:rFonts w:hint="eastAsia" w:ascii="宋体" w:hAnsi="宋体"/>
          <w:color w:val="000000" w:themeColor="text1"/>
          <w:sz w:val="24"/>
          <w:szCs w:val="24"/>
        </w:rPr>
        <w:t>万元,二包:人民币</w:t>
      </w:r>
      <w:r>
        <w:rPr>
          <w:rFonts w:hint="eastAsia" w:ascii="宋体" w:hAnsi="宋体"/>
          <w:color w:val="000000" w:themeColor="text1"/>
          <w:sz w:val="24"/>
          <w:szCs w:val="24"/>
          <w:u w:val="single"/>
        </w:rPr>
        <w:t>39.715532</w:t>
      </w:r>
      <w:r>
        <w:rPr>
          <w:rFonts w:hint="eastAsia" w:ascii="宋体" w:hAnsi="宋体"/>
          <w:color w:val="000000" w:themeColor="text1"/>
          <w:sz w:val="24"/>
          <w:szCs w:val="24"/>
        </w:rPr>
        <w:t>万元。</w:t>
      </w:r>
    </w:p>
    <w:p>
      <w:pPr>
        <w:numPr>
          <w:ilvl w:val="0"/>
          <w:numId w:val="2"/>
        </w:numPr>
        <w:spacing w:line="360" w:lineRule="auto"/>
        <w:ind w:left="490" w:hanging="490"/>
        <w:rPr>
          <w:rFonts w:ascii="宋体"/>
          <w:color w:val="000000" w:themeColor="text1"/>
          <w:sz w:val="24"/>
          <w:szCs w:val="24"/>
        </w:rPr>
      </w:pPr>
      <w:r>
        <w:rPr>
          <w:rFonts w:hint="eastAsia" w:ascii="宋体" w:hAnsi="宋体"/>
          <w:b/>
          <w:color w:val="000000" w:themeColor="text1"/>
          <w:sz w:val="24"/>
          <w:szCs w:val="24"/>
        </w:rPr>
        <w:t>资金来源：</w:t>
      </w:r>
      <w:r>
        <w:rPr>
          <w:rFonts w:hint="eastAsia" w:ascii="宋体" w:hAnsi="宋体"/>
          <w:color w:val="000000" w:themeColor="text1"/>
          <w:sz w:val="24"/>
          <w:szCs w:val="24"/>
        </w:rPr>
        <w:t>上级拨款</w:t>
      </w:r>
    </w:p>
    <w:p>
      <w:pPr>
        <w:numPr>
          <w:ilvl w:val="0"/>
          <w:numId w:val="2"/>
        </w:numPr>
        <w:spacing w:line="360" w:lineRule="auto"/>
        <w:ind w:left="490" w:hanging="490"/>
        <w:rPr>
          <w:rFonts w:ascii="宋体"/>
          <w:color w:val="000000" w:themeColor="text1"/>
          <w:sz w:val="24"/>
          <w:szCs w:val="24"/>
        </w:rPr>
      </w:pPr>
      <w:r>
        <w:rPr>
          <w:rFonts w:hint="eastAsia" w:ascii="宋体" w:hAnsi="宋体"/>
          <w:b/>
          <w:color w:val="000000" w:themeColor="text1"/>
          <w:sz w:val="24"/>
          <w:szCs w:val="24"/>
        </w:rPr>
        <w:t>政府集中采购项目：否</w:t>
      </w:r>
    </w:p>
    <w:p>
      <w:pPr>
        <w:numPr>
          <w:ilvl w:val="0"/>
          <w:numId w:val="2"/>
        </w:numPr>
        <w:spacing w:line="360" w:lineRule="auto"/>
        <w:ind w:left="490" w:hanging="490"/>
        <w:rPr>
          <w:rFonts w:ascii="宋体"/>
          <w:b/>
          <w:color w:val="000000" w:themeColor="text1"/>
          <w:sz w:val="24"/>
          <w:szCs w:val="24"/>
        </w:rPr>
      </w:pPr>
      <w:r>
        <w:rPr>
          <w:rFonts w:hint="eastAsia" w:ascii="宋体" w:hAnsi="宋体"/>
          <w:b/>
          <w:color w:val="000000" w:themeColor="text1"/>
          <w:sz w:val="24"/>
          <w:szCs w:val="24"/>
        </w:rPr>
        <w:t>投标人资格要求：</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1、应具备《政府采购法》第二十二条第一款规定的条件；</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2、参加本次政府采购活动前三年内，在经营活动中没有重大违法记录并须提交《参加政府采购活动前</w:t>
      </w:r>
      <w:r>
        <w:rPr>
          <w:rFonts w:ascii="宋体" w:hAnsi="宋体" w:cs="宋体"/>
          <w:color w:val="000000" w:themeColor="text1"/>
          <w:sz w:val="24"/>
        </w:rPr>
        <w:t>3</w:t>
      </w:r>
      <w:r>
        <w:rPr>
          <w:rFonts w:hint="eastAsia" w:ascii="宋体" w:hAnsi="宋体" w:cs="宋体"/>
          <w:color w:val="000000" w:themeColor="text1"/>
          <w:sz w:val="24"/>
        </w:rPr>
        <w:t>年内在经营活动中没有重大违法记录的书面声明》，且必须未被列入</w:t>
      </w:r>
      <w:r>
        <w:rPr>
          <w:rFonts w:ascii="宋体" w:hAnsi="宋体" w:cs="宋体"/>
          <w:color w:val="000000" w:themeColor="text1"/>
          <w:sz w:val="24"/>
        </w:rPr>
        <w:t>"</w:t>
      </w:r>
      <w:r>
        <w:rPr>
          <w:rFonts w:hint="eastAsia" w:ascii="宋体" w:hAnsi="宋体" w:cs="宋体"/>
          <w:color w:val="000000" w:themeColor="text1"/>
          <w:sz w:val="24"/>
        </w:rPr>
        <w:t>信用中国</w:t>
      </w:r>
      <w:r>
        <w:rPr>
          <w:rFonts w:ascii="宋体" w:hAnsi="宋体" w:cs="宋体"/>
          <w:color w:val="000000" w:themeColor="text1"/>
          <w:sz w:val="24"/>
        </w:rPr>
        <w:t>"</w:t>
      </w:r>
      <w:r>
        <w:rPr>
          <w:rFonts w:hint="eastAsia" w:ascii="宋体" w:hAnsi="宋体" w:cs="宋体"/>
          <w:color w:val="000000" w:themeColor="text1"/>
          <w:sz w:val="24"/>
        </w:rPr>
        <w:t>网站</w:t>
      </w:r>
      <w:r>
        <w:rPr>
          <w:rFonts w:ascii="宋体" w:hAnsi="宋体" w:cs="宋体"/>
          <w:color w:val="000000" w:themeColor="text1"/>
          <w:sz w:val="24"/>
        </w:rPr>
        <w:t>(www.creditchina.gov.cn)</w:t>
      </w:r>
      <w:r>
        <w:rPr>
          <w:rFonts w:hint="eastAsia" w:ascii="宋体" w:hAnsi="宋体" w:cs="宋体"/>
          <w:color w:val="000000" w:themeColor="text1"/>
          <w:sz w:val="24"/>
        </w:rPr>
        <w:t>失信被执行人（须提供网站截图）、重大税收违法案件当事人、政府采购严重违法失信行为记录名单。</w:t>
      </w:r>
    </w:p>
    <w:p>
      <w:pPr>
        <w:numPr>
          <w:ilvl w:val="0"/>
          <w:numId w:val="3"/>
        </w:numPr>
        <w:tabs>
          <w:tab w:val="left" w:pos="896"/>
        </w:tabs>
        <w:spacing w:line="360" w:lineRule="auto"/>
        <w:rPr>
          <w:rFonts w:ascii="宋体" w:hAnsi="宋体"/>
          <w:color w:val="FF0000"/>
          <w:sz w:val="24"/>
          <w:szCs w:val="24"/>
        </w:rPr>
      </w:pPr>
      <w:r>
        <w:rPr>
          <w:rFonts w:ascii="宋体" w:hAnsi="宋体" w:cs="宋体"/>
          <w:color w:val="000000" w:themeColor="text1"/>
          <w:sz w:val="24"/>
        </w:rPr>
        <w:t>3</w:t>
      </w:r>
      <w:r>
        <w:rPr>
          <w:rFonts w:hint="eastAsia" w:ascii="宋体" w:hAnsi="宋体" w:cs="宋体"/>
          <w:color w:val="000000" w:themeColor="text1"/>
          <w:sz w:val="24"/>
        </w:rPr>
        <w:t>、特定条件：</w:t>
      </w:r>
      <w:r>
        <w:rPr>
          <w:rFonts w:hint="eastAsia" w:ascii="宋体" w:hAnsi="宋体"/>
          <w:bCs/>
          <w:color w:val="FF0000"/>
          <w:sz w:val="24"/>
        </w:rPr>
        <w:t>一包投标人必须是中国境内注册的企业法人</w:t>
      </w:r>
      <w:r>
        <w:rPr>
          <w:rFonts w:ascii="宋体"/>
          <w:bCs/>
          <w:color w:val="FF0000"/>
          <w:sz w:val="24"/>
        </w:rPr>
        <w:t>,</w:t>
      </w:r>
      <w:r>
        <w:rPr>
          <w:rFonts w:hint="eastAsia" w:ascii="宋体" w:hAnsi="宋体"/>
          <w:bCs/>
          <w:color w:val="FF0000"/>
          <w:sz w:val="24"/>
        </w:rPr>
        <w:t>具有合格有效的营业执照，且是实验室设备的制造商；二包</w:t>
      </w:r>
      <w:r>
        <w:rPr>
          <w:rFonts w:ascii="宋体" w:hAnsi="宋体"/>
          <w:color w:val="FF0000"/>
          <w:sz w:val="24"/>
          <w:szCs w:val="24"/>
        </w:rPr>
        <w:t>投标人必须是中国境内注册的企业法人,具有合格有效的营业执照,且经营范围包括相关的信息集成系统等类似内容。</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4、同一投标人只允许投其中一个包。</w:t>
      </w:r>
    </w:p>
    <w:p>
      <w:pPr>
        <w:pStyle w:val="43"/>
        <w:spacing w:line="360" w:lineRule="auto"/>
        <w:ind w:left="482" w:firstLine="0" w:firstLineChars="0"/>
        <w:jc w:val="left"/>
        <w:rPr>
          <w:rFonts w:ascii="宋体" w:hAnsi="宋体" w:cs="宋体"/>
          <w:color w:val="000000" w:themeColor="text1"/>
          <w:sz w:val="24"/>
        </w:rPr>
      </w:pPr>
      <w:r>
        <w:rPr>
          <w:rFonts w:ascii="宋体" w:hAnsi="宋体" w:cs="宋体"/>
          <w:color w:val="000000" w:themeColor="text1"/>
          <w:sz w:val="24"/>
        </w:rPr>
        <w:t>5</w:t>
      </w:r>
      <w:r>
        <w:rPr>
          <w:rFonts w:hint="eastAsia" w:ascii="宋体" w:hAnsi="宋体" w:cs="宋体"/>
          <w:color w:val="000000" w:themeColor="text1"/>
          <w:sz w:val="24"/>
        </w:rPr>
        <w:t>、不接受联合体形式的投标。</w:t>
      </w:r>
    </w:p>
    <w:p>
      <w:pPr>
        <w:numPr>
          <w:ilvl w:val="0"/>
          <w:numId w:val="2"/>
        </w:numPr>
        <w:spacing w:line="360" w:lineRule="auto"/>
        <w:ind w:left="490" w:hanging="490"/>
        <w:rPr>
          <w:rFonts w:ascii="宋体" w:cs="宋体"/>
          <w:b/>
          <w:color w:val="000000" w:themeColor="text1"/>
          <w:kern w:val="0"/>
          <w:sz w:val="24"/>
          <w:szCs w:val="24"/>
        </w:rPr>
      </w:pPr>
      <w:r>
        <w:rPr>
          <w:rFonts w:hint="eastAsia" w:ascii="宋体" w:hAnsi="宋体" w:cs="宋体"/>
          <w:b/>
          <w:color w:val="000000" w:themeColor="text1"/>
          <w:kern w:val="0"/>
          <w:sz w:val="24"/>
          <w:szCs w:val="24"/>
        </w:rPr>
        <w:t>政府采购相关政策执行：</w:t>
      </w:r>
    </w:p>
    <w:p>
      <w:pPr>
        <w:tabs>
          <w:tab w:val="left" w:pos="896"/>
        </w:tabs>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落实政府采购强制、优先采购节能产品政策；政府采购优先采购环保产品政策；政府采购促进中小企业发展（监狱企业、残疾人福利性单位视同小微企业）等政策。</w:t>
      </w:r>
    </w:p>
    <w:p>
      <w:pPr>
        <w:tabs>
          <w:tab w:val="left" w:pos="896"/>
        </w:tabs>
        <w:spacing w:line="360" w:lineRule="auto"/>
        <w:ind w:firstLine="480" w:firstLineChars="200"/>
        <w:rPr>
          <w:rFonts w:ascii="宋体"/>
          <w:b/>
          <w:color w:val="000000" w:themeColor="text1"/>
          <w:sz w:val="24"/>
          <w:szCs w:val="24"/>
        </w:rPr>
      </w:pPr>
      <w:r>
        <w:rPr>
          <w:rFonts w:hint="eastAsia" w:ascii="宋体" w:hAnsi="宋体"/>
          <w:b/>
          <w:color w:val="000000" w:themeColor="text1"/>
          <w:sz w:val="24"/>
          <w:szCs w:val="24"/>
        </w:rPr>
        <w:t>是否专门面向中小企业、监狱企业、残疾人福利性单位：否。</w:t>
      </w:r>
    </w:p>
    <w:p>
      <w:pPr>
        <w:numPr>
          <w:ilvl w:val="0"/>
          <w:numId w:val="2"/>
        </w:numPr>
        <w:spacing w:line="360" w:lineRule="auto"/>
        <w:ind w:left="490" w:hanging="490"/>
        <w:rPr>
          <w:rFonts w:ascii="宋体" w:cs="宋体"/>
          <w:b/>
          <w:color w:val="000000" w:themeColor="text1"/>
          <w:kern w:val="0"/>
          <w:sz w:val="24"/>
          <w:szCs w:val="24"/>
        </w:rPr>
      </w:pPr>
      <w:r>
        <w:rPr>
          <w:rFonts w:hint="eastAsia" w:ascii="宋体" w:hAnsi="宋体" w:cs="宋体"/>
          <w:b/>
          <w:color w:val="000000" w:themeColor="text1"/>
          <w:kern w:val="0"/>
          <w:sz w:val="24"/>
          <w:szCs w:val="24"/>
          <w:lang w:val="zh-CN"/>
        </w:rPr>
        <w:t>招标文件获取</w:t>
      </w:r>
      <w:r>
        <w:rPr>
          <w:rFonts w:hint="eastAsia" w:ascii="宋体" w:hAnsi="宋体" w:cs="宋体"/>
          <w:b/>
          <w:color w:val="000000" w:themeColor="text1"/>
          <w:kern w:val="0"/>
          <w:sz w:val="24"/>
          <w:szCs w:val="24"/>
        </w:rPr>
        <w:t>：</w:t>
      </w:r>
    </w:p>
    <w:p>
      <w:pPr>
        <w:widowControl/>
        <w:shd w:val="clear" w:color="auto" w:fill="FFFFFF"/>
        <w:spacing w:line="360" w:lineRule="auto"/>
        <w:ind w:firstLine="465"/>
        <w:jc w:val="left"/>
        <w:rPr>
          <w:rFonts w:ascii="宋体" w:hAnsi="宋体" w:cs="宋体"/>
          <w:color w:val="000000" w:themeColor="text1"/>
          <w:kern w:val="0"/>
          <w:sz w:val="24"/>
          <w:szCs w:val="24"/>
        </w:rPr>
      </w:pPr>
      <w:r>
        <w:rPr>
          <w:rFonts w:hint="eastAsia" w:ascii="宋体" w:hAnsi="宋体"/>
          <w:color w:val="000000" w:themeColor="text1"/>
          <w:sz w:val="24"/>
          <w:szCs w:val="24"/>
        </w:rPr>
        <w:t>本项目实行网上下载标书，招标文件与本招标公告同时发布（见招标文件下载），凡自愿参加本项目投标者，请于</w:t>
      </w:r>
      <w:r>
        <w:rPr>
          <w:rFonts w:hint="eastAsia" w:ascii="Times New Roman" w:hAnsi="Times New Roman" w:cs="宋体"/>
          <w:color w:val="000000" w:themeColor="text1"/>
          <w:sz w:val="24"/>
          <w:szCs w:val="24"/>
        </w:rPr>
        <w:t>2019年 8月 8日至2019年 8月13日17：30</w:t>
      </w:r>
      <w:r>
        <w:rPr>
          <w:rFonts w:hint="eastAsia" w:ascii="Times New Roman" w:hAnsi="Times New Roman" w:cs="宋体"/>
          <w:color w:val="000000" w:themeColor="text1"/>
          <w:sz w:val="24"/>
          <w:szCs w:val="24"/>
          <w:lang w:eastAsia="zh-CN"/>
        </w:rPr>
        <w:t>前</w:t>
      </w:r>
      <w:r>
        <w:rPr>
          <w:rFonts w:hint="eastAsia" w:ascii="宋体" w:hAnsi="宋体"/>
          <w:sz w:val="24"/>
          <w:szCs w:val="24"/>
        </w:rPr>
        <w:t>点</w:t>
      </w:r>
      <w:r>
        <w:rPr>
          <w:rFonts w:hint="eastAsia" w:ascii="宋体" w:hAnsi="宋体"/>
          <w:color w:val="000000" w:themeColor="text1"/>
          <w:sz w:val="24"/>
          <w:szCs w:val="24"/>
        </w:rPr>
        <w:t>击项目招标公告中的链接免费下载招标文件，并在投标截止时间前办理所有投标手续并同时递交投标文件</w:t>
      </w:r>
      <w:r>
        <w:rPr>
          <w:rFonts w:hint="eastAsia" w:ascii="宋体" w:hAnsi="宋体"/>
          <w:b/>
          <w:color w:val="000000" w:themeColor="text1"/>
          <w:sz w:val="24"/>
          <w:szCs w:val="24"/>
        </w:rPr>
        <w:t>。</w:t>
      </w:r>
    </w:p>
    <w:p>
      <w:pPr>
        <w:numPr>
          <w:ilvl w:val="0"/>
          <w:numId w:val="2"/>
        </w:numPr>
        <w:spacing w:line="360" w:lineRule="auto"/>
        <w:ind w:left="728" w:hanging="728"/>
        <w:rPr>
          <w:rFonts w:ascii="宋体" w:cs="宋体"/>
          <w:b/>
          <w:color w:val="000000" w:themeColor="text1"/>
          <w:kern w:val="0"/>
          <w:sz w:val="24"/>
          <w:szCs w:val="24"/>
          <w:lang w:val="zh-CN"/>
        </w:rPr>
      </w:pPr>
      <w:r>
        <w:rPr>
          <w:rFonts w:hint="eastAsia" w:ascii="宋体" w:hAnsi="宋体" w:cs="宋体"/>
          <w:b/>
          <w:color w:val="000000" w:themeColor="text1"/>
          <w:kern w:val="0"/>
          <w:sz w:val="24"/>
          <w:szCs w:val="24"/>
          <w:lang w:val="zh-CN"/>
        </w:rPr>
        <w:t>投标信息：</w:t>
      </w:r>
    </w:p>
    <w:p>
      <w:pPr>
        <w:spacing w:line="360" w:lineRule="auto"/>
        <w:ind w:firstLine="470" w:firstLineChars="196"/>
        <w:rPr>
          <w:rFonts w:ascii="宋体" w:cs="宋体"/>
          <w:b/>
          <w:color w:val="000000" w:themeColor="text1"/>
          <w:kern w:val="0"/>
          <w:sz w:val="24"/>
          <w:szCs w:val="24"/>
        </w:rPr>
      </w:pPr>
      <w:r>
        <w:rPr>
          <w:rFonts w:hint="eastAsia" w:ascii="宋体" w:hAnsi="宋体" w:cs="宋体"/>
          <w:color w:val="000000" w:themeColor="text1"/>
          <w:kern w:val="0"/>
          <w:sz w:val="24"/>
          <w:szCs w:val="24"/>
        </w:rPr>
        <w:t>投标文件递交截止时间：</w:t>
      </w:r>
      <w:r>
        <w:rPr>
          <w:rFonts w:hint="eastAsia" w:ascii="Times New Roman" w:hAnsi="Times New Roman" w:cs="宋体"/>
          <w:color w:val="000000" w:themeColor="text1"/>
          <w:sz w:val="24"/>
          <w:szCs w:val="24"/>
        </w:rPr>
        <w:t>2019 年 8月 29日 9:00</w:t>
      </w:r>
      <w:r>
        <w:rPr>
          <w:rFonts w:hint="eastAsia" w:ascii="宋体" w:hAnsi="宋体" w:cs="宋体"/>
          <w:color w:val="000000" w:themeColor="text1"/>
          <w:kern w:val="0"/>
          <w:sz w:val="24"/>
          <w:szCs w:val="24"/>
        </w:rPr>
        <w:t>（8时</w:t>
      </w:r>
      <w:r>
        <w:rPr>
          <w:rFonts w:ascii="宋体" w:hAnsi="宋体" w:cs="宋体"/>
          <w:color w:val="000000" w:themeColor="text1"/>
          <w:kern w:val="0"/>
          <w:sz w:val="24"/>
          <w:szCs w:val="24"/>
        </w:rPr>
        <w:t>30</w:t>
      </w:r>
      <w:r>
        <w:rPr>
          <w:rFonts w:hint="eastAsia" w:ascii="宋体" w:hAnsi="宋体" w:cs="宋体"/>
          <w:color w:val="000000" w:themeColor="text1"/>
          <w:kern w:val="0"/>
          <w:sz w:val="24"/>
          <w:szCs w:val="24"/>
        </w:rPr>
        <w:t>分开始接收投标文件，拒收逾期送达或者未按招标文件要求密封的投标文件）</w:t>
      </w:r>
    </w:p>
    <w:p>
      <w:pPr>
        <w:widowControl/>
        <w:spacing w:line="360" w:lineRule="auto"/>
        <w:ind w:firstLine="470" w:firstLineChars="196"/>
        <w:jc w:val="left"/>
        <w:rPr>
          <w:rFonts w:ascii="宋体" w:cs="宋体"/>
          <w:color w:val="000000" w:themeColor="text1"/>
          <w:kern w:val="0"/>
          <w:sz w:val="24"/>
          <w:szCs w:val="24"/>
        </w:rPr>
      </w:pPr>
      <w:r>
        <w:rPr>
          <w:rFonts w:hint="eastAsia" w:ascii="宋体" w:hAnsi="宋体" w:cs="宋体"/>
          <w:color w:val="000000" w:themeColor="text1"/>
          <w:kern w:val="0"/>
          <w:sz w:val="24"/>
          <w:szCs w:val="24"/>
        </w:rPr>
        <w:t>投标文件递交地点：阳新县公共资源交易中心</w:t>
      </w:r>
      <w:r>
        <w:rPr>
          <w:rFonts w:hint="eastAsia" w:ascii="宋体" w:hAnsi="宋体" w:cs="宋体"/>
          <w:color w:val="auto"/>
          <w:kern w:val="0"/>
          <w:szCs w:val="21"/>
          <w:u w:val="none"/>
        </w:rPr>
        <w:t xml:space="preserve">二 </w:t>
      </w:r>
      <w:r>
        <w:rPr>
          <w:rFonts w:hint="eastAsia" w:ascii="宋体" w:hAnsi="宋体" w:cs="宋体"/>
          <w:color w:val="000000" w:themeColor="text1"/>
          <w:kern w:val="0"/>
          <w:sz w:val="24"/>
          <w:szCs w:val="24"/>
        </w:rPr>
        <w:t>楼开标大厅（阳新县熊家垴安置小区东侧）</w:t>
      </w:r>
    </w:p>
    <w:p>
      <w:pPr>
        <w:widowControl/>
        <w:spacing w:line="357" w:lineRule="atLeast"/>
        <w:ind w:firstLine="480" w:firstLineChars="200"/>
        <w:textAlignment w:val="baseline"/>
        <w:rPr>
          <w:rFonts w:ascii="宋体" w:cs="宋体"/>
          <w:color w:val="000000" w:themeColor="text1"/>
          <w:kern w:val="0"/>
          <w:sz w:val="24"/>
          <w:szCs w:val="24"/>
        </w:rPr>
      </w:pPr>
      <w:r>
        <w:rPr>
          <w:rFonts w:hint="eastAsia" w:ascii="Times New Roman" w:hAnsi="Times New Roman" w:cs="宋体"/>
          <w:color w:val="000000" w:themeColor="text1"/>
          <w:sz w:val="24"/>
          <w:szCs w:val="24"/>
        </w:rPr>
        <w:t>届时请参加投标的授权代表携带有效身份证、法人身份证明书或法人委托授权书（原件）出席开标大会，否则视同认可开标结果。</w:t>
      </w:r>
    </w:p>
    <w:p>
      <w:pPr>
        <w:numPr>
          <w:ilvl w:val="0"/>
          <w:numId w:val="2"/>
        </w:numPr>
        <w:spacing w:line="360" w:lineRule="auto"/>
        <w:ind w:left="728" w:hanging="728"/>
        <w:rPr>
          <w:rFonts w:ascii="宋体" w:cs="宋体"/>
          <w:b/>
          <w:color w:val="000000" w:themeColor="text1"/>
          <w:kern w:val="0"/>
          <w:sz w:val="24"/>
          <w:szCs w:val="24"/>
          <w:lang w:val="zh-CN"/>
        </w:rPr>
      </w:pPr>
      <w:r>
        <w:rPr>
          <w:rFonts w:hint="eastAsia" w:ascii="宋体" w:hAnsi="宋体" w:cs="宋体"/>
          <w:b/>
          <w:color w:val="000000" w:themeColor="text1"/>
          <w:kern w:val="0"/>
          <w:sz w:val="24"/>
          <w:szCs w:val="24"/>
          <w:lang w:val="zh-CN"/>
        </w:rPr>
        <w:t>开标信息：</w:t>
      </w:r>
    </w:p>
    <w:p>
      <w:pPr>
        <w:spacing w:line="360" w:lineRule="auto"/>
        <w:ind w:firstLine="470" w:firstLineChars="196"/>
        <w:rPr>
          <w:rFonts w:hint="eastAsia" w:ascii="Times New Roman" w:hAnsi="Times New Roman" w:cs="宋体"/>
          <w:color w:val="000000" w:themeColor="text1"/>
          <w:sz w:val="24"/>
          <w:szCs w:val="24"/>
        </w:rPr>
      </w:pPr>
      <w:r>
        <w:rPr>
          <w:rFonts w:hint="eastAsia" w:ascii="宋体" w:hAnsi="宋体" w:cs="宋体"/>
          <w:color w:val="000000" w:themeColor="text1"/>
          <w:kern w:val="0"/>
          <w:sz w:val="24"/>
          <w:szCs w:val="24"/>
        </w:rPr>
        <w:t>开标时间：</w:t>
      </w:r>
      <w:r>
        <w:rPr>
          <w:rFonts w:hint="eastAsia" w:ascii="Times New Roman" w:hAnsi="Times New Roman" w:cs="宋体"/>
          <w:color w:val="000000" w:themeColor="text1"/>
          <w:sz w:val="24"/>
          <w:szCs w:val="24"/>
        </w:rPr>
        <w:t>2019 年 8月 29日 9:00</w:t>
      </w:r>
    </w:p>
    <w:p>
      <w:pPr>
        <w:spacing w:line="360" w:lineRule="auto"/>
        <w:ind w:firstLine="470" w:firstLineChars="196"/>
        <w:rPr>
          <w:rFonts w:ascii="宋体" w:cs="宋体"/>
          <w:color w:val="000000" w:themeColor="text1"/>
          <w:kern w:val="0"/>
          <w:sz w:val="24"/>
          <w:szCs w:val="24"/>
        </w:rPr>
      </w:pPr>
      <w:r>
        <w:rPr>
          <w:rFonts w:hint="eastAsia" w:ascii="宋体" w:hAnsi="宋体" w:cs="宋体"/>
          <w:color w:val="000000" w:themeColor="text1"/>
          <w:kern w:val="0"/>
          <w:sz w:val="24"/>
          <w:szCs w:val="24"/>
        </w:rPr>
        <w:t>开标地点：</w:t>
      </w:r>
      <w:r>
        <w:rPr>
          <w:rFonts w:hint="eastAsia" w:ascii="宋体" w:hAnsi="宋体" w:cs="宋体"/>
          <w:color w:val="FF0000"/>
          <w:kern w:val="0"/>
          <w:sz w:val="24"/>
          <w:szCs w:val="24"/>
        </w:rPr>
        <w:t>阳新县公共资源交易中心</w:t>
      </w:r>
      <w:r>
        <w:rPr>
          <w:rFonts w:hint="eastAsia" w:ascii="宋体" w:hAnsi="宋体" w:cs="宋体"/>
          <w:color w:val="FF0000"/>
          <w:kern w:val="0"/>
          <w:sz w:val="24"/>
          <w:szCs w:val="24"/>
          <w:lang w:eastAsia="zh-CN"/>
        </w:rPr>
        <w:t>二</w:t>
      </w:r>
      <w:r>
        <w:rPr>
          <w:rFonts w:hint="eastAsia" w:ascii="宋体" w:hAnsi="宋体" w:cs="宋体"/>
          <w:color w:val="FF0000"/>
          <w:kern w:val="0"/>
          <w:sz w:val="24"/>
          <w:szCs w:val="24"/>
        </w:rPr>
        <w:t>楼开标大厅</w:t>
      </w:r>
      <w:r>
        <w:rPr>
          <w:rFonts w:hint="eastAsia" w:ascii="宋体" w:hAnsi="宋体" w:cs="宋体"/>
          <w:color w:val="000000" w:themeColor="text1"/>
          <w:kern w:val="0"/>
          <w:sz w:val="24"/>
          <w:szCs w:val="24"/>
        </w:rPr>
        <w:t>（阳新县熊家垴安置小区东侧）</w:t>
      </w:r>
    </w:p>
    <w:p>
      <w:pPr>
        <w:numPr>
          <w:ilvl w:val="0"/>
          <w:numId w:val="2"/>
        </w:numPr>
        <w:spacing w:line="360" w:lineRule="auto"/>
        <w:ind w:left="728" w:hanging="728"/>
        <w:rPr>
          <w:rFonts w:ascii="宋体"/>
          <w:color w:val="000000" w:themeColor="text1"/>
          <w:sz w:val="24"/>
          <w:szCs w:val="24"/>
        </w:rPr>
      </w:pPr>
      <w:r>
        <w:rPr>
          <w:rFonts w:hint="eastAsia" w:ascii="宋体" w:hAnsi="宋体" w:cs="宋体"/>
          <w:b/>
          <w:color w:val="000000" w:themeColor="text1"/>
          <w:kern w:val="0"/>
          <w:sz w:val="24"/>
          <w:szCs w:val="24"/>
          <w:lang w:val="zh-CN"/>
        </w:rPr>
        <w:t>公告期限：</w:t>
      </w:r>
      <w:r>
        <w:rPr>
          <w:rFonts w:hint="eastAsia" w:ascii="宋体" w:hAnsi="宋体"/>
          <w:color w:val="000000" w:themeColor="text1"/>
          <w:sz w:val="24"/>
          <w:szCs w:val="24"/>
        </w:rPr>
        <w:t>自公告发布之日起</w:t>
      </w:r>
      <w:r>
        <w:rPr>
          <w:rFonts w:ascii="宋体" w:hAnsi="宋体"/>
          <w:color w:val="000000" w:themeColor="text1"/>
          <w:sz w:val="24"/>
          <w:szCs w:val="24"/>
        </w:rPr>
        <w:t>5</w:t>
      </w:r>
      <w:r>
        <w:rPr>
          <w:rFonts w:hint="eastAsia" w:ascii="宋体" w:hAnsi="宋体"/>
          <w:color w:val="000000" w:themeColor="text1"/>
          <w:sz w:val="24"/>
          <w:szCs w:val="24"/>
        </w:rPr>
        <w:t>个工作日。</w:t>
      </w:r>
    </w:p>
    <w:p>
      <w:pPr>
        <w:numPr>
          <w:ilvl w:val="0"/>
          <w:numId w:val="2"/>
        </w:numPr>
        <w:spacing w:line="360" w:lineRule="auto"/>
        <w:ind w:left="728" w:hanging="728"/>
        <w:rPr>
          <w:rFonts w:ascii="宋体" w:cs="宋体"/>
          <w:b/>
          <w:color w:val="000000" w:themeColor="text1"/>
          <w:kern w:val="0"/>
          <w:sz w:val="24"/>
          <w:szCs w:val="24"/>
          <w:lang w:val="zh-CN"/>
        </w:rPr>
      </w:pPr>
      <w:r>
        <w:rPr>
          <w:rFonts w:hint="eastAsia" w:ascii="宋体" w:hAnsi="宋体" w:cs="宋体"/>
          <w:b/>
          <w:color w:val="000000" w:themeColor="text1"/>
          <w:kern w:val="0"/>
          <w:sz w:val="24"/>
          <w:szCs w:val="24"/>
          <w:lang w:val="zh-CN"/>
        </w:rPr>
        <w:t>质疑：</w:t>
      </w:r>
    </w:p>
    <w:p>
      <w:pPr>
        <w:spacing w:line="360" w:lineRule="auto"/>
        <w:ind w:firstLine="480" w:firstLineChars="200"/>
        <w:rPr>
          <w:rFonts w:ascii="宋体" w:cs="宋体"/>
          <w:b/>
          <w:color w:val="000000" w:themeColor="text1"/>
          <w:kern w:val="0"/>
          <w:sz w:val="24"/>
          <w:szCs w:val="24"/>
          <w:lang w:val="zh-CN"/>
        </w:rPr>
      </w:pPr>
      <w:r>
        <w:rPr>
          <w:rFonts w:hint="eastAsia" w:ascii="宋体" w:hAnsi="宋体" w:cs="宋体"/>
          <w:color w:val="000000" w:themeColor="text1"/>
          <w:kern w:val="0"/>
          <w:sz w:val="24"/>
          <w:szCs w:val="24"/>
          <w:lang w:val="zh-CN"/>
        </w:rPr>
        <w:t>投标人认为招标文件、招标过程和中标结果使自己的权益受到损害的，可以在知道或者应知其权益受到损害之日起</w:t>
      </w:r>
      <w:r>
        <w:rPr>
          <w:rFonts w:ascii="宋体" w:hAnsi="宋体" w:cs="宋体"/>
          <w:color w:val="000000" w:themeColor="text1"/>
          <w:kern w:val="0"/>
          <w:sz w:val="24"/>
          <w:szCs w:val="24"/>
          <w:lang w:val="zh-CN"/>
        </w:rPr>
        <w:t>7</w:t>
      </w:r>
      <w:r>
        <w:rPr>
          <w:rFonts w:hint="eastAsia" w:ascii="宋体" w:hAnsi="宋体" w:cs="宋体"/>
          <w:color w:val="000000" w:themeColor="text1"/>
          <w:kern w:val="0"/>
          <w:sz w:val="24"/>
          <w:szCs w:val="24"/>
          <w:lang w:val="zh-CN"/>
        </w:rPr>
        <w:t>个工作日内，应提出</w:t>
      </w:r>
      <w:r>
        <w:rPr>
          <w:rFonts w:hint="eastAsia" w:cs="宋体"/>
          <w:color w:val="000000" w:themeColor="text1"/>
          <w:kern w:val="0"/>
          <w:sz w:val="24"/>
          <w:szCs w:val="24"/>
          <w:lang w:val="zh-CN"/>
        </w:rPr>
        <w:t>书面</w:t>
      </w:r>
      <w:r>
        <w:rPr>
          <w:rFonts w:hint="eastAsia" w:ascii="宋体" w:hAnsi="宋体" w:cs="宋体"/>
          <w:color w:val="000000" w:themeColor="text1"/>
          <w:kern w:val="0"/>
          <w:sz w:val="24"/>
          <w:szCs w:val="24"/>
          <w:lang w:val="zh-CN"/>
        </w:rPr>
        <w:t>质疑。</w:t>
      </w:r>
      <w:r>
        <w:rPr>
          <w:rFonts w:hint="eastAsia" w:ascii="宋体" w:hAnsi="宋体" w:cs="宋体"/>
          <w:color w:val="000000" w:themeColor="text1"/>
          <w:kern w:val="0"/>
          <w:sz w:val="24"/>
          <w:szCs w:val="24"/>
        </w:rPr>
        <w:t>质疑时请提交书面质疑函一份（法人代表签字、加盖单位公章。具体要求详见本招标文件“第二章</w:t>
      </w:r>
      <w:r>
        <w:rPr>
          <w:rFonts w:ascii="宋体" w:hAnsi="宋体" w:cs="宋体"/>
          <w:color w:val="000000" w:themeColor="text1"/>
          <w:kern w:val="0"/>
          <w:sz w:val="24"/>
          <w:szCs w:val="24"/>
        </w:rPr>
        <w:t xml:space="preserve"> </w:t>
      </w:r>
      <w:r>
        <w:rPr>
          <w:rFonts w:hint="eastAsia" w:ascii="宋体" w:hAnsi="宋体" w:cs="宋体"/>
          <w:color w:val="000000" w:themeColor="text1"/>
          <w:kern w:val="0"/>
          <w:sz w:val="24"/>
          <w:szCs w:val="24"/>
        </w:rPr>
        <w:t>投标人须知”中的第八条之规定），并附相关证据材料。</w:t>
      </w:r>
    </w:p>
    <w:p>
      <w:pPr>
        <w:numPr>
          <w:ilvl w:val="0"/>
          <w:numId w:val="2"/>
        </w:numPr>
        <w:spacing w:line="360" w:lineRule="auto"/>
        <w:ind w:left="728" w:hanging="728"/>
        <w:rPr>
          <w:rFonts w:ascii="宋体" w:cs="宋体"/>
          <w:b/>
          <w:color w:val="000000" w:themeColor="text1"/>
          <w:kern w:val="0"/>
          <w:sz w:val="24"/>
          <w:szCs w:val="24"/>
          <w:lang w:val="zh-CN"/>
        </w:rPr>
      </w:pPr>
      <w:r>
        <w:rPr>
          <w:rFonts w:hint="eastAsia" w:ascii="宋体" w:hAnsi="宋体" w:cs="宋体"/>
          <w:b/>
          <w:color w:val="000000" w:themeColor="text1"/>
          <w:kern w:val="0"/>
          <w:sz w:val="24"/>
          <w:szCs w:val="24"/>
          <w:lang w:val="zh-CN"/>
        </w:rPr>
        <w:t>联系方式：</w:t>
      </w:r>
    </w:p>
    <w:p>
      <w:pPr>
        <w:widowControl/>
        <w:spacing w:line="360" w:lineRule="auto"/>
        <w:ind w:firstLine="480"/>
        <w:jc w:val="left"/>
        <w:rPr>
          <w:rFonts w:ascii="宋体" w:cs="宋体"/>
          <w:bCs/>
          <w:color w:val="000000" w:themeColor="text1"/>
          <w:kern w:val="0"/>
          <w:sz w:val="24"/>
          <w:szCs w:val="24"/>
        </w:rPr>
      </w:pPr>
      <w:r>
        <w:rPr>
          <w:rFonts w:hint="eastAsia" w:ascii="宋体" w:hAnsi="宋体" w:cs="宋体"/>
          <w:bCs/>
          <w:color w:val="000000" w:themeColor="text1"/>
          <w:kern w:val="0"/>
          <w:sz w:val="24"/>
          <w:szCs w:val="24"/>
        </w:rPr>
        <w:t>采购机构：</w:t>
      </w:r>
      <w:r>
        <w:rPr>
          <w:rFonts w:hint="eastAsia"/>
          <w:color w:val="000000" w:themeColor="text1"/>
          <w:sz w:val="24"/>
          <w:szCs w:val="24"/>
        </w:rPr>
        <w:t xml:space="preserve">正大鹏安建设项目管理有限公司 </w:t>
      </w:r>
    </w:p>
    <w:p>
      <w:pPr>
        <w:widowControl/>
        <w:shd w:val="clear" w:color="auto" w:fill="FFFFFF"/>
        <w:spacing w:line="360" w:lineRule="auto"/>
        <w:ind w:firstLine="465"/>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联系人：周元</w:t>
      </w:r>
      <w:r>
        <w:rPr>
          <w:rFonts w:ascii="宋体" w:hAnsi="宋体" w:cs="宋体"/>
          <w:color w:val="000000" w:themeColor="text1"/>
          <w:kern w:val="0"/>
          <w:sz w:val="24"/>
          <w:szCs w:val="24"/>
        </w:rPr>
        <w:t xml:space="preserve">    </w:t>
      </w:r>
      <w:r>
        <w:rPr>
          <w:rFonts w:hint="eastAsia" w:ascii="宋体" w:hAnsi="宋体" w:cs="宋体"/>
          <w:color w:val="000000" w:themeColor="text1"/>
          <w:kern w:val="0"/>
          <w:sz w:val="24"/>
          <w:szCs w:val="24"/>
        </w:rPr>
        <w:t>联系电话：18327837110</w:t>
      </w:r>
    </w:p>
    <w:p>
      <w:pPr>
        <w:widowControl/>
        <w:shd w:val="clear" w:color="auto" w:fill="FFFFFF"/>
        <w:spacing w:line="360" w:lineRule="auto"/>
        <w:ind w:firstLine="465"/>
        <w:jc w:val="left"/>
        <w:rPr>
          <w:rFonts w:ascii="宋体" w:cs="宋体"/>
          <w:color w:val="000000" w:themeColor="text1"/>
          <w:kern w:val="0"/>
          <w:sz w:val="24"/>
          <w:szCs w:val="24"/>
        </w:rPr>
      </w:pPr>
      <w:r>
        <w:rPr>
          <w:rFonts w:hint="eastAsia" w:ascii="宋体" w:hAnsi="宋体" w:cs="宋体"/>
          <w:color w:val="000000" w:themeColor="text1"/>
          <w:kern w:val="0"/>
          <w:sz w:val="24"/>
          <w:szCs w:val="24"/>
        </w:rPr>
        <w:t>办</w:t>
      </w:r>
      <w:r>
        <w:rPr>
          <w:rFonts w:hint="eastAsia"/>
          <w:color w:val="000000" w:themeColor="text1"/>
          <w:sz w:val="24"/>
          <w:szCs w:val="24"/>
        </w:rPr>
        <w:t>公地址：阳新县规划局右侧路口。</w:t>
      </w:r>
    </w:p>
    <w:p>
      <w:pPr>
        <w:pStyle w:val="44"/>
        <w:spacing w:before="0" w:beforeAutospacing="0" w:after="0" w:afterAutospacing="0" w:line="360" w:lineRule="auto"/>
        <w:ind w:left="600" w:hanging="600" w:hangingChars="250"/>
        <w:rPr>
          <w:color w:val="000000" w:themeColor="text1"/>
          <w:szCs w:val="24"/>
        </w:rPr>
      </w:pPr>
      <w:r>
        <w:rPr>
          <w:color w:val="000000" w:themeColor="text1"/>
          <w:szCs w:val="24"/>
        </w:rPr>
        <w:t xml:space="preserve">    </w:t>
      </w:r>
      <w:r>
        <w:rPr>
          <w:rFonts w:hint="eastAsia"/>
          <w:color w:val="000000" w:themeColor="text1"/>
          <w:szCs w:val="24"/>
        </w:rPr>
        <w:t>采购人：阳新县第一中学</w:t>
      </w:r>
    </w:p>
    <w:p>
      <w:pPr>
        <w:pStyle w:val="44"/>
        <w:spacing w:before="0" w:beforeAutospacing="0" w:after="0" w:afterAutospacing="0" w:line="360" w:lineRule="auto"/>
        <w:ind w:left="598" w:leftChars="228" w:hanging="120" w:hangingChars="50"/>
        <w:rPr>
          <w:color w:val="000000" w:themeColor="text1"/>
          <w:szCs w:val="24"/>
        </w:rPr>
      </w:pPr>
      <w:r>
        <w:rPr>
          <w:rFonts w:hint="eastAsia"/>
          <w:color w:val="000000" w:themeColor="text1"/>
          <w:szCs w:val="24"/>
        </w:rPr>
        <w:t xml:space="preserve">联系人：曹晓晖   </w:t>
      </w:r>
      <w:r>
        <w:rPr>
          <w:color w:val="000000" w:themeColor="text1"/>
          <w:szCs w:val="24"/>
        </w:rPr>
        <w:t xml:space="preserve"> </w:t>
      </w:r>
      <w:r>
        <w:rPr>
          <w:color w:val="000000" w:themeColor="text1"/>
          <w:szCs w:val="24"/>
        </w:rPr>
        <w:tab/>
      </w:r>
      <w:r>
        <w:rPr>
          <w:rFonts w:hint="eastAsia"/>
          <w:color w:val="000000" w:themeColor="text1"/>
          <w:szCs w:val="24"/>
        </w:rPr>
        <w:t>电话：13807239011</w:t>
      </w:r>
    </w:p>
    <w:p>
      <w:pPr>
        <w:pStyle w:val="44"/>
        <w:spacing w:before="0" w:beforeAutospacing="0" w:after="0" w:afterAutospacing="0" w:line="360" w:lineRule="auto"/>
        <w:ind w:firstLine="480"/>
        <w:rPr>
          <w:color w:val="000000" w:themeColor="text1"/>
          <w:szCs w:val="24"/>
        </w:rPr>
      </w:pPr>
      <w:r>
        <w:rPr>
          <w:rFonts w:hint="eastAsia"/>
          <w:color w:val="000000" w:themeColor="text1"/>
          <w:szCs w:val="24"/>
        </w:rPr>
        <w:t>地址：阳新大道2号</w:t>
      </w:r>
    </w:p>
    <w:p>
      <w:pPr>
        <w:pStyle w:val="44"/>
        <w:spacing w:before="0" w:beforeAutospacing="0" w:after="0" w:afterAutospacing="0" w:line="360" w:lineRule="auto"/>
        <w:ind w:firstLine="480"/>
        <w:rPr>
          <w:color w:val="000000" w:themeColor="text1"/>
          <w:szCs w:val="24"/>
        </w:rPr>
      </w:pPr>
    </w:p>
    <w:p>
      <w:pPr>
        <w:pStyle w:val="44"/>
        <w:spacing w:before="0" w:beforeAutospacing="0" w:after="0" w:afterAutospacing="0" w:line="360" w:lineRule="auto"/>
        <w:ind w:firstLine="480"/>
        <w:rPr>
          <w:color w:val="000000" w:themeColor="text1"/>
          <w:szCs w:val="24"/>
        </w:rPr>
      </w:pPr>
      <w:bookmarkStart w:id="286" w:name="_GoBack"/>
      <w:bookmarkEnd w:id="286"/>
    </w:p>
    <w:p>
      <w:pPr>
        <w:pStyle w:val="44"/>
        <w:spacing w:before="0" w:beforeAutospacing="0" w:after="0" w:afterAutospacing="0" w:line="360" w:lineRule="auto"/>
        <w:ind w:firstLine="480"/>
        <w:rPr>
          <w:color w:val="000000" w:themeColor="text1"/>
          <w:szCs w:val="24"/>
        </w:rPr>
      </w:pPr>
    </w:p>
    <w:p>
      <w:pPr>
        <w:pStyle w:val="44"/>
        <w:spacing w:before="0" w:beforeAutospacing="0" w:after="0" w:afterAutospacing="0" w:line="360" w:lineRule="auto"/>
        <w:ind w:firstLine="480"/>
        <w:rPr>
          <w:color w:val="000000" w:themeColor="text1"/>
          <w:szCs w:val="24"/>
        </w:rPr>
      </w:pPr>
    </w:p>
    <w:p>
      <w:pPr>
        <w:widowControl/>
        <w:spacing w:line="360" w:lineRule="auto"/>
        <w:ind w:firstLine="480"/>
        <w:jc w:val="left"/>
        <w:rPr>
          <w:color w:val="000000" w:themeColor="text1"/>
          <w:sz w:val="24"/>
          <w:szCs w:val="24"/>
        </w:rPr>
      </w:pPr>
      <w:r>
        <w:rPr>
          <w:rFonts w:hint="eastAsia"/>
          <w:color w:val="000000" w:themeColor="text1"/>
          <w:szCs w:val="24"/>
        </w:rPr>
        <w:t xml:space="preserve">                                          </w:t>
      </w:r>
      <w:r>
        <w:rPr>
          <w:rFonts w:hint="eastAsia"/>
          <w:color w:val="000000" w:themeColor="text1"/>
          <w:sz w:val="24"/>
          <w:szCs w:val="24"/>
        </w:rPr>
        <w:t xml:space="preserve">正大鹏安建设项目管理有限公司 </w:t>
      </w:r>
    </w:p>
    <w:p>
      <w:pPr>
        <w:widowControl/>
        <w:spacing w:line="360" w:lineRule="auto"/>
        <w:ind w:firstLine="5514" w:firstLineChars="2626"/>
        <w:jc w:val="left"/>
        <w:rPr>
          <w:color w:val="FF0000"/>
          <w:szCs w:val="24"/>
        </w:rPr>
      </w:pPr>
      <w:r>
        <w:rPr>
          <w:color w:val="FF0000"/>
          <w:szCs w:val="24"/>
        </w:rPr>
        <w:t>201</w:t>
      </w:r>
      <w:r>
        <w:rPr>
          <w:rFonts w:hint="eastAsia"/>
          <w:color w:val="FF0000"/>
          <w:szCs w:val="24"/>
        </w:rPr>
        <w:t>9</w:t>
      </w:r>
      <w:r>
        <w:rPr>
          <w:color w:val="FF0000"/>
          <w:szCs w:val="24"/>
        </w:rPr>
        <w:t xml:space="preserve"> </w:t>
      </w:r>
      <w:r>
        <w:rPr>
          <w:rFonts w:hint="eastAsia"/>
          <w:color w:val="FF0000"/>
          <w:szCs w:val="24"/>
        </w:rPr>
        <w:t>年</w:t>
      </w:r>
      <w:r>
        <w:rPr>
          <w:rFonts w:hint="eastAsia"/>
          <w:color w:val="FF0000"/>
          <w:szCs w:val="24"/>
          <w:u w:val="single"/>
        </w:rPr>
        <w:t xml:space="preserve"> 8 </w:t>
      </w:r>
      <w:r>
        <w:rPr>
          <w:rFonts w:hint="eastAsia"/>
          <w:color w:val="FF0000"/>
          <w:szCs w:val="24"/>
        </w:rPr>
        <w:t>月</w:t>
      </w:r>
      <w:r>
        <w:rPr>
          <w:rFonts w:hint="eastAsia"/>
          <w:color w:val="FF0000"/>
          <w:szCs w:val="24"/>
          <w:u w:val="single"/>
        </w:rPr>
        <w:t xml:space="preserve"> </w:t>
      </w:r>
      <w:r>
        <w:rPr>
          <w:rFonts w:hint="eastAsia"/>
          <w:color w:val="FF0000"/>
          <w:szCs w:val="24"/>
          <w:u w:val="single"/>
          <w:lang w:val="en-US" w:eastAsia="zh-CN"/>
        </w:rPr>
        <w:t>8</w:t>
      </w:r>
      <w:r>
        <w:rPr>
          <w:rFonts w:hint="eastAsia"/>
          <w:color w:val="FF0000"/>
          <w:szCs w:val="24"/>
        </w:rPr>
        <w:t>日</w:t>
      </w:r>
    </w:p>
    <w:p>
      <w:pPr>
        <w:pStyle w:val="44"/>
        <w:spacing w:before="0" w:beforeAutospacing="0" w:after="0" w:afterAutospacing="0" w:line="360" w:lineRule="auto"/>
        <w:ind w:right="840"/>
        <w:rPr>
          <w:color w:val="000000" w:themeColor="text1"/>
          <w:kern w:val="2"/>
          <w:szCs w:val="24"/>
        </w:rPr>
      </w:pPr>
      <w:r>
        <w:rPr>
          <w:rFonts w:hint="eastAsia"/>
          <w:color w:val="FF0000"/>
          <w:kern w:val="2"/>
          <w:szCs w:val="24"/>
        </w:rPr>
        <w:br w:type="page"/>
      </w:r>
      <w:r>
        <w:rPr>
          <w:rFonts w:cs="Times New Roman"/>
          <w:b/>
          <w:color w:val="000000" w:themeColor="text1"/>
          <w:sz w:val="28"/>
          <w:szCs w:val="28"/>
          <w:lang w:val="zh-CN"/>
        </w:rPr>
        <w:t xml:space="preserve">                      </w:t>
      </w:r>
    </w:p>
    <w:p>
      <w:pPr>
        <w:pStyle w:val="2"/>
        <w:numPr>
          <w:ilvl w:val="0"/>
          <w:numId w:val="1"/>
        </w:numPr>
        <w:spacing w:before="240" w:after="120"/>
        <w:ind w:left="883" w:hanging="880" w:hangingChars="200"/>
        <w:jc w:val="center"/>
        <w:rPr>
          <w:rFonts w:ascii="黑体" w:hAnsi="黑体" w:eastAsia="黑体"/>
          <w:color w:val="000000" w:themeColor="text1"/>
        </w:rPr>
      </w:pPr>
      <w:bookmarkStart w:id="1" w:name="_Toc19071"/>
      <w:r>
        <w:rPr>
          <w:rFonts w:hint="eastAsia" w:ascii="黑体" w:hAnsi="黑体" w:eastAsia="黑体"/>
          <w:color w:val="000000" w:themeColor="text1"/>
        </w:rPr>
        <w:t>投标人须知</w:t>
      </w:r>
      <w:bookmarkEnd w:id="1"/>
    </w:p>
    <w:p>
      <w:pPr>
        <w:keepNext/>
        <w:keepLines/>
        <w:spacing w:line="360" w:lineRule="auto"/>
        <w:jc w:val="center"/>
        <w:outlineLvl w:val="1"/>
        <w:rPr>
          <w:rFonts w:ascii="宋体"/>
          <w:b/>
          <w:bCs/>
          <w:color w:val="000000" w:themeColor="text1"/>
          <w:sz w:val="32"/>
          <w:szCs w:val="32"/>
          <w:lang w:val="zh-CN"/>
        </w:rPr>
      </w:pPr>
      <w:bookmarkStart w:id="2" w:name="_Toc2219"/>
      <w:bookmarkStart w:id="3" w:name="_Toc494561937"/>
      <w:r>
        <w:rPr>
          <w:rFonts w:hint="eastAsia" w:ascii="宋体" w:hAnsi="宋体"/>
          <w:b/>
          <w:bCs/>
          <w:color w:val="000000" w:themeColor="text1"/>
          <w:sz w:val="32"/>
          <w:szCs w:val="32"/>
          <w:lang w:val="zh-CN"/>
        </w:rPr>
        <w:t>投标须知前附表</w:t>
      </w:r>
      <w:bookmarkEnd w:id="2"/>
      <w:bookmarkEnd w:id="3"/>
    </w:p>
    <w:tbl>
      <w:tblPr>
        <w:tblStyle w:val="21"/>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b/>
                <w:color w:val="000000" w:themeColor="text1"/>
                <w:sz w:val="24"/>
                <w:szCs w:val="24"/>
              </w:rPr>
            </w:pPr>
            <w:r>
              <w:rPr>
                <w:rFonts w:hint="eastAsia" w:ascii="宋体" w:hAnsi="宋体"/>
                <w:b/>
                <w:color w:val="000000" w:themeColor="text1"/>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b/>
                <w:color w:val="000000" w:themeColor="text1"/>
                <w:sz w:val="24"/>
                <w:szCs w:val="24"/>
              </w:rPr>
            </w:pPr>
            <w:r>
              <w:rPr>
                <w:rFonts w:hint="eastAsia" w:ascii="Times New Roman" w:hAnsi="宋体"/>
                <w:b/>
                <w:color w:val="000000" w:themeColor="text1"/>
                <w:sz w:val="24"/>
                <w:szCs w:val="24"/>
              </w:rPr>
              <w:t>名</w:t>
            </w:r>
            <w:r>
              <w:rPr>
                <w:rFonts w:ascii="Times New Roman" w:hAnsi="宋体"/>
                <w:b/>
                <w:color w:val="000000" w:themeColor="text1"/>
                <w:sz w:val="24"/>
                <w:szCs w:val="24"/>
              </w:rPr>
              <w:t xml:space="preserve">  </w:t>
            </w:r>
            <w:r>
              <w:rPr>
                <w:rFonts w:hint="eastAsia" w:ascii="Times New Roman" w:hAnsi="宋体"/>
                <w:b/>
                <w:color w:val="000000" w:themeColor="text1"/>
                <w:sz w:val="24"/>
                <w:szCs w:val="24"/>
              </w:rPr>
              <w:t>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b/>
                <w:color w:val="000000" w:themeColor="text1"/>
                <w:sz w:val="24"/>
                <w:szCs w:val="24"/>
              </w:rPr>
            </w:pPr>
            <w:r>
              <w:rPr>
                <w:rFonts w:hint="eastAsia" w:ascii="Times New Roman" w:hAnsi="宋体"/>
                <w:b/>
                <w:color w:val="000000" w:themeColor="text1"/>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 w:val="24"/>
                <w:szCs w:val="24"/>
              </w:rPr>
            </w:pPr>
            <w:r>
              <w:rPr>
                <w:rFonts w:hint="eastAsia" w:ascii="Times New Roman" w:hAnsi="宋体"/>
                <w:color w:val="000000" w:themeColor="text1"/>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宋体" w:hAnsi="宋体" w:cs="宋体"/>
                <w:color w:val="000000" w:themeColor="text1"/>
                <w:sz w:val="24"/>
                <w:szCs w:val="24"/>
              </w:rPr>
              <w:t>131-Zcg•2019-115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2"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宋体" w:hAnsi="宋体" w:cs="宋体"/>
                <w:color w:val="000000" w:themeColor="text1"/>
                <w:kern w:val="0"/>
                <w:sz w:val="24"/>
              </w:rPr>
              <w:t>阳新县第一中学老校区理化生实验室设备、会议系统设备采购及安装项目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cs="宋体"/>
                <w:color w:val="000000" w:themeColor="text1"/>
                <w:kern w:val="0"/>
                <w:sz w:val="24"/>
                <w:szCs w:val="24"/>
              </w:rPr>
            </w:pPr>
            <w:r>
              <w:rPr>
                <w:rFonts w:hint="eastAsia" w:ascii="宋体" w:hAnsi="宋体" w:cs="宋体"/>
                <w:color w:val="000000" w:themeColor="text1"/>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cs="宋体"/>
                <w:color w:val="000000" w:themeColor="text1"/>
                <w:kern w:val="0"/>
                <w:sz w:val="24"/>
                <w:szCs w:val="24"/>
              </w:rPr>
            </w:pPr>
            <w:r>
              <w:rPr>
                <w:rFonts w:hint="eastAsia" w:ascii="宋体" w:hAnsi="宋体" w:cs="宋体"/>
                <w:color w:val="000000" w:themeColor="text1"/>
                <w:kern w:val="0"/>
                <w:sz w:val="24"/>
              </w:rPr>
              <w:t>阳新县第一中学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cs="宋体"/>
                <w:color w:val="000000" w:themeColor="text1"/>
                <w:kern w:val="0"/>
                <w:sz w:val="24"/>
                <w:szCs w:val="24"/>
              </w:rPr>
            </w:pPr>
            <w:r>
              <w:rPr>
                <w:rFonts w:hint="eastAsia" w:ascii="宋体" w:hAnsi="宋体" w:cs="宋体"/>
                <w:color w:val="000000" w:themeColor="text1"/>
                <w:kern w:val="0"/>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保证金账户信息</w:t>
            </w:r>
          </w:p>
        </w:tc>
        <w:tc>
          <w:tcPr>
            <w:tcW w:w="6470" w:type="dxa"/>
            <w:tcBorders>
              <w:top w:val="single" w:color="auto" w:sz="4" w:space="0"/>
              <w:left w:val="single" w:color="auto" w:sz="4" w:space="0"/>
              <w:bottom w:val="single" w:color="auto" w:sz="4" w:space="0"/>
            </w:tcBorders>
            <w:vAlign w:val="center"/>
          </w:tcPr>
          <w:p>
            <w:pPr>
              <w:rPr>
                <w:rFonts w:ascii="宋体" w:cs="宋体"/>
                <w:color w:val="000000" w:themeColor="text1"/>
                <w:kern w:val="0"/>
                <w:sz w:val="24"/>
                <w:szCs w:val="24"/>
              </w:rPr>
            </w:pPr>
            <w:r>
              <w:rPr>
                <w:rFonts w:hint="eastAsia" w:ascii="宋体" w:hAnsi="宋体" w:cs="宋体"/>
                <w:color w:val="000000" w:themeColor="text1"/>
                <w:kern w:val="0"/>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 w:val="24"/>
                <w:szCs w:val="24"/>
              </w:rPr>
            </w:pPr>
            <w:r>
              <w:rPr>
                <w:rFonts w:hint="eastAsia" w:ascii="Times New Roman" w:hAnsi="宋体"/>
                <w:color w:val="000000" w:themeColor="text1"/>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Times New Roman" w:hAnsi="Times New Roman"/>
                <w:color w:val="000000" w:themeColor="text1"/>
                <w:sz w:val="24"/>
                <w:szCs w:val="24"/>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 w:val="24"/>
                <w:szCs w:val="24"/>
              </w:rPr>
            </w:pPr>
            <w:r>
              <w:rPr>
                <w:rFonts w:hint="eastAsia" w:ascii="Times New Roman" w:hAnsi="宋体"/>
                <w:color w:val="000000" w:themeColor="text1"/>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宋体" w:hAnsi="宋体" w:cs="宋体"/>
                <w:color w:val="000000" w:themeColor="text1"/>
                <w:kern w:val="0"/>
                <w:sz w:val="24"/>
                <w:szCs w:val="24"/>
              </w:rPr>
              <w:t>提交投标文件截止之日起</w:t>
            </w:r>
            <w:r>
              <w:rPr>
                <w:rFonts w:ascii="宋体" w:hAnsi="宋体" w:cs="宋体"/>
                <w:color w:val="000000" w:themeColor="text1"/>
                <w:kern w:val="0"/>
                <w:sz w:val="24"/>
                <w:szCs w:val="24"/>
              </w:rPr>
              <w:t>90</w:t>
            </w:r>
            <w:r>
              <w:rPr>
                <w:rFonts w:hint="eastAsia" w:ascii="宋体" w:hAnsi="宋体" w:cs="宋体"/>
                <w:color w:val="000000" w:themeColor="text1"/>
                <w:kern w:val="0"/>
                <w:sz w:val="24"/>
                <w:szCs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highlight w:val="yellow"/>
              </w:rPr>
            </w:pPr>
            <w:r>
              <w:rPr>
                <w:rFonts w:hint="eastAsia" w:ascii="Times New Roman" w:hAnsi="Times New Roman"/>
                <w:color w:val="000000" w:themeColor="text1"/>
                <w:sz w:val="24"/>
                <w:szCs w:val="24"/>
                <w:highlight w:val="yellow"/>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 w:val="24"/>
                <w:szCs w:val="24"/>
              </w:rPr>
            </w:pPr>
            <w:r>
              <w:rPr>
                <w:rFonts w:hint="eastAsia" w:ascii="Times New Roman" w:hAnsi="宋体"/>
                <w:color w:val="000000" w:themeColor="text1"/>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Times New Roman" w:hAnsi="Times New Roman"/>
                <w:color w:val="000000" w:themeColor="text1"/>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 w:val="24"/>
                <w:szCs w:val="24"/>
              </w:rPr>
            </w:pPr>
            <w:r>
              <w:rPr>
                <w:rFonts w:hint="eastAsia" w:ascii="Times New Roman" w:hAnsi="宋体"/>
                <w:color w:val="000000" w:themeColor="text1"/>
                <w:sz w:val="24"/>
                <w:szCs w:val="24"/>
              </w:rPr>
              <w:t>开标时间、地点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Times New Roman" w:hAnsi="Times New Roman"/>
                <w:color w:val="000000" w:themeColor="text1"/>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Times New Roman" w:hAnsi="Times New Roman"/>
                <w:color w:val="000000" w:themeColor="text1"/>
                <w:sz w:val="24"/>
                <w:szCs w:val="24"/>
              </w:rPr>
              <w:t>不允许</w:t>
            </w:r>
          </w:p>
          <w:p>
            <w:pPr>
              <w:rPr>
                <w:rFonts w:ascii="Times New Roman" w:hAnsi="Times New Roman"/>
                <w:color w:val="000000" w:themeColor="text1"/>
                <w:sz w:val="24"/>
                <w:szCs w:val="24"/>
              </w:rPr>
            </w:pPr>
            <w:r>
              <w:rPr>
                <w:rFonts w:hint="eastAsia" w:ascii="Times New Roman" w:hAnsi="Times New Roman"/>
                <w:color w:val="000000" w:themeColor="text1"/>
                <w:sz w:val="24"/>
                <w:szCs w:val="24"/>
              </w:rPr>
              <w:t>详见第三章“</w:t>
            </w:r>
            <w:r>
              <w:rPr>
                <w:rFonts w:hint="eastAsia" w:ascii="宋体" w:hAnsi="宋体"/>
                <w:color w:val="000000" w:themeColor="text1"/>
                <w:sz w:val="24"/>
                <w:szCs w:val="24"/>
              </w:rPr>
              <w:t>项目技术、服务及商务要求</w:t>
            </w:r>
            <w:r>
              <w:rPr>
                <w:rFonts w:hint="eastAsia" w:ascii="Times New Roman" w:hAnsi="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 w:val="24"/>
                <w:szCs w:val="24"/>
              </w:rPr>
            </w:pPr>
            <w:r>
              <w:rPr>
                <w:rFonts w:hint="eastAsia" w:ascii="Times New Roman" w:hAnsi="宋体"/>
                <w:color w:val="000000" w:themeColor="text1"/>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Times New Roman" w:hAnsi="Times New Roman"/>
                <w:color w:val="000000" w:themeColor="text1"/>
                <w:sz w:val="24"/>
                <w:szCs w:val="24"/>
                <w:highlight w:val="yellow"/>
              </w:rPr>
              <w:t>提交</w:t>
            </w:r>
          </w:p>
          <w:p>
            <w:pPr>
              <w:rPr>
                <w:rFonts w:ascii="Times New Roman" w:hAnsi="Times New Roman"/>
                <w:color w:val="000000" w:themeColor="text1"/>
                <w:sz w:val="24"/>
                <w:szCs w:val="24"/>
              </w:rPr>
            </w:pPr>
            <w:r>
              <w:rPr>
                <w:rFonts w:hint="eastAsia" w:ascii="Times New Roman" w:hAnsi="Times New Roman"/>
                <w:color w:val="000000" w:themeColor="text1"/>
                <w:sz w:val="24"/>
                <w:szCs w:val="24"/>
              </w:rPr>
              <w:t>详见第三章“</w:t>
            </w:r>
            <w:r>
              <w:rPr>
                <w:rFonts w:hint="eastAsia" w:ascii="宋体" w:hAnsi="宋体"/>
                <w:color w:val="000000" w:themeColor="text1"/>
                <w:sz w:val="24"/>
                <w:szCs w:val="24"/>
              </w:rPr>
              <w:t>项目技术、服务及商务要求</w:t>
            </w:r>
            <w:r>
              <w:rPr>
                <w:rFonts w:hint="eastAsia" w:ascii="Times New Roman" w:hAnsi="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宋体" w:hAnsi="宋体" w:cs="宋体"/>
                <w:color w:val="000000" w:themeColor="text1"/>
                <w:sz w:val="24"/>
                <w:szCs w:val="24"/>
              </w:rPr>
              <w:t>现场考察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color w:val="000000" w:themeColor="text1"/>
                <w:sz w:val="24"/>
                <w:szCs w:val="24"/>
              </w:rPr>
            </w:pPr>
            <w:r>
              <w:rPr>
                <w:rFonts w:hint="eastAsia" w:ascii="Times New Roman" w:hAnsi="Times New Roman"/>
                <w:color w:val="000000" w:themeColor="text1"/>
                <w:sz w:val="24"/>
                <w:szCs w:val="24"/>
                <w:highlight w:val="yellow"/>
              </w:rPr>
              <w:t>不组织</w:t>
            </w:r>
          </w:p>
          <w:p>
            <w:pPr>
              <w:ind w:right="-105" w:rightChars="-50"/>
              <w:rPr>
                <w:rFonts w:ascii="Times New Roman" w:hAnsi="Times New Roman"/>
                <w:color w:val="000000" w:themeColor="text1"/>
                <w:sz w:val="24"/>
                <w:szCs w:val="24"/>
              </w:rPr>
            </w:pPr>
            <w:r>
              <w:rPr>
                <w:rFonts w:hint="eastAsia" w:ascii="Times New Roman" w:hAnsi="Times New Roman"/>
                <w:color w:val="000000" w:themeColor="text1"/>
                <w:sz w:val="24"/>
                <w:szCs w:val="24"/>
              </w:rPr>
              <w:t>详见第三章“</w:t>
            </w:r>
            <w:r>
              <w:rPr>
                <w:rFonts w:hint="eastAsia" w:ascii="宋体" w:hAnsi="宋体"/>
                <w:color w:val="000000" w:themeColor="text1"/>
                <w:sz w:val="24"/>
                <w:szCs w:val="24"/>
              </w:rPr>
              <w:t>项目技术、服务及商务要求</w:t>
            </w:r>
            <w:r>
              <w:rPr>
                <w:rFonts w:hint="eastAsia" w:ascii="Times New Roman" w:hAnsi="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Times New Roman" w:hAnsi="Times New Roman"/>
                <w:color w:val="000000" w:themeColor="text1"/>
                <w:sz w:val="24"/>
                <w:szCs w:val="24"/>
              </w:rPr>
              <w:t>不允许</w:t>
            </w:r>
          </w:p>
          <w:p>
            <w:pPr>
              <w:rPr>
                <w:rFonts w:ascii="Times New Roman" w:hAnsi="Times New Roman"/>
                <w:color w:val="000000" w:themeColor="text1"/>
                <w:sz w:val="24"/>
                <w:szCs w:val="24"/>
                <w:highlight w:val="yellow"/>
              </w:rPr>
            </w:pPr>
            <w:r>
              <w:rPr>
                <w:rFonts w:hint="eastAsia" w:ascii="Times New Roman" w:hAnsi="Times New Roman"/>
                <w:color w:val="000000" w:themeColor="text1"/>
                <w:sz w:val="24"/>
                <w:szCs w:val="24"/>
              </w:rPr>
              <w:t>详见第三章“</w:t>
            </w:r>
            <w:r>
              <w:rPr>
                <w:rFonts w:hint="eastAsia" w:ascii="宋体" w:hAnsi="宋体"/>
                <w:color w:val="000000" w:themeColor="text1"/>
                <w:sz w:val="24"/>
                <w:szCs w:val="24"/>
              </w:rPr>
              <w:t>项目技术、服务及商务要求</w:t>
            </w:r>
            <w:r>
              <w:rPr>
                <w:rFonts w:hint="eastAsia" w:ascii="Times New Roman" w:hAnsi="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Times New Roman" w:hAnsi="Times New Roman"/>
                <w:color w:val="000000" w:themeColor="text1"/>
                <w:sz w:val="24"/>
                <w:szCs w:val="24"/>
              </w:rPr>
              <w:t>综合评分法</w:t>
            </w:r>
          </w:p>
          <w:p>
            <w:pPr>
              <w:rPr>
                <w:rFonts w:ascii="Times New Roman" w:hAnsi="Times New Roman"/>
                <w:color w:val="000000" w:themeColor="text1"/>
                <w:sz w:val="24"/>
                <w:szCs w:val="24"/>
                <w:lang w:val="zh-CN"/>
              </w:rPr>
            </w:pPr>
            <w:r>
              <w:rPr>
                <w:rFonts w:hint="eastAsia" w:ascii="Times New Roman" w:hAnsi="Times New Roman"/>
                <w:color w:val="000000" w:themeColor="text1"/>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Times New Roman" w:hAnsi="Times New Roman"/>
                <w:color w:val="000000" w:themeColor="text1"/>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00000" w:themeColor="text1"/>
                <w:sz w:val="24"/>
                <w:szCs w:val="24"/>
              </w:rPr>
            </w:pPr>
            <w:r>
              <w:rPr>
                <w:rFonts w:hint="eastAsia" w:ascii="Times New Roman" w:hAnsi="Times New Roman"/>
                <w:color w:val="000000" w:themeColor="text1"/>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color w:val="000000" w:themeColor="text1"/>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00000" w:themeColor="text1"/>
                <w:sz w:val="24"/>
                <w:szCs w:val="24"/>
              </w:rPr>
            </w:pPr>
            <w:r>
              <w:rPr>
                <w:rFonts w:hint="eastAsia" w:ascii="Times New Roman" w:hAnsi="宋体"/>
                <w:color w:val="000000" w:themeColor="text1"/>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ascii="宋体"/>
                <w:color w:val="000000" w:themeColor="text1"/>
                <w:sz w:val="24"/>
                <w:szCs w:val="24"/>
              </w:rPr>
            </w:pPr>
            <w:r>
              <w:rPr>
                <w:rFonts w:hint="eastAsia" w:ascii="宋体" w:hAnsi="宋体"/>
                <w:color w:val="000000" w:themeColor="text1"/>
                <w:sz w:val="24"/>
                <w:szCs w:val="24"/>
              </w:rPr>
              <w:t>详见本章“质疑及提交”要求</w:t>
            </w:r>
          </w:p>
        </w:tc>
      </w:tr>
    </w:tbl>
    <w:p>
      <w:pPr>
        <w:keepNext/>
        <w:keepLines/>
        <w:spacing w:before="100" w:beforeAutospacing="1" w:after="100" w:afterAutospacing="1" w:line="360" w:lineRule="auto"/>
        <w:ind w:left="-315" w:leftChars="-150"/>
        <w:outlineLvl w:val="1"/>
        <w:rPr>
          <w:rFonts w:ascii="黑体" w:hAnsi="黑体" w:eastAsia="黑体"/>
          <w:b/>
          <w:bCs/>
          <w:color w:val="000000" w:themeColor="text1"/>
          <w:sz w:val="32"/>
          <w:szCs w:val="32"/>
          <w:lang w:val="zh-CN"/>
        </w:rPr>
      </w:pPr>
      <w:bookmarkStart w:id="4" w:name="_Toc494561938"/>
      <w:r>
        <w:rPr>
          <w:rFonts w:ascii="黑体" w:hAnsi="黑体" w:eastAsia="黑体"/>
          <w:b/>
          <w:bCs/>
          <w:color w:val="000000" w:themeColor="text1"/>
          <w:sz w:val="32"/>
          <w:szCs w:val="32"/>
          <w:lang w:val="zh-CN"/>
        </w:rPr>
        <w:br w:type="page"/>
      </w:r>
    </w:p>
    <w:p>
      <w:pPr>
        <w:pStyle w:val="3"/>
        <w:numPr>
          <w:ilvl w:val="0"/>
          <w:numId w:val="5"/>
        </w:numPr>
        <w:spacing w:before="40" w:after="40" w:line="360" w:lineRule="auto"/>
        <w:ind w:left="658" w:hanging="658"/>
        <w:jc w:val="left"/>
        <w:rPr>
          <w:rFonts w:ascii="宋体"/>
          <w:bCs w:val="0"/>
          <w:color w:val="000000" w:themeColor="text1"/>
          <w:lang w:val="zh-CN"/>
        </w:rPr>
      </w:pPr>
      <w:bookmarkStart w:id="5" w:name="_Toc26379"/>
      <w:r>
        <w:rPr>
          <w:rFonts w:hint="eastAsia" w:ascii="宋体" w:hAnsi="宋体"/>
          <w:bCs w:val="0"/>
          <w:color w:val="000000" w:themeColor="text1"/>
          <w:lang w:val="zh-CN"/>
        </w:rPr>
        <w:t>说</w:t>
      </w:r>
      <w:r>
        <w:rPr>
          <w:rFonts w:ascii="宋体" w:hAnsi="宋体"/>
          <w:bCs w:val="0"/>
          <w:color w:val="000000" w:themeColor="text1"/>
          <w:lang w:val="zh-CN"/>
        </w:rPr>
        <w:t xml:space="preserve">  </w:t>
      </w:r>
      <w:r>
        <w:rPr>
          <w:rFonts w:hint="eastAsia" w:ascii="宋体" w:hAnsi="宋体"/>
          <w:bCs w:val="0"/>
          <w:color w:val="000000" w:themeColor="text1"/>
          <w:lang w:val="zh-CN"/>
        </w:rPr>
        <w:t>明</w:t>
      </w:r>
      <w:bookmarkEnd w:id="4"/>
      <w:bookmarkEnd w:id="5"/>
    </w:p>
    <w:p>
      <w:pPr>
        <w:numPr>
          <w:ilvl w:val="0"/>
          <w:numId w:val="6"/>
        </w:numPr>
        <w:spacing w:line="360" w:lineRule="auto"/>
        <w:rPr>
          <w:rFonts w:ascii="宋体"/>
          <w:b/>
          <w:color w:val="000000" w:themeColor="text1"/>
          <w:sz w:val="24"/>
          <w:szCs w:val="24"/>
          <w:lang w:val="zh-CN"/>
        </w:rPr>
      </w:pPr>
      <w:r>
        <w:rPr>
          <w:rFonts w:hint="eastAsia" w:ascii="宋体" w:hAnsi="宋体"/>
          <w:b/>
          <w:color w:val="000000" w:themeColor="text1"/>
          <w:sz w:val="24"/>
          <w:szCs w:val="24"/>
          <w:lang w:val="zh-CN"/>
        </w:rPr>
        <w:t>适用范围</w:t>
      </w:r>
    </w:p>
    <w:p>
      <w:pPr>
        <w:spacing w:line="360" w:lineRule="auto"/>
        <w:ind w:firstLine="480" w:firstLineChars="200"/>
        <w:rPr>
          <w:rFonts w:ascii="宋体"/>
          <w:color w:val="000000" w:themeColor="text1"/>
          <w:sz w:val="24"/>
          <w:szCs w:val="24"/>
          <w:lang w:val="zh-CN"/>
        </w:rPr>
      </w:pPr>
      <w:r>
        <w:rPr>
          <w:rFonts w:hint="eastAsia" w:ascii="宋体" w:hAnsi="宋体"/>
          <w:color w:val="000000" w:themeColor="text1"/>
          <w:sz w:val="24"/>
          <w:szCs w:val="24"/>
          <w:lang w:val="zh-CN"/>
        </w:rPr>
        <w:t>招标文件仅适用于第一章“投标邀请书”中所述项目的货物、工程及服务的采购。</w:t>
      </w:r>
    </w:p>
    <w:p>
      <w:pPr>
        <w:numPr>
          <w:ilvl w:val="0"/>
          <w:numId w:val="6"/>
        </w:numPr>
        <w:spacing w:line="360" w:lineRule="auto"/>
        <w:rPr>
          <w:rFonts w:ascii="宋体"/>
          <w:b/>
          <w:color w:val="000000" w:themeColor="text1"/>
          <w:sz w:val="24"/>
          <w:szCs w:val="24"/>
          <w:lang w:val="zh-CN"/>
        </w:rPr>
      </w:pPr>
      <w:r>
        <w:rPr>
          <w:rFonts w:hint="eastAsia" w:ascii="宋体" w:hAnsi="宋体"/>
          <w:b/>
          <w:color w:val="000000" w:themeColor="text1"/>
          <w:sz w:val="24"/>
          <w:szCs w:val="24"/>
          <w:lang w:val="zh-CN"/>
        </w:rPr>
        <w:t>当事人定义</w:t>
      </w:r>
    </w:p>
    <w:p>
      <w:pPr>
        <w:numPr>
          <w:ilvl w:val="0"/>
          <w:numId w:val="7"/>
        </w:numPr>
        <w:spacing w:line="360" w:lineRule="auto"/>
        <w:ind w:left="476" w:hanging="476"/>
        <w:rPr>
          <w:rFonts w:ascii="宋体"/>
          <w:color w:val="000000" w:themeColor="text1"/>
          <w:sz w:val="24"/>
          <w:szCs w:val="24"/>
          <w:lang w:val="zh-CN"/>
        </w:rPr>
      </w:pPr>
      <w:r>
        <w:rPr>
          <w:rFonts w:hint="eastAsia" w:ascii="宋体" w:hAnsi="宋体"/>
          <w:b/>
          <w:color w:val="000000" w:themeColor="text1"/>
          <w:sz w:val="24"/>
          <w:szCs w:val="24"/>
          <w:lang w:val="zh-CN"/>
        </w:rPr>
        <w:t>“采购人”是指：</w:t>
      </w:r>
      <w:r>
        <w:rPr>
          <w:rFonts w:hint="eastAsia" w:ascii="宋体" w:hAnsi="宋体"/>
          <w:color w:val="000000" w:themeColor="text1"/>
          <w:sz w:val="24"/>
          <w:szCs w:val="24"/>
          <w:lang w:val="zh-CN"/>
        </w:rPr>
        <w:t>详见第一章“投标邀请书”。</w:t>
      </w:r>
    </w:p>
    <w:p>
      <w:pPr>
        <w:numPr>
          <w:ilvl w:val="0"/>
          <w:numId w:val="7"/>
        </w:numPr>
        <w:spacing w:line="360" w:lineRule="auto"/>
        <w:ind w:left="476" w:hanging="476"/>
        <w:rPr>
          <w:rFonts w:ascii="宋体"/>
          <w:color w:val="000000" w:themeColor="text1"/>
          <w:sz w:val="24"/>
          <w:szCs w:val="24"/>
          <w:lang w:val="zh-CN"/>
        </w:rPr>
      </w:pPr>
      <w:r>
        <w:rPr>
          <w:rFonts w:hint="eastAsia" w:ascii="宋体" w:hAnsi="宋体"/>
          <w:b/>
          <w:color w:val="000000" w:themeColor="text1"/>
          <w:sz w:val="24"/>
          <w:szCs w:val="24"/>
          <w:lang w:val="zh-CN"/>
        </w:rPr>
        <w:t>“监管部门”是指：</w:t>
      </w:r>
      <w:r>
        <w:rPr>
          <w:rFonts w:hint="eastAsia" w:ascii="宋体" w:hAnsi="宋体"/>
          <w:color w:val="000000" w:themeColor="text1"/>
          <w:sz w:val="24"/>
          <w:szCs w:val="24"/>
          <w:lang w:val="zh-CN"/>
        </w:rPr>
        <w:t>阳新县政府采购办公室、阳新县公共资源交易监督管理局。</w:t>
      </w:r>
    </w:p>
    <w:p>
      <w:pPr>
        <w:numPr>
          <w:ilvl w:val="0"/>
          <w:numId w:val="7"/>
        </w:numPr>
        <w:spacing w:line="360" w:lineRule="auto"/>
        <w:ind w:left="476" w:hanging="476"/>
        <w:rPr>
          <w:rFonts w:ascii="宋体"/>
          <w:color w:val="000000" w:themeColor="text1"/>
          <w:sz w:val="24"/>
          <w:szCs w:val="24"/>
          <w:lang w:val="zh-CN"/>
        </w:rPr>
      </w:pPr>
      <w:r>
        <w:rPr>
          <w:rFonts w:hint="eastAsia" w:ascii="宋体" w:hAnsi="宋体"/>
          <w:b/>
          <w:color w:val="000000" w:themeColor="text1"/>
          <w:sz w:val="24"/>
          <w:szCs w:val="24"/>
          <w:lang w:val="zh-CN"/>
        </w:rPr>
        <w:t>“采购代理机构”是指：</w:t>
      </w:r>
      <w:r>
        <w:rPr>
          <w:rFonts w:hint="eastAsia" w:ascii="Arial" w:hAnsi="Arial" w:cs="Arial"/>
          <w:color w:val="000000" w:themeColor="text1"/>
          <w:sz w:val="24"/>
          <w:szCs w:val="24"/>
          <w:u w:val="single"/>
          <w:shd w:val="clear" w:color="auto" w:fill="FFFFFF"/>
        </w:rPr>
        <w:t xml:space="preserve">正大鹏安建设项目管理有限公司 </w:t>
      </w:r>
      <w:r>
        <w:rPr>
          <w:rFonts w:hint="eastAsia" w:ascii="宋体" w:hAnsi="宋体"/>
          <w:color w:val="000000" w:themeColor="text1"/>
          <w:sz w:val="24"/>
          <w:szCs w:val="24"/>
          <w:lang w:val="zh-CN"/>
        </w:rPr>
        <w:t>。</w:t>
      </w:r>
    </w:p>
    <w:p>
      <w:pPr>
        <w:numPr>
          <w:ilvl w:val="0"/>
          <w:numId w:val="7"/>
        </w:numPr>
        <w:spacing w:line="360" w:lineRule="auto"/>
        <w:ind w:left="476" w:hanging="476"/>
        <w:rPr>
          <w:rFonts w:ascii="宋体"/>
          <w:color w:val="000000" w:themeColor="text1"/>
          <w:sz w:val="24"/>
          <w:szCs w:val="24"/>
          <w:lang w:val="zh-CN"/>
        </w:rPr>
      </w:pPr>
      <w:r>
        <w:rPr>
          <w:rFonts w:hint="eastAsia" w:ascii="宋体" w:hAnsi="宋体"/>
          <w:b/>
          <w:color w:val="000000" w:themeColor="text1"/>
          <w:sz w:val="24"/>
          <w:szCs w:val="24"/>
          <w:lang w:val="zh-CN"/>
        </w:rPr>
        <w:t>“投标人”是指：</w:t>
      </w:r>
      <w:r>
        <w:rPr>
          <w:rFonts w:hint="eastAsia" w:ascii="宋体" w:hAnsi="宋体" w:cs="Helvetica"/>
          <w:color w:val="000000" w:themeColor="text1"/>
          <w:kern w:val="0"/>
          <w:sz w:val="24"/>
          <w:szCs w:val="24"/>
          <w:lang w:val="zh-CN"/>
        </w:rPr>
        <w:t>响应招标、参加投标竞争的法人、其他组织或者自然人。</w:t>
      </w:r>
    </w:p>
    <w:p>
      <w:pPr>
        <w:numPr>
          <w:ilvl w:val="0"/>
          <w:numId w:val="7"/>
        </w:numPr>
        <w:spacing w:line="360" w:lineRule="auto"/>
        <w:ind w:left="476" w:hanging="476"/>
        <w:rPr>
          <w:rFonts w:ascii="宋体" w:cs="Helvetica"/>
          <w:color w:val="000000" w:themeColor="text1"/>
          <w:kern w:val="0"/>
          <w:sz w:val="24"/>
          <w:szCs w:val="24"/>
          <w:lang w:val="zh-CN"/>
        </w:rPr>
      </w:pPr>
      <w:r>
        <w:rPr>
          <w:rFonts w:hint="eastAsia" w:ascii="宋体" w:hAnsi="宋体"/>
          <w:b/>
          <w:color w:val="000000" w:themeColor="text1"/>
          <w:sz w:val="24"/>
          <w:szCs w:val="24"/>
          <w:lang w:val="zh-CN"/>
        </w:rPr>
        <w:t>“合格的投标人”是指：</w:t>
      </w:r>
      <w:r>
        <w:rPr>
          <w:rFonts w:hint="eastAsia" w:ascii="宋体" w:hAnsi="宋体" w:cs="Helvetica"/>
          <w:color w:val="000000" w:themeColor="text1"/>
          <w:kern w:val="0"/>
          <w:sz w:val="24"/>
          <w:szCs w:val="24"/>
          <w:lang w:val="zh-CN"/>
        </w:rPr>
        <w:t>资格审查和符合性审查合格的投标人。</w:t>
      </w:r>
    </w:p>
    <w:p>
      <w:pPr>
        <w:numPr>
          <w:ilvl w:val="0"/>
          <w:numId w:val="7"/>
        </w:numPr>
        <w:spacing w:line="360" w:lineRule="auto"/>
        <w:ind w:left="476" w:hanging="476"/>
        <w:rPr>
          <w:rFonts w:ascii="宋体"/>
          <w:color w:val="000000" w:themeColor="text1"/>
          <w:sz w:val="24"/>
          <w:szCs w:val="24"/>
          <w:lang w:val="zh-CN"/>
        </w:rPr>
      </w:pPr>
      <w:r>
        <w:rPr>
          <w:rFonts w:hint="eastAsia" w:ascii="宋体" w:hAnsi="宋体"/>
          <w:b/>
          <w:color w:val="000000" w:themeColor="text1"/>
          <w:sz w:val="24"/>
          <w:szCs w:val="24"/>
          <w:lang w:val="zh-CN"/>
        </w:rPr>
        <w:t>“中标人”是指：</w:t>
      </w:r>
      <w:r>
        <w:rPr>
          <w:rFonts w:hint="eastAsia" w:ascii="宋体" w:hAnsi="宋体"/>
          <w:color w:val="000000" w:themeColor="text1"/>
          <w:sz w:val="24"/>
          <w:szCs w:val="24"/>
          <w:lang w:val="zh-CN"/>
        </w:rPr>
        <w:t>经评标委员会评审，授予合同的投标人。</w:t>
      </w:r>
    </w:p>
    <w:p>
      <w:pPr>
        <w:numPr>
          <w:ilvl w:val="0"/>
          <w:numId w:val="6"/>
        </w:numPr>
        <w:spacing w:line="360" w:lineRule="auto"/>
        <w:rPr>
          <w:rFonts w:ascii="宋体"/>
          <w:b/>
          <w:color w:val="000000" w:themeColor="text1"/>
          <w:sz w:val="24"/>
          <w:szCs w:val="24"/>
          <w:lang w:val="zh-CN"/>
        </w:rPr>
      </w:pPr>
      <w:r>
        <w:rPr>
          <w:rFonts w:hint="eastAsia" w:ascii="宋体" w:hAnsi="宋体"/>
          <w:b/>
          <w:color w:val="000000" w:themeColor="text1"/>
          <w:sz w:val="24"/>
          <w:szCs w:val="24"/>
          <w:lang w:val="zh-CN"/>
        </w:rPr>
        <w:t>项目属性及定义</w:t>
      </w:r>
    </w:p>
    <w:p>
      <w:pPr>
        <w:numPr>
          <w:ilvl w:val="0"/>
          <w:numId w:val="8"/>
        </w:numPr>
        <w:spacing w:line="360" w:lineRule="auto"/>
        <w:ind w:left="476" w:hanging="476"/>
        <w:rPr>
          <w:rFonts w:ascii="宋体"/>
          <w:color w:val="000000" w:themeColor="text1"/>
          <w:sz w:val="24"/>
          <w:szCs w:val="24"/>
          <w:lang w:val="zh-CN"/>
        </w:rPr>
      </w:pPr>
      <w:r>
        <w:rPr>
          <w:rFonts w:hint="eastAsia" w:ascii="宋体" w:hAnsi="宋体"/>
          <w:b/>
          <w:color w:val="000000" w:themeColor="text1"/>
          <w:sz w:val="24"/>
          <w:szCs w:val="24"/>
          <w:lang w:val="zh-CN"/>
        </w:rPr>
        <w:t>“货物”是指</w:t>
      </w:r>
      <w:r>
        <w:rPr>
          <w:rFonts w:hint="eastAsia" w:ascii="宋体" w:hAnsi="宋体"/>
          <w:color w:val="000000" w:themeColor="text1"/>
          <w:sz w:val="24"/>
          <w:szCs w:val="24"/>
          <w:lang w:val="zh-CN"/>
        </w:rPr>
        <w:t>：各种形态和种类的物品，包括原材料、燃料、设备、产品等。</w:t>
      </w:r>
    </w:p>
    <w:p>
      <w:pPr>
        <w:numPr>
          <w:ilvl w:val="0"/>
          <w:numId w:val="9"/>
        </w:numPr>
        <w:spacing w:line="360" w:lineRule="auto"/>
        <w:ind w:left="854" w:hanging="728"/>
        <w:rPr>
          <w:rFonts w:ascii="宋体"/>
          <w:color w:val="000000" w:themeColor="text1"/>
          <w:sz w:val="24"/>
          <w:szCs w:val="24"/>
          <w:lang w:val="zh-CN"/>
        </w:rPr>
      </w:pPr>
      <w:r>
        <w:rPr>
          <w:rFonts w:hint="eastAsia" w:ascii="宋体" w:hAnsi="宋体"/>
          <w:color w:val="000000" w:themeColor="text1"/>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ascii="宋体"/>
          <w:color w:val="000000" w:themeColor="text1"/>
          <w:sz w:val="24"/>
          <w:szCs w:val="24"/>
          <w:lang w:val="zh-CN"/>
        </w:rPr>
      </w:pPr>
      <w:r>
        <w:rPr>
          <w:rFonts w:hint="eastAsia" w:ascii="宋体" w:hAnsi="宋体"/>
          <w:color w:val="000000" w:themeColor="text1"/>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ascii="宋体"/>
          <w:b/>
          <w:color w:val="000000" w:themeColor="text1"/>
          <w:sz w:val="24"/>
          <w:szCs w:val="24"/>
          <w:lang w:val="zh-CN"/>
        </w:rPr>
      </w:pPr>
      <w:r>
        <w:rPr>
          <w:rFonts w:hint="eastAsia" w:ascii="宋体" w:hAnsi="宋体"/>
          <w:b/>
          <w:color w:val="000000" w:themeColor="text1"/>
          <w:sz w:val="24"/>
          <w:szCs w:val="24"/>
          <w:lang w:val="zh-CN"/>
        </w:rPr>
        <w:t>“工程”是指</w:t>
      </w:r>
      <w:r>
        <w:rPr>
          <w:rFonts w:hint="eastAsia" w:ascii="宋体" w:hAnsi="宋体"/>
          <w:color w:val="000000" w:themeColor="text1"/>
          <w:sz w:val="24"/>
          <w:szCs w:val="24"/>
          <w:lang w:val="zh-CN"/>
        </w:rPr>
        <w:t>：与建筑物和构筑物的新建、改建、扩建及其相关的装修、拆除、修缮无关的工程。</w:t>
      </w:r>
    </w:p>
    <w:p>
      <w:pPr>
        <w:numPr>
          <w:ilvl w:val="0"/>
          <w:numId w:val="8"/>
        </w:numPr>
        <w:spacing w:line="360" w:lineRule="auto"/>
        <w:ind w:left="476" w:hanging="476"/>
        <w:rPr>
          <w:rFonts w:ascii="宋体"/>
          <w:color w:val="000000" w:themeColor="text1"/>
          <w:sz w:val="24"/>
          <w:szCs w:val="24"/>
          <w:lang w:val="zh-CN"/>
        </w:rPr>
      </w:pPr>
      <w:r>
        <w:rPr>
          <w:rFonts w:hint="eastAsia" w:ascii="宋体" w:hAnsi="宋体"/>
          <w:b/>
          <w:color w:val="000000" w:themeColor="text1"/>
          <w:sz w:val="24"/>
          <w:szCs w:val="24"/>
          <w:lang w:val="zh-CN"/>
        </w:rPr>
        <w:t>“服务”是指：</w:t>
      </w:r>
      <w:r>
        <w:rPr>
          <w:rFonts w:hint="eastAsia" w:ascii="宋体" w:hAnsi="宋体"/>
          <w:color w:val="000000" w:themeColor="text1"/>
          <w:sz w:val="24"/>
          <w:szCs w:val="24"/>
          <w:lang w:val="zh-CN"/>
        </w:rPr>
        <w:t>除货物和工程（含本章</w:t>
      </w:r>
      <w:r>
        <w:rPr>
          <w:rFonts w:ascii="宋体" w:hAnsi="宋体"/>
          <w:color w:val="000000" w:themeColor="text1"/>
          <w:sz w:val="24"/>
          <w:szCs w:val="24"/>
          <w:lang w:val="zh-CN"/>
        </w:rPr>
        <w:t>3.2</w:t>
      </w:r>
      <w:r>
        <w:rPr>
          <w:rFonts w:hint="eastAsia" w:ascii="宋体" w:hAnsi="宋体"/>
          <w:color w:val="000000" w:themeColor="text1"/>
          <w:sz w:val="24"/>
          <w:szCs w:val="24"/>
          <w:lang w:val="zh-CN"/>
        </w:rPr>
        <w:t>条所述工程及《招标投标法》所定义工程）以外的其他政府采购对象</w:t>
      </w:r>
      <w:r>
        <w:rPr>
          <w:rFonts w:ascii="宋体"/>
          <w:color w:val="000000" w:themeColor="text1"/>
          <w:sz w:val="24"/>
          <w:szCs w:val="24"/>
          <w:lang w:val="zh-CN"/>
        </w:rPr>
        <w:t>,</w:t>
      </w:r>
      <w:r>
        <w:rPr>
          <w:rFonts w:hint="eastAsia" w:ascii="宋体" w:hAnsi="宋体"/>
          <w:color w:val="000000" w:themeColor="text1"/>
          <w:sz w:val="24"/>
          <w:szCs w:val="24"/>
          <w:lang w:val="zh-CN"/>
        </w:rPr>
        <w:t>包括政府自身需要的服务和政府向社会公众提供的公共服务。</w:t>
      </w:r>
    </w:p>
    <w:p>
      <w:pPr>
        <w:numPr>
          <w:ilvl w:val="0"/>
          <w:numId w:val="8"/>
        </w:numPr>
        <w:spacing w:line="360" w:lineRule="auto"/>
        <w:ind w:left="476" w:hanging="476"/>
        <w:rPr>
          <w:rFonts w:ascii="宋体"/>
          <w:color w:val="000000" w:themeColor="text1"/>
          <w:sz w:val="24"/>
          <w:szCs w:val="24"/>
          <w:lang w:val="zh-CN"/>
        </w:rPr>
      </w:pPr>
      <w:r>
        <w:rPr>
          <w:rFonts w:hint="eastAsia" w:ascii="宋体" w:hAnsi="宋体"/>
          <w:color w:val="000000" w:themeColor="text1"/>
          <w:sz w:val="24"/>
          <w:szCs w:val="24"/>
          <w:lang w:val="zh-CN"/>
        </w:rPr>
        <w:t>采购人应当按照财政部制定的《政府采购品目分类目录》确定采购项目属性。按照《政府采购品目分类目录》无法确定的，按照有利于采购项目实施的原则确定。</w:t>
      </w:r>
    </w:p>
    <w:p>
      <w:pPr>
        <w:numPr>
          <w:ilvl w:val="0"/>
          <w:numId w:val="6"/>
        </w:numPr>
        <w:spacing w:line="360" w:lineRule="auto"/>
        <w:rPr>
          <w:rFonts w:ascii="宋体"/>
          <w:b/>
          <w:color w:val="000000" w:themeColor="text1"/>
          <w:sz w:val="24"/>
          <w:szCs w:val="24"/>
          <w:lang w:val="zh-CN"/>
        </w:rPr>
      </w:pPr>
      <w:r>
        <w:rPr>
          <w:rFonts w:hint="eastAsia" w:ascii="宋体" w:hAnsi="宋体"/>
          <w:b/>
          <w:color w:val="000000" w:themeColor="text1"/>
          <w:sz w:val="24"/>
          <w:szCs w:val="24"/>
          <w:lang w:val="zh-CN"/>
        </w:rPr>
        <w:t>投标费用</w:t>
      </w:r>
    </w:p>
    <w:p>
      <w:pPr>
        <w:numPr>
          <w:ilvl w:val="0"/>
          <w:numId w:val="10"/>
        </w:numPr>
        <w:spacing w:line="360" w:lineRule="auto"/>
        <w:ind w:left="476" w:hanging="476"/>
        <w:rPr>
          <w:rFonts w:ascii="宋体"/>
          <w:color w:val="000000" w:themeColor="text1"/>
          <w:sz w:val="24"/>
          <w:szCs w:val="24"/>
          <w:lang w:val="zh-CN"/>
        </w:rPr>
      </w:pPr>
      <w:r>
        <w:rPr>
          <w:rFonts w:hint="eastAsia" w:ascii="宋体" w:hAnsi="宋体"/>
          <w:color w:val="000000" w:themeColor="text1"/>
          <w:sz w:val="24"/>
          <w:szCs w:val="24"/>
          <w:lang w:val="zh-CN"/>
        </w:rPr>
        <w:t>投标人应承担所有与准备和参加投标有关的费用。不论投标的结果如何，采购代理机构和采购人均无义务和责任承担这些费用。</w:t>
      </w:r>
    </w:p>
    <w:p>
      <w:pPr>
        <w:pStyle w:val="43"/>
        <w:numPr>
          <w:ilvl w:val="0"/>
          <w:numId w:val="10"/>
        </w:numPr>
        <w:adjustRightInd w:val="0"/>
        <w:snapToGrid w:val="0"/>
        <w:spacing w:line="300" w:lineRule="auto"/>
        <w:ind w:firstLineChars="0"/>
        <w:rPr>
          <w:rFonts w:ascii="宋体"/>
          <w:bCs/>
          <w:color w:val="000000" w:themeColor="text1"/>
          <w:sz w:val="24"/>
          <w:szCs w:val="24"/>
        </w:rPr>
      </w:pPr>
      <w:r>
        <w:rPr>
          <w:rFonts w:hint="eastAsia" w:ascii="宋体" w:hAnsi="宋体"/>
          <w:color w:val="000000" w:themeColor="text1"/>
          <w:sz w:val="24"/>
          <w:szCs w:val="24"/>
        </w:rPr>
        <w:t>采购代理服务费</w:t>
      </w:r>
    </w:p>
    <w:p>
      <w:pPr>
        <w:pStyle w:val="43"/>
        <w:adjustRightInd w:val="0"/>
        <w:snapToGrid w:val="0"/>
        <w:spacing w:line="300" w:lineRule="auto"/>
        <w:ind w:firstLine="0" w:firstLineChars="0"/>
        <w:rPr>
          <w:rFonts w:ascii="宋体"/>
          <w:bCs/>
          <w:color w:val="000000" w:themeColor="text1"/>
          <w:sz w:val="24"/>
          <w:szCs w:val="24"/>
        </w:rPr>
      </w:pPr>
    </w:p>
    <w:p>
      <w:pPr>
        <w:pStyle w:val="43"/>
        <w:ind w:firstLine="0" w:firstLineChars="0"/>
        <w:rPr>
          <w:rFonts w:ascii="宋体"/>
          <w:b/>
          <w:color w:val="000000" w:themeColor="text1"/>
          <w:sz w:val="24"/>
          <w:szCs w:val="24"/>
        </w:rPr>
      </w:pPr>
      <w:r>
        <w:rPr>
          <w:rFonts w:hint="eastAsia" w:ascii="宋体" w:hAnsi="宋体"/>
          <w:b/>
          <w:color w:val="000000" w:themeColor="text1"/>
          <w:sz w:val="24"/>
          <w:szCs w:val="24"/>
        </w:rPr>
        <w:t>经过采购代理机构与采购人协议，规定由中标单位支付。采购代理服务费收费标准如下：</w:t>
      </w:r>
    </w:p>
    <w:p>
      <w:pPr>
        <w:pStyle w:val="43"/>
        <w:ind w:left="420" w:firstLine="0" w:firstLineChars="0"/>
        <w:rPr>
          <w:rFonts w:ascii="宋体"/>
          <w:color w:val="000000" w:themeColor="text1"/>
          <w:sz w:val="24"/>
          <w:szCs w:val="24"/>
        </w:rPr>
      </w:pPr>
    </w:p>
    <w:tbl>
      <w:tblPr>
        <w:tblStyle w:val="21"/>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2475" w:type="dxa"/>
          </w:tcPr>
          <w:p>
            <w:pPr>
              <w:spacing w:line="300" w:lineRule="auto"/>
              <w:ind w:firstLine="873" w:firstLineChars="416"/>
              <w:rPr>
                <w:rFonts w:ascii="宋体" w:cs="宋体"/>
                <w:color w:val="000000" w:themeColor="text1"/>
                <w:sz w:val="24"/>
                <w:szCs w:val="24"/>
              </w:rPr>
            </w:pPr>
            <w:r>
              <w:rPr>
                <w:color w:val="000000" w:themeColor="text1"/>
              </w:rPr>
              <w:pict>
                <v:line id="Line 16" o:spid="_x0000_s1026" o:spt="20" style="position:absolute;left:0pt;flip:x y;margin-left:-1.05pt;margin-top:8pt;height:68.5pt;width:111.1pt;z-index:251663360;mso-width-relative:page;mso-height-relative:page;"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rUqkE0gEAAKUDAAAOAAAAZHJzL2Uyb0RvYy54bWytU8mO2zAMvRfo&#10;Pwi6N46DJp0YceYw6bSHQRugy53RYgvQBlETJ39fSknT7VIU9UGgTOrpvUdqc39ylh1VQhN8z9vZ&#10;nDPlRZDGDz3/8vnx1R1nmMFLsMGrnp8V8vvtyxebKXZqEcZgpUqMQDx2U+z5mHPsmgbFqBzgLETl&#10;KalDcpBpm4ZGJpgI3dlmMZ+vmikkGVMQCpH+7i5Jvq34WiuRP2qNKjPbc+KW65rqeihrs91ANySI&#10;oxFXGvAPLBwYT5feoHaQgT0n8weUMyIFDDrPRHBN0NoIVTWQmnb+m5pPI0RVtZA5GG824f+DFR+O&#10;+8SMpN5x5sFRi56MV6xdFWumiB1VPPh9uu4w7lPRedLJMW1NfF9PluhriUqOVLFTtfh8s1idMhP0&#10;s33dztdvqBOCcner9XpZe9BcEMvpmDC/U8GxEvTcEpuKCscnzMSCSr+XlHLr2dTz9XKxJEygCdIW&#10;MoUukib0Qz2LwRr5aKwtJzANhweb2BHKTNSvaCXcX8rKJTvA8VJXU5dpGRXIt16yfI7klqex5oWC&#10;U5Izq+gVlIgAoctg7N9U0tXWE4Ni98XgEh2CPFNvnmMyw0hOtJVlydAsVL7XuS3D9vO+Iv14Xdt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EZzrNEAAAAJAQAADwAAAAAAAAABACAAAAAiAAAAZHJz&#10;L2Rvd25yZXYueG1sUEsBAhQAFAAAAAgAh07iQCtSqQTSAQAApQMAAA4AAAAAAAAAAQAgAAAAIAEA&#10;AGRycy9lMm9Eb2MueG1sUEsFBgAAAAAGAAYAWQEAAGQFAAAAAA==&#10;">
                  <v:path arrowok="t"/>
                  <v:fill focussize="0,0"/>
                  <v:stroke/>
                  <v:imagedata o:title=""/>
                  <o:lock v:ext="edit"/>
                </v:line>
              </w:pict>
            </w:r>
            <w:r>
              <w:rPr>
                <w:color w:val="000000" w:themeColor="text1"/>
              </w:rPr>
              <w:pict>
                <v:line id="Line 17" o:spid="_x0000_s1028" o:spt="20" style="position:absolute;left:0pt;flip:x y;margin-left:-5.15pt;margin-top:4.3pt;height:33.15pt;width:125.75pt;z-index:251664384;mso-width-relative:page;mso-height-relative:page;"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bTeS1M8BAAClAwAADgAAAGRycy9lMm9Eb2MueG1srVPLjhMx&#10;ELwj8Q+W72RmIsKyo0z2sGHhsIJIC9w7fsxY8ktubyb5e9pOCK8LQvhgtd3lcle5vb47OssOKqEJ&#10;fuDdouVMeRGk8ePAv3x+ePWWM8zgJdjg1cBPCvnd5uWL9Rx7tQxTsFIlRiQe+zkOfMo59k2DYlIO&#10;cBGi8pTUITnItExjIxPMxO5ss2zbN80ckowpCIVIu9tzkm8qv9ZK5E9ao8rMDpxqy3VOdd6Xudms&#10;oR8TxMmISxnwD1U4MJ4uvVJtIQN7TuYPKmdEChh0XojgmqC1EapqIDVd+5uapwmiqlrIHIxXm/D/&#10;0YqPh11iRg58yZkHR0/0aLxi3U2xZo7YE+Le79JlhXGXis6jTo5pa+IHenVeo68lKjlSxY7V4tPV&#10;YnXMTNBmt7q9aZcrzgTlXi+7tl2Vi5ozYzkdE+b3KjhWgoFbqqaywuER8xn6HVLg1rN54LerygnU&#10;QdpCJnoXSRP6sZ7FYI18MNaWE5jG/b1N7AClJ+q4lPALrFyyBZzOuJoqMOgnBfKdlyyfIrnlqa15&#10;KcEpyZlV9AtKVJEZjP0bJKm3nkwodp8NLtE+yBO9zXNMZpzIia5WWTLUC9WyS9+WZvt5XZl+/K7N&#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BtN5LUzwEAAKUDAAAOAAAAAAAAAAEAIAAAACQB&#10;AABkcnMvZTJvRG9jLnhtbFBLBQYAAAAABgAGAFkBAABlBQAAAAA=&#10;">
                  <v:path arrowok="t"/>
                  <v:fill focussize="0,0"/>
                  <v:stroke/>
                  <v:imagedata o:title=""/>
                  <o:lock v:ext="edit"/>
                </v:line>
              </w:pict>
            </w:r>
            <w:r>
              <w:rPr>
                <w:color w:val="000000" w:themeColor="text1"/>
              </w:rPr>
              <w:pict>
                <v:line id="Line 15" o:spid="_x0000_s1027" o:spt="20" style="position:absolute;left:0pt;margin-left:-9pt;margin-top:-0.5pt;height:0pt;width:0.05pt;z-index:251665408;mso-width-relative:page;mso-height-relative:page;"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Yx0GEL4BAACIAwAADgAAAGRycy9lMm9Eb2MueG1srVNNbxox&#10;EL1X6n+wfC8LRETtiiWHkPQStUhtf8Bgz+5a8pc8Dgv/vmNDSNpeqqoczNgzfvPe8+z67uisOGAi&#10;E3wnF7O5FOhV0MYPnfzx/fHDRykog9dgg8dOnpDk3eb9u/UUW1yGMViNSTCIp3aKnRxzjm3TkBrR&#10;Ac1CRM/JPiQHmbdpaHSCidGdbZbz+W0zhaRjCgqJ+HR7TspNxe97VPlr3xNmYTvJ3HJdU133ZW02&#10;a2iHBHE06kID/oGFA+O56RVqCxnEczJ/QDmjUqDQ55kKrgl9bxRWDaxmMf9NzbcRIlYtbA7Fq030&#10;/2DVl8MuCaM7eSOFB8dP9GQ8isWqWDNFarni3u/SZUdxl4rOY59c+WcF4ljtPF3txGMWig9vb1ZS&#10;qJfz5vVSTJQ/Y3CiBJ203LCaB4cnytyIS19KSg/rxdTJT6tlgQMekt5C5tBFpk1+qHcpWKMfjbXl&#10;BqVhf2+TOEB59vorchj3l7LSZAs0nutq6jwQI4J+8FrkU2RDPE+uLBQcaiks8qCXiAGhzWDs31Ry&#10;a+uZQXH07GGJ9kGf2P7nmMwwshOLyrJk+Lkr38tolnl6u69Irx/Q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kdN+1QAAAAkBAAAPAAAAAAAAAAEAIAAAACIAAABkcnMvZG93bnJldi54bWxQSwEC&#10;FAAUAAAACACHTuJAYx0GEL4BAACIAwAADgAAAAAAAAABACAAAAAkAQAAZHJzL2Uyb0RvYy54bWxQ&#10;SwUGAAAAAAYABgBZAQAAVAUAAAAA&#10;">
                  <v:path arrowok="t"/>
                  <v:fill focussize="0,0"/>
                  <v:stroke/>
                  <v:imagedata o:title=""/>
                  <o:lock v:ext="edit"/>
                </v:line>
              </w:pict>
            </w:r>
            <w:r>
              <w:rPr>
                <w:rFonts w:hint="eastAsia" w:ascii="宋体" w:hAnsi="宋体" w:cs="宋体"/>
                <w:color w:val="000000" w:themeColor="text1"/>
                <w:sz w:val="24"/>
                <w:szCs w:val="24"/>
              </w:rPr>
              <w:t>招标类型　　　</w:t>
            </w:r>
          </w:p>
          <w:p>
            <w:pPr>
              <w:spacing w:line="300" w:lineRule="auto"/>
              <w:ind w:firstLine="998" w:firstLineChars="416"/>
              <w:rPr>
                <w:rFonts w:ascii="宋体" w:hAnsi="宋体" w:cs="宋体"/>
                <w:color w:val="000000" w:themeColor="text1"/>
                <w:sz w:val="24"/>
                <w:szCs w:val="24"/>
              </w:rPr>
            </w:pPr>
            <w:r>
              <w:rPr>
                <w:rFonts w:hint="eastAsia" w:ascii="宋体" w:hAnsi="宋体" w:cs="宋体"/>
                <w:bCs/>
                <w:color w:val="000000" w:themeColor="text1"/>
                <w:sz w:val="24"/>
                <w:szCs w:val="24"/>
              </w:rPr>
              <w:t>中标</w:t>
            </w:r>
            <w:r>
              <w:rPr>
                <w:rFonts w:hint="eastAsia" w:ascii="宋体" w:hAnsi="宋体" w:cs="宋体"/>
                <w:color w:val="000000" w:themeColor="text1"/>
                <w:sz w:val="24"/>
                <w:szCs w:val="24"/>
              </w:rPr>
              <w:t>　　　</w:t>
            </w:r>
            <w:r>
              <w:rPr>
                <w:rFonts w:ascii="宋体" w:hAnsi="宋体" w:cs="宋体"/>
                <w:color w:val="000000" w:themeColor="text1"/>
                <w:sz w:val="24"/>
                <w:szCs w:val="24"/>
              </w:rPr>
              <w:t xml:space="preserve"> </w:t>
            </w:r>
          </w:p>
          <w:p>
            <w:pPr>
              <w:spacing w:line="300" w:lineRule="auto"/>
              <w:ind w:firstLine="1504" w:firstLineChars="627"/>
              <w:rPr>
                <w:rFonts w:ascii="宋体" w:cs="宋体"/>
                <w:bCs/>
                <w:color w:val="000000" w:themeColor="text1"/>
                <w:sz w:val="24"/>
                <w:szCs w:val="24"/>
              </w:rPr>
            </w:pPr>
            <w:r>
              <w:rPr>
                <w:rFonts w:hint="eastAsia" w:ascii="宋体" w:hAnsi="宋体" w:cs="宋体"/>
                <w:bCs/>
                <w:color w:val="000000" w:themeColor="text1"/>
                <w:sz w:val="24"/>
                <w:szCs w:val="24"/>
              </w:rPr>
              <w:t>费率</w:t>
            </w:r>
          </w:p>
          <w:p>
            <w:pPr>
              <w:spacing w:line="300" w:lineRule="auto"/>
              <w:rPr>
                <w:rFonts w:ascii="宋体" w:cs="宋体"/>
                <w:color w:val="000000" w:themeColor="text1"/>
                <w:sz w:val="24"/>
                <w:szCs w:val="24"/>
              </w:rPr>
            </w:pPr>
            <w:r>
              <w:rPr>
                <w:rFonts w:hint="eastAsia" w:ascii="宋体" w:hAnsi="宋体" w:cs="宋体"/>
                <w:color w:val="000000" w:themeColor="text1"/>
                <w:sz w:val="24"/>
                <w:szCs w:val="24"/>
              </w:rPr>
              <w:t>金额（万元）</w:t>
            </w:r>
          </w:p>
        </w:tc>
        <w:tc>
          <w:tcPr>
            <w:tcW w:w="2470" w:type="dxa"/>
            <w:vAlign w:val="center"/>
          </w:tcPr>
          <w:p>
            <w:pPr>
              <w:spacing w:line="300" w:lineRule="auto"/>
              <w:jc w:val="center"/>
              <w:rPr>
                <w:rFonts w:ascii="宋体" w:cs="宋体"/>
                <w:color w:val="000000" w:themeColor="text1"/>
                <w:sz w:val="24"/>
                <w:szCs w:val="24"/>
              </w:rPr>
            </w:pPr>
            <w:r>
              <w:rPr>
                <w:rFonts w:hint="eastAsia" w:ascii="宋体" w:hAnsi="宋体" w:cs="宋体"/>
                <w:color w:val="000000" w:themeColor="text1"/>
                <w:sz w:val="24"/>
                <w:szCs w:val="24"/>
              </w:rPr>
              <w:t>货物招标</w:t>
            </w:r>
          </w:p>
        </w:tc>
        <w:tc>
          <w:tcPr>
            <w:tcW w:w="2148" w:type="dxa"/>
            <w:vAlign w:val="center"/>
          </w:tcPr>
          <w:p>
            <w:pPr>
              <w:spacing w:line="300" w:lineRule="auto"/>
              <w:jc w:val="center"/>
              <w:rPr>
                <w:rFonts w:ascii="宋体" w:cs="宋体"/>
                <w:color w:val="000000" w:themeColor="text1"/>
                <w:sz w:val="24"/>
                <w:szCs w:val="24"/>
              </w:rPr>
            </w:pPr>
            <w:r>
              <w:rPr>
                <w:rFonts w:hint="eastAsia" w:ascii="宋体" w:hAnsi="宋体" w:cs="宋体"/>
                <w:color w:val="000000" w:themeColor="text1"/>
                <w:sz w:val="24"/>
                <w:szCs w:val="24"/>
              </w:rPr>
              <w:t>服务招标</w:t>
            </w:r>
          </w:p>
        </w:tc>
        <w:tc>
          <w:tcPr>
            <w:tcW w:w="2148" w:type="dxa"/>
            <w:vAlign w:val="center"/>
          </w:tcPr>
          <w:p>
            <w:pPr>
              <w:spacing w:line="300" w:lineRule="auto"/>
              <w:jc w:val="center"/>
              <w:rPr>
                <w:rFonts w:ascii="宋体" w:cs="宋体"/>
                <w:color w:val="000000" w:themeColor="text1"/>
                <w:sz w:val="24"/>
                <w:szCs w:val="24"/>
              </w:rPr>
            </w:pPr>
            <w:r>
              <w:rPr>
                <w:rFonts w:hint="eastAsia" w:ascii="宋体" w:hAnsi="宋体" w:cs="宋体"/>
                <w:color w:val="000000" w:themeColor="text1"/>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475" w:type="dxa"/>
          </w:tcPr>
          <w:p>
            <w:pPr>
              <w:spacing w:line="300" w:lineRule="auto"/>
              <w:jc w:val="center"/>
              <w:rPr>
                <w:rFonts w:ascii="宋体" w:cs="宋体"/>
                <w:color w:val="000000" w:themeColor="text1"/>
                <w:sz w:val="24"/>
                <w:szCs w:val="24"/>
              </w:rPr>
            </w:pPr>
            <w:r>
              <w:rPr>
                <w:rFonts w:ascii="宋体" w:hAnsi="宋体" w:cs="宋体"/>
                <w:color w:val="000000" w:themeColor="text1"/>
                <w:sz w:val="24"/>
                <w:szCs w:val="24"/>
              </w:rPr>
              <w:t>100</w:t>
            </w:r>
            <w:r>
              <w:rPr>
                <w:rFonts w:hint="eastAsia" w:ascii="宋体" w:hAnsi="宋体" w:cs="宋体"/>
                <w:color w:val="000000" w:themeColor="text1"/>
                <w:sz w:val="24"/>
                <w:szCs w:val="24"/>
              </w:rPr>
              <w:t>以下</w:t>
            </w:r>
          </w:p>
        </w:tc>
        <w:tc>
          <w:tcPr>
            <w:tcW w:w="2470" w:type="dxa"/>
          </w:tcPr>
          <w:p>
            <w:pPr>
              <w:spacing w:line="300" w:lineRule="auto"/>
              <w:jc w:val="center"/>
              <w:rPr>
                <w:rFonts w:ascii="宋体" w:hAnsi="宋体" w:cs="宋体"/>
                <w:color w:val="000000" w:themeColor="text1"/>
                <w:sz w:val="24"/>
                <w:szCs w:val="24"/>
              </w:rPr>
            </w:pPr>
            <w:r>
              <w:rPr>
                <w:rFonts w:ascii="宋体" w:hAnsi="宋体" w:cs="宋体"/>
                <w:color w:val="000000" w:themeColor="text1"/>
                <w:sz w:val="24"/>
                <w:szCs w:val="24"/>
              </w:rPr>
              <w:t>1.5%</w:t>
            </w:r>
          </w:p>
        </w:tc>
        <w:tc>
          <w:tcPr>
            <w:tcW w:w="2148" w:type="dxa"/>
          </w:tcPr>
          <w:p>
            <w:pPr>
              <w:spacing w:line="300" w:lineRule="auto"/>
              <w:jc w:val="center"/>
              <w:rPr>
                <w:rFonts w:ascii="宋体" w:hAnsi="宋体" w:cs="宋体"/>
                <w:color w:val="000000" w:themeColor="text1"/>
                <w:sz w:val="24"/>
                <w:szCs w:val="24"/>
              </w:rPr>
            </w:pPr>
            <w:r>
              <w:rPr>
                <w:rFonts w:ascii="宋体" w:hAnsi="宋体" w:cs="宋体"/>
                <w:color w:val="000000" w:themeColor="text1"/>
                <w:sz w:val="24"/>
                <w:szCs w:val="24"/>
              </w:rPr>
              <w:t>1.5%</w:t>
            </w:r>
          </w:p>
        </w:tc>
        <w:tc>
          <w:tcPr>
            <w:tcW w:w="2148" w:type="dxa"/>
          </w:tcPr>
          <w:p>
            <w:pPr>
              <w:spacing w:line="300" w:lineRule="auto"/>
              <w:jc w:val="center"/>
              <w:rPr>
                <w:rFonts w:ascii="宋体" w:cs="宋体"/>
                <w:color w:val="000000" w:themeColor="text1"/>
                <w:sz w:val="24"/>
                <w:szCs w:val="24"/>
              </w:rPr>
            </w:pPr>
            <w:r>
              <w:rPr>
                <w:rFonts w:ascii="宋体" w:hAnsi="宋体" w:cs="宋体"/>
                <w:color w:val="000000" w:themeColor="text1"/>
                <w:sz w:val="24"/>
                <w:szCs w:val="24"/>
              </w:rPr>
              <w:t>1.00</w:t>
            </w:r>
            <w:r>
              <w:rPr>
                <w:rFonts w:hint="eastAsia" w:ascii="宋体" w:hAnsi="宋体" w:cs="宋体"/>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rPr>
            </w:pPr>
            <w:r>
              <w:rPr>
                <w:rFonts w:ascii="宋体" w:hAnsi="宋体" w:cs="宋体"/>
                <w:color w:val="000000" w:themeColor="text1"/>
                <w:sz w:val="24"/>
                <w:szCs w:val="24"/>
              </w:rPr>
              <w:t>100-500</w:t>
            </w:r>
          </w:p>
        </w:tc>
        <w:tc>
          <w:tcPr>
            <w:tcW w:w="2470" w:type="dxa"/>
          </w:tcPr>
          <w:p>
            <w:pPr>
              <w:spacing w:line="300" w:lineRule="auto"/>
              <w:jc w:val="center"/>
              <w:rPr>
                <w:rFonts w:ascii="宋体" w:hAnsi="宋体" w:cs="宋体"/>
                <w:color w:val="000000" w:themeColor="text1"/>
                <w:sz w:val="24"/>
                <w:szCs w:val="24"/>
              </w:rPr>
            </w:pPr>
            <w:r>
              <w:rPr>
                <w:rFonts w:ascii="宋体" w:hAnsi="宋体" w:cs="宋体"/>
                <w:color w:val="000000" w:themeColor="text1"/>
                <w:sz w:val="24"/>
                <w:szCs w:val="24"/>
              </w:rPr>
              <w:t>1.1%</w:t>
            </w:r>
          </w:p>
        </w:tc>
        <w:tc>
          <w:tcPr>
            <w:tcW w:w="2148" w:type="dxa"/>
          </w:tcPr>
          <w:p>
            <w:pPr>
              <w:spacing w:line="300" w:lineRule="auto"/>
              <w:jc w:val="center"/>
              <w:rPr>
                <w:rFonts w:ascii="宋体" w:hAnsi="宋体" w:cs="宋体"/>
                <w:color w:val="000000" w:themeColor="text1"/>
                <w:sz w:val="24"/>
                <w:szCs w:val="24"/>
              </w:rPr>
            </w:pPr>
            <w:r>
              <w:rPr>
                <w:rFonts w:ascii="宋体" w:hAnsi="宋体" w:cs="宋体"/>
                <w:color w:val="000000" w:themeColor="text1"/>
                <w:sz w:val="24"/>
                <w:szCs w:val="24"/>
              </w:rPr>
              <w:t>0.8%</w:t>
            </w:r>
          </w:p>
        </w:tc>
        <w:tc>
          <w:tcPr>
            <w:tcW w:w="2148" w:type="dxa"/>
          </w:tcPr>
          <w:p>
            <w:pPr>
              <w:spacing w:line="300" w:lineRule="auto"/>
              <w:jc w:val="center"/>
              <w:rPr>
                <w:rFonts w:ascii="宋体" w:cs="宋体"/>
                <w:color w:val="000000" w:themeColor="text1"/>
                <w:sz w:val="24"/>
                <w:szCs w:val="24"/>
              </w:rPr>
            </w:pPr>
            <w:r>
              <w:rPr>
                <w:rFonts w:ascii="宋体" w:hAnsi="宋体" w:cs="宋体"/>
                <w:color w:val="000000" w:themeColor="text1"/>
                <w:sz w:val="24"/>
                <w:szCs w:val="24"/>
              </w:rPr>
              <w:t>0.70</w:t>
            </w:r>
            <w:r>
              <w:rPr>
                <w:rFonts w:hint="eastAsia" w:ascii="宋体" w:hAnsi="宋体" w:cs="宋体"/>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rPr>
            </w:pPr>
            <w:r>
              <w:rPr>
                <w:rFonts w:ascii="宋体" w:hAnsi="宋体" w:cs="宋体"/>
                <w:color w:val="000000" w:themeColor="text1"/>
                <w:sz w:val="24"/>
                <w:szCs w:val="24"/>
              </w:rPr>
              <w:t>500-1000</w:t>
            </w:r>
          </w:p>
        </w:tc>
        <w:tc>
          <w:tcPr>
            <w:tcW w:w="2470" w:type="dxa"/>
          </w:tcPr>
          <w:p>
            <w:pPr>
              <w:spacing w:line="300" w:lineRule="auto"/>
              <w:jc w:val="center"/>
              <w:rPr>
                <w:rFonts w:ascii="宋体" w:hAnsi="宋体" w:cs="宋体"/>
                <w:color w:val="000000" w:themeColor="text1"/>
                <w:sz w:val="24"/>
                <w:szCs w:val="24"/>
              </w:rPr>
            </w:pPr>
            <w:r>
              <w:rPr>
                <w:rFonts w:ascii="宋体" w:hAnsi="宋体" w:cs="宋体"/>
                <w:color w:val="000000" w:themeColor="text1"/>
                <w:sz w:val="24"/>
                <w:szCs w:val="24"/>
              </w:rPr>
              <w:t>0.8%</w:t>
            </w:r>
          </w:p>
        </w:tc>
        <w:tc>
          <w:tcPr>
            <w:tcW w:w="2148" w:type="dxa"/>
          </w:tcPr>
          <w:p>
            <w:pPr>
              <w:spacing w:line="300" w:lineRule="auto"/>
              <w:jc w:val="center"/>
              <w:rPr>
                <w:rFonts w:ascii="宋体" w:hAnsi="宋体" w:cs="宋体"/>
                <w:color w:val="000000" w:themeColor="text1"/>
                <w:sz w:val="24"/>
                <w:szCs w:val="24"/>
              </w:rPr>
            </w:pPr>
            <w:r>
              <w:rPr>
                <w:rFonts w:ascii="宋体" w:hAnsi="宋体" w:cs="宋体"/>
                <w:color w:val="000000" w:themeColor="text1"/>
                <w:sz w:val="24"/>
                <w:szCs w:val="24"/>
              </w:rPr>
              <w:t>0.45%</w:t>
            </w:r>
          </w:p>
        </w:tc>
        <w:tc>
          <w:tcPr>
            <w:tcW w:w="2148" w:type="dxa"/>
          </w:tcPr>
          <w:p>
            <w:pPr>
              <w:spacing w:line="300" w:lineRule="auto"/>
              <w:jc w:val="center"/>
              <w:rPr>
                <w:rFonts w:ascii="宋体" w:cs="宋体"/>
                <w:color w:val="000000" w:themeColor="text1"/>
                <w:sz w:val="24"/>
                <w:szCs w:val="24"/>
              </w:rPr>
            </w:pPr>
            <w:r>
              <w:rPr>
                <w:rFonts w:ascii="宋体" w:hAnsi="宋体" w:cs="宋体"/>
                <w:color w:val="000000" w:themeColor="text1"/>
                <w:sz w:val="24"/>
                <w:szCs w:val="24"/>
              </w:rPr>
              <w:t>0.55</w:t>
            </w:r>
            <w:r>
              <w:rPr>
                <w:rFonts w:hint="eastAsia" w:ascii="宋体" w:hAnsi="宋体" w:cs="宋体"/>
                <w:color w:val="000000" w:themeColor="text1"/>
                <w:sz w:val="24"/>
                <w:szCs w:val="24"/>
              </w:rPr>
              <w:t>％</w:t>
            </w:r>
          </w:p>
        </w:tc>
      </w:tr>
    </w:tbl>
    <w:p>
      <w:pPr>
        <w:pStyle w:val="43"/>
        <w:adjustRightInd w:val="0"/>
        <w:snapToGrid w:val="0"/>
        <w:spacing w:line="300" w:lineRule="auto"/>
        <w:ind w:left="420" w:firstLine="0" w:firstLineChars="0"/>
        <w:rPr>
          <w:rFonts w:ascii="宋体"/>
          <w:color w:val="000000" w:themeColor="text1"/>
          <w:sz w:val="24"/>
          <w:szCs w:val="24"/>
        </w:rPr>
      </w:pPr>
    </w:p>
    <w:p>
      <w:pPr>
        <w:pStyle w:val="3"/>
        <w:numPr>
          <w:ilvl w:val="0"/>
          <w:numId w:val="5"/>
        </w:numPr>
        <w:spacing w:before="40" w:after="40" w:line="360" w:lineRule="auto"/>
        <w:ind w:left="658" w:hanging="658"/>
        <w:jc w:val="left"/>
        <w:rPr>
          <w:rFonts w:ascii="宋体"/>
          <w:bCs w:val="0"/>
          <w:color w:val="000000" w:themeColor="text1"/>
          <w:lang w:val="zh-CN"/>
        </w:rPr>
      </w:pPr>
      <w:bookmarkStart w:id="6" w:name="_Toc372"/>
      <w:bookmarkStart w:id="7" w:name="_Toc494561939"/>
      <w:bookmarkStart w:id="8" w:name="_Toc278891592"/>
      <w:bookmarkStart w:id="9" w:name="_Toc272247695"/>
      <w:r>
        <w:rPr>
          <w:rFonts w:hint="eastAsia" w:ascii="宋体" w:hAnsi="宋体"/>
          <w:bCs w:val="0"/>
          <w:color w:val="000000" w:themeColor="text1"/>
          <w:lang w:val="zh-CN"/>
        </w:rPr>
        <w:t>招标文件</w:t>
      </w:r>
      <w:bookmarkEnd w:id="6"/>
      <w:bookmarkEnd w:id="7"/>
      <w:bookmarkEnd w:id="8"/>
      <w:bookmarkEnd w:id="9"/>
    </w:p>
    <w:p>
      <w:pPr>
        <w:numPr>
          <w:ilvl w:val="0"/>
          <w:numId w:val="6"/>
        </w:numPr>
        <w:spacing w:line="360" w:lineRule="auto"/>
        <w:rPr>
          <w:rFonts w:ascii="宋体"/>
          <w:b/>
          <w:color w:val="000000" w:themeColor="text1"/>
          <w:sz w:val="24"/>
          <w:szCs w:val="20"/>
          <w:lang w:val="zh-CN"/>
        </w:rPr>
      </w:pPr>
      <w:r>
        <w:rPr>
          <w:rFonts w:hint="eastAsia" w:ascii="宋体" w:hAnsi="宋体"/>
          <w:b/>
          <w:color w:val="000000" w:themeColor="text1"/>
          <w:sz w:val="24"/>
          <w:szCs w:val="20"/>
          <w:lang w:val="zh-CN"/>
        </w:rPr>
        <w:t>招标文件的构成</w:t>
      </w:r>
    </w:p>
    <w:p>
      <w:pPr>
        <w:tabs>
          <w:tab w:val="left" w:pos="476"/>
        </w:tabs>
        <w:spacing w:line="360" w:lineRule="auto"/>
        <w:ind w:left="476"/>
        <w:rPr>
          <w:rFonts w:ascii="宋体"/>
          <w:color w:val="000000" w:themeColor="text1"/>
          <w:sz w:val="24"/>
          <w:szCs w:val="20"/>
          <w:lang w:val="zh-CN"/>
        </w:rPr>
      </w:pPr>
      <w:r>
        <w:rPr>
          <w:rFonts w:hint="eastAsia" w:ascii="宋体" w:hAnsi="宋体"/>
          <w:color w:val="000000" w:themeColor="text1"/>
          <w:sz w:val="24"/>
          <w:szCs w:val="20"/>
          <w:lang w:val="zh-CN"/>
        </w:rPr>
        <w:t>第一章</w:t>
      </w:r>
      <w:r>
        <w:rPr>
          <w:rFonts w:ascii="宋体" w:hAnsi="宋体"/>
          <w:color w:val="000000" w:themeColor="text1"/>
          <w:sz w:val="24"/>
          <w:szCs w:val="20"/>
          <w:lang w:val="zh-CN"/>
        </w:rPr>
        <w:t xml:space="preserve"> </w:t>
      </w:r>
      <w:r>
        <w:rPr>
          <w:rFonts w:hint="eastAsia" w:ascii="宋体" w:hAnsi="宋体"/>
          <w:color w:val="000000" w:themeColor="text1"/>
          <w:sz w:val="24"/>
          <w:szCs w:val="20"/>
          <w:lang w:val="zh-CN"/>
        </w:rPr>
        <w:t>投标邀请书</w:t>
      </w:r>
    </w:p>
    <w:p>
      <w:pPr>
        <w:tabs>
          <w:tab w:val="left" w:pos="476"/>
        </w:tabs>
        <w:spacing w:line="360" w:lineRule="auto"/>
        <w:ind w:left="476"/>
        <w:rPr>
          <w:rFonts w:ascii="宋体"/>
          <w:color w:val="000000" w:themeColor="text1"/>
          <w:sz w:val="24"/>
          <w:szCs w:val="20"/>
          <w:lang w:val="zh-CN"/>
        </w:rPr>
      </w:pPr>
      <w:r>
        <w:rPr>
          <w:rFonts w:hint="eastAsia" w:ascii="宋体" w:hAnsi="宋体"/>
          <w:color w:val="000000" w:themeColor="text1"/>
          <w:sz w:val="24"/>
          <w:szCs w:val="20"/>
          <w:lang w:val="zh-CN"/>
        </w:rPr>
        <w:t>第二章</w:t>
      </w:r>
      <w:r>
        <w:rPr>
          <w:rFonts w:ascii="宋体" w:hAnsi="宋体"/>
          <w:color w:val="000000" w:themeColor="text1"/>
          <w:sz w:val="24"/>
          <w:szCs w:val="20"/>
          <w:lang w:val="zh-CN"/>
        </w:rPr>
        <w:t xml:space="preserve"> </w:t>
      </w:r>
      <w:r>
        <w:rPr>
          <w:rFonts w:hint="eastAsia" w:ascii="宋体" w:hAnsi="宋体"/>
          <w:color w:val="000000" w:themeColor="text1"/>
          <w:sz w:val="24"/>
          <w:szCs w:val="20"/>
          <w:lang w:val="zh-CN"/>
        </w:rPr>
        <w:t>投标人须知</w:t>
      </w:r>
    </w:p>
    <w:p>
      <w:pPr>
        <w:tabs>
          <w:tab w:val="left" w:pos="476"/>
        </w:tabs>
        <w:spacing w:line="360" w:lineRule="auto"/>
        <w:ind w:left="476"/>
        <w:rPr>
          <w:rFonts w:ascii="宋体"/>
          <w:color w:val="000000" w:themeColor="text1"/>
          <w:sz w:val="24"/>
          <w:szCs w:val="20"/>
          <w:lang w:val="zh-CN"/>
        </w:rPr>
      </w:pPr>
      <w:r>
        <w:rPr>
          <w:rFonts w:hint="eastAsia" w:ascii="宋体" w:hAnsi="宋体"/>
          <w:color w:val="000000" w:themeColor="text1"/>
          <w:sz w:val="24"/>
          <w:szCs w:val="20"/>
          <w:lang w:val="zh-CN"/>
        </w:rPr>
        <w:t>第三章</w:t>
      </w:r>
      <w:r>
        <w:rPr>
          <w:rFonts w:ascii="宋体" w:hAnsi="宋体"/>
          <w:color w:val="000000" w:themeColor="text1"/>
          <w:sz w:val="24"/>
          <w:szCs w:val="20"/>
          <w:lang w:val="zh-CN"/>
        </w:rPr>
        <w:t xml:space="preserve"> </w:t>
      </w:r>
      <w:r>
        <w:rPr>
          <w:rFonts w:hint="eastAsia" w:ascii="宋体" w:hAnsi="宋体"/>
          <w:color w:val="000000" w:themeColor="text1"/>
          <w:sz w:val="24"/>
          <w:szCs w:val="20"/>
          <w:lang w:val="zh-CN"/>
        </w:rPr>
        <w:t>项目技术、服务及商务要求</w:t>
      </w:r>
    </w:p>
    <w:p>
      <w:pPr>
        <w:tabs>
          <w:tab w:val="left" w:pos="476"/>
        </w:tabs>
        <w:spacing w:line="360" w:lineRule="auto"/>
        <w:ind w:left="476"/>
        <w:rPr>
          <w:rFonts w:ascii="宋体"/>
          <w:color w:val="000000" w:themeColor="text1"/>
          <w:sz w:val="24"/>
          <w:szCs w:val="20"/>
          <w:lang w:val="zh-CN"/>
        </w:rPr>
      </w:pPr>
      <w:r>
        <w:rPr>
          <w:rFonts w:hint="eastAsia" w:ascii="宋体" w:hAnsi="宋体"/>
          <w:color w:val="000000" w:themeColor="text1"/>
          <w:sz w:val="24"/>
          <w:szCs w:val="20"/>
          <w:lang w:val="zh-CN"/>
        </w:rPr>
        <w:t>第四章</w:t>
      </w:r>
      <w:r>
        <w:rPr>
          <w:rFonts w:ascii="宋体" w:hAnsi="宋体"/>
          <w:color w:val="000000" w:themeColor="text1"/>
          <w:sz w:val="24"/>
          <w:szCs w:val="20"/>
          <w:lang w:val="zh-CN"/>
        </w:rPr>
        <w:t xml:space="preserve"> </w:t>
      </w:r>
      <w:r>
        <w:rPr>
          <w:rFonts w:hint="eastAsia" w:ascii="宋体" w:hAnsi="宋体"/>
          <w:color w:val="000000" w:themeColor="text1"/>
          <w:sz w:val="24"/>
          <w:szCs w:val="20"/>
          <w:lang w:val="zh-CN"/>
        </w:rPr>
        <w:t>资格审查方法及标准</w:t>
      </w:r>
    </w:p>
    <w:p>
      <w:pPr>
        <w:tabs>
          <w:tab w:val="left" w:pos="476"/>
        </w:tabs>
        <w:spacing w:line="360" w:lineRule="auto"/>
        <w:ind w:left="476"/>
        <w:rPr>
          <w:rFonts w:ascii="宋体"/>
          <w:color w:val="000000" w:themeColor="text1"/>
          <w:sz w:val="24"/>
          <w:szCs w:val="20"/>
          <w:lang w:val="zh-CN"/>
        </w:rPr>
      </w:pPr>
      <w:r>
        <w:rPr>
          <w:rFonts w:hint="eastAsia" w:ascii="宋体" w:hAnsi="宋体"/>
          <w:color w:val="000000" w:themeColor="text1"/>
          <w:sz w:val="24"/>
          <w:szCs w:val="20"/>
          <w:lang w:val="zh-CN"/>
        </w:rPr>
        <w:t>第五章</w:t>
      </w:r>
      <w:r>
        <w:rPr>
          <w:rFonts w:ascii="宋体" w:hAnsi="宋体"/>
          <w:color w:val="000000" w:themeColor="text1"/>
          <w:sz w:val="24"/>
          <w:szCs w:val="20"/>
          <w:lang w:val="zh-CN"/>
        </w:rPr>
        <w:t xml:space="preserve"> </w:t>
      </w:r>
      <w:r>
        <w:rPr>
          <w:rFonts w:hint="eastAsia" w:ascii="宋体" w:hAnsi="宋体"/>
          <w:color w:val="000000" w:themeColor="text1"/>
          <w:sz w:val="24"/>
          <w:szCs w:val="20"/>
          <w:lang w:val="zh-CN"/>
        </w:rPr>
        <w:t>评标方法、程序及标准</w:t>
      </w:r>
    </w:p>
    <w:p>
      <w:pPr>
        <w:tabs>
          <w:tab w:val="left" w:pos="476"/>
        </w:tabs>
        <w:spacing w:line="360" w:lineRule="auto"/>
        <w:ind w:left="476"/>
        <w:rPr>
          <w:rFonts w:ascii="宋体"/>
          <w:color w:val="000000" w:themeColor="text1"/>
          <w:sz w:val="24"/>
          <w:szCs w:val="20"/>
          <w:lang w:val="zh-CN"/>
        </w:rPr>
      </w:pPr>
      <w:r>
        <w:rPr>
          <w:rFonts w:hint="eastAsia" w:ascii="宋体" w:hAnsi="宋体"/>
          <w:color w:val="000000" w:themeColor="text1"/>
          <w:sz w:val="24"/>
          <w:szCs w:val="20"/>
          <w:lang w:val="zh-CN"/>
        </w:rPr>
        <w:t>第六章</w:t>
      </w:r>
      <w:r>
        <w:rPr>
          <w:rFonts w:ascii="宋体" w:hAnsi="宋体"/>
          <w:color w:val="000000" w:themeColor="text1"/>
          <w:sz w:val="24"/>
          <w:szCs w:val="20"/>
          <w:lang w:val="zh-CN"/>
        </w:rPr>
        <w:t xml:space="preserve"> </w:t>
      </w:r>
      <w:r>
        <w:rPr>
          <w:rFonts w:hint="eastAsia" w:ascii="宋体" w:hAnsi="宋体"/>
          <w:color w:val="000000" w:themeColor="text1"/>
          <w:sz w:val="24"/>
          <w:szCs w:val="20"/>
          <w:lang w:val="zh-CN"/>
        </w:rPr>
        <w:t>合同书格式（参考）</w:t>
      </w:r>
    </w:p>
    <w:p>
      <w:pPr>
        <w:tabs>
          <w:tab w:val="left" w:pos="476"/>
        </w:tabs>
        <w:spacing w:line="360" w:lineRule="auto"/>
        <w:ind w:left="476"/>
        <w:rPr>
          <w:rFonts w:ascii="宋体"/>
          <w:color w:val="000000" w:themeColor="text1"/>
          <w:sz w:val="24"/>
          <w:szCs w:val="20"/>
          <w:lang w:val="zh-CN"/>
        </w:rPr>
      </w:pPr>
      <w:r>
        <w:rPr>
          <w:rFonts w:hint="eastAsia" w:ascii="宋体" w:hAnsi="宋体"/>
          <w:color w:val="000000" w:themeColor="text1"/>
          <w:sz w:val="24"/>
          <w:szCs w:val="20"/>
          <w:lang w:val="zh-CN"/>
        </w:rPr>
        <w:t>第七章</w:t>
      </w:r>
      <w:r>
        <w:rPr>
          <w:rFonts w:ascii="宋体" w:hAnsi="宋体"/>
          <w:color w:val="000000" w:themeColor="text1"/>
          <w:sz w:val="24"/>
          <w:szCs w:val="20"/>
          <w:lang w:val="zh-CN"/>
        </w:rPr>
        <w:t xml:space="preserve"> </w:t>
      </w:r>
      <w:r>
        <w:rPr>
          <w:rFonts w:hint="eastAsia" w:ascii="宋体" w:hAnsi="宋体"/>
          <w:color w:val="000000" w:themeColor="text1"/>
          <w:sz w:val="24"/>
          <w:szCs w:val="20"/>
          <w:lang w:val="zh-CN"/>
        </w:rPr>
        <w:t>投标文件格式（参考）</w:t>
      </w:r>
    </w:p>
    <w:p>
      <w:pPr>
        <w:tabs>
          <w:tab w:val="left" w:pos="476"/>
        </w:tabs>
        <w:spacing w:line="360" w:lineRule="auto"/>
        <w:ind w:left="476"/>
        <w:rPr>
          <w:rFonts w:ascii="宋体"/>
          <w:color w:val="000000" w:themeColor="text1"/>
          <w:sz w:val="24"/>
          <w:szCs w:val="20"/>
          <w:lang w:val="zh-CN"/>
        </w:rPr>
      </w:pPr>
      <w:r>
        <w:rPr>
          <w:rFonts w:hint="eastAsia" w:ascii="宋体" w:hAnsi="宋体"/>
          <w:color w:val="000000" w:themeColor="text1"/>
          <w:sz w:val="24"/>
          <w:szCs w:val="20"/>
          <w:lang w:val="zh-CN"/>
        </w:rPr>
        <w:t>其</w:t>
      </w:r>
      <w:r>
        <w:rPr>
          <w:rFonts w:ascii="宋体" w:hAnsi="宋体"/>
          <w:color w:val="000000" w:themeColor="text1"/>
          <w:sz w:val="24"/>
          <w:szCs w:val="20"/>
          <w:lang w:val="zh-CN"/>
        </w:rPr>
        <w:t xml:space="preserve"> </w:t>
      </w:r>
      <w:r>
        <w:rPr>
          <w:rFonts w:hint="eastAsia" w:ascii="宋体" w:hAnsi="宋体"/>
          <w:color w:val="000000" w:themeColor="text1"/>
          <w:sz w:val="24"/>
          <w:szCs w:val="20"/>
          <w:lang w:val="zh-CN"/>
        </w:rPr>
        <w:t>他</w:t>
      </w:r>
      <w:r>
        <w:rPr>
          <w:rFonts w:ascii="宋体" w:hAnsi="宋体"/>
          <w:color w:val="000000" w:themeColor="text1"/>
          <w:sz w:val="24"/>
          <w:szCs w:val="20"/>
          <w:lang w:val="zh-CN"/>
        </w:rPr>
        <w:t xml:space="preserve">  </w:t>
      </w:r>
      <w:r>
        <w:rPr>
          <w:rFonts w:hint="eastAsia" w:ascii="宋体" w:hAnsi="宋体"/>
          <w:color w:val="000000" w:themeColor="text1"/>
          <w:sz w:val="24"/>
          <w:szCs w:val="20"/>
          <w:lang w:val="zh-CN"/>
        </w:rPr>
        <w:t>在招标过程中由集中采购机构发出的修正和补充文件等</w:t>
      </w:r>
    </w:p>
    <w:p>
      <w:pPr>
        <w:numPr>
          <w:ilvl w:val="0"/>
          <w:numId w:val="6"/>
        </w:numPr>
        <w:spacing w:line="360" w:lineRule="auto"/>
        <w:rPr>
          <w:rFonts w:ascii="宋体"/>
          <w:b/>
          <w:color w:val="000000" w:themeColor="text1"/>
          <w:sz w:val="24"/>
          <w:szCs w:val="20"/>
          <w:lang w:val="zh-CN"/>
        </w:rPr>
      </w:pPr>
      <w:r>
        <w:rPr>
          <w:rFonts w:hint="eastAsia" w:ascii="宋体" w:hAnsi="宋体"/>
          <w:b/>
          <w:color w:val="000000" w:themeColor="text1"/>
          <w:sz w:val="24"/>
          <w:szCs w:val="20"/>
          <w:lang w:val="zh-CN"/>
        </w:rPr>
        <w:t>招标文件疑问的提交</w:t>
      </w:r>
    </w:p>
    <w:p>
      <w:pPr>
        <w:numPr>
          <w:ilvl w:val="0"/>
          <w:numId w:val="11"/>
        </w:numPr>
        <w:spacing w:line="360" w:lineRule="auto"/>
        <w:ind w:left="476" w:hanging="476"/>
        <w:rPr>
          <w:rFonts w:ascii="宋体"/>
          <w:color w:val="000000" w:themeColor="text1"/>
          <w:sz w:val="24"/>
          <w:szCs w:val="20"/>
          <w:lang w:val="zh-CN"/>
        </w:rPr>
      </w:pPr>
      <w:r>
        <w:rPr>
          <w:rFonts w:hint="eastAsia" w:ascii="宋体" w:hAnsi="宋体"/>
          <w:color w:val="000000" w:themeColor="text1"/>
          <w:sz w:val="24"/>
          <w:szCs w:val="20"/>
          <w:lang w:val="zh-CN"/>
        </w:rPr>
        <w:t>潜在投标人对招标文件有疑问的，可以向采购代理机构提出询问，或在</w:t>
      </w:r>
      <w:r>
        <w:rPr>
          <w:rFonts w:ascii="宋体" w:hAnsi="宋体"/>
          <w:color w:val="000000" w:themeColor="text1"/>
          <w:sz w:val="24"/>
          <w:szCs w:val="20"/>
          <w:lang w:val="zh-CN"/>
        </w:rPr>
        <w:t>6.2</w:t>
      </w:r>
      <w:r>
        <w:rPr>
          <w:rFonts w:hint="eastAsia" w:ascii="宋体" w:hAnsi="宋体"/>
          <w:color w:val="000000" w:themeColor="text1"/>
          <w:sz w:val="24"/>
          <w:szCs w:val="20"/>
          <w:lang w:val="zh-CN"/>
        </w:rPr>
        <w:t>规定的时间前以书面的形式向采购代理机构提交疑问函。</w:t>
      </w:r>
    </w:p>
    <w:p>
      <w:pPr>
        <w:numPr>
          <w:ilvl w:val="0"/>
          <w:numId w:val="11"/>
        </w:numPr>
        <w:spacing w:line="360" w:lineRule="auto"/>
        <w:ind w:left="476" w:hanging="476"/>
        <w:rPr>
          <w:rFonts w:ascii="宋体"/>
          <w:color w:val="000000" w:themeColor="text1"/>
          <w:sz w:val="24"/>
          <w:szCs w:val="20"/>
          <w:lang w:val="zh-CN"/>
        </w:rPr>
      </w:pPr>
      <w:r>
        <w:rPr>
          <w:rFonts w:hint="eastAsia" w:ascii="宋体" w:hAnsi="宋体"/>
          <w:color w:val="000000" w:themeColor="text1"/>
          <w:sz w:val="24"/>
          <w:szCs w:val="20"/>
          <w:lang w:val="zh-CN"/>
        </w:rPr>
        <w:t>潜在投标人在项目招标公告期限届满之日起</w:t>
      </w:r>
      <w:r>
        <w:rPr>
          <w:rFonts w:ascii="宋体" w:hAnsi="宋体"/>
          <w:color w:val="000000" w:themeColor="text1"/>
          <w:sz w:val="24"/>
          <w:szCs w:val="20"/>
          <w:lang w:val="zh-CN"/>
        </w:rPr>
        <w:t>7</w:t>
      </w:r>
      <w:r>
        <w:rPr>
          <w:rFonts w:hint="eastAsia" w:ascii="宋体" w:hAnsi="宋体"/>
          <w:color w:val="000000" w:themeColor="text1"/>
          <w:sz w:val="24"/>
          <w:szCs w:val="20"/>
          <w:lang w:val="zh-CN"/>
        </w:rPr>
        <w:t>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color w:val="000000" w:themeColor="text1"/>
          <w:sz w:val="24"/>
          <w:szCs w:val="20"/>
          <w:lang w:val="zh-CN"/>
        </w:rPr>
      </w:pPr>
      <w:r>
        <w:rPr>
          <w:rFonts w:hint="eastAsia" w:ascii="宋体" w:hAnsi="宋体"/>
          <w:color w:val="000000" w:themeColor="text1"/>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b/>
          <w:color w:val="000000" w:themeColor="text1"/>
          <w:sz w:val="24"/>
          <w:szCs w:val="20"/>
          <w:lang w:val="zh-CN"/>
        </w:rPr>
      </w:pPr>
      <w:r>
        <w:rPr>
          <w:rFonts w:hint="eastAsia" w:ascii="宋体" w:hAnsi="宋体"/>
          <w:b/>
          <w:color w:val="000000" w:themeColor="text1"/>
          <w:sz w:val="24"/>
          <w:szCs w:val="20"/>
          <w:lang w:val="zh-CN"/>
        </w:rPr>
        <w:t>招标文件的澄清、修改</w:t>
      </w:r>
    </w:p>
    <w:p>
      <w:pPr>
        <w:numPr>
          <w:ilvl w:val="0"/>
          <w:numId w:val="12"/>
        </w:numPr>
        <w:spacing w:line="360" w:lineRule="auto"/>
        <w:ind w:left="476" w:hanging="476"/>
        <w:rPr>
          <w:rFonts w:ascii="Helvetica" w:hAnsi="Helvetica" w:cs="Helvetica"/>
          <w:color w:val="000000" w:themeColor="text1"/>
          <w:kern w:val="0"/>
          <w:sz w:val="24"/>
          <w:szCs w:val="24"/>
          <w:lang w:val="zh-CN"/>
        </w:rPr>
      </w:pPr>
      <w:r>
        <w:rPr>
          <w:rFonts w:hint="eastAsia" w:ascii="宋体" w:hAnsi="宋体"/>
          <w:color w:val="000000" w:themeColor="text1"/>
          <w:sz w:val="24"/>
          <w:szCs w:val="20"/>
          <w:lang w:val="zh-CN"/>
        </w:rPr>
        <w:t>采购代理机构和采购人可以对已发出的招标文件进行必要的澄清或者修改。</w:t>
      </w:r>
      <w:r>
        <w:rPr>
          <w:rFonts w:hint="eastAsia" w:ascii="Helvetica" w:hAnsi="Helvetica" w:cs="Helvetica"/>
          <w:color w:val="000000" w:themeColor="text1"/>
          <w:kern w:val="0"/>
          <w:sz w:val="24"/>
          <w:szCs w:val="24"/>
          <w:lang w:val="zh-CN"/>
        </w:rPr>
        <w:t>澄清或者修改将在原公告发布媒体上发布澄清公告。澄清或者修改的内容可能影响投标文件编制的，</w:t>
      </w:r>
      <w:r>
        <w:rPr>
          <w:rFonts w:hint="eastAsia" w:ascii="宋体" w:hAnsi="宋体"/>
          <w:color w:val="000000" w:themeColor="text1"/>
          <w:sz w:val="24"/>
          <w:szCs w:val="20"/>
          <w:lang w:val="zh-CN"/>
        </w:rPr>
        <w:t>采购代理机构</w:t>
      </w:r>
      <w:r>
        <w:rPr>
          <w:rFonts w:hint="eastAsia" w:ascii="Helvetica" w:hAnsi="Helvetica" w:cs="Helvetica"/>
          <w:color w:val="000000" w:themeColor="text1"/>
          <w:kern w:val="0"/>
          <w:sz w:val="24"/>
          <w:szCs w:val="24"/>
          <w:lang w:val="zh-CN"/>
        </w:rPr>
        <w:t>和采购人将在投标截止时间至少</w:t>
      </w:r>
      <w:r>
        <w:rPr>
          <w:rFonts w:ascii="宋体" w:hAnsi="宋体"/>
          <w:color w:val="000000" w:themeColor="text1"/>
          <w:sz w:val="24"/>
          <w:szCs w:val="20"/>
          <w:lang w:val="zh-CN"/>
        </w:rPr>
        <w:t>15</w:t>
      </w:r>
      <w:r>
        <w:rPr>
          <w:rFonts w:hint="eastAsia" w:ascii="Helvetica" w:hAnsi="Helvetica" w:cs="Helvetica"/>
          <w:color w:val="000000" w:themeColor="text1"/>
          <w:kern w:val="0"/>
          <w:sz w:val="24"/>
          <w:szCs w:val="24"/>
          <w:lang w:val="zh-CN"/>
        </w:rPr>
        <w:t>日前，以书面</w:t>
      </w:r>
      <w:r>
        <w:rPr>
          <w:rFonts w:hint="eastAsia" w:ascii="宋体" w:hAnsi="宋体"/>
          <w:color w:val="000000" w:themeColor="text1"/>
          <w:sz w:val="24"/>
          <w:szCs w:val="20"/>
          <w:lang w:val="zh-CN"/>
        </w:rPr>
        <w:t>（或网上公告）</w:t>
      </w:r>
      <w:r>
        <w:rPr>
          <w:rFonts w:hint="eastAsia" w:ascii="Helvetica" w:hAnsi="Helvetica" w:cs="Helvetica"/>
          <w:color w:val="000000" w:themeColor="text1"/>
          <w:kern w:val="0"/>
          <w:sz w:val="24"/>
          <w:szCs w:val="24"/>
          <w:lang w:val="zh-CN"/>
        </w:rPr>
        <w:t>形式通知所有获取招标文件的潜在投标人。</w:t>
      </w:r>
    </w:p>
    <w:p>
      <w:pPr>
        <w:numPr>
          <w:ilvl w:val="0"/>
          <w:numId w:val="12"/>
        </w:numPr>
        <w:spacing w:line="360" w:lineRule="auto"/>
        <w:ind w:left="476" w:hanging="476"/>
        <w:rPr>
          <w:rFonts w:ascii="宋体"/>
          <w:color w:val="000000" w:themeColor="text1"/>
          <w:sz w:val="24"/>
          <w:szCs w:val="20"/>
          <w:lang w:val="zh-CN"/>
        </w:rPr>
      </w:pPr>
      <w:r>
        <w:rPr>
          <w:rFonts w:hint="eastAsia" w:ascii="宋体" w:hAnsi="宋体"/>
          <w:color w:val="000000" w:themeColor="text1"/>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color w:val="000000" w:themeColor="text1"/>
          <w:sz w:val="24"/>
          <w:szCs w:val="20"/>
          <w:lang w:val="zh-CN"/>
        </w:rPr>
      </w:pPr>
      <w:r>
        <w:rPr>
          <w:rFonts w:hint="eastAsia" w:ascii="宋体" w:hAnsi="宋体"/>
          <w:color w:val="000000" w:themeColor="text1"/>
          <w:sz w:val="24"/>
          <w:szCs w:val="20"/>
          <w:lang w:val="zh-CN"/>
        </w:rPr>
        <w:t>澄清或者修改的内容为招标文件的组成部分，并对潜在投标人具有约束力。</w:t>
      </w:r>
    </w:p>
    <w:p>
      <w:pPr>
        <w:numPr>
          <w:ilvl w:val="0"/>
          <w:numId w:val="6"/>
        </w:numPr>
        <w:spacing w:line="360" w:lineRule="auto"/>
        <w:rPr>
          <w:rFonts w:ascii="宋体"/>
          <w:b/>
          <w:color w:val="000000" w:themeColor="text1"/>
          <w:sz w:val="24"/>
          <w:szCs w:val="20"/>
          <w:lang w:val="zh-CN"/>
        </w:rPr>
      </w:pPr>
      <w:r>
        <w:rPr>
          <w:rFonts w:hint="eastAsia" w:ascii="宋体" w:hAnsi="宋体"/>
          <w:b/>
          <w:color w:val="000000" w:themeColor="text1"/>
          <w:sz w:val="24"/>
          <w:szCs w:val="20"/>
          <w:lang w:val="zh-CN"/>
        </w:rPr>
        <w:t>现场考察</w:t>
      </w:r>
    </w:p>
    <w:p>
      <w:pPr>
        <w:numPr>
          <w:ilvl w:val="0"/>
          <w:numId w:val="13"/>
        </w:numPr>
        <w:spacing w:line="360" w:lineRule="auto"/>
        <w:ind w:left="476" w:hanging="476"/>
        <w:rPr>
          <w:rFonts w:ascii="宋体"/>
          <w:color w:val="000000" w:themeColor="text1"/>
          <w:sz w:val="24"/>
          <w:szCs w:val="20"/>
          <w:lang w:val="zh-CN"/>
        </w:rPr>
      </w:pPr>
      <w:r>
        <w:rPr>
          <w:rFonts w:hint="eastAsia" w:ascii="宋体" w:hAnsi="宋体"/>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color w:val="000000" w:themeColor="text1"/>
          <w:sz w:val="24"/>
          <w:szCs w:val="20"/>
          <w:lang w:val="zh-CN"/>
        </w:rPr>
      </w:pPr>
      <w:r>
        <w:rPr>
          <w:rFonts w:hint="eastAsia" w:ascii="宋体" w:hAnsi="宋体"/>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color w:val="000000" w:themeColor="text1"/>
          <w:sz w:val="24"/>
          <w:szCs w:val="20"/>
          <w:lang w:val="zh-CN"/>
        </w:rPr>
      </w:pPr>
      <w:r>
        <w:rPr>
          <w:rFonts w:hint="eastAsia" w:ascii="宋体" w:hAnsi="宋体"/>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5"/>
        </w:numPr>
        <w:spacing w:before="40" w:after="40" w:line="360" w:lineRule="auto"/>
        <w:ind w:left="658" w:hanging="658"/>
        <w:jc w:val="left"/>
        <w:rPr>
          <w:rFonts w:ascii="宋体"/>
          <w:bCs w:val="0"/>
          <w:color w:val="000000" w:themeColor="text1"/>
          <w:lang w:val="zh-CN"/>
        </w:rPr>
      </w:pPr>
      <w:bookmarkStart w:id="10" w:name="_Toc272247696"/>
      <w:bookmarkStart w:id="11" w:name="_Toc494561940"/>
      <w:bookmarkStart w:id="12" w:name="_Toc278891593"/>
      <w:bookmarkStart w:id="13" w:name="_Toc20751"/>
      <w:r>
        <w:rPr>
          <w:rFonts w:hint="eastAsia" w:ascii="宋体" w:hAnsi="宋体"/>
          <w:bCs w:val="0"/>
          <w:color w:val="000000" w:themeColor="text1"/>
          <w:lang w:val="zh-CN"/>
        </w:rPr>
        <w:t>投标文件</w:t>
      </w:r>
      <w:bookmarkEnd w:id="10"/>
      <w:bookmarkEnd w:id="11"/>
      <w:bookmarkEnd w:id="12"/>
      <w:bookmarkEnd w:id="13"/>
    </w:p>
    <w:p>
      <w:pPr>
        <w:numPr>
          <w:ilvl w:val="0"/>
          <w:numId w:val="6"/>
        </w:numPr>
        <w:spacing w:line="360" w:lineRule="auto"/>
        <w:rPr>
          <w:rFonts w:ascii="宋体"/>
          <w:b/>
          <w:color w:val="000000" w:themeColor="text1"/>
          <w:sz w:val="24"/>
          <w:szCs w:val="24"/>
          <w:lang w:val="zh-CN"/>
        </w:rPr>
      </w:pPr>
      <w:r>
        <w:rPr>
          <w:rFonts w:hint="eastAsia" w:ascii="宋体" w:hAnsi="宋体"/>
          <w:b/>
          <w:color w:val="000000" w:themeColor="text1"/>
          <w:sz w:val="24"/>
          <w:szCs w:val="24"/>
          <w:lang w:val="zh-CN"/>
        </w:rPr>
        <w:t>投标的语言</w:t>
      </w:r>
    </w:p>
    <w:p>
      <w:pPr>
        <w:spacing w:line="360" w:lineRule="auto"/>
        <w:ind w:firstLine="480" w:firstLineChars="200"/>
        <w:rPr>
          <w:rFonts w:ascii="宋体"/>
          <w:color w:val="000000" w:themeColor="text1"/>
          <w:sz w:val="24"/>
          <w:szCs w:val="24"/>
          <w:lang w:val="zh-CN"/>
        </w:rPr>
      </w:pPr>
      <w:r>
        <w:rPr>
          <w:rFonts w:hint="eastAsia" w:ascii="宋体" w:hAnsi="宋体"/>
          <w:color w:val="000000" w:themeColor="text1"/>
          <w:sz w:val="24"/>
          <w:szCs w:val="24"/>
          <w:lang w:val="zh-CN"/>
        </w:rPr>
        <w:t>投标人提交的投标文件以及投标人与</w:t>
      </w:r>
      <w:r>
        <w:rPr>
          <w:rFonts w:hint="eastAsia" w:ascii="宋体" w:hAnsi="宋体"/>
          <w:color w:val="000000" w:themeColor="text1"/>
          <w:sz w:val="24"/>
          <w:szCs w:val="20"/>
          <w:lang w:val="zh-CN"/>
        </w:rPr>
        <w:t>采购代理机构</w:t>
      </w:r>
      <w:r>
        <w:rPr>
          <w:rFonts w:hint="eastAsia" w:ascii="宋体" w:hAnsi="宋体"/>
          <w:color w:val="000000" w:themeColor="text1"/>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ascii="宋体"/>
          <w:b/>
          <w:color w:val="000000" w:themeColor="text1"/>
          <w:sz w:val="24"/>
          <w:szCs w:val="24"/>
          <w:lang w:val="zh-CN"/>
        </w:rPr>
      </w:pPr>
      <w:r>
        <w:rPr>
          <w:rFonts w:hint="eastAsia" w:ascii="宋体" w:hAnsi="宋体"/>
          <w:b/>
          <w:color w:val="000000" w:themeColor="text1"/>
          <w:sz w:val="24"/>
          <w:szCs w:val="24"/>
          <w:lang w:val="zh-CN"/>
        </w:rPr>
        <w:t>投标文件的构成</w:t>
      </w:r>
    </w:p>
    <w:p>
      <w:pPr>
        <w:spacing w:line="360" w:lineRule="auto"/>
        <w:ind w:firstLine="480" w:firstLineChars="200"/>
        <w:rPr>
          <w:rFonts w:ascii="宋体"/>
          <w:color w:val="000000" w:themeColor="text1"/>
          <w:sz w:val="24"/>
          <w:szCs w:val="24"/>
          <w:lang w:val="zh-CN"/>
        </w:rPr>
      </w:pPr>
      <w:r>
        <w:rPr>
          <w:rFonts w:hint="eastAsia" w:ascii="宋体" w:hAnsi="宋体"/>
          <w:color w:val="000000" w:themeColor="text1"/>
          <w:sz w:val="24"/>
          <w:szCs w:val="24"/>
          <w:lang w:val="zh-CN"/>
        </w:rPr>
        <w:t>投标人编制的投标文件应包括但不限于下列内容：</w:t>
      </w:r>
    </w:p>
    <w:p>
      <w:pPr>
        <w:spacing w:line="360" w:lineRule="auto"/>
        <w:ind w:firstLine="480" w:firstLineChars="200"/>
        <w:rPr>
          <w:rFonts w:ascii="宋体"/>
          <w:color w:val="000000" w:themeColor="text1"/>
          <w:sz w:val="24"/>
          <w:szCs w:val="24"/>
          <w:lang w:val="zh-CN"/>
        </w:rPr>
      </w:pPr>
      <w:r>
        <w:rPr>
          <w:rFonts w:hint="eastAsia" w:ascii="宋体" w:hAnsi="宋体"/>
          <w:color w:val="000000" w:themeColor="text1"/>
          <w:sz w:val="24"/>
          <w:szCs w:val="24"/>
          <w:lang w:val="zh-CN"/>
        </w:rPr>
        <w:t>第一部分</w:t>
      </w:r>
      <w:r>
        <w:rPr>
          <w:rFonts w:ascii="宋体" w:hAnsi="宋体"/>
          <w:color w:val="000000" w:themeColor="text1"/>
          <w:sz w:val="24"/>
          <w:szCs w:val="24"/>
          <w:lang w:val="zh-CN"/>
        </w:rPr>
        <w:t xml:space="preserve">  </w:t>
      </w:r>
      <w:r>
        <w:rPr>
          <w:rFonts w:hint="eastAsia" w:ascii="宋体" w:hAnsi="宋体"/>
          <w:color w:val="000000" w:themeColor="text1"/>
          <w:sz w:val="24"/>
          <w:szCs w:val="24"/>
          <w:lang w:val="zh-CN"/>
        </w:rPr>
        <w:t>资格证明文件（详见第七章“投标文件格式”中资格证明文件组成）</w:t>
      </w:r>
    </w:p>
    <w:p>
      <w:pPr>
        <w:spacing w:line="360" w:lineRule="auto"/>
        <w:ind w:firstLine="480" w:firstLineChars="200"/>
        <w:rPr>
          <w:rFonts w:ascii="宋体"/>
          <w:color w:val="000000" w:themeColor="text1"/>
          <w:sz w:val="24"/>
          <w:szCs w:val="24"/>
          <w:lang w:val="zh-CN"/>
        </w:rPr>
      </w:pPr>
      <w:r>
        <w:rPr>
          <w:rFonts w:hint="eastAsia" w:ascii="宋体" w:hAnsi="宋体"/>
          <w:color w:val="000000" w:themeColor="text1"/>
          <w:sz w:val="24"/>
          <w:szCs w:val="24"/>
          <w:lang w:val="zh-CN"/>
        </w:rPr>
        <w:t>第二部分</w:t>
      </w:r>
      <w:r>
        <w:rPr>
          <w:rFonts w:ascii="宋体" w:hAnsi="宋体"/>
          <w:color w:val="000000" w:themeColor="text1"/>
          <w:sz w:val="24"/>
          <w:szCs w:val="24"/>
          <w:lang w:val="zh-CN"/>
        </w:rPr>
        <w:t xml:space="preserve">  </w:t>
      </w:r>
      <w:r>
        <w:rPr>
          <w:rFonts w:hint="eastAsia" w:ascii="宋体" w:hAnsi="宋体"/>
          <w:color w:val="000000" w:themeColor="text1"/>
          <w:sz w:val="24"/>
          <w:szCs w:val="24"/>
          <w:lang w:val="zh-CN"/>
        </w:rPr>
        <w:t>商务文件（详见第七章“投标文件格式”中商务文件组成）</w:t>
      </w:r>
    </w:p>
    <w:p>
      <w:pPr>
        <w:spacing w:line="360" w:lineRule="auto"/>
        <w:ind w:firstLine="480" w:firstLineChars="200"/>
        <w:rPr>
          <w:rFonts w:ascii="宋体"/>
          <w:color w:val="000000" w:themeColor="text1"/>
          <w:sz w:val="24"/>
          <w:szCs w:val="24"/>
          <w:lang w:val="zh-CN"/>
        </w:rPr>
      </w:pPr>
      <w:r>
        <w:rPr>
          <w:rFonts w:hint="eastAsia" w:ascii="宋体" w:hAnsi="宋体"/>
          <w:color w:val="000000" w:themeColor="text1"/>
          <w:sz w:val="24"/>
          <w:szCs w:val="24"/>
          <w:lang w:val="zh-CN"/>
        </w:rPr>
        <w:t>第三部分</w:t>
      </w:r>
      <w:r>
        <w:rPr>
          <w:rFonts w:ascii="宋体" w:hAnsi="宋体"/>
          <w:color w:val="000000" w:themeColor="text1"/>
          <w:sz w:val="24"/>
          <w:szCs w:val="24"/>
          <w:lang w:val="zh-CN"/>
        </w:rPr>
        <w:t xml:space="preserve">  </w:t>
      </w:r>
      <w:r>
        <w:rPr>
          <w:rFonts w:hint="eastAsia" w:ascii="宋体" w:hAnsi="宋体"/>
          <w:color w:val="000000" w:themeColor="text1"/>
          <w:sz w:val="24"/>
          <w:szCs w:val="24"/>
          <w:lang w:val="zh-CN"/>
        </w:rPr>
        <w:t>技术、服务文件（详见第七章“投标文件格式”中技术、服务文件组成）</w:t>
      </w:r>
    </w:p>
    <w:p>
      <w:pPr>
        <w:numPr>
          <w:ilvl w:val="0"/>
          <w:numId w:val="6"/>
        </w:numPr>
        <w:spacing w:line="360" w:lineRule="auto"/>
        <w:ind w:left="560" w:hanging="560"/>
        <w:rPr>
          <w:rFonts w:ascii="宋体"/>
          <w:b/>
          <w:color w:val="000000" w:themeColor="text1"/>
          <w:sz w:val="24"/>
          <w:szCs w:val="24"/>
          <w:lang w:val="zh-CN"/>
        </w:rPr>
      </w:pPr>
      <w:r>
        <w:rPr>
          <w:rFonts w:hint="eastAsia" w:ascii="宋体" w:hAnsi="宋体"/>
          <w:b/>
          <w:color w:val="000000" w:themeColor="text1"/>
          <w:sz w:val="24"/>
          <w:szCs w:val="24"/>
          <w:lang w:val="zh-CN"/>
        </w:rPr>
        <w:t>投标文件编制</w:t>
      </w:r>
    </w:p>
    <w:p>
      <w:pPr>
        <w:numPr>
          <w:ilvl w:val="0"/>
          <w:numId w:val="14"/>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如招标文件有分包要求，投标人对招标文件中多个包进行投标的，其投标文件的编制应按每包要求分别装订和封装，并注明对应包号。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投标人应对投标文件中所提供资料的真实性负责，如有虚假，将依法承担相应责任。投标人应自觉接受集中采购机构对其中任何资料进一步核实的要求。</w:t>
      </w:r>
    </w:p>
    <w:p>
      <w:pPr>
        <w:numPr>
          <w:ilvl w:val="0"/>
          <w:numId w:val="14"/>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投标文件用纸应统一为</w:t>
      </w:r>
      <w:r>
        <w:rPr>
          <w:rFonts w:ascii="宋体" w:hAnsi="宋体"/>
          <w:color w:val="000000" w:themeColor="text1"/>
          <w:sz w:val="24"/>
          <w:szCs w:val="24"/>
          <w:lang w:val="zh-CN"/>
        </w:rPr>
        <w:t>A4</w:t>
      </w:r>
      <w:r>
        <w:rPr>
          <w:rFonts w:hint="eastAsia" w:ascii="宋体" w:hAnsi="宋体"/>
          <w:color w:val="000000" w:themeColor="text1"/>
          <w:sz w:val="24"/>
          <w:szCs w:val="24"/>
          <w:lang w:val="zh-CN"/>
        </w:rPr>
        <w:t>规格（图纸除外）。</w:t>
      </w:r>
    </w:p>
    <w:p>
      <w:pPr>
        <w:numPr>
          <w:ilvl w:val="0"/>
          <w:numId w:val="14"/>
        </w:numPr>
        <w:spacing w:line="360" w:lineRule="auto"/>
        <w:ind w:left="616" w:hanging="616"/>
        <w:rPr>
          <w:rFonts w:ascii="宋体"/>
          <w:b/>
          <w:color w:val="000000" w:themeColor="text1"/>
          <w:sz w:val="24"/>
          <w:szCs w:val="24"/>
          <w:lang w:val="zh-CN"/>
        </w:rPr>
      </w:pPr>
      <w:r>
        <w:rPr>
          <w:rFonts w:hint="eastAsia" w:ascii="宋体" w:hAnsi="宋体"/>
          <w:b/>
          <w:color w:val="000000" w:themeColor="text1"/>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b/>
          <w:color w:val="000000" w:themeColor="text1"/>
          <w:sz w:val="24"/>
          <w:szCs w:val="20"/>
          <w:lang w:val="zh-CN"/>
        </w:rPr>
        <w:t>各部分文件及内容详见第七章“投标文件格式”要求。</w:t>
      </w:r>
    </w:p>
    <w:p>
      <w:pPr>
        <w:numPr>
          <w:ilvl w:val="0"/>
          <w:numId w:val="14"/>
        </w:numPr>
        <w:spacing w:line="360" w:lineRule="auto"/>
        <w:ind w:left="616" w:hanging="616"/>
        <w:rPr>
          <w:rFonts w:ascii="宋体"/>
          <w:b/>
          <w:color w:val="000000" w:themeColor="text1"/>
          <w:sz w:val="24"/>
          <w:szCs w:val="24"/>
          <w:lang w:val="zh-CN"/>
        </w:rPr>
      </w:pPr>
      <w:r>
        <w:rPr>
          <w:rFonts w:hint="eastAsia" w:ascii="宋体" w:hAnsi="宋体"/>
          <w:b/>
          <w:color w:val="000000" w:themeColor="text1"/>
          <w:sz w:val="24"/>
          <w:szCs w:val="24"/>
          <w:lang w:val="zh-CN"/>
        </w:rPr>
        <w:t>为方便开标时唱标，投标人应将《开标一览表》一份单独密封提交，并在信封上标明</w:t>
      </w:r>
      <w:r>
        <w:rPr>
          <w:rFonts w:ascii="宋体" w:hAnsi="宋体"/>
          <w:b/>
          <w:color w:val="000000" w:themeColor="text1"/>
          <w:sz w:val="24"/>
          <w:szCs w:val="24"/>
          <w:lang w:val="zh-CN"/>
        </w:rPr>
        <w:t>"</w:t>
      </w:r>
      <w:r>
        <w:rPr>
          <w:rFonts w:hint="eastAsia" w:ascii="宋体" w:hAnsi="宋体"/>
          <w:b/>
          <w:color w:val="000000" w:themeColor="text1"/>
          <w:sz w:val="24"/>
          <w:szCs w:val="24"/>
          <w:lang w:val="zh-CN"/>
        </w:rPr>
        <w:t>开标一览表</w:t>
      </w:r>
      <w:r>
        <w:rPr>
          <w:rFonts w:ascii="宋体" w:hAnsi="宋体"/>
          <w:b/>
          <w:color w:val="000000" w:themeColor="text1"/>
          <w:sz w:val="24"/>
          <w:szCs w:val="24"/>
          <w:lang w:val="zh-CN"/>
        </w:rPr>
        <w:t>"</w:t>
      </w:r>
      <w:r>
        <w:rPr>
          <w:rFonts w:hint="eastAsia" w:ascii="宋体" w:hAnsi="宋体"/>
          <w:b/>
          <w:color w:val="000000" w:themeColor="text1"/>
          <w:sz w:val="24"/>
          <w:szCs w:val="24"/>
          <w:lang w:val="zh-CN"/>
        </w:rPr>
        <w:t>字样。投标人应将投标文件正本和所有的副本一起密封装在文件袋（或封装袋）中，并在封面上标明</w:t>
      </w:r>
      <w:r>
        <w:rPr>
          <w:rFonts w:ascii="宋体" w:hAnsi="宋体"/>
          <w:b/>
          <w:color w:val="000000" w:themeColor="text1"/>
          <w:sz w:val="24"/>
          <w:szCs w:val="24"/>
          <w:lang w:val="zh-CN"/>
        </w:rPr>
        <w:t>"</w:t>
      </w:r>
      <w:r>
        <w:rPr>
          <w:rFonts w:hint="eastAsia" w:ascii="宋体" w:hAnsi="宋体"/>
          <w:b/>
          <w:color w:val="000000" w:themeColor="text1"/>
          <w:sz w:val="24"/>
          <w:szCs w:val="24"/>
          <w:lang w:val="zh-CN"/>
        </w:rPr>
        <w:t>正本</w:t>
      </w:r>
      <w:r>
        <w:rPr>
          <w:rFonts w:ascii="宋体" w:hAnsi="宋体"/>
          <w:b/>
          <w:color w:val="000000" w:themeColor="text1"/>
          <w:sz w:val="24"/>
          <w:szCs w:val="24"/>
          <w:lang w:val="zh-CN"/>
        </w:rPr>
        <w:t>"</w:t>
      </w:r>
      <w:r>
        <w:rPr>
          <w:rFonts w:hint="eastAsia" w:ascii="宋体" w:hAnsi="宋体"/>
          <w:b/>
          <w:color w:val="000000" w:themeColor="text1"/>
          <w:sz w:val="24"/>
          <w:szCs w:val="24"/>
          <w:lang w:val="zh-CN"/>
        </w:rPr>
        <w:t>、</w:t>
      </w:r>
      <w:r>
        <w:rPr>
          <w:rFonts w:ascii="宋体" w:hAnsi="宋体"/>
          <w:b/>
          <w:color w:val="000000" w:themeColor="text1"/>
          <w:sz w:val="24"/>
          <w:szCs w:val="24"/>
          <w:lang w:val="zh-CN"/>
        </w:rPr>
        <w:t>"</w:t>
      </w:r>
      <w:r>
        <w:rPr>
          <w:rFonts w:hint="eastAsia" w:ascii="宋体" w:hAnsi="宋体"/>
          <w:b/>
          <w:color w:val="000000" w:themeColor="text1"/>
          <w:sz w:val="24"/>
          <w:szCs w:val="24"/>
          <w:lang w:val="zh-CN"/>
        </w:rPr>
        <w:t>副本</w:t>
      </w:r>
      <w:r>
        <w:rPr>
          <w:rFonts w:ascii="宋体" w:hAnsi="宋体"/>
          <w:b/>
          <w:color w:val="000000" w:themeColor="text1"/>
          <w:sz w:val="24"/>
          <w:szCs w:val="24"/>
          <w:lang w:val="zh-CN"/>
        </w:rPr>
        <w:t>"</w:t>
      </w:r>
      <w:r>
        <w:rPr>
          <w:rFonts w:hint="eastAsia" w:ascii="宋体" w:hAnsi="宋体"/>
          <w:b/>
          <w:color w:val="000000" w:themeColor="text1"/>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6"/>
        </w:numPr>
        <w:spacing w:line="360" w:lineRule="auto"/>
        <w:ind w:left="560" w:hanging="560"/>
        <w:rPr>
          <w:rFonts w:ascii="宋体"/>
          <w:b/>
          <w:color w:val="000000" w:themeColor="text1"/>
          <w:sz w:val="24"/>
          <w:szCs w:val="24"/>
          <w:lang w:val="zh-CN"/>
        </w:rPr>
      </w:pPr>
      <w:r>
        <w:rPr>
          <w:rFonts w:hint="eastAsia" w:ascii="宋体" w:hAnsi="宋体"/>
          <w:b/>
          <w:color w:val="000000" w:themeColor="text1"/>
          <w:sz w:val="24"/>
          <w:szCs w:val="24"/>
          <w:lang w:val="zh-CN"/>
        </w:rPr>
        <w:t>投标报价</w:t>
      </w:r>
    </w:p>
    <w:p>
      <w:pPr>
        <w:numPr>
          <w:ilvl w:val="0"/>
          <w:numId w:val="15"/>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投标人所提供的货物（工程或服务）均以人民币计价。</w:t>
      </w:r>
    </w:p>
    <w:p>
      <w:pPr>
        <w:numPr>
          <w:ilvl w:val="0"/>
          <w:numId w:val="15"/>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投标人应按照“第三章</w:t>
      </w:r>
      <w:r>
        <w:rPr>
          <w:rFonts w:ascii="宋体" w:hAnsi="宋体"/>
          <w:color w:val="000000" w:themeColor="text1"/>
          <w:sz w:val="24"/>
          <w:szCs w:val="24"/>
          <w:lang w:val="zh-CN"/>
        </w:rPr>
        <w:t xml:space="preserve"> </w:t>
      </w:r>
      <w:r>
        <w:rPr>
          <w:rFonts w:hint="eastAsia" w:ascii="宋体" w:hAnsi="宋体"/>
          <w:color w:val="000000" w:themeColor="text1"/>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《投标报价明细表》填写时应响应下列要求：</w:t>
      </w:r>
    </w:p>
    <w:p>
      <w:pPr>
        <w:numPr>
          <w:ilvl w:val="0"/>
          <w:numId w:val="16"/>
        </w:numPr>
        <w:spacing w:line="360" w:lineRule="auto"/>
        <w:ind w:left="980" w:hanging="854"/>
        <w:rPr>
          <w:rFonts w:ascii="宋体"/>
          <w:color w:val="000000" w:themeColor="text1"/>
          <w:sz w:val="24"/>
          <w:szCs w:val="24"/>
          <w:lang w:val="zh-CN"/>
        </w:rPr>
      </w:pPr>
      <w:r>
        <w:rPr>
          <w:rFonts w:hint="eastAsia" w:ascii="宋体" w:hAnsi="宋体"/>
          <w:color w:val="000000" w:themeColor="text1"/>
          <w:sz w:val="24"/>
        </w:rPr>
        <w:t>应包括所有根据合同或其他原因由投标人支付的款项、费用</w:t>
      </w:r>
      <w:r>
        <w:rPr>
          <w:rFonts w:hint="eastAsia" w:ascii="宋体" w:hAnsi="宋体"/>
          <w:color w:val="000000" w:themeColor="text1"/>
          <w:sz w:val="24"/>
          <w:szCs w:val="24"/>
          <w:lang w:val="zh-CN"/>
        </w:rPr>
        <w:t>；</w:t>
      </w:r>
    </w:p>
    <w:p>
      <w:pPr>
        <w:numPr>
          <w:ilvl w:val="0"/>
          <w:numId w:val="16"/>
        </w:numPr>
        <w:spacing w:line="360" w:lineRule="auto"/>
        <w:ind w:left="980" w:hanging="854"/>
        <w:rPr>
          <w:rFonts w:ascii="宋体"/>
          <w:color w:val="000000" w:themeColor="text1"/>
          <w:sz w:val="24"/>
          <w:szCs w:val="24"/>
          <w:lang w:val="zh-CN"/>
        </w:rPr>
      </w:pPr>
      <w:r>
        <w:rPr>
          <w:rFonts w:hint="eastAsia" w:ascii="宋体" w:hAnsi="宋体"/>
          <w:color w:val="000000" w:themeColor="text1"/>
          <w:sz w:val="24"/>
          <w:szCs w:val="24"/>
          <w:lang w:val="zh-CN"/>
        </w:rPr>
        <w:t>应包含货物运至最终目的地的运输、保险和伴随货物（工程或服务）的有关费用；</w:t>
      </w:r>
    </w:p>
    <w:p>
      <w:pPr>
        <w:numPr>
          <w:ilvl w:val="0"/>
          <w:numId w:val="16"/>
        </w:numPr>
        <w:spacing w:line="360" w:lineRule="auto"/>
        <w:ind w:left="980" w:hanging="854"/>
        <w:rPr>
          <w:rFonts w:ascii="宋体" w:cs="Courier New"/>
          <w:color w:val="000000" w:themeColor="text1"/>
          <w:sz w:val="24"/>
          <w:szCs w:val="24"/>
          <w:lang w:val="zh-CN"/>
        </w:rPr>
      </w:pPr>
      <w:r>
        <w:rPr>
          <w:rFonts w:hint="eastAsia" w:ascii="宋体" w:hAnsi="宋体"/>
          <w:color w:val="000000" w:themeColor="text1"/>
          <w:sz w:val="24"/>
          <w:szCs w:val="24"/>
          <w:lang w:val="zh-CN"/>
        </w:rPr>
        <w:t>应详细提供《投标报价明细表》和《投标货物、服务清单》等内容，否则按照</w:t>
      </w:r>
      <w:r>
        <w:rPr>
          <w:rFonts w:hint="eastAsia" w:ascii="宋体" w:hAnsi="宋体"/>
          <w:b/>
          <w:color w:val="000000" w:themeColor="text1"/>
          <w:sz w:val="24"/>
          <w:szCs w:val="24"/>
          <w:lang w:val="zh-CN"/>
        </w:rPr>
        <w:t>无效投标处理。</w:t>
      </w:r>
    </w:p>
    <w:p>
      <w:pPr>
        <w:numPr>
          <w:ilvl w:val="0"/>
          <w:numId w:val="15"/>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每一种规格的货物（工程或服务）只允许有一个报价，否则按照</w:t>
      </w:r>
      <w:r>
        <w:rPr>
          <w:rFonts w:hint="eastAsia" w:ascii="宋体" w:hAnsi="宋体"/>
          <w:b/>
          <w:color w:val="000000" w:themeColor="text1"/>
          <w:sz w:val="24"/>
          <w:szCs w:val="24"/>
          <w:lang w:val="zh-CN"/>
        </w:rPr>
        <w:t>无效投标处理</w:t>
      </w:r>
      <w:r>
        <w:rPr>
          <w:rFonts w:hint="eastAsia" w:ascii="宋体" w:hAnsi="宋体"/>
          <w:color w:val="000000" w:themeColor="text1"/>
          <w:sz w:val="24"/>
          <w:szCs w:val="24"/>
          <w:lang w:val="zh-CN"/>
        </w:rPr>
        <w:t>。</w:t>
      </w:r>
    </w:p>
    <w:p>
      <w:pPr>
        <w:numPr>
          <w:ilvl w:val="0"/>
          <w:numId w:val="15"/>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投标人应对项目招标范围内的全部内容进行报价，不得缺、漏项或只投其中的部分内容的，否则按照</w:t>
      </w:r>
      <w:r>
        <w:rPr>
          <w:rFonts w:hint="eastAsia" w:ascii="宋体" w:hAnsi="宋体"/>
          <w:b/>
          <w:color w:val="000000" w:themeColor="text1"/>
          <w:sz w:val="24"/>
          <w:szCs w:val="24"/>
          <w:lang w:val="zh-CN"/>
        </w:rPr>
        <w:t>无效投标处理</w:t>
      </w:r>
      <w:r>
        <w:rPr>
          <w:rFonts w:hint="eastAsia" w:ascii="宋体" w:hAnsi="宋体"/>
          <w:color w:val="000000" w:themeColor="text1"/>
          <w:sz w:val="24"/>
          <w:szCs w:val="24"/>
          <w:lang w:val="zh-CN"/>
        </w:rPr>
        <w:t>。</w:t>
      </w:r>
    </w:p>
    <w:p>
      <w:pPr>
        <w:numPr>
          <w:ilvl w:val="0"/>
          <w:numId w:val="6"/>
        </w:numPr>
        <w:spacing w:line="360" w:lineRule="auto"/>
        <w:ind w:left="560" w:hanging="560"/>
        <w:rPr>
          <w:rFonts w:ascii="宋体"/>
          <w:b/>
          <w:color w:val="000000" w:themeColor="text1"/>
          <w:sz w:val="24"/>
          <w:szCs w:val="24"/>
          <w:lang w:val="zh-CN"/>
        </w:rPr>
      </w:pPr>
      <w:r>
        <w:rPr>
          <w:rFonts w:hint="eastAsia" w:ascii="宋体" w:hAnsi="宋体"/>
          <w:b/>
          <w:color w:val="000000" w:themeColor="text1"/>
          <w:sz w:val="24"/>
          <w:szCs w:val="24"/>
          <w:lang w:val="zh-CN"/>
        </w:rPr>
        <w:t>备选方案</w:t>
      </w:r>
    </w:p>
    <w:p>
      <w:pPr>
        <w:spacing w:line="360" w:lineRule="auto"/>
        <w:ind w:firstLine="480" w:firstLineChars="200"/>
        <w:rPr>
          <w:rFonts w:ascii="宋体"/>
          <w:color w:val="000000" w:themeColor="text1"/>
          <w:sz w:val="24"/>
          <w:szCs w:val="24"/>
          <w:lang w:val="zh-CN"/>
        </w:rPr>
      </w:pPr>
      <w:r>
        <w:rPr>
          <w:rFonts w:hint="eastAsia" w:ascii="宋体" w:hAnsi="宋体"/>
          <w:color w:val="000000" w:themeColor="text1"/>
          <w:sz w:val="24"/>
          <w:szCs w:val="24"/>
          <w:lang w:val="zh-CN"/>
        </w:rPr>
        <w:t>只允许投标人提供一个投标方案（招标文件中要求提供备选方案的除外），否则按照</w:t>
      </w:r>
      <w:r>
        <w:rPr>
          <w:rFonts w:hint="eastAsia" w:ascii="宋体" w:hAnsi="宋体"/>
          <w:b/>
          <w:color w:val="000000" w:themeColor="text1"/>
          <w:sz w:val="24"/>
          <w:szCs w:val="24"/>
          <w:lang w:val="zh-CN"/>
        </w:rPr>
        <w:t>无效投标处理</w:t>
      </w:r>
      <w:r>
        <w:rPr>
          <w:rFonts w:hint="eastAsia" w:ascii="宋体" w:hAnsi="宋体"/>
          <w:color w:val="000000" w:themeColor="text1"/>
          <w:sz w:val="24"/>
          <w:szCs w:val="24"/>
          <w:lang w:val="zh-CN"/>
        </w:rPr>
        <w:t>。</w:t>
      </w:r>
    </w:p>
    <w:p>
      <w:pPr>
        <w:numPr>
          <w:ilvl w:val="0"/>
          <w:numId w:val="6"/>
        </w:numPr>
        <w:spacing w:line="360" w:lineRule="auto"/>
        <w:ind w:left="560" w:hanging="560"/>
        <w:rPr>
          <w:rFonts w:ascii="宋体"/>
          <w:b/>
          <w:color w:val="000000" w:themeColor="text1"/>
          <w:sz w:val="24"/>
          <w:szCs w:val="24"/>
          <w:lang w:val="zh-CN"/>
        </w:rPr>
      </w:pPr>
      <w:r>
        <w:rPr>
          <w:rFonts w:hint="eastAsia" w:ascii="宋体" w:hAnsi="宋体"/>
          <w:b/>
          <w:color w:val="000000" w:themeColor="text1"/>
          <w:sz w:val="24"/>
          <w:szCs w:val="24"/>
          <w:lang w:val="zh-CN"/>
        </w:rPr>
        <w:t>中标后分包</w:t>
      </w:r>
    </w:p>
    <w:p>
      <w:pPr>
        <w:spacing w:line="360" w:lineRule="auto"/>
        <w:ind w:firstLine="480" w:firstLineChars="200"/>
        <w:rPr>
          <w:rFonts w:ascii="宋体"/>
          <w:color w:val="000000" w:themeColor="text1"/>
          <w:sz w:val="24"/>
          <w:szCs w:val="24"/>
          <w:lang w:val="zh-CN"/>
        </w:rPr>
      </w:pPr>
      <w:r>
        <w:rPr>
          <w:rFonts w:hint="eastAsia" w:ascii="宋体" w:hAnsi="宋体"/>
          <w:color w:val="000000" w:themeColor="text1"/>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pPr>
        <w:numPr>
          <w:ilvl w:val="0"/>
          <w:numId w:val="6"/>
        </w:numPr>
        <w:spacing w:line="360" w:lineRule="auto"/>
        <w:ind w:left="560" w:hanging="560"/>
        <w:rPr>
          <w:rFonts w:ascii="宋体"/>
          <w:b/>
          <w:color w:val="000000" w:themeColor="text1"/>
          <w:sz w:val="24"/>
          <w:szCs w:val="24"/>
          <w:lang w:val="zh-CN"/>
        </w:rPr>
      </w:pPr>
      <w:r>
        <w:rPr>
          <w:rFonts w:hint="eastAsia" w:ascii="宋体" w:hAnsi="宋体"/>
          <w:b/>
          <w:color w:val="000000" w:themeColor="text1"/>
          <w:sz w:val="24"/>
          <w:szCs w:val="24"/>
          <w:lang w:val="zh-CN"/>
        </w:rPr>
        <w:t>联合体投标</w:t>
      </w:r>
    </w:p>
    <w:p>
      <w:pPr>
        <w:numPr>
          <w:ilvl w:val="0"/>
          <w:numId w:val="17"/>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两个及以上供应商可以组成一个联合体，以一个投标人的身份共同参与投标。</w:t>
      </w:r>
    </w:p>
    <w:p>
      <w:pPr>
        <w:numPr>
          <w:ilvl w:val="0"/>
          <w:numId w:val="17"/>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以联合体形式参加政府采购活动的，联合体各方不得再单独参加或者与其他供应商另外组成联合体参加同一合同项下的政府采购活动。</w:t>
      </w:r>
    </w:p>
    <w:p>
      <w:pPr>
        <w:numPr>
          <w:ilvl w:val="0"/>
          <w:numId w:val="17"/>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采取联合体形式投标的，项目评审时只对联合体主体进行评议。</w:t>
      </w:r>
    </w:p>
    <w:p>
      <w:pPr>
        <w:numPr>
          <w:ilvl w:val="0"/>
          <w:numId w:val="17"/>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联合体中标的，联合体各方应当共同与采购人签订采购合同，</w:t>
      </w:r>
      <w:r>
        <w:rPr>
          <w:rFonts w:hint="eastAsia" w:ascii="宋体" w:hAnsi="宋体"/>
          <w:color w:val="000000" w:themeColor="text1"/>
          <w:sz w:val="24"/>
        </w:rPr>
        <w:t>就采购合同约定的事项对采购人承担连带责任，</w:t>
      </w:r>
      <w:r>
        <w:rPr>
          <w:rFonts w:hint="eastAsia" w:ascii="宋体" w:hAnsi="宋体"/>
          <w:color w:val="000000" w:themeColor="text1"/>
          <w:sz w:val="24"/>
          <w:szCs w:val="24"/>
          <w:lang w:val="zh-CN"/>
        </w:rPr>
        <w:t>联合体主体单位负主要责任。</w:t>
      </w:r>
    </w:p>
    <w:p>
      <w:pPr>
        <w:numPr>
          <w:ilvl w:val="0"/>
          <w:numId w:val="17"/>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联合体中有同类资质的供应商按照联合体分工承担相同工作的，应当按照资质等级较低的供应商确定资质等级。</w:t>
      </w:r>
    </w:p>
    <w:p>
      <w:pPr>
        <w:numPr>
          <w:ilvl w:val="0"/>
          <w:numId w:val="17"/>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招标文件第一章“投标人资格要求”中未载明是否接受联合体投标的，视同接受。</w:t>
      </w:r>
    </w:p>
    <w:p>
      <w:pPr>
        <w:numPr>
          <w:ilvl w:val="0"/>
          <w:numId w:val="17"/>
        </w:numPr>
        <w:spacing w:line="360" w:lineRule="auto"/>
        <w:ind w:left="728" w:hanging="728"/>
        <w:rPr>
          <w:rFonts w:ascii="宋体"/>
          <w:color w:val="000000" w:themeColor="text1"/>
          <w:sz w:val="24"/>
          <w:szCs w:val="24"/>
          <w:lang w:val="zh-CN"/>
        </w:rPr>
      </w:pPr>
      <w:r>
        <w:rPr>
          <w:rFonts w:hint="eastAsia" w:ascii="宋体" w:hAnsi="宋体"/>
          <w:color w:val="000000" w:themeColor="text1"/>
          <w:sz w:val="24"/>
          <w:szCs w:val="24"/>
          <w:lang w:val="zh-CN"/>
        </w:rPr>
        <w:t>以联合体形式参与投标的，其价格扣除相关规定详见第五章“评标方法、程序及标准”。</w:t>
      </w:r>
    </w:p>
    <w:p>
      <w:pPr>
        <w:numPr>
          <w:ilvl w:val="0"/>
          <w:numId w:val="6"/>
        </w:numPr>
        <w:spacing w:line="360" w:lineRule="auto"/>
        <w:ind w:left="560" w:hanging="560"/>
        <w:rPr>
          <w:rFonts w:ascii="宋体"/>
          <w:b/>
          <w:color w:val="000000" w:themeColor="text1"/>
          <w:sz w:val="24"/>
          <w:szCs w:val="24"/>
          <w:lang w:val="zh-CN"/>
        </w:rPr>
      </w:pPr>
      <w:r>
        <w:rPr>
          <w:rFonts w:hint="eastAsia" w:ascii="宋体" w:hAnsi="宋体"/>
          <w:b/>
          <w:color w:val="000000" w:themeColor="text1"/>
          <w:sz w:val="24"/>
          <w:szCs w:val="24"/>
          <w:lang w:val="zh-CN"/>
        </w:rPr>
        <w:t>资格证明文件</w:t>
      </w:r>
    </w:p>
    <w:p>
      <w:pPr>
        <w:numPr>
          <w:ilvl w:val="0"/>
          <w:numId w:val="18"/>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资格证明文件应真实、合法，并就此承担相应法律责任。</w:t>
      </w:r>
    </w:p>
    <w:p>
      <w:pPr>
        <w:numPr>
          <w:ilvl w:val="0"/>
          <w:numId w:val="18"/>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资格证明文件正本应为清晰彩色影印件且加盖单位公章，否则按照</w:t>
      </w:r>
      <w:r>
        <w:rPr>
          <w:rFonts w:hint="eastAsia" w:ascii="宋体" w:hAnsi="宋体"/>
          <w:b/>
          <w:color w:val="000000" w:themeColor="text1"/>
          <w:sz w:val="24"/>
          <w:szCs w:val="24"/>
          <w:lang w:val="zh-CN"/>
        </w:rPr>
        <w:t>无效投标处理</w:t>
      </w:r>
      <w:r>
        <w:rPr>
          <w:rFonts w:hint="eastAsia" w:ascii="宋体" w:hAnsi="宋体"/>
          <w:color w:val="000000" w:themeColor="text1"/>
          <w:sz w:val="24"/>
          <w:szCs w:val="24"/>
          <w:lang w:val="zh-CN"/>
        </w:rPr>
        <w:t>。副本可为正本的复印件</w:t>
      </w:r>
      <w:r>
        <w:rPr>
          <w:rFonts w:ascii="宋体"/>
          <w:color w:val="000000" w:themeColor="text1"/>
          <w:sz w:val="24"/>
          <w:szCs w:val="24"/>
          <w:lang w:val="zh-CN"/>
        </w:rPr>
        <w:t>,</w:t>
      </w:r>
      <w:r>
        <w:rPr>
          <w:rFonts w:hint="eastAsia" w:ascii="宋体" w:hAnsi="宋体"/>
          <w:color w:val="000000" w:themeColor="text1"/>
          <w:sz w:val="24"/>
          <w:szCs w:val="24"/>
          <w:lang w:val="zh-CN"/>
        </w:rPr>
        <w:t>但应在副本封面加盖单位公章。</w:t>
      </w:r>
    </w:p>
    <w:p>
      <w:pPr>
        <w:numPr>
          <w:ilvl w:val="0"/>
          <w:numId w:val="18"/>
        </w:numPr>
        <w:spacing w:line="360" w:lineRule="auto"/>
        <w:ind w:left="616" w:hanging="616"/>
        <w:rPr>
          <w:rFonts w:ascii="宋体"/>
          <w:color w:val="000000" w:themeColor="text1"/>
          <w:sz w:val="24"/>
          <w:szCs w:val="24"/>
          <w:lang w:val="zh-CN"/>
        </w:rPr>
      </w:pPr>
      <w:r>
        <w:rPr>
          <w:rFonts w:hint="eastAsia" w:ascii="宋体" w:hAnsi="宋体" w:cs="Helvetica"/>
          <w:color w:val="000000" w:themeColor="text1"/>
          <w:kern w:val="0"/>
          <w:sz w:val="24"/>
          <w:szCs w:val="24"/>
          <w:lang w:val="zh-CN"/>
        </w:rPr>
        <w:t>资格证明文件内容详见</w:t>
      </w:r>
      <w:r>
        <w:rPr>
          <w:rFonts w:hint="eastAsia" w:ascii="宋体" w:hAnsi="宋体"/>
          <w:color w:val="000000" w:themeColor="text1"/>
          <w:sz w:val="24"/>
          <w:szCs w:val="24"/>
          <w:lang w:val="zh-CN"/>
        </w:rPr>
        <w:t>第四章“资格审查方法及标准”中资格审查内容</w:t>
      </w:r>
      <w:r>
        <w:rPr>
          <w:rFonts w:hint="eastAsia" w:ascii="宋体" w:hAnsi="宋体" w:cs="Helvetica"/>
          <w:color w:val="000000" w:themeColor="text1"/>
          <w:kern w:val="0"/>
          <w:sz w:val="24"/>
          <w:szCs w:val="24"/>
          <w:lang w:val="zh-CN"/>
        </w:rPr>
        <w:t>。</w:t>
      </w:r>
    </w:p>
    <w:p>
      <w:pPr>
        <w:numPr>
          <w:ilvl w:val="0"/>
          <w:numId w:val="6"/>
        </w:numPr>
        <w:spacing w:line="360" w:lineRule="auto"/>
        <w:ind w:left="560" w:hanging="560"/>
        <w:rPr>
          <w:rFonts w:ascii="宋体" w:hAnsi="宋体"/>
          <w:color w:val="000000" w:themeColor="text1"/>
          <w:sz w:val="24"/>
          <w:szCs w:val="24"/>
          <w:lang w:val="zh-CN"/>
        </w:rPr>
      </w:pPr>
      <w:r>
        <w:rPr>
          <w:rFonts w:hint="eastAsia" w:ascii="宋体" w:hAnsi="宋体"/>
          <w:b/>
          <w:color w:val="000000" w:themeColor="text1"/>
          <w:sz w:val="24"/>
          <w:szCs w:val="24"/>
          <w:lang w:val="zh-CN"/>
        </w:rPr>
        <w:t>投标保证金</w:t>
      </w:r>
      <w:r>
        <w:rPr>
          <w:rFonts w:hint="eastAsia" w:ascii="宋体" w:hAnsi="宋体"/>
          <w:color w:val="000000" w:themeColor="text1"/>
          <w:sz w:val="24"/>
          <w:szCs w:val="24"/>
          <w:lang w:val="zh-CN"/>
        </w:rPr>
        <w:t>：无</w:t>
      </w:r>
    </w:p>
    <w:p>
      <w:pPr>
        <w:numPr>
          <w:ilvl w:val="0"/>
          <w:numId w:val="6"/>
        </w:numPr>
        <w:spacing w:line="360" w:lineRule="auto"/>
        <w:ind w:left="560" w:hanging="560"/>
        <w:rPr>
          <w:rFonts w:ascii="宋体"/>
          <w:b/>
          <w:color w:val="000000" w:themeColor="text1"/>
          <w:sz w:val="24"/>
          <w:szCs w:val="24"/>
          <w:lang w:val="zh-CN"/>
        </w:rPr>
      </w:pPr>
      <w:r>
        <w:rPr>
          <w:rFonts w:hint="eastAsia" w:ascii="宋体" w:hAnsi="宋体"/>
          <w:b/>
          <w:color w:val="000000" w:themeColor="text1"/>
          <w:sz w:val="24"/>
          <w:szCs w:val="24"/>
          <w:lang w:val="zh-CN"/>
        </w:rPr>
        <w:t>投标有效期</w:t>
      </w:r>
    </w:p>
    <w:p>
      <w:pPr>
        <w:numPr>
          <w:ilvl w:val="0"/>
          <w:numId w:val="19"/>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投标有效期详见本章“投标须知前附表”中规定。</w:t>
      </w:r>
      <w:r>
        <w:rPr>
          <w:rFonts w:hint="eastAsia" w:ascii="宋体" w:hAnsi="宋体" w:cs="Helvetica"/>
          <w:color w:val="000000" w:themeColor="text1"/>
          <w:kern w:val="0"/>
          <w:sz w:val="24"/>
          <w:szCs w:val="24"/>
          <w:lang w:val="zh-CN"/>
        </w:rPr>
        <w:t>投标文件中承诺的投标有效期应当不少于招标文件中载明的投标有效期。投标有效期不足的，</w:t>
      </w:r>
      <w:r>
        <w:rPr>
          <w:rFonts w:hint="eastAsia" w:ascii="宋体" w:hAnsi="宋体"/>
          <w:color w:val="000000" w:themeColor="text1"/>
          <w:sz w:val="24"/>
          <w:szCs w:val="24"/>
          <w:lang w:val="zh-CN"/>
        </w:rPr>
        <w:t>按照</w:t>
      </w:r>
      <w:r>
        <w:rPr>
          <w:rFonts w:hint="eastAsia" w:ascii="宋体" w:hAnsi="宋体"/>
          <w:b/>
          <w:color w:val="000000" w:themeColor="text1"/>
          <w:sz w:val="24"/>
          <w:szCs w:val="24"/>
          <w:lang w:val="zh-CN"/>
        </w:rPr>
        <w:t>无效投标处理。</w:t>
      </w:r>
    </w:p>
    <w:p>
      <w:pPr>
        <w:numPr>
          <w:ilvl w:val="0"/>
          <w:numId w:val="19"/>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特殊情况下，在原投标有效期截止之前，</w:t>
      </w:r>
      <w:r>
        <w:rPr>
          <w:rFonts w:hint="eastAsia" w:ascii="宋体" w:hAnsi="宋体"/>
          <w:color w:val="000000" w:themeColor="text1"/>
          <w:sz w:val="24"/>
          <w:szCs w:val="20"/>
          <w:lang w:val="zh-CN"/>
        </w:rPr>
        <w:t>采购代理机构</w:t>
      </w:r>
      <w:r>
        <w:rPr>
          <w:rFonts w:hint="eastAsia" w:ascii="宋体" w:hAnsi="宋体"/>
          <w:color w:val="000000" w:themeColor="text1"/>
          <w:sz w:val="24"/>
          <w:szCs w:val="24"/>
          <w:lang w:val="zh-CN"/>
        </w:rPr>
        <w:t>或采购人可要求投标人延长投标有效期。这种要求与答复均应以书面形式提交。投标人可拒绝</w:t>
      </w:r>
      <w:r>
        <w:rPr>
          <w:rFonts w:hint="eastAsia" w:ascii="宋体" w:hAnsi="宋体"/>
          <w:color w:val="000000" w:themeColor="text1"/>
          <w:sz w:val="24"/>
          <w:szCs w:val="20"/>
          <w:lang w:val="zh-CN"/>
        </w:rPr>
        <w:t>采购代理机构</w:t>
      </w:r>
      <w:r>
        <w:rPr>
          <w:rFonts w:hint="eastAsia" w:ascii="宋体" w:hAnsi="宋体"/>
          <w:color w:val="000000" w:themeColor="text1"/>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ascii="宋体"/>
          <w:b/>
          <w:color w:val="000000" w:themeColor="text1"/>
          <w:sz w:val="24"/>
          <w:szCs w:val="24"/>
          <w:lang w:val="zh-CN"/>
        </w:rPr>
      </w:pPr>
      <w:r>
        <w:rPr>
          <w:rFonts w:hint="eastAsia" w:ascii="宋体" w:hAnsi="宋体"/>
          <w:b/>
          <w:color w:val="000000" w:themeColor="text1"/>
          <w:sz w:val="24"/>
          <w:szCs w:val="24"/>
          <w:lang w:val="zh-CN"/>
        </w:rPr>
        <w:t>投标文件的数量和签署</w:t>
      </w:r>
    </w:p>
    <w:p>
      <w:pPr>
        <w:numPr>
          <w:ilvl w:val="0"/>
          <w:numId w:val="20"/>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投标人应按本章“投标须知前附表”中规定的份数要求编制投标文件，投标文件的副本可为正本的复印件</w:t>
      </w:r>
      <w:r>
        <w:rPr>
          <w:rFonts w:ascii="宋体"/>
          <w:color w:val="000000" w:themeColor="text1"/>
          <w:sz w:val="24"/>
          <w:szCs w:val="24"/>
          <w:lang w:val="zh-CN"/>
        </w:rPr>
        <w:t>,</w:t>
      </w:r>
      <w:r>
        <w:rPr>
          <w:rFonts w:hint="eastAsia" w:ascii="宋体" w:hAnsi="宋体"/>
          <w:color w:val="000000" w:themeColor="text1"/>
          <w:sz w:val="24"/>
          <w:szCs w:val="24"/>
          <w:lang w:val="zh-CN"/>
        </w:rPr>
        <w:t>但应在副本封面加盖单位公章。每套投标文件应清楚地标明“正本”、“副本”。副本与正本不一致的，以正本为准。</w:t>
      </w:r>
    </w:p>
    <w:p>
      <w:pPr>
        <w:numPr>
          <w:ilvl w:val="0"/>
          <w:numId w:val="20"/>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ascii="宋体"/>
          <w:color w:val="000000" w:themeColor="text1"/>
          <w:sz w:val="24"/>
          <w:szCs w:val="24"/>
          <w:lang w:val="zh-CN"/>
        </w:rPr>
      </w:pPr>
      <w:r>
        <w:rPr>
          <w:rFonts w:hint="eastAsia" w:ascii="宋体" w:hAnsi="宋体"/>
          <w:color w:val="000000" w:themeColor="text1"/>
          <w:sz w:val="24"/>
          <w:szCs w:val="24"/>
          <w:lang w:val="zh-CN"/>
        </w:rPr>
        <w:t>招标文件中要求加盖公章及签字（签章）之处，投标文件正本中应按要求提供加盖公章及签字（签章）的原件，否则按照</w:t>
      </w:r>
      <w:r>
        <w:rPr>
          <w:rFonts w:hint="eastAsia" w:ascii="宋体" w:hAnsi="宋体"/>
          <w:b/>
          <w:color w:val="000000" w:themeColor="text1"/>
          <w:sz w:val="24"/>
          <w:szCs w:val="24"/>
          <w:lang w:val="zh-CN"/>
        </w:rPr>
        <w:t>无效投标处理。</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投标文件的密封和标记</w:t>
      </w:r>
    </w:p>
    <w:p>
      <w:pPr>
        <w:numPr>
          <w:ilvl w:val="0"/>
          <w:numId w:val="21"/>
        </w:numPr>
        <w:spacing w:line="360" w:lineRule="auto"/>
        <w:ind w:left="616" w:hanging="616"/>
        <w:rPr>
          <w:rFonts w:ascii="宋体"/>
          <w:b/>
          <w:color w:val="000000" w:themeColor="text1"/>
          <w:sz w:val="24"/>
          <w:szCs w:val="20"/>
          <w:lang w:val="zh-CN"/>
        </w:rPr>
      </w:pPr>
      <w:r>
        <w:rPr>
          <w:rFonts w:hint="eastAsia" w:ascii="宋体" w:hAnsi="宋体"/>
          <w:b/>
          <w:color w:val="000000" w:themeColor="text1"/>
          <w:sz w:val="24"/>
          <w:szCs w:val="20"/>
          <w:lang w:val="zh-CN"/>
        </w:rPr>
        <w:t>投标人应将投标文件第一部分资格证明文件、第二部分商务文件、第三部分技术、服务文件合并一起装订，一起封装。</w:t>
      </w:r>
    </w:p>
    <w:p>
      <w:pPr>
        <w:numPr>
          <w:ilvl w:val="0"/>
          <w:numId w:val="21"/>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投标人应将投标文件</w:t>
      </w:r>
      <w:r>
        <w:rPr>
          <w:rFonts w:hint="eastAsia" w:ascii="宋体" w:hAnsi="宋体"/>
          <w:b/>
          <w:color w:val="000000" w:themeColor="text1"/>
          <w:sz w:val="24"/>
          <w:szCs w:val="20"/>
          <w:lang w:val="zh-CN"/>
        </w:rPr>
        <w:t>正本和副本</w:t>
      </w:r>
      <w:r>
        <w:rPr>
          <w:rFonts w:hint="eastAsia" w:ascii="宋体" w:hAnsi="宋体"/>
          <w:color w:val="000000" w:themeColor="text1"/>
          <w:sz w:val="24"/>
          <w:szCs w:val="20"/>
          <w:lang w:val="zh-CN"/>
        </w:rPr>
        <w:t>密封装在单独的封包中。</w:t>
      </w:r>
    </w:p>
    <w:p>
      <w:pPr>
        <w:numPr>
          <w:ilvl w:val="0"/>
          <w:numId w:val="21"/>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如果未按要求加写密封、标记或存在错误，采购代理机构对其误投或提前启封概不负责。</w:t>
      </w:r>
    </w:p>
    <w:p>
      <w:pPr>
        <w:numPr>
          <w:ilvl w:val="0"/>
          <w:numId w:val="21"/>
        </w:numPr>
        <w:spacing w:line="360" w:lineRule="auto"/>
        <w:ind w:left="616" w:hanging="616"/>
        <w:rPr>
          <w:rFonts w:ascii="宋体"/>
          <w:b/>
          <w:color w:val="000000" w:themeColor="text1"/>
          <w:sz w:val="24"/>
          <w:szCs w:val="20"/>
          <w:lang w:val="zh-CN"/>
        </w:rPr>
      </w:pPr>
      <w:r>
        <w:rPr>
          <w:rFonts w:hint="eastAsia" w:ascii="宋体" w:hAnsi="宋体"/>
          <w:color w:val="000000" w:themeColor="text1"/>
          <w:sz w:val="24"/>
          <w:szCs w:val="20"/>
          <w:lang w:val="zh-CN"/>
        </w:rPr>
        <w:t>为方便开标时唱标，投标人应将《开标一览表》原件及《交纳投标保证金的银行凭证》（若有交纳保证金要求的）各一份一并</w:t>
      </w:r>
      <w:r>
        <w:rPr>
          <w:rFonts w:hint="eastAsia" w:ascii="宋体" w:hAnsi="宋体"/>
          <w:color w:val="000000" w:themeColor="text1"/>
          <w:spacing w:val="-6"/>
          <w:kern w:val="0"/>
          <w:sz w:val="24"/>
          <w:szCs w:val="20"/>
          <w:lang w:val="zh-CN"/>
        </w:rPr>
        <w:t>装入一个信封，单独密封提交</w:t>
      </w:r>
      <w:r>
        <w:rPr>
          <w:rFonts w:hint="eastAsia" w:ascii="宋体" w:hAnsi="宋体"/>
          <w:color w:val="000000" w:themeColor="text1"/>
          <w:sz w:val="24"/>
          <w:szCs w:val="20"/>
          <w:lang w:val="zh-CN"/>
        </w:rPr>
        <w:t>，并在信封上标明“开标一览表”字样。未单独提交或单独提交的上述资料未按照招标文件规定的格式填写完整并签字、盖章的采购人</w:t>
      </w:r>
      <w:r>
        <w:rPr>
          <w:rFonts w:hint="eastAsia" w:ascii="宋体" w:hAnsi="宋体"/>
          <w:b/>
          <w:color w:val="000000" w:themeColor="text1"/>
          <w:sz w:val="24"/>
          <w:szCs w:val="20"/>
          <w:lang w:val="zh-CN"/>
        </w:rPr>
        <w:t>拒绝</w:t>
      </w:r>
      <w:r>
        <w:rPr>
          <w:rFonts w:hint="eastAsia" w:ascii="宋体" w:hAnsi="宋体"/>
          <w:color w:val="000000" w:themeColor="text1"/>
          <w:sz w:val="24"/>
          <w:szCs w:val="20"/>
          <w:lang w:val="zh-CN"/>
        </w:rPr>
        <w:t>其投标。</w:t>
      </w:r>
    </w:p>
    <w:p>
      <w:pPr>
        <w:numPr>
          <w:ilvl w:val="0"/>
          <w:numId w:val="21"/>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投标文件递交</w:t>
      </w:r>
    </w:p>
    <w:p>
      <w:pPr>
        <w:numPr>
          <w:ilvl w:val="0"/>
          <w:numId w:val="22"/>
        </w:numPr>
        <w:spacing w:line="360" w:lineRule="auto"/>
        <w:ind w:left="616" w:hanging="616"/>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投标人应在不迟于投标邀请书中规定的投标截止日期和时间将投标文件密封递交至采购人（或代理公司）规定的投标地点。</w:t>
      </w:r>
    </w:p>
    <w:p>
      <w:pPr>
        <w:numPr>
          <w:ilvl w:val="0"/>
          <w:numId w:val="22"/>
        </w:numPr>
        <w:spacing w:line="360" w:lineRule="auto"/>
        <w:ind w:left="616" w:hanging="616"/>
        <w:rPr>
          <w:rFonts w:ascii="Helvetica" w:hAnsi="Helvetica" w:cs="Helvetica"/>
          <w:b/>
          <w:color w:val="000000" w:themeColor="text1"/>
          <w:kern w:val="0"/>
          <w:sz w:val="24"/>
          <w:szCs w:val="24"/>
          <w:lang w:val="zh-CN"/>
        </w:rPr>
      </w:pPr>
      <w:r>
        <w:rPr>
          <w:rFonts w:hint="eastAsia" w:ascii="Helvetica" w:hAnsi="Helvetica" w:cs="Helvetica"/>
          <w:color w:val="000000" w:themeColor="text1"/>
          <w:kern w:val="0"/>
          <w:sz w:val="24"/>
          <w:szCs w:val="24"/>
          <w:lang w:val="zh-CN"/>
        </w:rPr>
        <w:t>采购人（或代理公司）</w:t>
      </w:r>
      <w:r>
        <w:rPr>
          <w:rFonts w:hint="eastAsia" w:ascii="Helvetica" w:hAnsi="Helvetica" w:cs="Helvetica"/>
          <w:b/>
          <w:color w:val="000000" w:themeColor="text1"/>
          <w:kern w:val="0"/>
          <w:sz w:val="24"/>
          <w:szCs w:val="24"/>
          <w:lang w:val="zh-CN"/>
        </w:rPr>
        <w:t>拒收逾期送达或者未按招标文件要求密封的投标文件。</w:t>
      </w:r>
    </w:p>
    <w:p>
      <w:pPr>
        <w:numPr>
          <w:ilvl w:val="0"/>
          <w:numId w:val="22"/>
        </w:numPr>
        <w:spacing w:line="360" w:lineRule="auto"/>
        <w:ind w:left="616" w:hanging="616"/>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采购人（或代理公司）收到投标文件后，应当如实记载投标文件的送达时间和密封情况，签收保存，并向投标人出具签收回执。</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投标文件的修改和撤回</w:t>
      </w:r>
    </w:p>
    <w:p>
      <w:pPr>
        <w:numPr>
          <w:ilvl w:val="0"/>
          <w:numId w:val="23"/>
        </w:numPr>
        <w:spacing w:line="360" w:lineRule="auto"/>
        <w:ind w:left="616" w:hanging="616"/>
        <w:rPr>
          <w:rFonts w:ascii="宋体"/>
          <w:strike/>
          <w:color w:val="000000" w:themeColor="text1"/>
          <w:sz w:val="24"/>
          <w:szCs w:val="20"/>
          <w:lang w:val="zh-CN"/>
        </w:rPr>
      </w:pPr>
      <w:r>
        <w:rPr>
          <w:rFonts w:hint="eastAsia" w:ascii="宋体" w:hAnsi="宋体"/>
          <w:color w:val="000000" w:themeColor="text1"/>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pPr>
        <w:numPr>
          <w:ilvl w:val="0"/>
          <w:numId w:val="23"/>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投标有效期内投标人不得撤销其投标文件，否则按照本章“投标保证金”的规定其投标保证金不予退还。</w:t>
      </w:r>
    </w:p>
    <w:p>
      <w:pPr>
        <w:numPr>
          <w:ilvl w:val="0"/>
          <w:numId w:val="23"/>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投标人所递交的投标文件无论中标与否不予退还。</w:t>
      </w:r>
    </w:p>
    <w:p>
      <w:pPr>
        <w:pStyle w:val="3"/>
        <w:numPr>
          <w:ilvl w:val="0"/>
          <w:numId w:val="5"/>
        </w:numPr>
        <w:spacing w:before="40" w:after="40" w:line="360" w:lineRule="auto"/>
        <w:ind w:left="658" w:hanging="658"/>
        <w:jc w:val="left"/>
        <w:rPr>
          <w:rFonts w:ascii="宋体"/>
          <w:bCs w:val="0"/>
          <w:color w:val="000000" w:themeColor="text1"/>
          <w:lang w:val="zh-CN"/>
        </w:rPr>
      </w:pPr>
      <w:bookmarkStart w:id="14" w:name="_Toc494561942"/>
      <w:bookmarkStart w:id="15" w:name="_Toc278891595"/>
      <w:bookmarkStart w:id="16" w:name="_Toc1903"/>
      <w:bookmarkStart w:id="17" w:name="_Toc272247698"/>
      <w:r>
        <w:rPr>
          <w:rFonts w:hint="eastAsia" w:ascii="宋体" w:hAnsi="宋体"/>
          <w:bCs w:val="0"/>
          <w:color w:val="000000" w:themeColor="text1"/>
          <w:lang w:val="zh-CN"/>
        </w:rPr>
        <w:t>开标与评标</w:t>
      </w:r>
      <w:bookmarkEnd w:id="14"/>
      <w:bookmarkEnd w:id="15"/>
      <w:bookmarkEnd w:id="16"/>
      <w:bookmarkEnd w:id="17"/>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开标</w:t>
      </w:r>
    </w:p>
    <w:p>
      <w:pPr>
        <w:numPr>
          <w:ilvl w:val="0"/>
          <w:numId w:val="24"/>
        </w:numPr>
        <w:spacing w:line="360" w:lineRule="auto"/>
        <w:ind w:left="616" w:hanging="616"/>
        <w:rPr>
          <w:rFonts w:ascii="宋体"/>
          <w:b/>
          <w:color w:val="000000" w:themeColor="text1"/>
          <w:sz w:val="24"/>
          <w:szCs w:val="20"/>
          <w:lang w:val="zh-CN"/>
        </w:rPr>
      </w:pPr>
      <w:r>
        <w:rPr>
          <w:rFonts w:hint="eastAsia" w:ascii="Helvetica" w:hAnsi="Helvetica" w:cs="Helvetica"/>
          <w:color w:val="000000" w:themeColor="text1"/>
          <w:kern w:val="0"/>
          <w:sz w:val="24"/>
          <w:szCs w:val="24"/>
          <w:lang w:val="zh-CN"/>
        </w:rPr>
        <w:t>采购人（或代理公司）</w:t>
      </w:r>
      <w:r>
        <w:rPr>
          <w:rFonts w:hint="eastAsia" w:ascii="宋体" w:hAnsi="宋体"/>
          <w:color w:val="000000" w:themeColor="text1"/>
          <w:sz w:val="24"/>
          <w:szCs w:val="20"/>
          <w:lang w:val="zh-CN"/>
        </w:rPr>
        <w:t>在第一章“投标邀请书”中约定的日期、时间和地点组织公开开标。开标时采购人和投标人代表（投标人法定代表人或其授权代表）参加</w:t>
      </w:r>
      <w:r>
        <w:rPr>
          <w:rFonts w:ascii="宋体"/>
          <w:color w:val="000000" w:themeColor="text1"/>
          <w:sz w:val="24"/>
          <w:szCs w:val="20"/>
          <w:lang w:val="zh-CN"/>
        </w:rPr>
        <w:t>,</w:t>
      </w:r>
      <w:r>
        <w:rPr>
          <w:rFonts w:hint="eastAsia" w:ascii="宋体" w:hAnsi="宋体"/>
          <w:color w:val="000000" w:themeColor="text1"/>
          <w:sz w:val="24"/>
          <w:szCs w:val="20"/>
          <w:lang w:val="zh-CN"/>
        </w:rPr>
        <w:t>参加开标的代表应签到以证明其出席</w:t>
      </w:r>
      <w:r>
        <w:rPr>
          <w:rFonts w:hint="eastAsia" w:ascii="宋体" w:hAnsi="宋体"/>
          <w:b/>
          <w:color w:val="000000" w:themeColor="text1"/>
          <w:sz w:val="24"/>
          <w:szCs w:val="20"/>
          <w:lang w:val="zh-CN"/>
        </w:rPr>
        <w:t>，否则视同认可开标结果。</w:t>
      </w:r>
    </w:p>
    <w:p>
      <w:pPr>
        <w:numPr>
          <w:ilvl w:val="0"/>
          <w:numId w:val="24"/>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投标人法定代表人或其授权代表应携带有效身份证明参加项目开标会，投标人未参加开标的，视同认可开标结果。截止</w:t>
      </w:r>
      <w:r>
        <w:rPr>
          <w:rFonts w:hint="eastAsia" w:ascii="宋体" w:hAnsi="宋体" w:cs="宋体"/>
          <w:color w:val="000000" w:themeColor="text1"/>
          <w:kern w:val="0"/>
          <w:sz w:val="24"/>
          <w:szCs w:val="24"/>
        </w:rPr>
        <w:t>投标文件</w:t>
      </w:r>
      <w:r>
        <w:rPr>
          <w:rFonts w:hint="eastAsia" w:ascii="宋体" w:hAnsi="宋体"/>
          <w:color w:val="000000" w:themeColor="text1"/>
          <w:sz w:val="24"/>
          <w:szCs w:val="20"/>
          <w:lang w:val="zh-CN"/>
        </w:rPr>
        <w:t>递交时间，投标人不足</w:t>
      </w:r>
      <w:r>
        <w:rPr>
          <w:rFonts w:ascii="宋体" w:hAnsi="宋体"/>
          <w:color w:val="000000" w:themeColor="text1"/>
          <w:sz w:val="24"/>
          <w:szCs w:val="20"/>
          <w:lang w:val="zh-CN"/>
        </w:rPr>
        <w:t>3</w:t>
      </w:r>
      <w:r>
        <w:rPr>
          <w:rFonts w:hint="eastAsia" w:ascii="宋体" w:hAnsi="宋体"/>
          <w:color w:val="000000" w:themeColor="text1"/>
          <w:sz w:val="24"/>
          <w:szCs w:val="20"/>
          <w:lang w:val="zh-CN"/>
        </w:rPr>
        <w:t>家的，不进行开标</w:t>
      </w:r>
      <w:r>
        <w:rPr>
          <w:rFonts w:hint="eastAsia" w:ascii="Helvetica" w:hAnsi="Helvetica" w:cs="Helvetica"/>
          <w:color w:val="000000" w:themeColor="text1"/>
          <w:kern w:val="0"/>
          <w:sz w:val="24"/>
          <w:szCs w:val="24"/>
          <w:lang w:val="zh-CN"/>
        </w:rPr>
        <w:t>。</w:t>
      </w:r>
    </w:p>
    <w:p>
      <w:pPr>
        <w:numPr>
          <w:ilvl w:val="0"/>
          <w:numId w:val="24"/>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开标时，由投标人或其推选的代表检查投标文件的密封情况，经确认无误后由</w:t>
      </w:r>
      <w:r>
        <w:rPr>
          <w:rFonts w:hint="eastAsia" w:ascii="Helvetica" w:hAnsi="Helvetica" w:cs="Helvetica"/>
          <w:color w:val="000000" w:themeColor="text1"/>
          <w:kern w:val="0"/>
          <w:sz w:val="24"/>
          <w:szCs w:val="24"/>
          <w:lang w:val="zh-CN"/>
        </w:rPr>
        <w:t>采购人（或代理公司）</w:t>
      </w:r>
      <w:r>
        <w:rPr>
          <w:rFonts w:hint="eastAsia" w:ascii="宋体" w:hAnsi="宋体"/>
          <w:color w:val="000000" w:themeColor="text1"/>
          <w:sz w:val="24"/>
          <w:szCs w:val="20"/>
          <w:lang w:val="zh-CN"/>
        </w:rPr>
        <w:t>工作人员当众拆封，宣布投标人名称、投标价格和招标文件规定的需要宣布的其他内容。</w:t>
      </w:r>
    </w:p>
    <w:p>
      <w:pPr>
        <w:numPr>
          <w:ilvl w:val="0"/>
          <w:numId w:val="24"/>
        </w:numPr>
        <w:spacing w:line="360" w:lineRule="auto"/>
        <w:ind w:left="616" w:hanging="616"/>
        <w:rPr>
          <w:rFonts w:ascii="宋体"/>
          <w:color w:val="000000" w:themeColor="text1"/>
          <w:sz w:val="24"/>
          <w:szCs w:val="20"/>
          <w:lang w:val="zh-CN"/>
        </w:rPr>
      </w:pPr>
      <w:r>
        <w:rPr>
          <w:rFonts w:hint="eastAsia" w:ascii="Helvetica" w:hAnsi="Helvetica" w:cs="Helvetica"/>
          <w:color w:val="000000" w:themeColor="text1"/>
          <w:kern w:val="0"/>
          <w:sz w:val="24"/>
          <w:szCs w:val="24"/>
          <w:lang w:val="zh-CN"/>
        </w:rPr>
        <w:t>采购人（或代理公司）</w:t>
      </w:r>
      <w:r>
        <w:rPr>
          <w:rFonts w:hint="eastAsia" w:ascii="宋体" w:hAnsi="宋体"/>
          <w:color w:val="000000" w:themeColor="text1"/>
          <w:sz w:val="24"/>
          <w:szCs w:val="20"/>
          <w:lang w:val="zh-CN"/>
        </w:rPr>
        <w:t>负责对开标过程进行记录，由参加开标的各投标人代表和相关工作人员对开标记录进行签字确认。</w:t>
      </w:r>
    </w:p>
    <w:p>
      <w:pPr>
        <w:numPr>
          <w:ilvl w:val="0"/>
          <w:numId w:val="24"/>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投标人代表对开标过程和开标记录有疑义，以及认为采购人、</w:t>
      </w:r>
      <w:r>
        <w:rPr>
          <w:rFonts w:hint="eastAsia" w:ascii="Helvetica" w:hAnsi="Helvetica" w:cs="Helvetica"/>
          <w:color w:val="000000" w:themeColor="text1"/>
          <w:kern w:val="0"/>
          <w:sz w:val="24"/>
          <w:szCs w:val="24"/>
          <w:lang w:val="zh-CN"/>
        </w:rPr>
        <w:t>代理公司</w:t>
      </w:r>
      <w:r>
        <w:rPr>
          <w:rFonts w:hint="eastAsia" w:ascii="宋体" w:hAnsi="宋体"/>
          <w:color w:val="000000" w:themeColor="text1"/>
          <w:sz w:val="24"/>
          <w:szCs w:val="20"/>
          <w:lang w:val="zh-CN"/>
        </w:rPr>
        <w:t>相关工作人员有需要回避的情形的，应当场提出询问或者回避申请。采购人、</w:t>
      </w:r>
      <w:r>
        <w:rPr>
          <w:rFonts w:hint="eastAsia" w:ascii="Helvetica" w:hAnsi="Helvetica" w:cs="Helvetica"/>
          <w:color w:val="000000" w:themeColor="text1"/>
          <w:kern w:val="0"/>
          <w:sz w:val="24"/>
          <w:szCs w:val="24"/>
          <w:lang w:val="zh-CN"/>
        </w:rPr>
        <w:t>代理公司</w:t>
      </w:r>
      <w:r>
        <w:rPr>
          <w:rFonts w:hint="eastAsia" w:ascii="宋体" w:hAnsi="宋体"/>
          <w:color w:val="000000" w:themeColor="text1"/>
          <w:sz w:val="24"/>
          <w:szCs w:val="20"/>
          <w:lang w:val="zh-CN"/>
        </w:rPr>
        <w:t>将及时处理投标人代表提出的询问或者回避申请。</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资格审查</w:t>
      </w:r>
    </w:p>
    <w:p>
      <w:pPr>
        <w:numPr>
          <w:ilvl w:val="0"/>
          <w:numId w:val="25"/>
        </w:numPr>
        <w:spacing w:line="360" w:lineRule="auto"/>
        <w:ind w:left="616" w:hanging="616"/>
        <w:rPr>
          <w:rFonts w:ascii="Helvetica" w:hAnsi="Helvetica" w:cs="Helvetica"/>
          <w:color w:val="000000" w:themeColor="text1"/>
          <w:kern w:val="0"/>
          <w:sz w:val="24"/>
          <w:szCs w:val="24"/>
          <w:lang w:val="zh-CN"/>
        </w:rPr>
      </w:pPr>
      <w:r>
        <w:rPr>
          <w:rFonts w:hint="eastAsia" w:ascii="宋体" w:hAnsi="宋体"/>
          <w:bCs/>
          <w:color w:val="000000" w:themeColor="text1"/>
          <w:sz w:val="24"/>
          <w:szCs w:val="20"/>
          <w:lang w:val="zh-CN"/>
        </w:rPr>
        <w:t>公开招标采购项目开标结束后，采购人和采购代理公司依据法律、法规及招标文件的规定，对投标人的资格进行审查，以确定投标人资格是否合格。</w:t>
      </w:r>
      <w:r>
        <w:rPr>
          <w:rFonts w:hint="eastAsia" w:ascii="Helvetica" w:hAnsi="Helvetica" w:cs="Helvetica"/>
          <w:color w:val="000000" w:themeColor="text1"/>
          <w:kern w:val="0"/>
          <w:sz w:val="24"/>
          <w:szCs w:val="24"/>
          <w:lang w:val="zh-CN"/>
        </w:rPr>
        <w:t>合格投标人不足</w:t>
      </w:r>
      <w:r>
        <w:rPr>
          <w:rFonts w:ascii="宋体" w:hAnsi="宋体" w:cs="Helvetica"/>
          <w:color w:val="000000" w:themeColor="text1"/>
          <w:kern w:val="0"/>
          <w:sz w:val="24"/>
          <w:szCs w:val="24"/>
          <w:lang w:val="zh-CN"/>
        </w:rPr>
        <w:t>3</w:t>
      </w:r>
      <w:r>
        <w:rPr>
          <w:rFonts w:hint="eastAsia" w:ascii="Helvetica" w:hAnsi="Helvetica" w:cs="Helvetica"/>
          <w:color w:val="000000" w:themeColor="text1"/>
          <w:kern w:val="0"/>
          <w:sz w:val="24"/>
          <w:szCs w:val="24"/>
          <w:lang w:val="zh-CN"/>
        </w:rPr>
        <w:t>家的，不进行评标。</w:t>
      </w:r>
    </w:p>
    <w:p>
      <w:pPr>
        <w:numPr>
          <w:ilvl w:val="0"/>
          <w:numId w:val="25"/>
        </w:numPr>
        <w:spacing w:line="360" w:lineRule="auto"/>
        <w:ind w:left="616" w:hanging="616"/>
        <w:rPr>
          <w:rFonts w:ascii="宋体"/>
          <w:bCs/>
          <w:color w:val="000000" w:themeColor="text1"/>
          <w:sz w:val="24"/>
          <w:szCs w:val="20"/>
          <w:lang w:val="zh-CN"/>
        </w:rPr>
      </w:pPr>
      <w:r>
        <w:rPr>
          <w:rFonts w:hint="eastAsia" w:ascii="宋体" w:hAnsi="宋体"/>
          <w:bCs/>
          <w:color w:val="000000" w:themeColor="text1"/>
          <w:sz w:val="24"/>
          <w:szCs w:val="20"/>
          <w:lang w:val="zh-CN"/>
        </w:rPr>
        <w:t>资格审查详见第四章“资格审查方法及标准”。</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评标方法</w:t>
      </w:r>
    </w:p>
    <w:p>
      <w:pPr>
        <w:numPr>
          <w:ilvl w:val="0"/>
          <w:numId w:val="26"/>
        </w:numPr>
        <w:spacing w:line="360" w:lineRule="auto"/>
        <w:ind w:left="616" w:hanging="616"/>
        <w:rPr>
          <w:rFonts w:ascii="宋体"/>
          <w:bCs/>
          <w:color w:val="000000" w:themeColor="text1"/>
          <w:sz w:val="24"/>
          <w:szCs w:val="20"/>
          <w:lang w:val="zh-CN"/>
        </w:rPr>
      </w:pPr>
      <w:r>
        <w:rPr>
          <w:rFonts w:hint="eastAsia" w:ascii="宋体" w:hAnsi="宋体"/>
          <w:bCs/>
          <w:color w:val="000000" w:themeColor="text1"/>
          <w:sz w:val="24"/>
          <w:szCs w:val="20"/>
          <w:lang w:val="zh-CN"/>
        </w:rPr>
        <w:t>最低评标价法。最低评标价法是指投标文件满足招标文件全部实质性要求，且投标报价最低的投标人为中标候选人的评标方法。</w:t>
      </w:r>
    </w:p>
    <w:p>
      <w:pPr>
        <w:numPr>
          <w:ilvl w:val="0"/>
          <w:numId w:val="26"/>
        </w:numPr>
        <w:spacing w:line="360" w:lineRule="auto"/>
        <w:ind w:left="616" w:hanging="616"/>
        <w:rPr>
          <w:rFonts w:ascii="宋体"/>
          <w:bCs/>
          <w:color w:val="000000" w:themeColor="text1"/>
          <w:sz w:val="24"/>
          <w:szCs w:val="20"/>
          <w:lang w:val="zh-CN"/>
        </w:rPr>
      </w:pPr>
      <w:r>
        <w:rPr>
          <w:rFonts w:hint="eastAsia" w:ascii="宋体" w:hAnsi="宋体"/>
          <w:bCs/>
          <w:color w:val="000000" w:themeColor="text1"/>
          <w:sz w:val="24"/>
          <w:szCs w:val="20"/>
          <w:lang w:val="zh-CN"/>
        </w:rPr>
        <w:t>综合评分法。综合评分法是指投标文件满足招标文件全部实质性要求，且按照评审因素的量化指标评审得分最高的投标人为中标候选人的评标方法。</w:t>
      </w:r>
    </w:p>
    <w:p>
      <w:pPr>
        <w:numPr>
          <w:ilvl w:val="0"/>
          <w:numId w:val="26"/>
        </w:numPr>
        <w:spacing w:line="360" w:lineRule="auto"/>
        <w:ind w:left="616" w:hanging="616"/>
        <w:rPr>
          <w:rFonts w:ascii="宋体"/>
          <w:bCs/>
          <w:color w:val="000000" w:themeColor="text1"/>
          <w:sz w:val="24"/>
          <w:szCs w:val="20"/>
          <w:lang w:val="zh-CN"/>
        </w:rPr>
      </w:pPr>
      <w:r>
        <w:rPr>
          <w:rFonts w:hint="eastAsia" w:ascii="Helvetica" w:hAnsi="Helvetica" w:cs="Helvetica"/>
          <w:color w:val="000000" w:themeColor="text1"/>
          <w:kern w:val="0"/>
          <w:sz w:val="24"/>
          <w:szCs w:val="24"/>
          <w:lang w:val="zh-CN"/>
        </w:rPr>
        <w:t>评标方法详见第五章“评标方法、程序及标准”</w:t>
      </w:r>
      <w:r>
        <w:rPr>
          <w:rFonts w:hint="eastAsia" w:ascii="宋体" w:hAnsi="宋体"/>
          <w:bCs/>
          <w:color w:val="000000" w:themeColor="text1"/>
          <w:sz w:val="24"/>
          <w:szCs w:val="20"/>
          <w:lang w:val="zh-CN"/>
        </w:rPr>
        <w:t>。</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评标委员会的组成</w:t>
      </w:r>
    </w:p>
    <w:p>
      <w:pPr>
        <w:numPr>
          <w:ilvl w:val="0"/>
          <w:numId w:val="27"/>
        </w:numPr>
        <w:spacing w:line="360" w:lineRule="auto"/>
        <w:ind w:left="616" w:hanging="616"/>
        <w:rPr>
          <w:rFonts w:ascii="宋体"/>
          <w:color w:val="000000" w:themeColor="text1"/>
          <w:sz w:val="24"/>
          <w:szCs w:val="20"/>
          <w:lang w:val="zh-CN"/>
        </w:rPr>
      </w:pPr>
      <w:r>
        <w:rPr>
          <w:rFonts w:hint="eastAsia" w:ascii="宋体" w:hAnsi="宋体" w:cs="Helvetica"/>
          <w:color w:val="000000" w:themeColor="text1"/>
          <w:kern w:val="0"/>
          <w:sz w:val="24"/>
          <w:szCs w:val="24"/>
          <w:lang w:val="zh-CN"/>
        </w:rPr>
        <w:t>评标委员会由采购人代表和评审专家组成，成员人数应当为</w:t>
      </w:r>
      <w:r>
        <w:rPr>
          <w:rFonts w:ascii="宋体" w:hAnsi="宋体" w:cs="Helvetica"/>
          <w:color w:val="000000" w:themeColor="text1"/>
          <w:kern w:val="0"/>
          <w:sz w:val="24"/>
          <w:szCs w:val="24"/>
          <w:lang w:val="zh-CN"/>
        </w:rPr>
        <w:t>5</w:t>
      </w:r>
      <w:r>
        <w:rPr>
          <w:rFonts w:hint="eastAsia" w:ascii="宋体" w:hAnsi="宋体" w:cs="Helvetica"/>
          <w:color w:val="000000" w:themeColor="text1"/>
          <w:kern w:val="0"/>
          <w:sz w:val="24"/>
          <w:szCs w:val="24"/>
          <w:lang w:val="zh-CN"/>
        </w:rPr>
        <w:t>人及以上单数，其中评审专家不得少于成员总数的三分之二；</w:t>
      </w:r>
      <w:r>
        <w:rPr>
          <w:rFonts w:hint="eastAsia" w:ascii="宋体" w:hAnsi="宋体"/>
          <w:color w:val="000000" w:themeColor="text1"/>
          <w:sz w:val="24"/>
          <w:szCs w:val="20"/>
          <w:lang w:val="zh-CN"/>
        </w:rPr>
        <w:t>采购预算金额在</w:t>
      </w:r>
      <w:r>
        <w:rPr>
          <w:rFonts w:ascii="宋体" w:hAnsi="宋体"/>
          <w:color w:val="000000" w:themeColor="text1"/>
          <w:sz w:val="24"/>
          <w:szCs w:val="20"/>
          <w:lang w:val="zh-CN"/>
        </w:rPr>
        <w:t>1000</w:t>
      </w:r>
      <w:r>
        <w:rPr>
          <w:rFonts w:hint="eastAsia" w:ascii="宋体" w:hAnsi="宋体"/>
          <w:color w:val="000000" w:themeColor="text1"/>
          <w:sz w:val="24"/>
          <w:szCs w:val="20"/>
          <w:lang w:val="zh-CN"/>
        </w:rPr>
        <w:t>万元及以上、技术复杂或社会影响较大的项目，评标委员会成员人数应当为</w:t>
      </w:r>
      <w:r>
        <w:rPr>
          <w:rFonts w:ascii="宋体" w:hAnsi="宋体"/>
          <w:color w:val="000000" w:themeColor="text1"/>
          <w:sz w:val="24"/>
          <w:szCs w:val="20"/>
          <w:lang w:val="zh-CN"/>
        </w:rPr>
        <w:t>7</w:t>
      </w:r>
      <w:r>
        <w:rPr>
          <w:rFonts w:hint="eastAsia" w:ascii="宋体" w:hAnsi="宋体"/>
          <w:color w:val="000000" w:themeColor="text1"/>
          <w:sz w:val="24"/>
          <w:szCs w:val="20"/>
          <w:lang w:val="zh-CN"/>
        </w:rPr>
        <w:t>人及以上单数。</w:t>
      </w:r>
    </w:p>
    <w:p>
      <w:pPr>
        <w:numPr>
          <w:ilvl w:val="0"/>
          <w:numId w:val="27"/>
        </w:numPr>
        <w:spacing w:line="360" w:lineRule="auto"/>
        <w:ind w:left="616" w:hanging="616"/>
        <w:rPr>
          <w:rFonts w:ascii="宋体"/>
          <w:b/>
          <w:color w:val="000000" w:themeColor="text1"/>
          <w:sz w:val="24"/>
          <w:szCs w:val="20"/>
          <w:lang w:val="zh-CN"/>
        </w:rPr>
      </w:pPr>
      <w:r>
        <w:rPr>
          <w:rFonts w:hint="eastAsia" w:ascii="宋体" w:hAnsi="宋体"/>
          <w:b/>
          <w:color w:val="000000" w:themeColor="text1"/>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评标程序</w:t>
      </w:r>
    </w:p>
    <w:p>
      <w:pPr>
        <w:numPr>
          <w:ilvl w:val="0"/>
          <w:numId w:val="28"/>
        </w:numPr>
        <w:spacing w:line="360" w:lineRule="auto"/>
        <w:ind w:left="616" w:hanging="616"/>
        <w:rPr>
          <w:rFonts w:ascii="宋体"/>
          <w:color w:val="000000" w:themeColor="text1"/>
          <w:sz w:val="24"/>
          <w:szCs w:val="20"/>
          <w:lang w:val="zh-CN"/>
        </w:rPr>
      </w:pPr>
      <w:r>
        <w:rPr>
          <w:rFonts w:hint="eastAsia" w:ascii="Helvetica" w:hAnsi="Helvetica" w:cs="Helvetica"/>
          <w:color w:val="000000" w:themeColor="text1"/>
          <w:kern w:val="0"/>
          <w:sz w:val="24"/>
          <w:szCs w:val="24"/>
          <w:lang w:val="zh-CN"/>
        </w:rPr>
        <w:t>评标委员会负责具体评标事务，并独立履行下列职责：</w:t>
      </w:r>
    </w:p>
    <w:p>
      <w:pPr>
        <w:numPr>
          <w:ilvl w:val="0"/>
          <w:numId w:val="29"/>
        </w:numPr>
        <w:spacing w:line="360" w:lineRule="auto"/>
        <w:ind w:left="980" w:hanging="854"/>
        <w:rPr>
          <w:rFonts w:ascii="宋体"/>
          <w:color w:val="000000" w:themeColor="text1"/>
          <w:sz w:val="24"/>
          <w:szCs w:val="20"/>
          <w:lang w:val="zh-CN"/>
        </w:rPr>
      </w:pPr>
      <w:r>
        <w:rPr>
          <w:rFonts w:hint="eastAsia" w:ascii="宋体" w:hAnsi="宋体"/>
          <w:color w:val="000000" w:themeColor="text1"/>
          <w:sz w:val="24"/>
          <w:szCs w:val="20"/>
          <w:lang w:val="zh-CN"/>
        </w:rPr>
        <w:t>审查、评价投标文件是否符合招标文件的商务、技术等实质性要求；</w:t>
      </w:r>
    </w:p>
    <w:p>
      <w:pPr>
        <w:numPr>
          <w:ilvl w:val="0"/>
          <w:numId w:val="29"/>
        </w:numPr>
        <w:spacing w:line="360" w:lineRule="auto"/>
        <w:ind w:left="980" w:hanging="854"/>
        <w:rPr>
          <w:rFonts w:ascii="宋体"/>
          <w:color w:val="000000" w:themeColor="text1"/>
          <w:sz w:val="24"/>
          <w:szCs w:val="20"/>
          <w:lang w:val="zh-CN"/>
        </w:rPr>
      </w:pPr>
      <w:r>
        <w:rPr>
          <w:rFonts w:hint="eastAsia" w:ascii="宋体" w:hAnsi="宋体"/>
          <w:color w:val="000000" w:themeColor="text1"/>
          <w:sz w:val="24"/>
          <w:szCs w:val="20"/>
          <w:lang w:val="zh-CN"/>
        </w:rPr>
        <w:t>要求投标人对投标文件有关事项作出澄清或者说明；</w:t>
      </w:r>
    </w:p>
    <w:p>
      <w:pPr>
        <w:numPr>
          <w:ilvl w:val="0"/>
          <w:numId w:val="29"/>
        </w:numPr>
        <w:spacing w:line="360" w:lineRule="auto"/>
        <w:ind w:left="980" w:hanging="854"/>
        <w:rPr>
          <w:rFonts w:ascii="宋体"/>
          <w:color w:val="000000" w:themeColor="text1"/>
          <w:sz w:val="24"/>
          <w:szCs w:val="20"/>
          <w:lang w:val="zh-CN"/>
        </w:rPr>
      </w:pPr>
      <w:r>
        <w:rPr>
          <w:rFonts w:hint="eastAsia" w:ascii="宋体" w:hAnsi="宋体"/>
          <w:color w:val="000000" w:themeColor="text1"/>
          <w:sz w:val="24"/>
          <w:szCs w:val="20"/>
          <w:lang w:val="zh-CN"/>
        </w:rPr>
        <w:t>对投标文件进行综合比较和评价；</w:t>
      </w:r>
    </w:p>
    <w:p>
      <w:pPr>
        <w:numPr>
          <w:ilvl w:val="0"/>
          <w:numId w:val="29"/>
        </w:numPr>
        <w:spacing w:line="360" w:lineRule="auto"/>
        <w:ind w:left="980" w:hanging="854"/>
        <w:rPr>
          <w:rFonts w:ascii="宋体"/>
          <w:color w:val="000000" w:themeColor="text1"/>
          <w:sz w:val="24"/>
          <w:szCs w:val="20"/>
          <w:lang w:val="zh-CN"/>
        </w:rPr>
      </w:pPr>
      <w:r>
        <w:rPr>
          <w:rFonts w:hint="eastAsia" w:ascii="宋体" w:hAnsi="宋体"/>
          <w:color w:val="000000" w:themeColor="text1"/>
          <w:sz w:val="24"/>
          <w:szCs w:val="20"/>
          <w:lang w:val="zh-CN"/>
        </w:rPr>
        <w:t>确定中标候选人名单或中标人；</w:t>
      </w:r>
    </w:p>
    <w:p>
      <w:pPr>
        <w:numPr>
          <w:ilvl w:val="0"/>
          <w:numId w:val="29"/>
        </w:numPr>
        <w:spacing w:line="360" w:lineRule="auto"/>
        <w:ind w:left="980" w:hanging="854"/>
        <w:rPr>
          <w:rFonts w:ascii="宋体"/>
          <w:color w:val="000000" w:themeColor="text1"/>
          <w:sz w:val="24"/>
          <w:szCs w:val="20"/>
          <w:lang w:val="zh-CN"/>
        </w:rPr>
      </w:pPr>
      <w:r>
        <w:rPr>
          <w:rFonts w:hint="eastAsia" w:ascii="宋体" w:hAnsi="宋体"/>
          <w:color w:val="000000" w:themeColor="text1"/>
          <w:sz w:val="24"/>
          <w:szCs w:val="20"/>
          <w:lang w:val="zh-CN"/>
        </w:rPr>
        <w:t>向采购人、集中采购机构或者有关部门报告评标中发现的违法行为。</w:t>
      </w:r>
    </w:p>
    <w:p>
      <w:pPr>
        <w:numPr>
          <w:ilvl w:val="0"/>
          <w:numId w:val="28"/>
        </w:numPr>
        <w:spacing w:line="360" w:lineRule="auto"/>
        <w:ind w:left="616" w:hanging="616"/>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评标程序详见第五章“评标方法、程序及标准”。</w:t>
      </w:r>
    </w:p>
    <w:p>
      <w:pPr>
        <w:pStyle w:val="3"/>
        <w:numPr>
          <w:ilvl w:val="0"/>
          <w:numId w:val="5"/>
        </w:numPr>
        <w:spacing w:before="40" w:after="40" w:line="360" w:lineRule="auto"/>
        <w:ind w:left="658" w:hanging="658"/>
        <w:jc w:val="left"/>
        <w:rPr>
          <w:rFonts w:ascii="宋体"/>
          <w:bCs w:val="0"/>
          <w:color w:val="000000" w:themeColor="text1"/>
          <w:lang w:val="zh-CN"/>
        </w:rPr>
      </w:pPr>
      <w:bookmarkStart w:id="18" w:name="_Toc494561943"/>
      <w:bookmarkStart w:id="19" w:name="_Toc12201"/>
      <w:r>
        <w:rPr>
          <w:rFonts w:hint="eastAsia" w:ascii="宋体" w:hAnsi="宋体"/>
          <w:bCs w:val="0"/>
          <w:color w:val="000000" w:themeColor="text1"/>
          <w:lang w:val="zh-CN"/>
        </w:rPr>
        <w:t>投标人信用信息及查询</w:t>
      </w:r>
      <w:bookmarkEnd w:id="18"/>
      <w:bookmarkEnd w:id="19"/>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信用信息查询渠道及使用规则</w:t>
      </w:r>
    </w:p>
    <w:p>
      <w:pPr>
        <w:numPr>
          <w:ilvl w:val="0"/>
          <w:numId w:val="30"/>
        </w:numPr>
        <w:spacing w:line="360" w:lineRule="auto"/>
        <w:ind w:left="616" w:hanging="616"/>
        <w:jc w:val="left"/>
        <w:rPr>
          <w:rFonts w:ascii="宋体" w:cs="Helvetica"/>
          <w:color w:val="000000" w:themeColor="text1"/>
          <w:kern w:val="0"/>
          <w:sz w:val="24"/>
          <w:szCs w:val="24"/>
          <w:lang w:val="zh-CN"/>
        </w:rPr>
      </w:pPr>
      <w:r>
        <w:rPr>
          <w:rFonts w:hint="eastAsia" w:ascii="宋体" w:hAnsi="宋体" w:cs="Helvetica"/>
          <w:color w:val="000000" w:themeColor="text1"/>
          <w:kern w:val="0"/>
          <w:sz w:val="24"/>
          <w:szCs w:val="24"/>
          <w:lang w:val="zh-CN"/>
        </w:rPr>
        <w:t>按照《关于在政府采购活动中查询及使用信用记录有关问题的通知》的要求，参与政府采购的投标人，信用记录的查询渠道为“信用中国”网</w:t>
      </w:r>
      <w:r>
        <w:rPr>
          <w:rFonts w:ascii="宋体" w:hAnsi="宋体" w:cs="Helvetica"/>
          <w:color w:val="000000" w:themeColor="text1"/>
          <w:kern w:val="0"/>
          <w:sz w:val="24"/>
          <w:szCs w:val="24"/>
          <w:lang w:val="zh-CN"/>
        </w:rPr>
        <w:t>(www.creditchina.gov.cn)</w:t>
      </w:r>
      <w:r>
        <w:rPr>
          <w:rFonts w:hint="eastAsia" w:ascii="宋体" w:hAnsi="宋体" w:cs="Helvetica"/>
          <w:color w:val="000000" w:themeColor="text1"/>
          <w:kern w:val="0"/>
          <w:sz w:val="24"/>
          <w:szCs w:val="24"/>
          <w:lang w:val="zh-CN"/>
        </w:rPr>
        <w:t>、中国政府采购网</w:t>
      </w:r>
      <w:r>
        <w:rPr>
          <w:rFonts w:ascii="宋体" w:hAnsi="宋体" w:cs="Helvetica"/>
          <w:color w:val="000000" w:themeColor="text1"/>
          <w:kern w:val="0"/>
          <w:sz w:val="24"/>
          <w:szCs w:val="24"/>
          <w:lang w:val="zh-CN"/>
        </w:rPr>
        <w:t>(</w:t>
      </w:r>
      <w:r>
        <w:fldChar w:fldCharType="begin"/>
      </w:r>
      <w:r>
        <w:instrText xml:space="preserve"> HYPERLINK "http://www.ccgp.gov.cn" </w:instrText>
      </w:r>
      <w:r>
        <w:fldChar w:fldCharType="separate"/>
      </w:r>
      <w:r>
        <w:rPr>
          <w:rFonts w:ascii="宋体" w:hAnsi="宋体" w:cs="Helvetica"/>
          <w:color w:val="000000" w:themeColor="text1"/>
          <w:kern w:val="0"/>
          <w:sz w:val="24"/>
          <w:szCs w:val="24"/>
          <w:lang w:val="zh-CN"/>
        </w:rPr>
        <w:t>www.ccgp.gov.cn</w:t>
      </w:r>
      <w:r>
        <w:rPr>
          <w:rFonts w:ascii="宋体" w:hAnsi="宋体" w:cs="Helvetica"/>
          <w:color w:val="000000" w:themeColor="text1"/>
          <w:kern w:val="0"/>
          <w:sz w:val="24"/>
          <w:szCs w:val="24"/>
          <w:lang w:val="zh-CN"/>
        </w:rPr>
        <w:fldChar w:fldCharType="end"/>
      </w:r>
      <w:r>
        <w:rPr>
          <w:rFonts w:ascii="宋体" w:hAnsi="宋体" w:cs="Helvetica"/>
          <w:color w:val="000000" w:themeColor="text1"/>
          <w:kern w:val="0"/>
          <w:sz w:val="24"/>
          <w:szCs w:val="24"/>
          <w:lang w:val="zh-CN"/>
        </w:rPr>
        <w:t>)</w:t>
      </w:r>
      <w:r>
        <w:rPr>
          <w:rFonts w:hint="eastAsia" w:ascii="宋体" w:hAnsi="宋体" w:cs="Helvetica"/>
          <w:color w:val="000000" w:themeColor="text1"/>
          <w:kern w:val="0"/>
          <w:sz w:val="24"/>
          <w:szCs w:val="24"/>
          <w:lang w:val="zh-CN"/>
        </w:rPr>
        <w:t>。</w:t>
      </w:r>
    </w:p>
    <w:p>
      <w:pPr>
        <w:numPr>
          <w:ilvl w:val="0"/>
          <w:numId w:val="30"/>
        </w:numPr>
        <w:spacing w:line="360" w:lineRule="auto"/>
        <w:ind w:left="616" w:hanging="616"/>
        <w:rPr>
          <w:rFonts w:ascii="宋体" w:cs="Helvetica"/>
          <w:color w:val="000000" w:themeColor="text1"/>
          <w:kern w:val="0"/>
          <w:sz w:val="24"/>
          <w:szCs w:val="24"/>
          <w:lang w:val="zh-CN"/>
        </w:rPr>
      </w:pPr>
      <w:r>
        <w:rPr>
          <w:rFonts w:hint="eastAsia" w:ascii="宋体" w:hAnsi="宋体" w:cs="Helvetica"/>
          <w:color w:val="000000" w:themeColor="text1"/>
          <w:kern w:val="0"/>
          <w:sz w:val="24"/>
          <w:szCs w:val="24"/>
          <w:lang w:val="zh-CN"/>
        </w:rPr>
        <w:t>列入失信被执行人、重大税收违法案件当事人名单、政府采购严重违法失信行为记录名单的供应商，采购人、采购代理机构</w:t>
      </w:r>
      <w:r>
        <w:rPr>
          <w:rFonts w:hint="eastAsia" w:ascii="宋体" w:hAnsi="宋体" w:cs="Helvetica"/>
          <w:bCs/>
          <w:color w:val="000000" w:themeColor="text1"/>
          <w:kern w:val="0"/>
          <w:sz w:val="24"/>
          <w:szCs w:val="24"/>
          <w:lang w:val="zh-CN"/>
        </w:rPr>
        <w:t>拒绝</w:t>
      </w:r>
      <w:r>
        <w:rPr>
          <w:rFonts w:hint="eastAsia" w:ascii="宋体" w:hAnsi="宋体" w:cs="Helvetica"/>
          <w:color w:val="000000" w:themeColor="text1"/>
          <w:kern w:val="0"/>
          <w:sz w:val="24"/>
          <w:szCs w:val="24"/>
          <w:lang w:val="zh-CN"/>
        </w:rPr>
        <w:t>其参与政府采购活动。</w:t>
      </w:r>
    </w:p>
    <w:p>
      <w:pPr>
        <w:numPr>
          <w:ilvl w:val="0"/>
          <w:numId w:val="30"/>
        </w:numPr>
        <w:spacing w:line="360" w:lineRule="auto"/>
        <w:ind w:left="616" w:hanging="616"/>
        <w:rPr>
          <w:rFonts w:ascii="宋体" w:cs="Helvetica"/>
          <w:color w:val="000000" w:themeColor="text1"/>
          <w:kern w:val="0"/>
          <w:sz w:val="24"/>
          <w:szCs w:val="24"/>
          <w:lang w:val="zh-CN"/>
        </w:rPr>
      </w:pPr>
      <w:r>
        <w:rPr>
          <w:rFonts w:hint="eastAsia" w:ascii="宋体" w:hAnsi="宋体" w:cs="Helvetic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0"/>
        </w:numPr>
        <w:spacing w:line="360" w:lineRule="auto"/>
        <w:ind w:left="616" w:hanging="616"/>
        <w:rPr>
          <w:rFonts w:ascii="宋体" w:cs="Helvetica"/>
          <w:color w:val="000000" w:themeColor="text1"/>
          <w:kern w:val="0"/>
          <w:sz w:val="24"/>
          <w:szCs w:val="24"/>
          <w:lang w:val="zh-CN"/>
        </w:rPr>
      </w:pPr>
      <w:r>
        <w:rPr>
          <w:rFonts w:hint="eastAsia" w:ascii="宋体" w:hAnsi="宋体" w:cs="Helvetica"/>
          <w:color w:val="000000" w:themeColor="text1"/>
          <w:kern w:val="0"/>
          <w:sz w:val="24"/>
          <w:szCs w:val="24"/>
          <w:lang w:val="zh-CN"/>
        </w:rPr>
        <w:t>投标人的信用记录，最终以评标时的“信用中国”网站发布的信息为准。</w:t>
      </w:r>
    </w:p>
    <w:p>
      <w:pPr>
        <w:numPr>
          <w:ilvl w:val="0"/>
          <w:numId w:val="30"/>
        </w:numPr>
        <w:spacing w:line="360" w:lineRule="auto"/>
        <w:ind w:left="616" w:hanging="616"/>
        <w:rPr>
          <w:rFonts w:ascii="宋体" w:cs="Helvetica"/>
          <w:color w:val="000000" w:themeColor="text1"/>
          <w:kern w:val="0"/>
          <w:sz w:val="24"/>
          <w:szCs w:val="24"/>
          <w:lang w:val="zh-CN"/>
        </w:rPr>
      </w:pPr>
      <w:r>
        <w:rPr>
          <w:rFonts w:hint="eastAsia" w:ascii="宋体" w:hAnsi="宋体" w:cs="Helvetica"/>
          <w:color w:val="000000" w:themeColor="text1"/>
          <w:kern w:val="0"/>
          <w:sz w:val="24"/>
          <w:szCs w:val="24"/>
          <w:lang w:val="zh-CN"/>
        </w:rPr>
        <w:t>在资格审查与评标工作未同日进行的特殊情形下，</w:t>
      </w:r>
      <w:r>
        <w:rPr>
          <w:rFonts w:hint="eastAsia" w:ascii="Helvetica" w:hAnsi="Helvetica" w:cs="Helvetica"/>
          <w:color w:val="000000" w:themeColor="text1"/>
          <w:kern w:val="0"/>
          <w:sz w:val="24"/>
          <w:szCs w:val="24"/>
          <w:lang w:val="zh-CN"/>
        </w:rPr>
        <w:t>采购人（或代理公司）</w:t>
      </w:r>
      <w:r>
        <w:rPr>
          <w:rFonts w:hint="eastAsia" w:ascii="宋体" w:hAnsi="宋体" w:cs="Helvetica"/>
          <w:color w:val="000000" w:themeColor="text1"/>
          <w:kern w:val="0"/>
          <w:sz w:val="24"/>
          <w:szCs w:val="24"/>
          <w:lang w:val="zh-CN"/>
        </w:rPr>
        <w:t>工作人员在评标时对投标人的信用信息进行复核，发现评标当日存在不良信用信息的，由评标委员会按照符合性审查不合格作</w:t>
      </w:r>
      <w:r>
        <w:rPr>
          <w:rFonts w:hint="eastAsia" w:ascii="宋体" w:hAnsi="宋体" w:cs="Helvetica"/>
          <w:b/>
          <w:color w:val="000000" w:themeColor="text1"/>
          <w:kern w:val="0"/>
          <w:sz w:val="24"/>
          <w:szCs w:val="24"/>
          <w:lang w:val="zh-CN"/>
        </w:rPr>
        <w:t>无效投标处理</w:t>
      </w:r>
      <w:r>
        <w:rPr>
          <w:rFonts w:hint="eastAsia" w:ascii="宋体" w:hAnsi="宋体" w:cs="Helvetica"/>
          <w:color w:val="000000" w:themeColor="text1"/>
          <w:kern w:val="0"/>
          <w:sz w:val="24"/>
          <w:szCs w:val="24"/>
          <w:lang w:val="zh-CN"/>
        </w:rPr>
        <w:t>。</w:t>
      </w:r>
    </w:p>
    <w:p>
      <w:pPr>
        <w:pStyle w:val="3"/>
        <w:numPr>
          <w:ilvl w:val="0"/>
          <w:numId w:val="5"/>
        </w:numPr>
        <w:spacing w:before="40" w:after="40" w:line="360" w:lineRule="auto"/>
        <w:ind w:left="658" w:hanging="658"/>
        <w:jc w:val="left"/>
        <w:rPr>
          <w:rFonts w:ascii="宋体"/>
          <w:bCs w:val="0"/>
          <w:color w:val="000000" w:themeColor="text1"/>
          <w:lang w:val="zh-CN"/>
        </w:rPr>
      </w:pPr>
      <w:bookmarkStart w:id="20" w:name="_Toc25629"/>
      <w:bookmarkStart w:id="21" w:name="_Toc494561944"/>
      <w:r>
        <w:rPr>
          <w:rFonts w:hint="eastAsia" w:ascii="宋体" w:hAnsi="宋体"/>
          <w:bCs w:val="0"/>
          <w:color w:val="000000" w:themeColor="text1"/>
          <w:lang w:val="zh-CN"/>
        </w:rPr>
        <w:t>中标与合同</w:t>
      </w:r>
      <w:bookmarkEnd w:id="20"/>
      <w:bookmarkEnd w:id="21"/>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确定中标人</w:t>
      </w:r>
    </w:p>
    <w:p>
      <w:pPr>
        <w:numPr>
          <w:ilvl w:val="0"/>
          <w:numId w:val="31"/>
        </w:numPr>
        <w:spacing w:line="360" w:lineRule="auto"/>
        <w:ind w:left="616" w:hanging="616"/>
        <w:rPr>
          <w:rFonts w:ascii="宋体"/>
          <w:color w:val="000000" w:themeColor="text1"/>
          <w:sz w:val="24"/>
          <w:szCs w:val="20"/>
          <w:lang w:val="zh-CN"/>
        </w:rPr>
      </w:pPr>
      <w:r>
        <w:rPr>
          <w:rFonts w:hint="eastAsia" w:ascii="Helvetica" w:hAnsi="Helvetica" w:cs="Helvetica"/>
          <w:color w:val="000000" w:themeColor="text1"/>
          <w:kern w:val="0"/>
          <w:sz w:val="24"/>
          <w:szCs w:val="24"/>
          <w:lang w:val="zh-CN"/>
        </w:rPr>
        <w:t>采购人收到评标报告</w:t>
      </w:r>
      <w:r>
        <w:rPr>
          <w:rFonts w:ascii="宋体" w:hAnsi="宋体" w:cs="Helvetica"/>
          <w:color w:val="000000" w:themeColor="text1"/>
          <w:kern w:val="0"/>
          <w:sz w:val="24"/>
          <w:szCs w:val="24"/>
          <w:lang w:val="zh-CN"/>
        </w:rPr>
        <w:t>5</w:t>
      </w:r>
      <w:r>
        <w:rPr>
          <w:rFonts w:hint="eastAsia" w:ascii="宋体" w:hAnsi="宋体" w:cs="Helvetica"/>
          <w:color w:val="000000" w:themeColor="text1"/>
          <w:kern w:val="0"/>
          <w:sz w:val="24"/>
          <w:szCs w:val="24"/>
          <w:lang w:val="zh-CN"/>
        </w:rPr>
        <w:t>个工作日内，按评标报告推荐的中标候选人顺序确定中标人。</w:t>
      </w:r>
    </w:p>
    <w:p>
      <w:pPr>
        <w:numPr>
          <w:ilvl w:val="0"/>
          <w:numId w:val="31"/>
        </w:numPr>
        <w:spacing w:line="360" w:lineRule="auto"/>
        <w:ind w:left="616" w:hanging="616"/>
        <w:rPr>
          <w:rFonts w:ascii="宋体"/>
          <w:color w:val="000000" w:themeColor="text1"/>
          <w:sz w:val="24"/>
          <w:szCs w:val="20"/>
          <w:lang w:val="zh-CN"/>
        </w:rPr>
      </w:pPr>
      <w:r>
        <w:rPr>
          <w:rFonts w:hint="eastAsia" w:ascii="Helvetica" w:hAnsi="Helvetica" w:cs="Helvetica"/>
          <w:color w:val="000000" w:themeColor="text1"/>
          <w:kern w:val="0"/>
          <w:sz w:val="24"/>
          <w:szCs w:val="24"/>
          <w:lang w:val="zh-CN"/>
        </w:rPr>
        <w:t>中标候选人并列的：</w:t>
      </w:r>
    </w:p>
    <w:p>
      <w:pPr>
        <w:numPr>
          <w:ilvl w:val="0"/>
          <w:numId w:val="32"/>
        </w:numPr>
        <w:spacing w:line="360" w:lineRule="auto"/>
        <w:ind w:left="980" w:hanging="854"/>
        <w:rPr>
          <w:rFonts w:ascii="宋体"/>
          <w:color w:val="000000" w:themeColor="text1"/>
          <w:sz w:val="24"/>
          <w:szCs w:val="20"/>
          <w:lang w:val="zh-CN"/>
        </w:rPr>
      </w:pPr>
      <w:r>
        <w:rPr>
          <w:rFonts w:hint="eastAsia" w:ascii="宋体" w:hAnsi="宋体"/>
          <w:color w:val="000000" w:themeColor="text1"/>
          <w:sz w:val="24"/>
          <w:szCs w:val="20"/>
          <w:lang w:val="zh-CN"/>
        </w:rPr>
        <w:t>采用最低评标价法的，评标结果按投标报价由低到高顺序排列。投标报价相同的，按技术部分由高到低顺序排列。</w:t>
      </w:r>
    </w:p>
    <w:p>
      <w:pPr>
        <w:numPr>
          <w:ilvl w:val="0"/>
          <w:numId w:val="32"/>
        </w:numPr>
        <w:spacing w:line="360" w:lineRule="auto"/>
        <w:ind w:left="980" w:hanging="854"/>
        <w:rPr>
          <w:rFonts w:ascii="宋体"/>
          <w:color w:val="000000" w:themeColor="text1"/>
          <w:sz w:val="24"/>
          <w:szCs w:val="20"/>
          <w:lang w:val="zh-CN"/>
        </w:rPr>
      </w:pPr>
      <w:r>
        <w:rPr>
          <w:rFonts w:hint="eastAsia" w:ascii="宋体" w:hAnsi="宋体"/>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1"/>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中标人的数量有其他规定的，按招标文件相关规定执行。</w:t>
      </w:r>
    </w:p>
    <w:p>
      <w:pPr>
        <w:numPr>
          <w:ilvl w:val="0"/>
          <w:numId w:val="31"/>
        </w:numPr>
        <w:spacing w:line="360" w:lineRule="auto"/>
        <w:ind w:left="616" w:hanging="616"/>
        <w:rPr>
          <w:rFonts w:ascii="宋体"/>
          <w:strike/>
          <w:color w:val="000000" w:themeColor="text1"/>
          <w:sz w:val="24"/>
          <w:szCs w:val="20"/>
          <w:lang w:val="zh-CN"/>
        </w:rPr>
      </w:pPr>
      <w:r>
        <w:rPr>
          <w:rFonts w:hint="eastAsia" w:ascii="宋体" w:hAnsi="宋体"/>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中标人确定后，采购人、采购代理机构在政府采购监管部门指定的媒体上发布中标公告，同时向中标人和采购人发出《中标通知书》。《中标通知书》是政府采购合同的组成部分</w:t>
      </w:r>
      <w:r>
        <w:rPr>
          <w:rFonts w:ascii="宋体"/>
          <w:color w:val="000000" w:themeColor="text1"/>
          <w:sz w:val="24"/>
          <w:szCs w:val="20"/>
          <w:lang w:val="zh-CN"/>
        </w:rPr>
        <w:t>,</w:t>
      </w:r>
      <w:r>
        <w:rPr>
          <w:rFonts w:hint="eastAsia" w:ascii="宋体" w:hAnsi="宋体"/>
          <w:color w:val="000000" w:themeColor="text1"/>
          <w:sz w:val="24"/>
          <w:szCs w:val="20"/>
          <w:lang w:val="zh-CN"/>
        </w:rPr>
        <w:t>对中标人和采购人具有同等法律效力。</w:t>
      </w:r>
    </w:p>
    <w:p>
      <w:pPr>
        <w:numPr>
          <w:ilvl w:val="0"/>
          <w:numId w:val="31"/>
        </w:numPr>
        <w:spacing w:line="360" w:lineRule="auto"/>
        <w:ind w:left="616" w:hanging="616"/>
        <w:rPr>
          <w:rFonts w:ascii="宋体"/>
          <w:strike/>
          <w:color w:val="000000" w:themeColor="text1"/>
          <w:sz w:val="24"/>
          <w:szCs w:val="20"/>
          <w:lang w:val="zh-CN"/>
        </w:rPr>
      </w:pPr>
      <w:r>
        <w:rPr>
          <w:rFonts w:hint="eastAsia" w:ascii="Helvetica" w:hAnsi="Helvetica" w:cs="Helvetica"/>
          <w:color w:val="000000" w:themeColor="text1"/>
          <w:kern w:val="0"/>
          <w:sz w:val="24"/>
          <w:szCs w:val="24"/>
          <w:lang w:val="zh-CN"/>
        </w:rPr>
        <w:t>中标通知书发出后，采购人不得违法改变中标结果，中标人无正当理由不得放弃中标。</w:t>
      </w:r>
    </w:p>
    <w:p>
      <w:pPr>
        <w:numPr>
          <w:ilvl w:val="0"/>
          <w:numId w:val="31"/>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合同授予</w:t>
      </w:r>
    </w:p>
    <w:p>
      <w:pPr>
        <w:spacing w:line="360" w:lineRule="auto"/>
        <w:ind w:firstLine="480" w:firstLineChars="200"/>
        <w:rPr>
          <w:rFonts w:ascii="宋体"/>
          <w:color w:val="000000" w:themeColor="text1"/>
          <w:sz w:val="24"/>
          <w:szCs w:val="20"/>
          <w:lang w:val="zh-CN"/>
        </w:rPr>
      </w:pPr>
      <w:r>
        <w:rPr>
          <w:rFonts w:hint="eastAsia" w:ascii="宋体" w:hAnsi="宋体"/>
          <w:color w:val="000000" w:themeColor="text1"/>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合同签订</w:t>
      </w:r>
    </w:p>
    <w:p>
      <w:pPr>
        <w:numPr>
          <w:ilvl w:val="0"/>
          <w:numId w:val="33"/>
        </w:numPr>
        <w:spacing w:line="360" w:lineRule="auto"/>
        <w:ind w:left="616" w:hanging="616"/>
        <w:rPr>
          <w:rFonts w:ascii="宋体"/>
          <w:color w:val="000000" w:themeColor="text1"/>
          <w:sz w:val="24"/>
          <w:szCs w:val="20"/>
          <w:lang w:val="zh-CN"/>
        </w:rPr>
      </w:pPr>
      <w:bookmarkStart w:id="22" w:name="_Toc278891597"/>
      <w:bookmarkStart w:id="23" w:name="_Toc272247700"/>
      <w:r>
        <w:rPr>
          <w:rFonts w:hint="eastAsia" w:ascii="宋体" w:hAnsi="宋体"/>
          <w:color w:val="000000" w:themeColor="text1"/>
          <w:sz w:val="24"/>
          <w:szCs w:val="20"/>
          <w:lang w:val="zh-CN"/>
        </w:rPr>
        <w:t>采购人应当自中标通知书发出之日起</w:t>
      </w:r>
      <w:r>
        <w:rPr>
          <w:rFonts w:ascii="宋体" w:hAnsi="宋体"/>
          <w:color w:val="000000" w:themeColor="text1"/>
          <w:sz w:val="24"/>
          <w:szCs w:val="20"/>
          <w:lang w:val="zh-CN"/>
        </w:rPr>
        <w:t>30</w:t>
      </w:r>
      <w:r>
        <w:rPr>
          <w:rFonts w:hint="eastAsia" w:ascii="宋体" w:hAnsi="宋体"/>
          <w:color w:val="000000" w:themeColor="text1"/>
          <w:sz w:val="24"/>
          <w:szCs w:val="20"/>
          <w:lang w:val="zh-CN"/>
        </w:rPr>
        <w:t>日内，按照招标文件规定和中标人投标文件的承诺，与中标人签订书面合同。所签订的合同不得对招标文件确定的事项和中标人投标文件作实质性修改。</w:t>
      </w:r>
    </w:p>
    <w:p>
      <w:pPr>
        <w:numPr>
          <w:ilvl w:val="0"/>
          <w:numId w:val="33"/>
        </w:numPr>
        <w:tabs>
          <w:tab w:val="left" w:pos="616"/>
        </w:tabs>
        <w:spacing w:line="360" w:lineRule="auto"/>
        <w:ind w:left="616" w:hanging="616"/>
        <w:rPr>
          <w:rFonts w:ascii="宋体"/>
          <w:color w:val="000000" w:themeColor="text1"/>
          <w:sz w:val="24"/>
          <w:szCs w:val="20"/>
          <w:lang w:val="zh-CN"/>
        </w:rPr>
      </w:pPr>
      <w:r>
        <w:rPr>
          <w:rFonts w:hint="eastAsia" w:ascii="Helvetica" w:hAnsi="Helvetica" w:cs="Helvetica"/>
          <w:color w:val="000000" w:themeColor="text1"/>
          <w:kern w:val="0"/>
          <w:sz w:val="24"/>
          <w:szCs w:val="24"/>
          <w:lang w:val="zh-CN"/>
        </w:rPr>
        <w:t>采购人不得向中标人提出任何不合理的要求作为签订合同的条件。</w:t>
      </w:r>
    </w:p>
    <w:p>
      <w:pPr>
        <w:numPr>
          <w:ilvl w:val="0"/>
          <w:numId w:val="33"/>
        </w:numPr>
        <w:tabs>
          <w:tab w:val="left" w:pos="616"/>
        </w:tabs>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3"/>
        </w:numPr>
        <w:tabs>
          <w:tab w:val="left" w:pos="616"/>
        </w:tabs>
        <w:spacing w:line="360" w:lineRule="auto"/>
        <w:ind w:left="616" w:hanging="616"/>
        <w:rPr>
          <w:rFonts w:ascii="宋体"/>
          <w:color w:val="000000" w:themeColor="text1"/>
          <w:sz w:val="24"/>
          <w:szCs w:val="20"/>
          <w:lang w:val="zh-CN"/>
        </w:rPr>
      </w:pPr>
      <w:r>
        <w:rPr>
          <w:rFonts w:hint="eastAsia" w:ascii="Helvetica" w:hAnsi="Helvetica" w:cs="Helvetica"/>
          <w:color w:val="000000" w:themeColor="text1"/>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3"/>
        </w:numPr>
        <w:tabs>
          <w:tab w:val="left" w:pos="616"/>
        </w:tabs>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rPr>
        <w:t>采购人应当自政府采购合同签订之日起</w:t>
      </w:r>
      <w:r>
        <w:rPr>
          <w:rFonts w:ascii="宋体" w:hAnsi="宋体"/>
          <w:color w:val="000000" w:themeColor="text1"/>
          <w:sz w:val="24"/>
          <w:szCs w:val="20"/>
        </w:rPr>
        <w:t>2</w:t>
      </w:r>
      <w:r>
        <w:rPr>
          <w:rFonts w:hint="eastAsia" w:ascii="宋体" w:hAnsi="宋体"/>
          <w:color w:val="000000" w:themeColor="text1"/>
          <w:sz w:val="24"/>
          <w:szCs w:val="20"/>
        </w:rPr>
        <w:t>个工作日内，将政府采购合同在省级以上人民政府财政部门指定的媒体上公告，但政府采购合同中涉及国家秘密、商业秘密的内容除外。</w:t>
      </w:r>
    </w:p>
    <w:p>
      <w:pPr>
        <w:numPr>
          <w:ilvl w:val="0"/>
          <w:numId w:val="33"/>
        </w:numPr>
        <w:tabs>
          <w:tab w:val="left" w:pos="616"/>
        </w:tabs>
        <w:spacing w:line="360" w:lineRule="auto"/>
        <w:ind w:left="616" w:hanging="616"/>
        <w:rPr>
          <w:rFonts w:ascii="宋体"/>
          <w:color w:val="000000" w:themeColor="text1"/>
          <w:sz w:val="24"/>
          <w:szCs w:val="20"/>
          <w:lang w:val="zh-CN"/>
        </w:rPr>
      </w:pPr>
      <w:r>
        <w:rPr>
          <w:rFonts w:hint="eastAsia" w:ascii="Helvetica" w:hAnsi="Helvetica" w:cs="Helvetic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5"/>
        </w:numPr>
        <w:spacing w:before="40" w:after="40" w:line="360" w:lineRule="auto"/>
        <w:ind w:left="658" w:hanging="658"/>
        <w:jc w:val="left"/>
        <w:rPr>
          <w:rFonts w:ascii="宋体"/>
          <w:bCs w:val="0"/>
          <w:color w:val="000000" w:themeColor="text1"/>
          <w:lang w:val="zh-CN"/>
        </w:rPr>
      </w:pPr>
      <w:bookmarkStart w:id="24" w:name="_Toc494561945"/>
      <w:bookmarkStart w:id="25" w:name="_Toc20938"/>
      <w:r>
        <w:rPr>
          <w:rFonts w:hint="eastAsia" w:ascii="宋体" w:hAnsi="宋体"/>
          <w:bCs w:val="0"/>
          <w:color w:val="000000" w:themeColor="text1"/>
          <w:lang w:val="zh-CN"/>
        </w:rPr>
        <w:t>采购信息公告</w:t>
      </w:r>
      <w:bookmarkEnd w:id="24"/>
      <w:bookmarkEnd w:id="25"/>
    </w:p>
    <w:p>
      <w:pPr>
        <w:numPr>
          <w:ilvl w:val="0"/>
          <w:numId w:val="6"/>
        </w:numPr>
        <w:spacing w:line="360" w:lineRule="auto"/>
        <w:ind w:left="560" w:hanging="560"/>
        <w:rPr>
          <w:rFonts w:ascii="宋体" w:cs="Helvetica"/>
          <w:b/>
          <w:color w:val="000000" w:themeColor="text1"/>
          <w:kern w:val="0"/>
          <w:sz w:val="24"/>
          <w:szCs w:val="24"/>
          <w:lang w:val="zh-CN"/>
        </w:rPr>
      </w:pPr>
      <w:r>
        <w:rPr>
          <w:rFonts w:hint="eastAsia" w:ascii="宋体" w:hAnsi="宋体" w:cs="Helvetica"/>
          <w:b/>
          <w:color w:val="000000" w:themeColor="text1"/>
          <w:kern w:val="0"/>
          <w:sz w:val="24"/>
          <w:szCs w:val="24"/>
          <w:lang w:val="zh-CN"/>
        </w:rPr>
        <w:t>公告的媒体及规定</w:t>
      </w:r>
    </w:p>
    <w:p>
      <w:pPr>
        <w:numPr>
          <w:ilvl w:val="0"/>
          <w:numId w:val="34"/>
        </w:numPr>
        <w:tabs>
          <w:tab w:val="left" w:pos="616"/>
        </w:tabs>
        <w:spacing w:line="360" w:lineRule="auto"/>
        <w:ind w:left="616" w:hanging="616"/>
        <w:rPr>
          <w:rFonts w:ascii="宋体" w:cs="Helvetica"/>
          <w:color w:val="000000" w:themeColor="text1"/>
          <w:kern w:val="0"/>
          <w:sz w:val="24"/>
          <w:szCs w:val="24"/>
          <w:lang w:val="zh-CN"/>
        </w:rPr>
      </w:pPr>
      <w:r>
        <w:rPr>
          <w:rFonts w:hint="eastAsia" w:ascii="宋体" w:hAnsi="宋体"/>
          <w:color w:val="000000" w:themeColor="text1"/>
          <w:sz w:val="24"/>
          <w:szCs w:val="20"/>
          <w:lang w:val="zh-CN"/>
        </w:rPr>
        <w:t>采购代理机构</w:t>
      </w:r>
      <w:r>
        <w:rPr>
          <w:rFonts w:hint="eastAsia" w:ascii="宋体" w:hAnsi="宋体" w:cs="Helvetica"/>
          <w:color w:val="000000" w:themeColor="text1"/>
          <w:kern w:val="0"/>
          <w:sz w:val="24"/>
          <w:szCs w:val="24"/>
          <w:lang w:val="zh-CN"/>
        </w:rPr>
        <w:t>在招标活动中的公告、补充、更正、结果等采购信息均依法在政府采购监管部门指定媒体上（中国湖北政府采购网</w:t>
      </w:r>
      <w:r>
        <w:rPr>
          <w:rFonts w:ascii="宋体" w:hAnsi="宋体" w:cs="Helvetica"/>
          <w:color w:val="000000" w:themeColor="text1"/>
          <w:kern w:val="0"/>
          <w:sz w:val="24"/>
          <w:szCs w:val="24"/>
          <w:lang w:val="zh-CN"/>
        </w:rPr>
        <w:t>http://www.ccgp-hubei.gov.cn/</w:t>
      </w:r>
      <w:r>
        <w:rPr>
          <w:rFonts w:hint="eastAsia" w:ascii="宋体" w:hAnsi="宋体" w:cs="Helvetica"/>
          <w:color w:val="000000" w:themeColor="text1"/>
          <w:kern w:val="0"/>
          <w:sz w:val="24"/>
          <w:szCs w:val="24"/>
          <w:lang w:val="zh-CN"/>
        </w:rPr>
        <w:t>）发布。</w:t>
      </w:r>
    </w:p>
    <w:p>
      <w:pPr>
        <w:numPr>
          <w:ilvl w:val="0"/>
          <w:numId w:val="34"/>
        </w:numPr>
        <w:tabs>
          <w:tab w:val="left" w:pos="616"/>
        </w:tabs>
        <w:spacing w:line="360" w:lineRule="auto"/>
        <w:ind w:left="616" w:hanging="616"/>
        <w:rPr>
          <w:rFonts w:ascii="宋体" w:cs="Helvetica"/>
          <w:b/>
          <w:color w:val="000000" w:themeColor="text1"/>
          <w:kern w:val="0"/>
          <w:sz w:val="24"/>
          <w:szCs w:val="24"/>
          <w:lang w:val="zh-CN"/>
        </w:rPr>
      </w:pPr>
      <w:r>
        <w:rPr>
          <w:rFonts w:hint="eastAsia" w:ascii="宋体" w:hAnsi="宋体"/>
          <w:color w:val="000000" w:themeColor="text1"/>
          <w:sz w:val="24"/>
          <w:szCs w:val="20"/>
          <w:lang w:val="zh-CN"/>
        </w:rPr>
        <w:t>采购代理机构</w:t>
      </w:r>
      <w:r>
        <w:rPr>
          <w:rFonts w:hint="eastAsia" w:ascii="宋体" w:hAnsi="宋体" w:cs="Helvetica"/>
          <w:color w:val="000000" w:themeColor="text1"/>
          <w:kern w:val="0"/>
          <w:sz w:val="24"/>
          <w:szCs w:val="24"/>
          <w:lang w:val="zh-CN"/>
        </w:rPr>
        <w:t>在自中标人确定之日起</w:t>
      </w:r>
      <w:r>
        <w:rPr>
          <w:rFonts w:ascii="宋体" w:hAnsi="宋体" w:cs="Helvetica"/>
          <w:color w:val="000000" w:themeColor="text1"/>
          <w:kern w:val="0"/>
          <w:sz w:val="24"/>
          <w:szCs w:val="24"/>
          <w:lang w:val="zh-CN"/>
        </w:rPr>
        <w:t>2</w:t>
      </w:r>
      <w:r>
        <w:rPr>
          <w:rFonts w:hint="eastAsia" w:ascii="宋体" w:hAnsi="宋体" w:cs="Helvetica"/>
          <w:color w:val="000000" w:themeColor="text1"/>
          <w:kern w:val="0"/>
          <w:sz w:val="24"/>
          <w:szCs w:val="24"/>
          <w:lang w:val="zh-CN"/>
        </w:rPr>
        <w:t>个工作日内，在政府采购监管部门指定媒体上公告中标结果，</w:t>
      </w:r>
      <w:r>
        <w:rPr>
          <w:rFonts w:hint="eastAsia" w:ascii="宋体" w:hAnsi="宋体" w:cs="Helvetica"/>
          <w:b/>
          <w:color w:val="000000" w:themeColor="text1"/>
          <w:kern w:val="0"/>
          <w:sz w:val="24"/>
          <w:szCs w:val="24"/>
          <w:lang w:val="zh-CN"/>
        </w:rPr>
        <w:t>中标公告的公示期为</w:t>
      </w:r>
      <w:r>
        <w:rPr>
          <w:rFonts w:ascii="宋体" w:hAnsi="宋体" w:cs="Helvetica"/>
          <w:b/>
          <w:color w:val="000000" w:themeColor="text1"/>
          <w:kern w:val="0"/>
          <w:sz w:val="24"/>
          <w:szCs w:val="24"/>
          <w:lang w:val="zh-CN"/>
        </w:rPr>
        <w:t>1</w:t>
      </w:r>
      <w:r>
        <w:rPr>
          <w:rFonts w:hint="eastAsia" w:ascii="宋体" w:hAnsi="宋体" w:cs="Helvetica"/>
          <w:b/>
          <w:color w:val="000000" w:themeColor="text1"/>
          <w:kern w:val="0"/>
          <w:sz w:val="24"/>
          <w:szCs w:val="24"/>
          <w:lang w:val="zh-CN"/>
        </w:rPr>
        <w:t>个工作日。</w:t>
      </w:r>
    </w:p>
    <w:p>
      <w:pPr>
        <w:numPr>
          <w:ilvl w:val="0"/>
          <w:numId w:val="34"/>
        </w:numPr>
        <w:tabs>
          <w:tab w:val="left" w:pos="616"/>
        </w:tabs>
        <w:spacing w:line="360" w:lineRule="auto"/>
        <w:ind w:left="616" w:hanging="616"/>
        <w:rPr>
          <w:rFonts w:ascii="宋体" w:cs="Helvetica"/>
          <w:color w:val="000000" w:themeColor="text1"/>
          <w:kern w:val="0"/>
          <w:sz w:val="24"/>
          <w:szCs w:val="24"/>
          <w:lang w:val="zh-CN"/>
        </w:rPr>
      </w:pPr>
      <w:r>
        <w:rPr>
          <w:rFonts w:hint="eastAsia" w:ascii="宋体" w:hAnsi="宋体" w:cs="Helvetica"/>
          <w:color w:val="000000" w:themeColor="text1"/>
          <w:kern w:val="0"/>
          <w:sz w:val="24"/>
          <w:szCs w:val="24"/>
          <w:lang w:val="zh-CN"/>
        </w:rPr>
        <w:t>资格审查未通过的投标人可在结果公告质疑有效期内按公告中的联系方式获知本单位的资格审查情况。</w:t>
      </w:r>
    </w:p>
    <w:p>
      <w:pPr>
        <w:numPr>
          <w:ilvl w:val="0"/>
          <w:numId w:val="34"/>
        </w:numPr>
        <w:tabs>
          <w:tab w:val="left" w:pos="616"/>
        </w:tabs>
        <w:spacing w:line="360" w:lineRule="auto"/>
        <w:ind w:left="616" w:hanging="616"/>
        <w:rPr>
          <w:rFonts w:ascii="宋体" w:cs="Helvetica"/>
          <w:color w:val="000000" w:themeColor="text1"/>
          <w:kern w:val="0"/>
          <w:sz w:val="24"/>
          <w:szCs w:val="24"/>
          <w:lang w:val="zh-CN"/>
        </w:rPr>
      </w:pPr>
      <w:r>
        <w:rPr>
          <w:rFonts w:hint="eastAsia" w:ascii="宋体" w:hAnsi="宋体" w:cs="Helvetica"/>
          <w:color w:val="000000" w:themeColor="text1"/>
          <w:kern w:val="0"/>
          <w:sz w:val="24"/>
          <w:szCs w:val="24"/>
          <w:lang w:val="zh-CN"/>
        </w:rPr>
        <w:t>采用综合评分法评审的项目，未中标人可在结果公告质疑有效期内按公告中的联系方式获知本单位的评审得分与排序。</w:t>
      </w:r>
    </w:p>
    <w:p>
      <w:pPr>
        <w:pStyle w:val="3"/>
        <w:numPr>
          <w:ilvl w:val="0"/>
          <w:numId w:val="5"/>
        </w:numPr>
        <w:spacing w:before="40" w:after="40" w:line="360" w:lineRule="auto"/>
        <w:ind w:left="658" w:hanging="658"/>
        <w:jc w:val="left"/>
        <w:rPr>
          <w:rFonts w:ascii="宋体"/>
          <w:bCs w:val="0"/>
          <w:color w:val="000000" w:themeColor="text1"/>
          <w:lang w:val="zh-CN"/>
        </w:rPr>
      </w:pPr>
      <w:bookmarkStart w:id="26" w:name="_Toc28756"/>
      <w:bookmarkStart w:id="27" w:name="_Toc494561946"/>
      <w:r>
        <w:rPr>
          <w:rFonts w:hint="eastAsia" w:ascii="宋体" w:hAnsi="宋体"/>
          <w:bCs w:val="0"/>
          <w:color w:val="000000" w:themeColor="text1"/>
          <w:lang w:val="zh-CN"/>
        </w:rPr>
        <w:t>质疑</w:t>
      </w:r>
      <w:bookmarkEnd w:id="22"/>
      <w:bookmarkEnd w:id="23"/>
      <w:r>
        <w:rPr>
          <w:rFonts w:hint="eastAsia" w:ascii="宋体" w:hAnsi="宋体"/>
          <w:bCs w:val="0"/>
          <w:color w:val="000000" w:themeColor="text1"/>
          <w:lang w:val="zh-CN"/>
        </w:rPr>
        <w:t>及提交</w:t>
      </w:r>
      <w:bookmarkEnd w:id="26"/>
      <w:bookmarkEnd w:id="27"/>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质疑提交</w:t>
      </w:r>
    </w:p>
    <w:p>
      <w:pPr>
        <w:autoSpaceDE w:val="0"/>
        <w:autoSpaceDN w:val="0"/>
        <w:adjustRightInd w:val="0"/>
        <w:snapToGrid w:val="0"/>
        <w:spacing w:line="300" w:lineRule="auto"/>
        <w:ind w:left="420" w:right="32" w:firstLine="6"/>
        <w:rPr>
          <w:rFonts w:ascii="宋体"/>
          <w:color w:val="000000" w:themeColor="text1"/>
          <w:sz w:val="24"/>
          <w:szCs w:val="20"/>
          <w:lang w:val="zh-CN"/>
        </w:rPr>
      </w:pPr>
      <w:r>
        <w:rPr>
          <w:rFonts w:hint="eastAsia" w:ascii="宋体" w:hAnsi="宋体"/>
          <w:color w:val="000000" w:themeColor="text1"/>
          <w:sz w:val="24"/>
          <w:szCs w:val="20"/>
          <w:lang w:val="zh-CN"/>
        </w:rPr>
        <w:t>投标人认为招标文件、招标过程和中标结果使自己的权益受到损害的，可以在知道或者应知其权益受到损害之日起</w:t>
      </w:r>
      <w:r>
        <w:rPr>
          <w:rFonts w:ascii="宋体" w:hAnsi="宋体"/>
          <w:color w:val="000000" w:themeColor="text1"/>
          <w:sz w:val="24"/>
          <w:szCs w:val="20"/>
          <w:lang w:val="zh-CN"/>
        </w:rPr>
        <w:t>7</w:t>
      </w:r>
      <w:r>
        <w:rPr>
          <w:rFonts w:hint="eastAsia" w:ascii="宋体" w:hAnsi="宋体"/>
          <w:color w:val="000000" w:themeColor="text1"/>
          <w:sz w:val="24"/>
          <w:szCs w:val="20"/>
          <w:lang w:val="zh-CN"/>
        </w:rPr>
        <w:t>个工作日内，向采购人（或代理公司）提出书面质疑，质疑提出时间以收到之日为准。</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投标人应知其权益受到损害之日是指：</w:t>
      </w:r>
    </w:p>
    <w:p>
      <w:pPr>
        <w:numPr>
          <w:ilvl w:val="0"/>
          <w:numId w:val="35"/>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对可以质疑的招标文件提出质疑的，为收到招标文件之日或者招标文件公告期限届满之日；</w:t>
      </w:r>
    </w:p>
    <w:p>
      <w:pPr>
        <w:numPr>
          <w:ilvl w:val="0"/>
          <w:numId w:val="35"/>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对招标过程提出质疑的，为各招标程序环节结束之日；</w:t>
      </w:r>
    </w:p>
    <w:p>
      <w:pPr>
        <w:numPr>
          <w:ilvl w:val="0"/>
          <w:numId w:val="35"/>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对中标结果提出质疑的，为中标公告期限届满之日。</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质疑书应当包括下列主要内容：</w:t>
      </w:r>
    </w:p>
    <w:p>
      <w:pPr>
        <w:numPr>
          <w:ilvl w:val="0"/>
          <w:numId w:val="36"/>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质疑人的名称、地址、联系人及联系电话等；</w:t>
      </w:r>
    </w:p>
    <w:p>
      <w:pPr>
        <w:numPr>
          <w:ilvl w:val="0"/>
          <w:numId w:val="36"/>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被质疑人的名称、地址、联系人及联系电话等；</w:t>
      </w:r>
    </w:p>
    <w:p>
      <w:pPr>
        <w:numPr>
          <w:ilvl w:val="0"/>
          <w:numId w:val="36"/>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质疑项目名称及编号、质疑事项和明确的请求；</w:t>
      </w:r>
    </w:p>
    <w:p>
      <w:pPr>
        <w:numPr>
          <w:ilvl w:val="0"/>
          <w:numId w:val="36"/>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质疑事项的事实根据、法律依据及其他必要的证明材料；</w:t>
      </w:r>
    </w:p>
    <w:p>
      <w:pPr>
        <w:numPr>
          <w:ilvl w:val="0"/>
          <w:numId w:val="36"/>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提出质疑的日期；</w:t>
      </w:r>
    </w:p>
    <w:p>
      <w:pPr>
        <w:numPr>
          <w:ilvl w:val="0"/>
          <w:numId w:val="36"/>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质疑人的署名及签章（质疑人为自然人的，应当由本人签字；质疑人为法人或者其他组织的，应当由法定代表人或者主要负责人签字盖章并加盖公章）；</w:t>
      </w:r>
    </w:p>
    <w:p>
      <w:pPr>
        <w:numPr>
          <w:ilvl w:val="0"/>
          <w:numId w:val="36"/>
        </w:numPr>
        <w:spacing w:line="360" w:lineRule="auto"/>
        <w:ind w:left="616" w:hanging="616"/>
        <w:rPr>
          <w:rFonts w:ascii="宋体"/>
          <w:color w:val="000000" w:themeColor="text1"/>
          <w:sz w:val="24"/>
          <w:szCs w:val="20"/>
          <w:lang w:val="zh-CN"/>
        </w:rPr>
      </w:pPr>
      <w:r>
        <w:rPr>
          <w:rFonts w:hint="eastAsia" w:ascii="宋体" w:hAnsi="宋体"/>
          <w:color w:val="000000" w:themeColor="text1"/>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b/>
          <w:color w:val="000000" w:themeColor="text1"/>
          <w:sz w:val="24"/>
          <w:szCs w:val="20"/>
          <w:lang w:val="zh-CN"/>
        </w:rPr>
      </w:pPr>
      <w:r>
        <w:rPr>
          <w:rFonts w:hint="eastAsia" w:ascii="宋体" w:hAnsi="宋体"/>
          <w:b/>
          <w:color w:val="000000" w:themeColor="text1"/>
          <w:sz w:val="24"/>
          <w:szCs w:val="20"/>
          <w:lang w:val="zh-CN"/>
        </w:rPr>
        <w:t>不予受理的情形</w:t>
      </w:r>
    </w:p>
    <w:p>
      <w:pPr>
        <w:spacing w:line="360" w:lineRule="auto"/>
        <w:ind w:firstLine="480" w:firstLineChars="200"/>
        <w:rPr>
          <w:rFonts w:ascii="宋体"/>
          <w:color w:val="000000" w:themeColor="text1"/>
          <w:sz w:val="24"/>
          <w:szCs w:val="20"/>
          <w:lang w:val="zh-CN"/>
        </w:rPr>
      </w:pPr>
      <w:r>
        <w:rPr>
          <w:rFonts w:hint="eastAsia" w:ascii="宋体" w:hAnsi="宋体"/>
          <w:color w:val="000000" w:themeColor="text1"/>
          <w:sz w:val="24"/>
          <w:szCs w:val="20"/>
          <w:lang w:val="zh-CN"/>
        </w:rPr>
        <w:t>投标人未按本章“质疑及提交”规定的时限、内容及方式进行质疑的，采购人（或代理公司）不予受理。</w:t>
      </w:r>
    </w:p>
    <w:p>
      <w:pPr>
        <w:pStyle w:val="3"/>
        <w:numPr>
          <w:ilvl w:val="0"/>
          <w:numId w:val="5"/>
        </w:numPr>
        <w:spacing w:before="40" w:after="40" w:line="360" w:lineRule="auto"/>
        <w:ind w:left="658" w:hanging="658"/>
        <w:jc w:val="left"/>
        <w:rPr>
          <w:rFonts w:ascii="宋体"/>
          <w:bCs w:val="0"/>
          <w:color w:val="000000" w:themeColor="text1"/>
          <w:lang w:val="zh-CN"/>
        </w:rPr>
      </w:pPr>
      <w:bookmarkStart w:id="28" w:name="_Toc1011"/>
      <w:bookmarkStart w:id="29" w:name="_Toc494561947"/>
      <w:r>
        <w:rPr>
          <w:rFonts w:hint="eastAsia" w:ascii="宋体" w:hAnsi="宋体"/>
          <w:bCs w:val="0"/>
          <w:color w:val="000000" w:themeColor="text1"/>
          <w:lang w:val="zh-CN"/>
        </w:rPr>
        <w:t>相关条文解读</w:t>
      </w:r>
      <w:bookmarkEnd w:id="28"/>
      <w:bookmarkEnd w:id="29"/>
    </w:p>
    <w:p>
      <w:pPr>
        <w:numPr>
          <w:ilvl w:val="0"/>
          <w:numId w:val="6"/>
        </w:numPr>
        <w:spacing w:line="360" w:lineRule="auto"/>
        <w:ind w:left="560" w:hanging="560"/>
        <w:rPr>
          <w:rFonts w:ascii="宋体"/>
          <w:color w:val="000000" w:themeColor="text1"/>
          <w:sz w:val="24"/>
          <w:szCs w:val="20"/>
          <w:lang w:val="zh-CN"/>
        </w:rPr>
      </w:pPr>
      <w:r>
        <w:rPr>
          <w:rFonts w:hint="eastAsia" w:ascii="宋体" w:hAnsi="宋体"/>
          <w:color w:val="000000" w:themeColor="text1"/>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6"/>
        </w:numPr>
        <w:spacing w:line="360" w:lineRule="auto"/>
        <w:ind w:left="560" w:hanging="560"/>
        <w:rPr>
          <w:rFonts w:ascii="宋体"/>
          <w:color w:val="000000" w:themeColor="text1"/>
          <w:sz w:val="24"/>
          <w:szCs w:val="20"/>
          <w:lang w:val="zh-CN"/>
        </w:rPr>
      </w:pPr>
      <w:r>
        <w:rPr>
          <w:rFonts w:hint="eastAsia" w:ascii="宋体" w:hAnsi="宋体"/>
          <w:color w:val="000000" w:themeColor="text1"/>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6"/>
        </w:numPr>
        <w:spacing w:line="360" w:lineRule="auto"/>
        <w:ind w:left="560" w:hanging="560"/>
        <w:rPr>
          <w:rFonts w:ascii="宋体"/>
          <w:color w:val="000000" w:themeColor="text1"/>
          <w:sz w:val="24"/>
          <w:szCs w:val="20"/>
          <w:lang w:val="zh-CN"/>
        </w:rPr>
      </w:pPr>
      <w:r>
        <w:rPr>
          <w:rFonts w:hint="eastAsia" w:ascii="宋体" w:hAnsi="宋体"/>
          <w:color w:val="000000" w:themeColor="text1"/>
          <w:sz w:val="24"/>
          <w:szCs w:val="20"/>
          <w:lang w:val="zh-CN"/>
        </w:rPr>
        <w:t>供应商在参加政府采购活动前</w:t>
      </w:r>
      <w:r>
        <w:rPr>
          <w:rFonts w:ascii="宋体" w:hAnsi="宋体"/>
          <w:color w:val="000000" w:themeColor="text1"/>
          <w:sz w:val="24"/>
          <w:szCs w:val="20"/>
          <w:lang w:val="zh-CN"/>
        </w:rPr>
        <w:t>3</w:t>
      </w:r>
      <w:r>
        <w:rPr>
          <w:rFonts w:hint="eastAsia" w:ascii="宋体" w:hAnsi="宋体"/>
          <w:color w:val="000000" w:themeColor="text1"/>
          <w:sz w:val="24"/>
          <w:szCs w:val="20"/>
          <w:lang w:val="zh-CN"/>
        </w:rPr>
        <w:t>年内因违法经营被禁止在一定期限内参加政府采购活动，期限届满的，可以参加政府采购活动。</w:t>
      </w:r>
    </w:p>
    <w:p>
      <w:pPr>
        <w:numPr>
          <w:ilvl w:val="0"/>
          <w:numId w:val="6"/>
        </w:numPr>
        <w:spacing w:line="360" w:lineRule="auto"/>
        <w:ind w:left="560" w:hanging="560"/>
        <w:rPr>
          <w:rFonts w:ascii="宋体"/>
          <w:color w:val="000000" w:themeColor="text1"/>
          <w:sz w:val="24"/>
          <w:szCs w:val="20"/>
          <w:lang w:val="zh-CN"/>
        </w:rPr>
      </w:pPr>
      <w:r>
        <w:rPr>
          <w:rFonts w:hint="eastAsia" w:ascii="宋体" w:hAnsi="宋体"/>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3"/>
        <w:numPr>
          <w:ilvl w:val="0"/>
          <w:numId w:val="5"/>
        </w:numPr>
        <w:spacing w:before="40" w:after="40" w:line="360" w:lineRule="auto"/>
        <w:ind w:left="658" w:hanging="658"/>
        <w:jc w:val="left"/>
        <w:rPr>
          <w:rFonts w:ascii="宋体"/>
          <w:bCs w:val="0"/>
          <w:color w:val="000000" w:themeColor="text1"/>
          <w:lang w:val="zh-CN"/>
        </w:rPr>
      </w:pPr>
      <w:bookmarkStart w:id="30" w:name="_Toc18829"/>
      <w:bookmarkStart w:id="31" w:name="_Toc494561948"/>
      <w:r>
        <w:rPr>
          <w:rFonts w:hint="eastAsia" w:ascii="宋体" w:hAnsi="宋体"/>
          <w:bCs w:val="0"/>
          <w:color w:val="000000" w:themeColor="text1"/>
          <w:lang w:val="zh-CN"/>
        </w:rPr>
        <w:t>其他注意事项</w:t>
      </w:r>
      <w:bookmarkEnd w:id="30"/>
      <w:bookmarkEnd w:id="31"/>
    </w:p>
    <w:p>
      <w:pPr>
        <w:numPr>
          <w:ilvl w:val="0"/>
          <w:numId w:val="6"/>
        </w:numPr>
        <w:spacing w:line="360" w:lineRule="auto"/>
        <w:ind w:left="560" w:hanging="560"/>
        <w:rPr>
          <w:rFonts w:ascii="宋体"/>
          <w:color w:val="000000" w:themeColor="text1"/>
          <w:sz w:val="24"/>
          <w:szCs w:val="20"/>
          <w:lang w:val="zh-CN"/>
        </w:rPr>
      </w:pPr>
      <w:r>
        <w:rPr>
          <w:rFonts w:hint="eastAsia" w:ascii="宋体" w:hAnsi="宋体"/>
          <w:color w:val="000000" w:themeColor="text1"/>
          <w:sz w:val="24"/>
          <w:szCs w:val="20"/>
          <w:lang w:val="zh-CN"/>
        </w:rPr>
        <w:t>单位负责人为同一人或者存在直接控股、管理关系的不同供应商，不得参加同一合同项下的政府采购活动。</w:t>
      </w:r>
    </w:p>
    <w:p>
      <w:pPr>
        <w:numPr>
          <w:ilvl w:val="0"/>
          <w:numId w:val="6"/>
        </w:numPr>
        <w:spacing w:line="360" w:lineRule="auto"/>
        <w:ind w:left="560" w:hanging="560"/>
        <w:rPr>
          <w:rFonts w:ascii="宋体"/>
          <w:color w:val="000000" w:themeColor="text1"/>
          <w:sz w:val="24"/>
          <w:szCs w:val="20"/>
          <w:lang w:val="zh-CN"/>
        </w:rPr>
      </w:pPr>
      <w:r>
        <w:rPr>
          <w:rFonts w:hint="eastAsia" w:ascii="宋体" w:hAnsi="宋体"/>
          <w:color w:val="000000" w:themeColor="text1"/>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5"/>
        </w:numPr>
        <w:spacing w:before="40" w:after="40" w:line="360" w:lineRule="auto"/>
        <w:ind w:left="966" w:hanging="966"/>
        <w:jc w:val="left"/>
        <w:rPr>
          <w:rFonts w:ascii="宋体"/>
          <w:bCs w:val="0"/>
          <w:color w:val="000000" w:themeColor="text1"/>
          <w:lang w:val="zh-CN"/>
        </w:rPr>
      </w:pPr>
      <w:bookmarkStart w:id="32" w:name="_Toc272247701"/>
      <w:bookmarkStart w:id="33" w:name="_Toc494561949"/>
      <w:bookmarkStart w:id="34" w:name="_Toc278891598"/>
      <w:bookmarkStart w:id="35" w:name="_Toc19661"/>
      <w:r>
        <w:rPr>
          <w:rFonts w:hint="eastAsia" w:ascii="宋体" w:hAnsi="宋体"/>
          <w:bCs w:val="0"/>
          <w:color w:val="000000" w:themeColor="text1"/>
          <w:lang w:val="zh-CN"/>
        </w:rPr>
        <w:t>适用法律</w:t>
      </w:r>
      <w:bookmarkEnd w:id="32"/>
      <w:bookmarkEnd w:id="33"/>
      <w:bookmarkEnd w:id="34"/>
      <w:bookmarkEnd w:id="35"/>
    </w:p>
    <w:p>
      <w:pPr>
        <w:numPr>
          <w:ilvl w:val="0"/>
          <w:numId w:val="6"/>
        </w:numPr>
        <w:spacing w:line="360" w:lineRule="auto"/>
        <w:ind w:left="560" w:hanging="560"/>
        <w:rPr>
          <w:rFonts w:ascii="宋体"/>
          <w:color w:val="000000" w:themeColor="text1"/>
          <w:sz w:val="24"/>
          <w:szCs w:val="20"/>
          <w:lang w:val="zh-CN"/>
        </w:rPr>
      </w:pPr>
      <w:r>
        <w:rPr>
          <w:rFonts w:hint="eastAsia" w:ascii="宋体" w:hAnsi="宋体"/>
          <w:color w:val="000000" w:themeColor="text1"/>
          <w:sz w:val="24"/>
          <w:szCs w:val="20"/>
          <w:lang w:val="zh-CN"/>
        </w:rPr>
        <w:t>采购人、采购代理机构及投标人的一切招标投标活动均适用《政府采购法》、《政府采购法实施条例》、《政府采购货物和服务招标投标管理办法》及相关法律法规。</w:t>
      </w:r>
    </w:p>
    <w:p>
      <w:pPr>
        <w:numPr>
          <w:ilvl w:val="0"/>
          <w:numId w:val="6"/>
        </w:numPr>
        <w:spacing w:line="360" w:lineRule="auto"/>
        <w:ind w:left="560" w:hanging="560"/>
        <w:rPr>
          <w:rFonts w:ascii="宋体"/>
          <w:color w:val="000000" w:themeColor="text1"/>
          <w:sz w:val="24"/>
          <w:szCs w:val="20"/>
          <w:lang w:val="zh-CN"/>
        </w:rPr>
      </w:pPr>
      <w:r>
        <w:rPr>
          <w:rFonts w:hint="eastAsia" w:ascii="Helvetica" w:hAnsi="Helvetica" w:cs="Helvetica"/>
          <w:color w:val="000000" w:themeColor="text1"/>
          <w:kern w:val="0"/>
          <w:sz w:val="24"/>
          <w:szCs w:val="24"/>
          <w:lang w:val="zh-CN"/>
        </w:rPr>
        <w:t>政府采购合同的履行、违约责任和解决争议的方法等适用《合同法》。</w:t>
      </w:r>
    </w:p>
    <w:p>
      <w:pPr>
        <w:pStyle w:val="3"/>
        <w:numPr>
          <w:ilvl w:val="0"/>
          <w:numId w:val="5"/>
        </w:numPr>
        <w:spacing w:before="40" w:after="40" w:line="360" w:lineRule="auto"/>
        <w:ind w:left="966" w:hanging="966"/>
        <w:jc w:val="left"/>
        <w:rPr>
          <w:rFonts w:ascii="宋体"/>
          <w:bCs w:val="0"/>
          <w:color w:val="000000" w:themeColor="text1"/>
          <w:lang w:val="zh-CN"/>
        </w:rPr>
      </w:pPr>
      <w:bookmarkStart w:id="36" w:name="_Toc278891599"/>
      <w:bookmarkStart w:id="37" w:name="_Toc494561950"/>
      <w:bookmarkStart w:id="38" w:name="_Toc272247702"/>
      <w:bookmarkStart w:id="39" w:name="_Toc1688"/>
      <w:r>
        <w:rPr>
          <w:rFonts w:hint="eastAsia" w:ascii="宋体" w:hAnsi="宋体"/>
          <w:bCs w:val="0"/>
          <w:color w:val="000000" w:themeColor="text1"/>
          <w:lang w:val="zh-CN"/>
        </w:rPr>
        <w:t>招标文件的解释权</w:t>
      </w:r>
      <w:bookmarkEnd w:id="36"/>
      <w:bookmarkEnd w:id="37"/>
      <w:bookmarkEnd w:id="38"/>
      <w:bookmarkEnd w:id="39"/>
    </w:p>
    <w:p>
      <w:pPr>
        <w:numPr>
          <w:ilvl w:val="0"/>
          <w:numId w:val="6"/>
        </w:numPr>
        <w:spacing w:line="360" w:lineRule="auto"/>
        <w:ind w:left="560" w:hanging="560"/>
        <w:rPr>
          <w:color w:val="000000" w:themeColor="text1"/>
        </w:rPr>
      </w:pPr>
      <w:r>
        <w:rPr>
          <w:rFonts w:hint="eastAsia" w:ascii="宋体" w:hAnsi="宋体"/>
          <w:color w:val="000000" w:themeColor="text1"/>
          <w:sz w:val="24"/>
          <w:szCs w:val="20"/>
          <w:lang w:val="zh-CN"/>
        </w:rPr>
        <w:t>招标文件的最终解释权为采购人、采购代理机构所有。</w:t>
      </w:r>
      <w:r>
        <w:rPr>
          <w:color w:val="000000" w:themeColor="text1"/>
        </w:rPr>
        <w:br w:type="page"/>
      </w:r>
    </w:p>
    <w:p>
      <w:pPr>
        <w:pStyle w:val="2"/>
        <w:numPr>
          <w:ilvl w:val="0"/>
          <w:numId w:val="1"/>
        </w:numPr>
      </w:pPr>
      <w:bookmarkStart w:id="40" w:name="_Toc3972"/>
      <w:r>
        <w:rPr>
          <w:rFonts w:hint="eastAsia" w:ascii="黑体" w:hAnsi="黑体" w:eastAsia="黑体"/>
          <w:color w:val="000000" w:themeColor="text1"/>
        </w:rPr>
        <w:t>项目技术、服务及商务要求</w:t>
      </w:r>
      <w:bookmarkEnd w:id="40"/>
    </w:p>
    <w:p>
      <w:pPr>
        <w:spacing w:line="360" w:lineRule="auto"/>
        <w:rPr>
          <w:b/>
          <w:bCs/>
          <w:sz w:val="28"/>
          <w:szCs w:val="28"/>
        </w:rPr>
      </w:pPr>
      <w:r>
        <w:rPr>
          <w:rFonts w:hint="eastAsia" w:ascii="宋体" w:hAnsi="宋体" w:cs="宋体"/>
          <w:b/>
          <w:bCs/>
          <w:color w:val="000000" w:themeColor="text1"/>
          <w:kern w:val="0"/>
          <w:sz w:val="28"/>
          <w:szCs w:val="28"/>
        </w:rPr>
        <w:t>理化生实验室设备采购及安装项目（一包）</w:t>
      </w:r>
    </w:p>
    <w:p>
      <w:pPr>
        <w:spacing w:line="360" w:lineRule="auto"/>
      </w:pPr>
      <w:r>
        <w:rPr>
          <w:rFonts w:hint="eastAsia" w:ascii="宋体" w:hAnsi="宋体"/>
          <w:sz w:val="24"/>
          <w:szCs w:val="24"/>
          <w:lang w:val="zh-CN"/>
        </w:rPr>
        <w:t>说明：招标文件中“★”标注的</w:t>
      </w:r>
      <w:r>
        <w:rPr>
          <w:rFonts w:hint="eastAsia" w:ascii="宋体" w:hAnsi="宋体"/>
          <w:sz w:val="24"/>
          <w:szCs w:val="24"/>
        </w:rPr>
        <w:t>技术、服务及商务要求</w:t>
      </w:r>
      <w:r>
        <w:rPr>
          <w:rFonts w:hint="eastAsia" w:ascii="宋体" w:hAnsi="宋体"/>
          <w:sz w:val="24"/>
          <w:szCs w:val="24"/>
          <w:lang w:val="zh-CN"/>
        </w:rPr>
        <w:t>，应满足或优于。</w:t>
      </w:r>
    </w:p>
    <w:p>
      <w:pPr>
        <w:pStyle w:val="3"/>
        <w:spacing w:before="0" w:after="0" w:line="360" w:lineRule="auto"/>
        <w:jc w:val="left"/>
      </w:pPr>
      <w:bookmarkStart w:id="41" w:name="_Toc338065593"/>
      <w:bookmarkStart w:id="42" w:name="_Toc339378679"/>
      <w:bookmarkStart w:id="43" w:name="_Toc495861533"/>
      <w:bookmarkStart w:id="44" w:name="_Toc494561952"/>
      <w:r>
        <w:rPr>
          <w:rFonts w:hint="eastAsia" w:ascii="宋体" w:hAnsi="宋体"/>
          <w:sz w:val="30"/>
          <w:szCs w:val="30"/>
        </w:rPr>
        <w:t>一</w:t>
      </w:r>
      <w:r>
        <w:rPr>
          <w:rFonts w:hint="eastAsia" w:ascii="宋体" w:hAnsi="宋体" w:cs="宋体"/>
          <w:b w:val="0"/>
          <w:bCs w:val="0"/>
          <w:sz w:val="28"/>
          <w:szCs w:val="28"/>
        </w:rPr>
        <w:t>、</w:t>
      </w:r>
      <w:r>
        <w:rPr>
          <w:rFonts w:hint="eastAsia" w:ascii="宋体" w:hAnsi="宋体" w:cs="宋体"/>
          <w:sz w:val="28"/>
          <w:szCs w:val="28"/>
        </w:rPr>
        <w:t>物理（二间）实验室设备</w:t>
      </w:r>
      <w:r>
        <w:rPr>
          <w:rFonts w:hint="eastAsia" w:ascii="宋体" w:hAnsi="宋体"/>
          <w:sz w:val="28"/>
          <w:szCs w:val="28"/>
        </w:rPr>
        <w:t>采购</w:t>
      </w:r>
      <w:r>
        <w:rPr>
          <w:rFonts w:hint="eastAsia" w:ascii="宋体" w:hAnsi="宋体"/>
          <w:bCs w:val="0"/>
          <w:sz w:val="28"/>
          <w:szCs w:val="28"/>
          <w:lang w:val="zh-CN"/>
        </w:rPr>
        <w:t>清单</w:t>
      </w:r>
      <w:bookmarkEnd w:id="41"/>
      <w:bookmarkEnd w:id="42"/>
      <w:bookmarkEnd w:id="43"/>
      <w:bookmarkEnd w:id="44"/>
      <w:r>
        <w:rPr>
          <w:rFonts w:hint="eastAsia" w:ascii="宋体" w:hAnsi="宋体"/>
          <w:bCs w:val="0"/>
          <w:sz w:val="28"/>
          <w:szCs w:val="28"/>
          <w:lang w:val="zh-CN"/>
        </w:rPr>
        <w:t>、技术要求</w:t>
      </w:r>
    </w:p>
    <w:tbl>
      <w:tblPr>
        <w:tblStyle w:val="21"/>
        <w:tblW w:w="9705" w:type="dxa"/>
        <w:tblInd w:w="-429" w:type="dxa"/>
        <w:tblLayout w:type="fixed"/>
        <w:tblCellMar>
          <w:top w:w="0" w:type="dxa"/>
          <w:left w:w="0" w:type="dxa"/>
          <w:bottom w:w="0" w:type="dxa"/>
          <w:right w:w="0" w:type="dxa"/>
        </w:tblCellMar>
      </w:tblPr>
      <w:tblGrid>
        <w:gridCol w:w="550"/>
        <w:gridCol w:w="1055"/>
        <w:gridCol w:w="1560"/>
        <w:gridCol w:w="5070"/>
        <w:gridCol w:w="690"/>
        <w:gridCol w:w="780"/>
      </w:tblGrid>
      <w:tr>
        <w:tblPrEx>
          <w:tblLayout w:type="fixed"/>
          <w:tblCellMar>
            <w:top w:w="0" w:type="dxa"/>
            <w:left w:w="0" w:type="dxa"/>
            <w:bottom w:w="0" w:type="dxa"/>
            <w:right w:w="0" w:type="dxa"/>
          </w:tblCellMar>
        </w:tblPrEx>
        <w:trPr>
          <w:trHeight w:val="6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货物名称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规格型号或技术参数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数量</w:t>
            </w:r>
          </w:p>
        </w:tc>
      </w:tr>
      <w:tr>
        <w:tblPrEx>
          <w:tblLayout w:type="fixed"/>
          <w:tblCellMar>
            <w:top w:w="0" w:type="dxa"/>
            <w:left w:w="0" w:type="dxa"/>
            <w:bottom w:w="0" w:type="dxa"/>
            <w:right w:w="0" w:type="dxa"/>
          </w:tblCellMar>
        </w:tblPrEx>
        <w:trPr>
          <w:trHeight w:val="339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教师演示台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2400×700×850mm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台面：采用12.7mm厚实芯理化板，边沿加厚至≧25.4mm，表面光滑、平整，整体美观大方。耐酸碱、耐高温、耐腐蚀、不吸水、防火、抗老化、无毒、不褪色、材质坚硬，确保柜身台面不受潮，牢固可靠。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结构：演示台设有储物柜，中间为演示台,设置电源主控系统、多媒体设备（主机、显示器、中控、功放、交换机）的位置预留。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桌身：整体采用0.9mm厚优质冷轧钢板，全部钢制件纳米陶瓷镀膜防锈处理。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滑道：抽屉全部采用优质三节承重式滚珠滑道开合十万次不变形。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铰链：采用优质铰链，开合十万次不变形。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提供教师演示台产品检测报告；                                        </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教师电源</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1、教师端主控，含主机，主机采用铁制机箱，机械抽屉式。控制显示采用液晶真彩触摸屏和数据显示一体化。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2、具备1个220V交流电源输出插座。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3、系统具备漏电保护功能。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4、可对学生机锁定，锁定后学生键盘无效，和教师机保持同步。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5、有自动关机时间设置功能，时间到时自动声音提示。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6、密码控制，本产品由教师输入正确的密码，方可启动实验电源的控制系统（教师可自定密码），对电源控制台进行操作防误操作方便教师合理安排实验。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7、教师主控可实现对学生低压交直流电压的设置和分组控制，学生的锁定，多媒体电源的开关和信号的切换等。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8、多媒体控制功能，具备RJ-45网络、VGA接口、USB接口、以及对投影机和电动幕的控制。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9、通过教师控制界面可设置直流1.5-30V分辨率0.1V,交流1-30V分辨率1V，具备过载保护点智能侦测功能，电流高于过载保护功点则自动保护，电流低于过载保护点则自动恢复至设定值。</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10、直流高压240、300V两档100ma，直流大电流9V/40A,10S自动关断。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11、教师电源的性能指标符合JY/T0374-2004标准。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12、电源主控台与教师演示台一体化。</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tblPrEx>
          <w:tblLayout w:type="fixed"/>
          <w:tblCellMar>
            <w:top w:w="0" w:type="dxa"/>
            <w:left w:w="0" w:type="dxa"/>
            <w:bottom w:w="0" w:type="dxa"/>
            <w:right w:w="0" w:type="dxa"/>
          </w:tblCellMar>
        </w:tblPrEx>
        <w:trPr>
          <w:trHeight w:val="151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教师椅</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椅面、靠背选用优质网布面料，透气性强、无异味。背垫、座垫采用高密度发泡成型棉，回弹性好、不易变形，不老化，依人体坐姿特别设计，符合人体工学。艺术造型扶手，优质圆弓五星脚配活动脚轮，气压调节座位高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学生实验台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1200×600×780mm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200"/>
              <w:jc w:val="left"/>
              <w:textAlignment w:val="center"/>
              <w:rPr>
                <w:rStyle w:val="55"/>
                <w:b/>
                <w:sz w:val="20"/>
                <w:szCs w:val="20"/>
              </w:rPr>
            </w:pPr>
            <w:r>
              <w:rPr>
                <w:rStyle w:val="55"/>
                <w:rFonts w:hint="eastAsia"/>
                <w:b/>
                <w:sz w:val="20"/>
                <w:szCs w:val="20"/>
              </w:rPr>
              <w:t>台面：</w:t>
            </w:r>
            <w:r>
              <w:rPr>
                <w:rFonts w:hint="eastAsia"/>
                <w:b/>
                <w:sz w:val="20"/>
                <w:szCs w:val="20"/>
              </w:rPr>
              <w:t>★</w:t>
            </w:r>
            <w:r>
              <w:rPr>
                <w:rStyle w:val="55"/>
                <w:rFonts w:hint="eastAsia"/>
                <w:b/>
                <w:sz w:val="20"/>
                <w:szCs w:val="20"/>
              </w:rPr>
              <w:t>采用12mm双面膜实芯理化板，1.2米长台面前后端热压一体成型，实验台前端热弯R30半圆弧形，曲面造型，时尚美观，耐酸碱、耐冲击、韧性强等特点。</w:t>
            </w:r>
          </w:p>
          <w:p>
            <w:pPr>
              <w:widowControl/>
              <w:spacing w:after="200"/>
              <w:jc w:val="left"/>
              <w:textAlignment w:val="center"/>
              <w:rPr>
                <w:rStyle w:val="55"/>
                <w:b/>
                <w:sz w:val="20"/>
                <w:szCs w:val="20"/>
              </w:rPr>
            </w:pPr>
            <w:r>
              <w:rPr>
                <w:rStyle w:val="55"/>
                <w:rFonts w:hint="eastAsia"/>
                <w:b/>
                <w:sz w:val="20"/>
                <w:szCs w:val="20"/>
              </w:rPr>
              <w:t>结构：台面为双面膜实芯理化板一体化成型，桌身由桌腿、立柱、前横梁、中横梁、后横梁及加强横支撑件组成。学生位设书包斗、柜体箱。</w:t>
            </w:r>
          </w:p>
          <w:p>
            <w:pPr>
              <w:widowControl/>
              <w:spacing w:after="200"/>
              <w:jc w:val="left"/>
              <w:textAlignment w:val="center"/>
              <w:rPr>
                <w:rStyle w:val="55"/>
                <w:b/>
                <w:sz w:val="20"/>
                <w:szCs w:val="20"/>
              </w:rPr>
            </w:pPr>
            <w:r>
              <w:rPr>
                <w:rStyle w:val="55"/>
                <w:rFonts w:hint="eastAsia"/>
                <w:b/>
                <w:sz w:val="20"/>
                <w:szCs w:val="20"/>
              </w:rPr>
              <w:t>材料：采用优质铝镁合金材料，材料表面经高压静电喷涂环氧树脂防护层，耐酸碱，耐腐蚀处理。</w:t>
            </w:r>
          </w:p>
          <w:p>
            <w:pPr>
              <w:widowControl/>
              <w:spacing w:after="200"/>
              <w:jc w:val="left"/>
              <w:textAlignment w:val="center"/>
              <w:rPr>
                <w:rStyle w:val="55"/>
                <w:b/>
                <w:sz w:val="20"/>
                <w:szCs w:val="20"/>
              </w:rPr>
            </w:pPr>
            <w:r>
              <w:rPr>
                <w:rStyle w:val="55"/>
                <w:rFonts w:hint="eastAsia"/>
                <w:b/>
                <w:sz w:val="20"/>
                <w:szCs w:val="20"/>
              </w:rPr>
              <w:t>桌腿：采用工字型压铸铝一次成型，材料表面经高压静电喷涂环氧树脂防护层，耐酸碱，耐腐蚀处理。</w:t>
            </w:r>
          </w:p>
          <w:p>
            <w:pPr>
              <w:widowControl/>
              <w:spacing w:after="200"/>
              <w:jc w:val="left"/>
              <w:textAlignment w:val="center"/>
              <w:rPr>
                <w:rStyle w:val="55"/>
                <w:b/>
                <w:sz w:val="20"/>
                <w:szCs w:val="20"/>
              </w:rPr>
            </w:pPr>
            <w:r>
              <w:rPr>
                <w:rStyle w:val="55"/>
                <w:rFonts w:hint="eastAsia"/>
                <w:b/>
                <w:sz w:val="20"/>
                <w:szCs w:val="20"/>
              </w:rPr>
              <w:t>上腿：采用长580mm×宽50mm×高140mm。</w:t>
            </w:r>
          </w:p>
          <w:p>
            <w:pPr>
              <w:widowControl/>
              <w:spacing w:after="200"/>
              <w:jc w:val="left"/>
              <w:textAlignment w:val="center"/>
              <w:rPr>
                <w:rStyle w:val="55"/>
                <w:b/>
                <w:sz w:val="20"/>
                <w:szCs w:val="20"/>
              </w:rPr>
            </w:pPr>
            <w:r>
              <w:rPr>
                <w:rStyle w:val="55"/>
                <w:rFonts w:hint="eastAsia"/>
                <w:b/>
                <w:sz w:val="20"/>
                <w:szCs w:val="20"/>
              </w:rPr>
              <w:t>下腿：采用长505mm×宽50mm×高140mm。</w:t>
            </w:r>
          </w:p>
          <w:p>
            <w:pPr>
              <w:widowControl/>
              <w:spacing w:after="200"/>
              <w:jc w:val="left"/>
              <w:textAlignment w:val="center"/>
              <w:rPr>
                <w:rStyle w:val="55"/>
                <w:b/>
                <w:sz w:val="20"/>
                <w:szCs w:val="20"/>
              </w:rPr>
            </w:pPr>
            <w:r>
              <w:rPr>
                <w:rStyle w:val="55"/>
                <w:rFonts w:hint="eastAsia"/>
                <w:b/>
                <w:sz w:val="20"/>
                <w:szCs w:val="20"/>
              </w:rPr>
              <w:t>立柱：采用50mm×100mm，壁厚1.5mm。</w:t>
            </w:r>
          </w:p>
          <w:p>
            <w:pPr>
              <w:widowControl/>
              <w:spacing w:after="200"/>
              <w:jc w:val="left"/>
              <w:textAlignment w:val="center"/>
              <w:rPr>
                <w:rStyle w:val="55"/>
                <w:b/>
                <w:sz w:val="20"/>
                <w:szCs w:val="20"/>
              </w:rPr>
            </w:pPr>
            <w:r>
              <w:rPr>
                <w:rStyle w:val="55"/>
                <w:rFonts w:hint="eastAsia"/>
                <w:b/>
                <w:sz w:val="20"/>
                <w:szCs w:val="20"/>
              </w:rPr>
              <w:t>前横梁：采用43mm×40mm，壁厚1.2mm。</w:t>
            </w:r>
          </w:p>
          <w:p>
            <w:pPr>
              <w:widowControl/>
              <w:spacing w:after="200"/>
              <w:jc w:val="left"/>
              <w:textAlignment w:val="center"/>
              <w:rPr>
                <w:rStyle w:val="55"/>
                <w:b/>
                <w:sz w:val="20"/>
                <w:szCs w:val="20"/>
              </w:rPr>
            </w:pPr>
            <w:r>
              <w:rPr>
                <w:rStyle w:val="55"/>
                <w:rFonts w:hint="eastAsia"/>
                <w:b/>
                <w:sz w:val="20"/>
                <w:szCs w:val="20"/>
              </w:rPr>
              <w:t>中横梁：采用32.4mm×27.2mm，壁厚1.2mm。</w:t>
            </w:r>
          </w:p>
          <w:p>
            <w:pPr>
              <w:widowControl/>
              <w:spacing w:after="200"/>
              <w:jc w:val="left"/>
              <w:textAlignment w:val="center"/>
              <w:rPr>
                <w:rStyle w:val="55"/>
                <w:b/>
                <w:sz w:val="20"/>
                <w:szCs w:val="20"/>
              </w:rPr>
            </w:pPr>
            <w:r>
              <w:rPr>
                <w:rStyle w:val="55"/>
                <w:rFonts w:hint="eastAsia"/>
                <w:b/>
                <w:sz w:val="20"/>
                <w:szCs w:val="20"/>
              </w:rPr>
              <w:t>后横梁：采用50mm×40mm，壁厚1.2mm。</w:t>
            </w:r>
          </w:p>
          <w:p>
            <w:pPr>
              <w:widowControl/>
              <w:spacing w:after="200"/>
              <w:jc w:val="left"/>
              <w:textAlignment w:val="center"/>
              <w:rPr>
                <w:rStyle w:val="55"/>
                <w:b/>
                <w:sz w:val="20"/>
                <w:szCs w:val="20"/>
              </w:rPr>
            </w:pPr>
            <w:r>
              <w:rPr>
                <w:rStyle w:val="55"/>
                <w:rFonts w:hint="eastAsia"/>
                <w:b/>
                <w:sz w:val="20"/>
                <w:szCs w:val="20"/>
              </w:rPr>
              <w:t>加强横支撑件：采用11mm×100mm，壁厚1.2mm。</w:t>
            </w:r>
          </w:p>
          <w:p>
            <w:pPr>
              <w:widowControl/>
              <w:spacing w:after="200"/>
              <w:jc w:val="left"/>
              <w:textAlignment w:val="center"/>
              <w:rPr>
                <w:rStyle w:val="55"/>
                <w:b/>
                <w:sz w:val="20"/>
                <w:szCs w:val="20"/>
              </w:rPr>
            </w:pPr>
            <w:r>
              <w:rPr>
                <w:rStyle w:val="55"/>
                <w:rFonts w:hint="eastAsia"/>
                <w:b/>
                <w:sz w:val="20"/>
                <w:szCs w:val="20"/>
              </w:rPr>
              <w:t>书包斗：壁厚4.6mm，采用环保型ABS工程塑料一次性注塑成型。</w:t>
            </w:r>
          </w:p>
          <w:p>
            <w:pPr>
              <w:widowControl/>
              <w:spacing w:after="200"/>
              <w:jc w:val="left"/>
              <w:textAlignment w:val="center"/>
              <w:rPr>
                <w:rStyle w:val="55"/>
                <w:b/>
                <w:sz w:val="20"/>
                <w:szCs w:val="20"/>
              </w:rPr>
            </w:pPr>
            <w:r>
              <w:rPr>
                <w:rStyle w:val="55"/>
                <w:rFonts w:hint="eastAsia"/>
                <w:b/>
                <w:sz w:val="20"/>
                <w:szCs w:val="20"/>
              </w:rPr>
              <w:t>柜体箱：宽380mm深220mm高730mm，壁厚3.0mm，采用环保型ABS工程塑料一次性注塑成型。</w:t>
            </w:r>
          </w:p>
          <w:p>
            <w:pPr>
              <w:widowControl/>
              <w:spacing w:after="200"/>
              <w:jc w:val="left"/>
              <w:textAlignment w:val="center"/>
              <w:rPr>
                <w:rStyle w:val="55"/>
                <w:b/>
                <w:sz w:val="20"/>
                <w:szCs w:val="20"/>
              </w:rPr>
            </w:pPr>
            <w:r>
              <w:rPr>
                <w:rStyle w:val="55"/>
                <w:rFonts w:hint="eastAsia"/>
                <w:b/>
                <w:sz w:val="20"/>
                <w:szCs w:val="20"/>
              </w:rPr>
              <w:t>可调脚：高强度可调脚，采用10mm螺纹钢，下部采用环保型PP加耐磨纤维质塑料。</w:t>
            </w:r>
          </w:p>
          <w:p>
            <w:pPr>
              <w:widowControl/>
              <w:spacing w:after="200"/>
              <w:jc w:val="left"/>
              <w:textAlignment w:val="center"/>
              <w:rPr>
                <w:rStyle w:val="55"/>
                <w:b/>
                <w:sz w:val="20"/>
                <w:szCs w:val="20"/>
              </w:rPr>
            </w:pPr>
            <w:r>
              <w:rPr>
                <w:rStyle w:val="55"/>
                <w:rFonts w:hint="eastAsia"/>
                <w:b/>
                <w:sz w:val="20"/>
                <w:szCs w:val="20"/>
              </w:rPr>
              <w:t>提供学生实验台检测报告；</w:t>
            </w:r>
          </w:p>
          <w:p>
            <w:pPr>
              <w:widowControl/>
              <w:spacing w:after="200"/>
              <w:jc w:val="left"/>
              <w:textAlignment w:val="center"/>
              <w:rPr>
                <w:rStyle w:val="55"/>
                <w:b/>
                <w:sz w:val="20"/>
                <w:szCs w:val="20"/>
              </w:rPr>
            </w:pPr>
            <w:r>
              <w:rPr>
                <w:rStyle w:val="55"/>
                <w:rFonts w:hint="eastAsia"/>
                <w:b/>
                <w:sz w:val="20"/>
                <w:szCs w:val="20"/>
              </w:rPr>
              <w:t>提供书包斗（ABS）检测报告；</w:t>
            </w:r>
          </w:p>
          <w:p>
            <w:pPr>
              <w:widowControl/>
              <w:spacing w:after="200"/>
              <w:jc w:val="left"/>
              <w:textAlignment w:val="center"/>
              <w:rPr>
                <w:rFonts w:ascii="宋体" w:hAnsi="宋体" w:cs="宋体"/>
                <w:color w:val="000000"/>
                <w:sz w:val="20"/>
                <w:szCs w:val="20"/>
              </w:rPr>
            </w:pPr>
            <w:r>
              <w:rPr>
                <w:rStyle w:val="55"/>
                <w:rFonts w:hint="eastAsia"/>
                <w:b/>
                <w:sz w:val="20"/>
                <w:szCs w:val="20"/>
              </w:rPr>
              <w:t>提供柜体箱（ABS）检测报告；</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r>
      <w:tr>
        <w:tblPrEx>
          <w:tblLayout w:type="fixed"/>
          <w:tblCellMar>
            <w:top w:w="0" w:type="dxa"/>
            <w:left w:w="0" w:type="dxa"/>
            <w:bottom w:w="0" w:type="dxa"/>
            <w:right w:w="0" w:type="dxa"/>
          </w:tblCellMar>
        </w:tblPrEx>
        <w:trPr>
          <w:trHeight w:val="15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学生电源</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桌面电源</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学生电源：放置在桌面上，电源操作面板采用手动或自动翻转方式。面板上设置显示表。中间设交直流电源输出，功能要求为： </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（1）每个学生电源应自带1个独立变压器，学生电源系统既能独立操作，也能被教师台控制。</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（2）通过数字化键盘设置学生电源的低压交流电压值和直流电压值，配有数显电压表，分别显示交流和直流电压值。 </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（3）学生电源的低压交流电压分两档，即1V-18V/3A、19V-30V/2A，分辩率为1V。具备自动过载保护功能，电流高于过载保护点则自动保护、电流低于过载保护点则自动恢复至设定值。 </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（4）学生电源的低压直流电压分两档，即1.5V-16.0V/2A、16.1V-30.0V/1A，分辩率为0.1V。具备自动过载保护功能，电流高于过载保护点则自动保护、电流低于过载保护点则自动恢复至设定值。</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（5）学生电源被教师控制及锁定后，不能自主操作。</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学生电源的性能指标符合JY/T0374-2004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r>
      <w:tr>
        <w:tblPrEx>
          <w:tblLayout w:type="fixed"/>
          <w:tblCellMar>
            <w:top w:w="0" w:type="dxa"/>
            <w:left w:w="0" w:type="dxa"/>
            <w:bottom w:w="0" w:type="dxa"/>
            <w:right w:w="0" w:type="dxa"/>
          </w:tblCellMar>
        </w:tblPrEx>
        <w:trPr>
          <w:trHeight w:val="69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电路系统</w:t>
            </w:r>
          </w:p>
          <w:p>
            <w:pPr>
              <w:widowControl/>
              <w:jc w:val="center"/>
              <w:textAlignment w:val="center"/>
              <w:rPr>
                <w:rFonts w:ascii="宋体" w:hAnsi="宋体" w:cs="宋体"/>
                <w:color w:val="000000"/>
                <w:kern w:val="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sz w:val="20"/>
                <w:szCs w:val="20"/>
              </w:rPr>
            </w:pPr>
            <w:r>
              <w:rPr>
                <w:rFonts w:hint="eastAsia"/>
                <w:sz w:val="20"/>
                <w:szCs w:val="20"/>
              </w:rPr>
              <w:t>Φ20PVC管，教师演示台到每一个学生实验桌。由教师主控,采用国标铜芯线。所有电线穿PVC管埋地，符合国家安全用电要求。</w:t>
            </w:r>
          </w:p>
          <w:p>
            <w:pPr>
              <w:widowControl/>
              <w:jc w:val="left"/>
              <w:textAlignment w:val="center"/>
              <w:rPr>
                <w:rFonts w:ascii="宋体" w:hAnsi="宋体" w:cs="宋体"/>
                <w:color w:val="000000"/>
                <w:kern w:val="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0" w:type="dxa"/>
            <w:bottom w:w="0" w:type="dxa"/>
            <w:right w:w="0" w:type="dxa"/>
          </w:tblCellMar>
        </w:tblPrEx>
        <w:trPr>
          <w:trHeight w:val="110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土建、装修装饰部分</w:t>
            </w:r>
          </w:p>
          <w:p>
            <w:pPr>
              <w:jc w:val="center"/>
              <w:rPr>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sz w:val="20"/>
                <w:szCs w:val="20"/>
              </w:rPr>
            </w:pPr>
            <w:r>
              <w:rPr>
                <w:rFonts w:hint="eastAsia"/>
                <w:sz w:val="20"/>
                <w:szCs w:val="20"/>
              </w:rPr>
              <w:t>实验室地面开挖及恢复：教室长/宽：11500*7000mm，地面开槽/开孔预埋电线、</w:t>
            </w:r>
          </w:p>
          <w:p>
            <w:pPr>
              <w:jc w:val="left"/>
              <w:rPr>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0"/>
                <w:szCs w:val="20"/>
              </w:rPr>
            </w:pPr>
            <w:r>
              <w:rPr>
                <w:rFonts w:hint="eastAsia"/>
                <w:sz w:val="20"/>
                <w:szCs w:val="20"/>
              </w:rPr>
              <w:t>间</w:t>
            </w:r>
          </w:p>
          <w:p>
            <w:pPr>
              <w:widowControl/>
              <w:jc w:val="center"/>
              <w:textAlignment w:val="center"/>
              <w:rPr>
                <w:rFonts w:ascii="宋体" w:hAnsi="宋体" w:cs="宋体"/>
                <w:color w:val="000000"/>
                <w:kern w:val="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0" w:type="dxa"/>
            <w:bottom w:w="0" w:type="dxa"/>
            <w:right w:w="0" w:type="dxa"/>
          </w:tblCellMar>
        </w:tblPrEx>
        <w:trPr>
          <w:trHeight w:val="368"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圆凳（可升降）</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钢制</w:t>
            </w:r>
          </w:p>
        </w:tc>
        <w:tc>
          <w:tcPr>
            <w:tcW w:w="5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sz w:val="20"/>
                <w:szCs w:val="20"/>
              </w:rPr>
            </w:pPr>
            <w:r>
              <w:rPr>
                <w:rFonts w:hint="eastAsia"/>
                <w:sz w:val="20"/>
                <w:szCs w:val="20"/>
              </w:rPr>
              <w:t>规格：Φ320*450/500</w:t>
            </w:r>
            <w:r>
              <w:rPr>
                <w:rFonts w:hint="eastAsia"/>
                <w:sz w:val="20"/>
                <w:szCs w:val="20"/>
              </w:rPr>
              <w:br w:type="textWrapping"/>
            </w:r>
            <w:r>
              <w:rPr>
                <w:rFonts w:hint="eastAsia"/>
                <w:sz w:val="20"/>
                <w:szCs w:val="20"/>
              </w:rPr>
              <w:t>螺旋升降式椭圆形钢架结构4脚凳，①凳脚材质：4个凳脚采用20×40×1.3mm  椭圆形无缝钢管模具一次成型。全圆满焊接完成，结构牢固，经高温粉体烤漆处理，长时间使用也不会产生表面烤漆剥落现象 ②升降高度： 螺旋升降式，升降距离为50mm，最高离地距离为500mm。</w:t>
            </w:r>
            <w:r>
              <w:rPr>
                <w:rFonts w:hint="eastAsia"/>
                <w:color w:val="FF0000"/>
                <w:sz w:val="20"/>
                <w:szCs w:val="20"/>
              </w:rPr>
              <w:t>③带有升降固定把手，防止凳面的晃动</w:t>
            </w:r>
            <w:r>
              <w:rPr>
                <w:rFonts w:hint="eastAsia"/>
                <w:sz w:val="20"/>
                <w:szCs w:val="20"/>
              </w:rPr>
              <w:t>。④凳脚弧度：上部凳脚弧度66°，下部凳脚弧度24°，整体美观大方</w:t>
            </w:r>
            <w:r>
              <w:rPr>
                <w:rFonts w:hint="eastAsia"/>
                <w:color w:val="FF0000"/>
                <w:sz w:val="20"/>
                <w:szCs w:val="20"/>
              </w:rPr>
              <w:t>。⑤托盘：托盘厚度3mm，底托双层加厚，防止单层焊接时出现脱焊现象，增加整体的牢固度</w:t>
            </w:r>
            <w:r>
              <w:rPr>
                <w:rFonts w:hint="eastAsia"/>
                <w:sz w:val="20"/>
                <w:szCs w:val="20"/>
              </w:rPr>
              <w:t>。⑥螺旋升降杆底部设有垫片，防止螺杆升降时整体从中心管子中滑出掉落。</w:t>
            </w:r>
            <w:r>
              <w:rPr>
                <w:rFonts w:hint="eastAsia"/>
                <w:color w:val="FF0000"/>
                <w:sz w:val="20"/>
                <w:szCs w:val="20"/>
              </w:rPr>
              <w:t>⑦凳面材质：凳面直径330厚6mm内镶四个铜扣件稳定牢固不晃动，采用环保型PP改性塑料一次性注塑成型,表面细纹咬花，防滑不发光 。⑨ 凳面四周圆弧处理，中间凳面碟高3mm。⑩凳面底部模具一次成型加强筋连接，镶嵌4枚铜质螺纹，采用不锈钢螺丝与圆型托盘固定。</w:t>
            </w:r>
            <w:r>
              <w:rPr>
                <w:rFonts w:hint="eastAsia"/>
                <w:sz w:val="20"/>
                <w:szCs w:val="20"/>
              </w:rPr>
              <w:t xml:space="preserve">⑾脚垫材质：采用PP加耐磨纤维质塑料，实心倒勾式一体射出成型 。凳面与凳脚留有一定的空间便于凳子挂在挂凳扣上。方便教室的打扫                                                                                                                                                                                                                                                                                                    </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112</w:t>
            </w:r>
          </w:p>
        </w:tc>
      </w:tr>
    </w:tbl>
    <w:p>
      <w:pPr>
        <w:jc w:val="center"/>
        <w:rPr>
          <w:rFonts w:ascii="宋体" w:hAnsi="宋体" w:cs="宋体"/>
          <w:b/>
          <w:bCs/>
          <w:kern w:val="0"/>
          <w:sz w:val="28"/>
          <w:szCs w:val="28"/>
        </w:rPr>
      </w:pPr>
      <w:r>
        <w:rPr>
          <w:rFonts w:hint="eastAsia" w:ascii="宋体" w:hAnsi="宋体" w:cs="宋体"/>
          <w:b/>
          <w:bCs/>
          <w:kern w:val="0"/>
          <w:sz w:val="28"/>
          <w:szCs w:val="28"/>
        </w:rPr>
        <w:t>生物（二间）实验室设备采购清单、技术要求</w:t>
      </w:r>
    </w:p>
    <w:tbl>
      <w:tblPr>
        <w:tblStyle w:val="21"/>
        <w:tblW w:w="9705" w:type="dxa"/>
        <w:tblInd w:w="-429" w:type="dxa"/>
        <w:tblLayout w:type="fixed"/>
        <w:tblCellMar>
          <w:top w:w="0" w:type="dxa"/>
          <w:left w:w="0" w:type="dxa"/>
          <w:bottom w:w="0" w:type="dxa"/>
          <w:right w:w="0" w:type="dxa"/>
        </w:tblCellMar>
      </w:tblPr>
      <w:tblGrid>
        <w:gridCol w:w="586"/>
        <w:gridCol w:w="1276"/>
        <w:gridCol w:w="1303"/>
        <w:gridCol w:w="5070"/>
        <w:gridCol w:w="690"/>
        <w:gridCol w:w="780"/>
      </w:tblGrid>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货物名称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规格型号或技术参数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数量</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教师演示台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2400×700×850mm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台面：采用12.7mm厚实芯理化板，边沿加厚至≧25.4mm，表面光滑、平整，整体美观大方。耐酸碱、耐高温、耐腐蚀、不吸水、防火、抗老化、无毒、不褪色、材质坚硬，确保柜身台面不受潮，牢固可靠。</w:t>
            </w:r>
            <w:r>
              <w:rPr>
                <w:rFonts w:hint="eastAsia"/>
                <w:sz w:val="20"/>
                <w:szCs w:val="20"/>
              </w:rPr>
              <w:br w:type="textWrapping"/>
            </w:r>
            <w:r>
              <w:rPr>
                <w:rFonts w:hint="eastAsia"/>
                <w:sz w:val="20"/>
                <w:szCs w:val="20"/>
              </w:rPr>
              <w:t>结构：演示台设有储物柜，中间为演示台,设置电源主控系统、水嘴、水槽、洗眼器、多媒体设备（主机、显示器、中控、功放、交换机）的位置预留。</w:t>
            </w:r>
            <w:r>
              <w:rPr>
                <w:rFonts w:hint="eastAsia"/>
                <w:sz w:val="20"/>
                <w:szCs w:val="20"/>
              </w:rPr>
              <w:br w:type="textWrapping"/>
            </w:r>
            <w:r>
              <w:rPr>
                <w:rFonts w:hint="eastAsia"/>
                <w:sz w:val="20"/>
                <w:szCs w:val="20"/>
              </w:rPr>
              <w:t>桌身：整体采用0.9mm厚优质冷轧钢板，全部钢制件纳米陶瓷镀膜防锈处理。</w:t>
            </w:r>
            <w:r>
              <w:rPr>
                <w:rFonts w:hint="eastAsia"/>
                <w:sz w:val="20"/>
                <w:szCs w:val="20"/>
              </w:rPr>
              <w:br w:type="textWrapping"/>
            </w:r>
            <w:r>
              <w:rPr>
                <w:rFonts w:hint="eastAsia"/>
                <w:sz w:val="20"/>
                <w:szCs w:val="20"/>
              </w:rPr>
              <w:t>滑道：抽屉全部采用优质三节承重式滚珠滑道开合十万次不变形。</w:t>
            </w:r>
            <w:r>
              <w:rPr>
                <w:rFonts w:hint="eastAsia"/>
                <w:sz w:val="20"/>
                <w:szCs w:val="20"/>
              </w:rPr>
              <w:br w:type="textWrapping"/>
            </w:r>
            <w:r>
              <w:rPr>
                <w:rFonts w:hint="eastAsia"/>
                <w:sz w:val="20"/>
                <w:szCs w:val="20"/>
              </w:rPr>
              <w:t>铰链：采用优质铰链，开合十万次不变形。</w:t>
            </w:r>
            <w:r>
              <w:rPr>
                <w:rFonts w:hint="eastAsia"/>
                <w:sz w:val="20"/>
                <w:szCs w:val="20"/>
              </w:rPr>
              <w:br w:type="textWrapping"/>
            </w:r>
            <w:r>
              <w:rPr>
                <w:rFonts w:hint="eastAsia"/>
                <w:sz w:val="20"/>
                <w:szCs w:val="20"/>
              </w:rPr>
              <w:t xml:space="preserve">提供教师演示台产品检测报告；                                        </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教师电源</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1、教师端主控，含主机，主机采用铁制机箱，机械抽屉式。控制显示采用液晶真彩触摸屏和数据显示一体化。</w:t>
            </w:r>
            <w:r>
              <w:rPr>
                <w:rFonts w:hint="eastAsia"/>
                <w:sz w:val="20"/>
                <w:szCs w:val="20"/>
              </w:rPr>
              <w:br w:type="textWrapping"/>
            </w:r>
            <w:r>
              <w:rPr>
                <w:rFonts w:hint="eastAsia"/>
                <w:sz w:val="20"/>
                <w:szCs w:val="20"/>
              </w:rPr>
              <w:t>2、具备1个220V交流电源输出插座。</w:t>
            </w:r>
            <w:r>
              <w:rPr>
                <w:rFonts w:hint="eastAsia"/>
                <w:sz w:val="20"/>
                <w:szCs w:val="20"/>
              </w:rPr>
              <w:br w:type="textWrapping"/>
            </w:r>
            <w:r>
              <w:rPr>
                <w:rFonts w:hint="eastAsia"/>
                <w:sz w:val="20"/>
                <w:szCs w:val="20"/>
              </w:rPr>
              <w:t>3、系统具备漏电保护功能。</w:t>
            </w:r>
            <w:r>
              <w:rPr>
                <w:rFonts w:hint="eastAsia"/>
                <w:sz w:val="20"/>
                <w:szCs w:val="20"/>
              </w:rPr>
              <w:br w:type="textWrapping"/>
            </w:r>
            <w:r>
              <w:rPr>
                <w:rFonts w:hint="eastAsia"/>
                <w:sz w:val="20"/>
                <w:szCs w:val="20"/>
              </w:rPr>
              <w:t>4、可对学生机锁定，锁定后学生键盘无效，和教师机保持同步。</w:t>
            </w:r>
            <w:r>
              <w:rPr>
                <w:rFonts w:hint="eastAsia"/>
                <w:sz w:val="20"/>
                <w:szCs w:val="20"/>
              </w:rPr>
              <w:br w:type="textWrapping"/>
            </w:r>
            <w:r>
              <w:rPr>
                <w:rFonts w:hint="eastAsia"/>
                <w:sz w:val="20"/>
                <w:szCs w:val="20"/>
              </w:rPr>
              <w:t>5、有自动关机时间设置功能，时间到时自动声音提示。</w:t>
            </w:r>
            <w:r>
              <w:rPr>
                <w:rFonts w:hint="eastAsia"/>
                <w:sz w:val="20"/>
                <w:szCs w:val="20"/>
              </w:rPr>
              <w:br w:type="textWrapping"/>
            </w:r>
            <w:r>
              <w:rPr>
                <w:rFonts w:hint="eastAsia"/>
                <w:sz w:val="20"/>
                <w:szCs w:val="20"/>
              </w:rPr>
              <w:t>6、密码控制，本产品由教师输入正确的密码，方可启动实验电源的控制系统（教师可自定密码），对电源控制台进行操作防误操作方便教师合理安排实验。</w:t>
            </w:r>
            <w:r>
              <w:rPr>
                <w:rFonts w:hint="eastAsia"/>
                <w:sz w:val="20"/>
                <w:szCs w:val="20"/>
              </w:rPr>
              <w:br w:type="textWrapping"/>
            </w:r>
            <w:r>
              <w:rPr>
                <w:rFonts w:hint="eastAsia"/>
                <w:sz w:val="20"/>
                <w:szCs w:val="20"/>
              </w:rPr>
              <w:t>7、教师主控可实现对学生低压交直流电压的设置和分组控制，学生的锁定，多媒体电源的开关和信号的切换等。</w:t>
            </w:r>
            <w:r>
              <w:rPr>
                <w:rFonts w:hint="eastAsia"/>
                <w:sz w:val="20"/>
                <w:szCs w:val="20"/>
              </w:rPr>
              <w:br w:type="textWrapping"/>
            </w:r>
            <w:r>
              <w:rPr>
                <w:rFonts w:hint="eastAsia"/>
                <w:sz w:val="20"/>
                <w:szCs w:val="20"/>
              </w:rPr>
              <w:t>8、多媒体控制功能，具备RJ-45网络、VGA接口、USB接口、以及对投影机和电动幕的控制。</w:t>
            </w:r>
            <w:r>
              <w:rPr>
                <w:rFonts w:hint="eastAsia"/>
                <w:sz w:val="20"/>
                <w:szCs w:val="20"/>
              </w:rPr>
              <w:br w:type="textWrapping"/>
            </w:r>
            <w:r>
              <w:rPr>
                <w:rFonts w:hint="eastAsia"/>
                <w:sz w:val="20"/>
                <w:szCs w:val="20"/>
              </w:rPr>
              <w:t>9、通过教师控制界面可设置直流1.5-30V分辨率0.1V,交流1-30V分辨率1V，具备过载保护点智能侦测功能，电流高于过载保护功点则自动保护，电流低于过载保护点则自动恢复至设定值。</w:t>
            </w:r>
            <w:r>
              <w:rPr>
                <w:rFonts w:hint="eastAsia"/>
                <w:sz w:val="20"/>
                <w:szCs w:val="20"/>
              </w:rPr>
              <w:br w:type="textWrapping"/>
            </w:r>
            <w:r>
              <w:rPr>
                <w:rFonts w:hint="eastAsia"/>
                <w:sz w:val="20"/>
                <w:szCs w:val="20"/>
              </w:rPr>
              <w:t>10、直流高压240、300V两档100ma，直流大电流9V/40A,10S自动关断。</w:t>
            </w:r>
            <w:r>
              <w:rPr>
                <w:rFonts w:hint="eastAsia"/>
                <w:sz w:val="20"/>
                <w:szCs w:val="20"/>
              </w:rPr>
              <w:br w:type="textWrapping"/>
            </w:r>
            <w:r>
              <w:rPr>
                <w:rFonts w:hint="eastAsia"/>
                <w:sz w:val="20"/>
                <w:szCs w:val="20"/>
              </w:rPr>
              <w:t>11、教师电源的性能指标符合JY/T0374-2004标准。</w:t>
            </w:r>
            <w:r>
              <w:rPr>
                <w:rFonts w:hint="eastAsia"/>
                <w:sz w:val="20"/>
                <w:szCs w:val="20"/>
              </w:rPr>
              <w:br w:type="textWrapping"/>
            </w:r>
            <w:r>
              <w:rPr>
                <w:rFonts w:hint="eastAsia"/>
                <w:sz w:val="20"/>
                <w:szCs w:val="20"/>
              </w:rPr>
              <w:t>12、电源主控台与教师演示台一体化。</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17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教师椅</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椅面、靠背选用优质网布面料，透气性强、无异味。背垫、座垫采用高密度发泡成型棉，回弹性好、不易变形，不老化，依人体坐姿特别设计，符合人体工学。艺术造型扶手，优质圆弓五星脚配活动脚轮，气压调节座位高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教师水槽</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550×450×400mm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采用环保型PP材料一次性注塑成型，耐强酸碱及有机溶剂，壁厚6mm，具有防溢出功能。</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教师水嘴</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三联(一高二低）</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 xml:space="preserve">采用实验室专用三联水嘴，陶瓷阀芯90°旋转，铜质表面烤漆处理，增强耐酸碱防腐蚀以及防锈性能，特制鹅颈管可360度旋转。   </w:t>
            </w:r>
            <w:r>
              <w:rPr>
                <w:rFonts w:hint="eastAsia"/>
                <w:sz w:val="20"/>
                <w:szCs w:val="20"/>
              </w:rPr>
              <w:br w:type="textWrapping"/>
            </w:r>
            <w:r>
              <w:rPr>
                <w:rFonts w:hint="eastAsia"/>
                <w:sz w:val="20"/>
                <w:szCs w:val="20"/>
              </w:rPr>
              <w:t xml:space="preserve">提供样品；                             </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洗眼器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材质：主体：采用环保型PP材料一次性注塑成型。工作压力：0.2-0.4MPa，流量：洗眼器喷头：12升/分钟。性能：阀门可自动关闭，密封可靠。喷头：洗眼盆头，出水经缓压处理呈泡沫状水柱，防止冲伤眼睛，设有防尘盖，使用时可自动被水冲开。</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学生实验台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2800×600×780mm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jc w:val="center"/>
              <w:rPr>
                <w:rFonts w:ascii="宋体" w:hAnsi="宋体" w:cs="宋体"/>
                <w:b/>
                <w:sz w:val="20"/>
                <w:szCs w:val="20"/>
              </w:rPr>
            </w:pPr>
            <w:r>
              <w:rPr>
                <w:rFonts w:hint="eastAsia"/>
                <w:b/>
                <w:sz w:val="20"/>
                <w:szCs w:val="20"/>
              </w:rPr>
              <w:t>台面：★采用12mm双面膜实芯理化板，2.8米长台面前后端热压一体成型，时尚美观，耐酸碱、耐冲击、韧性强等特点。</w:t>
            </w:r>
            <w:r>
              <w:rPr>
                <w:rFonts w:hint="eastAsia"/>
                <w:b/>
                <w:sz w:val="20"/>
                <w:szCs w:val="20"/>
              </w:rPr>
              <w:br w:type="textWrapping"/>
            </w:r>
            <w:r>
              <w:rPr>
                <w:rFonts w:hint="eastAsia"/>
                <w:b/>
                <w:sz w:val="20"/>
                <w:szCs w:val="20"/>
              </w:rPr>
              <w:t>结构：台面为双面膜实芯理化板一体化成型，桌身由桌腿、立柱、前横梁、中横梁、后横梁及加强横支撑件组成。中间设水槽柜，学生位设书包斗、柜体箱。</w:t>
            </w:r>
            <w:r>
              <w:rPr>
                <w:rFonts w:hint="eastAsia"/>
                <w:b/>
                <w:sz w:val="20"/>
                <w:szCs w:val="20"/>
              </w:rPr>
              <w:br w:type="textWrapping"/>
            </w:r>
            <w:r>
              <w:rPr>
                <w:rFonts w:hint="eastAsia"/>
                <w:b/>
                <w:sz w:val="20"/>
                <w:szCs w:val="20"/>
              </w:rPr>
              <w:t>材料：采用优质铝镁合金材料，材料表面经高压静电喷涂环氧树脂防护层，耐酸碱，耐腐蚀处理。</w:t>
            </w:r>
            <w:r>
              <w:rPr>
                <w:rFonts w:hint="eastAsia"/>
                <w:b/>
                <w:sz w:val="20"/>
                <w:szCs w:val="20"/>
              </w:rPr>
              <w:br w:type="textWrapping"/>
            </w:r>
            <w:r>
              <w:rPr>
                <w:rFonts w:hint="eastAsia"/>
                <w:b/>
                <w:sz w:val="20"/>
                <w:szCs w:val="20"/>
              </w:rPr>
              <w:t>桌腿：采用工字型压铸铝一次成型，材料表面经高压静电喷涂环氧树脂防护层，耐酸碱，耐腐蚀处理。</w:t>
            </w:r>
            <w:r>
              <w:rPr>
                <w:rFonts w:hint="eastAsia"/>
                <w:b/>
                <w:sz w:val="20"/>
                <w:szCs w:val="20"/>
              </w:rPr>
              <w:br w:type="textWrapping"/>
            </w:r>
            <w:r>
              <w:rPr>
                <w:rFonts w:hint="eastAsia"/>
                <w:b/>
                <w:sz w:val="20"/>
                <w:szCs w:val="20"/>
              </w:rPr>
              <w:t>上腿：采用长570mm×宽55mm×高130mm。</w:t>
            </w:r>
            <w:r>
              <w:rPr>
                <w:rFonts w:hint="eastAsia"/>
                <w:b/>
                <w:sz w:val="20"/>
                <w:szCs w:val="20"/>
              </w:rPr>
              <w:br w:type="textWrapping"/>
            </w:r>
            <w:r>
              <w:rPr>
                <w:rFonts w:hint="eastAsia"/>
                <w:b/>
                <w:sz w:val="20"/>
                <w:szCs w:val="20"/>
              </w:rPr>
              <w:t>下腿：采用长505mm×宽55mm×高130mm。</w:t>
            </w:r>
            <w:r>
              <w:rPr>
                <w:rFonts w:hint="eastAsia"/>
                <w:b/>
                <w:sz w:val="20"/>
                <w:szCs w:val="20"/>
              </w:rPr>
              <w:br w:type="textWrapping"/>
            </w:r>
            <w:r>
              <w:rPr>
                <w:rFonts w:hint="eastAsia"/>
                <w:b/>
                <w:sz w:val="20"/>
                <w:szCs w:val="20"/>
              </w:rPr>
              <w:t>立柱：采用55mm×115mm，壁厚1.5mm。</w:t>
            </w:r>
            <w:r>
              <w:rPr>
                <w:rFonts w:hint="eastAsia"/>
                <w:b/>
                <w:sz w:val="20"/>
                <w:szCs w:val="20"/>
              </w:rPr>
              <w:br w:type="textWrapping"/>
            </w:r>
            <w:r>
              <w:rPr>
                <w:rFonts w:hint="eastAsia"/>
                <w:b/>
                <w:sz w:val="20"/>
                <w:szCs w:val="20"/>
              </w:rPr>
              <w:t>前横梁：采用33mm×30mm，壁厚1.2mm。</w:t>
            </w:r>
            <w:r>
              <w:rPr>
                <w:rFonts w:hint="eastAsia"/>
                <w:b/>
                <w:sz w:val="20"/>
                <w:szCs w:val="20"/>
              </w:rPr>
              <w:br w:type="textWrapping"/>
            </w:r>
            <w:r>
              <w:rPr>
                <w:rFonts w:hint="eastAsia"/>
                <w:b/>
                <w:sz w:val="20"/>
                <w:szCs w:val="20"/>
              </w:rPr>
              <w:t>中横梁：采用33mm×30mm，壁厚1.2mm。</w:t>
            </w:r>
            <w:r>
              <w:rPr>
                <w:rFonts w:hint="eastAsia"/>
                <w:b/>
                <w:sz w:val="20"/>
                <w:szCs w:val="20"/>
              </w:rPr>
              <w:br w:type="textWrapping"/>
            </w:r>
            <w:r>
              <w:rPr>
                <w:rFonts w:hint="eastAsia"/>
                <w:b/>
                <w:sz w:val="20"/>
                <w:szCs w:val="20"/>
              </w:rPr>
              <w:t>后横梁：采用85mm×30mm，壁厚1.2mm，造型截面为后端连续相切弧形，顶端高出台面35mm，可防止台面物体向后滑落、实验用水溢出。</w:t>
            </w:r>
            <w:r>
              <w:rPr>
                <w:rFonts w:hint="eastAsia"/>
                <w:b/>
                <w:sz w:val="20"/>
                <w:szCs w:val="20"/>
              </w:rPr>
              <w:br w:type="textWrapping"/>
            </w:r>
            <w:r>
              <w:rPr>
                <w:rFonts w:hint="eastAsia"/>
                <w:b/>
                <w:sz w:val="20"/>
                <w:szCs w:val="20"/>
              </w:rPr>
              <w:t>加强横支撑件：采用11mm×100mm，壁厚1.2mm。</w:t>
            </w:r>
            <w:r>
              <w:rPr>
                <w:rFonts w:hint="eastAsia"/>
                <w:b/>
                <w:sz w:val="20"/>
                <w:szCs w:val="20"/>
              </w:rPr>
              <w:br w:type="textWrapping"/>
            </w:r>
            <w:r>
              <w:rPr>
                <w:rFonts w:hint="eastAsia"/>
                <w:b/>
                <w:sz w:val="20"/>
                <w:szCs w:val="20"/>
              </w:rPr>
              <w:t>书包斗：壁厚4.6mm，采用环保型ABS工程塑料一次性注塑成型。</w:t>
            </w:r>
            <w:r>
              <w:rPr>
                <w:rFonts w:hint="eastAsia"/>
                <w:b/>
                <w:sz w:val="20"/>
                <w:szCs w:val="20"/>
              </w:rPr>
              <w:br w:type="textWrapping"/>
            </w:r>
            <w:r>
              <w:rPr>
                <w:rFonts w:hint="eastAsia"/>
                <w:b/>
                <w:sz w:val="20"/>
                <w:szCs w:val="20"/>
              </w:rPr>
              <w:t>柜体箱：宽380mm深220mm高730mm，壁厚3.0mm，采用环保型ABS工程塑料一次性注塑成型。</w:t>
            </w:r>
            <w:r>
              <w:rPr>
                <w:rFonts w:hint="eastAsia"/>
                <w:b/>
                <w:sz w:val="20"/>
                <w:szCs w:val="20"/>
              </w:rPr>
              <w:br w:type="textWrapping"/>
            </w:r>
            <w:r>
              <w:rPr>
                <w:rFonts w:hint="eastAsia"/>
                <w:b/>
                <w:sz w:val="20"/>
                <w:szCs w:val="20"/>
              </w:rPr>
              <w:t>可调脚：高强度可调脚，采用10mm螺纹钢，下部采用环保型PP加耐磨纤维质塑料。</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28</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学生电源</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桌斗电源</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学生电源：桌斗中间设置一个固定学生电源盒：</w:t>
            </w:r>
            <w:r>
              <w:rPr>
                <w:rFonts w:hint="eastAsia"/>
                <w:sz w:val="20"/>
                <w:szCs w:val="20"/>
              </w:rPr>
              <w:br w:type="textWrapping"/>
            </w:r>
            <w:r>
              <w:rPr>
                <w:rFonts w:hint="eastAsia"/>
                <w:sz w:val="20"/>
                <w:szCs w:val="20"/>
              </w:rPr>
              <w:t>1、采用轻触摸按键电子控制开关。</w:t>
            </w:r>
            <w:r>
              <w:rPr>
                <w:rFonts w:hint="eastAsia"/>
                <w:sz w:val="20"/>
                <w:szCs w:val="20"/>
              </w:rPr>
              <w:br w:type="textWrapping"/>
            </w:r>
            <w:r>
              <w:rPr>
                <w:rFonts w:hint="eastAsia"/>
                <w:sz w:val="20"/>
                <w:szCs w:val="20"/>
              </w:rPr>
              <w:t>2、标准化图案清晰易懂。</w:t>
            </w:r>
            <w:r>
              <w:rPr>
                <w:rFonts w:hint="eastAsia"/>
                <w:sz w:val="20"/>
                <w:szCs w:val="20"/>
              </w:rPr>
              <w:br w:type="textWrapping"/>
            </w:r>
            <w:r>
              <w:rPr>
                <w:rFonts w:hint="eastAsia"/>
                <w:sz w:val="20"/>
                <w:szCs w:val="20"/>
              </w:rPr>
              <w:t>3、零火供电方式，负载功率高。</w:t>
            </w:r>
            <w:r>
              <w:rPr>
                <w:rFonts w:hint="eastAsia"/>
                <w:sz w:val="20"/>
                <w:szCs w:val="20"/>
              </w:rPr>
              <w:br w:type="textWrapping"/>
            </w:r>
            <w:r>
              <w:rPr>
                <w:rFonts w:hint="eastAsia"/>
                <w:sz w:val="20"/>
                <w:szCs w:val="20"/>
              </w:rPr>
              <w:t>4、具备1个220V交流电源输出插座。</w:t>
            </w:r>
            <w:r>
              <w:rPr>
                <w:rFonts w:hint="eastAsia"/>
                <w:sz w:val="20"/>
                <w:szCs w:val="20"/>
              </w:rPr>
              <w:br w:type="textWrapping"/>
            </w:r>
            <w:r>
              <w:rPr>
                <w:rFonts w:hint="eastAsia"/>
                <w:sz w:val="20"/>
                <w:szCs w:val="20"/>
              </w:rPr>
              <w:t>5、学生电源的性能指标符合JY/T0374-2004标准。</w:t>
            </w:r>
            <w:r>
              <w:rPr>
                <w:rFonts w:hint="eastAsia"/>
                <w:sz w:val="20"/>
                <w:szCs w:val="20"/>
              </w:rPr>
              <w:br w:type="textWrapping"/>
            </w:r>
            <w:r>
              <w:rPr>
                <w:rFonts w:hint="eastAsia"/>
                <w:sz w:val="20"/>
                <w:szCs w:val="20"/>
              </w:rPr>
              <w:t>具有过载保护装置，抗浪涌电流冲击及雷击保护。</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52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圆凳（可升降）</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钢制</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规格：Φ320*450/500</w:t>
            </w:r>
            <w:r>
              <w:rPr>
                <w:rFonts w:hint="eastAsia"/>
                <w:sz w:val="20"/>
                <w:szCs w:val="20"/>
              </w:rPr>
              <w:br w:type="textWrapping"/>
            </w:r>
            <w:r>
              <w:rPr>
                <w:rFonts w:hint="eastAsia"/>
                <w:sz w:val="20"/>
                <w:szCs w:val="20"/>
              </w:rPr>
              <w:t>螺旋升降式椭圆形钢架结构4脚凳，①凳脚材质：4个凳脚采用20×40×1.3mm  椭圆形无缝钢管模具一次成型。全圆满焊接完成，结构牢固，经高温粉体烤漆处理，长时间使用也不会产生表面烤漆剥落现象 ②升降高度： 螺旋升降式，升降距离为50mm，最高离地距离为500mm。③带有升降固定把手，防止凳面的晃动。④凳脚弧度：上部凳脚弧度66°，下部凳脚弧度24°，整体美观大方。⑤</w:t>
            </w:r>
            <w:r>
              <w:rPr>
                <w:rFonts w:hint="eastAsia"/>
                <w:color w:val="FF0000"/>
                <w:sz w:val="20"/>
                <w:szCs w:val="20"/>
              </w:rPr>
              <w:t>托盘：托盘厚度3mm，底托双层加厚，防止单层焊接时出现脱焊现象，增加整体的牢固度。</w:t>
            </w:r>
            <w:r>
              <w:rPr>
                <w:rFonts w:hint="eastAsia"/>
                <w:sz w:val="20"/>
                <w:szCs w:val="20"/>
              </w:rPr>
              <w:t>⑥螺旋升降杆底部设有垫片，防止螺杆升降时整体从中心管子中滑出掉落。</w:t>
            </w:r>
            <w:r>
              <w:rPr>
                <w:rFonts w:hint="eastAsia"/>
                <w:color w:val="FF0000"/>
                <w:sz w:val="20"/>
                <w:szCs w:val="20"/>
              </w:rPr>
              <w:t>⑦凳面材质：凳面直径330厚6mm内镶四个铜扣件稳定牢固不晃动，采用环保型PP改性塑料一次性注塑成型,表面细纹咬花，防滑不发光 。⑨ 凳面四周圆弧处理，中间凳面碟高6mm。⑩凳面底部模具一次成型加强筋连接，镶嵌4枚铜质螺纹，采用不锈钢螺丝与圆型托盘固定</w:t>
            </w:r>
            <w:r>
              <w:rPr>
                <w:rFonts w:hint="eastAsia"/>
                <w:sz w:val="20"/>
                <w:szCs w:val="20"/>
              </w:rPr>
              <w:t xml:space="preserve">。⑾脚垫材质：采用PP加耐磨纤维质塑料，实心倒勾式一体射出成型 。凳面与凳脚留有一定的空间便于凳子挂在挂凳扣上。方便教室的打扫                                                                                                                                                                                                                                                                                                        </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112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学生水槽柜</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500×600×760</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jc w:val="center"/>
              <w:rPr>
                <w:rFonts w:ascii="宋体" w:hAnsi="宋体" w:cs="宋体"/>
                <w:sz w:val="20"/>
                <w:szCs w:val="20"/>
              </w:rPr>
            </w:pPr>
            <w:r>
              <w:rPr>
                <w:rFonts w:hint="eastAsia"/>
                <w:sz w:val="20"/>
                <w:szCs w:val="20"/>
              </w:rPr>
              <w:t>尺寸500*600*840，★台面：采用PP改性材料，塑料注塑模一次性成型，其规格600X500mm，壁厚4.5mm，四周有50mm高挡水沿；水槽内尺寸：380*340*270mm，耐强酸强碱,水槽内右上角带溢水口, 可防止废水回流和堵塞。</w:t>
            </w:r>
            <w:r>
              <w:rPr>
                <w:rFonts w:hint="eastAsia"/>
                <w:sz w:val="20"/>
                <w:szCs w:val="20"/>
              </w:rPr>
              <w:br w:type="textWrapping"/>
            </w:r>
            <w:r>
              <w:rPr>
                <w:rFonts w:hint="eastAsia"/>
                <w:sz w:val="20"/>
                <w:szCs w:val="20"/>
              </w:rPr>
              <w:t>下水系统：采用国际公认的韩国共聚PP材质专用连接管，配有防虹吸，防阻塞装置。</w:t>
            </w:r>
            <w:r>
              <w:rPr>
                <w:rFonts w:hint="eastAsia"/>
                <w:sz w:val="20"/>
                <w:szCs w:val="20"/>
              </w:rPr>
              <w:br w:type="textWrapping"/>
            </w:r>
            <w:r>
              <w:rPr>
                <w:rFonts w:hint="eastAsia"/>
                <w:color w:val="FF0000"/>
                <w:sz w:val="20"/>
                <w:szCs w:val="20"/>
              </w:rPr>
              <w:t>★水柜侧板：600*85*805mm,采用9mmPP材料，塑料注塑模成型和铝合金型材组成，不允许含有三聚氰胺板等板材类构造，表面沙面与光面相结合处理两侧R60mm圆角。</w:t>
            </w:r>
            <w:r>
              <w:rPr>
                <w:rFonts w:hint="eastAsia"/>
                <w:sz w:val="20"/>
                <w:szCs w:val="20"/>
              </w:rPr>
              <w:br w:type="textWrapping"/>
            </w:r>
            <w:r>
              <w:rPr>
                <w:rFonts w:hint="eastAsia"/>
                <w:sz w:val="20"/>
                <w:szCs w:val="20"/>
              </w:rPr>
              <w:t>★水柜门面板：采用优质的8mm厚抗倍特板，配两个自动圆形玻璃门铰链，配以不锈钢镀铬自动拉手。</w:t>
            </w:r>
            <w:r>
              <w:rPr>
                <w:rFonts w:hint="eastAsia"/>
                <w:sz w:val="20"/>
                <w:szCs w:val="20"/>
              </w:rPr>
              <w:br w:type="textWrapping"/>
            </w:r>
            <w:r>
              <w:rPr>
                <w:rFonts w:hint="eastAsia"/>
                <w:sz w:val="20"/>
                <w:szCs w:val="20"/>
              </w:rPr>
              <w:t>箱体支撑固定架：箱体四周采用铝型材，表面经过时效处理和纯环氧树脂塑粉高温固化处理，具有较强的耐蚀性及承重性。</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28</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学生水嘴</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三联(一高二低）</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采用实验室专用三联水嘴，陶瓷阀芯90°旋转，铜质表面烤漆处理，增强耐酸碱防腐蚀以及防锈性能，特制鹅颈管可360度旋转。</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28</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学生台式灯</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1.功率：5W</w:t>
            </w:r>
            <w:r>
              <w:rPr>
                <w:rFonts w:hint="eastAsia"/>
                <w:sz w:val="20"/>
                <w:szCs w:val="20"/>
              </w:rPr>
              <w:br w:type="textWrapping"/>
            </w:r>
            <w:r>
              <w:rPr>
                <w:rFonts w:hint="eastAsia"/>
                <w:sz w:val="20"/>
                <w:szCs w:val="20"/>
              </w:rPr>
              <w:t>2.电压：AC86V-AC220V</w:t>
            </w:r>
            <w:r>
              <w:rPr>
                <w:rFonts w:hint="eastAsia"/>
                <w:sz w:val="20"/>
                <w:szCs w:val="20"/>
              </w:rPr>
              <w:br w:type="textWrapping"/>
            </w:r>
            <w:r>
              <w:rPr>
                <w:rFonts w:hint="eastAsia"/>
                <w:sz w:val="20"/>
                <w:szCs w:val="20"/>
              </w:rPr>
              <w:t>3.尺寸：400×180mm</w:t>
            </w:r>
            <w:r>
              <w:rPr>
                <w:rFonts w:hint="eastAsia"/>
                <w:sz w:val="20"/>
                <w:szCs w:val="20"/>
              </w:rPr>
              <w:br w:type="textWrapping"/>
            </w:r>
            <w:r>
              <w:rPr>
                <w:rFonts w:hint="eastAsia"/>
                <w:sz w:val="20"/>
                <w:szCs w:val="20"/>
              </w:rPr>
              <w:t>4.材质：铝镁合金</w:t>
            </w:r>
            <w:r>
              <w:rPr>
                <w:rFonts w:hint="eastAsia"/>
                <w:sz w:val="20"/>
                <w:szCs w:val="20"/>
              </w:rPr>
              <w:br w:type="textWrapping"/>
            </w:r>
            <w:r>
              <w:rPr>
                <w:rFonts w:hint="eastAsia"/>
                <w:sz w:val="20"/>
                <w:szCs w:val="20"/>
              </w:rPr>
              <w:t>5.灯珠：LED2835</w:t>
            </w:r>
            <w:r>
              <w:rPr>
                <w:rFonts w:hint="eastAsia"/>
                <w:sz w:val="20"/>
                <w:szCs w:val="20"/>
              </w:rPr>
              <w:br w:type="textWrapping"/>
            </w:r>
            <w:r>
              <w:rPr>
                <w:rFonts w:hint="eastAsia"/>
                <w:sz w:val="20"/>
                <w:szCs w:val="20"/>
              </w:rPr>
              <w:t>6.发光颜色：正白光</w:t>
            </w:r>
            <w:r>
              <w:rPr>
                <w:rFonts w:hint="eastAsia"/>
                <w:sz w:val="20"/>
                <w:szCs w:val="20"/>
              </w:rPr>
              <w:br w:type="textWrapping"/>
            </w:r>
            <w:r>
              <w:rPr>
                <w:rFonts w:hint="eastAsia"/>
                <w:sz w:val="20"/>
                <w:szCs w:val="20"/>
              </w:rPr>
              <w:t>7.控制方式：内置高精密恒流驱动电源</w:t>
            </w:r>
            <w:r>
              <w:rPr>
                <w:rFonts w:hint="eastAsia"/>
                <w:sz w:val="20"/>
                <w:szCs w:val="20"/>
              </w:rPr>
              <w:br w:type="textWrapping"/>
            </w:r>
            <w:r>
              <w:rPr>
                <w:rFonts w:hint="eastAsia"/>
                <w:sz w:val="20"/>
                <w:szCs w:val="20"/>
              </w:rPr>
              <w:t>8.投射角度：180度</w:t>
            </w:r>
            <w:r>
              <w:rPr>
                <w:rFonts w:hint="eastAsia"/>
                <w:sz w:val="20"/>
                <w:szCs w:val="20"/>
              </w:rPr>
              <w:br w:type="textWrapping"/>
            </w:r>
            <w:r>
              <w:rPr>
                <w:rFonts w:hint="eastAsia"/>
                <w:sz w:val="20"/>
                <w:szCs w:val="20"/>
              </w:rPr>
              <w:t>9.环境温度：-30-60 ℃</w:t>
            </w:r>
            <w:r>
              <w:rPr>
                <w:rFonts w:hint="eastAsia"/>
                <w:sz w:val="20"/>
                <w:szCs w:val="20"/>
              </w:rPr>
              <w:br w:type="textWrapping"/>
            </w:r>
            <w:r>
              <w:rPr>
                <w:rFonts w:hint="eastAsia"/>
                <w:sz w:val="20"/>
                <w:szCs w:val="20"/>
              </w:rPr>
              <w:t>10.产品特点：绿色节能 安装简易 性能稳定 使用寿命长。</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54</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13</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电路系统</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Φ20PVC管，教师演示台到每一个学生实验桌。由教师主控,采用国标铜芯线。所有电线穿PVC管埋地，符合国家安全用电要求。</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给排水系统</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在教师演示台设有给水控制对全室供水系统进行控制。给水管选用高级Φ25×20mmPP-R热熔管。</w:t>
            </w:r>
            <w:r>
              <w:rPr>
                <w:rFonts w:hint="eastAsia"/>
                <w:sz w:val="20"/>
                <w:szCs w:val="20"/>
              </w:rPr>
              <w:br w:type="textWrapping"/>
            </w:r>
            <w:r>
              <w:rPr>
                <w:rFonts w:hint="eastAsia"/>
                <w:sz w:val="20"/>
                <w:szCs w:val="20"/>
              </w:rPr>
              <w:t>排水管选用Φ75×50mmUPVC塑料管为主要材料，给、排水管采用专用PVC胶连接，均安装在地下，给、排水顺畅，不宜堵塞，便于维护。</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土建、装修装饰部分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静电地板铺设</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全教室标准精钢地板铺设，并进行底下水电标准施工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平米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260</w:t>
            </w:r>
          </w:p>
        </w:tc>
      </w:tr>
    </w:tbl>
    <w:p>
      <w:pPr>
        <w:pStyle w:val="2"/>
        <w:rPr>
          <w:lang w:val="zh-CN"/>
        </w:rPr>
      </w:pPr>
    </w:p>
    <w:p>
      <w:pPr>
        <w:rPr>
          <w:rFonts w:ascii="Times New Roman" w:hAnsi="Times New Roman"/>
          <w:kern w:val="44"/>
          <w:sz w:val="44"/>
          <w:szCs w:val="44"/>
          <w:lang w:val="zh-CN"/>
        </w:rPr>
      </w:pPr>
      <w:r>
        <w:rPr>
          <w:lang w:val="zh-CN"/>
        </w:rPr>
        <w:br w:type="page"/>
      </w:r>
    </w:p>
    <w:p>
      <w:pPr>
        <w:jc w:val="center"/>
        <w:rPr>
          <w:rFonts w:ascii="宋体" w:hAnsi="宋体" w:cs="宋体"/>
          <w:b/>
          <w:bCs/>
          <w:kern w:val="0"/>
          <w:sz w:val="28"/>
          <w:szCs w:val="28"/>
        </w:rPr>
      </w:pPr>
      <w:r>
        <w:rPr>
          <w:rFonts w:hint="eastAsia" w:ascii="宋体" w:hAnsi="宋体" w:cs="宋体"/>
          <w:b/>
          <w:bCs/>
          <w:kern w:val="0"/>
          <w:sz w:val="28"/>
          <w:szCs w:val="28"/>
        </w:rPr>
        <w:t>化学上通风（二间）实验室设备采购清单、技术要求</w:t>
      </w:r>
    </w:p>
    <w:tbl>
      <w:tblPr>
        <w:tblStyle w:val="21"/>
        <w:tblW w:w="9705" w:type="dxa"/>
        <w:tblInd w:w="-429" w:type="dxa"/>
        <w:tblLayout w:type="fixed"/>
        <w:tblCellMar>
          <w:top w:w="0" w:type="dxa"/>
          <w:left w:w="0" w:type="dxa"/>
          <w:bottom w:w="0" w:type="dxa"/>
          <w:right w:w="0" w:type="dxa"/>
        </w:tblCellMar>
      </w:tblPr>
      <w:tblGrid>
        <w:gridCol w:w="586"/>
        <w:gridCol w:w="1276"/>
        <w:gridCol w:w="1303"/>
        <w:gridCol w:w="5070"/>
        <w:gridCol w:w="690"/>
        <w:gridCol w:w="780"/>
      </w:tblGrid>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货物名称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规格型号或技术参数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数量</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教师演示台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2400×700×850mm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台面：采用12.7mm厚实芯理化板，边沿加厚至≧25.4mm，表面光滑、平整，整体美观大方。耐酸碱、耐高温、耐腐蚀、不吸水、防火、抗老化、无毒、不褪色、材质坚硬，确保柜身台面不受潮，牢固可靠。</w:t>
            </w:r>
            <w:r>
              <w:rPr>
                <w:rFonts w:hint="eastAsia"/>
                <w:sz w:val="20"/>
                <w:szCs w:val="20"/>
              </w:rPr>
              <w:br w:type="textWrapping"/>
            </w:r>
            <w:r>
              <w:rPr>
                <w:rFonts w:hint="eastAsia"/>
                <w:sz w:val="20"/>
                <w:szCs w:val="20"/>
              </w:rPr>
              <w:t>结构：演示台设有储物柜，中间为演示台,设置电源主控系统、水嘴、水槽、洗眼器、多媒体设备（主机、显示器、中控、功放、交换机）的位置预留。</w:t>
            </w:r>
            <w:r>
              <w:rPr>
                <w:rFonts w:hint="eastAsia"/>
                <w:sz w:val="20"/>
                <w:szCs w:val="20"/>
              </w:rPr>
              <w:br w:type="textWrapping"/>
            </w:r>
            <w:r>
              <w:rPr>
                <w:rFonts w:hint="eastAsia"/>
                <w:sz w:val="20"/>
                <w:szCs w:val="20"/>
              </w:rPr>
              <w:t>桌身：整体采用0.9mm厚优质冷轧钢板，全部钢制件纳米陶瓷镀膜防锈处理。</w:t>
            </w:r>
            <w:r>
              <w:rPr>
                <w:rFonts w:hint="eastAsia"/>
                <w:sz w:val="20"/>
                <w:szCs w:val="20"/>
              </w:rPr>
              <w:br w:type="textWrapping"/>
            </w:r>
            <w:r>
              <w:rPr>
                <w:rFonts w:hint="eastAsia"/>
                <w:sz w:val="20"/>
                <w:szCs w:val="20"/>
              </w:rPr>
              <w:t>滑道：抽屉全部采用优质三节承重式滚珠滑道开合十万次不变形。</w:t>
            </w:r>
            <w:r>
              <w:rPr>
                <w:rFonts w:hint="eastAsia"/>
                <w:sz w:val="20"/>
                <w:szCs w:val="20"/>
              </w:rPr>
              <w:br w:type="textWrapping"/>
            </w:r>
            <w:r>
              <w:rPr>
                <w:rFonts w:hint="eastAsia"/>
                <w:sz w:val="20"/>
                <w:szCs w:val="20"/>
              </w:rPr>
              <w:t>铰链：采用优质铰链，开合十万次不变形。</w:t>
            </w:r>
            <w:r>
              <w:rPr>
                <w:rFonts w:hint="eastAsia"/>
                <w:sz w:val="20"/>
                <w:szCs w:val="20"/>
              </w:rPr>
              <w:br w:type="textWrapping"/>
            </w:r>
            <w:r>
              <w:rPr>
                <w:rFonts w:hint="eastAsia"/>
                <w:sz w:val="20"/>
                <w:szCs w:val="20"/>
              </w:rPr>
              <w:t xml:space="preserve">提供教师演示台产品检测报告；                                        </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教师电源</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1、教师端主控，含主机，主机采用铁制机箱，机械抽屉式。控制显示采用液晶真彩触摸屏和数据显示一体化。</w:t>
            </w:r>
            <w:r>
              <w:rPr>
                <w:rFonts w:hint="eastAsia"/>
                <w:sz w:val="20"/>
                <w:szCs w:val="20"/>
              </w:rPr>
              <w:br w:type="textWrapping"/>
            </w:r>
            <w:r>
              <w:rPr>
                <w:rFonts w:hint="eastAsia"/>
                <w:sz w:val="20"/>
                <w:szCs w:val="20"/>
              </w:rPr>
              <w:t>2、具备1个220V交流电源输出插座。</w:t>
            </w:r>
            <w:r>
              <w:rPr>
                <w:rFonts w:hint="eastAsia"/>
                <w:sz w:val="20"/>
                <w:szCs w:val="20"/>
              </w:rPr>
              <w:br w:type="textWrapping"/>
            </w:r>
            <w:r>
              <w:rPr>
                <w:rFonts w:hint="eastAsia"/>
                <w:sz w:val="20"/>
                <w:szCs w:val="20"/>
              </w:rPr>
              <w:t>3、系统具备漏电保护功能。</w:t>
            </w:r>
            <w:r>
              <w:rPr>
                <w:rFonts w:hint="eastAsia"/>
                <w:sz w:val="20"/>
                <w:szCs w:val="20"/>
              </w:rPr>
              <w:br w:type="textWrapping"/>
            </w:r>
            <w:r>
              <w:rPr>
                <w:rFonts w:hint="eastAsia"/>
                <w:sz w:val="20"/>
                <w:szCs w:val="20"/>
              </w:rPr>
              <w:t>4、可对学生机锁定，锁定后学生键盘无效，和教师机保持同步。</w:t>
            </w:r>
            <w:r>
              <w:rPr>
                <w:rFonts w:hint="eastAsia"/>
                <w:sz w:val="20"/>
                <w:szCs w:val="20"/>
              </w:rPr>
              <w:br w:type="textWrapping"/>
            </w:r>
            <w:r>
              <w:rPr>
                <w:rFonts w:hint="eastAsia"/>
                <w:sz w:val="20"/>
                <w:szCs w:val="20"/>
              </w:rPr>
              <w:t>5、有自动关机时间设置功能，时间到时自动声音提示。</w:t>
            </w:r>
            <w:r>
              <w:rPr>
                <w:rFonts w:hint="eastAsia"/>
                <w:sz w:val="20"/>
                <w:szCs w:val="20"/>
              </w:rPr>
              <w:br w:type="textWrapping"/>
            </w:r>
            <w:r>
              <w:rPr>
                <w:rFonts w:hint="eastAsia"/>
                <w:sz w:val="20"/>
                <w:szCs w:val="20"/>
              </w:rPr>
              <w:t>6、密码控制，本产品由教师输入正确的密码，方可启动实验电源的控制系统（教师可自定密码），对电源控制台进行操作防误操作方便教师合理安排实验。</w:t>
            </w:r>
            <w:r>
              <w:rPr>
                <w:rFonts w:hint="eastAsia"/>
                <w:sz w:val="20"/>
                <w:szCs w:val="20"/>
              </w:rPr>
              <w:br w:type="textWrapping"/>
            </w:r>
            <w:r>
              <w:rPr>
                <w:rFonts w:hint="eastAsia"/>
                <w:sz w:val="20"/>
                <w:szCs w:val="20"/>
              </w:rPr>
              <w:t>7、教师主控可实现对学生低压交直流电压的设置和分组控制，学生的锁定，多媒体电源的开关和信号的切换等。</w:t>
            </w:r>
            <w:r>
              <w:rPr>
                <w:rFonts w:hint="eastAsia"/>
                <w:sz w:val="20"/>
                <w:szCs w:val="20"/>
              </w:rPr>
              <w:br w:type="textWrapping"/>
            </w:r>
            <w:r>
              <w:rPr>
                <w:rFonts w:hint="eastAsia"/>
                <w:sz w:val="20"/>
                <w:szCs w:val="20"/>
              </w:rPr>
              <w:t>8、多媒体控制功能，具备RJ-45网络、VGA接口、USB接口、以及对投影机和电动幕的控制。</w:t>
            </w:r>
            <w:r>
              <w:rPr>
                <w:rFonts w:hint="eastAsia"/>
                <w:sz w:val="20"/>
                <w:szCs w:val="20"/>
              </w:rPr>
              <w:br w:type="textWrapping"/>
            </w:r>
            <w:r>
              <w:rPr>
                <w:rFonts w:hint="eastAsia"/>
                <w:sz w:val="20"/>
                <w:szCs w:val="20"/>
              </w:rPr>
              <w:t>9、通过教师控制界面可设置直流1.5-30V分辨率0.1V,交流1-30V分辨率1V，具备过载保护点智能侦测功能，电流高于过载保护功点则自动保护，电流低于过载保护点则自动恢复至设定值。</w:t>
            </w:r>
            <w:r>
              <w:rPr>
                <w:rFonts w:hint="eastAsia"/>
                <w:sz w:val="20"/>
                <w:szCs w:val="20"/>
              </w:rPr>
              <w:br w:type="textWrapping"/>
            </w:r>
            <w:r>
              <w:rPr>
                <w:rFonts w:hint="eastAsia"/>
                <w:sz w:val="20"/>
                <w:szCs w:val="20"/>
              </w:rPr>
              <w:t>10、直流高压240、300V两档100ma，直流大电流9V/40A,10S自动关断。</w:t>
            </w:r>
            <w:r>
              <w:rPr>
                <w:rFonts w:hint="eastAsia"/>
                <w:sz w:val="20"/>
                <w:szCs w:val="20"/>
              </w:rPr>
              <w:br w:type="textWrapping"/>
            </w:r>
            <w:r>
              <w:rPr>
                <w:rFonts w:hint="eastAsia"/>
                <w:sz w:val="20"/>
                <w:szCs w:val="20"/>
              </w:rPr>
              <w:t>11、教师电源的性能指标符合JY/T0374-2004标准。</w:t>
            </w:r>
            <w:r>
              <w:rPr>
                <w:rFonts w:hint="eastAsia"/>
                <w:sz w:val="20"/>
                <w:szCs w:val="20"/>
              </w:rPr>
              <w:br w:type="textWrapping"/>
            </w:r>
            <w:r>
              <w:rPr>
                <w:rFonts w:hint="eastAsia"/>
                <w:sz w:val="20"/>
                <w:szCs w:val="20"/>
              </w:rPr>
              <w:t>12、电源主控台与教师演示台一体化。</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17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教师椅</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椅面、靠背选用优质网布面料，透气性强、无异味。背垫、座垫采用高密度发泡成型棉，回弹性好、不易变形，不老化，依人体坐姿特别设计，符合人体工学。艺术造型扶手，优质圆弓五星脚配活动脚轮，气压调节座位高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教师水槽</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550×450×400mm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采用环保型PP材料一次性注塑成型，耐强酸碱及有机溶剂，壁厚6mm，具有防溢出功能。</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教师水嘴</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三联(一高二低）</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 xml:space="preserve">采用实验室专用三联水嘴，陶瓷阀芯90°旋转，铜质表面烤漆处理，增强耐酸碱防腐蚀以及防锈性能，特制鹅颈管可360度旋转。   </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洗眼器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材质：主体：采用环保型PP材料一次性注塑成型。工作压力：0.2-0.4MPa，流量：洗眼器喷头：12升/分钟。性能：阀门可自动关闭，密封可靠。喷头：洗眼盆头，出水经缓压处理呈泡沫状水柱，防止冲伤眼睛，设有防尘盖，使用时可自动被水冲开。</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学生实验台</w:t>
            </w:r>
            <w:r>
              <w:rPr>
                <w:rFonts w:hint="eastAsia"/>
                <w:b/>
                <w:sz w:val="20"/>
                <w:szCs w:val="20"/>
              </w:rPr>
              <w:t>（需提供样品一张）</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2800×600×780mm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jc w:val="center"/>
              <w:rPr>
                <w:rFonts w:ascii="宋体" w:hAnsi="宋体" w:cs="宋体"/>
                <w:sz w:val="20"/>
                <w:szCs w:val="20"/>
              </w:rPr>
            </w:pPr>
            <w:r>
              <w:rPr>
                <w:rFonts w:hint="eastAsia"/>
                <w:b/>
                <w:sz w:val="20"/>
                <w:szCs w:val="20"/>
              </w:rPr>
              <w:t>★台面：采用12mm双面膜实芯理化板，2.8米长台面前后端热压一体成型，时尚美观，耐酸碱、耐冲击、韧性强等特点。</w:t>
            </w:r>
            <w:r>
              <w:rPr>
                <w:rFonts w:hint="eastAsia"/>
                <w:b/>
                <w:sz w:val="20"/>
                <w:szCs w:val="20"/>
              </w:rPr>
              <w:br w:type="textWrapping"/>
            </w:r>
            <w:r>
              <w:rPr>
                <w:rFonts w:hint="eastAsia"/>
                <w:b/>
                <w:sz w:val="20"/>
                <w:szCs w:val="20"/>
              </w:rPr>
              <w:t>结构：台面为双面膜实芯理化板一体化成型，桌身由桌腿、立柱、前横梁、中横梁、后横梁及加强横支撑件组成。中间设水槽柜，学生位设书包斗、柜体箱。</w:t>
            </w:r>
            <w:r>
              <w:rPr>
                <w:rFonts w:hint="eastAsia"/>
                <w:b/>
                <w:sz w:val="20"/>
                <w:szCs w:val="20"/>
              </w:rPr>
              <w:br w:type="textWrapping"/>
            </w:r>
            <w:r>
              <w:rPr>
                <w:rFonts w:hint="eastAsia"/>
                <w:b/>
                <w:sz w:val="20"/>
                <w:szCs w:val="20"/>
              </w:rPr>
              <w:t>材料：采用优质铝镁合金材料，材料表面经高压静电喷涂环氧树脂防护层，耐酸碱，耐腐蚀处理。</w:t>
            </w:r>
            <w:r>
              <w:rPr>
                <w:rFonts w:hint="eastAsia"/>
                <w:b/>
                <w:sz w:val="20"/>
                <w:szCs w:val="20"/>
              </w:rPr>
              <w:br w:type="textWrapping"/>
            </w:r>
            <w:r>
              <w:rPr>
                <w:rFonts w:hint="eastAsia"/>
                <w:b/>
                <w:sz w:val="20"/>
                <w:szCs w:val="20"/>
              </w:rPr>
              <w:t>桌腿：采用工字型压铸铝一次成型，材料表面经高压静电喷涂环氧树脂防护层，耐酸碱，耐腐蚀处理。</w:t>
            </w:r>
            <w:r>
              <w:rPr>
                <w:rFonts w:hint="eastAsia"/>
                <w:b/>
                <w:sz w:val="20"/>
                <w:szCs w:val="20"/>
              </w:rPr>
              <w:br w:type="textWrapping"/>
            </w:r>
            <w:r>
              <w:rPr>
                <w:rFonts w:hint="eastAsia"/>
                <w:b/>
                <w:sz w:val="20"/>
                <w:szCs w:val="20"/>
              </w:rPr>
              <w:t>上腿：采用长570mm×宽57mm×高130mm。</w:t>
            </w:r>
            <w:r>
              <w:rPr>
                <w:rFonts w:hint="eastAsia"/>
                <w:b/>
                <w:sz w:val="20"/>
                <w:szCs w:val="20"/>
              </w:rPr>
              <w:br w:type="textWrapping"/>
            </w:r>
            <w:r>
              <w:rPr>
                <w:rFonts w:hint="eastAsia"/>
                <w:b/>
                <w:sz w:val="20"/>
                <w:szCs w:val="20"/>
              </w:rPr>
              <w:t>下腿：采用长505mm×宽57mm×高130mm。</w:t>
            </w:r>
            <w:r>
              <w:rPr>
                <w:rFonts w:hint="eastAsia"/>
                <w:b/>
                <w:sz w:val="20"/>
                <w:szCs w:val="20"/>
              </w:rPr>
              <w:br w:type="textWrapping"/>
            </w:r>
            <w:r>
              <w:rPr>
                <w:rFonts w:hint="eastAsia"/>
                <w:b/>
                <w:sz w:val="20"/>
                <w:szCs w:val="20"/>
              </w:rPr>
              <w:t>立柱：采用55mm×115mm，壁厚1.5mm。</w:t>
            </w:r>
            <w:r>
              <w:rPr>
                <w:rFonts w:hint="eastAsia"/>
                <w:b/>
                <w:sz w:val="20"/>
                <w:szCs w:val="20"/>
              </w:rPr>
              <w:br w:type="textWrapping"/>
            </w:r>
            <w:r>
              <w:rPr>
                <w:rFonts w:hint="eastAsia"/>
                <w:b/>
                <w:sz w:val="20"/>
                <w:szCs w:val="20"/>
              </w:rPr>
              <w:t>前横梁：采用33mm×30mm，壁厚1.2mm。</w:t>
            </w:r>
            <w:r>
              <w:rPr>
                <w:rFonts w:hint="eastAsia"/>
                <w:b/>
                <w:sz w:val="20"/>
                <w:szCs w:val="20"/>
              </w:rPr>
              <w:br w:type="textWrapping"/>
            </w:r>
            <w:r>
              <w:rPr>
                <w:rFonts w:hint="eastAsia"/>
                <w:b/>
                <w:sz w:val="20"/>
                <w:szCs w:val="20"/>
              </w:rPr>
              <w:t>中横梁：采用33mm×30mm，壁厚1.2mm。</w:t>
            </w:r>
            <w:r>
              <w:rPr>
                <w:rFonts w:hint="eastAsia"/>
                <w:b/>
                <w:sz w:val="20"/>
                <w:szCs w:val="20"/>
              </w:rPr>
              <w:br w:type="textWrapping"/>
            </w:r>
            <w:r>
              <w:rPr>
                <w:rFonts w:hint="eastAsia"/>
                <w:b/>
                <w:sz w:val="20"/>
                <w:szCs w:val="20"/>
              </w:rPr>
              <w:t>后横梁：采用85mm×30mm，壁厚1.2mm，造型截面为后端连续相切弧形，顶端高出台面35mm，可防止台面物体向后滑落、实验用水溢出。</w:t>
            </w:r>
            <w:r>
              <w:rPr>
                <w:rFonts w:hint="eastAsia"/>
                <w:b/>
                <w:sz w:val="20"/>
                <w:szCs w:val="20"/>
              </w:rPr>
              <w:br w:type="textWrapping"/>
            </w:r>
            <w:r>
              <w:rPr>
                <w:rFonts w:hint="eastAsia"/>
                <w:b/>
                <w:sz w:val="20"/>
                <w:szCs w:val="20"/>
              </w:rPr>
              <w:t>加强横支撑件：采用11mm×100mm，壁厚1.2mm。</w:t>
            </w:r>
            <w:r>
              <w:rPr>
                <w:rFonts w:hint="eastAsia"/>
                <w:b/>
                <w:sz w:val="20"/>
                <w:szCs w:val="20"/>
              </w:rPr>
              <w:br w:type="textWrapping"/>
            </w:r>
            <w:r>
              <w:rPr>
                <w:rFonts w:hint="eastAsia"/>
                <w:b/>
                <w:sz w:val="20"/>
                <w:szCs w:val="20"/>
              </w:rPr>
              <w:t>书包斗：壁厚4.6mm，采用环保型ABS工程塑料一次性注塑成型。</w:t>
            </w:r>
            <w:r>
              <w:rPr>
                <w:rFonts w:hint="eastAsia"/>
                <w:b/>
                <w:sz w:val="20"/>
                <w:szCs w:val="20"/>
              </w:rPr>
              <w:br w:type="textWrapping"/>
            </w:r>
            <w:r>
              <w:rPr>
                <w:rFonts w:hint="eastAsia"/>
                <w:b/>
                <w:sz w:val="20"/>
                <w:szCs w:val="20"/>
              </w:rPr>
              <w:t>柜体箱：宽400mm深212mm高753mm，壁厚3.0mm，采用环保型ABS工程塑料一次性注塑成型。</w:t>
            </w:r>
            <w:r>
              <w:rPr>
                <w:rFonts w:hint="eastAsia"/>
                <w:b/>
                <w:sz w:val="20"/>
                <w:szCs w:val="20"/>
              </w:rPr>
              <w:br w:type="textWrapping"/>
            </w:r>
            <w:r>
              <w:rPr>
                <w:rFonts w:hint="eastAsia"/>
                <w:b/>
                <w:sz w:val="20"/>
                <w:szCs w:val="20"/>
              </w:rPr>
              <w:t>可调脚：高强度可调脚，采用10mm螺纹钢，下部采用环保型PP加耐磨纤维质塑料。</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28</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学生电源</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桌斗电源</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学生电源：桌斗中间设置一个固定学生电源盒：</w:t>
            </w:r>
            <w:r>
              <w:rPr>
                <w:rFonts w:hint="eastAsia"/>
                <w:sz w:val="20"/>
                <w:szCs w:val="20"/>
              </w:rPr>
              <w:br w:type="textWrapping"/>
            </w:r>
            <w:r>
              <w:rPr>
                <w:rFonts w:hint="eastAsia"/>
                <w:sz w:val="20"/>
                <w:szCs w:val="20"/>
              </w:rPr>
              <w:t>1、每个学生电源应自带一个独立变压器，既能独立操作，也能被教师控制。</w:t>
            </w:r>
            <w:r>
              <w:rPr>
                <w:rFonts w:hint="eastAsia"/>
                <w:sz w:val="20"/>
                <w:szCs w:val="20"/>
              </w:rPr>
              <w:br w:type="textWrapping"/>
            </w:r>
            <w:r>
              <w:rPr>
                <w:rFonts w:hint="eastAsia"/>
                <w:sz w:val="20"/>
                <w:szCs w:val="20"/>
              </w:rPr>
              <w:t>2、通过教师数字化键盘控制学生电源低压交流电压值和直流电压值，分别显示交直流电压值。</w:t>
            </w:r>
            <w:r>
              <w:rPr>
                <w:rFonts w:hint="eastAsia"/>
                <w:sz w:val="20"/>
                <w:szCs w:val="20"/>
              </w:rPr>
              <w:br w:type="textWrapping"/>
            </w:r>
            <w:r>
              <w:rPr>
                <w:rFonts w:hint="eastAsia"/>
                <w:sz w:val="20"/>
                <w:szCs w:val="20"/>
              </w:rPr>
              <w:t>3、学生电源的低压交流电压分两档，即1V-18V/3A、19V-30V/2A，分辨率1V，具备自动智能侦测过载保护功能，电流高于过载保护点则自动保护、电流低于过载保护点则自动恢复至设定值。</w:t>
            </w:r>
            <w:r>
              <w:rPr>
                <w:rFonts w:hint="eastAsia"/>
                <w:sz w:val="20"/>
                <w:szCs w:val="20"/>
              </w:rPr>
              <w:br w:type="textWrapping"/>
            </w:r>
            <w:r>
              <w:rPr>
                <w:rFonts w:hint="eastAsia"/>
                <w:sz w:val="20"/>
                <w:szCs w:val="20"/>
              </w:rPr>
              <w:t>4、学生电源的低压直流电压分两档，即1.5V-16V/2A、16.1V-30V/1A，分辨率为0.1V。具备自动智能侦测过载保护功能，电流高于过载保护点则自动保护、电流低于过载保护点则自动恢复至设定值。</w:t>
            </w:r>
            <w:r>
              <w:rPr>
                <w:rFonts w:hint="eastAsia"/>
                <w:sz w:val="20"/>
                <w:szCs w:val="20"/>
              </w:rPr>
              <w:br w:type="textWrapping"/>
            </w:r>
            <w:r>
              <w:rPr>
                <w:rFonts w:hint="eastAsia"/>
                <w:sz w:val="20"/>
                <w:szCs w:val="20"/>
              </w:rPr>
              <w:t>5、学生电源被教师控制及锁定后不能自主操作。</w:t>
            </w:r>
            <w:r>
              <w:rPr>
                <w:rFonts w:hint="eastAsia"/>
                <w:sz w:val="20"/>
                <w:szCs w:val="20"/>
              </w:rPr>
              <w:br w:type="textWrapping"/>
            </w:r>
            <w:r>
              <w:rPr>
                <w:rFonts w:hint="eastAsia"/>
                <w:sz w:val="20"/>
                <w:szCs w:val="20"/>
              </w:rPr>
              <w:t>6、学生电源盒含三孔220V安全电源插座。</w:t>
            </w:r>
            <w:r>
              <w:rPr>
                <w:rFonts w:hint="eastAsia"/>
                <w:sz w:val="20"/>
                <w:szCs w:val="20"/>
              </w:rPr>
              <w:br w:type="textWrapping"/>
            </w:r>
            <w:r>
              <w:rPr>
                <w:rFonts w:hint="eastAsia"/>
                <w:sz w:val="20"/>
                <w:szCs w:val="20"/>
              </w:rPr>
              <w:t>过载保护采用数码闪烁提示功能</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52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圆凳（可升降）</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钢制</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规格：Φ320*450/500</w:t>
            </w:r>
            <w:r>
              <w:rPr>
                <w:rFonts w:hint="eastAsia"/>
                <w:sz w:val="20"/>
                <w:szCs w:val="20"/>
              </w:rPr>
              <w:br w:type="textWrapping"/>
            </w:r>
            <w:r>
              <w:rPr>
                <w:rFonts w:hint="eastAsia"/>
                <w:sz w:val="20"/>
                <w:szCs w:val="20"/>
              </w:rPr>
              <w:t>螺旋升降式椭圆形钢架结构4脚凳，①凳脚材质：4个凳脚采用20×40×1.3mm  椭圆形无缝钢管模具一次成型。全圆满焊接完成，结构牢固，经高温粉体烤漆处理，长时间使用也不会产生表面烤漆剥落现象 ②升降高度： 螺旋升降式，升降距离为50mm，最高离地距离为500mm。</w:t>
            </w:r>
            <w:r>
              <w:rPr>
                <w:rFonts w:hint="eastAsia"/>
                <w:color w:val="FF0000"/>
                <w:sz w:val="20"/>
                <w:szCs w:val="20"/>
              </w:rPr>
              <w:t>③带有升降固定把手，防止凳面的晃动</w:t>
            </w:r>
            <w:r>
              <w:rPr>
                <w:rFonts w:hint="eastAsia"/>
                <w:sz w:val="20"/>
                <w:szCs w:val="20"/>
              </w:rPr>
              <w:t>。④凳脚弧度：上部凳脚弧度66°，下部凳脚弧度24°，整体美观大方</w:t>
            </w:r>
            <w:r>
              <w:rPr>
                <w:rFonts w:hint="eastAsia"/>
                <w:color w:val="FF0000"/>
                <w:sz w:val="20"/>
                <w:szCs w:val="20"/>
              </w:rPr>
              <w:t>。⑤托盘：托盘厚度3mm，底托双层加厚，防止单层焊接时出现脱焊现象，增加整体的牢固度</w:t>
            </w:r>
            <w:r>
              <w:rPr>
                <w:rFonts w:hint="eastAsia"/>
                <w:sz w:val="20"/>
                <w:szCs w:val="20"/>
              </w:rPr>
              <w:t>。⑥螺旋升降杆底部设有垫片，防止螺杆升降时整体从中心管子中滑出掉落。</w:t>
            </w:r>
            <w:r>
              <w:rPr>
                <w:rFonts w:hint="eastAsia"/>
                <w:color w:val="FF0000"/>
                <w:sz w:val="20"/>
                <w:szCs w:val="20"/>
              </w:rPr>
              <w:t>⑦凳面材质：凳面直径330厚6mm内镶四个铜扣件稳定牢固不晃动，采用环保型PP改性塑料一次性注塑成型,表面细纹咬花，防滑不发光 。⑨ 凳面四周圆弧处理，中间凳面碟高3mm。⑩凳面底部模具一次成型加强筋连接，镶嵌4枚铜质螺纹，采用不锈钢螺丝与圆型托盘固定。</w:t>
            </w:r>
            <w:r>
              <w:rPr>
                <w:rFonts w:hint="eastAsia"/>
                <w:sz w:val="20"/>
                <w:szCs w:val="20"/>
              </w:rPr>
              <w:t xml:space="preserve">⑾脚垫材质：采用PP加耐磨纤维质塑料，实心倒勾式一体射出成型 。凳面与凳脚留有一定的空间便于凳子挂在挂凳扣上。方便教室的打扫                                                                                                                                                                                                                                                                                                    </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112</w:t>
            </w:r>
          </w:p>
        </w:tc>
      </w:tr>
      <w:tr>
        <w:tblPrEx>
          <w:tblLayout w:type="fixed"/>
          <w:tblCellMar>
            <w:top w:w="0" w:type="dxa"/>
            <w:left w:w="0" w:type="dxa"/>
            <w:bottom w:w="0" w:type="dxa"/>
            <w:right w:w="0" w:type="dxa"/>
          </w:tblCellMar>
        </w:tblPrEx>
        <w:trPr>
          <w:trHeight w:val="5066"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学生水槽柜</w:t>
            </w:r>
            <w:r>
              <w:rPr>
                <w:rFonts w:hint="eastAsia"/>
                <w:b/>
                <w:sz w:val="20"/>
                <w:szCs w:val="20"/>
              </w:rPr>
              <w:t>（需提供样品一个）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500×600×760</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jc w:val="center"/>
              <w:rPr>
                <w:rFonts w:ascii="宋体" w:hAnsi="宋体" w:cs="宋体"/>
                <w:sz w:val="20"/>
                <w:szCs w:val="20"/>
              </w:rPr>
            </w:pPr>
            <w:r>
              <w:rPr>
                <w:rFonts w:hint="eastAsia"/>
                <w:sz w:val="20"/>
                <w:szCs w:val="20"/>
              </w:rPr>
              <w:t>尺寸500*600*840，★台面：采用PP改性材料，塑料注塑模一次性成型，其规格600X500mm，壁厚4.5mm，四周有50mm高挡水沿；水槽内尺寸：380*340*270mm，耐强酸强碱,水槽内右上角带溢水口, 可防止废水回流和堵塞。</w:t>
            </w:r>
            <w:r>
              <w:rPr>
                <w:rFonts w:hint="eastAsia"/>
                <w:sz w:val="20"/>
                <w:szCs w:val="20"/>
              </w:rPr>
              <w:br w:type="textWrapping"/>
            </w:r>
            <w:r>
              <w:rPr>
                <w:rFonts w:hint="eastAsia"/>
                <w:sz w:val="20"/>
                <w:szCs w:val="20"/>
              </w:rPr>
              <w:t>下水系统：采用国际公认的韩国共聚PP材质专用连接管，配有防虹吸，防阻塞装置。</w:t>
            </w:r>
            <w:r>
              <w:rPr>
                <w:rFonts w:hint="eastAsia"/>
                <w:sz w:val="20"/>
                <w:szCs w:val="20"/>
              </w:rPr>
              <w:br w:type="textWrapping"/>
            </w:r>
            <w:r>
              <w:rPr>
                <w:rFonts w:hint="eastAsia"/>
                <w:color w:val="FF0000"/>
                <w:sz w:val="20"/>
                <w:szCs w:val="20"/>
              </w:rPr>
              <w:t>★水柜侧板：600*85*805mm,采用9mmPP材料，塑料注塑模成型和铝合金型材组成，不允许含有三聚氰胺板等板材类构造，表面沙面与光面相结合处理两侧R60mm圆角。</w:t>
            </w:r>
            <w:r>
              <w:rPr>
                <w:rFonts w:hint="eastAsia"/>
                <w:sz w:val="20"/>
                <w:szCs w:val="20"/>
              </w:rPr>
              <w:br w:type="textWrapping"/>
            </w:r>
            <w:r>
              <w:rPr>
                <w:rFonts w:hint="eastAsia"/>
                <w:sz w:val="20"/>
                <w:szCs w:val="20"/>
              </w:rPr>
              <w:t>★水柜门面板：采用优质的8mm厚抗倍特板，配两个自动圆形玻璃门铰链，配以不锈钢镀铬自动拉手。</w:t>
            </w:r>
            <w:r>
              <w:rPr>
                <w:rFonts w:hint="eastAsia"/>
                <w:sz w:val="20"/>
                <w:szCs w:val="20"/>
              </w:rPr>
              <w:br w:type="textWrapping"/>
            </w:r>
            <w:r>
              <w:rPr>
                <w:rFonts w:hint="eastAsia"/>
                <w:sz w:val="20"/>
                <w:szCs w:val="20"/>
              </w:rPr>
              <w:t>箱体支撑固定架：箱体四周采用铝型材，表面经过时效处理和纯环氧树脂塑粉高温固化处理，具有较强的耐蚀性及承重性。</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28</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学生水嘴</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三联(一高二低）</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 xml:space="preserve">采用实验室专用三联水嘴，陶瓷阀芯90°旋转，铜质表面烤漆处理，增强耐酸碱防腐蚀以及防锈性能，特制鹅颈管可360度旋转。   </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28</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风机</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5.5KW</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6号离心式风机，变频调速电机，功率为5.5KW。风量达到6840-12700m3/H，全压1137-785Pa，风量风速控制高速范围大，在风机达到最大功率60%情况以下可实现每小时换气次数20次以上，带补气口装置。排毒效果大于97%，毒气排放时达到环保要求。低于国家GB/6297-1996标准中新污染源大气污染的排放标准。室内噪音小于55dB。与风机配置的通风管道采用化工专用工程塑料优质UPVC制作。                                                   含：1、减震器1套；2、风机雨帽1套；</w:t>
            </w:r>
            <w:r>
              <w:rPr>
                <w:rFonts w:hint="eastAsia"/>
                <w:sz w:val="20"/>
                <w:szCs w:val="20"/>
              </w:rPr>
              <w:br w:type="textWrapping"/>
            </w:r>
            <w:r>
              <w:rPr>
                <w:rFonts w:hint="eastAsia"/>
                <w:sz w:val="20"/>
                <w:szCs w:val="20"/>
              </w:rPr>
              <w:t>3、电机雨帽1套</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13</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变频器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频率50-60HZ</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采用电流无感矢量控制，型号：VCD1000E4T0055B(380V/5.5KW),额定电压：AC-3PH380V</w:t>
            </w:r>
            <w:r>
              <w:rPr>
                <w:rFonts w:hint="eastAsia"/>
                <w:sz w:val="20"/>
                <w:szCs w:val="20"/>
                <w:u w:val="single"/>
              </w:rPr>
              <w:t>+</w:t>
            </w:r>
            <w:r>
              <w:rPr>
                <w:rFonts w:hint="eastAsia"/>
                <w:sz w:val="20"/>
                <w:szCs w:val="20"/>
              </w:rPr>
              <w:t>15%，频率：50-60HZ</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室外消音器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采用化工专用工程塑料UPVC制作，各装载在风机的一端。</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万向吸风罩</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关节：采用高密度PP聚丙烯材质，可360°旋转调节方向，易拆卸、重组及清洗</w:t>
            </w:r>
            <w:r>
              <w:rPr>
                <w:rFonts w:hint="eastAsia"/>
                <w:sz w:val="20"/>
                <w:szCs w:val="20"/>
              </w:rPr>
              <w:br w:type="textWrapping"/>
            </w:r>
            <w:r>
              <w:rPr>
                <w:rFonts w:hint="eastAsia"/>
                <w:sz w:val="20"/>
                <w:szCs w:val="20"/>
              </w:rPr>
              <w:t>关节密封圈：采用不易老化的高密度橡胶</w:t>
            </w:r>
            <w:r>
              <w:rPr>
                <w:rFonts w:hint="eastAsia"/>
                <w:sz w:val="20"/>
                <w:szCs w:val="20"/>
              </w:rPr>
              <w:br w:type="textWrapping"/>
            </w:r>
            <w:r>
              <w:rPr>
                <w:rFonts w:hint="eastAsia"/>
                <w:sz w:val="20"/>
                <w:szCs w:val="20"/>
              </w:rPr>
              <w:t>关节连接杆：304不锈钢连接杆</w:t>
            </w:r>
            <w:r>
              <w:rPr>
                <w:rFonts w:hint="eastAsia"/>
                <w:sz w:val="20"/>
                <w:szCs w:val="20"/>
              </w:rPr>
              <w:br w:type="textWrapping"/>
            </w:r>
            <w:r>
              <w:rPr>
                <w:rFonts w:hint="eastAsia"/>
                <w:sz w:val="20"/>
                <w:szCs w:val="20"/>
              </w:rPr>
              <w:t>关节松紧旋钮：高密度PP材质，内嵌不锈钢轴承，与关节连接杆锁合</w:t>
            </w:r>
            <w:r>
              <w:rPr>
                <w:rFonts w:hint="eastAsia"/>
                <w:sz w:val="20"/>
                <w:szCs w:val="20"/>
              </w:rPr>
              <w:br w:type="textWrapping"/>
            </w:r>
            <w:r>
              <w:rPr>
                <w:rFonts w:hint="eastAsia"/>
                <w:sz w:val="20"/>
                <w:szCs w:val="20"/>
              </w:rPr>
              <w:t>气流调节阀：方便的手动调节外部阀门旋钮，控制进入之气流量</w:t>
            </w:r>
            <w:r>
              <w:rPr>
                <w:rFonts w:hint="eastAsia"/>
                <w:sz w:val="20"/>
                <w:szCs w:val="20"/>
              </w:rPr>
              <w:br w:type="textWrapping"/>
            </w:r>
            <w:r>
              <w:rPr>
                <w:rFonts w:hint="eastAsia"/>
                <w:sz w:val="20"/>
                <w:szCs w:val="20"/>
              </w:rPr>
              <w:t>集气罩：PP白色/红色/透明， PC全透明大罩</w:t>
            </w:r>
            <w:r>
              <w:rPr>
                <w:rFonts w:hint="eastAsia"/>
                <w:sz w:val="20"/>
                <w:szCs w:val="20"/>
              </w:rPr>
              <w:br w:type="textWrapping"/>
            </w:r>
            <w:r>
              <w:rPr>
                <w:rFonts w:hint="eastAsia"/>
                <w:sz w:val="20"/>
                <w:szCs w:val="20"/>
              </w:rPr>
              <w:t>伸缩导管：￠75mm 采用环保型PP材料一次性注塑成型关节颜色：白色/红色独有360°旋转装置</w:t>
            </w:r>
            <w:r>
              <w:rPr>
                <w:rFonts w:hint="eastAsia"/>
                <w:sz w:val="20"/>
                <w:szCs w:val="20"/>
              </w:rPr>
              <w:br w:type="textWrapping"/>
            </w:r>
            <w:r>
              <w:rPr>
                <w:rFonts w:hint="eastAsia"/>
                <w:sz w:val="20"/>
                <w:szCs w:val="20"/>
              </w:rPr>
              <w:t>标配固定底座：非粘接而成，模具注塑一体成型，牢度强，不脱底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54</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16</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通风部分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采用优质UPVC材料，主通风管直径200mm到楼顶，楼板下支通风管直径为160mm，与主通风管相连结。管道为自然弯，尽量减少风的阻力。</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17</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给排水系统</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在教师演示台设有给水控制对全室供水系统进行控制。给水管选用高级Φ25×20mmPP-R热熔管。</w:t>
            </w:r>
            <w:r>
              <w:rPr>
                <w:rFonts w:hint="eastAsia"/>
                <w:sz w:val="20"/>
                <w:szCs w:val="20"/>
              </w:rPr>
              <w:br w:type="textWrapping"/>
            </w:r>
            <w:r>
              <w:rPr>
                <w:rFonts w:hint="eastAsia"/>
                <w:sz w:val="20"/>
                <w:szCs w:val="20"/>
              </w:rPr>
              <w:t>排水管选用Φ75×50mmUPVC塑料管为主要材料，给、排水管采用专用PVC胶连接，均安装在地下，给、排水顺畅，不宜堵塞，便于维护。</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79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有害气体排放处理系统</w:t>
            </w:r>
            <w:r>
              <w:rPr>
                <w:rFonts w:hint="eastAsia"/>
                <w:b/>
                <w:sz w:val="20"/>
                <w:szCs w:val="20"/>
              </w:rPr>
              <w:t>（需提供样品一套）</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环保达标</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19</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土建、装修装饰部分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全教室标准精钢地板铺设，并进行底下水电标准施工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平米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260</w:t>
            </w:r>
          </w:p>
        </w:tc>
      </w:tr>
    </w:tbl>
    <w:p>
      <w:pPr>
        <w:pStyle w:val="2"/>
        <w:jc w:val="center"/>
        <w:rPr>
          <w:rFonts w:ascii="宋体" w:hAnsi="宋体" w:cs="宋体"/>
          <w:kern w:val="0"/>
          <w:sz w:val="28"/>
          <w:szCs w:val="28"/>
        </w:rPr>
      </w:pPr>
      <w:r>
        <w:rPr>
          <w:rFonts w:hint="eastAsia" w:ascii="宋体" w:hAnsi="宋体" w:cs="宋体"/>
          <w:kern w:val="0"/>
          <w:sz w:val="28"/>
          <w:szCs w:val="28"/>
        </w:rPr>
        <w:t>物理准备室仪器室</w:t>
      </w:r>
    </w:p>
    <w:tbl>
      <w:tblPr>
        <w:tblStyle w:val="21"/>
        <w:tblW w:w="9705" w:type="dxa"/>
        <w:tblInd w:w="-429" w:type="dxa"/>
        <w:tblLayout w:type="fixed"/>
        <w:tblCellMar>
          <w:top w:w="0" w:type="dxa"/>
          <w:left w:w="0" w:type="dxa"/>
          <w:bottom w:w="0" w:type="dxa"/>
          <w:right w:w="0" w:type="dxa"/>
        </w:tblCellMar>
      </w:tblPr>
      <w:tblGrid>
        <w:gridCol w:w="586"/>
        <w:gridCol w:w="1276"/>
        <w:gridCol w:w="1303"/>
        <w:gridCol w:w="5070"/>
        <w:gridCol w:w="690"/>
        <w:gridCol w:w="780"/>
      </w:tblGrid>
      <w:tr>
        <w:tblPrEx>
          <w:tblLayout w:type="fixed"/>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货物名称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规格型号或技术参数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数量</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物理普通仪器柜</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900*450*1850mm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1.柜体：全钢结构，</w:t>
            </w:r>
            <w:r>
              <w:rPr>
                <w:rFonts w:hint="eastAsia"/>
                <w:sz w:val="20"/>
                <w:szCs w:val="20"/>
              </w:rPr>
              <w:br w:type="textWrapping"/>
            </w:r>
            <w:r>
              <w:rPr>
                <w:rFonts w:hint="eastAsia"/>
                <w:sz w:val="20"/>
                <w:szCs w:val="20"/>
              </w:rPr>
              <w:t>2. 柜体采用优质钢材1.0mm一级镀锌钢板冲折制作，表面经磷化等防腐处理后再经环氧树脂静电粉末喷涂。</w:t>
            </w:r>
            <w:r>
              <w:rPr>
                <w:rFonts w:hint="eastAsia"/>
                <w:sz w:val="20"/>
                <w:szCs w:val="20"/>
              </w:rPr>
              <w:br w:type="textWrapping"/>
            </w:r>
            <w:r>
              <w:rPr>
                <w:rFonts w:hint="eastAsia"/>
                <w:sz w:val="20"/>
                <w:szCs w:val="20"/>
              </w:rPr>
              <w:t>3. 采用双开门型式，上部为玻璃开门（门框为整板开孔，双层门），下部为钢制开门（双层门）。上柜配置两块钢制层板，下柜配置一块钢制层板，层板高度可以上下调节，一体内嵌式拉手。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42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物理大仪器柜</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1200*500*1850mm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1. 柜体：全钢结构，</w:t>
            </w:r>
            <w:r>
              <w:rPr>
                <w:rFonts w:hint="eastAsia"/>
                <w:color w:val="000000"/>
                <w:szCs w:val="21"/>
              </w:rPr>
              <w:br w:type="textWrapping"/>
            </w:r>
            <w:r>
              <w:rPr>
                <w:rFonts w:hint="eastAsia"/>
                <w:color w:val="000000"/>
                <w:szCs w:val="21"/>
              </w:rPr>
              <w:t>2. 柜体采用优质钢材1.0mm一级镀锌钢板冲折制作，表面经磷化等防腐处理后再经环氧树脂静电粉末喷涂。</w:t>
            </w:r>
            <w:r>
              <w:rPr>
                <w:rFonts w:hint="eastAsia"/>
                <w:color w:val="000000"/>
                <w:szCs w:val="21"/>
              </w:rPr>
              <w:br w:type="textWrapping"/>
            </w:r>
            <w:r>
              <w:rPr>
                <w:rFonts w:hint="eastAsia"/>
                <w:color w:val="000000"/>
                <w:szCs w:val="21"/>
              </w:rPr>
              <w:t>3. 采用双开门型式，上部为玻璃开门（门框为整板开孔，双层门），下部为钢制开门（双层门）。上柜配置两块钢制层板，下柜配置一块钢制层板，层板高度可以上下调节，一体内嵌式拉手。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12</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准备台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2400*1200*800mm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1.台面：采用12.7mm厚双面膜耐腐蚀实芯理化板制作，四角倒R15圆角。耐酸、耐碱、耐高温，坚固耐用，防潮、无细孔、不膨胀、不龟裂、不变形、不导电、便于维护及具有良好的承重性能；</w:t>
            </w:r>
            <w:r>
              <w:rPr>
                <w:rFonts w:hint="eastAsia"/>
                <w:color w:val="000000"/>
                <w:szCs w:val="21"/>
              </w:rPr>
              <w:br w:type="textWrapping"/>
            </w:r>
            <w:r>
              <w:rPr>
                <w:rFonts w:hint="eastAsia"/>
                <w:color w:val="000000"/>
                <w:szCs w:val="21"/>
              </w:rPr>
              <w:t>2.柜体：采用1.0mm优质镀锌钢板，采用那个CO2保护焊焊接，打磨处理，表面经耐酸碱EPOXY粉末烤漆处理（烤漆膜厚度平均值≥70μm），表面硬度附着力、耐腐蚀性符合国家GB/T3668-200X标准；</w:t>
            </w:r>
            <w:r>
              <w:rPr>
                <w:rFonts w:hint="eastAsia"/>
                <w:color w:val="000000"/>
                <w:szCs w:val="21"/>
              </w:rPr>
              <w:br w:type="textWrapping"/>
            </w:r>
            <w:r>
              <w:rPr>
                <w:rFonts w:hint="eastAsia"/>
                <w:color w:val="000000"/>
                <w:szCs w:val="21"/>
              </w:rPr>
              <w:t>3.拉手：采用C型不锈钢拉手，用“强磁”测试拉手的不锈钢材质，造型独特美观；</w:t>
            </w:r>
            <w:r>
              <w:rPr>
                <w:rFonts w:hint="eastAsia"/>
                <w:color w:val="000000"/>
                <w:szCs w:val="21"/>
              </w:rPr>
              <w:br w:type="textWrapping"/>
            </w:r>
            <w:r>
              <w:rPr>
                <w:rFonts w:hint="eastAsia"/>
                <w:color w:val="000000"/>
                <w:szCs w:val="21"/>
              </w:rPr>
              <w:t>4.防撞胶垫：装于抽屉及门板内侧，减缓碰撞，保护柜体；</w:t>
            </w:r>
            <w:r>
              <w:rPr>
                <w:rFonts w:hint="eastAsia"/>
                <w:color w:val="000000"/>
                <w:szCs w:val="21"/>
              </w:rPr>
              <w:br w:type="textWrapping"/>
            </w:r>
            <w:r>
              <w:rPr>
                <w:rFonts w:hint="eastAsia"/>
                <w:color w:val="000000"/>
                <w:szCs w:val="21"/>
              </w:rPr>
              <w:t>5.门板及抽面：采用双层钢板，必须两层组装是设计，保证两层双面都喷涂处理，中间采用隔音材料，保证关门减少噪音；</w:t>
            </w:r>
            <w:r>
              <w:rPr>
                <w:rFonts w:hint="eastAsia"/>
                <w:color w:val="000000"/>
                <w:szCs w:val="21"/>
              </w:rPr>
              <w:br w:type="textWrapping"/>
            </w:r>
            <w:r>
              <w:rPr>
                <w:rFonts w:hint="eastAsia"/>
                <w:color w:val="000000"/>
                <w:szCs w:val="21"/>
              </w:rPr>
              <w:t>6.连接件：采用ABS专用连接组装件；</w:t>
            </w:r>
            <w:r>
              <w:rPr>
                <w:rFonts w:hint="eastAsia"/>
                <w:color w:val="000000"/>
                <w:szCs w:val="21"/>
              </w:rPr>
              <w:br w:type="textWrapping"/>
            </w:r>
            <w:r>
              <w:rPr>
                <w:rFonts w:hint="eastAsia"/>
                <w:color w:val="000000"/>
                <w:szCs w:val="21"/>
              </w:rPr>
              <w:t>7.合页：采用优质不锈钢模具一体成型，强度必须达到一个正常成年座在门上方合页不脱落；</w:t>
            </w:r>
            <w:r>
              <w:rPr>
                <w:rFonts w:hint="eastAsia"/>
                <w:color w:val="000000"/>
                <w:szCs w:val="21"/>
              </w:rPr>
              <w:br w:type="textWrapping"/>
            </w:r>
            <w:r>
              <w:rPr>
                <w:rFonts w:hint="eastAsia"/>
                <w:color w:val="000000"/>
                <w:szCs w:val="21"/>
              </w:rPr>
              <w:t>8.滑轨：三节重型滚珠滑轨，承重性强，滑动性能良好，无噪音；</w:t>
            </w:r>
            <w:r>
              <w:rPr>
                <w:rFonts w:hint="eastAsia"/>
                <w:color w:val="000000"/>
                <w:szCs w:val="21"/>
              </w:rPr>
              <w:br w:type="textWrapping"/>
            </w:r>
            <w:r>
              <w:rPr>
                <w:rFonts w:hint="eastAsia"/>
                <w:color w:val="000000"/>
                <w:szCs w:val="21"/>
              </w:rPr>
              <w:t>9.固定桌脚：采用柜体内置可调ABS调整脚，保证调整脚前后都可以调节高低。</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1</w:t>
            </w:r>
          </w:p>
        </w:tc>
      </w:tr>
    </w:tbl>
    <w:p/>
    <w:p>
      <w:pPr>
        <w:pStyle w:val="2"/>
        <w:jc w:val="center"/>
        <w:rPr>
          <w:rFonts w:ascii="宋体" w:hAnsi="宋体" w:cs="宋体"/>
          <w:kern w:val="0"/>
          <w:sz w:val="28"/>
          <w:szCs w:val="28"/>
        </w:rPr>
      </w:pPr>
      <w:r>
        <w:br w:type="page"/>
      </w:r>
      <w:r>
        <w:rPr>
          <w:rFonts w:hint="eastAsia" w:ascii="宋体" w:hAnsi="宋体" w:cs="宋体"/>
          <w:kern w:val="0"/>
          <w:sz w:val="28"/>
          <w:szCs w:val="28"/>
        </w:rPr>
        <w:t>生物准备室仪器室</w:t>
      </w:r>
    </w:p>
    <w:tbl>
      <w:tblPr>
        <w:tblStyle w:val="21"/>
        <w:tblW w:w="9705" w:type="dxa"/>
        <w:tblInd w:w="-429" w:type="dxa"/>
        <w:tblLayout w:type="fixed"/>
        <w:tblCellMar>
          <w:top w:w="0" w:type="dxa"/>
          <w:left w:w="0" w:type="dxa"/>
          <w:bottom w:w="0" w:type="dxa"/>
          <w:right w:w="0" w:type="dxa"/>
        </w:tblCellMar>
      </w:tblPr>
      <w:tblGrid>
        <w:gridCol w:w="586"/>
        <w:gridCol w:w="1276"/>
        <w:gridCol w:w="1303"/>
        <w:gridCol w:w="5070"/>
        <w:gridCol w:w="690"/>
        <w:gridCol w:w="780"/>
      </w:tblGrid>
      <w:tr>
        <w:tblPrEx>
          <w:tblLayout w:type="fixed"/>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货物名称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规格型号或技术参数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数量</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生物仪器柜</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900*450*1850mm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柜体：全钢结构，</w:t>
            </w:r>
            <w:r>
              <w:rPr>
                <w:rFonts w:hint="eastAsia"/>
                <w:sz w:val="20"/>
                <w:szCs w:val="20"/>
              </w:rPr>
              <w:br w:type="textWrapping"/>
            </w:r>
            <w:r>
              <w:rPr>
                <w:rFonts w:hint="eastAsia"/>
                <w:sz w:val="20"/>
                <w:szCs w:val="20"/>
              </w:rPr>
              <w:t>柜体采用优质钢材1.0mm一级镀锌钢板冲折制作，表面经磷化等防腐处理后再经环氧树脂静电粉末喷涂。</w:t>
            </w:r>
            <w:r>
              <w:rPr>
                <w:rFonts w:hint="eastAsia"/>
                <w:sz w:val="20"/>
                <w:szCs w:val="20"/>
              </w:rPr>
              <w:br w:type="textWrapping"/>
            </w:r>
            <w:r>
              <w:rPr>
                <w:rFonts w:hint="eastAsia"/>
                <w:sz w:val="20"/>
                <w:szCs w:val="20"/>
              </w:rPr>
              <w:t>采用双开门型式，上部为玻璃开门（门框为整板开孔，双层门），下部为钢制开门（双层门）。上柜配置两块钢制层板，下柜配置一块钢制层板，层板高度可以上下调节，一体内嵌式拉手。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1</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生物标本柜</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900*450*1800mm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全钢结构，每个柜体均应为完整独立的落地型全钢制柜体设计。柜体采用优质钢材裸板厚度大于1.0mm一级镀锌钢板冲折制作，表面经磷化等防腐处理后再经环氧树脂静电粉末喷涂。下部为钢制开门（双层门）。上柜为玻璃结构，玻璃层板，玻璃移门。</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24</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准备台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2400*1200*800mm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1.台面：采用12.7mm厚双面膜耐腐蚀实芯理化板制作，四角倒R15圆角。耐酸、耐碱、耐高温，坚固耐用，防潮、无细孔、不膨胀、不龟裂、不变形、不导电、便于维护及具有良好的承重性能；2.柜体：采用1.0mm优质镀锌钢板，采用那个CO2保护焊焊接，打磨处理，表面经耐酸碱EPOXY粉末烤漆处理（烤漆膜厚度平均值≥70μm），表面硬度附着力、耐腐蚀性符合国家GB/T3668-200X标准；3.拉手：采用C型不锈钢拉手，用“强磁”测试拉手的不锈钢材质，造型独特美观；4.防撞胶垫：装于抽屉及门板内侧，减缓碰撞，保护柜体；5.门板及抽面：采用双层钢板，必须两层组装是设计，保证两层双面都喷涂处理，中间采用隔音材料，保证关门减少噪音；6.连接件：采用ABS专用连接组装件；7.合页：采用优质不锈钢模具一体成型，强度必须达到一个正常成年座在门上方合页不脱落；8.滑轨：三节重型滚珠滑轨，承重性强，滑动性能良好，无噪音；9.固定桌脚：采用柜体内置可调ABS调整脚，保证调整脚前后都可以调节高低。带一套中学标准水槽、三联水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1</w:t>
            </w:r>
          </w:p>
        </w:tc>
      </w:tr>
    </w:tbl>
    <w:p/>
    <w:p>
      <w:pPr>
        <w:pStyle w:val="2"/>
        <w:jc w:val="center"/>
        <w:rPr>
          <w:rFonts w:ascii="宋体" w:hAnsi="宋体" w:cs="宋体"/>
          <w:kern w:val="0"/>
          <w:sz w:val="28"/>
          <w:szCs w:val="28"/>
        </w:rPr>
      </w:pPr>
      <w:r>
        <w:br w:type="page"/>
      </w:r>
      <w:r>
        <w:rPr>
          <w:rFonts w:hint="eastAsia" w:ascii="宋体" w:hAnsi="宋体" w:cs="宋体"/>
          <w:kern w:val="0"/>
          <w:sz w:val="28"/>
          <w:szCs w:val="28"/>
        </w:rPr>
        <w:t>化学准备室仪器室</w:t>
      </w:r>
    </w:p>
    <w:tbl>
      <w:tblPr>
        <w:tblStyle w:val="21"/>
        <w:tblW w:w="9705" w:type="dxa"/>
        <w:tblInd w:w="-429" w:type="dxa"/>
        <w:tblLayout w:type="fixed"/>
        <w:tblCellMar>
          <w:top w:w="0" w:type="dxa"/>
          <w:left w:w="0" w:type="dxa"/>
          <w:bottom w:w="0" w:type="dxa"/>
          <w:right w:w="0" w:type="dxa"/>
        </w:tblCellMar>
      </w:tblPr>
      <w:tblGrid>
        <w:gridCol w:w="586"/>
        <w:gridCol w:w="1276"/>
        <w:gridCol w:w="1303"/>
        <w:gridCol w:w="5070"/>
        <w:gridCol w:w="690"/>
        <w:gridCol w:w="780"/>
      </w:tblGrid>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货物名称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规格型号或技术参数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数量</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化学仪器柜</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900*450*1850mm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柜体：全钢结构，</w:t>
            </w:r>
            <w:r>
              <w:rPr>
                <w:rFonts w:hint="eastAsia"/>
                <w:sz w:val="20"/>
                <w:szCs w:val="20"/>
              </w:rPr>
              <w:br w:type="textWrapping"/>
            </w:r>
            <w:r>
              <w:rPr>
                <w:rFonts w:hint="eastAsia"/>
                <w:sz w:val="20"/>
                <w:szCs w:val="20"/>
              </w:rPr>
              <w:t>柜体采用优质钢材1.0mm一级镀锌钢板冲折制作，表面经磷化等防腐处理后再经环氧树脂静电粉末喷涂。</w:t>
            </w:r>
            <w:r>
              <w:rPr>
                <w:rFonts w:hint="eastAsia"/>
                <w:sz w:val="20"/>
                <w:szCs w:val="20"/>
              </w:rPr>
              <w:br w:type="textWrapping"/>
            </w:r>
            <w:r>
              <w:rPr>
                <w:rFonts w:hint="eastAsia"/>
                <w:sz w:val="20"/>
                <w:szCs w:val="20"/>
              </w:rPr>
              <w:t>采用双开门型式，上部为玻璃开门（门框为整板开孔，双层门），下部为钢制开门（双层门）。上柜配置两块钢制层板，下柜配置一块钢制层板，层板高度可以上下调节，一体内嵌式拉手。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sz w:val="20"/>
                <w:szCs w:val="20"/>
              </w:rPr>
              <w:t>1</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化学通风药品柜</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900*450*1800mm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全钢结构，每个柜体均应为完整独立的落地型全钢制柜体设计。柜体采用优质钢材裸板厚度大于1.0mm一级镀锌钢板冲折制作，表面经磷化等防腐处理后再经环氧树脂静电粉末喷涂。下部为钢制开门（双层门）。上柜为玻璃结构，玻璃层板，玻璃移门。柜顶部预留通风接口。</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15</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准备台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2400*1200*800mm</w:t>
            </w: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1.台面：采用12.7mm厚双面膜耐腐蚀实芯理化板制作，四角倒R15圆角。耐酸、耐碱、耐高温，坚固耐用，防潮、无细孔、不膨胀、不龟裂、不变形、不导电、便于维护及具有良好的承重性能；2.柜体：采用1.0mm优质镀锌钢板，采用那个CO2保护焊焊接，打磨处理，表面经耐酸碱EPOXY粉末烤漆处理（烤漆膜厚度平均值≥70μm），表面硬度附着力、耐腐蚀性符合国家GB/T3668-200X标准；3.拉手：采用C型不锈钢拉手，用“强磁”测试拉手的不锈钢材质，造型独特美观；4.防撞胶垫：装于抽屉及门板内侧，减缓碰撞，保护柜体；5.门板及抽面：采用双层钢板，必须两层组装是设计，保证两层双面都喷涂处理，中间采用隔音材料，保证关门减少噪音；6.连接件：采用ABS专用连接组装件；7.合页：采用优质不锈钢模具一体成型，强度必须达到一个正常成年座在门上方合页不脱落；8.滑轨：三节重型滚珠滑轨，承重性强，滑动性能良好，无噪音；9.固定桌脚：采用柜体内置可调ABS调整脚，保证调整脚前后都可以调节高低。带一套中学标准水槽、三联水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1</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化学毒品柜</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Cs w:val="21"/>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 xml:space="preserve">1. 易燃品毒害品储存柜外壳体全部采用1.0mm的镀锌钢板，柜体底座采用1.5mm的镀锌钢板,内外表面经酸洗磷化环氧树脂粉末喷涂，烘热固化处理。 </w:t>
            </w:r>
            <w:r>
              <w:rPr>
                <w:rFonts w:hint="eastAsia"/>
                <w:color w:val="000000"/>
                <w:szCs w:val="21"/>
              </w:rPr>
              <w:br w:type="textWrapping"/>
            </w:r>
            <w:r>
              <w:rPr>
                <w:rFonts w:hint="eastAsia"/>
                <w:color w:val="000000"/>
                <w:szCs w:val="21"/>
              </w:rPr>
              <w:t>2. 易燃品毒害品储存柜体内胆（上，下、左、右及层板阶梯）全部采用5mm抗倍特；柜体的底板中部有Φ35mm漏液孔；柜体底部设h=120mm底座，底部焊接加固方管，可方便用于叉车运输，柜底设有抽屉底部最下层留有可以存放不少于40mm厚黄沙的填埋腔，用于稳定柜体及埋放金属钠、黄磷（白磷）等的易燃物品。</w:t>
            </w:r>
            <w:r>
              <w:rPr>
                <w:rFonts w:hint="eastAsia"/>
                <w:color w:val="000000"/>
                <w:szCs w:val="21"/>
              </w:rPr>
              <w:br w:type="textWrapping"/>
            </w:r>
            <w:r>
              <w:rPr>
                <w:rFonts w:hint="eastAsia"/>
                <w:color w:val="000000"/>
                <w:szCs w:val="21"/>
              </w:rPr>
              <w:t>3. 柜中部有三层阶梯式的PP板，下层搁板外沿镶装有H48.5*W16.5（mm）pp护栏,护栏中间嵌有警示红，警示蓝，警示黄的0.5mm厚度的pvc装饰条，分别区分碱性，酸性药品和易燃品的存放；每个搁板靠背板处有一导流风口，阶梯每层高度50mm。</w:t>
            </w:r>
            <w:r>
              <w:rPr>
                <w:rFonts w:hint="eastAsia"/>
                <w:color w:val="000000"/>
                <w:szCs w:val="21"/>
              </w:rPr>
              <w:br w:type="textWrapping"/>
            </w:r>
            <w:r>
              <w:rPr>
                <w:rFonts w:hint="eastAsia"/>
                <w:color w:val="000000"/>
                <w:szCs w:val="21"/>
              </w:rPr>
              <w:t xml:space="preserve">4. 柜顶部中间有Φ100mm ABS塑料耐腐蚀可调节中央空调旋转出风口，柜顶风口内置一个AC 220V、50HZ、管道风机排风量130m³/h，并设置定时器，温度上下限控制开关环境温度（-40~+60）℃，可设置每天排风温度及智能报警，时控开关置于柜顶右侧，可控制风机每天、每周开启时间及关闭时间方便易燃品毒害品储存柜操作使用。 </w:t>
            </w:r>
            <w:r>
              <w:rPr>
                <w:rFonts w:hint="eastAsia"/>
                <w:color w:val="000000"/>
                <w:szCs w:val="21"/>
              </w:rPr>
              <w:br w:type="textWrapping"/>
            </w:r>
            <w:r>
              <w:rPr>
                <w:rFonts w:hint="eastAsia"/>
                <w:color w:val="000000"/>
                <w:szCs w:val="21"/>
              </w:rPr>
              <w:t>5、带有一把机械天地锁，一把感应锁、左边门带一把电磁，防止不正常打开、锁带有应急钥匙，当右门打开时，报警提醒用户门已经打开模式，及时关好门。</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4</w:t>
            </w:r>
          </w:p>
        </w:tc>
      </w:tr>
      <w:tr>
        <w:tblPrEx>
          <w:tblLayout w:type="fixed"/>
          <w:tblCellMar>
            <w:top w:w="0" w:type="dxa"/>
            <w:left w:w="0" w:type="dxa"/>
            <w:bottom w:w="0" w:type="dxa"/>
            <w:right w:w="0"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药品室通风系统</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Cs w:val="21"/>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color w:val="000000"/>
                <w:szCs w:val="21"/>
              </w:rPr>
              <w:t>配置4kw离心排风机、控制电箱。采用防腐蚀PP材质，整体焊接成型，具有整体结构性能好、严密性高等优点。同时具有耐酸碱性能。</w:t>
            </w:r>
            <w:r>
              <w:rPr>
                <w:rFonts w:hint="eastAsia"/>
                <w:color w:val="000000"/>
                <w:szCs w:val="21"/>
              </w:rPr>
              <w:br w:type="textWrapping"/>
            </w:r>
            <w:r>
              <w:rPr>
                <w:rFonts w:hint="eastAsia"/>
                <w:color w:val="000000"/>
                <w:szCs w:val="21"/>
              </w:rPr>
              <w:t>规格：主风管直径200mm，支风管直径110mm。管卡采用碳钢制作，表面经镀铬处理，具有耐腐蚀、防火、防潮等功能。</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1</w:t>
            </w:r>
          </w:p>
        </w:tc>
      </w:tr>
    </w:tbl>
    <w:p>
      <w:pPr>
        <w:pStyle w:val="2"/>
      </w:pPr>
    </w:p>
    <w:p>
      <w:pPr>
        <w:widowControl/>
        <w:jc w:val="left"/>
      </w:pPr>
      <w:r>
        <w:br w:type="page"/>
      </w:r>
    </w:p>
    <w:tbl>
      <w:tblPr>
        <w:tblStyle w:val="21"/>
        <w:tblW w:w="9426"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548"/>
        <w:gridCol w:w="153"/>
        <w:gridCol w:w="1734"/>
        <w:gridCol w:w="523"/>
        <w:gridCol w:w="3693"/>
        <w:gridCol w:w="1095"/>
        <w:gridCol w:w="757"/>
        <w:gridCol w:w="338"/>
        <w:gridCol w:w="90"/>
        <w:gridCol w:w="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3"/>
          <w:wBefore w:w="315" w:type="dxa"/>
          <w:wAfter w:w="608" w:type="dxa"/>
          <w:trHeight w:val="399" w:hRule="atLeast"/>
        </w:trPr>
        <w:tc>
          <w:tcPr>
            <w:tcW w:w="8503" w:type="dxa"/>
            <w:gridSpan w:val="7"/>
            <w:tcBorders>
              <w:left w:val="nil"/>
              <w:bottom w:val="nil"/>
              <w:right w:val="nil"/>
            </w:tcBorders>
            <w:shd w:val="clear" w:color="auto" w:fill="auto"/>
            <w:vAlign w:val="center"/>
          </w:tcPr>
          <w:p>
            <w:pPr>
              <w:jc w:val="center"/>
              <w:rPr>
                <w:rFonts w:ascii="宋体" w:hAnsi="宋体" w:cs="宋体"/>
                <w:szCs w:val="21"/>
              </w:rPr>
            </w:pPr>
            <w:r>
              <w:rPr>
                <w:rFonts w:hint="eastAsia" w:ascii="宋体" w:hAnsi="宋体" w:cs="宋体"/>
                <w:szCs w:val="21"/>
              </w:rPr>
              <w:t>高中化学教学仪器配备要求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编号</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名    称</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规格  功能</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单位</w:t>
            </w: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数量</w:t>
            </w:r>
          </w:p>
        </w:tc>
        <w:tc>
          <w:tcPr>
            <w:tcW w:w="270" w:type="dxa"/>
            <w:gridSpan w:val="2"/>
            <w:vMerge w:val="restart"/>
            <w:tcBorders>
              <w:top w:val="nil"/>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Cs w:val="21"/>
              </w:rPr>
            </w:pPr>
          </w:p>
        </w:tc>
        <w:tc>
          <w:tcPr>
            <w:tcW w:w="109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通用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视听</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书写投影器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250mm×250mm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视频展示台</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≥85万像素，≥600TV线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00006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投影机</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光通量≥3000lm，分辨率≥1024×768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00007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银幕</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幅</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00008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彩色电视机</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CRT或背投或平板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影碟机</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照相机</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数码型，≥800万像素，2G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00013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摄像机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数码型，≥200万像素，硬盘或闪存存储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计算机</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01001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计算机</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多媒体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01002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计算机数据采集处理系统</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黑体" w:hAnsi="宋体" w:eastAsia="黑体" w:cs="黑体"/>
                <w:color w:val="000000"/>
                <w:szCs w:val="21"/>
              </w:rPr>
            </w:pPr>
            <w:r>
              <w:rPr>
                <w:rFonts w:hint="eastAsia" w:ascii="黑体" w:hAnsi="宋体" w:eastAsia="黑体" w:cs="黑体"/>
                <w:color w:val="000000"/>
                <w:kern w:val="0"/>
                <w:szCs w:val="21"/>
              </w:rPr>
              <w:t>开放式软件系统，智能接口，在线系统或有离线系统，可配套专用实验仪器，温度传感器、pH值传感器、电流传感器、压强传感器等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扫描仪</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A4幅面，USB2.0，不低于2000×4800(dpi)</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一般</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钢制黑板</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900mm×600mm，双面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打孔器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四件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打孔夹板</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02004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打孔器刮刀</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手摇钻孔器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02006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电动钻孔器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仪器车</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至少两层，上层带护栏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辆</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02070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电动离心机</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0r/min～3000r/min，10mL×6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02071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离心沉淀器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手摇式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02073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磁力加热搅拌器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02074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金属酒精灯</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02075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酒精喷灯</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座式，铜制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02077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电加热器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密封式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02081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蒸馏水器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02081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蒸馏水器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restart"/>
            <w:tcBorders>
              <w:top w:val="nil"/>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02083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列管式烘干器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02084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烘干箱</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02086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电冰箱</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≥150L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02094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水浴锅</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铜制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02100</w:t>
            </w:r>
          </w:p>
        </w:tc>
        <w:tc>
          <w:tcPr>
            <w:tcW w:w="225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保温漏斗</w:t>
            </w:r>
          </w:p>
        </w:tc>
        <w:tc>
          <w:tcPr>
            <w:tcW w:w="3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铜制</w:t>
            </w:r>
          </w:p>
        </w:tc>
        <w:tc>
          <w:tcPr>
            <w:tcW w:w="10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注射器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5mL，塑料</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注射器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50mL，塑料</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125</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注射器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70" w:type="dxa"/>
            <w:gridSpan w:val="2"/>
            <w:vMerge w:val="continue"/>
            <w:tcBorders>
              <w:left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塑料洗瓶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02122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试剂瓶托盘</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实验用品提篮</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可固定试管、试剂瓶等仪器，底部有抽屉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02124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塑料水槽</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250mm×180mm×100mm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02125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碘升华凝华管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密封式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02127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聚光小手电筒</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方座支架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万能夹</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三脚架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泥三角</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试管架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漏斗架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03010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FF0000"/>
                <w:szCs w:val="21"/>
              </w:rPr>
            </w:pPr>
            <w:r>
              <w:rPr>
                <w:rFonts w:hint="eastAsia" w:ascii="黑体" w:hAnsi="宋体" w:eastAsia="黑体" w:cs="黑体"/>
                <w:color w:val="FF0000"/>
                <w:kern w:val="0"/>
                <w:szCs w:val="21"/>
              </w:rPr>
              <w:t>滴定台</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FF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50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滴定夹</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03012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FF0000"/>
                <w:szCs w:val="21"/>
              </w:rPr>
            </w:pPr>
            <w:r>
              <w:rPr>
                <w:rFonts w:hint="eastAsia" w:ascii="黑体" w:hAnsi="宋体" w:eastAsia="黑体" w:cs="黑体"/>
                <w:color w:val="FF0000"/>
                <w:kern w:val="0"/>
                <w:szCs w:val="21"/>
              </w:rPr>
              <w:t>多用滴管架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FF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50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03014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移液管架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03015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FF0000"/>
                <w:szCs w:val="21"/>
              </w:rPr>
            </w:pPr>
            <w:r>
              <w:rPr>
                <w:rFonts w:hint="eastAsia" w:ascii="黑体" w:hAnsi="宋体" w:eastAsia="黑体" w:cs="黑体"/>
                <w:color w:val="FF0000"/>
                <w:kern w:val="0"/>
                <w:szCs w:val="21"/>
              </w:rPr>
              <w:t>比色管架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FF0000"/>
                <w:szCs w:val="21"/>
              </w:rPr>
            </w:pPr>
            <w:r>
              <w:rPr>
                <w:rFonts w:hint="eastAsia" w:ascii="黑体" w:hAnsi="宋体" w:eastAsia="黑体" w:cs="黑体"/>
                <w:color w:val="FF0000"/>
                <w:kern w:val="0"/>
                <w:szCs w:val="21"/>
              </w:rPr>
              <w:t>6孔</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25</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03016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FF0000"/>
                <w:szCs w:val="21"/>
              </w:rPr>
            </w:pPr>
            <w:r>
              <w:rPr>
                <w:rFonts w:hint="eastAsia" w:ascii="黑体" w:hAnsi="宋体" w:eastAsia="黑体" w:cs="黑体"/>
                <w:color w:val="FF0000"/>
                <w:kern w:val="0"/>
                <w:szCs w:val="21"/>
              </w:rPr>
              <w:t>组合式支架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FF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szCs w:val="21"/>
              </w:rPr>
            </w:pPr>
            <w:r>
              <w:rPr>
                <w:rFonts w:hint="eastAsia" w:ascii="黑体" w:hAnsi="宋体" w:eastAsia="黑体" w:cs="黑体"/>
                <w:color w:val="FF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FF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电源</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高中学生电源</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交流：2V～16V/3A，每2V一档    直流稳压：2V～16V/2A，每2V一档</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45</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04006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高中教学电源</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交流：2V～24V，每2V一档，2V～6V/12A，8V～12V/6A，14V～24V/</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3A;直流稳压：1V～25V分档连续可调，2V～6V/6A，8V～12V/4A，14V～24V/2A；40A、8s自动关断</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测量</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质量</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托盘天平</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100g，0.1g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托盘天平</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500g，0.5g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电子天平</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100g，0.1g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电子天平</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200g，0.001g</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电子天平</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400g，0.1g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电子天平</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200g，0.0001g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时间</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12003</w:t>
            </w:r>
          </w:p>
        </w:tc>
        <w:tc>
          <w:tcPr>
            <w:tcW w:w="225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电子停表</w:t>
            </w:r>
          </w:p>
        </w:tc>
        <w:tc>
          <w:tcPr>
            <w:tcW w:w="3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0.1s</w:t>
            </w:r>
          </w:p>
        </w:tc>
        <w:tc>
          <w:tcPr>
            <w:tcW w:w="10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温度</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温度计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红液，0℃～100℃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温度计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水银，0℃～360℃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13007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数字测温计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-30℃～+200℃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直流电流表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2.5级，0.6A，3A</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灵敏电流计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±300μA</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多用电表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指针式，不低于2.5级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15016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演示电流电压表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2.5级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其它</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密度计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Style w:val="57"/>
                <w:rFonts w:hint="default"/>
              </w:rPr>
              <w:t>密度＞1 g/cm</w:t>
            </w:r>
            <w:r>
              <w:rPr>
                <w:rStyle w:val="58"/>
                <w:rFonts w:hint="default"/>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密度计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Style w:val="57"/>
                <w:rFonts w:hint="default"/>
              </w:rPr>
              <w:t>密度＜1 g/cm</w:t>
            </w:r>
            <w:r>
              <w:rPr>
                <w:rStyle w:val="58"/>
                <w:rFonts w:hint="default"/>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酸度计(pH计)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测量范围：pH 0～14，分辨率：0.1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专用仪器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化学</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原电池实验器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贮气装置</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26007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高中微型化学实验箱</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含微型蒸馏回馏装置，试剂用量较常规实验省90%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溶液导电演示器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微型溶液导电实验器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金属电极，笔式，所需溶液不超过3mL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26013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中和热测定仪</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26016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化学实验废液处理装置</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不小于20升/次，无极变速双搅拌，附循环泵</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26019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气体实验微型装置</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以微型玻璃仪器为主,能完成氧气、氢气、二氧化碳、一氧化碳、氯气、氨气、二氧化硫、硫化氢、一氧化氮、二氧化氮等十几种气体的制备和性质实验,反应容器一般不超过30mL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氢燃料电池演示器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两个质子交换膜电极，膜电极不小于33mm×33mm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氢燃料电池实验器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一个质子交换膜电极，膜电极不小于15mm×15mm，带电流、电压表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电解槽演示器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离子交换膜</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26025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离子交换柱</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含玻璃纤维和离子交换树脂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26027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电泳演示器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26029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丁达尔现象实验器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26031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二氧化氮球</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Style w:val="57"/>
                <w:rFonts w:hint="default"/>
              </w:rPr>
              <w:t>双球，内封NO</w:t>
            </w:r>
            <w:r>
              <w:rPr>
                <w:rStyle w:val="59"/>
                <w:rFonts w:hint="default" w:ascii="宋体" w:eastAsia="宋体" w:cs="宋体"/>
                <w:sz w:val="24"/>
                <w:szCs w:val="24"/>
              </w:rPr>
              <w:t>2</w:t>
            </w:r>
            <w:r>
              <w:rPr>
                <w:rStyle w:val="57"/>
                <w:rFonts w:hint="default"/>
              </w:rPr>
              <w:t>和N</w:t>
            </w:r>
            <w:r>
              <w:rPr>
                <w:rStyle w:val="59"/>
                <w:rFonts w:hint="default" w:ascii="宋体" w:eastAsia="宋体" w:cs="宋体"/>
                <w:sz w:val="24"/>
                <w:szCs w:val="24"/>
              </w:rPr>
              <w:t>2</w:t>
            </w:r>
            <w:r>
              <w:rPr>
                <w:rStyle w:val="57"/>
                <w:rFonts w:hint="default"/>
              </w:rPr>
              <w:t>O</w:t>
            </w:r>
            <w:r>
              <w:rPr>
                <w:rStyle w:val="59"/>
                <w:rFonts w:hint="default" w:ascii="宋体" w:eastAsia="宋体" w:cs="宋体"/>
                <w:sz w:val="24"/>
                <w:szCs w:val="24"/>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26033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渗析实验器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1016"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26035</w:t>
            </w:r>
          </w:p>
        </w:tc>
        <w:tc>
          <w:tcPr>
            <w:tcW w:w="225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放电反应实验仪</w:t>
            </w:r>
          </w:p>
        </w:tc>
        <w:tc>
          <w:tcPr>
            <w:tcW w:w="3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pPr>
              <w:widowControl/>
              <w:jc w:val="left"/>
              <w:textAlignment w:val="bottom"/>
              <w:rPr>
                <w:rFonts w:ascii="黑体" w:hAnsi="宋体" w:eastAsia="黑体" w:cs="黑体"/>
                <w:color w:val="000000"/>
                <w:szCs w:val="21"/>
              </w:rPr>
            </w:pPr>
            <w:r>
              <w:rPr>
                <w:rFonts w:hint="eastAsia" w:ascii="黑体" w:hAnsi="宋体" w:eastAsia="黑体" w:cs="黑体"/>
                <w:color w:val="000000"/>
                <w:kern w:val="0"/>
                <w:szCs w:val="21"/>
              </w:rPr>
              <w:t>通电两分钟之内即有氮气与氧气反应的现象，消耗功率不大于30W</w:t>
            </w:r>
          </w:p>
        </w:tc>
        <w:tc>
          <w:tcPr>
            <w:tcW w:w="10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26040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黑体" w:hAnsi="宋体" w:eastAsia="黑体" w:cs="黑体"/>
                <w:color w:val="000000"/>
                <w:szCs w:val="21"/>
              </w:rPr>
            </w:pPr>
            <w:r>
              <w:rPr>
                <w:rFonts w:hint="eastAsia" w:ascii="黑体" w:hAnsi="宋体" w:eastAsia="黑体" w:cs="黑体"/>
                <w:color w:val="000000"/>
                <w:kern w:val="0"/>
                <w:szCs w:val="21"/>
              </w:rPr>
              <w:t>光化学实验演示器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能演示甲烷与氯气的反应</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26041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化学实验演示平台</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带摄像头</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化学</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炼铁高炉模型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分子结构模型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演示用，氢原子球直径不小于23mm，其他原子球直径不小于30mm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分子结构模型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分组用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32004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金刚石结构模型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球直径不小于30mm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石墨结构模型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球直径不小于30mm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32006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碳-60结构模型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球直径不小于30mm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32007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氯化钠晶体结构模型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球直径不小于30mm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32008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碳的同素异形体结构模型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包括金刚石、石墨、碳-60三种结构模型；小型，球管式，可拆卸</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氯化铯晶体结构模型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球直径不小于30mm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32013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二氧化碳晶体结构模型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球直径不小于25mm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32016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二氧化硅晶体结构模型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球直径不小于25mm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32019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金属晶体结构模型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球直径不小于30mm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32024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电子云杂化轨道模型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Style w:val="57"/>
                <w:rFonts w:hint="default"/>
              </w:rPr>
              <w:t>S、SP、SP</w:t>
            </w:r>
            <w:r>
              <w:rPr>
                <w:rStyle w:val="58"/>
                <w:rFonts w:hint="default"/>
              </w:rPr>
              <w:t>2</w:t>
            </w:r>
            <w:r>
              <w:rPr>
                <w:rStyle w:val="57"/>
                <w:rFonts w:hint="default"/>
              </w:rPr>
              <w:t>、SP</w:t>
            </w:r>
            <w:r>
              <w:rPr>
                <w:rStyle w:val="58"/>
                <w:rFonts w:hint="default"/>
              </w:rPr>
              <w:t>3</w:t>
            </w:r>
            <w:r>
              <w:rPr>
                <w:rStyle w:val="57"/>
                <w:rFonts w:hint="default"/>
              </w:rPr>
              <w:t>、Px、Py、Pz</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32027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气体摩尔体积模型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32031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沸腾焙烧炉模型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32034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硫酸接触室模型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32036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氨合成塔模型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32040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炼钢转炉模型</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标本</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化学</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42001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金属矿物、金属及合金标本</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各类不少于5种</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42002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原油常见馏分标本</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不少于8种</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42003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合成有机高分子材料标本</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不少于10种</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42004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新型无机非金属材料标本</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氧化铝陶瓷、氮化硅陶瓷、光导纤维等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42007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复合材料标本</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不少于5种</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挂图、软件及资料</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w:t>
            </w:r>
          </w:p>
        </w:tc>
        <w:tc>
          <w:tcPr>
            <w:tcW w:w="225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化学</w:t>
            </w:r>
          </w:p>
        </w:tc>
        <w:tc>
          <w:tcPr>
            <w:tcW w:w="3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教学挂图(图片)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52008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高中化学1教学挂图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52015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高中化学2教学挂图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高中化学与生活教学挂图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52024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高中化学与技术教学挂图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52027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高中物质结构与性质教学挂图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52031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高中化学反应原理教学挂图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52035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高中有机化学基础教学挂图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52039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高中实验化学教学挂图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元素周期表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有外围电子层排布，带轴</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件</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元素周期表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有外围电子层排布，不带轴</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件</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52042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化学实验室安全守则</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带镜框</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张</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52043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化学实验操作规范和安全要求</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52044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简明化学发展史挂图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（《化学简史》书）</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教学投影片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52108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高中化学1教学投影片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52110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高中化学2教学投影片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52120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高中化学与生活教学投影片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52124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高中化学与技术教学投影片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52127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高中物质结构与性质教学投影片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52131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高中化学反应原理教学投影片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52135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高中有机化学基础教学投影片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52139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高中实验化学教学投影片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52141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中学化学投影拼板</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教学VCD、DVD</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52203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高中化学教学光盘</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多媒体教学软件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52340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高中化学多媒体教学软件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52356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分子立体结构模型绘制软件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52357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化学药品管理软件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实验室管理用，网络版</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玻璃仪器</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计量</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60012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容量瓶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容量瓶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容量瓶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容量瓶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容量瓶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滴定管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酸式，25mL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滴定管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酸式，50mL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滴定管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碱式，25mL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滴定管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碱式，50mL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滴定管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聚四氟乙烯活塞，50mL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60052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移液管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60052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移液管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60052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移液管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60052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移液管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加热</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φ12mm×70mm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φ15mm×150mm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φ18mm×180mm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φ20mm×200mm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φ32mm×200mm，硬质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φ40mm×200mm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具支试管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φ18mm×180mm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具支试管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φ20mm×200mm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硬质玻璃管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φ15mm×150mm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硬质玻璃管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φ20mm×250mm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燃烧管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φ25mm×300mm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61012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Y形试管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φ20mm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61033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圆底，长颈，250mL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61033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圆底，短颈，厚口 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61033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圆底，长颈，500mL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61033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平底，长颈，250mL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锥形瓶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锥形瓶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61051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蒸馏烧瓶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61054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三口烧瓶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酒精灯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150mL，单头</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酒精灯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250mL，单头</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酒精灯</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250mL，双头</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干燥塔</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气体洗瓶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抽滤瓶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抽气管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干燥器</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气体发生器</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冷凝器</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直形，300mm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冷凝器</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球形，300mm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牛角管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弯形，φ18mm×150mm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漏斗</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漏斗</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56</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安全漏斗</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直形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安全漏斗</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双球</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分液漏斗</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锥(梨)形，100mL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分液漏斗</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球形，50mL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布氏漏斗</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瓷，80mm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T形管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φ7mm～8mm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Y形管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φ7mm～8mm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T形管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Y形管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离心管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干燥管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单球，150mm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干燥管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U型，φ15mm×150mm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干燥管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U型，φ20mm×200mm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干燥管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U型，具支，φ15mm×150mm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比色管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活塞</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直形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活塞</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T形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62091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圆水槽</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φ200mm×100mm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62091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圆水槽</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φ270mm×140mm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62093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玻璃钟罩</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φ150mm×280mm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62095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钴玻璃片</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容器</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集气瓶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125mL，附毛玻璃片</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集气瓶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250mL，附毛玻璃片</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集气瓶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500mL，附毛玻璃片</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液封除毒气集气瓶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广口瓶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广口瓶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广口瓶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广口瓶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广口瓶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棕色，60mL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广口瓶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棕色，125mL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广口瓶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棕色，60mL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棕色，125mL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棕色，500mL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棕色，1000mL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棕色，3000mL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63037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下口瓶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棕色，30mL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棕色，60mL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63045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称量瓶</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φ25mm×40mm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材料和配套用品</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坩埚</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瓷，30mL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坩埚钳</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烧杯夹</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镊子</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64006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试管夹</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64007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水止皮管夹</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64008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螺旋皮管夹</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64032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石棉网</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64034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隔热网</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环保型，功能与石棉网相同，隔热材料不是石棉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64035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二连球</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燃烧匙</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64042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药匙</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64051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玻璃管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φ5mm～φ6mm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千克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64051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玻璃管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φ7mm～φ8mm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千克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64053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玻璃棒</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φ3mm～φ4mm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千克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64053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玻璃棒</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φ5mm～φ6mm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千克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64061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软胶塞</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0号～12号</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千克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64062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橡胶管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千克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64063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乳胶管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64067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洗耳球</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64071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试管刷</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64072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烧瓶刷</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64074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滴定管刷</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64080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结晶皿</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64081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表面皿</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64081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表面皿</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64086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研钵</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瓷，60mm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64086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研钵</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瓷，90mm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64088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蒸发皿</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瓷，60mm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64088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蒸发皿</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瓷，100mm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64091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反应板</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至少6穴</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64092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井穴板</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9孔，0.7mL×9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64092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井穴板</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6孔，5mL×6，附带双导气管的井穴塞</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64094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塑料多用滴管</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64098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白金丝</w:t>
            </w: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φ0.5mm×50mm；具金属柄，可拆卸</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药  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一般无机(一)</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铝(条)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铝(片)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70001</w:t>
            </w:r>
          </w:p>
        </w:tc>
        <w:tc>
          <w:tcPr>
            <w:tcW w:w="225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铝(箔)</w:t>
            </w:r>
          </w:p>
        </w:tc>
        <w:tc>
          <w:tcPr>
            <w:tcW w:w="3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70004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锌(粒)</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70004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锌(粒)</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铁(还原铁粉)</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铁(片)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铁(丝)</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铜(紫铜片)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铜(丝)</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碘</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70022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活性炭</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70032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二氧化锰</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70033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三氧化二铁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70034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氧化铜</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70035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氧化铝</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70040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氯化铝</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70042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70042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70044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氯化钙(无水)</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70046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70047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三氯化铁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70049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氯化铵</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70054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氯化亚铁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70055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氯化亚锡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70059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溴化钠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70060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溴化钾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70061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溴化铜</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70064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碘化铅</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70065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碘化钾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70067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亚硫酸钠(无水)</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70068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硫酸亚铁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70069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硫酸亚铁铵</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70070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硫酸钾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70072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70083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硫酸铝</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70086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硫酸铜(蓝矾、胆矾)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70086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硫酸铜(无水)</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70087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硫酸铵</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70088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硫酸铝钾(明矾)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70093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硫酸铁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70095</w:t>
            </w:r>
          </w:p>
        </w:tc>
        <w:tc>
          <w:tcPr>
            <w:tcW w:w="225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硫酸锰</w:t>
            </w:r>
          </w:p>
        </w:tc>
        <w:tc>
          <w:tcPr>
            <w:tcW w:w="3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70097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硫酸锌</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70099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硫化亚铁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一般无机(二)</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碳酸钠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碳酸氢钠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71004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大理石</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碳酸氢铵</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71012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硅酸钠(水玻璃)</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硝酸银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乙酸钠（结晶）</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71030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乙酸铅</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71031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硫氰酸钾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71035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硫代硫酸钠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71039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硼酸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71041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氢氧化钡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71042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氨水</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71043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氧化钙(生石灰)</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71044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氢氧化钙(熟石灰)</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71045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碱石灰</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一般有机、指示剂</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一般有机</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丙三醇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72021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葡萄糖</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72022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蔗糖</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72023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可溶性淀粉</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72025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酒精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千克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72027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煤油</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72030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植物油</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食用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72028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石蜡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72028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石蜡(油)</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72044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苯甲酸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72046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硬脂酸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72048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硬脂酸丁酯</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指示剂</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72051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石蕊</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指示剂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72052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酚酞</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指示剂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72054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品红</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染料</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72057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甲基橙</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指示剂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72061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pH广范围试纸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1～14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本</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72062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蓝石蕊试纸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本</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72063</w:t>
            </w:r>
          </w:p>
        </w:tc>
        <w:tc>
          <w:tcPr>
            <w:tcW w:w="225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红石蕊试纸</w:t>
            </w:r>
          </w:p>
        </w:tc>
        <w:tc>
          <w:tcPr>
            <w:tcW w:w="3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本</w:t>
            </w: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72066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淀粉碘化钾试纸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本</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72084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亚甲基蓝</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72091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定性滤纸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易燃液体</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低闪点易燃液体</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73003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汽油</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73005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丙酮</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73007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乙醛</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中闪点易燃液体</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73010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苯</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73012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甲苯</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73016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无水乙醇</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73020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乙酸乙酯</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73025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原油</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易燃固体、自燃物品、                  遇湿易燃物品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易燃固体</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74011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硫粉</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74012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镁条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74013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铝粉</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自燃物品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74065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硫化钠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遇湿易燃物品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74080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74082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74084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锌粉</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74086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碳化钙</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氧化剂</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过氧化氢</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试剂，30%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氯酸钾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高锰酸钾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硝酸钾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75007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过氧化钠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75020</w:t>
            </w:r>
          </w:p>
        </w:tc>
        <w:tc>
          <w:tcPr>
            <w:tcW w:w="225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亚硝酸钠</w:t>
            </w:r>
          </w:p>
        </w:tc>
        <w:tc>
          <w:tcPr>
            <w:tcW w:w="3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75025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重铬酸钾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有毒品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76001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草酸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76002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氯化钡</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76013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四氯化碳</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76020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溴代乙烷</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76030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苯酚</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腐蚀品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酸性腐蚀品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硝酸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硫酸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盐酸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盐酸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77026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乙酸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试剂，36%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77026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乙酸</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试剂，100%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77030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溴</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碱性腐蚀品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77031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氢氧化钾</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77032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氢氧化钠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77032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氢氧化钠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4000</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其他腐蚀品</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77044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苯酚钠</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77052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甲醛</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其它实验材料和工具</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实验材料</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80202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高中化学实验材料</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小刀、棉花、木炭、火柴、蜡烛、剪刀、焊锡、炭棒、导线、电灯泡、木板、电池、电珠、砂纸等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份</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80203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电极材料 </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石墨、铜、锌、镁、铁、锡等电极</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工具</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一字螺丝刀</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十字螺丝刀</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81004</w:t>
            </w:r>
          </w:p>
        </w:tc>
        <w:tc>
          <w:tcPr>
            <w:tcW w:w="225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尖嘴钳</w:t>
            </w:r>
          </w:p>
        </w:tc>
        <w:tc>
          <w:tcPr>
            <w:tcW w:w="3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150mm</w:t>
            </w:r>
          </w:p>
        </w:tc>
        <w:tc>
          <w:tcPr>
            <w:tcW w:w="10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81015</w:t>
            </w:r>
          </w:p>
        </w:tc>
        <w:tc>
          <w:tcPr>
            <w:tcW w:w="225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手锤</w:t>
            </w:r>
          </w:p>
        </w:tc>
        <w:tc>
          <w:tcPr>
            <w:tcW w:w="36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109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81018</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三角锉刀</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250mm带柄</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81032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剪刀</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81051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玻璃瓶盖开启器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81052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玻璃管切割器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安全防护用具</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工作服</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防酸碱</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件</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护目镜</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侧面完全遮挡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52</w:t>
            </w:r>
          </w:p>
        </w:tc>
        <w:tc>
          <w:tcPr>
            <w:tcW w:w="270" w:type="dxa"/>
            <w:gridSpan w:val="2"/>
            <w:vMerge w:val="continue"/>
            <w:tcBorders>
              <w:top w:val="nil"/>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82004</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防护面罩</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可提供颈部和头部保护</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82005</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防毒口罩</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有活性炭</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手套</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耐酸</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双</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82006</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手套</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一次性乳胶手套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双</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top w:val="nil"/>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82009</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洗眼器</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82010</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简易急救箱</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件</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82011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实验防护屏</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件</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82012</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易燃品储存柜</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防火、防盗、防腐蚀</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82013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毒害品储存柜</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防火、防盗、防腐蚀</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83</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自备材料</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83201</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碎瓷片、红纸条、植物油、</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156" w:type="dxa"/>
            <w:gridSpan w:val="9"/>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r>
              <w:rPr>
                <w:rFonts w:hint="eastAsia" w:ascii="黑体" w:hAnsi="宋体" w:eastAsia="黑体" w:cs="黑体"/>
                <w:color w:val="000000"/>
                <w:szCs w:val="21"/>
              </w:rPr>
              <w:t>高中物理教学仪器配备要求</w:t>
            </w:r>
          </w:p>
        </w:tc>
        <w:tc>
          <w:tcPr>
            <w:tcW w:w="270" w:type="dxa"/>
            <w:gridSpan w:val="2"/>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80" w:type="dxa"/>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编号</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名   称</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规格 功能</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单位</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数量</w:t>
            </w:r>
          </w:p>
        </w:tc>
        <w:tc>
          <w:tcPr>
            <w:tcW w:w="90" w:type="dxa"/>
            <w:vMerge w:val="restart"/>
            <w:tcBorders>
              <w:top w:val="nil"/>
              <w:left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80" w:type="dxa"/>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通用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0" w:type="dxa"/>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80" w:type="dxa"/>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视听</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0" w:type="dxa"/>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80" w:type="dxa"/>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书写投影器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250mm×250mm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90" w:type="dxa"/>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80" w:type="dxa"/>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视频展示台</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≥85万像素，≥600TV线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90" w:type="dxa"/>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80" w:type="dxa"/>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投影机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光通量≥3000lm，分辨率≥1024×768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0" w:type="dxa"/>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80" w:type="dxa"/>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银幕</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幅</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90" w:type="dxa"/>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彩色电视机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CRT或背投或平板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tcBorders>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影碟机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照相机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数码型，≥800万像素，2G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摄像机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数码型，≥200万像素，硬盘或闪存存储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收录机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半导体收音机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话筒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动圈式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多媒体设备集中控制系统</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双串口控制，数据库管理，面板控制：投影机开关、信号切换、菜单、延时保护关机、系统电源、音量、幕布控制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有源音箱</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12W、立体声RCA线路输入                                频响：50Hz～20kHz</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00023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交互式电子白板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可进行鼠标单击、双击操作，左右键切换；支持铅笔、毛笔、钢笔等笔的书写模式，笔画颜色、粗细可调；具有板擦功能，板擦大小可调；可对页面进行自由移动、局部放大、局部缩小操作；可对屏幕操作和板书内容进行录制、回放；支持文本文件、图片文件、音视频文件的插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计算机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01001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计算机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多媒体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01002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计算机数据采集处理系统</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有通用界面软件系统，智能接口，可配套专用实验仪器。传感器包括：超声运动传感器、力传感器、温度传感器、气体压强传感器、声音传感器，电流传感器、电压传感器、微电流传感器、光电门传感器、磁感应强度传感器、光强传感器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01004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扫描仪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A4幅面，USB2.0，不低于2400×4800(dpi)</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01011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计算器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函数型</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一般</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钢制黑板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900mm×600mm，双面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打孔器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四件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直联泵</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2XZ-1型，单相，有防回油功能</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两用气筒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58</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抽气筒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58</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打气筒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58</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抽气盘</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直径不小于180mm，附钟罩</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58</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吹风机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用做小型气源，可稳定供给弹簧振子工作</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仪器车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600mm×400mm×800mm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辆</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仪器车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800mm×500mm×1100mm，车轮能制动，上面板有护栏，高度20mm～30mm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辆</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02023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充磁器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02040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生物显微镜</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≥640倍</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02060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望远镜</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双筒，7×35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02075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酒精喷灯</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坐式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58</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注射器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透明盛液筒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φ100mm×300mm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02116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透明水槽</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400mm×80mm×100mm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物理支架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方座支架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多功能实验支架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升降台</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升降范围不小于150mm，载荷不小于10kg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03006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三脚架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高中学生电源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交流：2V～16V/3A，每2V一档      直流稳压：2V～16V/2A，每2V一档</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高中学生电源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双路0V～12V稳压连续可调,1.5A，两路可串联使用，有过载保护。交流一路，0V～15V，3A，连续可调正弦波。带不低于2.5级电压表，有过载保护</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高中教学电源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交流：2V～24V，每2V一档，2V～6V/12A，8V～12V/6A，14V～24V/3A；                                                  直流稳压：1V～25V分档连续可调，2V～6V/6A，8V～12V/4A，14V～24V/2A；                                                  40A、8s自动关断</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蓄电池</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6V，15Ah，阀控式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调压变压器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2kVA，TDGC2系列</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电池盒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4个一组，1号电池</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感应圈</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电子开关式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直流高压电源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输出电压：250V、300V、600V、1000V、1200V、1500V      纹波电压：≤0.5V                                             输出电流：≥0.1A(250V、300V时)，                                                                                                                                      ≥0.05A(600V、1000V、1200V、1500V时)；有过载保护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电子起电机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输入DC6V，输出电压范围：-17.5 kV～+17.5 kV，短路电流不大于500</w:t>
            </w:r>
            <w:r>
              <w:rPr>
                <w:rStyle w:val="60"/>
                <w:rFonts w:hint="default"/>
              </w:rPr>
              <w:t>µ</w:t>
            </w:r>
            <w:r>
              <w:rPr>
                <w:rFonts w:hint="eastAsia" w:ascii="黑体" w:hAnsi="宋体" w:eastAsia="黑体" w:cs="黑体"/>
                <w:color w:val="000000"/>
                <w:kern w:val="0"/>
                <w:szCs w:val="21"/>
              </w:rPr>
              <w:t xml:space="preserve">A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04014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教学用铅酸蓄电池充电器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单充阀控式铅蓄电池或单充可调内阻电池或组合式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restart"/>
            <w:tcBorders>
              <w:top w:val="nil"/>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测量</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长度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木直尺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钢直尺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钢直尺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钢卷尺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游标卡尺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150mm，0.02mm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游标卡尺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150mm，0.05mm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外径千分尺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0mm～25mm，0.01mm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数显游标卡尺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150mm，0.01mm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质量</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物理天平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500g 0.02g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学生天平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200g，0.02g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托盘天平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200g，0.2g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托盘天平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500g，0.5g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电子天平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100g，0.01g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电子天平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1000g，0.1g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指针式体重计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0g～160kg，500g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金属钩码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50g×4，200g×2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金属槽码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2g×3，5g×2，10g×2，20g×2，50g×2，100g×2，200g×2，5g×1金属槽码盘和10g×1金属槽码盘</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时间</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机械停表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0.1s</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电子停表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0.01s</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电火花计时器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单频率：0.02s，火花距离不小于10mm，平均电流不大于0.5mA</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电火花计时器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多频率：0.01s、0.02s、0.05s，有同步释放功能</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电磁打点计时器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数字计时器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四位及以上，数据存贮，显示：10个挡光间隔时间、10周振动、n次振动时间总和、加速度计时三个时间、自由落体时间不少于二个、二路光电门分别计二个挡光时间(对碰、追碰)，有光电门接口和电磁铁接口，统一接口</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restart"/>
            <w:tcBorders>
              <w:top w:val="nil"/>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数字计时器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四位及以上，数据存贮，显示：10个挡光间隔时间、10周振动、n次振动时间总和、加速度计时三个时间、自由落体时间不少于二个、二路光电门分别计二个挡光时间(对碰、追碰)，有光电门接口和电磁铁接口，统一接口。显示对应间隔时间的平均速度、加速度、碰撞计时四个平均速度；电磁铁可调释放延时补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频闪光源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25Hz，50Hz，100Hz</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温度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温度计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红液，0℃～100℃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温度计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水银，0℃～200℃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数字测温计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集成温度传感器，-50℃～+150℃，  分辩率0.1℃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电子体温计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红外人体表面温度快速筛检仪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寒暑表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力</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14001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条形盒测力计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10N</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14001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条形盒测力计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5N</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14001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条形盒测力计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2.5N</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14010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圆盘测力计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5N</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14012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拉压测力计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14013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双向测力计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14014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演示数字测力计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量程2N，分辨率0.001N，误差≤0.2%满量程±1/2字，有调零、内置校准、记忆(能显示稳定值)功能，数字尺寸≥2.5cm×4cm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14015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学生数字测力计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量程2N，分辨率0.001N，误差≤0.2%满量程±1/2字，有调零、内置校准、记忆(能显示稳定值)功能</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left w:val="single" w:color="000000" w:sz="4" w:space="0"/>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高中数字演示电表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直流/交流电压、电流，检流；4-1/2位数码管，不小于5cm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绝缘电阻表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500V</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直流电流表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2.5级，0.6A，3A</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直流电流表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2.5级，200μA</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直流电压表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2.5级，3V，15V</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75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灵敏电流计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±300μA</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多用电表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指针式，不低于2.5级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多用电表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数字式，3-1/2位，电压﹑电流﹑电阻﹑温度测试﹑电容﹑二极管测试</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多用电表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数字式，4-1/2位，电压﹑电流﹑电阻﹑温度测试﹑频率测试﹑电容﹑二极管测试</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交流电流表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2.5级，毫安级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演示电流电压表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2.5级，检流</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演示微电流电阻表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微量直流检流，直流电压、电阻测量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教学示波器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DC 5MHz，扫描范围：10Hz～100kHz</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学生示波器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DC 2MHz，扫描范围：10Hz～100kHz</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15023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示波器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通用二踪。采样频率不低于20MHz</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15026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电阻箱</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四位9999Ω，0.5级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15026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电阻箱</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六位99999.9Ω，0.1级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15027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携式直流单双臂电桥</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15032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微电流放大器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多路输入档。一路为毫伏级，低阻抗输入，放大倍数约一千倍。两路用于传感器，分别为电流型放大输出和电压型放大输出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15033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虚拟电子测试仪器系统</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示波器、信号源、频率计等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其它</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16004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湿度计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16009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空盒气压表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800hPa～1060hPa，1hPa；误差≤±2.0hPa</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16013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露点测定器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16030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量角器(圆等分器)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半圆直径不小于190mm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专用仪器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力学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21004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惯性演示器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摩擦计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螺旋弹簧组</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0.5N，1N，2N</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螺旋弹簧组</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3N，5N</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帕斯卡球</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21024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摩擦力演示器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21025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微小形变演示器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利用光杠杆原理</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21026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力的合成分解演示器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21027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支杆定滑轮和桌边夹组</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每套带支杆单滑轮、尼龙线、桌边夹各3件，小铁环1件，支杆高度可调</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21028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高中静力学演示教具</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21029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高中力学演示板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21033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滚摆</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21034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离心轨道</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有捕球网</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21038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手摇离心转台</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21039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电动离心转台</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可调速</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21046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毛钱管(牛顿管)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带释放装置</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21047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伽利略理想斜面演示器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长度不小于1200mm，一端高度可连续升降，连接曲面光滑</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21049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运动合成分解演示器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可做匀速-匀速、匀速-匀加速运动合成</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21050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演示轨道小车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利用电火花计时，车拖纸带式，打点有效距离不小于900mm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21051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轨道小车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车拖纸带打点式，打点有效距离不小于600mm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21051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轨道小车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轨道打点式，打点有效距离不小于600mm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21053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演示斜面小车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21054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斜面小车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21055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气垫导轨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不小于1200mm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21056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小型气源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气压不小于5kPa，低噪声</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21057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自由落体实验仪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21059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牛顿第二定律演示仪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21060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牛顿第二定律实验仪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21061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反冲运动演示器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有两种以上表现形式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21062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超重失重演示器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记忆式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21062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超重失重演示器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移动距离不小于1.5m，超重、失重加速度可调，灵敏测力计示数可见</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21064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动能势能演示器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半定量实验</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21065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平抛竖落仪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21066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平抛运动实验器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21067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平抛和碰撞实验器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21068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碰撞实验器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21069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冲击摆实验器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21070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运动频闪观测仪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频闪光源25Hz、50Hz，可实时观测运动物体图像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21071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二维空间—时间描迹仪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同步计时打点描迹，悬浮式平抛</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21072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向心力演示器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21072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向心力演示器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数显</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21074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向心力实验器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21076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凹凸桥演示器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21077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演示力矩盘</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21078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力矩盘</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21079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动量传递演示器(碰撞球)</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5球</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21080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微重力实验装置</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微重力实验、自由落体坐标系和静止坐标系实验</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振动和波、分子物理和热学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音叉</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256Hz</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音叉</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512Hz</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纵波演示器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声速测量仪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共鸣法</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共振音叉</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440Hz</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纵横波演示器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绳波演示器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横波、行波、驻波、模拟偏振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波动弹簧</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扁钢丝弹簧，外径不小于66mm，圈数不小于180，两端为90°弯折半圆</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波动演示器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帘式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发波水槽</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电动波源带同步频闪光源</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发波水槽</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机械振子</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22018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弹簧振子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气垫式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22018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弹簧振子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水平式和竖式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弹簧振子振动图像描绘器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自动稳定走纸</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简谐振动投影演示器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匀速圆周运动投影器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22023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单摆组</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5个摆球</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22024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单摆振动图像演示器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22025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单摆运动规律演示器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光电门计时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22026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受迫振动和共振演示器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改变策动摆摆长，可分别使5个摆长不同的单摆共振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22027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共振演示器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弹簧振子，电动机驱动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内聚力演示器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有挤压扳动器和刮削器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空气压缩引火仪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双金属片</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气体做功内能减少演示器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用热敏电阻演示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纸盘扬声器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直径不小于200mm，8Ω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油膜实验器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浸润和不浸润现象演示器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液体表面张力演示器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22218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液体表面张力实验器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22219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毛细现象演示器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伽尔顿板(道尔顿板)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气体定律实验器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要提供修正体积数据</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22223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玻意耳定律演示器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22224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盖·吕萨克定律演示器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22225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气压模拟演示器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22227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饱和水汽膨胀液化演示器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透明容器内能承受3个以上大气压，成雾明显，使用安全  （汽体液化演示器）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静电、电流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玻棒(附丝绸)</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或有机玻棒(附丝绸)，教师用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胶棒(附毛皮)</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或聚碳酸酯棒(附毛皮)，教师用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箔片验电器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教师用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箔片验电器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学生用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指针验电器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带法拉第圆筒</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感应起电机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枕形导体</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小灯座</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单刀开关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滑动变阻器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20Ω，2A</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滑动变阻器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50Ω，1.5A</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滑动变阻器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200Ω，1.25A</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23019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电阻定律演示器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23024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电阻定律实验器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不少于四根导线，长度、截面积、材料不同</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23030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演示线路实验板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高中演示组</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23032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学生线路实验板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高中学生组</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23033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单刀双掷开关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23034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双刀双掷开关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23035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焦耳定律演示器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23037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保险丝作用演示器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23040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范氏起电机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23041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球形导体</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23042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验电器连接杆</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23043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移电球(验电球)</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23044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验电羽</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23045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验电幡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23046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尖形布电器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23047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正负电荷检验器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23048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静电实验箱</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避雷针原理、静电屏蔽、静电除尘、静电植绒、静电乒乓、静电转轮等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23049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金属网罩</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23050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电荷间作用力演示器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23051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电荷间作用力实验器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23052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库仑定律演示器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23053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电场线演示器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23054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电势演示仪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电势、电势差、等势面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23055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等势线描绘实验器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导电玻璃型</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23056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平行板电容器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23057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电场中带电粒子运动模拟演示器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模拟电场中带电粒子加速、偏转</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23058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常用电容器示教板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电解电容器、云母电容器、陶瓷电容器、薄膜电容器、贴片电容器、微调电容器、可变电容器等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23059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常用电阻器示教板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定值电阻(碳膜电阻、金属膜电阻、绕线电阻、水泥电阻等)、可变电阻(电位器等)、特殊电阻(热敏电阻、光敏电阻等)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23060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演示可调内阻电池</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气压调节式及其改进型</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23062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演示电桥</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电磁、电子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条形磁铁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铝铁碳，180 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蹄形磁铁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铝铁碳，100mm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磁感线演示器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条形、蹄形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24004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立体磁感线演示器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永磁、电磁场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磁感线演示板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电流磁场演示器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菱形小磁针</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16个</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翼形磁针</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演示原副线圈</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原副线圈</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演示电磁继电器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左右手定则演示器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24019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手摇交直流发电机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阴极射线管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磁效应管</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阴极射线管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示直进管</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阴极射线管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机械效应管</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阴极射线管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静电偏转管</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低频信号发生器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10Hz～1MHz，正弦波功率输出不小于5W</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24027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高频信号发生器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0.4MHz～130MHz分段连续可调，误差±5%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24028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教学信号发生器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445kHz～1700kHz，误差±5%；中频465kHz，±2%；低频正弦波、方波、锯齿波信号</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24029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学生信号发生器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445kHz～1700kHz，误差±5%；中频465kHz，±2%；低频500Hz、1kHz、1.5kHz、2kHz、2.5kHz</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24030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条形强磁体</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磁感应强度≥0.8T</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24031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蹄形强磁体</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磁感应强度≥0.8T</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24032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强磁针</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高磁能积磁体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24033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通电平行直导线相互作用演示器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24034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电流天平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24035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安培力演示器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24036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安培力实验器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24037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自感现象演示器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24038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电磁感应演示器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24039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楞次定律演示器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开口环、闭口环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24040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电磁阻尼演示器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24041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动能发电手电筒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24042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单匝线圈电机原理演示器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使用高磁能积磁体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24044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三相电机原理演示器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24045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手摇三相交流发电机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24046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三线电子开关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24047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交流电路特性演示器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大电感、小电感，大电容、小电容，电阻</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24048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可拆变压器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24049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小型变压器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24050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变压器原理说明器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增加调压变压器功能</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24051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日光灯原理演示器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电感式镇流器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24052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洛伦兹力演示器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有洛伦兹力管</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24053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电子束演示器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24054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阴极射线演示器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热阴极</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24055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门电路和传感器应用实验箱</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与门、或门、非门电路、干簧管、温度传感器、热敏电阻、光敏电阻、感温铁氧体、霍尔元件等应用实验。</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24056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电学元件黑箱</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三个接点，两个元件(电池、电阻、二极管均可更换)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24057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低气压放电管组</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24059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电谐振演示器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发送：放电距离0.2mm～2mm可调，来顿瓶电容≥500pF；接收：来顿瓶电容≥500pF，可变电容350pF～850pF。</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24060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赫兹实验演示器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24061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电磁振荡演示仪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阻尼振荡,等幅振荡,振荡频率与振荡电路的电容 、电感关系</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24062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电磁波的发送和接收演示器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发射器频率225MHz～250MHz,等幅、调幅；接收器有声、光、电显示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24063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电磁波的干涉衍射偏振演示器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发射器：频率10GHz±1GHz，等幅波输出≥10mW；   接收器：喇叭天线接收距离≥1m，振子接收距离≥0.5m，有声、光、电显示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24064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密立根油滴仪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24065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电子比荷实验仪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24066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半导体致冷器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致冷、发电两用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24067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整流电路实验器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半波、全波、滤波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光学﹑原子物理</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光具盘</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磁吸附式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凹面镜</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凸面镜</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25004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玻璃砖</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光具座</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三棱镜</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白光的色散与合成演示器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透镜及其应用实验器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光的折射全反射实验器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光的干涉衍射偏振演示器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激光光学演示仪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几何光学和物理光学实验</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25018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微型物理光学观察器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半导体激光器，光的干涉、多种衍射(单缝、多缝、圆孔、异形孔、单丝、圆屏、刀口等)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双缝干涉实验仪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牛顿环</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光导纤维应用演示器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25023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光的偏振观察器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起偏片、检偏片</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紫外线作用演示器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红外线作用演示器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手持直视分光镜</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棱镜分光镜</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带波长分度尺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光谱管组</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钠的吸收光谱演示器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光电效应演示器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带光源和锌板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光电效应演示器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光电管</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太阳电池演示器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X射线演示仪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带防护箱、萤光屏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盖革计数器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加计数功能</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威尔逊云雾室</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杠杆式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高温扩散云室</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25116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普朗克常量测定器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物理</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液压机模型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汽油机模型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压缩比：6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柴油机模型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压缩比：14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磁分子模型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离心机械模型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节速器、干燥器、分离器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晶体空间点阵模型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食盐，金刚石，石墨，明矾，石英</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蒸汽机模型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吹动式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31018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蒸汽轮机模型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吹动式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31019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燃气轮机模型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可动模型</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高压输变电模拟演示器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发电厂、升压变压器、高压输电线、降压变压器、用户</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车床变速器模型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汽车变速箱模型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31024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机械机构模型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曲柄摇杆机构、双曲柄机构、双摇杆机构、曲柄滑块机构、凸轮机构</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31032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机械传动模型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含齿轮传动、皮带传动、链传动、蜗轮蜗杆传动、摩擦轮传动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31037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液压传动模型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31038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汽车刹车系统模型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挂图、软件及资料</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物理</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教学挂图(图片)</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51015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高中物理必修模块教学挂图</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51016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高中物理系列1选修模块教学挂图</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51017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高中物理系列2选修模块教学挂图</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51018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高中物理系列3选修模块教学挂图</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51028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简明物理学史挂图</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 物理学史：书）</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51029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实验规范操作和安全要求</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教学投影片</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51115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高中物理必修模块投影片</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51116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高中物理系列1选修模块投影片</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　</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51117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高中物理系列2选修模块投影片</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　</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51118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高中物理系列3选修模块投影片</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　</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多媒体教学软件         </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　</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51315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高中物理必修模块多媒体互动教学软件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51316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高中物理系列1选修模块多媒体互动教学软件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　</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51317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高中物理系列2选修模块多媒体互动教学软件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　</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51318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高中物理系列3选修模块多媒体互动教学软件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　</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玻璃仪器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计量</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量杯</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加热</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φ15mm×150mm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φ32mm×200mm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61033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 xml:space="preserve">圆底长颈，500mL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61033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平底长颈，250mL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酒精灯</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漏斗</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分液漏斗</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筒形，250mL</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平底管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φ12mm×150mm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T形管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62096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可密封长玻璃管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内径10mm×1000mm，有胶塞，带刻度衬板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材料和配套用品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镊子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64032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石棉网</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64051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玻璃管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φ5mm～φ8mm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千克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0.5～1.5</w:t>
            </w:r>
          </w:p>
        </w:tc>
        <w:tc>
          <w:tcPr>
            <w:tcW w:w="270" w:type="dxa"/>
            <w:gridSpan w:val="2"/>
            <w:vMerge w:val="continue"/>
            <w:tcBorders>
              <w:top w:val="nil"/>
              <w:left w:val="single" w:color="000000" w:sz="4" w:space="0"/>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64063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乳胶管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或塑料管</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70" w:type="dxa"/>
            <w:gridSpan w:val="2"/>
            <w:vMerge w:val="continue"/>
            <w:tcBorders>
              <w:top w:val="nil"/>
              <w:left w:val="single" w:color="000000" w:sz="4" w:space="0"/>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药品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碘</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70086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硫酸铜(无水)</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70088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硫酸铝钾(明矾)</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工业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71035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硫代硫酸钠(海波)</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甘油</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分析纯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72025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酒精</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2000～3000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72027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煤油</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千克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72028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石腊</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千克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72045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油酸</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分析纯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77003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硫酸</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分析纯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其它实验材料和工具</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70" w:type="dxa"/>
            <w:gridSpan w:val="2"/>
            <w:vMerge w:val="continue"/>
            <w:tcBorders>
              <w:top w:val="nil"/>
              <w:left w:val="single" w:color="000000" w:sz="4" w:space="0"/>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实验材料</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电工材料</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鳄鱼夹、插口夹、香蕉插头、电阻丝、锌片、铜片、灯泡(15W、60W)、小电池(5号、纽扣、太阳电池)、保险丝、保险管(不同规格的合金熔丝、保险管)、焊锡、绝缘胶布、导线等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电子元件(工业产品)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电阻(碳膜电阻、瓷管电阻、线绕电阻、电位器、光敏电阻、热敏电阻等)；玩具电动机、电磁继电器、电容、电感、二极管、发光二极管、三极管、集成电路块等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80104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家庭电路器材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空气开关、漏电保护器、螺丝口灯座、卡口灯座、三孔插座、三孔插头、插入式保险盒、拉线开关、按钮开关、声控开关、光控开关、导线等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一般材料</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磁性橡胶片、乒乓球、大头针、回形针、橡胶泥、胶帽、泡沫塑料、透明胶带、小蜡烛、灯芯、火柴、塑料板、木板、玻璃板、毛巾、棉布、橡皮筋、气球、塑料袋、塑料薄膜、纸板、坐标纸、图钉、高泡洗衣粉、钢炭(木炭)粉或痱子粉﹑松香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彩色透光片</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红、绿、蓝</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甲电池</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1号电池</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每组2个～3个</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电珠(小灯泡)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2.5V或3.8V</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洗洁精</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毫升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蜂蜡</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集成电路实验板(面包板)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传感器器材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各种温度传感器(双金属片、热电偶、铂电阻、铜电阻、热敏电阻、半导体、感温铁氧体)、光敏电阻、硅光电池、光电二极管、湿敏电阻、干簧管、霍尔元件、气体压强传感器、酒精气体传感器等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晶体和非晶体样品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石英晶体，食盐晶体，云母片，明矾晶体，硫酸铜晶体；玻璃，松香，蜂蜡，沥青，橡胶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滚珠盒</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自行车小滚珠200粒</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演示实验器材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云母片、电解电容器(25V，470</w:t>
            </w:r>
            <w:r>
              <w:rPr>
                <w:rStyle w:val="60"/>
                <w:rFonts w:hint="default"/>
              </w:rPr>
              <w:t>µ</w:t>
            </w:r>
            <w:r>
              <w:rPr>
                <w:rFonts w:hint="eastAsia" w:ascii="黑体" w:hAnsi="宋体" w:eastAsia="黑体" w:cs="黑体"/>
                <w:color w:val="000000"/>
                <w:kern w:val="0"/>
                <w:szCs w:val="21"/>
              </w:rPr>
              <w:t>F～1000</w:t>
            </w:r>
            <w:r>
              <w:rPr>
                <w:rStyle w:val="60"/>
                <w:rFonts w:hint="default"/>
              </w:rPr>
              <w:t>µ</w:t>
            </w:r>
            <w:r>
              <w:rPr>
                <w:rFonts w:hint="eastAsia" w:ascii="黑体" w:hAnsi="宋体" w:eastAsia="黑体" w:cs="黑体"/>
                <w:color w:val="000000"/>
                <w:kern w:val="0"/>
                <w:szCs w:val="21"/>
              </w:rPr>
              <w:t>F)、三极管、驻极体话筒、光声控延时开关、100kΩ可变电阻、1kΩ电阻、74LS00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80118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学生实验纸材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打点纸带、墨粉纸、坐标纸、复印纸</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温度报警实验器材套件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热敏电阻、74LS14、1kΩ可变电阻、蜂鸣器(YMD或HMB)</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电熨斗控温电路套件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防盗报警电路器材套件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小永磁体、干簧管、74LS14、2.2kΩ电阻、蜂鸣器(YMD或HMB)</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80123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光控开关实验器材套件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光敏电阻、74LS14、51kΩ可变电阻、发光二极管、330Ω电阻</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80125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火灾报警器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80126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电子闹钟套件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小制作材料</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80142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箔片验电器器材套件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80143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简易无线话筒器材套件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三极管、电容、电阻、漆包线、驻极体话筒、电池盒</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80144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环保动能手电筒器材套件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80145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简易收音机器材套件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电容、可变电容器、磁性天线、二极管、小耳机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80146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三极管放大电路器材套件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三极管、电容、电阻、电池</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80147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光控路灯开关器材套件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光敏电阻、电阻、三极管、二极管、继电器、直流稳压电源</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80148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遥控器器材套件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80149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简易微型汽轮发电机器材套件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微型发电机、微型汽轮机、压力锅炉、发光二极管</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80150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模型火箭器材套件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科技活动材料</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80151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滚上体</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80157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简单机器人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80159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频闪观察器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80160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各种陀螺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圆周运动、离心运动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80161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大回转轮</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80162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三轨竟速</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80163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翻转环实验器</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80165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离心力铁环</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80166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滚动的方轮</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80167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玩具赛车</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向心力实验</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80168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饮水鸟</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物态变化</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80169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鱼洗</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80170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水火箭</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80171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滴水起电机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80172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气体辉光球</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工具</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测电笔</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氖泡式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一字螺丝刀</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φ3mm或φ6mm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十字螺丝刀</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φ3mm或φ6mm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尖嘴钳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电工刀</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手摇钻</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木工工具</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木锉</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木工锯</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带把手锯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木工锤</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0.25kg</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铇</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粗、细</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斧</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钢手锯</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剥线钳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钢丝钳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250mm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手锤</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錾子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锉刀(平板)</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250mm，带柄</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三角锉刀</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250mm，带柄</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什锦锉</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81020</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活扳手</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150mm或250mm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81021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手剪</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钳工工具，剪铁皮、铜片</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81022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直角尺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钳工工具</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81024</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电烙铁</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60W，20W，橡胶线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81025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平口钳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80mm，台钻上用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81026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台钻</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φ1mm～φ13mm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81027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手电钻</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φ1mm～φ13mm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81028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钻头</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φ1mm～φ13mm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81029</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台虎钳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81031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砂轮机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单相或三相，300W，3000r/min，含安全护板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81033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钳工工作台</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81035</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烙铁架</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81036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油石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粗细两面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81037</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冲子</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81038</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水平尺</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三水泡型，水平面工作长度160mm～250mm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安全防护用具</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82001</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工作服</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件</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适量</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护目镜</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防强光，上部衰减10倍～20倍，下部透射比≥75％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适量</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82002</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护目镜</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防机械冲击</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适量</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手套</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棉纱线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双</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适量</w:t>
            </w:r>
          </w:p>
        </w:tc>
        <w:tc>
          <w:tcPr>
            <w:tcW w:w="270" w:type="dxa"/>
            <w:gridSpan w:val="2"/>
            <w:vMerge w:val="restart"/>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82016</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高压绝缘凳</w:t>
            </w:r>
          </w:p>
        </w:tc>
        <w:tc>
          <w:tcPr>
            <w:tcW w:w="42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绝缘耐受电压不小于120kV</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c>
          <w:tcPr>
            <w:tcW w:w="270" w:type="dxa"/>
            <w:gridSpan w:val="2"/>
            <w:vMerge w:val="continue"/>
            <w:tcBorders>
              <w:top w:val="nil"/>
              <w:left w:val="single" w:color="000000" w:sz="4" w:space="0"/>
              <w:bottom w:val="nil"/>
              <w:right w:val="nil"/>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bl>
    <w:p>
      <w:pPr>
        <w:rPr>
          <w:rFonts w:ascii="宋体" w:hAnsi="宋体" w:cs="宋体"/>
          <w:b/>
          <w:color w:val="000000" w:themeColor="text1"/>
          <w:sz w:val="24"/>
        </w:rPr>
      </w:pPr>
    </w:p>
    <w:p>
      <w:pPr>
        <w:rPr>
          <w:rFonts w:ascii="宋体" w:hAnsi="宋体" w:cs="宋体"/>
          <w:b/>
          <w:color w:val="000000" w:themeColor="text1"/>
          <w:sz w:val="24"/>
        </w:rPr>
      </w:pPr>
    </w:p>
    <w:tbl>
      <w:tblPr>
        <w:tblStyle w:val="22"/>
        <w:tblpPr w:leftFromText="180" w:rightFromText="180" w:vertAnchor="text" w:tblpXSpec="center" w:tblpY="48"/>
        <w:tblOverlap w:val="never"/>
        <w:tblW w:w="9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9" w:hRule="atLeast"/>
          <w:jc w:val="center"/>
        </w:trPr>
        <w:tc>
          <w:tcPr>
            <w:tcW w:w="9225" w:type="dxa"/>
            <w:tcBorders>
              <w:bottom w:val="single" w:color="auto" w:sz="4" w:space="0"/>
            </w:tcBorders>
          </w:tcPr>
          <w:p>
            <w:pPr>
              <w:ind w:firstLine="2880" w:firstLineChars="1200"/>
              <w:rPr>
                <w:rFonts w:ascii="宋体" w:hAnsi="宋体" w:cs="宋体"/>
                <w:b/>
                <w:color w:val="000000" w:themeColor="text1"/>
                <w:sz w:val="24"/>
              </w:rPr>
            </w:pPr>
            <w:r>
              <w:rPr>
                <w:rFonts w:hint="eastAsia" w:ascii="宋体" w:hAnsi="宋体" w:cs="宋体"/>
                <w:b/>
                <w:color w:val="000000" w:themeColor="text1"/>
                <w:sz w:val="24"/>
              </w:rPr>
              <w:t>高中生物教学仪器配备要求</w:t>
            </w:r>
          </w:p>
        </w:tc>
      </w:tr>
    </w:tbl>
    <w:tbl>
      <w:tblPr>
        <w:tblStyle w:val="21"/>
        <w:tblpPr w:leftFromText="180" w:rightFromText="180" w:vertAnchor="text" w:horzAnchor="page" w:tblpX="1369" w:tblpY="378"/>
        <w:tblOverlap w:val="never"/>
        <w:tblW w:w="9195" w:type="dxa"/>
        <w:tblInd w:w="0" w:type="dxa"/>
        <w:tblLayout w:type="fixed"/>
        <w:tblCellMar>
          <w:top w:w="0" w:type="dxa"/>
          <w:left w:w="0" w:type="dxa"/>
          <w:bottom w:w="0" w:type="dxa"/>
          <w:right w:w="0" w:type="dxa"/>
        </w:tblCellMar>
      </w:tblPr>
      <w:tblGrid>
        <w:gridCol w:w="900"/>
        <w:gridCol w:w="2439"/>
        <w:gridCol w:w="4011"/>
        <w:gridCol w:w="870"/>
        <w:gridCol w:w="975"/>
      </w:tblGrid>
      <w:tr>
        <w:tblPrEx>
          <w:tblLayout w:type="fixed"/>
          <w:tblCellMar>
            <w:top w:w="0" w:type="dxa"/>
            <w:left w:w="0" w:type="dxa"/>
            <w:bottom w:w="0" w:type="dxa"/>
            <w:right w:w="0" w:type="dxa"/>
          </w:tblCellMar>
        </w:tblPrEx>
        <w:trPr>
          <w:trHeight w:val="315" w:hRule="atLeast"/>
        </w:trPr>
        <w:tc>
          <w:tcPr>
            <w:tcW w:w="900"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编号</w:t>
            </w:r>
          </w:p>
        </w:tc>
        <w:tc>
          <w:tcPr>
            <w:tcW w:w="2439"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名   称</w:t>
            </w:r>
          </w:p>
        </w:tc>
        <w:tc>
          <w:tcPr>
            <w:tcW w:w="4011"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规格  功能</w:t>
            </w:r>
          </w:p>
        </w:tc>
        <w:tc>
          <w:tcPr>
            <w:tcW w:w="870"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单位</w:t>
            </w:r>
          </w:p>
        </w:tc>
        <w:tc>
          <w:tcPr>
            <w:tcW w:w="975"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Cs w:val="21"/>
              </w:rPr>
            </w:pPr>
            <w:r>
              <w:rPr>
                <w:rFonts w:hint="eastAsia" w:ascii="黑体" w:hAnsi="宋体" w:eastAsia="黑体" w:cs="黑体"/>
                <w:b/>
                <w:color w:val="000000"/>
                <w:kern w:val="0"/>
                <w:szCs w:val="21"/>
              </w:rPr>
              <w:t>数量</w:t>
            </w:r>
          </w:p>
        </w:tc>
      </w:tr>
      <w:tr>
        <w:tblPrEx>
          <w:tblLayout w:type="fixed"/>
          <w:tblCellMar>
            <w:top w:w="0" w:type="dxa"/>
            <w:left w:w="0" w:type="dxa"/>
            <w:bottom w:w="0" w:type="dxa"/>
            <w:right w:w="0" w:type="dxa"/>
          </w:tblCellMar>
        </w:tblPrEx>
        <w:trPr>
          <w:trHeight w:val="31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Cs w:val="21"/>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Cs w:val="21"/>
              </w:rPr>
            </w:pPr>
          </w:p>
        </w:tc>
        <w:tc>
          <w:tcPr>
            <w:tcW w:w="401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一般</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2002</w:t>
            </w:r>
          </w:p>
        </w:tc>
        <w:tc>
          <w:tcPr>
            <w:tcW w:w="2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打孔器</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四件</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2009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书写白板</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900mm×1800mm，双面，带支架</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仪器车</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辆</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2040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生物显微镜</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≥640倍</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2040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生物显微镜</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≥1000倍，带光源、标尺</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2040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生物显微镜</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≥1000倍，双筒</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2042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数码显微镜</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≥130万像素，USB接口，相关图像处理软件</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2044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双目立体显微镜</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40倍</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2051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放大镜</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手持式，有效通光孔径不小于30mm，5倍</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2070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电动离心机</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0r/min～4000 r/min   10mL×8，无刷电机，带电锁</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2070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电动离心机</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3000 r/min～16000 r/min    1.5mL×12+0.5mL×12  无刷电机，带电锁</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2073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磁力加热搅拌器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容量：20mL～3000mL           转速：0 r/min～1200 r/min，无级调速</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2080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高压灭菌锅</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手提式，18L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2080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高压灭菌锅</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30L～50L，立式或卧式</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2082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恒温水浴锅</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一列两孔或四孔</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2084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烘干箱</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≥80L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2086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电冰箱</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＞200L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2087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恒温培养箱</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室温+5℃～60℃，±1℃，≥80L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2088</w:t>
            </w:r>
          </w:p>
        </w:tc>
        <w:tc>
          <w:tcPr>
            <w:tcW w:w="2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光照培养箱</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容积：250L（150L）</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光照强度：0lx～12000lx分级可调</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控温范围：10℃～50℃(有光照)</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温度波动性：±1℃</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温度均匀度：±2℃</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2089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超净工作台</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双人单面，垂直送风，100级，送风风速：O.3m/s～0.6m/s可调，不锈钢台面，带紫外线灯安全防护装置</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注射器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5mL，塑料</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2102</w:t>
            </w:r>
          </w:p>
        </w:tc>
        <w:tc>
          <w:tcPr>
            <w:tcW w:w="2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注射器</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100mL，塑料</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2119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整理箱</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矮型，储存及分发药品用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2121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塑料洗瓶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250mL或500mL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3002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方座支架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3006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三脚架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3008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试管架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12孔，12柱，与φ15mm×150mm试管匹配</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3008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试管架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32孔，铝合金，与φ15mm×150mm试管匹配</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质量</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11003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托盘天平</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200g，0.2g</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18</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11010</w:t>
            </w:r>
          </w:p>
        </w:tc>
        <w:tc>
          <w:tcPr>
            <w:tcW w:w="2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电子天平</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200g，0.01g</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18</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11012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分析天平</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200g，0.0001g</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温度</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温度计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红液，0℃～100℃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13001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温度计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水银，0℃～200℃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120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其它</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16003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酸度计(pH计)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测量范围:pH 0～14，分辨率:0.1</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16017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血球计数板</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16041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计数器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手持式</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专用仪器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生物</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27006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接种环</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金属手柄，合金金属丝</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27011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研磨过滤器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容量20mL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27012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光照培养架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实用多层，安装方便，插孔暗式布线，独立开关，光照强度3000lx-5000lx-7000lx三档可调</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27013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普通手术剪</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直尖头，140mm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27014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眼用手术剪</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直尖头，100mm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27015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手术刀柄</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27016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手术刀片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27017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解剖镊</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尖头，125mm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27017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解剖镊</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阔头，125mm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27018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牙用镊</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单弯，160mm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27019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眼用镊</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直唇头齿,100mm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电泳仪</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四组输出，输出电压：2V～200V、输出电流：2mA～200mA，具有36V电压限制功能</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27021</w:t>
            </w:r>
          </w:p>
        </w:tc>
        <w:tc>
          <w:tcPr>
            <w:tcW w:w="2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恒温震荡器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室温+5℃～60℃，±1℃   </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容量：100mL锥形瓶25个或以上 </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水平电泳槽</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聚碳酸脂注塑成型，凝胶托盘带有荧光标尺，具有开盖断电功能，凝胶板规格：60mm×60mm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垂直电泳槽</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聚碳酸脂注塑成型槽体，可实现原位制胶功能，凝胶板规格：75mm×83mm，同时可以两块凝胶电泳 </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微量进样器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Style w:val="63"/>
                <w:rFonts w:hint="default"/>
              </w:rPr>
              <w:t>50</w:t>
            </w:r>
            <w:r>
              <w:rPr>
                <w:rStyle w:val="60"/>
                <w:rFonts w:hint="default"/>
              </w:rPr>
              <w:t>µ</w:t>
            </w:r>
            <w:r>
              <w:rPr>
                <w:rStyle w:val="49"/>
              </w:rPr>
              <w:t>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凝胶色谱柱</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16mm×500mm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9</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微量移液器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Style w:val="49"/>
              </w:rPr>
              <w:t>1</w:t>
            </w:r>
            <w:r>
              <w:rPr>
                <w:rStyle w:val="60"/>
                <w:rFonts w:hint="default"/>
              </w:rPr>
              <w:t>µ</w:t>
            </w:r>
            <w:r>
              <w:rPr>
                <w:rStyle w:val="49"/>
              </w:rPr>
              <w:t>L～10</w:t>
            </w:r>
            <w:r>
              <w:rPr>
                <w:rStyle w:val="60"/>
                <w:rFonts w:hint="default"/>
              </w:rPr>
              <w:t>µ</w:t>
            </w:r>
            <w:r>
              <w:rPr>
                <w:rStyle w:val="49"/>
              </w:rPr>
              <w:t>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9</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微量移液器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Style w:val="49"/>
              </w:rPr>
              <w:t>20</w:t>
            </w:r>
            <w:r>
              <w:rPr>
                <w:rStyle w:val="60"/>
                <w:rFonts w:hint="default"/>
              </w:rPr>
              <w:t>µ</w:t>
            </w:r>
            <w:r>
              <w:rPr>
                <w:rStyle w:val="49"/>
              </w:rPr>
              <w:t>L～200</w:t>
            </w:r>
            <w:r>
              <w:rPr>
                <w:rStyle w:val="60"/>
                <w:rFonts w:hint="default"/>
              </w:rPr>
              <w:t>µ</w:t>
            </w:r>
            <w:r>
              <w:rPr>
                <w:rStyle w:val="49"/>
              </w:rPr>
              <w:t>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9</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微量移液器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Style w:val="49"/>
              </w:rPr>
              <w:t>100</w:t>
            </w:r>
            <w:r>
              <w:rPr>
                <w:rStyle w:val="60"/>
                <w:rFonts w:hint="default"/>
              </w:rPr>
              <w:t>µ</w:t>
            </w:r>
            <w:r>
              <w:rPr>
                <w:rStyle w:val="49"/>
              </w:rPr>
              <w:t>L～1000</w:t>
            </w:r>
            <w:r>
              <w:rPr>
                <w:rStyle w:val="60"/>
                <w:rFonts w:hint="default"/>
              </w:rPr>
              <w:t>µ</w:t>
            </w:r>
            <w:r>
              <w:rPr>
                <w:rStyle w:val="49"/>
              </w:rPr>
              <w:t>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9</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微量移液器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Style w:val="49"/>
              </w:rPr>
              <w:t>500</w:t>
            </w:r>
            <w:r>
              <w:rPr>
                <w:rStyle w:val="60"/>
                <w:rFonts w:hint="default"/>
              </w:rPr>
              <w:t>µ</w:t>
            </w:r>
            <w:r>
              <w:rPr>
                <w:rStyle w:val="49"/>
              </w:rPr>
              <w:t>L～5000</w:t>
            </w:r>
            <w:r>
              <w:rPr>
                <w:rStyle w:val="60"/>
                <w:rFonts w:hint="default"/>
              </w:rPr>
              <w:t>µ</w:t>
            </w:r>
            <w:r>
              <w:rPr>
                <w:rStyle w:val="49"/>
              </w:rPr>
              <w:t>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移液器架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可放置5支移液器</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9</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DNA电泳图谱观察仪</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非紫外光源，观察凝胶面积＞100mm×100mm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27029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精油提取器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功率500W，功率可调，具有缺水断电功能，最大容积5L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27030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PCR仪</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容量：≥30管</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27031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组织捣碎匀浆机</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0r/min～1200r/min，无级调速  最大容量：1L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27032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DNA快速杂交仪</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27033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果酒果醋发酵装置</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透明，最大容积1L，具水封及气泡限速装置，可进行气泡观察计数</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27034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纯水机</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产水量：10L/h，水质符合GB 6682-1992三级</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27035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玻璃三角刮刀(涂布器)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玻璃</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模型</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生物</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33301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始祖鸟化石及复原模型</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33302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细胞亚显微结构模型</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33303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细胞膜结构模型</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33304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细胞膜流动镶嵌模型组件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33305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减数分裂中染色体变化模型组件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33306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DNA结构模型</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33307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DNA双螺旋结构模型组件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四种碱基、脱氧核糖、磷酸彼此分离</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标本</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生物</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43110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验证基因分离规律玉米标本</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玉米穗</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43111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验证基因自由组合规律玉米标本</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玉米穗</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43112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验证基因连锁与互换规律玉米标本</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玉米穗</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 xml:space="preserve"> </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玻片标本</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植物玻片标本</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43208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蚕豆叶下表皮装片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43209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植物细胞有丝分裂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洋葱根尖纵切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43211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胞间连丝切片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43224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黑藻叶装片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显示细胞核及叶绿体</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黑体" w:hAnsi="宋体" w:eastAsia="黑体" w:cs="黑体"/>
                <w:color w:val="000000"/>
                <w:szCs w:val="21"/>
              </w:rPr>
            </w:pPr>
            <w:r>
              <w:rPr>
                <w:rFonts w:hint="eastAsia" w:ascii="黑体" w:hAnsi="宋体" w:eastAsia="黑体" w:cs="黑体"/>
                <w:color w:val="000000"/>
                <w:kern w:val="0"/>
                <w:szCs w:val="21"/>
              </w:rPr>
              <w:t>藻类霉菌类生物玻片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43305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酵母菌装片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43307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水绵装片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43312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大肠杆菌涂片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动物玻片标本</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43403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动物细胞有丝分裂(马蛔虫受精卵切片)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43405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草履虫分裂生殖装片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43414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蝗虫精巢减数分裂切片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43415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蛙血涂片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43416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表皮细胞装片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蛙或蝾螈</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黑体" w:hAnsi="宋体" w:eastAsia="黑体" w:cs="黑体"/>
                <w:color w:val="000000"/>
                <w:szCs w:val="21"/>
              </w:rPr>
            </w:pPr>
            <w:r>
              <w:rPr>
                <w:rFonts w:hint="eastAsia" w:ascii="黑体" w:hAnsi="宋体" w:eastAsia="黑体" w:cs="黑体"/>
                <w:color w:val="000000"/>
                <w:kern w:val="0"/>
                <w:szCs w:val="21"/>
              </w:rPr>
              <w:t>人血涂片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43508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骨骼肌纵横切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43509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平滑肌分离装片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43510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心肌切片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43511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运动神经元装片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43525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胰腺切片(示胰岛)</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其它玻片标本</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43603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正常人染色体装片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43604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DNA和RAN在细胞中的分布</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43605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线粒体切片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挂图、软件及资料</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生物</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教学挂图(图片)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53011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中学生物显微图谱</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内容包括细胞、植物、动物、动物(人体)生理和其他生物，不少于180幅</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3</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53021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分子与细胞教学挂图</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53022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遗传与进化教学挂图</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53023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稳态与环境教学挂图</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53024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生物技术实践教学挂图</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53025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生物科学与社会教学挂图</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53026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现代生物科技专题教学挂图</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多媒体教学软件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53321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分子与细胞</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53322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遗传与进化</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53323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稳态与环境</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53324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生物技术实践</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53325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生物科学与社会</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53326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现代生物科技专题</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玻璃仪器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计量</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25mL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量筒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容量瓶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25mL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容量瓶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容量瓶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250mL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容量瓶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容量瓶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60052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移液管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60052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移液管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60052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移液管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60052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移液管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加热</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φ15mm×150mm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250mL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烧杯</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61041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锥形瓶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61041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锥形瓶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61041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锥形瓶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250mL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61041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锥形瓶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61051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蒸馏烧瓶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250mL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酒精灯</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150mL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62006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干燥器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160mm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蒸馏水瓶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62021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冷凝器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直固，300mm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漏斗</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60mm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62031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漏斗</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90mm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62077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比色管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25mL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63011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广口瓶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250mL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250mL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63021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细口瓶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1000mL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63041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63041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60mL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63041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棕色，30mL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63041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滴瓶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棕色，60mL</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材料和配套用品</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64006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试管夹</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64032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石棉网</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64042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药匙</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64053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玻璃棒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φ5mm～6mm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千克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64067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洗耳球</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64084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培养皿</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φ60mm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64084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培养皿</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φ120mm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64086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研钵</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瓷,φ60mm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药品</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一般无机(一)</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70021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碘</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70042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氯化钠</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70044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氯化钙</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试剂，无水</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70047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三氯化铁</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70065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碘化钾</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70072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硫酸钠</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试剂，无水</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70086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硫酸铜(蓝矾、胆矾)</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71002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碳酸钠</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试剂，无水</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71044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氢氧化钙</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71055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氢氧化铝</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71056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氯化镉</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一般有机、指示剂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一般有机</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无水乙酸钠</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72002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柠檬酸钠</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72014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琼脂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72021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葡萄糖</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72022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蔗糖</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可溶性淀粉</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72025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酒精</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72093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对氨基苯磺酸</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FF0000"/>
                <w:szCs w:val="21"/>
              </w:rPr>
            </w:pPr>
            <w:r>
              <w:rPr>
                <w:rFonts w:hint="eastAsia" w:ascii="宋体" w:hAnsi="宋体" w:cs="宋体"/>
                <w:color w:val="FF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72094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N-1-萘基乙二胺盐酸盐</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72095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海藻酸钠</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72096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二苯胺</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72097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果胶酶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72098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α-淀粉酶</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指示剂(染色剂)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72054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品红</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72061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pH广范围试纸</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1～14</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72081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甲基绿</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72084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亚甲基蓝</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72091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定性滤纸</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胭脂红(洋红)</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72102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龙胆紫</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72103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曙红B(伊红B)</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72104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美蓝</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72105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酚红</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72106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吡罗红</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72107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苏丹Ⅲ</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72108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健那绿</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72110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结晶紫</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72111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刚果红</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72112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考马斯亮蓝</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72113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溴麝香草酚蓝</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易燃液体</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73005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丙酮</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73007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乙醛</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73012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甲苯</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73016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无水乙醇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73020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乙酸乙酯</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73023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石油醚</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氧化剂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过氧化氢</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亚硝酸钠</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75025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重铬酸钾</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75027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高氯酸</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有毒品</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76002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氯化钡</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腐蚀品</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77003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硫酸</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77011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盐酸</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77026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乙酸(醋酸)</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毫升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77032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氢氧化钠</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77040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次氯酸钠</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其它实验材料和工具</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实验材料</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80302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载玻片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80303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盖玻片</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培养基成套试剂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80331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组织培养基(MS)试剂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硝酸铵(NH</w:t>
            </w:r>
            <w:r>
              <w:rPr>
                <w:rStyle w:val="58"/>
                <w:rFonts w:hint="default"/>
              </w:rPr>
              <w:t>4</w:t>
            </w:r>
            <w:r>
              <w:rPr>
                <w:rStyle w:val="60"/>
                <w:rFonts w:hint="default"/>
              </w:rPr>
              <w:t>NO</w:t>
            </w:r>
            <w:r>
              <w:rPr>
                <w:rStyle w:val="58"/>
                <w:rFonts w:hint="default"/>
              </w:rPr>
              <w:t>3</w:t>
            </w:r>
            <w:r>
              <w:rPr>
                <w:rStyle w:val="60"/>
                <w:rFonts w:hint="default"/>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硝酸钾(KNO</w:t>
            </w:r>
            <w:r>
              <w:rPr>
                <w:rStyle w:val="58"/>
                <w:rFonts w:hint="default"/>
              </w:rPr>
              <w:t>3</w:t>
            </w:r>
            <w:r>
              <w:rPr>
                <w:rStyle w:val="60"/>
                <w:rFonts w:hint="default"/>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氯化钙(CaCl</w:t>
            </w:r>
            <w:r>
              <w:rPr>
                <w:rStyle w:val="58"/>
                <w:rFonts w:hint="default"/>
              </w:rPr>
              <w:t>2</w:t>
            </w:r>
            <w:r>
              <w:rPr>
                <w:rStyle w:val="60"/>
                <w:rFonts w:hint="default"/>
              </w:rPr>
              <w:t>·2H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硫酸镁(MgSO</w:t>
            </w:r>
            <w:r>
              <w:rPr>
                <w:rStyle w:val="58"/>
                <w:rFonts w:hint="default"/>
              </w:rPr>
              <w:t>4</w:t>
            </w:r>
            <w:r>
              <w:rPr>
                <w:rStyle w:val="60"/>
                <w:rFonts w:hint="default"/>
              </w:rPr>
              <w:t>·7H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磷酸二氢钾(KH</w:t>
            </w:r>
            <w:r>
              <w:rPr>
                <w:rStyle w:val="58"/>
                <w:rFonts w:hint="default"/>
              </w:rPr>
              <w:t>2</w:t>
            </w:r>
            <w:r>
              <w:rPr>
                <w:rStyle w:val="60"/>
                <w:rFonts w:hint="default"/>
              </w:rPr>
              <w:t>PO</w:t>
            </w:r>
            <w:r>
              <w:rPr>
                <w:rStyle w:val="58"/>
                <w:rFonts w:hint="default"/>
              </w:rPr>
              <w:t>4</w:t>
            </w:r>
            <w:r>
              <w:rPr>
                <w:rStyle w:val="60"/>
                <w:rFonts w:hint="default"/>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碘化钾(KI)</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硼酸(H</w:t>
            </w:r>
            <w:r>
              <w:rPr>
                <w:rStyle w:val="58"/>
                <w:rFonts w:hint="default"/>
              </w:rPr>
              <w:t>3</w:t>
            </w:r>
            <w:r>
              <w:rPr>
                <w:rStyle w:val="60"/>
                <w:rFonts w:hint="default"/>
              </w:rPr>
              <w:t>BO</w:t>
            </w:r>
            <w:r>
              <w:rPr>
                <w:rStyle w:val="58"/>
                <w:rFonts w:hint="default"/>
              </w:rPr>
              <w:t>3</w:t>
            </w:r>
            <w:r>
              <w:rPr>
                <w:rStyle w:val="60"/>
                <w:rFonts w:hint="default"/>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硫酸锰(MnSO</w:t>
            </w:r>
            <w:r>
              <w:rPr>
                <w:rStyle w:val="58"/>
                <w:rFonts w:hint="default"/>
              </w:rPr>
              <w:t>4</w:t>
            </w:r>
            <w:r>
              <w:rPr>
                <w:rStyle w:val="60"/>
                <w:rFonts w:hint="default"/>
              </w:rPr>
              <w:t>·4H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硫酸锌(ZnSO</w:t>
            </w:r>
            <w:r>
              <w:rPr>
                <w:rStyle w:val="58"/>
                <w:rFonts w:hint="default"/>
              </w:rPr>
              <w:t>4</w:t>
            </w:r>
            <w:r>
              <w:rPr>
                <w:rStyle w:val="60"/>
                <w:rFonts w:hint="default"/>
              </w:rPr>
              <w:t>·7H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钼酸钠(Na</w:t>
            </w:r>
            <w:r>
              <w:rPr>
                <w:rStyle w:val="58"/>
                <w:rFonts w:hint="default"/>
              </w:rPr>
              <w:t>2</w:t>
            </w:r>
            <w:r>
              <w:rPr>
                <w:rStyle w:val="60"/>
                <w:rFonts w:hint="default"/>
              </w:rPr>
              <w:t>MoO</w:t>
            </w:r>
            <w:r>
              <w:rPr>
                <w:rStyle w:val="58"/>
                <w:rFonts w:hint="default"/>
              </w:rPr>
              <w:t>4</w:t>
            </w:r>
            <w:r>
              <w:rPr>
                <w:rStyle w:val="60"/>
                <w:rFonts w:hint="default"/>
              </w:rPr>
              <w:t>·2H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硫酸铜(CuSO</w:t>
            </w:r>
            <w:r>
              <w:rPr>
                <w:rStyle w:val="58"/>
                <w:rFonts w:hint="default"/>
              </w:rPr>
              <w:t>4</w:t>
            </w:r>
            <w:r>
              <w:rPr>
                <w:rStyle w:val="60"/>
                <w:rFonts w:hint="default"/>
              </w:rPr>
              <w:t>·5H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氯化钴(CoCl</w:t>
            </w:r>
            <w:r>
              <w:rPr>
                <w:rStyle w:val="58"/>
                <w:rFonts w:hint="default"/>
              </w:rPr>
              <w:t>2</w:t>
            </w:r>
            <w:r>
              <w:rPr>
                <w:rStyle w:val="60"/>
                <w:rFonts w:hint="default"/>
              </w:rPr>
              <w:t>·6H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乙二胺四乙酸二钠(Na</w:t>
            </w:r>
            <w:r>
              <w:rPr>
                <w:rStyle w:val="58"/>
                <w:rFonts w:hint="default"/>
              </w:rPr>
              <w:t>2</w:t>
            </w:r>
            <w:r>
              <w:rPr>
                <w:rStyle w:val="60"/>
                <w:rFonts w:hint="default"/>
              </w:rPr>
              <w:t>-EDTA)</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硫酸铁(FeSO</w:t>
            </w:r>
            <w:r>
              <w:rPr>
                <w:rStyle w:val="58"/>
                <w:rFonts w:hint="default"/>
              </w:rPr>
              <w:t>4</w:t>
            </w:r>
            <w:r>
              <w:rPr>
                <w:rStyle w:val="60"/>
                <w:rFonts w:hint="default"/>
              </w:rPr>
              <w:t>·7H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肌醇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烟酸</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吡哆辛盐酸</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盐酸硫胺(盐酸硫胺素)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甘氨酸</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6-苄基腺嘌呤(6-BA)</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萘乙酸(NAA)</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赤霉酸(GA3)</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吲哚丁酸(IBA)</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吲哚乙酸(IAA)</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r>
      <w:tr>
        <w:tblPrEx>
          <w:tblLayout w:type="fixed"/>
          <w:tblCellMar>
            <w:top w:w="0" w:type="dxa"/>
            <w:left w:w="0" w:type="dxa"/>
            <w:bottom w:w="0" w:type="dxa"/>
            <w:right w:w="0"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80332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牛肉膏蛋白胨培养基试剂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牛肉膏</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蛋白胨</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80333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尿素培养基试剂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磷酸二氢钾(KH</w:t>
            </w:r>
            <w:r>
              <w:rPr>
                <w:rStyle w:val="58"/>
                <w:rFonts w:hint="default"/>
              </w:rPr>
              <w:t>2</w:t>
            </w:r>
            <w:r>
              <w:rPr>
                <w:rStyle w:val="60"/>
                <w:rFonts w:hint="default"/>
              </w:rPr>
              <w:t>PO</w:t>
            </w:r>
            <w:r>
              <w:rPr>
                <w:rStyle w:val="58"/>
                <w:rFonts w:hint="default"/>
              </w:rPr>
              <w:t>4</w:t>
            </w:r>
            <w:r>
              <w:rPr>
                <w:rStyle w:val="60"/>
                <w:rFonts w:hint="default"/>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磷酸氢二钠(Na</w:t>
            </w:r>
            <w:r>
              <w:rPr>
                <w:rStyle w:val="58"/>
                <w:rFonts w:hint="default"/>
              </w:rPr>
              <w:t>2</w:t>
            </w:r>
            <w:r>
              <w:rPr>
                <w:rStyle w:val="60"/>
                <w:rFonts w:hint="default"/>
              </w:rPr>
              <w:t>HPO</w:t>
            </w:r>
            <w:r>
              <w:rPr>
                <w:rStyle w:val="58"/>
                <w:rFonts w:hint="default"/>
              </w:rPr>
              <w:t>4</w:t>
            </w:r>
            <w:r>
              <w:rPr>
                <w:rStyle w:val="60"/>
                <w:rFonts w:hint="default"/>
              </w:rPr>
              <w:t>·7H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硫酸镁(MgSO</w:t>
            </w:r>
            <w:r>
              <w:rPr>
                <w:rStyle w:val="58"/>
                <w:rFonts w:hint="default"/>
              </w:rPr>
              <w:t>4</w:t>
            </w:r>
            <w:r>
              <w:rPr>
                <w:rStyle w:val="60"/>
                <w:rFonts w:hint="default"/>
              </w:rPr>
              <w:t>·7H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脲</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5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80334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纤维素分解菌培养及鉴别培养基试剂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纤维素粉</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硝酸钠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磷酸氢二钠(Na</w:t>
            </w:r>
            <w:r>
              <w:rPr>
                <w:rStyle w:val="58"/>
                <w:rFonts w:hint="default"/>
              </w:rPr>
              <w:t>2</w:t>
            </w:r>
            <w:r>
              <w:rPr>
                <w:rStyle w:val="60"/>
                <w:rFonts w:hint="default"/>
              </w:rPr>
              <w:t>HPO</w:t>
            </w:r>
            <w:r>
              <w:rPr>
                <w:rStyle w:val="58"/>
                <w:rFonts w:hint="default"/>
              </w:rPr>
              <w:t>4</w:t>
            </w:r>
            <w:r>
              <w:rPr>
                <w:rStyle w:val="60"/>
                <w:rFonts w:hint="default"/>
              </w:rPr>
              <w:t>·7H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磷酸二氢钾(KH</w:t>
            </w:r>
            <w:r>
              <w:rPr>
                <w:rStyle w:val="58"/>
                <w:rFonts w:hint="default"/>
              </w:rPr>
              <w:t>2</w:t>
            </w:r>
            <w:r>
              <w:rPr>
                <w:rStyle w:val="60"/>
                <w:rFonts w:hint="default"/>
              </w:rPr>
              <w:t>PO</w:t>
            </w:r>
            <w:r>
              <w:rPr>
                <w:rStyle w:val="58"/>
                <w:rFonts w:hint="default"/>
              </w:rPr>
              <w:t>4</w:t>
            </w:r>
            <w:r>
              <w:rPr>
                <w:rStyle w:val="60"/>
                <w:rFonts w:hint="default"/>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Style w:val="60"/>
                <w:rFonts w:hint="default"/>
              </w:rPr>
              <w:t>硫酸镁(MgSO</w:t>
            </w:r>
            <w:r>
              <w:rPr>
                <w:rStyle w:val="58"/>
                <w:rFonts w:hint="default"/>
              </w:rPr>
              <w:t>4</w:t>
            </w:r>
            <w:r>
              <w:rPr>
                <w:rStyle w:val="60"/>
                <w:rFonts w:hint="default"/>
              </w:rPr>
              <w:t>·7H</w:t>
            </w:r>
            <w:r>
              <w:rPr>
                <w:rStyle w:val="58"/>
                <w:rFonts w:hint="default"/>
              </w:rPr>
              <w:t>2</w:t>
            </w:r>
            <w:r>
              <w:rPr>
                <w:rStyle w:val="60"/>
                <w:rFonts w:hint="default"/>
              </w:rPr>
              <w:t>O)</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氯化钾</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酵母浸膏</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水解酪素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羧甲基纤维素钠(CMC-Na)</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80335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血红蛋白提取及分离试剂</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交联葡萄糖(Sephadex G-75)</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丙烯酰胺</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N，N-甲叉双丙烯酰胺</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十二烷基磺酸钠(SDS)</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过硫酸铵</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三羟甲基氨基甲烷(Tris)</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四甲基乙二胺(TEMED)</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 xml:space="preserve">毫升 </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试剂盒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5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80341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植物组织培养基试剂盒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MS培养基，附适用于月季或菊花生根和发芽的相关激素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80342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牛肉膏蛋白胨培养基</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80343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分离及鉴定土壤中能分解尿素的细菌培养基</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80344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纤维素分解菌培养及鉴别培养基</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80345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血红蛋白提取及分离试剂盒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80346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PCR扩增实验试剂盒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PCR全套试剂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80347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琼脂糖凝胶电泳实验试剂盒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电泳全套试剂</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80348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转基因植物DNA杂交鉴定试剂盒</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大豆或其他植物</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工具</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测电笔</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氖泡式</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一字螺丝刀</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长150mm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十字螺丝刀</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φ6mm，长150mm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81009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木工锤</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重0.25kg</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钢手锯</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剥线钳</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81014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钢丝钳</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250mm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81020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活扳手</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长250mm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安全防护用具</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工作服</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防酸碱</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55</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82002</w:t>
            </w:r>
          </w:p>
        </w:tc>
        <w:tc>
          <w:tcPr>
            <w:tcW w:w="2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护目镜</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侧面完全遮挡，耐酸碱，抗冲击</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60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乳胶手套</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付</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56</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82009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洗眼器</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10</w:t>
            </w:r>
          </w:p>
        </w:tc>
      </w:tr>
      <w:tr>
        <w:tblPrEx>
          <w:tblLayout w:type="fixed"/>
          <w:tblCellMar>
            <w:top w:w="0" w:type="dxa"/>
            <w:left w:w="0" w:type="dxa"/>
            <w:bottom w:w="0" w:type="dxa"/>
            <w:right w:w="0"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82014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黑体" w:hAnsi="宋体" w:eastAsia="黑体" w:cs="黑体"/>
                <w:color w:val="000000"/>
                <w:szCs w:val="21"/>
              </w:rPr>
            </w:pPr>
            <w:r>
              <w:rPr>
                <w:rFonts w:hint="eastAsia" w:ascii="黑体" w:hAnsi="宋体" w:eastAsia="黑体" w:cs="黑体"/>
                <w:color w:val="000000"/>
                <w:kern w:val="0"/>
                <w:szCs w:val="21"/>
              </w:rPr>
              <w:t>急救包</w:t>
            </w:r>
          </w:p>
        </w:tc>
        <w:tc>
          <w:tcPr>
            <w:tcW w:w="4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黑体" w:hAnsi="宋体" w:eastAsia="黑体" w:cs="黑体"/>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56</w:t>
            </w:r>
          </w:p>
        </w:tc>
      </w:tr>
    </w:tbl>
    <w:p>
      <w:pPr>
        <w:rPr>
          <w:rFonts w:ascii="宋体" w:hAnsi="宋体" w:cs="宋体"/>
          <w:b/>
          <w:color w:val="000000" w:themeColor="text1"/>
          <w:sz w:val="24"/>
        </w:rPr>
      </w:pPr>
    </w:p>
    <w:p>
      <w:pPr>
        <w:pStyle w:val="3"/>
        <w:spacing w:before="0" w:after="0" w:line="360" w:lineRule="auto"/>
        <w:jc w:val="left"/>
        <w:rPr>
          <w:rFonts w:ascii="宋体"/>
          <w:bCs w:val="0"/>
          <w:sz w:val="30"/>
          <w:szCs w:val="30"/>
          <w:lang w:val="zh-CN"/>
        </w:rPr>
      </w:pPr>
      <w:bookmarkStart w:id="45" w:name="_Toc495861534"/>
      <w:bookmarkStart w:id="46" w:name="_Toc494561953"/>
      <w:r>
        <w:rPr>
          <w:rFonts w:hint="eastAsia" w:ascii="宋体" w:hAnsi="宋体"/>
          <w:bCs w:val="0"/>
          <w:sz w:val="30"/>
          <w:szCs w:val="30"/>
          <w:lang w:val="zh-CN"/>
        </w:rPr>
        <w:t>二</w:t>
      </w:r>
      <w:r>
        <w:rPr>
          <w:rFonts w:hint="eastAsia" w:ascii="宋体" w:hAnsi="宋体"/>
          <w:color w:val="000000"/>
          <w:sz w:val="30"/>
          <w:szCs w:val="30"/>
        </w:rPr>
        <w:t>、</w:t>
      </w:r>
      <w:r>
        <w:rPr>
          <w:rFonts w:hint="eastAsia" w:ascii="宋体" w:hAnsi="宋体"/>
          <w:bCs w:val="0"/>
          <w:sz w:val="30"/>
          <w:szCs w:val="30"/>
          <w:lang w:val="zh-CN"/>
        </w:rPr>
        <w:t>概述及简介</w:t>
      </w:r>
      <w:bookmarkEnd w:id="45"/>
      <w:bookmarkEnd w:id="46"/>
    </w:p>
    <w:p>
      <w:pPr>
        <w:pStyle w:val="3"/>
        <w:spacing w:before="0" w:after="0" w:line="360" w:lineRule="auto"/>
        <w:jc w:val="left"/>
        <w:rPr>
          <w:rFonts w:ascii="宋体"/>
          <w:color w:val="000000"/>
          <w:szCs w:val="21"/>
        </w:rPr>
      </w:pPr>
      <w:bookmarkStart w:id="47" w:name="_Toc495861535"/>
      <w:bookmarkStart w:id="48" w:name="_Toc494561954"/>
      <w:r>
        <w:rPr>
          <w:rFonts w:hint="eastAsia" w:ascii="宋体" w:hAnsi="宋体"/>
          <w:bCs w:val="0"/>
          <w:sz w:val="30"/>
          <w:szCs w:val="30"/>
          <w:lang w:val="zh-CN"/>
        </w:rPr>
        <w:t>三</w:t>
      </w:r>
      <w:r>
        <w:rPr>
          <w:rFonts w:hint="eastAsia" w:ascii="宋体" w:hAnsi="宋体"/>
          <w:color w:val="000000"/>
          <w:szCs w:val="21"/>
        </w:rPr>
        <w:t>、</w:t>
      </w:r>
      <w:r>
        <w:rPr>
          <w:rFonts w:hint="eastAsia" w:ascii="宋体" w:hAnsi="宋体"/>
          <w:bCs w:val="0"/>
          <w:sz w:val="30"/>
          <w:szCs w:val="30"/>
          <w:lang w:val="zh-CN"/>
        </w:rPr>
        <w:t>国家相关行政主管部门颁布的强制标准、规范</w:t>
      </w:r>
      <w:bookmarkEnd w:id="47"/>
      <w:bookmarkEnd w:id="48"/>
    </w:p>
    <w:p>
      <w:pPr>
        <w:spacing w:line="420" w:lineRule="atLeast"/>
        <w:ind w:firstLine="525" w:firstLineChars="250"/>
        <w:rPr>
          <w:rFonts w:ascii="宋体"/>
          <w:color w:val="FF0000"/>
          <w:szCs w:val="21"/>
        </w:rPr>
      </w:pPr>
      <w:r>
        <w:rPr>
          <w:rFonts w:hint="eastAsia" w:ascii="宋体" w:hAnsi="宋体"/>
          <w:color w:val="FF0000"/>
          <w:kern w:val="0"/>
          <w:szCs w:val="21"/>
        </w:rPr>
        <w:t>投标产品应符合下列标准和规范的相关要求，经检测合格。</w:t>
      </w:r>
    </w:p>
    <w:p>
      <w:pPr>
        <w:spacing w:line="420" w:lineRule="atLeast"/>
        <w:ind w:firstLine="525" w:firstLineChars="250"/>
        <w:rPr>
          <w:rFonts w:ascii="宋体"/>
          <w:color w:val="FF0000"/>
          <w:szCs w:val="21"/>
        </w:rPr>
      </w:pPr>
      <w:r>
        <w:rPr>
          <w:rFonts w:ascii="宋体" w:hAnsi="宋体"/>
          <w:color w:val="FF0000"/>
          <w:szCs w:val="21"/>
        </w:rPr>
        <w:t>1</w:t>
      </w:r>
      <w:r>
        <w:rPr>
          <w:rFonts w:hint="eastAsia" w:ascii="宋体" w:hAnsi="宋体"/>
          <w:color w:val="FF0000"/>
          <w:szCs w:val="21"/>
        </w:rPr>
        <w:t>、《教学实验室设备</w:t>
      </w:r>
      <w:r>
        <w:rPr>
          <w:rFonts w:ascii="宋体"/>
          <w:color w:val="FF0000"/>
          <w:szCs w:val="21"/>
        </w:rPr>
        <w:t>-</w:t>
      </w:r>
      <w:r>
        <w:rPr>
          <w:rFonts w:hint="eastAsia" w:ascii="宋体" w:hAnsi="宋体"/>
          <w:color w:val="FF0000"/>
          <w:szCs w:val="21"/>
        </w:rPr>
        <w:t>实验台（桌）的安全要求及试验方法》（</w:t>
      </w:r>
      <w:r>
        <w:rPr>
          <w:rFonts w:ascii="宋体" w:hAnsi="宋体"/>
          <w:color w:val="FF0000"/>
          <w:szCs w:val="21"/>
        </w:rPr>
        <w:t>GB/T 21747</w:t>
      </w:r>
      <w:r>
        <w:rPr>
          <w:rFonts w:hint="eastAsia" w:ascii="宋体" w:hAnsi="宋体"/>
          <w:color w:val="FF0000"/>
          <w:szCs w:val="21"/>
        </w:rPr>
        <w:t>－</w:t>
      </w:r>
      <w:r>
        <w:rPr>
          <w:rFonts w:ascii="宋体" w:hAnsi="宋体"/>
          <w:color w:val="FF0000"/>
          <w:szCs w:val="21"/>
        </w:rPr>
        <w:t>2008</w:t>
      </w:r>
      <w:r>
        <w:rPr>
          <w:rFonts w:hint="eastAsia" w:ascii="宋体" w:hAnsi="宋体"/>
          <w:color w:val="FF0000"/>
          <w:szCs w:val="21"/>
        </w:rPr>
        <w:t>）</w:t>
      </w:r>
    </w:p>
    <w:p>
      <w:pPr>
        <w:spacing w:line="420" w:lineRule="atLeast"/>
        <w:ind w:firstLine="525" w:firstLineChars="250"/>
        <w:rPr>
          <w:rFonts w:ascii="宋体"/>
          <w:color w:val="FF0000"/>
          <w:szCs w:val="21"/>
        </w:rPr>
      </w:pPr>
      <w:r>
        <w:rPr>
          <w:rFonts w:ascii="宋体" w:hAnsi="宋体"/>
          <w:color w:val="FF0000"/>
          <w:szCs w:val="21"/>
        </w:rPr>
        <w:t>2</w:t>
      </w:r>
      <w:r>
        <w:rPr>
          <w:rFonts w:hint="eastAsia" w:ascii="宋体" w:hAnsi="宋体"/>
          <w:color w:val="FF0000"/>
          <w:szCs w:val="21"/>
        </w:rPr>
        <w:t>、《中小学理科实验室装备规范》（</w:t>
      </w:r>
      <w:r>
        <w:rPr>
          <w:rFonts w:ascii="宋体" w:hAnsi="宋体"/>
          <w:color w:val="FF0000"/>
          <w:szCs w:val="21"/>
        </w:rPr>
        <w:t>JY/T 0385-2006</w:t>
      </w:r>
      <w:r>
        <w:rPr>
          <w:rFonts w:hint="eastAsia" w:ascii="宋体" w:hAnsi="宋体"/>
          <w:color w:val="FF0000"/>
          <w:szCs w:val="21"/>
        </w:rPr>
        <w:t>）</w:t>
      </w:r>
    </w:p>
    <w:p>
      <w:pPr>
        <w:spacing w:line="420" w:lineRule="atLeast"/>
        <w:ind w:firstLine="525" w:firstLineChars="250"/>
        <w:rPr>
          <w:rFonts w:ascii="宋体"/>
          <w:color w:val="FF0000"/>
          <w:szCs w:val="21"/>
        </w:rPr>
      </w:pPr>
      <w:r>
        <w:rPr>
          <w:rFonts w:ascii="宋体" w:hAnsi="宋体"/>
          <w:color w:val="FF0000"/>
          <w:szCs w:val="21"/>
        </w:rPr>
        <w:t>3</w:t>
      </w:r>
      <w:r>
        <w:rPr>
          <w:rFonts w:hint="eastAsia" w:ascii="宋体" w:hAnsi="宋体"/>
          <w:color w:val="FF0000"/>
          <w:szCs w:val="21"/>
        </w:rPr>
        <w:t>、《木家具通用技术条件》（</w:t>
      </w:r>
      <w:r>
        <w:rPr>
          <w:rFonts w:ascii="宋体" w:hAnsi="宋体"/>
          <w:color w:val="FF0000"/>
          <w:szCs w:val="21"/>
        </w:rPr>
        <w:t>GB/T3324-2008</w:t>
      </w:r>
      <w:r>
        <w:rPr>
          <w:rFonts w:hint="eastAsia" w:ascii="宋体" w:hAnsi="宋体"/>
          <w:color w:val="FF0000"/>
          <w:szCs w:val="21"/>
        </w:rPr>
        <w:t>）</w:t>
      </w:r>
    </w:p>
    <w:p>
      <w:pPr>
        <w:spacing w:line="420" w:lineRule="atLeast"/>
        <w:ind w:firstLine="525" w:firstLineChars="250"/>
        <w:rPr>
          <w:rFonts w:ascii="宋体"/>
          <w:color w:val="FF0000"/>
          <w:szCs w:val="21"/>
        </w:rPr>
      </w:pPr>
      <w:r>
        <w:rPr>
          <w:rFonts w:ascii="宋体" w:hAnsi="宋体"/>
          <w:color w:val="FF0000"/>
          <w:szCs w:val="21"/>
        </w:rPr>
        <w:t>4</w:t>
      </w:r>
      <w:r>
        <w:rPr>
          <w:rFonts w:hint="eastAsia" w:ascii="宋体" w:hAnsi="宋体"/>
          <w:color w:val="FF0000"/>
          <w:szCs w:val="21"/>
        </w:rPr>
        <w:t>、《金属家具通用技术条件》（</w:t>
      </w:r>
      <w:r>
        <w:rPr>
          <w:rFonts w:ascii="宋体" w:hAnsi="宋体"/>
          <w:color w:val="FF0000"/>
          <w:szCs w:val="21"/>
        </w:rPr>
        <w:t>GB/T3325-2008</w:t>
      </w:r>
      <w:r>
        <w:rPr>
          <w:rFonts w:hint="eastAsia" w:ascii="宋体" w:hAnsi="宋体"/>
          <w:color w:val="FF0000"/>
          <w:szCs w:val="21"/>
        </w:rPr>
        <w:t>）</w:t>
      </w:r>
    </w:p>
    <w:p>
      <w:pPr>
        <w:spacing w:line="420" w:lineRule="atLeast"/>
        <w:ind w:firstLine="525" w:firstLineChars="250"/>
        <w:rPr>
          <w:rFonts w:ascii="宋体" w:cs="宋体"/>
          <w:color w:val="FF0000"/>
          <w:kern w:val="0"/>
          <w:szCs w:val="21"/>
        </w:rPr>
      </w:pPr>
      <w:r>
        <w:rPr>
          <w:rFonts w:ascii="宋体" w:hAnsi="宋体"/>
          <w:color w:val="FF0000"/>
          <w:szCs w:val="21"/>
        </w:rPr>
        <w:t>5</w:t>
      </w:r>
      <w:r>
        <w:rPr>
          <w:rFonts w:hint="eastAsia" w:ascii="宋体" w:hAnsi="宋体"/>
          <w:color w:val="FF0000"/>
          <w:szCs w:val="21"/>
        </w:rPr>
        <w:t>、《</w:t>
      </w:r>
      <w:r>
        <w:rPr>
          <w:rFonts w:hint="eastAsia" w:ascii="宋体" w:hAnsi="宋体" w:cs="Arial"/>
          <w:bCs/>
          <w:color w:val="FF0000"/>
          <w:kern w:val="0"/>
          <w:szCs w:val="21"/>
        </w:rPr>
        <w:t>浸渍胶膜纸饰面人造板》</w:t>
      </w:r>
      <w:r>
        <w:rPr>
          <w:rFonts w:ascii="宋体" w:hAnsi="宋体" w:cs="Arial"/>
          <w:bCs/>
          <w:color w:val="FF0000"/>
          <w:kern w:val="0"/>
          <w:szCs w:val="21"/>
        </w:rPr>
        <w:t>(GB/T15102-2006)</w:t>
      </w:r>
    </w:p>
    <w:p>
      <w:pPr>
        <w:spacing w:line="420" w:lineRule="atLeast"/>
        <w:ind w:firstLine="525" w:firstLineChars="250"/>
        <w:rPr>
          <w:rFonts w:ascii="宋体"/>
          <w:color w:val="FF0000"/>
          <w:szCs w:val="21"/>
        </w:rPr>
      </w:pPr>
      <w:r>
        <w:rPr>
          <w:rFonts w:ascii="宋体" w:hAnsi="宋体"/>
          <w:color w:val="FF0000"/>
          <w:szCs w:val="21"/>
        </w:rPr>
        <w:t>6</w:t>
      </w:r>
      <w:r>
        <w:rPr>
          <w:rFonts w:hint="eastAsia" w:ascii="宋体" w:hAnsi="宋体"/>
          <w:color w:val="FF0000"/>
          <w:szCs w:val="21"/>
        </w:rPr>
        <w:t>、《室内装饰装修材料</w:t>
      </w:r>
      <w:r>
        <w:rPr>
          <w:rFonts w:ascii="宋体" w:hAnsi="宋体"/>
          <w:color w:val="FF0000"/>
          <w:szCs w:val="21"/>
        </w:rPr>
        <w:t xml:space="preserve"> </w:t>
      </w:r>
      <w:r>
        <w:rPr>
          <w:rFonts w:hint="eastAsia" w:ascii="宋体" w:hAnsi="宋体"/>
          <w:color w:val="FF0000"/>
          <w:szCs w:val="21"/>
        </w:rPr>
        <w:t>人造板及其制品中甲醛释放限量》（</w:t>
      </w:r>
      <w:r>
        <w:rPr>
          <w:rFonts w:ascii="宋体" w:hAnsi="宋体"/>
          <w:color w:val="FF0000"/>
          <w:szCs w:val="21"/>
        </w:rPr>
        <w:t>GB 18580-2001</w:t>
      </w:r>
      <w:r>
        <w:rPr>
          <w:rFonts w:hint="eastAsia" w:ascii="宋体" w:hAnsi="宋体"/>
          <w:color w:val="FF0000"/>
          <w:szCs w:val="21"/>
        </w:rPr>
        <w:t>）</w:t>
      </w:r>
    </w:p>
    <w:p>
      <w:pPr>
        <w:spacing w:line="420" w:lineRule="atLeast"/>
        <w:ind w:firstLine="525" w:firstLineChars="250"/>
        <w:rPr>
          <w:rFonts w:ascii="宋体"/>
          <w:color w:val="FF0000"/>
          <w:szCs w:val="21"/>
        </w:rPr>
      </w:pPr>
      <w:r>
        <w:rPr>
          <w:rFonts w:ascii="宋体" w:hAnsi="宋体"/>
          <w:color w:val="FF0000"/>
          <w:szCs w:val="21"/>
        </w:rPr>
        <w:t>7</w:t>
      </w:r>
      <w:r>
        <w:rPr>
          <w:rFonts w:hint="eastAsia" w:ascii="宋体" w:hAnsi="宋体"/>
          <w:color w:val="FF0000"/>
          <w:szCs w:val="21"/>
        </w:rPr>
        <w:t>、</w:t>
      </w:r>
      <w:r>
        <w:rPr>
          <w:rFonts w:hint="eastAsia" w:ascii="宋体" w:hAnsi="宋体" w:cs="Arial"/>
          <w:color w:val="FF0000"/>
          <w:szCs w:val="21"/>
        </w:rPr>
        <w:t>《人造板及饰面人造板理化性能试验方法》（</w:t>
      </w:r>
      <w:r>
        <w:rPr>
          <w:rFonts w:ascii="宋体" w:hAnsi="宋体" w:cs="Arial"/>
          <w:color w:val="FF0000"/>
          <w:szCs w:val="21"/>
        </w:rPr>
        <w:t>GB/T 17657-1999</w:t>
      </w:r>
      <w:r>
        <w:rPr>
          <w:rFonts w:hint="eastAsia" w:ascii="宋体" w:hAnsi="宋体" w:cs="Arial"/>
          <w:color w:val="FF0000"/>
          <w:szCs w:val="21"/>
        </w:rPr>
        <w:t>）</w:t>
      </w:r>
    </w:p>
    <w:p>
      <w:pPr>
        <w:spacing w:line="420" w:lineRule="atLeast"/>
        <w:ind w:firstLine="525" w:firstLineChars="250"/>
        <w:rPr>
          <w:rFonts w:ascii="宋体"/>
          <w:color w:val="FF0000"/>
          <w:szCs w:val="21"/>
        </w:rPr>
      </w:pPr>
      <w:r>
        <w:rPr>
          <w:rFonts w:ascii="宋体" w:hAnsi="宋体"/>
          <w:color w:val="FF0000"/>
          <w:szCs w:val="21"/>
        </w:rPr>
        <w:t>8</w:t>
      </w:r>
      <w:r>
        <w:rPr>
          <w:rFonts w:hint="eastAsia" w:ascii="宋体" w:hAnsi="宋体"/>
          <w:color w:val="FF0000"/>
          <w:szCs w:val="21"/>
        </w:rPr>
        <w:t>、《</w:t>
      </w:r>
      <w:r>
        <w:rPr>
          <w:rFonts w:hint="eastAsia" w:ascii="宋体" w:hAnsi="宋体" w:cs="Arial"/>
          <w:bCs/>
          <w:color w:val="FF0000"/>
          <w:kern w:val="36"/>
          <w:szCs w:val="21"/>
        </w:rPr>
        <w:t>铝合金建筑型材</w:t>
      </w:r>
      <w:r>
        <w:rPr>
          <w:rFonts w:ascii="宋体" w:hAnsi="宋体" w:cs="Arial"/>
          <w:bCs/>
          <w:color w:val="FF0000"/>
          <w:kern w:val="36"/>
          <w:szCs w:val="21"/>
        </w:rPr>
        <w:t xml:space="preserve"> </w:t>
      </w:r>
      <w:r>
        <w:rPr>
          <w:rFonts w:hint="eastAsia" w:ascii="宋体" w:hAnsi="宋体" w:cs="Arial"/>
          <w:bCs/>
          <w:color w:val="FF0000"/>
          <w:kern w:val="36"/>
          <w:szCs w:val="21"/>
        </w:rPr>
        <w:t>第</w:t>
      </w:r>
      <w:r>
        <w:rPr>
          <w:rFonts w:ascii="宋体" w:hAnsi="宋体" w:cs="Arial"/>
          <w:bCs/>
          <w:color w:val="FF0000"/>
          <w:kern w:val="36"/>
          <w:szCs w:val="21"/>
        </w:rPr>
        <w:t>1</w:t>
      </w:r>
      <w:r>
        <w:rPr>
          <w:rFonts w:hint="eastAsia" w:ascii="宋体" w:hAnsi="宋体" w:cs="Arial"/>
          <w:bCs/>
          <w:color w:val="FF0000"/>
          <w:kern w:val="36"/>
          <w:szCs w:val="21"/>
        </w:rPr>
        <w:t>部分：基材</w:t>
      </w:r>
      <w:r>
        <w:rPr>
          <w:rFonts w:hint="eastAsia" w:ascii="宋体" w:hAnsi="宋体"/>
          <w:color w:val="FF0000"/>
          <w:szCs w:val="21"/>
        </w:rPr>
        <w:t>》（</w:t>
      </w:r>
      <w:r>
        <w:rPr>
          <w:rFonts w:ascii="宋体" w:hAnsi="宋体" w:cs="Arial"/>
          <w:bCs/>
          <w:color w:val="FF0000"/>
          <w:kern w:val="36"/>
          <w:szCs w:val="21"/>
        </w:rPr>
        <w:t>GB5237.1-2008</w:t>
      </w:r>
      <w:r>
        <w:rPr>
          <w:rFonts w:hint="eastAsia" w:ascii="宋体" w:hAnsi="宋体"/>
          <w:color w:val="FF0000"/>
          <w:szCs w:val="21"/>
        </w:rPr>
        <w:t>）</w:t>
      </w:r>
    </w:p>
    <w:p>
      <w:pPr>
        <w:spacing w:line="420" w:lineRule="atLeast"/>
        <w:ind w:firstLine="525" w:firstLineChars="250"/>
        <w:rPr>
          <w:rFonts w:ascii="宋体"/>
          <w:color w:val="FF0000"/>
          <w:szCs w:val="21"/>
        </w:rPr>
      </w:pPr>
      <w:r>
        <w:rPr>
          <w:rFonts w:ascii="宋体" w:hAnsi="宋体"/>
          <w:color w:val="FF0000"/>
          <w:szCs w:val="21"/>
        </w:rPr>
        <w:t>9</w:t>
      </w:r>
      <w:r>
        <w:rPr>
          <w:rFonts w:hint="eastAsia" w:ascii="宋体" w:hAnsi="宋体"/>
          <w:color w:val="FF0000"/>
          <w:szCs w:val="21"/>
        </w:rPr>
        <w:t>、《教学实验室设备电源系统》（</w:t>
      </w:r>
      <w:r>
        <w:rPr>
          <w:rFonts w:ascii="宋体" w:hAnsi="宋体"/>
          <w:color w:val="FF0000"/>
          <w:szCs w:val="21"/>
        </w:rPr>
        <w:t>JY/T 0374-2004</w:t>
      </w:r>
      <w:r>
        <w:rPr>
          <w:rFonts w:hint="eastAsia" w:ascii="宋体" w:hAnsi="宋体"/>
          <w:color w:val="FF0000"/>
          <w:szCs w:val="21"/>
        </w:rPr>
        <w:t>）</w:t>
      </w:r>
    </w:p>
    <w:p>
      <w:pPr>
        <w:pStyle w:val="3"/>
        <w:spacing w:before="0" w:after="0" w:line="360" w:lineRule="auto"/>
        <w:ind w:firstLine="514" w:firstLineChars="245"/>
        <w:jc w:val="left"/>
        <w:rPr>
          <w:rFonts w:ascii="宋体" w:cs="Arial"/>
          <w:b w:val="0"/>
          <w:color w:val="FF0000"/>
          <w:sz w:val="21"/>
          <w:szCs w:val="21"/>
        </w:rPr>
      </w:pPr>
      <w:r>
        <w:rPr>
          <w:rFonts w:ascii="宋体" w:hAnsi="宋体"/>
          <w:b w:val="0"/>
          <w:color w:val="FF0000"/>
          <w:sz w:val="21"/>
          <w:szCs w:val="21"/>
        </w:rPr>
        <w:t>10</w:t>
      </w:r>
      <w:r>
        <w:rPr>
          <w:rFonts w:hint="eastAsia" w:ascii="宋体" w:hAnsi="宋体"/>
          <w:b w:val="0"/>
          <w:color w:val="FF0000"/>
          <w:sz w:val="21"/>
          <w:szCs w:val="21"/>
        </w:rPr>
        <w:t>、《室内空气质量标准》</w:t>
      </w:r>
      <w:r>
        <w:rPr>
          <w:rFonts w:hint="eastAsia" w:ascii="宋体" w:hAnsi="宋体" w:cs="Arial"/>
          <w:b w:val="0"/>
          <w:color w:val="FF0000"/>
          <w:sz w:val="21"/>
          <w:szCs w:val="21"/>
        </w:rPr>
        <w:t>（</w:t>
      </w:r>
      <w:r>
        <w:rPr>
          <w:rFonts w:ascii="宋体" w:hAnsi="宋体" w:cs="Arial"/>
          <w:b w:val="0"/>
          <w:color w:val="FF0000"/>
          <w:sz w:val="21"/>
          <w:szCs w:val="21"/>
        </w:rPr>
        <w:t>GB/T 18883-200</w:t>
      </w:r>
      <w:r>
        <w:rPr>
          <w:rFonts w:hint="eastAsia" w:ascii="宋体" w:hAnsi="宋体" w:cs="Arial"/>
          <w:b w:val="0"/>
          <w:color w:val="FF0000"/>
          <w:sz w:val="21"/>
          <w:szCs w:val="21"/>
        </w:rPr>
        <w:t>）</w:t>
      </w:r>
    </w:p>
    <w:p>
      <w:pPr>
        <w:spacing w:line="360" w:lineRule="auto"/>
        <w:rPr>
          <w:rFonts w:ascii="宋体" w:hAnsi="宋体"/>
          <w:b/>
          <w:color w:val="FF0000"/>
          <w:sz w:val="24"/>
          <w:szCs w:val="24"/>
        </w:rPr>
      </w:pPr>
      <w:r>
        <w:rPr>
          <w:rFonts w:hint="eastAsia" w:ascii="宋体" w:hAnsi="宋体"/>
          <w:b/>
          <w:color w:val="FF0000"/>
          <w:sz w:val="24"/>
          <w:szCs w:val="24"/>
        </w:rPr>
        <w:t>四、技术、服务要求</w:t>
      </w:r>
    </w:p>
    <w:p>
      <w:pPr>
        <w:spacing w:line="420" w:lineRule="atLeast"/>
        <w:ind w:firstLine="210" w:firstLineChars="100"/>
        <w:rPr>
          <w:rFonts w:ascii="宋体"/>
          <w:color w:val="FF0000"/>
          <w:szCs w:val="21"/>
        </w:rPr>
      </w:pPr>
      <w:bookmarkStart w:id="49" w:name="_Toc19420"/>
      <w:r>
        <w:rPr>
          <w:rFonts w:hint="eastAsia" w:ascii="宋体" w:hAnsi="宋体"/>
          <w:color w:val="FF0000"/>
          <w:szCs w:val="21"/>
        </w:rPr>
        <w:t>★</w:t>
      </w:r>
      <w:r>
        <w:rPr>
          <w:rFonts w:ascii="宋体" w:hAnsi="宋体"/>
          <w:color w:val="FF0000"/>
          <w:szCs w:val="21"/>
        </w:rPr>
        <w:t>1</w:t>
      </w:r>
      <w:r>
        <w:rPr>
          <w:rFonts w:hint="eastAsia" w:ascii="宋体" w:hAnsi="宋体"/>
          <w:color w:val="FF0000"/>
          <w:szCs w:val="21"/>
        </w:rPr>
        <w:t>、投标的实验台应符合《教学实验室设备</w:t>
      </w:r>
      <w:r>
        <w:rPr>
          <w:rFonts w:ascii="宋体"/>
          <w:color w:val="FF0000"/>
          <w:szCs w:val="21"/>
        </w:rPr>
        <w:t>-</w:t>
      </w:r>
      <w:r>
        <w:rPr>
          <w:rFonts w:hint="eastAsia" w:ascii="宋体" w:hAnsi="宋体"/>
          <w:color w:val="FF0000"/>
          <w:szCs w:val="21"/>
        </w:rPr>
        <w:t>实验台（桌）的安全要求及试验方法》（</w:t>
      </w:r>
      <w:r>
        <w:rPr>
          <w:rFonts w:ascii="宋体" w:hAnsi="宋体"/>
          <w:color w:val="FF0000"/>
          <w:szCs w:val="21"/>
        </w:rPr>
        <w:t>GB/T 21747</w:t>
      </w:r>
      <w:r>
        <w:rPr>
          <w:rFonts w:hint="eastAsia" w:ascii="宋体" w:hAnsi="宋体"/>
          <w:color w:val="FF0000"/>
          <w:szCs w:val="21"/>
        </w:rPr>
        <w:t>－</w:t>
      </w:r>
      <w:r>
        <w:rPr>
          <w:rFonts w:ascii="宋体" w:hAnsi="宋体"/>
          <w:color w:val="FF0000"/>
          <w:szCs w:val="21"/>
        </w:rPr>
        <w:t>2008</w:t>
      </w:r>
      <w:r>
        <w:rPr>
          <w:rFonts w:hint="eastAsia" w:ascii="宋体" w:hAnsi="宋体"/>
          <w:color w:val="FF0000"/>
          <w:szCs w:val="21"/>
        </w:rPr>
        <w:t>）、《中小学理科实验室装备规范》（</w:t>
      </w:r>
      <w:r>
        <w:rPr>
          <w:rFonts w:ascii="宋体" w:hAnsi="宋体"/>
          <w:color w:val="FF0000"/>
          <w:szCs w:val="21"/>
        </w:rPr>
        <w:t>JY/T 0385-2006</w:t>
      </w:r>
      <w:r>
        <w:rPr>
          <w:rFonts w:hint="eastAsia" w:ascii="宋体" w:hAnsi="宋体"/>
          <w:color w:val="FF0000"/>
          <w:szCs w:val="21"/>
        </w:rPr>
        <w:t>）的相关要求，并经地市级或以上专业检测</w:t>
      </w:r>
      <w:r>
        <w:rPr>
          <w:rFonts w:hint="eastAsia" w:ascii="宋体" w:hAnsi="宋体" w:cs="宋体"/>
          <w:color w:val="FF0000"/>
          <w:kern w:val="0"/>
          <w:szCs w:val="21"/>
          <w:lang w:val="zh-CN"/>
        </w:rPr>
        <w:t>机构</w:t>
      </w:r>
      <w:r>
        <w:rPr>
          <w:rFonts w:hint="eastAsia" w:ascii="宋体" w:hAnsi="宋体"/>
          <w:color w:val="FF0000"/>
          <w:szCs w:val="21"/>
        </w:rPr>
        <w:t>检测合格，且检测报告距招标公告发布时间不超过</w:t>
      </w:r>
      <w:r>
        <w:rPr>
          <w:rFonts w:ascii="宋体" w:hAnsi="宋体"/>
          <w:color w:val="FF0000"/>
          <w:szCs w:val="21"/>
        </w:rPr>
        <w:t>3</w:t>
      </w:r>
      <w:r>
        <w:rPr>
          <w:rFonts w:hint="eastAsia" w:ascii="宋体" w:hAnsi="宋体"/>
          <w:color w:val="FF0000"/>
          <w:szCs w:val="21"/>
        </w:rPr>
        <w:t>年，否则投标无效。</w:t>
      </w:r>
    </w:p>
    <w:p>
      <w:pPr>
        <w:spacing w:line="420" w:lineRule="atLeast"/>
        <w:ind w:firstLine="210" w:firstLineChars="100"/>
        <w:rPr>
          <w:rFonts w:ascii="宋体"/>
          <w:color w:val="FF0000"/>
          <w:szCs w:val="21"/>
        </w:rPr>
      </w:pPr>
      <w:r>
        <w:rPr>
          <w:rFonts w:hint="eastAsia" w:ascii="宋体" w:hAnsi="宋体"/>
          <w:color w:val="FF0000"/>
          <w:szCs w:val="21"/>
        </w:rPr>
        <w:t>★</w:t>
      </w:r>
      <w:r>
        <w:rPr>
          <w:rFonts w:ascii="宋体" w:hAnsi="宋体"/>
          <w:color w:val="FF0000"/>
          <w:szCs w:val="21"/>
        </w:rPr>
        <w:t>2</w:t>
      </w:r>
      <w:r>
        <w:rPr>
          <w:rFonts w:hint="eastAsia" w:ascii="宋体" w:hAnsi="宋体"/>
          <w:color w:val="FF0000"/>
          <w:szCs w:val="21"/>
        </w:rPr>
        <w:t>、投标实验室中主控台电源系统、学生电源系统应符合《教学实验室设备电源系统》（</w:t>
      </w:r>
      <w:r>
        <w:rPr>
          <w:rFonts w:ascii="宋体" w:hAnsi="宋体"/>
          <w:color w:val="FF0000"/>
          <w:szCs w:val="21"/>
        </w:rPr>
        <w:t>JY/T 0374-2004</w:t>
      </w:r>
      <w:r>
        <w:rPr>
          <w:rFonts w:hint="eastAsia" w:ascii="宋体" w:hAnsi="宋体"/>
          <w:color w:val="FF0000"/>
          <w:szCs w:val="21"/>
        </w:rPr>
        <w:t>）的相关要求，并经专业检测</w:t>
      </w:r>
      <w:r>
        <w:rPr>
          <w:rFonts w:hint="eastAsia" w:ascii="宋体" w:hAnsi="宋体" w:cs="宋体"/>
          <w:color w:val="FF0000"/>
          <w:kern w:val="0"/>
          <w:szCs w:val="21"/>
          <w:lang w:val="zh-CN"/>
        </w:rPr>
        <w:t>机构</w:t>
      </w:r>
      <w:r>
        <w:rPr>
          <w:rFonts w:hint="eastAsia" w:ascii="宋体" w:hAnsi="宋体"/>
          <w:color w:val="FF0000"/>
          <w:szCs w:val="21"/>
        </w:rPr>
        <w:t>检测合格，且检测报告距招标公告发布时间不超过</w:t>
      </w:r>
      <w:r>
        <w:rPr>
          <w:rFonts w:ascii="宋体" w:hAnsi="宋体"/>
          <w:color w:val="FF0000"/>
          <w:szCs w:val="21"/>
        </w:rPr>
        <w:t>3</w:t>
      </w:r>
      <w:r>
        <w:rPr>
          <w:rFonts w:hint="eastAsia" w:ascii="宋体" w:hAnsi="宋体"/>
          <w:color w:val="FF0000"/>
          <w:szCs w:val="21"/>
        </w:rPr>
        <w:t>年，否则投标无效。</w:t>
      </w:r>
    </w:p>
    <w:p>
      <w:pPr>
        <w:spacing w:line="420" w:lineRule="atLeast"/>
        <w:ind w:firstLine="210" w:firstLineChars="100"/>
        <w:rPr>
          <w:rFonts w:ascii="宋体"/>
          <w:color w:val="FF0000"/>
          <w:szCs w:val="21"/>
        </w:rPr>
      </w:pPr>
      <w:r>
        <w:rPr>
          <w:rFonts w:hint="eastAsia" w:ascii="宋体" w:hAnsi="宋体"/>
          <w:color w:val="FF0000"/>
          <w:szCs w:val="21"/>
        </w:rPr>
        <w:t>★</w:t>
      </w:r>
      <w:r>
        <w:rPr>
          <w:rFonts w:ascii="宋体" w:hAnsi="宋体"/>
          <w:color w:val="FF0000"/>
          <w:szCs w:val="21"/>
        </w:rPr>
        <w:t>3</w:t>
      </w:r>
      <w:r>
        <w:rPr>
          <w:rFonts w:hint="eastAsia" w:ascii="宋体" w:hAnsi="宋体"/>
          <w:color w:val="FF0000"/>
          <w:szCs w:val="21"/>
        </w:rPr>
        <w:t>、投标的三聚氰胺双饰面板、实芯理化板</w:t>
      </w:r>
      <w:r>
        <w:rPr>
          <w:rFonts w:hint="eastAsia" w:ascii="宋体" w:hAnsi="宋体" w:cs="宋体"/>
          <w:color w:val="FF0000"/>
          <w:kern w:val="0"/>
          <w:szCs w:val="21"/>
        </w:rPr>
        <w:t>的理化性能指标和基本尺寸应达到</w:t>
      </w:r>
      <w:r>
        <w:rPr>
          <w:rFonts w:hint="eastAsia" w:ascii="宋体" w:hAnsi="宋体"/>
          <w:color w:val="FF0000"/>
          <w:szCs w:val="21"/>
        </w:rPr>
        <w:t>《</w:t>
      </w:r>
      <w:r>
        <w:rPr>
          <w:rFonts w:hint="eastAsia" w:ascii="宋体" w:hAnsi="宋体" w:cs="Arial"/>
          <w:bCs/>
          <w:color w:val="FF0000"/>
          <w:kern w:val="0"/>
          <w:szCs w:val="21"/>
        </w:rPr>
        <w:t>浸渍胶膜纸饰面人造板》</w:t>
      </w:r>
      <w:r>
        <w:rPr>
          <w:rFonts w:ascii="宋体" w:hAnsi="宋体" w:cs="Arial"/>
          <w:bCs/>
          <w:color w:val="FF0000"/>
          <w:kern w:val="0"/>
          <w:szCs w:val="21"/>
        </w:rPr>
        <w:t>(GB/T15102-2006)</w:t>
      </w:r>
      <w:r>
        <w:rPr>
          <w:rFonts w:hint="eastAsia" w:ascii="宋体" w:hAnsi="宋体" w:cs="Arial"/>
          <w:bCs/>
          <w:color w:val="FF0000"/>
          <w:kern w:val="0"/>
          <w:szCs w:val="21"/>
        </w:rPr>
        <w:t>、</w:t>
      </w:r>
      <w:r>
        <w:rPr>
          <w:rFonts w:hint="eastAsia" w:ascii="宋体" w:hAnsi="宋体" w:cs="Arial"/>
          <w:color w:val="FF0000"/>
          <w:szCs w:val="21"/>
        </w:rPr>
        <w:t>《人造板及饰面人造板理化性能试验方法》（</w:t>
      </w:r>
      <w:r>
        <w:rPr>
          <w:rFonts w:ascii="宋体" w:hAnsi="宋体" w:cs="Arial"/>
          <w:color w:val="FF0000"/>
          <w:szCs w:val="21"/>
        </w:rPr>
        <w:t>GB/T 17657-1999</w:t>
      </w:r>
      <w:r>
        <w:rPr>
          <w:rFonts w:hint="eastAsia" w:ascii="宋体" w:hAnsi="宋体" w:cs="Arial"/>
          <w:color w:val="FF0000"/>
          <w:szCs w:val="21"/>
        </w:rPr>
        <w:t>）、</w:t>
      </w:r>
      <w:r>
        <w:rPr>
          <w:rFonts w:hint="eastAsia" w:ascii="宋体" w:hAnsi="宋体"/>
          <w:color w:val="FF0000"/>
          <w:szCs w:val="21"/>
        </w:rPr>
        <w:t>《室内装饰装修材料</w:t>
      </w:r>
      <w:r>
        <w:rPr>
          <w:rFonts w:ascii="宋体" w:hAnsi="宋体"/>
          <w:color w:val="FF0000"/>
          <w:szCs w:val="21"/>
        </w:rPr>
        <w:t xml:space="preserve"> </w:t>
      </w:r>
      <w:r>
        <w:rPr>
          <w:rFonts w:hint="eastAsia" w:ascii="宋体" w:hAnsi="宋体"/>
          <w:color w:val="FF0000"/>
          <w:szCs w:val="21"/>
        </w:rPr>
        <w:t>人造板及其制品中甲醛释放限量》（</w:t>
      </w:r>
      <w:r>
        <w:rPr>
          <w:rFonts w:ascii="宋体" w:hAnsi="宋体"/>
          <w:color w:val="FF0000"/>
          <w:szCs w:val="21"/>
        </w:rPr>
        <w:t>GB 18580-2001</w:t>
      </w:r>
      <w:r>
        <w:rPr>
          <w:rFonts w:hint="eastAsia" w:ascii="宋体" w:hAnsi="宋体"/>
          <w:color w:val="FF0000"/>
          <w:szCs w:val="21"/>
        </w:rPr>
        <w:t>）的相关要求，</w:t>
      </w:r>
      <w:r>
        <w:rPr>
          <w:rFonts w:hint="eastAsia" w:ascii="宋体" w:hAnsi="宋体" w:cs="宋体"/>
          <w:color w:val="FF0000"/>
          <w:kern w:val="0"/>
          <w:szCs w:val="21"/>
        </w:rPr>
        <w:t>并经</w:t>
      </w:r>
      <w:r>
        <w:rPr>
          <w:rFonts w:hint="eastAsia" w:ascii="宋体" w:hAnsi="宋体"/>
          <w:bCs/>
          <w:color w:val="FF0000"/>
          <w:szCs w:val="21"/>
        </w:rPr>
        <w:t>国家权威部门检测合格</w:t>
      </w:r>
      <w:r>
        <w:rPr>
          <w:rFonts w:hint="eastAsia" w:ascii="宋体" w:hAnsi="宋体"/>
          <w:color w:val="FF0000"/>
          <w:szCs w:val="21"/>
        </w:rPr>
        <w:t>，板材的背面必须印制产品标识。若投标人所用的板材上没有生产商的相关标识，或者投标人伪造标识，一律按照不合格产品处理，由此造成的一切后果由投标人自行承担。</w:t>
      </w:r>
    </w:p>
    <w:p>
      <w:pPr>
        <w:spacing w:line="420" w:lineRule="atLeast"/>
        <w:ind w:firstLine="210" w:firstLineChars="100"/>
        <w:rPr>
          <w:rFonts w:ascii="宋体"/>
          <w:color w:val="FF0000"/>
          <w:szCs w:val="21"/>
        </w:rPr>
      </w:pPr>
      <w:r>
        <w:rPr>
          <w:rFonts w:hint="eastAsia" w:ascii="宋体" w:hAnsi="宋体"/>
          <w:bCs/>
          <w:color w:val="FF0000"/>
          <w:szCs w:val="21"/>
        </w:rPr>
        <w:t>★</w:t>
      </w:r>
      <w:r>
        <w:rPr>
          <w:rFonts w:ascii="宋体" w:hAnsi="宋体"/>
          <w:bCs/>
          <w:color w:val="FF0000"/>
          <w:szCs w:val="21"/>
        </w:rPr>
        <w:t>4</w:t>
      </w:r>
      <w:r>
        <w:rPr>
          <w:rFonts w:hint="eastAsia" w:ascii="宋体" w:hAnsi="宋体"/>
          <w:color w:val="FF0000"/>
          <w:szCs w:val="21"/>
        </w:rPr>
        <w:t>、投标的</w:t>
      </w:r>
      <w:r>
        <w:rPr>
          <w:rFonts w:hint="eastAsia" w:ascii="宋体" w:hAnsi="宋体" w:cs="宋体"/>
          <w:color w:val="FF0000"/>
          <w:kern w:val="0"/>
          <w:szCs w:val="21"/>
        </w:rPr>
        <w:t>铝合金型材的性能指标和基本尺寸应达到</w:t>
      </w:r>
      <w:r>
        <w:rPr>
          <w:rFonts w:hint="eastAsia" w:ascii="宋体" w:hAnsi="宋体"/>
          <w:color w:val="FF0000"/>
          <w:szCs w:val="21"/>
        </w:rPr>
        <w:t>《</w:t>
      </w:r>
      <w:r>
        <w:rPr>
          <w:rFonts w:hint="eastAsia" w:ascii="宋体" w:hAnsi="宋体" w:cs="Arial"/>
          <w:bCs/>
          <w:color w:val="FF0000"/>
          <w:kern w:val="36"/>
          <w:szCs w:val="21"/>
        </w:rPr>
        <w:t>铝合金建筑型材</w:t>
      </w:r>
      <w:r>
        <w:rPr>
          <w:rFonts w:ascii="宋体" w:hAnsi="宋体" w:cs="Arial"/>
          <w:bCs/>
          <w:color w:val="FF0000"/>
          <w:kern w:val="36"/>
          <w:szCs w:val="21"/>
        </w:rPr>
        <w:t xml:space="preserve"> </w:t>
      </w:r>
      <w:r>
        <w:rPr>
          <w:rFonts w:hint="eastAsia" w:ascii="宋体" w:hAnsi="宋体" w:cs="Arial"/>
          <w:bCs/>
          <w:color w:val="FF0000"/>
          <w:kern w:val="36"/>
          <w:szCs w:val="21"/>
        </w:rPr>
        <w:t>第</w:t>
      </w:r>
      <w:r>
        <w:rPr>
          <w:rFonts w:ascii="宋体" w:hAnsi="宋体" w:cs="Arial"/>
          <w:bCs/>
          <w:color w:val="FF0000"/>
          <w:kern w:val="36"/>
          <w:szCs w:val="21"/>
        </w:rPr>
        <w:t>1</w:t>
      </w:r>
      <w:r>
        <w:rPr>
          <w:rFonts w:hint="eastAsia" w:ascii="宋体" w:hAnsi="宋体" w:cs="Arial"/>
          <w:bCs/>
          <w:color w:val="FF0000"/>
          <w:kern w:val="36"/>
          <w:szCs w:val="21"/>
        </w:rPr>
        <w:t>部分：基材</w:t>
      </w:r>
      <w:r>
        <w:rPr>
          <w:rFonts w:hint="eastAsia" w:ascii="宋体" w:hAnsi="宋体"/>
          <w:color w:val="FF0000"/>
          <w:szCs w:val="21"/>
        </w:rPr>
        <w:t>》（</w:t>
      </w:r>
      <w:r>
        <w:rPr>
          <w:rFonts w:ascii="宋体" w:hAnsi="宋体" w:cs="Arial"/>
          <w:bCs/>
          <w:color w:val="FF0000"/>
          <w:kern w:val="36"/>
          <w:szCs w:val="21"/>
        </w:rPr>
        <w:t>GB5237.1-2008</w:t>
      </w:r>
      <w:r>
        <w:rPr>
          <w:rFonts w:hint="eastAsia" w:ascii="宋体" w:hAnsi="宋体"/>
          <w:color w:val="FF0000"/>
          <w:szCs w:val="21"/>
        </w:rPr>
        <w:t>）的相关要求</w:t>
      </w:r>
      <w:r>
        <w:rPr>
          <w:rFonts w:hint="eastAsia" w:ascii="宋体" w:hAnsi="宋体" w:cs="宋体"/>
          <w:color w:val="FF0000"/>
          <w:kern w:val="0"/>
          <w:szCs w:val="21"/>
        </w:rPr>
        <w:t>，并</w:t>
      </w:r>
      <w:r>
        <w:rPr>
          <w:rFonts w:hint="eastAsia" w:ascii="宋体" w:hAnsi="宋体"/>
          <w:color w:val="FF0000"/>
          <w:szCs w:val="21"/>
        </w:rPr>
        <w:t>取得</w:t>
      </w:r>
      <w:r>
        <w:rPr>
          <w:rFonts w:hint="eastAsia" w:ascii="宋体" w:hAnsi="宋体"/>
          <w:bCs/>
          <w:color w:val="FF0000"/>
          <w:szCs w:val="21"/>
        </w:rPr>
        <w:t>国家权威部门出具的检测报告</w:t>
      </w:r>
      <w:r>
        <w:rPr>
          <w:rFonts w:hint="eastAsia" w:ascii="宋体" w:hAnsi="宋体"/>
          <w:color w:val="FF0000"/>
          <w:szCs w:val="21"/>
        </w:rPr>
        <w:t>。</w:t>
      </w:r>
    </w:p>
    <w:p>
      <w:pPr>
        <w:spacing w:line="420" w:lineRule="atLeast"/>
        <w:ind w:firstLine="420" w:firstLineChars="200"/>
        <w:rPr>
          <w:rFonts w:ascii="宋体"/>
          <w:bCs/>
          <w:color w:val="FF0000"/>
          <w:szCs w:val="21"/>
        </w:rPr>
      </w:pPr>
      <w:r>
        <w:rPr>
          <w:rFonts w:ascii="宋体" w:hAnsi="宋体"/>
          <w:bCs/>
          <w:color w:val="FF0000"/>
          <w:szCs w:val="21"/>
        </w:rPr>
        <w:t>5</w:t>
      </w:r>
      <w:r>
        <w:rPr>
          <w:rFonts w:hint="eastAsia" w:ascii="宋体" w:hAnsi="宋体"/>
          <w:bCs/>
          <w:color w:val="FF0000"/>
          <w:szCs w:val="21"/>
        </w:rPr>
        <w:t>、学生实验台、演示实验台的各个连接部位所使用扣件（螺丝、滑道、铰链、拉手等）必须采用知名厂家的产品，要求连接可靠，不变形、耐腐蚀不生锈，开启灵活。</w:t>
      </w:r>
    </w:p>
    <w:p>
      <w:pPr>
        <w:spacing w:line="420" w:lineRule="atLeast"/>
        <w:ind w:firstLine="420" w:firstLineChars="200"/>
        <w:rPr>
          <w:rFonts w:ascii="宋体"/>
          <w:bCs/>
          <w:color w:val="FF0000"/>
          <w:szCs w:val="21"/>
        </w:rPr>
      </w:pPr>
      <w:r>
        <w:rPr>
          <w:rFonts w:ascii="宋体" w:hAnsi="宋体"/>
          <w:bCs/>
          <w:color w:val="FF0000"/>
          <w:szCs w:val="21"/>
        </w:rPr>
        <w:t>6</w:t>
      </w:r>
      <w:r>
        <w:rPr>
          <w:rFonts w:hint="eastAsia" w:ascii="宋体" w:hAnsi="宋体"/>
          <w:bCs/>
          <w:color w:val="FF0000"/>
          <w:szCs w:val="21"/>
        </w:rPr>
        <w:t>、实验桌上配套的各类仪表、插座、接口、电源线等应采用知名厂商的产品，并设计位置应合理。</w:t>
      </w:r>
    </w:p>
    <w:p>
      <w:pPr>
        <w:spacing w:line="420" w:lineRule="atLeast"/>
        <w:ind w:firstLine="420" w:firstLineChars="200"/>
        <w:rPr>
          <w:rFonts w:ascii="宋体"/>
          <w:bCs/>
          <w:color w:val="FF0000"/>
          <w:szCs w:val="21"/>
        </w:rPr>
      </w:pPr>
      <w:r>
        <w:rPr>
          <w:rFonts w:ascii="宋体" w:hAnsi="宋体"/>
          <w:bCs/>
          <w:color w:val="FF0000"/>
          <w:szCs w:val="21"/>
        </w:rPr>
        <w:t>7</w:t>
      </w:r>
      <w:r>
        <w:rPr>
          <w:rFonts w:hint="eastAsia" w:ascii="宋体" w:hAnsi="宋体"/>
          <w:bCs/>
          <w:color w:val="FF0000"/>
          <w:szCs w:val="21"/>
        </w:rPr>
        <w:t>、实验室中使用上、下水管，电线套管、水龙头等</w:t>
      </w:r>
      <w:r>
        <w:rPr>
          <w:rFonts w:ascii="宋体" w:hAnsi="宋体"/>
          <w:bCs/>
          <w:color w:val="FF0000"/>
          <w:szCs w:val="21"/>
        </w:rPr>
        <w:t>PVC</w:t>
      </w:r>
      <w:r>
        <w:rPr>
          <w:rFonts w:hint="eastAsia" w:ascii="宋体" w:hAnsi="宋体"/>
          <w:bCs/>
          <w:color w:val="FF0000"/>
          <w:szCs w:val="21"/>
        </w:rPr>
        <w:t>管材等应采用知名厂商的产品，并通过质量认证，确保实验室建设的质量。</w:t>
      </w:r>
    </w:p>
    <w:p>
      <w:pPr>
        <w:spacing w:line="420" w:lineRule="atLeast"/>
        <w:ind w:firstLine="420" w:firstLineChars="200"/>
        <w:rPr>
          <w:rFonts w:ascii="宋体"/>
          <w:color w:val="FF0000"/>
          <w:szCs w:val="21"/>
        </w:rPr>
      </w:pPr>
      <w:r>
        <w:rPr>
          <w:rFonts w:ascii="宋体" w:hAnsi="宋体"/>
          <w:color w:val="FF0000"/>
          <w:szCs w:val="21"/>
        </w:rPr>
        <w:t>8</w:t>
      </w:r>
      <w:r>
        <w:rPr>
          <w:rFonts w:hint="eastAsia" w:ascii="宋体" w:hAnsi="宋体"/>
          <w:color w:val="FF0000"/>
          <w:szCs w:val="21"/>
        </w:rPr>
        <w:t>、实验室的电源线、进水管、排水管等应埋地、埋墙，集中排水。</w:t>
      </w:r>
    </w:p>
    <w:p>
      <w:pPr>
        <w:spacing w:line="420" w:lineRule="atLeast"/>
        <w:ind w:firstLine="210" w:firstLineChars="100"/>
        <w:rPr>
          <w:rFonts w:ascii="宋体"/>
          <w:color w:val="FF0000"/>
          <w:szCs w:val="21"/>
        </w:rPr>
      </w:pPr>
      <w:r>
        <w:rPr>
          <w:rFonts w:hint="eastAsia" w:ascii="宋体" w:hAnsi="宋体"/>
          <w:bCs/>
          <w:color w:val="FF0000"/>
          <w:szCs w:val="21"/>
        </w:rPr>
        <w:t>★</w:t>
      </w:r>
      <w:r>
        <w:rPr>
          <w:rFonts w:ascii="宋体" w:hAnsi="宋体"/>
          <w:bCs/>
          <w:color w:val="FF0000"/>
          <w:szCs w:val="21"/>
        </w:rPr>
        <w:t>9</w:t>
      </w:r>
      <w:r>
        <w:rPr>
          <w:rFonts w:hint="eastAsia" w:ascii="宋体" w:hAnsi="宋体"/>
          <w:color w:val="FF0000"/>
          <w:szCs w:val="21"/>
        </w:rPr>
        <w:t>、实验室地面需铺装</w:t>
      </w:r>
      <w:r>
        <w:rPr>
          <w:rFonts w:ascii="宋体" w:hAnsi="宋体"/>
          <w:color w:val="FF0000"/>
          <w:szCs w:val="21"/>
        </w:rPr>
        <w:t>PVC</w:t>
      </w:r>
      <w:r>
        <w:rPr>
          <w:rFonts w:hint="eastAsia" w:ascii="宋体" w:hAnsi="宋体"/>
          <w:color w:val="FF0000"/>
          <w:szCs w:val="21"/>
        </w:rPr>
        <w:t>地板，</w:t>
      </w:r>
      <w:r>
        <w:rPr>
          <w:rFonts w:ascii="宋体" w:hAnsi="宋体"/>
          <w:color w:val="FF0000"/>
          <w:szCs w:val="21"/>
        </w:rPr>
        <w:t>PVC</w:t>
      </w:r>
      <w:r>
        <w:rPr>
          <w:rFonts w:hint="eastAsia" w:ascii="宋体" w:hAnsi="宋体"/>
          <w:color w:val="FF0000"/>
          <w:szCs w:val="21"/>
        </w:rPr>
        <w:t>地板要耐磨</w:t>
      </w:r>
      <w:r>
        <w:rPr>
          <w:rFonts w:ascii="宋体" w:hAnsi="宋体"/>
          <w:color w:val="FF0000"/>
          <w:szCs w:val="21"/>
        </w:rPr>
        <w:t>(</w:t>
      </w:r>
      <w:r>
        <w:rPr>
          <w:rFonts w:hint="eastAsia" w:ascii="宋体" w:hAnsi="宋体"/>
          <w:color w:val="FF0000"/>
          <w:szCs w:val="21"/>
        </w:rPr>
        <w:t>磨耗量</w:t>
      </w:r>
      <w:r>
        <w:rPr>
          <w:rFonts w:ascii="宋体" w:hAnsi="宋体"/>
          <w:color w:val="FF0000"/>
          <w:szCs w:val="21"/>
        </w:rPr>
        <w:t>&lt;0.028g/cm*cm (GB4085-83</w:t>
      </w:r>
      <w:r>
        <w:rPr>
          <w:rFonts w:hint="eastAsia" w:ascii="宋体" w:hAnsi="宋体"/>
          <w:color w:val="FF0000"/>
          <w:szCs w:val="21"/>
        </w:rPr>
        <w:t>））、防静电（</w:t>
      </w:r>
      <w:r>
        <w:fldChar w:fldCharType="begin"/>
      </w:r>
      <w:r>
        <w:instrText xml:space="preserve"> HYPERLINK "http://baike.baidu.com/item/%E7%B3%BB%E7%BB%9F%E7%94%B5%E9%98%BB" \t "http://baike.baidu.com/_blank" </w:instrText>
      </w:r>
      <w:r>
        <w:fldChar w:fldCharType="separate"/>
      </w:r>
      <w:r>
        <w:rPr>
          <w:rFonts w:hint="eastAsia" w:ascii="宋体" w:hAnsi="宋体"/>
          <w:color w:val="FF0000"/>
          <w:szCs w:val="21"/>
        </w:rPr>
        <w:t>系统电阻</w:t>
      </w:r>
      <w:r>
        <w:rPr>
          <w:rFonts w:hint="eastAsia" w:ascii="宋体" w:hAnsi="宋体"/>
          <w:color w:val="FF0000"/>
          <w:szCs w:val="21"/>
        </w:rPr>
        <w:fldChar w:fldCharType="end"/>
      </w:r>
      <w:r>
        <w:rPr>
          <w:rFonts w:ascii="宋体" w:hAnsi="宋体"/>
          <w:color w:val="FF0000"/>
          <w:szCs w:val="21"/>
        </w:rPr>
        <w:t>10K</w:t>
      </w:r>
      <w:r>
        <w:rPr>
          <w:rFonts w:hint="eastAsia" w:ascii="宋体" w:hAnsi="宋体"/>
          <w:color w:val="FF0000"/>
          <w:szCs w:val="21"/>
        </w:rPr>
        <w:t>Ω</w:t>
      </w:r>
      <w:r>
        <w:rPr>
          <w:rFonts w:ascii="宋体" w:hAnsi="宋体"/>
          <w:color w:val="FF0000"/>
          <w:szCs w:val="21"/>
        </w:rPr>
        <w:t>—1M</w:t>
      </w:r>
      <w:r>
        <w:rPr>
          <w:rFonts w:hint="eastAsia" w:ascii="宋体" w:hAnsi="宋体"/>
          <w:color w:val="FF0000"/>
          <w:szCs w:val="21"/>
        </w:rPr>
        <w:t>Ω（导静电型</w:t>
      </w:r>
      <w:r>
        <w:rPr>
          <w:rFonts w:ascii="宋体" w:hAnsi="宋体"/>
          <w:color w:val="FF0000"/>
          <w:szCs w:val="21"/>
        </w:rPr>
        <w:t>IEC1340-4-1995</w:t>
      </w:r>
      <w:r>
        <w:rPr>
          <w:rFonts w:hint="eastAsia" w:ascii="宋体" w:hAnsi="宋体"/>
          <w:color w:val="FF0000"/>
          <w:szCs w:val="21"/>
        </w:rPr>
        <w:t>）系统电阻</w:t>
      </w:r>
      <w:r>
        <w:rPr>
          <w:rFonts w:ascii="宋体" w:hAnsi="宋体"/>
          <w:color w:val="FF0000"/>
          <w:szCs w:val="21"/>
        </w:rPr>
        <w:t>1M</w:t>
      </w:r>
      <w:r>
        <w:rPr>
          <w:rFonts w:hint="eastAsia" w:ascii="宋体" w:hAnsi="宋体"/>
          <w:color w:val="FF0000"/>
          <w:szCs w:val="21"/>
        </w:rPr>
        <w:t>Ω</w:t>
      </w:r>
      <w:r>
        <w:rPr>
          <w:rFonts w:ascii="宋体" w:hAnsi="宋体"/>
          <w:color w:val="FF0000"/>
          <w:szCs w:val="21"/>
        </w:rPr>
        <w:t>—1KM</w:t>
      </w:r>
      <w:r>
        <w:rPr>
          <w:rFonts w:hint="eastAsia" w:ascii="宋体" w:hAnsi="宋体"/>
          <w:color w:val="FF0000"/>
          <w:szCs w:val="21"/>
        </w:rPr>
        <w:t>Ω（防静电型</w:t>
      </w:r>
      <w:r>
        <w:rPr>
          <w:rFonts w:ascii="宋体" w:hAnsi="宋体"/>
          <w:color w:val="FF0000"/>
          <w:szCs w:val="21"/>
        </w:rPr>
        <w:t>IEC1340-4-1995</w:t>
      </w:r>
      <w:r>
        <w:rPr>
          <w:rFonts w:hint="eastAsia" w:ascii="宋体" w:hAnsi="宋体"/>
          <w:color w:val="FF0000"/>
          <w:szCs w:val="21"/>
        </w:rPr>
        <w:t>）</w:t>
      </w:r>
    </w:p>
    <w:p>
      <w:pPr>
        <w:spacing w:line="420" w:lineRule="atLeast"/>
        <w:ind w:firstLine="420" w:firstLineChars="200"/>
        <w:rPr>
          <w:rFonts w:ascii="宋体"/>
          <w:color w:val="FF0000"/>
          <w:szCs w:val="21"/>
        </w:rPr>
      </w:pPr>
      <w:r>
        <w:rPr>
          <w:rFonts w:hint="eastAsia" w:ascii="宋体" w:hAnsi="宋体"/>
          <w:color w:val="FF0000"/>
          <w:szCs w:val="21"/>
        </w:rPr>
        <w:t>·起电电压：</w:t>
      </w:r>
      <w:r>
        <w:rPr>
          <w:rFonts w:ascii="宋体" w:hAnsi="宋体"/>
          <w:color w:val="FF0000"/>
          <w:szCs w:val="21"/>
        </w:rPr>
        <w:t>&lt;100V(SJ/T10664-1996</w:t>
      </w:r>
      <w:r>
        <w:rPr>
          <w:rFonts w:hint="eastAsia" w:ascii="宋体" w:hAnsi="宋体"/>
          <w:color w:val="FF0000"/>
          <w:szCs w:val="21"/>
        </w:rPr>
        <w:t>）</w:t>
      </w:r>
    </w:p>
    <w:p>
      <w:pPr>
        <w:spacing w:line="420" w:lineRule="atLeast"/>
        <w:ind w:firstLine="420" w:firstLineChars="200"/>
        <w:rPr>
          <w:rFonts w:ascii="宋体"/>
          <w:color w:val="FF0000"/>
          <w:szCs w:val="21"/>
        </w:rPr>
      </w:pPr>
      <w:r>
        <w:rPr>
          <w:rFonts w:hint="eastAsia" w:ascii="宋体" w:hAnsi="宋体"/>
          <w:color w:val="FF0000"/>
          <w:szCs w:val="21"/>
        </w:rPr>
        <w:t>·燃烧性能：</w:t>
      </w:r>
      <w:r>
        <w:rPr>
          <w:rFonts w:ascii="宋体" w:hAnsi="宋体"/>
          <w:color w:val="FF0000"/>
          <w:szCs w:val="21"/>
        </w:rPr>
        <w:t>&lt;10</w:t>
      </w:r>
      <w:r>
        <w:rPr>
          <w:rFonts w:hint="eastAsia" w:ascii="宋体" w:hAnsi="宋体"/>
          <w:color w:val="FF0000"/>
          <w:szCs w:val="21"/>
        </w:rPr>
        <w:t>秒（</w:t>
      </w:r>
      <w:r>
        <w:rPr>
          <w:rFonts w:ascii="宋体" w:hAnsi="宋体"/>
          <w:color w:val="FF0000"/>
          <w:szCs w:val="21"/>
        </w:rPr>
        <w:t>GB4609-84FV-0)</w:t>
      </w:r>
    </w:p>
    <w:p>
      <w:pPr>
        <w:spacing w:line="420" w:lineRule="atLeast"/>
        <w:ind w:firstLine="420" w:firstLineChars="200"/>
        <w:rPr>
          <w:rFonts w:ascii="宋体"/>
          <w:color w:val="FF0000"/>
          <w:szCs w:val="21"/>
        </w:rPr>
      </w:pPr>
      <w:r>
        <w:rPr>
          <w:rFonts w:hint="eastAsia" w:ascii="宋体" w:hAnsi="宋体"/>
          <w:color w:val="FF0000"/>
          <w:szCs w:val="21"/>
        </w:rPr>
        <w:t>·衰减时间：</w:t>
      </w:r>
      <w:r>
        <w:rPr>
          <w:rFonts w:ascii="宋体" w:hAnsi="宋体"/>
          <w:color w:val="FF0000"/>
          <w:szCs w:val="21"/>
        </w:rPr>
        <w:t>&lt;2</w:t>
      </w:r>
      <w:r>
        <w:rPr>
          <w:rFonts w:hint="eastAsia" w:ascii="宋体" w:hAnsi="宋体"/>
          <w:color w:val="FF0000"/>
          <w:szCs w:val="21"/>
        </w:rPr>
        <w:t>秒（</w:t>
      </w:r>
      <w:r>
        <w:rPr>
          <w:rFonts w:ascii="宋体" w:hAnsi="宋体"/>
          <w:color w:val="FF0000"/>
          <w:szCs w:val="21"/>
        </w:rPr>
        <w:t>GJB2605-1996 5KV-0.5KV</w:t>
      </w:r>
      <w:r>
        <w:rPr>
          <w:rFonts w:hint="eastAsia" w:ascii="宋体" w:hAnsi="宋体"/>
          <w:color w:val="FF0000"/>
          <w:szCs w:val="21"/>
        </w:rPr>
        <w:t>））、厚度≥</w:t>
      </w:r>
      <w:r>
        <w:rPr>
          <w:rFonts w:ascii="宋体" w:hAnsi="宋体"/>
          <w:color w:val="FF0000"/>
          <w:szCs w:val="21"/>
        </w:rPr>
        <w:t>2.0mm</w:t>
      </w:r>
      <w:r>
        <w:rPr>
          <w:rFonts w:hint="eastAsia" w:ascii="宋体" w:hAnsi="宋体"/>
          <w:color w:val="FF0000"/>
          <w:szCs w:val="21"/>
        </w:rPr>
        <w:t>、密实型。费用计入投标报价中。</w:t>
      </w:r>
    </w:p>
    <w:p>
      <w:pPr>
        <w:spacing w:line="360" w:lineRule="auto"/>
        <w:ind w:firstLine="420" w:firstLineChars="200"/>
        <w:rPr>
          <w:rFonts w:ascii="宋体" w:hAnsi="宋体"/>
          <w:color w:val="FF0000"/>
          <w:szCs w:val="21"/>
        </w:rPr>
      </w:pPr>
      <w:r>
        <w:rPr>
          <w:rFonts w:hint="eastAsia" w:ascii="宋体" w:hAnsi="宋体"/>
          <w:color w:val="FF0000"/>
          <w:szCs w:val="21"/>
        </w:rPr>
        <w:t>★</w:t>
      </w:r>
      <w:r>
        <w:rPr>
          <w:rFonts w:ascii="宋体" w:hAnsi="宋体"/>
          <w:color w:val="FF0000"/>
          <w:szCs w:val="21"/>
        </w:rPr>
        <w:t>10</w:t>
      </w:r>
      <w:r>
        <w:rPr>
          <w:rFonts w:hint="eastAsia" w:ascii="宋体" w:hAnsi="宋体"/>
          <w:color w:val="FF0000"/>
          <w:szCs w:val="21"/>
        </w:rPr>
        <w:t>、对于制造实验室成套设备所需的</w:t>
      </w:r>
      <w:r>
        <w:rPr>
          <w:rFonts w:hint="eastAsia" w:ascii="宋体" w:hAnsi="宋体" w:cs="宋体"/>
          <w:color w:val="FF0000"/>
          <w:kern w:val="0"/>
          <w:szCs w:val="21"/>
        </w:rPr>
        <w:t>铝合金型材、</w:t>
      </w:r>
      <w:r>
        <w:rPr>
          <w:rFonts w:hint="eastAsia" w:ascii="宋体" w:hAnsi="宋体"/>
          <w:color w:val="FF0000"/>
          <w:szCs w:val="21"/>
        </w:rPr>
        <w:t>三聚氰胺双饰面板、实心理化板三种主要原材料，各自</w:t>
      </w:r>
      <w:r>
        <w:rPr>
          <w:rFonts w:hint="eastAsia" w:ascii="宋体" w:hAnsi="宋体" w:cs="宋体"/>
          <w:bCs/>
          <w:color w:val="FF0000"/>
          <w:kern w:val="0"/>
          <w:szCs w:val="21"/>
          <w:lang w:val="hr-HR"/>
        </w:rPr>
        <w:t>只能使用同一品牌和规格型号的产品（材质、性能相同），并且</w:t>
      </w:r>
      <w:r>
        <w:rPr>
          <w:rFonts w:hint="eastAsia" w:ascii="宋体" w:hAnsi="宋体"/>
          <w:color w:val="FF0000"/>
          <w:szCs w:val="21"/>
        </w:rPr>
        <w:t>实心理化板只能使用同一个制造商生产的产品，否则投标无效。</w:t>
      </w:r>
      <w:r>
        <w:rPr>
          <w:rFonts w:ascii="宋体" w:hAnsi="宋体"/>
          <w:b/>
          <w:bCs/>
          <w:color w:val="FF0000"/>
          <w:szCs w:val="21"/>
        </w:rPr>
        <w:t xml:space="preserve"> </w:t>
      </w:r>
      <w:r>
        <w:rPr>
          <w:rFonts w:ascii="宋体" w:hAnsi="宋体"/>
          <w:color w:val="FF0000"/>
          <w:szCs w:val="21"/>
        </w:rPr>
        <w:t xml:space="preserve"> </w:t>
      </w:r>
    </w:p>
    <w:p>
      <w:pPr>
        <w:spacing w:line="360" w:lineRule="auto"/>
        <w:ind w:left="716" w:hanging="712" w:hangingChars="297"/>
        <w:rPr>
          <w:color w:val="FF0000"/>
          <w:lang w:val="zh-CN"/>
        </w:rPr>
      </w:pPr>
      <w:r>
        <w:rPr>
          <w:rFonts w:hint="eastAsia" w:ascii="宋体" w:hAnsi="宋体" w:cs="宋体"/>
          <w:b/>
          <w:color w:val="FF0000"/>
          <w:sz w:val="24"/>
          <w:szCs w:val="24"/>
        </w:rPr>
        <w:t>说明：投标人在投标文件《技术、服务要求响应、偏离说明表》中应对以下技术、服务要求逐条进行响应描述或偏离说明。不满足以上要求的，其投标按照无效投标处理。</w:t>
      </w:r>
    </w:p>
    <w:p>
      <w:pPr>
        <w:pStyle w:val="3"/>
        <w:tabs>
          <w:tab w:val="center" w:pos="4536"/>
          <w:tab w:val="left" w:pos="5880"/>
        </w:tabs>
        <w:spacing w:line="360" w:lineRule="auto"/>
        <w:rPr>
          <w:color w:val="FF0000"/>
          <w:sz w:val="24"/>
          <w:szCs w:val="24"/>
        </w:rPr>
      </w:pPr>
      <w:r>
        <w:rPr>
          <w:rFonts w:hint="eastAsia"/>
          <w:color w:val="FF0000"/>
          <w:sz w:val="24"/>
          <w:szCs w:val="24"/>
        </w:rPr>
        <w:t>五、商务要求</w:t>
      </w:r>
      <w:bookmarkEnd w:id="49"/>
    </w:p>
    <w:p>
      <w:pPr>
        <w:pStyle w:val="38"/>
        <w:numPr>
          <w:ilvl w:val="0"/>
          <w:numId w:val="37"/>
        </w:numPr>
        <w:spacing w:line="360" w:lineRule="auto"/>
        <w:ind w:firstLineChars="0"/>
        <w:rPr>
          <w:rFonts w:ascii="宋体"/>
          <w:color w:val="FF0000"/>
          <w:szCs w:val="21"/>
        </w:rPr>
      </w:pPr>
      <w:bookmarkStart w:id="50" w:name="_Toc10992"/>
      <w:r>
        <w:rPr>
          <w:rFonts w:hint="eastAsia" w:ascii="宋体" w:hAnsi="宋体"/>
          <w:color w:val="FF0000"/>
          <w:szCs w:val="21"/>
        </w:rPr>
        <w:t>培训要求：在施工期间，实地培训学校实验老师的操作应用。</w:t>
      </w:r>
    </w:p>
    <w:p>
      <w:pPr>
        <w:pStyle w:val="38"/>
        <w:numPr>
          <w:ilvl w:val="0"/>
          <w:numId w:val="37"/>
        </w:numPr>
        <w:spacing w:line="360" w:lineRule="auto"/>
        <w:ind w:firstLineChars="0"/>
        <w:rPr>
          <w:rFonts w:ascii="宋体"/>
          <w:color w:val="FF0000"/>
          <w:szCs w:val="21"/>
        </w:rPr>
      </w:pPr>
      <w:r>
        <w:rPr>
          <w:rFonts w:hint="eastAsia" w:ascii="宋体" w:hAnsi="宋体"/>
          <w:color w:val="FF0000"/>
          <w:szCs w:val="21"/>
        </w:rPr>
        <w:t>质量保证：在质保期内，中标方对产品的质量负全责。如果证实产品质量存在问题，中标方应在</w:t>
      </w:r>
      <w:r>
        <w:rPr>
          <w:rFonts w:ascii="宋体" w:hAnsi="宋体"/>
          <w:color w:val="FF0000"/>
          <w:szCs w:val="21"/>
        </w:rPr>
        <w:t>48</w:t>
      </w:r>
      <w:r>
        <w:rPr>
          <w:rFonts w:hint="eastAsia" w:ascii="宋体" w:hAnsi="宋体"/>
          <w:color w:val="FF0000"/>
          <w:szCs w:val="21"/>
        </w:rPr>
        <w:t>小时以内免费予以维修或更换。</w:t>
      </w:r>
    </w:p>
    <w:p>
      <w:pPr>
        <w:pStyle w:val="38"/>
        <w:spacing w:line="360" w:lineRule="auto"/>
        <w:ind w:left="420" w:leftChars="100" w:hanging="210" w:hangingChars="100"/>
        <w:rPr>
          <w:rFonts w:ascii="宋体"/>
          <w:color w:val="FF0000"/>
          <w:szCs w:val="21"/>
        </w:rPr>
      </w:pPr>
      <w:r>
        <w:rPr>
          <w:rFonts w:ascii="宋体" w:hAnsi="宋体"/>
          <w:b/>
          <w:bCs/>
          <w:color w:val="FF0000"/>
          <w:szCs w:val="21"/>
        </w:rPr>
        <w:t>3</w:t>
      </w:r>
      <w:r>
        <w:rPr>
          <w:rFonts w:hint="eastAsia" w:ascii="宋体" w:hAnsi="宋体"/>
          <w:color w:val="FF0000"/>
          <w:szCs w:val="21"/>
        </w:rPr>
        <w:t>、售后服务：</w:t>
      </w:r>
    </w:p>
    <w:p>
      <w:pPr>
        <w:pStyle w:val="38"/>
        <w:spacing w:line="360" w:lineRule="auto"/>
        <w:rPr>
          <w:rFonts w:ascii="宋体" w:hAnsi="宋体"/>
          <w:color w:val="FF0000"/>
          <w:szCs w:val="21"/>
        </w:rPr>
      </w:pPr>
      <w:r>
        <w:rPr>
          <w:rFonts w:hint="eastAsia" w:ascii="宋体" w:hAnsi="宋体"/>
          <w:color w:val="FF0000"/>
          <w:szCs w:val="21"/>
        </w:rPr>
        <w:t>质量保证期内，中标方应定期对器材进行一次全面的维修、紧固工作，更换残缺、缺损的零部件。</w:t>
      </w:r>
    </w:p>
    <w:p>
      <w:pPr>
        <w:pStyle w:val="38"/>
        <w:spacing w:line="360" w:lineRule="auto"/>
        <w:ind w:left="142" w:firstLine="0" w:firstLineChars="0"/>
        <w:rPr>
          <w:rFonts w:ascii="宋体"/>
          <w:color w:val="FF0000"/>
          <w:szCs w:val="21"/>
        </w:rPr>
      </w:pPr>
      <w:r>
        <w:rPr>
          <w:rFonts w:hint="eastAsia" w:ascii="宋体" w:hAnsi="宋体"/>
          <w:color w:val="FF0000"/>
          <w:szCs w:val="21"/>
          <w:shd w:val="clear" w:color="auto" w:fill="FFFFFF"/>
        </w:rPr>
        <w:t>4</w:t>
      </w:r>
      <w:r>
        <w:rPr>
          <w:rFonts w:hint="eastAsia" w:ascii="宋体" w:hAnsi="宋体"/>
          <w:color w:val="FF0000"/>
          <w:szCs w:val="21"/>
        </w:rPr>
        <w:t>、项目</w:t>
      </w:r>
      <w:r>
        <w:rPr>
          <w:rFonts w:hint="eastAsia" w:ascii="宋体" w:hAnsi="宋体"/>
          <w:color w:val="FF0000"/>
          <w:szCs w:val="21"/>
          <w:shd w:val="clear" w:color="auto" w:fill="FFFFFF"/>
        </w:rPr>
        <w:t>验收：</w:t>
      </w:r>
      <w:r>
        <w:rPr>
          <w:rFonts w:hint="eastAsia" w:ascii="宋体" w:hAnsi="宋体"/>
          <w:color w:val="FF0000"/>
          <w:szCs w:val="21"/>
        </w:rPr>
        <w:t>项目</w:t>
      </w:r>
      <w:r>
        <w:rPr>
          <w:rFonts w:hint="eastAsia" w:ascii="宋体" w:hAnsi="宋体"/>
          <w:color w:val="FF0000"/>
          <w:szCs w:val="21"/>
          <w:shd w:val="clear" w:color="auto" w:fill="FFFFFF"/>
        </w:rPr>
        <w:t>完工，双方组织有关人员进行验收</w:t>
      </w:r>
      <w:r>
        <w:rPr>
          <w:rFonts w:ascii="宋体" w:hAnsi="宋体"/>
          <w:color w:val="FF0000"/>
          <w:szCs w:val="21"/>
          <w:shd w:val="clear" w:color="auto" w:fill="FFFFFF"/>
        </w:rPr>
        <w:t>:</w:t>
      </w:r>
      <w:r>
        <w:rPr>
          <w:rFonts w:hint="eastAsia" w:ascii="宋体" w:hAnsi="宋体"/>
          <w:color w:val="FF0000"/>
          <w:szCs w:val="21"/>
          <w:shd w:val="clear" w:color="auto" w:fill="FFFFFF"/>
        </w:rPr>
        <w:t>首先随机抽每种板材按标书要求和投标方响应标准及评分标准加分项要求到省级第三方机构进行检测，合格后，组织相关人员对项目的用材，质量，安装工艺按招投标文件进行验收，验收一次不合格，可以进行第二次，甲方拒绝进行第三次验收。验收费用由中标单位承担，验收费用计入投标报价中。</w:t>
      </w:r>
    </w:p>
    <w:p>
      <w:pPr>
        <w:widowControl/>
        <w:spacing w:line="360" w:lineRule="auto"/>
        <w:ind w:firstLine="420" w:firstLineChars="200"/>
        <w:rPr>
          <w:rFonts w:ascii="宋体" w:hAnsi="宋体"/>
          <w:color w:val="FF0000"/>
          <w:szCs w:val="21"/>
        </w:rPr>
      </w:pPr>
      <w:r>
        <w:rPr>
          <w:rFonts w:ascii="宋体" w:hAnsi="宋体"/>
          <w:color w:val="FF0000"/>
          <w:szCs w:val="21"/>
        </w:rPr>
        <w:t xml:space="preserve"> </w:t>
      </w:r>
      <w:r>
        <w:rPr>
          <w:rFonts w:hint="eastAsia" w:ascii="宋体" w:hAnsi="宋体"/>
          <w:color w:val="FF0000"/>
          <w:szCs w:val="21"/>
        </w:rPr>
        <w:t>★5、投标文件必须附有招标文件中要求的检测报告</w:t>
      </w:r>
      <w:r>
        <w:rPr>
          <w:rFonts w:ascii="宋体" w:hAnsi="宋体"/>
          <w:color w:val="FF0000"/>
          <w:szCs w:val="21"/>
        </w:rPr>
        <w:t xml:space="preserve"> </w:t>
      </w:r>
      <w:r>
        <w:rPr>
          <w:rFonts w:hint="eastAsia" w:ascii="宋体" w:hAnsi="宋体"/>
          <w:color w:val="FF0000"/>
          <w:szCs w:val="21"/>
        </w:rPr>
        <w:t>并加盖公章；如发现检测报告有假，作废标处理。</w:t>
      </w:r>
    </w:p>
    <w:p>
      <w:pPr>
        <w:pStyle w:val="38"/>
        <w:spacing w:line="360" w:lineRule="auto"/>
        <w:ind w:left="142" w:firstLine="480"/>
        <w:rPr>
          <w:rFonts w:ascii="宋体"/>
          <w:color w:val="FF0000"/>
          <w:szCs w:val="21"/>
          <w:shd w:val="clear" w:color="auto" w:fill="FFFFFF"/>
        </w:rPr>
      </w:pPr>
      <w:r>
        <w:rPr>
          <w:rFonts w:hint="eastAsia" w:ascii="宋体" w:hAnsi="宋体"/>
          <w:color w:val="FF0000"/>
          <w:sz w:val="24"/>
          <w:szCs w:val="24"/>
        </w:rPr>
        <w:t>6、</w:t>
      </w:r>
      <w:r>
        <w:rPr>
          <w:rFonts w:hint="eastAsia" w:ascii="宋体" w:hAnsi="宋体"/>
          <w:color w:val="FF0000"/>
          <w:sz w:val="24"/>
          <w:szCs w:val="24"/>
          <w:shd w:val="clear" w:color="auto" w:fill="FFFFFF"/>
        </w:rPr>
        <w:t>付款方式：</w:t>
      </w:r>
      <w:r>
        <w:rPr>
          <w:rFonts w:hint="eastAsia" w:ascii="宋体" w:hAnsi="宋体"/>
          <w:color w:val="FF0000"/>
          <w:sz w:val="24"/>
          <w:szCs w:val="24"/>
        </w:rPr>
        <w:t>项目</w:t>
      </w:r>
      <w:r>
        <w:rPr>
          <w:rFonts w:hint="eastAsia" w:ascii="宋体" w:hAnsi="宋体"/>
          <w:color w:val="FF0000"/>
          <w:sz w:val="24"/>
          <w:szCs w:val="24"/>
          <w:shd w:val="clear" w:color="auto" w:fill="FFFFFF"/>
        </w:rPr>
        <w:t>验收</w:t>
      </w:r>
      <w:r>
        <w:rPr>
          <w:rFonts w:hint="eastAsia" w:ascii="宋体" w:hAnsi="宋体"/>
          <w:color w:val="FF0000"/>
          <w:szCs w:val="21"/>
          <w:shd w:val="clear" w:color="auto" w:fill="FFFFFF"/>
        </w:rPr>
        <w:t>合格后，第一年付</w:t>
      </w:r>
      <w:r>
        <w:rPr>
          <w:rFonts w:ascii="宋体" w:hAnsi="宋体"/>
          <w:color w:val="FF0000"/>
          <w:szCs w:val="21"/>
          <w:shd w:val="clear" w:color="auto" w:fill="FFFFFF"/>
        </w:rPr>
        <w:t>95%</w:t>
      </w:r>
      <w:r>
        <w:rPr>
          <w:rFonts w:hint="eastAsia" w:ascii="宋体" w:hAnsi="宋体"/>
          <w:color w:val="FF0000"/>
          <w:szCs w:val="21"/>
          <w:shd w:val="clear" w:color="auto" w:fill="FFFFFF"/>
        </w:rPr>
        <w:t>，第二年付</w:t>
      </w:r>
      <w:r>
        <w:rPr>
          <w:rFonts w:ascii="宋体" w:hAnsi="宋体"/>
          <w:color w:val="FF0000"/>
          <w:szCs w:val="21"/>
          <w:shd w:val="clear" w:color="auto" w:fill="FFFFFF"/>
        </w:rPr>
        <w:t>5%</w:t>
      </w:r>
      <w:r>
        <w:rPr>
          <w:rFonts w:hint="eastAsia" w:ascii="宋体" w:hAnsi="宋体"/>
          <w:color w:val="FF0000"/>
          <w:szCs w:val="21"/>
          <w:shd w:val="clear" w:color="auto" w:fill="FFFFFF"/>
        </w:rPr>
        <w:t>。</w:t>
      </w:r>
    </w:p>
    <w:p>
      <w:pPr>
        <w:pStyle w:val="38"/>
        <w:ind w:firstLine="0" w:firstLineChars="0"/>
        <w:rPr>
          <w:rFonts w:ascii="宋体" w:cs="宋体"/>
          <w:color w:val="000000"/>
          <w:sz w:val="24"/>
          <w:szCs w:val="24"/>
        </w:rPr>
      </w:pPr>
      <w:r>
        <w:rPr>
          <w:rFonts w:hint="eastAsia" w:ascii="宋体" w:hAnsi="宋体"/>
          <w:b/>
          <w:szCs w:val="21"/>
          <w:shd w:val="clear" w:color="auto" w:fill="FFFFFF"/>
        </w:rPr>
        <w:t>注：带“★”的技术参数、要求必须满足，任何一条不满足的做废标处理。</w:t>
      </w:r>
    </w:p>
    <w:p>
      <w:pPr>
        <w:spacing w:line="360" w:lineRule="auto"/>
        <w:rPr>
          <w:rFonts w:ascii="宋体" w:hAnsi="宋体" w:cs="宋体"/>
          <w:b/>
          <w:color w:val="000000"/>
          <w:sz w:val="24"/>
          <w:szCs w:val="24"/>
        </w:rPr>
      </w:pPr>
      <w:r>
        <w:rPr>
          <w:rFonts w:hint="eastAsia" w:ascii="宋体" w:hAnsi="宋体" w:cs="宋体"/>
          <w:b/>
          <w:color w:val="000000"/>
          <w:sz w:val="24"/>
          <w:szCs w:val="24"/>
        </w:rPr>
        <w:t>说明：</w:t>
      </w:r>
      <w:r>
        <w:rPr>
          <w:rFonts w:hint="eastAsia" w:ascii="宋体" w:hAnsi="宋体" w:cs="仿宋_GB2312"/>
          <w:b/>
          <w:sz w:val="24"/>
          <w:szCs w:val="24"/>
        </w:rPr>
        <w:t>投标人在投标文件《商务要求响应、偏离说明表》中应对以下逐条商务要求进行响应描述或偏离说明。</w:t>
      </w:r>
      <w:r>
        <w:rPr>
          <w:rFonts w:hint="eastAsia" w:ascii="宋体" w:hAnsi="宋体" w:cs="宋体"/>
          <w:b/>
          <w:color w:val="000000"/>
          <w:sz w:val="24"/>
          <w:szCs w:val="24"/>
        </w:rPr>
        <w:t>不满足以上要求的，其投标按照无效投标处理。</w:t>
      </w: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3"/>
        <w:spacing w:before="0" w:after="0" w:line="360" w:lineRule="auto"/>
        <w:jc w:val="left"/>
        <w:rPr>
          <w:rFonts w:ascii="宋体" w:hAnsi="宋体" w:cs="宋体"/>
          <w:color w:val="000000" w:themeColor="text1"/>
          <w:sz w:val="28"/>
          <w:szCs w:val="28"/>
        </w:rPr>
      </w:pPr>
      <w:r>
        <w:rPr>
          <w:rFonts w:hint="eastAsia" w:ascii="宋体" w:hAnsi="宋体" w:cs="宋体"/>
          <w:color w:val="000000" w:themeColor="text1"/>
          <w:sz w:val="28"/>
          <w:szCs w:val="28"/>
        </w:rPr>
        <w:t>会议系统设备</w:t>
      </w:r>
      <w:r>
        <w:rPr>
          <w:rFonts w:hint="eastAsia" w:ascii="宋体" w:hAnsi="宋体"/>
          <w:color w:val="000000" w:themeColor="text1"/>
          <w:sz w:val="28"/>
          <w:szCs w:val="28"/>
        </w:rPr>
        <w:t>采购</w:t>
      </w:r>
      <w:r>
        <w:rPr>
          <w:rFonts w:hint="eastAsia" w:ascii="宋体" w:hAnsi="宋体"/>
          <w:bCs w:val="0"/>
          <w:color w:val="000000" w:themeColor="text1"/>
          <w:sz w:val="28"/>
          <w:szCs w:val="28"/>
          <w:lang w:val="zh-CN"/>
        </w:rPr>
        <w:t>及安装项目</w:t>
      </w:r>
      <w:r>
        <w:rPr>
          <w:rFonts w:hint="eastAsia" w:ascii="宋体" w:hAnsi="宋体" w:cs="宋体"/>
          <w:color w:val="000000" w:themeColor="text1"/>
          <w:sz w:val="28"/>
          <w:szCs w:val="28"/>
        </w:rPr>
        <w:t>（二包）</w:t>
      </w:r>
    </w:p>
    <w:p>
      <w:r>
        <w:rPr>
          <w:rFonts w:hint="eastAsia" w:ascii="宋体" w:hAnsi="宋体" w:cs="宋体"/>
          <w:b/>
          <w:color w:val="000000" w:themeColor="text1"/>
          <w:sz w:val="28"/>
          <w:szCs w:val="28"/>
        </w:rPr>
        <w:t>一、采购清单</w:t>
      </w:r>
    </w:p>
    <w:p>
      <w:pPr>
        <w:spacing w:line="360" w:lineRule="auto"/>
        <w:ind w:left="624" w:hanging="623" w:hangingChars="297"/>
        <w:rPr>
          <w:rFonts w:ascii="宋体" w:hAnsi="宋体"/>
          <w:szCs w:val="21"/>
          <w:lang w:val="zh-CN"/>
        </w:rPr>
      </w:pPr>
      <w:bookmarkStart w:id="51" w:name="_Toc339378680"/>
      <w:bookmarkStart w:id="52" w:name="_Toc338065594"/>
      <w:r>
        <w:rPr>
          <w:rFonts w:hint="eastAsia" w:ascii="宋体" w:hAnsi="宋体"/>
          <w:szCs w:val="21"/>
          <w:lang w:val="zh-CN"/>
        </w:rPr>
        <w:t>说明：招标文件中“★”标注的</w:t>
      </w:r>
      <w:r>
        <w:rPr>
          <w:rFonts w:hint="eastAsia" w:ascii="宋体" w:hAnsi="宋体"/>
          <w:szCs w:val="21"/>
        </w:rPr>
        <w:t>技术、服务及商务要求</w:t>
      </w:r>
      <w:r>
        <w:rPr>
          <w:rFonts w:hint="eastAsia" w:ascii="宋体" w:hAnsi="宋体"/>
          <w:szCs w:val="21"/>
          <w:lang w:val="zh-CN"/>
        </w:rPr>
        <w:t>，应满足或优于。</w:t>
      </w:r>
    </w:p>
    <w:tbl>
      <w:tblPr>
        <w:tblStyle w:val="21"/>
        <w:tblW w:w="8500" w:type="dxa"/>
        <w:tblInd w:w="103" w:type="dxa"/>
        <w:tblLayout w:type="fixed"/>
        <w:tblCellMar>
          <w:top w:w="0" w:type="dxa"/>
          <w:left w:w="108" w:type="dxa"/>
          <w:bottom w:w="0" w:type="dxa"/>
          <w:right w:w="108" w:type="dxa"/>
        </w:tblCellMar>
      </w:tblPr>
      <w:tblGrid>
        <w:gridCol w:w="1080"/>
        <w:gridCol w:w="2340"/>
        <w:gridCol w:w="1080"/>
        <w:gridCol w:w="1080"/>
        <w:gridCol w:w="1360"/>
        <w:gridCol w:w="1560"/>
      </w:tblGrid>
      <w:tr>
        <w:tblPrEx>
          <w:tblLayout w:type="fixed"/>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000000" w:fill="DDD9C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340" w:type="dxa"/>
            <w:tcBorders>
              <w:top w:val="single" w:color="auto" w:sz="4" w:space="0"/>
              <w:left w:val="nil"/>
              <w:bottom w:val="single" w:color="auto" w:sz="4" w:space="0"/>
              <w:right w:val="single" w:color="auto" w:sz="4" w:space="0"/>
            </w:tcBorders>
            <w:shd w:val="clear" w:color="000000" w:fill="DDD9C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名称</w:t>
            </w:r>
          </w:p>
        </w:tc>
        <w:tc>
          <w:tcPr>
            <w:tcW w:w="1080" w:type="dxa"/>
            <w:tcBorders>
              <w:top w:val="single" w:color="auto" w:sz="4" w:space="0"/>
              <w:left w:val="nil"/>
              <w:bottom w:val="single" w:color="auto" w:sz="4" w:space="0"/>
              <w:right w:val="single" w:color="auto" w:sz="4" w:space="0"/>
            </w:tcBorders>
            <w:shd w:val="clear" w:color="000000" w:fill="DDD9C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1080" w:type="dxa"/>
            <w:tcBorders>
              <w:top w:val="single" w:color="auto" w:sz="4" w:space="0"/>
              <w:left w:val="nil"/>
              <w:bottom w:val="single" w:color="auto" w:sz="4" w:space="0"/>
              <w:right w:val="single" w:color="auto" w:sz="4" w:space="0"/>
            </w:tcBorders>
            <w:shd w:val="clear" w:color="000000" w:fill="DDD9C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1360" w:type="dxa"/>
            <w:tcBorders>
              <w:top w:val="single" w:color="auto" w:sz="4" w:space="0"/>
              <w:left w:val="nil"/>
              <w:bottom w:val="single" w:color="auto" w:sz="4" w:space="0"/>
              <w:right w:val="single" w:color="auto" w:sz="4" w:space="0"/>
            </w:tcBorders>
            <w:shd w:val="clear" w:color="000000" w:fill="DDD9C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要求/备注</w:t>
            </w:r>
          </w:p>
        </w:tc>
        <w:tc>
          <w:tcPr>
            <w:tcW w:w="1560" w:type="dxa"/>
            <w:tcBorders>
              <w:top w:val="single" w:color="auto" w:sz="4" w:space="0"/>
              <w:left w:val="nil"/>
              <w:bottom w:val="single" w:color="auto" w:sz="4" w:space="0"/>
              <w:right w:val="single" w:color="auto" w:sz="4" w:space="0"/>
            </w:tcBorders>
            <w:shd w:val="clear" w:color="000000" w:fill="DDD9C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货物/服务</w:t>
            </w:r>
          </w:p>
        </w:tc>
      </w:tr>
      <w:tr>
        <w:tblPrEx>
          <w:tblLayout w:type="fixed"/>
          <w:tblCellMar>
            <w:top w:w="0" w:type="dxa"/>
            <w:left w:w="108" w:type="dxa"/>
            <w:bottom w:w="0" w:type="dxa"/>
            <w:right w:w="108" w:type="dxa"/>
          </w:tblCellMar>
        </w:tblPrEx>
        <w:trPr>
          <w:trHeight w:val="270" w:hRule="atLeast"/>
        </w:trPr>
        <w:tc>
          <w:tcPr>
            <w:tcW w:w="85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LED屏</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P2.5全彩LED屏*2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平方米</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详见采购要求</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货物</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发送卡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接送卡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控制软件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视频处理器</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配电柜</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单红LED屏*2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平方米</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配套辅材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85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交互智能平板</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70寸交互智能平板</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360" w:type="dxa"/>
            <w:vMerge w:val="restart"/>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详见采购要求</w:t>
            </w:r>
          </w:p>
        </w:tc>
        <w:tc>
          <w:tcPr>
            <w:tcW w:w="1560" w:type="dxa"/>
            <w:vMerge w:val="restart"/>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货物</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内置OPS电脑</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drawing>
                <wp:anchor distT="0" distB="0" distL="114300" distR="114300" simplePos="0" relativeHeight="251658240" behindDoc="0" locked="0" layoutInCell="1" allowOverlap="1">
                  <wp:simplePos x="0" y="0"/>
                  <wp:positionH relativeFrom="column">
                    <wp:posOffset>9525</wp:posOffset>
                  </wp:positionH>
                  <wp:positionV relativeFrom="paragraph">
                    <wp:posOffset>161925</wp:posOffset>
                  </wp:positionV>
                  <wp:extent cx="552450" cy="0"/>
                  <wp:effectExtent l="0" t="0" r="0" b="0"/>
                  <wp:wrapNone/>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2450" cy="0"/>
                          </a:xfrm>
                          <a:prstGeom prst="rect">
                            <a:avLst/>
                          </a:prstGeom>
                          <a:noFill/>
                          <a:ln>
                            <a:noFill/>
                          </a:ln>
                        </pic:spPr>
                      </pic:pic>
                    </a:graphicData>
                  </a:graphic>
                </wp:anchor>
              </w:drawing>
            </w:r>
            <w:r>
              <w:rPr>
                <w:rFonts w:ascii="宋体" w:hAnsi="宋体" w:cs="宋体"/>
                <w:color w:val="000000"/>
                <w:kern w:val="0"/>
                <w:szCs w:val="21"/>
              </w:rPr>
              <w:drawing>
                <wp:anchor distT="0" distB="0" distL="114300" distR="114300" simplePos="0" relativeHeight="251658240" behindDoc="0" locked="0" layoutInCell="1" allowOverlap="1">
                  <wp:simplePos x="0" y="0"/>
                  <wp:positionH relativeFrom="column">
                    <wp:posOffset>9525</wp:posOffset>
                  </wp:positionH>
                  <wp:positionV relativeFrom="paragraph">
                    <wp:posOffset>161925</wp:posOffset>
                  </wp:positionV>
                  <wp:extent cx="352425" cy="0"/>
                  <wp:effectExtent l="0" t="0" r="0" b="0"/>
                  <wp:wrapNone/>
                  <wp:docPr id="23" name="图片 2" descr="20091228165058_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20091228165058_9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52425" cy="0"/>
                          </a:xfrm>
                          <a:prstGeom prst="rect">
                            <a:avLst/>
                          </a:prstGeom>
                          <a:noFill/>
                          <a:ln>
                            <a:noFill/>
                          </a:ln>
                        </pic:spPr>
                      </pic:pic>
                    </a:graphicData>
                  </a:graphic>
                </wp:anchor>
              </w:drawing>
            </w: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36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视频展台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36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85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扩声系统</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主扩声音箱</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drawing>
                <wp:anchor distT="0" distB="0" distL="114300" distR="114300" simplePos="0" relativeHeight="251652096" behindDoc="0" locked="0" layoutInCell="1" allowOverlap="1">
                  <wp:simplePos x="0" y="0"/>
                  <wp:positionH relativeFrom="column">
                    <wp:posOffset>9525</wp:posOffset>
                  </wp:positionH>
                  <wp:positionV relativeFrom="paragraph">
                    <wp:posOffset>47625</wp:posOffset>
                  </wp:positionV>
                  <wp:extent cx="371475" cy="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371475" cy="0"/>
                          </a:xfrm>
                          <a:prstGeom prst="rect">
                            <a:avLst/>
                          </a:prstGeom>
                          <a:noFill/>
                          <a:ln>
                            <a:noFill/>
                          </a:ln>
                        </pic:spPr>
                      </pic:pic>
                    </a:graphicData>
                  </a:graphic>
                </wp:anchor>
              </w:drawing>
            </w:r>
            <w:r>
              <w:rPr>
                <w:rFonts w:hint="eastAsia" w:ascii="宋体" w:hAnsi="宋体" w:cs="宋体"/>
                <w:color w:val="000000"/>
                <w:kern w:val="0"/>
                <w:szCs w:val="21"/>
              </w:rPr>
              <w:t>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只</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详见采购要求</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货物</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辅助音箱</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只</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专业纯后级主功放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drawing>
                <wp:anchor distT="0" distB="0" distL="114300" distR="114300" simplePos="0" relativeHeight="251651072" behindDoc="0" locked="0" layoutInCell="1" allowOverlap="1">
                  <wp:simplePos x="0" y="0"/>
                  <wp:positionH relativeFrom="column">
                    <wp:posOffset>9525</wp:posOffset>
                  </wp:positionH>
                  <wp:positionV relativeFrom="paragraph">
                    <wp:posOffset>85725</wp:posOffset>
                  </wp:positionV>
                  <wp:extent cx="371475" cy="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371475" cy="0"/>
                          </a:xfrm>
                          <a:prstGeom prst="rect">
                            <a:avLst/>
                          </a:prstGeom>
                          <a:noFill/>
                          <a:ln>
                            <a:noFill/>
                          </a:ln>
                        </pic:spPr>
                      </pic:pic>
                    </a:graphicData>
                  </a:graphic>
                </wp:anchor>
              </w:drawing>
            </w:r>
            <w:r>
              <w:rPr>
                <w:rFonts w:ascii="宋体" w:hAnsi="宋体" w:cs="宋体"/>
                <w:color w:val="000000"/>
                <w:kern w:val="0"/>
                <w:szCs w:val="21"/>
              </w:rPr>
              <w:drawing>
                <wp:anchor distT="0" distB="0" distL="114300" distR="114300" simplePos="0" relativeHeight="251650048" behindDoc="0" locked="0" layoutInCell="1" allowOverlap="1">
                  <wp:simplePos x="0" y="0"/>
                  <wp:positionH relativeFrom="column">
                    <wp:posOffset>9525</wp:posOffset>
                  </wp:positionH>
                  <wp:positionV relativeFrom="paragraph">
                    <wp:posOffset>9525</wp:posOffset>
                  </wp:positionV>
                  <wp:extent cx="371475" cy="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371475" cy="0"/>
                          </a:xfrm>
                          <a:prstGeom prst="rect">
                            <a:avLst/>
                          </a:prstGeom>
                          <a:noFill/>
                          <a:ln>
                            <a:noFill/>
                          </a:ln>
                        </pic:spPr>
                      </pic:pic>
                    </a:graphicData>
                  </a:graphic>
                </wp:anchor>
              </w:drawing>
            </w:r>
            <w:r>
              <w:rPr>
                <w:rFonts w:ascii="宋体" w:hAnsi="宋体" w:cs="宋体"/>
                <w:color w:val="000000"/>
                <w:kern w:val="0"/>
                <w:szCs w:val="21"/>
              </w:rPr>
              <w:drawing>
                <wp:anchor distT="0" distB="0" distL="114300" distR="114300" simplePos="0" relativeHeight="251654144" behindDoc="0" locked="0" layoutInCell="1" allowOverlap="1">
                  <wp:simplePos x="0" y="0"/>
                  <wp:positionH relativeFrom="column">
                    <wp:posOffset>0</wp:posOffset>
                  </wp:positionH>
                  <wp:positionV relativeFrom="paragraph">
                    <wp:posOffset>9525</wp:posOffset>
                  </wp:positionV>
                  <wp:extent cx="552450" cy="0"/>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2450" cy="0"/>
                          </a:xfrm>
                          <a:prstGeom prst="rect">
                            <a:avLst/>
                          </a:prstGeom>
                          <a:noFill/>
                          <a:ln>
                            <a:noFill/>
                          </a:ln>
                        </pic:spPr>
                      </pic:pic>
                    </a:graphicData>
                  </a:graphic>
                </wp:anchor>
              </w:drawing>
            </w:r>
            <w:r>
              <w:rPr>
                <w:rFonts w:ascii="宋体" w:hAnsi="宋体" w:cs="宋体"/>
                <w:color w:val="000000"/>
                <w:kern w:val="0"/>
                <w:szCs w:val="21"/>
              </w:rPr>
              <w:drawing>
                <wp:anchor distT="0" distB="0" distL="114300" distR="114300" simplePos="0" relativeHeight="251655168" behindDoc="0" locked="0" layoutInCell="1" allowOverlap="1">
                  <wp:simplePos x="0" y="0"/>
                  <wp:positionH relativeFrom="column">
                    <wp:posOffset>0</wp:posOffset>
                  </wp:positionH>
                  <wp:positionV relativeFrom="paragraph">
                    <wp:posOffset>9525</wp:posOffset>
                  </wp:positionV>
                  <wp:extent cx="352425" cy="0"/>
                  <wp:effectExtent l="0" t="0" r="0" b="0"/>
                  <wp:wrapNone/>
                  <wp:docPr id="19" name="图片 19" descr="20091228165058_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0091228165058_9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52425" cy="0"/>
                          </a:xfrm>
                          <a:prstGeom prst="rect">
                            <a:avLst/>
                          </a:prstGeom>
                          <a:noFill/>
                          <a:ln>
                            <a:noFill/>
                          </a:ln>
                        </pic:spPr>
                      </pic:pic>
                    </a:graphicData>
                  </a:graphic>
                </wp:anchor>
              </w:drawing>
            </w: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专业四通道后级功放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调音台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drawing>
                <wp:anchor distT="0" distB="0" distL="114300" distR="114300" simplePos="0" relativeHeight="251657216" behindDoc="0" locked="0" layoutInCell="1" allowOverlap="1">
                  <wp:simplePos x="0" y="0"/>
                  <wp:positionH relativeFrom="column">
                    <wp:posOffset>0</wp:posOffset>
                  </wp:positionH>
                  <wp:positionV relativeFrom="paragraph">
                    <wp:posOffset>9525</wp:posOffset>
                  </wp:positionV>
                  <wp:extent cx="371475" cy="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371475" cy="0"/>
                          </a:xfrm>
                          <a:prstGeom prst="rect">
                            <a:avLst/>
                          </a:prstGeom>
                          <a:noFill/>
                          <a:ln>
                            <a:noFill/>
                          </a:ln>
                        </pic:spPr>
                      </pic:pic>
                    </a:graphicData>
                  </a:graphic>
                </wp:anchor>
              </w:drawing>
            </w: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啸叫抑制器</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drawing>
                <wp:anchor distT="0" distB="0" distL="114300" distR="114300" simplePos="0" relativeHeight="251653120" behindDoc="0" locked="0" layoutInCell="1" allowOverlap="1">
                  <wp:simplePos x="0" y="0"/>
                  <wp:positionH relativeFrom="column">
                    <wp:posOffset>0</wp:posOffset>
                  </wp:positionH>
                  <wp:positionV relativeFrom="paragraph">
                    <wp:posOffset>9525</wp:posOffset>
                  </wp:positionV>
                  <wp:extent cx="371475" cy="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371475" cy="0"/>
                          </a:xfrm>
                          <a:prstGeom prst="rect">
                            <a:avLst/>
                          </a:prstGeom>
                          <a:noFill/>
                          <a:ln>
                            <a:noFill/>
                          </a:ln>
                        </pic:spPr>
                      </pic:pic>
                    </a:graphicData>
                  </a:graphic>
                </wp:anchor>
              </w:drawing>
            </w:r>
            <w:r>
              <w:rPr>
                <w:rFonts w:ascii="宋体" w:hAnsi="宋体" w:cs="宋体"/>
                <w:color w:val="000000"/>
                <w:kern w:val="0"/>
                <w:szCs w:val="21"/>
              </w:rPr>
              <w:drawing>
                <wp:anchor distT="0" distB="0" distL="114300" distR="114300" simplePos="0" relativeHeight="251656192" behindDoc="0" locked="0" layoutInCell="1" allowOverlap="1">
                  <wp:simplePos x="0" y="0"/>
                  <wp:positionH relativeFrom="column">
                    <wp:posOffset>0</wp:posOffset>
                  </wp:positionH>
                  <wp:positionV relativeFrom="paragraph">
                    <wp:posOffset>9525</wp:posOffset>
                  </wp:positionV>
                  <wp:extent cx="371475" cy="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371475" cy="0"/>
                          </a:xfrm>
                          <a:prstGeom prst="rect">
                            <a:avLst/>
                          </a:prstGeom>
                          <a:noFill/>
                          <a:ln>
                            <a:noFill/>
                          </a:ln>
                        </pic:spPr>
                      </pic:pic>
                    </a:graphicData>
                  </a:graphic>
                </wp:anchor>
              </w:drawing>
            </w: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U段一拖四话筒</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U段一拖二鹅颈话筒</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机柜</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电源时序器</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音响托架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辅材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主席讲台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85" w:hRule="atLeast"/>
        </w:trPr>
        <w:tc>
          <w:tcPr>
            <w:tcW w:w="3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工期要求</w:t>
            </w:r>
          </w:p>
        </w:tc>
        <w:tc>
          <w:tcPr>
            <w:tcW w:w="50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合同签订之日起30个日历日</w:t>
            </w:r>
          </w:p>
        </w:tc>
      </w:tr>
      <w:tr>
        <w:tblPrEx>
          <w:tblLayout w:type="fixed"/>
          <w:tblCellMar>
            <w:top w:w="0" w:type="dxa"/>
            <w:left w:w="108" w:type="dxa"/>
            <w:bottom w:w="0" w:type="dxa"/>
            <w:right w:w="108" w:type="dxa"/>
          </w:tblCellMar>
        </w:tblPrEx>
        <w:trPr>
          <w:trHeight w:val="285" w:hRule="atLeast"/>
        </w:trPr>
        <w:tc>
          <w:tcPr>
            <w:tcW w:w="3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质保要求</w:t>
            </w:r>
          </w:p>
        </w:tc>
        <w:tc>
          <w:tcPr>
            <w:tcW w:w="5080" w:type="dxa"/>
            <w:gridSpan w:val="4"/>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免费维修1年</w:t>
            </w:r>
          </w:p>
        </w:tc>
      </w:tr>
    </w:tbl>
    <w:p>
      <w:pPr>
        <w:spacing w:line="360" w:lineRule="auto"/>
        <w:rPr>
          <w:rFonts w:ascii="宋体" w:hAnsi="宋体" w:cs="宋体"/>
          <w:b/>
          <w:color w:val="000000"/>
          <w:sz w:val="24"/>
          <w:szCs w:val="24"/>
        </w:rPr>
      </w:pPr>
    </w:p>
    <w:p>
      <w:pPr>
        <w:widowControl/>
        <w:jc w:val="left"/>
        <w:rPr>
          <w:rFonts w:ascii="宋体" w:hAnsi="宋体" w:cs="宋体"/>
          <w:b/>
          <w:color w:val="000000"/>
          <w:sz w:val="24"/>
          <w:szCs w:val="24"/>
        </w:rPr>
      </w:pPr>
      <w:r>
        <w:rPr>
          <w:rFonts w:ascii="宋体" w:hAnsi="宋体" w:cs="宋体"/>
          <w:b/>
          <w:color w:val="000000"/>
          <w:sz w:val="24"/>
          <w:szCs w:val="24"/>
        </w:rPr>
        <w:br w:type="page"/>
      </w:r>
    </w:p>
    <w:p>
      <w:pPr>
        <w:spacing w:line="360" w:lineRule="auto"/>
        <w:ind w:left="716" w:hanging="712" w:hangingChars="297"/>
        <w:rPr>
          <w:rFonts w:ascii="宋体" w:hAnsi="宋体" w:cs="宋体"/>
          <w:b/>
          <w:color w:val="000000"/>
          <w:sz w:val="24"/>
          <w:szCs w:val="24"/>
        </w:rPr>
      </w:pPr>
    </w:p>
    <w:bookmarkEnd w:id="51"/>
    <w:bookmarkEnd w:id="52"/>
    <w:p>
      <w:pPr>
        <w:pStyle w:val="3"/>
        <w:spacing w:before="0" w:after="0" w:line="360" w:lineRule="auto"/>
        <w:jc w:val="left"/>
        <w:rPr>
          <w:rFonts w:ascii="宋体" w:hAnsi="宋体"/>
          <w:bCs w:val="0"/>
          <w:sz w:val="30"/>
          <w:szCs w:val="30"/>
          <w:lang w:val="zh-CN"/>
        </w:rPr>
      </w:pPr>
      <w:bookmarkStart w:id="53" w:name="_Toc12402"/>
      <w:r>
        <w:rPr>
          <w:rFonts w:hint="eastAsia" w:ascii="宋体" w:hAnsi="宋体"/>
          <w:bCs w:val="0"/>
          <w:sz w:val="30"/>
          <w:szCs w:val="30"/>
        </w:rPr>
        <w:t>二、</w:t>
      </w:r>
      <w:r>
        <w:rPr>
          <w:rFonts w:hint="eastAsia" w:ascii="宋体" w:hAnsi="宋体"/>
          <w:bCs w:val="0"/>
          <w:sz w:val="30"/>
          <w:szCs w:val="30"/>
          <w:lang w:val="zh-CN"/>
        </w:rPr>
        <w:t>采购设备技术要求</w:t>
      </w:r>
      <w:bookmarkEnd w:id="53"/>
    </w:p>
    <w:tbl>
      <w:tblPr>
        <w:tblStyle w:val="21"/>
        <w:tblW w:w="9322" w:type="dxa"/>
        <w:tblInd w:w="0" w:type="dxa"/>
        <w:tblLayout w:type="fixed"/>
        <w:tblCellMar>
          <w:top w:w="0" w:type="dxa"/>
          <w:left w:w="108" w:type="dxa"/>
          <w:bottom w:w="0" w:type="dxa"/>
          <w:right w:w="108" w:type="dxa"/>
        </w:tblCellMar>
      </w:tblPr>
      <w:tblGrid>
        <w:gridCol w:w="460"/>
        <w:gridCol w:w="46"/>
        <w:gridCol w:w="650"/>
        <w:gridCol w:w="86"/>
        <w:gridCol w:w="15"/>
        <w:gridCol w:w="6648"/>
        <w:gridCol w:w="708"/>
        <w:gridCol w:w="709"/>
      </w:tblGrid>
      <w:tr>
        <w:tblPrEx>
          <w:tblLayout w:type="fixed"/>
          <w:tblCellMar>
            <w:top w:w="0" w:type="dxa"/>
            <w:left w:w="108" w:type="dxa"/>
            <w:bottom w:w="0" w:type="dxa"/>
            <w:right w:w="108" w:type="dxa"/>
          </w:tblCellMar>
        </w:tblPrEx>
        <w:trPr>
          <w:trHeight w:val="54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编号</w:t>
            </w:r>
          </w:p>
        </w:tc>
        <w:tc>
          <w:tcPr>
            <w:tcW w:w="78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项目类别</w:t>
            </w:r>
          </w:p>
        </w:tc>
        <w:tc>
          <w:tcPr>
            <w:tcW w:w="66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项目指标及技术要求</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r>
      <w:tr>
        <w:tblPrEx>
          <w:tblLayout w:type="fixed"/>
          <w:tblCellMar>
            <w:top w:w="0" w:type="dxa"/>
            <w:left w:w="108" w:type="dxa"/>
            <w:bottom w:w="0" w:type="dxa"/>
            <w:right w:w="108" w:type="dxa"/>
          </w:tblCellMar>
        </w:tblPrEx>
        <w:trPr>
          <w:trHeight w:val="270" w:hRule="atLeast"/>
        </w:trPr>
        <w:tc>
          <w:tcPr>
            <w:tcW w:w="9322"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LED屏</w:t>
            </w:r>
          </w:p>
        </w:tc>
      </w:tr>
      <w:tr>
        <w:tblPrEx>
          <w:tblLayout w:type="fixed"/>
          <w:tblCellMar>
            <w:top w:w="0" w:type="dxa"/>
            <w:left w:w="108" w:type="dxa"/>
            <w:bottom w:w="0" w:type="dxa"/>
            <w:right w:w="108" w:type="dxa"/>
          </w:tblCellMar>
        </w:tblPrEx>
        <w:trPr>
          <w:trHeight w:val="977"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p>
        </w:tc>
        <w:tc>
          <w:tcPr>
            <w:tcW w:w="797"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P2.5全彩LED屏</w:t>
            </w:r>
          </w:p>
        </w:tc>
        <w:tc>
          <w:tcPr>
            <w:tcW w:w="6648"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屏一尺寸：</w:t>
            </w:r>
          </w:p>
          <w:p>
            <w:pPr>
              <w:widowControl/>
              <w:jc w:val="left"/>
              <w:rPr>
                <w:rFonts w:ascii="宋体" w:hAnsi="宋体" w:cs="宋体"/>
                <w:color w:val="000000"/>
                <w:kern w:val="0"/>
                <w:szCs w:val="21"/>
              </w:rPr>
            </w:pPr>
            <w:r>
              <w:rPr>
                <w:rFonts w:hint="eastAsia" w:ascii="宋体" w:hAnsi="宋体" w:cs="宋体"/>
                <w:color w:val="000000"/>
                <w:kern w:val="0"/>
                <w:szCs w:val="21"/>
              </w:rPr>
              <w:t>净屏分辨率：  1536× 768= 1179648点</w:t>
            </w:r>
          </w:p>
          <w:p>
            <w:pPr>
              <w:widowControl/>
              <w:jc w:val="left"/>
              <w:rPr>
                <w:rFonts w:ascii="宋体" w:hAnsi="宋体" w:cs="宋体"/>
                <w:color w:val="000000"/>
                <w:kern w:val="0"/>
                <w:szCs w:val="21"/>
              </w:rPr>
            </w:pPr>
            <w:r>
              <w:rPr>
                <w:rFonts w:hint="eastAsia" w:ascii="宋体" w:hAnsi="宋体" w:cs="宋体"/>
                <w:color w:val="000000"/>
                <w:kern w:val="0"/>
                <w:szCs w:val="21"/>
              </w:rPr>
              <w:t>净屏显示面积：  3.84× 1.92= 7.373㎡</w:t>
            </w:r>
          </w:p>
          <w:p>
            <w:pPr>
              <w:widowControl/>
              <w:jc w:val="left"/>
              <w:rPr>
                <w:rFonts w:ascii="宋体" w:hAnsi="宋体" w:cs="宋体"/>
                <w:color w:val="000000"/>
                <w:kern w:val="0"/>
                <w:szCs w:val="21"/>
              </w:rPr>
            </w:pPr>
            <w:r>
              <w:rPr>
                <w:rFonts w:hint="eastAsia" w:ascii="宋体" w:hAnsi="宋体" w:cs="宋体"/>
                <w:color w:val="000000"/>
                <w:kern w:val="0"/>
                <w:szCs w:val="21"/>
              </w:rPr>
              <w:t>整屏包边面积：  3.94× 2.02= 7.96㎡</w:t>
            </w:r>
          </w:p>
          <w:p>
            <w:pPr>
              <w:widowControl/>
              <w:jc w:val="left"/>
              <w:rPr>
                <w:rFonts w:ascii="宋体" w:hAnsi="宋体" w:cs="宋体"/>
                <w:color w:val="000000"/>
                <w:kern w:val="0"/>
                <w:szCs w:val="21"/>
              </w:rPr>
            </w:pPr>
            <w:r>
              <w:rPr>
                <w:rFonts w:hint="eastAsia" w:ascii="宋体" w:hAnsi="宋体" w:cs="宋体"/>
                <w:color w:val="000000"/>
                <w:kern w:val="0"/>
                <w:szCs w:val="21"/>
              </w:rPr>
              <w:t>屏二尺寸：</w:t>
            </w:r>
          </w:p>
          <w:p>
            <w:pPr>
              <w:widowControl/>
              <w:jc w:val="left"/>
              <w:rPr>
                <w:rFonts w:ascii="宋体" w:hAnsi="宋体" w:cs="宋体"/>
                <w:color w:val="000000"/>
                <w:kern w:val="0"/>
                <w:szCs w:val="21"/>
              </w:rPr>
            </w:pPr>
            <w:r>
              <w:rPr>
                <w:rFonts w:hint="eastAsia" w:ascii="宋体" w:hAnsi="宋体" w:cs="宋体"/>
                <w:color w:val="000000"/>
                <w:kern w:val="0"/>
                <w:szCs w:val="21"/>
              </w:rPr>
              <w:t>净屏分辨率：  1920× 1024= 1966080点</w:t>
            </w:r>
          </w:p>
          <w:p>
            <w:pPr>
              <w:widowControl/>
              <w:jc w:val="left"/>
              <w:rPr>
                <w:rFonts w:ascii="宋体" w:hAnsi="宋体" w:cs="宋体"/>
                <w:color w:val="000000"/>
                <w:kern w:val="0"/>
                <w:szCs w:val="21"/>
              </w:rPr>
            </w:pPr>
            <w:r>
              <w:rPr>
                <w:rFonts w:hint="eastAsia" w:ascii="宋体" w:hAnsi="宋体" w:cs="宋体"/>
                <w:color w:val="000000"/>
                <w:kern w:val="0"/>
                <w:szCs w:val="21"/>
              </w:rPr>
              <w:t>净屏显示面积：  4.8× 2.56= 12.288㎡</w:t>
            </w:r>
          </w:p>
          <w:p>
            <w:pPr>
              <w:widowControl/>
              <w:jc w:val="left"/>
              <w:rPr>
                <w:rFonts w:ascii="宋体" w:hAnsi="宋体" w:cs="宋体"/>
                <w:color w:val="000000"/>
                <w:kern w:val="0"/>
                <w:szCs w:val="21"/>
              </w:rPr>
            </w:pPr>
            <w:r>
              <w:rPr>
                <w:rFonts w:hint="eastAsia" w:ascii="宋体" w:hAnsi="宋体" w:cs="宋体"/>
                <w:color w:val="000000"/>
                <w:kern w:val="0"/>
                <w:szCs w:val="21"/>
              </w:rPr>
              <w:t>整屏包边面积：  4.90× 2.66= 13.03㎡</w:t>
            </w:r>
          </w:p>
          <w:p>
            <w:pPr>
              <w:widowControl/>
              <w:jc w:val="left"/>
              <w:rPr>
                <w:rFonts w:ascii="宋体" w:hAnsi="宋体" w:cs="宋体"/>
                <w:color w:val="000000"/>
                <w:kern w:val="0"/>
                <w:szCs w:val="21"/>
              </w:rPr>
            </w:pPr>
            <w:r>
              <w:rPr>
                <w:rFonts w:hint="eastAsia" w:ascii="宋体" w:hAnsi="宋体" w:cs="宋体"/>
                <w:color w:val="000000"/>
                <w:kern w:val="0"/>
                <w:szCs w:val="21"/>
              </w:rPr>
              <w:t>★灯珠：SMD2121（高端黑灯铜支架灯珠）(限定灯珠品牌：国星、铨晶创、台湾亿光、美国CREE、美卡乐、)</w:t>
            </w:r>
          </w:p>
          <w:p>
            <w:pPr>
              <w:widowControl/>
              <w:jc w:val="left"/>
              <w:rPr>
                <w:rFonts w:ascii="宋体" w:hAnsi="宋体" w:cs="宋体"/>
                <w:color w:val="000000"/>
                <w:kern w:val="0"/>
                <w:szCs w:val="21"/>
              </w:rPr>
            </w:pPr>
            <w:r>
              <w:rPr>
                <w:rFonts w:hint="eastAsia" w:ascii="宋体" w:hAnsi="宋体" w:cs="宋体"/>
                <w:color w:val="000000"/>
                <w:kern w:val="0"/>
                <w:szCs w:val="21"/>
              </w:rPr>
              <w:t>★提供单元板封装生产厂家针对该项目所用灯珠品牌和铜支架的责任承诺书，并加盖公章</w:t>
            </w:r>
          </w:p>
          <w:p>
            <w:pPr>
              <w:widowControl/>
              <w:jc w:val="left"/>
              <w:rPr>
                <w:rFonts w:ascii="宋体" w:hAnsi="宋体" w:cs="宋体"/>
                <w:color w:val="000000"/>
                <w:kern w:val="0"/>
                <w:szCs w:val="21"/>
              </w:rPr>
            </w:pPr>
            <w:r>
              <w:rPr>
                <w:rFonts w:hint="eastAsia" w:ascii="宋体" w:hAnsi="宋体" w:cs="宋体"/>
                <w:color w:val="000000"/>
                <w:kern w:val="0"/>
                <w:szCs w:val="21"/>
              </w:rPr>
              <w:t>模组尺寸:320*160mm</w:t>
            </w:r>
          </w:p>
          <w:p>
            <w:pPr>
              <w:widowControl/>
              <w:jc w:val="left"/>
              <w:rPr>
                <w:rFonts w:ascii="宋体" w:hAnsi="宋体" w:cs="宋体"/>
                <w:color w:val="000000"/>
                <w:kern w:val="0"/>
                <w:szCs w:val="21"/>
              </w:rPr>
            </w:pPr>
            <w:r>
              <w:rPr>
                <w:rFonts w:hint="eastAsia" w:ascii="宋体" w:hAnsi="宋体" w:cs="宋体"/>
                <w:color w:val="000000"/>
                <w:kern w:val="0"/>
                <w:szCs w:val="21"/>
              </w:rPr>
              <w:t>★像素点间距</w:t>
            </w:r>
            <w:r>
              <w:rPr>
                <w:rFonts w:hint="eastAsia" w:ascii="宋体" w:hAnsi="宋体" w:cs="宋体"/>
                <w:color w:val="000000"/>
                <w:kern w:val="0"/>
                <w:szCs w:val="21"/>
              </w:rPr>
              <w:tab/>
            </w:r>
            <w:r>
              <w:rPr>
                <w:rFonts w:hint="eastAsia" w:ascii="宋体" w:hAnsi="宋体" w:cs="宋体"/>
                <w:color w:val="000000"/>
                <w:kern w:val="0"/>
                <w:szCs w:val="21"/>
              </w:rPr>
              <w:t>：2.5mm 要求提供具有CNAS国家级检测资质机构的检测报告加盖生产厂家公章</w:t>
            </w:r>
          </w:p>
          <w:p>
            <w:pPr>
              <w:widowControl/>
              <w:jc w:val="left"/>
              <w:rPr>
                <w:rFonts w:ascii="宋体" w:hAnsi="宋体" w:cs="宋体"/>
                <w:color w:val="000000"/>
                <w:kern w:val="0"/>
                <w:szCs w:val="21"/>
              </w:rPr>
            </w:pPr>
            <w:r>
              <w:rPr>
                <w:rFonts w:hint="eastAsia" w:ascii="宋体" w:hAnsi="宋体" w:cs="宋体"/>
                <w:color w:val="000000"/>
                <w:kern w:val="0"/>
                <w:szCs w:val="21"/>
              </w:rPr>
              <w:t>物理密度：160000点/㎡</w:t>
            </w:r>
          </w:p>
          <w:p>
            <w:pPr>
              <w:widowControl/>
              <w:jc w:val="left"/>
              <w:rPr>
                <w:rFonts w:ascii="宋体" w:hAnsi="宋体" w:cs="宋体"/>
                <w:color w:val="000000"/>
                <w:kern w:val="0"/>
                <w:szCs w:val="21"/>
              </w:rPr>
            </w:pPr>
            <w:r>
              <w:rPr>
                <w:rFonts w:hint="eastAsia" w:ascii="宋体" w:hAnsi="宋体" w:cs="宋体"/>
                <w:color w:val="000000"/>
                <w:kern w:val="0"/>
                <w:szCs w:val="21"/>
              </w:rPr>
              <w:t>最佳视距：≥2.5m～60m</w:t>
            </w:r>
          </w:p>
          <w:p>
            <w:pPr>
              <w:widowControl/>
              <w:jc w:val="left"/>
              <w:rPr>
                <w:rFonts w:ascii="宋体" w:hAnsi="宋体" w:cs="宋体"/>
                <w:color w:val="000000"/>
                <w:kern w:val="0"/>
                <w:szCs w:val="21"/>
              </w:rPr>
            </w:pPr>
            <w:r>
              <w:rPr>
                <w:rFonts w:hint="eastAsia" w:ascii="宋体" w:hAnsi="宋体" w:cs="宋体"/>
                <w:color w:val="000000"/>
                <w:kern w:val="0"/>
                <w:szCs w:val="21"/>
              </w:rPr>
              <w:t>驱动方式：32扫恒流驱动</w:t>
            </w:r>
          </w:p>
          <w:p>
            <w:pPr>
              <w:widowControl/>
              <w:jc w:val="left"/>
              <w:rPr>
                <w:rFonts w:ascii="宋体" w:hAnsi="宋体" w:cs="宋体"/>
                <w:color w:val="000000"/>
                <w:kern w:val="0"/>
                <w:szCs w:val="21"/>
              </w:rPr>
            </w:pPr>
            <w:r>
              <w:rPr>
                <w:rFonts w:hint="eastAsia" w:ascii="宋体" w:hAnsi="宋体" w:cs="宋体"/>
                <w:color w:val="000000"/>
                <w:kern w:val="0"/>
                <w:szCs w:val="21"/>
              </w:rPr>
              <w:t>驱动IC</w:t>
            </w:r>
            <w:r>
              <w:rPr>
                <w:rFonts w:hint="eastAsia" w:ascii="宋体" w:hAnsi="宋体" w:cs="宋体"/>
                <w:color w:val="000000"/>
                <w:kern w:val="0"/>
                <w:szCs w:val="21"/>
              </w:rPr>
              <w:tab/>
            </w:r>
            <w:r>
              <w:rPr>
                <w:rFonts w:hint="eastAsia" w:ascii="宋体" w:hAnsi="宋体" w:cs="宋体"/>
                <w:color w:val="000000"/>
                <w:kern w:val="0"/>
                <w:szCs w:val="21"/>
              </w:rPr>
              <w:t>：恒流驱动IC/ 2037同级别或以上的驱动IC</w:t>
            </w:r>
          </w:p>
          <w:p>
            <w:pPr>
              <w:widowControl/>
              <w:jc w:val="left"/>
              <w:rPr>
                <w:rFonts w:ascii="宋体" w:hAnsi="宋体" w:cs="宋体"/>
                <w:color w:val="000000"/>
                <w:kern w:val="0"/>
                <w:szCs w:val="21"/>
              </w:rPr>
            </w:pPr>
            <w:r>
              <w:rPr>
                <w:rFonts w:hint="eastAsia" w:ascii="宋体" w:hAnsi="宋体" w:cs="宋体"/>
                <w:color w:val="000000"/>
                <w:kern w:val="0"/>
                <w:szCs w:val="21"/>
              </w:rPr>
              <w:t>LED大屏参数：</w:t>
            </w:r>
          </w:p>
          <w:p>
            <w:pPr>
              <w:widowControl/>
              <w:jc w:val="left"/>
              <w:rPr>
                <w:rFonts w:ascii="宋体" w:hAnsi="宋体" w:cs="宋体"/>
                <w:color w:val="000000"/>
                <w:kern w:val="0"/>
                <w:szCs w:val="21"/>
              </w:rPr>
            </w:pPr>
            <w:r>
              <w:rPr>
                <w:rFonts w:hint="eastAsia" w:ascii="宋体" w:hAnsi="宋体" w:cs="宋体"/>
                <w:color w:val="000000"/>
                <w:kern w:val="0"/>
                <w:szCs w:val="21"/>
              </w:rPr>
              <w:t>1、高低温度 :-20℃～+60℃</w:t>
            </w:r>
          </w:p>
          <w:p>
            <w:pPr>
              <w:widowControl/>
              <w:jc w:val="left"/>
              <w:rPr>
                <w:rFonts w:ascii="宋体" w:hAnsi="宋体" w:cs="宋体"/>
                <w:color w:val="000000"/>
                <w:kern w:val="0"/>
                <w:szCs w:val="21"/>
              </w:rPr>
            </w:pPr>
            <w:r>
              <w:rPr>
                <w:rFonts w:hint="eastAsia" w:ascii="宋体" w:hAnsi="宋体" w:cs="宋体"/>
                <w:color w:val="000000"/>
                <w:kern w:val="0"/>
                <w:szCs w:val="21"/>
              </w:rPr>
              <w:t>2、视角:水平160°，垂直160°</w:t>
            </w:r>
          </w:p>
          <w:p>
            <w:pPr>
              <w:widowControl/>
              <w:jc w:val="left"/>
              <w:rPr>
                <w:rFonts w:ascii="宋体" w:hAnsi="宋体" w:cs="宋体"/>
                <w:color w:val="000000"/>
                <w:kern w:val="0"/>
                <w:szCs w:val="21"/>
              </w:rPr>
            </w:pPr>
            <w:r>
              <w:rPr>
                <w:rFonts w:hint="eastAsia" w:ascii="宋体" w:hAnsi="宋体" w:cs="宋体"/>
                <w:color w:val="000000"/>
                <w:kern w:val="0"/>
                <w:szCs w:val="21"/>
              </w:rPr>
              <w:t>3、防护等级:屏前IP5X</w:t>
            </w:r>
          </w:p>
          <w:p>
            <w:pPr>
              <w:widowControl/>
              <w:jc w:val="left"/>
              <w:rPr>
                <w:rFonts w:ascii="宋体" w:hAnsi="宋体" w:cs="宋体"/>
                <w:color w:val="000000"/>
                <w:kern w:val="0"/>
                <w:szCs w:val="21"/>
              </w:rPr>
            </w:pPr>
            <w:r>
              <w:rPr>
                <w:rFonts w:hint="eastAsia" w:ascii="宋体" w:hAnsi="宋体" w:cs="宋体"/>
                <w:color w:val="000000"/>
                <w:kern w:val="0"/>
                <w:szCs w:val="21"/>
              </w:rPr>
              <w:t>4、刷新频率:≥1920Hz</w:t>
            </w:r>
          </w:p>
          <w:p>
            <w:pPr>
              <w:widowControl/>
              <w:jc w:val="left"/>
              <w:rPr>
                <w:rFonts w:ascii="宋体" w:hAnsi="宋体" w:cs="宋体"/>
                <w:color w:val="000000"/>
                <w:kern w:val="0"/>
                <w:szCs w:val="21"/>
              </w:rPr>
            </w:pPr>
            <w:r>
              <w:rPr>
                <w:rFonts w:hint="eastAsia" w:ascii="宋体" w:hAnsi="宋体" w:cs="宋体"/>
                <w:color w:val="000000"/>
                <w:kern w:val="0"/>
                <w:szCs w:val="21"/>
              </w:rPr>
              <w:t>5、帧频:≥120Hz</w:t>
            </w:r>
          </w:p>
          <w:p>
            <w:pPr>
              <w:widowControl/>
              <w:jc w:val="left"/>
              <w:rPr>
                <w:rFonts w:ascii="宋体" w:hAnsi="宋体" w:cs="宋体"/>
                <w:color w:val="000000"/>
                <w:kern w:val="0"/>
                <w:szCs w:val="21"/>
              </w:rPr>
            </w:pPr>
            <w:r>
              <w:rPr>
                <w:rFonts w:hint="eastAsia" w:ascii="宋体" w:hAnsi="宋体" w:cs="宋体"/>
                <w:color w:val="000000"/>
                <w:kern w:val="0"/>
                <w:szCs w:val="21"/>
              </w:rPr>
              <w:t>6、灰度/颜色:16 bit</w:t>
            </w:r>
          </w:p>
          <w:p>
            <w:pPr>
              <w:widowControl/>
              <w:jc w:val="left"/>
              <w:rPr>
                <w:rFonts w:ascii="宋体" w:hAnsi="宋体" w:cs="宋体"/>
                <w:color w:val="000000"/>
                <w:kern w:val="0"/>
                <w:szCs w:val="21"/>
              </w:rPr>
            </w:pPr>
            <w:r>
              <w:rPr>
                <w:rFonts w:hint="eastAsia" w:ascii="宋体" w:hAnsi="宋体" w:cs="宋体"/>
                <w:color w:val="000000"/>
                <w:kern w:val="0"/>
                <w:szCs w:val="21"/>
              </w:rPr>
              <w:t>7、亮度:≥800CD/M2</w:t>
            </w:r>
          </w:p>
          <w:p>
            <w:pPr>
              <w:widowControl/>
              <w:jc w:val="left"/>
              <w:rPr>
                <w:rFonts w:ascii="宋体" w:hAnsi="宋体" w:cs="宋体"/>
                <w:color w:val="000000"/>
                <w:kern w:val="0"/>
                <w:szCs w:val="21"/>
              </w:rPr>
            </w:pPr>
            <w:r>
              <w:rPr>
                <w:rFonts w:hint="eastAsia" w:ascii="宋体" w:hAnsi="宋体" w:cs="宋体"/>
                <w:color w:val="000000"/>
                <w:kern w:val="0"/>
                <w:szCs w:val="21"/>
              </w:rPr>
              <w:t>8、平均无故障时间:60000小时</w:t>
            </w:r>
          </w:p>
          <w:p>
            <w:pPr>
              <w:widowControl/>
              <w:jc w:val="left"/>
              <w:rPr>
                <w:rFonts w:ascii="宋体" w:hAnsi="宋体" w:cs="宋体"/>
                <w:color w:val="000000"/>
                <w:kern w:val="0"/>
                <w:szCs w:val="21"/>
              </w:rPr>
            </w:pPr>
            <w:r>
              <w:rPr>
                <w:rFonts w:hint="eastAsia" w:ascii="宋体" w:hAnsi="宋体" w:cs="宋体"/>
                <w:color w:val="000000"/>
                <w:kern w:val="0"/>
                <w:szCs w:val="21"/>
              </w:rPr>
              <w:t>9、平整度:任意相邻像素间≤0.5mm；</w:t>
            </w:r>
          </w:p>
          <w:p>
            <w:pPr>
              <w:widowControl/>
              <w:jc w:val="left"/>
              <w:rPr>
                <w:rFonts w:ascii="宋体" w:hAnsi="宋体" w:cs="宋体"/>
                <w:color w:val="000000"/>
                <w:kern w:val="0"/>
                <w:szCs w:val="21"/>
              </w:rPr>
            </w:pPr>
            <w:r>
              <w:rPr>
                <w:rFonts w:hint="eastAsia" w:ascii="宋体" w:hAnsi="宋体" w:cs="宋体"/>
                <w:color w:val="000000"/>
                <w:kern w:val="0"/>
                <w:szCs w:val="21"/>
              </w:rPr>
              <w:t>10、亮度均匀性:像素光强、亮度、均匀大于99%</w:t>
            </w:r>
          </w:p>
          <w:p>
            <w:pPr>
              <w:widowControl/>
              <w:jc w:val="left"/>
              <w:rPr>
                <w:rFonts w:ascii="宋体" w:hAnsi="宋体" w:cs="宋体"/>
                <w:color w:val="000000"/>
                <w:kern w:val="0"/>
                <w:szCs w:val="21"/>
              </w:rPr>
            </w:pPr>
            <w:r>
              <w:rPr>
                <w:rFonts w:hint="eastAsia" w:ascii="宋体" w:hAnsi="宋体" w:cs="宋体"/>
                <w:color w:val="000000"/>
                <w:kern w:val="0"/>
                <w:szCs w:val="21"/>
              </w:rPr>
              <w:t>★以上大屏参数要求逐一提供具有CNAS国家级检测资质机构的检测报告加盖生产厂家公章。</w:t>
            </w:r>
          </w:p>
          <w:p>
            <w:pPr>
              <w:widowControl/>
              <w:jc w:val="left"/>
              <w:rPr>
                <w:rFonts w:ascii="宋体" w:hAnsi="宋体" w:cs="宋体"/>
                <w:color w:val="000000"/>
                <w:kern w:val="0"/>
                <w:szCs w:val="21"/>
              </w:rPr>
            </w:pPr>
            <w:r>
              <w:rPr>
                <w:rFonts w:hint="eastAsia" w:ascii="宋体" w:hAnsi="宋体" w:cs="宋体"/>
                <w:color w:val="000000"/>
                <w:kern w:val="0"/>
                <w:szCs w:val="21"/>
              </w:rPr>
              <w:t>11、系统防护</w:t>
            </w:r>
            <w:r>
              <w:rPr>
                <w:rFonts w:hint="eastAsia" w:ascii="宋体" w:hAnsi="宋体" w:cs="宋体"/>
                <w:color w:val="000000"/>
                <w:kern w:val="0"/>
                <w:szCs w:val="21"/>
              </w:rPr>
              <w:tab/>
            </w:r>
            <w:r>
              <w:rPr>
                <w:rFonts w:hint="eastAsia" w:ascii="宋体" w:hAnsi="宋体" w:cs="宋体"/>
                <w:color w:val="000000"/>
                <w:kern w:val="0"/>
                <w:szCs w:val="21"/>
              </w:rPr>
              <w:t>防潮、防尘、防腐蚀、防静电</w:t>
            </w:r>
          </w:p>
          <w:p>
            <w:pPr>
              <w:widowControl/>
              <w:jc w:val="left"/>
              <w:rPr>
                <w:rFonts w:ascii="宋体" w:hAnsi="宋体" w:cs="宋体"/>
                <w:color w:val="000000"/>
                <w:kern w:val="0"/>
                <w:szCs w:val="21"/>
              </w:rPr>
            </w:pPr>
            <w:r>
              <w:rPr>
                <w:rFonts w:hint="eastAsia" w:ascii="宋体" w:hAnsi="宋体" w:cs="宋体"/>
                <w:color w:val="000000"/>
                <w:kern w:val="0"/>
                <w:szCs w:val="21"/>
              </w:rPr>
              <w:t>★（提供具有CNAS国家级检测资质机构的盐雾检测报告加盖制造商公章）</w:t>
            </w:r>
          </w:p>
          <w:p>
            <w:pPr>
              <w:widowControl/>
              <w:jc w:val="left"/>
              <w:rPr>
                <w:rFonts w:ascii="宋体" w:hAnsi="宋体" w:cs="宋体"/>
                <w:color w:val="000000"/>
                <w:kern w:val="0"/>
                <w:szCs w:val="21"/>
              </w:rPr>
            </w:pPr>
            <w:r>
              <w:rPr>
                <w:rFonts w:hint="eastAsia" w:ascii="宋体" w:hAnsi="宋体" w:cs="宋体"/>
                <w:color w:val="000000"/>
                <w:kern w:val="0"/>
                <w:szCs w:val="21"/>
              </w:rPr>
              <w:t>12、平均功耗</w:t>
            </w:r>
            <w:r>
              <w:rPr>
                <w:rFonts w:hint="eastAsia" w:ascii="宋体" w:hAnsi="宋体" w:cs="宋体"/>
                <w:color w:val="000000"/>
                <w:kern w:val="0"/>
                <w:szCs w:val="21"/>
              </w:rPr>
              <w:tab/>
            </w:r>
            <w:r>
              <w:rPr>
                <w:rFonts w:hint="eastAsia" w:ascii="宋体" w:hAnsi="宋体" w:cs="宋体"/>
                <w:color w:val="000000"/>
                <w:kern w:val="0"/>
                <w:szCs w:val="21"/>
              </w:rPr>
              <w:t>≦220w/㎡</w:t>
            </w:r>
          </w:p>
          <w:p>
            <w:pPr>
              <w:widowControl/>
              <w:jc w:val="left"/>
              <w:rPr>
                <w:rFonts w:ascii="宋体" w:hAnsi="宋体" w:cs="宋体"/>
                <w:color w:val="000000"/>
                <w:kern w:val="0"/>
                <w:szCs w:val="21"/>
              </w:rPr>
            </w:pPr>
            <w:r>
              <w:rPr>
                <w:rFonts w:hint="eastAsia" w:ascii="宋体" w:hAnsi="宋体" w:cs="宋体"/>
                <w:color w:val="000000"/>
                <w:kern w:val="0"/>
                <w:szCs w:val="21"/>
              </w:rPr>
              <w:t>13、最大功耗</w:t>
            </w:r>
            <w:r>
              <w:rPr>
                <w:rFonts w:hint="eastAsia" w:ascii="宋体" w:hAnsi="宋体" w:cs="宋体"/>
                <w:color w:val="000000"/>
                <w:kern w:val="0"/>
                <w:szCs w:val="21"/>
              </w:rPr>
              <w:tab/>
            </w:r>
            <w:r>
              <w:rPr>
                <w:rFonts w:hint="eastAsia" w:ascii="宋体" w:hAnsi="宋体" w:cs="宋体"/>
                <w:color w:val="000000"/>
                <w:kern w:val="0"/>
                <w:szCs w:val="21"/>
              </w:rPr>
              <w:t>≦600w/㎡</w:t>
            </w:r>
          </w:p>
          <w:p>
            <w:pPr>
              <w:widowControl/>
              <w:jc w:val="left"/>
              <w:rPr>
                <w:rFonts w:ascii="宋体" w:hAnsi="宋体" w:cs="宋体"/>
                <w:color w:val="000000"/>
                <w:kern w:val="0"/>
                <w:szCs w:val="21"/>
              </w:rPr>
            </w:pPr>
            <w:r>
              <w:rPr>
                <w:rFonts w:hint="eastAsia" w:ascii="宋体" w:hAnsi="宋体" w:cs="宋体"/>
                <w:color w:val="000000"/>
                <w:kern w:val="0"/>
                <w:szCs w:val="21"/>
              </w:rPr>
              <w:t>★提供CQC节能认证证书并官网查询界面加盖公章</w:t>
            </w:r>
          </w:p>
          <w:p>
            <w:pPr>
              <w:widowControl/>
              <w:jc w:val="left"/>
              <w:rPr>
                <w:rFonts w:ascii="宋体" w:hAnsi="宋体" w:cs="宋体"/>
                <w:color w:val="000000"/>
                <w:kern w:val="0"/>
                <w:szCs w:val="21"/>
              </w:rPr>
            </w:pPr>
            <w:r>
              <w:rPr>
                <w:rFonts w:hint="eastAsia" w:ascii="宋体" w:hAnsi="宋体" w:cs="宋体"/>
                <w:color w:val="000000"/>
                <w:kern w:val="0"/>
                <w:szCs w:val="21"/>
              </w:rPr>
              <w:t>★14、噪音：LED显示屏符合GB/T18313 2001 声学信息技术设备和通信设备空气噪声的测量；要求提供具有CNAS国家级检测资质机构的检测报告加盖生产厂家公章</w:t>
            </w:r>
          </w:p>
          <w:p>
            <w:pPr>
              <w:widowControl/>
              <w:jc w:val="left"/>
              <w:rPr>
                <w:rFonts w:ascii="宋体" w:hAnsi="宋体" w:cs="宋体"/>
                <w:color w:val="000000"/>
                <w:kern w:val="0"/>
                <w:szCs w:val="21"/>
              </w:rPr>
            </w:pPr>
            <w:r>
              <w:rPr>
                <w:rFonts w:hint="eastAsia" w:ascii="宋体" w:hAnsi="宋体" w:cs="宋体"/>
                <w:color w:val="000000"/>
                <w:kern w:val="0"/>
                <w:szCs w:val="21"/>
              </w:rPr>
              <w:t>★15、为保证产品经过测试符合相关的产品安全标准，产品必须通过ETL认证，提供相关证书，加盖生产厂家公章。</w:t>
            </w:r>
          </w:p>
          <w:p>
            <w:pPr>
              <w:widowControl/>
              <w:jc w:val="left"/>
              <w:rPr>
                <w:rFonts w:ascii="宋体" w:hAnsi="宋体" w:cs="宋体"/>
                <w:color w:val="000000"/>
                <w:kern w:val="0"/>
                <w:szCs w:val="21"/>
              </w:rPr>
            </w:pPr>
            <w:r>
              <w:rPr>
                <w:rFonts w:hint="eastAsia" w:ascii="宋体" w:hAnsi="宋体" w:cs="宋体"/>
                <w:color w:val="000000"/>
                <w:kern w:val="0"/>
                <w:szCs w:val="21"/>
              </w:rPr>
              <w:t>16、将样品放置到振动台上, 垂直方向：</w:t>
            </w:r>
          </w:p>
          <w:p>
            <w:pPr>
              <w:widowControl/>
              <w:jc w:val="left"/>
              <w:rPr>
                <w:rFonts w:ascii="宋体" w:hAnsi="宋体" w:cs="宋体"/>
                <w:color w:val="000000"/>
                <w:kern w:val="0"/>
                <w:szCs w:val="21"/>
              </w:rPr>
            </w:pPr>
            <w:r>
              <w:rPr>
                <w:rFonts w:hint="eastAsia" w:ascii="宋体" w:hAnsi="宋体" w:cs="宋体"/>
                <w:color w:val="000000"/>
                <w:kern w:val="0"/>
                <w:szCs w:val="21"/>
              </w:rPr>
              <w:t>-频率:5HZ~55HZ~5HZ；</w:t>
            </w:r>
          </w:p>
          <w:p>
            <w:pPr>
              <w:widowControl/>
              <w:jc w:val="left"/>
              <w:rPr>
                <w:rFonts w:ascii="宋体" w:hAnsi="宋体" w:cs="宋体"/>
                <w:color w:val="000000"/>
                <w:kern w:val="0"/>
                <w:szCs w:val="21"/>
              </w:rPr>
            </w:pPr>
            <w:r>
              <w:rPr>
                <w:rFonts w:hint="eastAsia" w:ascii="宋体" w:hAnsi="宋体" w:cs="宋体"/>
                <w:color w:val="000000"/>
                <w:kern w:val="0"/>
                <w:szCs w:val="21"/>
              </w:rPr>
              <w:t>-振幅: 0.19mm；</w:t>
            </w:r>
          </w:p>
          <w:p>
            <w:pPr>
              <w:widowControl/>
              <w:jc w:val="left"/>
              <w:rPr>
                <w:rFonts w:ascii="宋体" w:hAnsi="宋体" w:cs="宋体"/>
                <w:color w:val="000000"/>
                <w:kern w:val="0"/>
                <w:szCs w:val="21"/>
              </w:rPr>
            </w:pPr>
            <w:r>
              <w:rPr>
                <w:rFonts w:hint="eastAsia" w:ascii="宋体" w:hAnsi="宋体" w:cs="宋体"/>
                <w:color w:val="000000"/>
                <w:kern w:val="0"/>
                <w:szCs w:val="21"/>
              </w:rPr>
              <w:t>-持续时间：30min</w:t>
            </w:r>
          </w:p>
          <w:p>
            <w:pPr>
              <w:widowControl/>
              <w:jc w:val="left"/>
              <w:rPr>
                <w:rFonts w:ascii="宋体" w:hAnsi="宋体" w:cs="宋体"/>
                <w:color w:val="000000"/>
                <w:kern w:val="0"/>
                <w:szCs w:val="21"/>
              </w:rPr>
            </w:pPr>
            <w:r>
              <w:rPr>
                <w:rFonts w:hint="eastAsia" w:ascii="宋体" w:hAnsi="宋体" w:cs="宋体"/>
                <w:color w:val="000000"/>
                <w:kern w:val="0"/>
                <w:szCs w:val="21"/>
              </w:rPr>
              <w:t>★提供抗震第三方供检测报告并加盖制造商公章</w:t>
            </w:r>
          </w:p>
          <w:p>
            <w:pPr>
              <w:widowControl/>
              <w:jc w:val="left"/>
              <w:rPr>
                <w:rFonts w:ascii="宋体" w:hAnsi="宋体" w:cs="宋体"/>
                <w:color w:val="000000"/>
                <w:kern w:val="0"/>
                <w:szCs w:val="21"/>
              </w:rPr>
            </w:pPr>
            <w:r>
              <w:rPr>
                <w:rFonts w:hint="eastAsia" w:ascii="宋体" w:hAnsi="宋体" w:cs="宋体"/>
                <w:color w:val="000000"/>
                <w:kern w:val="0"/>
                <w:szCs w:val="21"/>
              </w:rPr>
              <w:t>★所投标产品必须通过阻燃V-0级检测，要求提供具有CNAS国家级检测资质机构的检测报告加盖生产厂家公章。</w:t>
            </w:r>
          </w:p>
          <w:p>
            <w:pPr>
              <w:widowControl/>
              <w:jc w:val="left"/>
              <w:rPr>
                <w:rFonts w:ascii="宋体" w:hAnsi="宋体" w:cs="宋体"/>
                <w:color w:val="000000"/>
                <w:kern w:val="0"/>
                <w:szCs w:val="21"/>
              </w:rPr>
            </w:pPr>
            <w:r>
              <w:rPr>
                <w:rFonts w:hint="eastAsia" w:ascii="宋体" w:hAnsi="宋体" w:cs="宋体"/>
                <w:color w:val="000000"/>
                <w:kern w:val="0"/>
                <w:szCs w:val="21"/>
              </w:rPr>
              <w:t>★以上参数带★为重要参数，需逐一提供证明材料并加盖生产厂家公章，不能完全提供的，视为不合格。</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19.7</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平方米</w:t>
            </w:r>
          </w:p>
        </w:tc>
      </w:tr>
      <w:tr>
        <w:tblPrEx>
          <w:tblLayout w:type="fixed"/>
          <w:tblCellMar>
            <w:top w:w="0" w:type="dxa"/>
            <w:left w:w="108" w:type="dxa"/>
            <w:bottom w:w="0" w:type="dxa"/>
            <w:right w:w="108" w:type="dxa"/>
          </w:tblCellMar>
        </w:tblPrEx>
        <w:trPr>
          <w:trHeight w:val="27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w:t>
            </w:r>
          </w:p>
        </w:tc>
        <w:tc>
          <w:tcPr>
            <w:tcW w:w="797"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电源</w:t>
            </w:r>
          </w:p>
        </w:tc>
        <w:tc>
          <w:tcPr>
            <w:tcW w:w="6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 xml:space="preserve">输出功率：200W Max </w:t>
            </w:r>
          </w:p>
          <w:p>
            <w:pPr>
              <w:widowControl/>
              <w:jc w:val="left"/>
              <w:rPr>
                <w:rFonts w:ascii="宋体" w:hAnsi="宋体" w:cs="宋体"/>
                <w:color w:val="000000"/>
                <w:sz w:val="18"/>
                <w:szCs w:val="18"/>
              </w:rPr>
            </w:pPr>
            <w:r>
              <w:rPr>
                <w:rFonts w:hint="eastAsia" w:ascii="宋体" w:hAnsi="宋体" w:cs="宋体"/>
                <w:color w:val="000000"/>
                <w:sz w:val="18"/>
                <w:szCs w:val="18"/>
              </w:rPr>
              <w:t>泄漏电流：&lt;1ma(Vin:230)</w:t>
            </w:r>
          </w:p>
          <w:p>
            <w:pPr>
              <w:widowControl/>
              <w:jc w:val="left"/>
              <w:rPr>
                <w:rFonts w:ascii="宋体" w:hAnsi="宋体" w:cs="宋体"/>
                <w:color w:val="000000"/>
                <w:sz w:val="18"/>
                <w:szCs w:val="18"/>
              </w:rPr>
            </w:pPr>
            <w:r>
              <w:rPr>
                <w:rFonts w:hint="eastAsia" w:ascii="宋体" w:hAnsi="宋体" w:cs="宋体"/>
                <w:color w:val="000000"/>
                <w:sz w:val="18"/>
                <w:szCs w:val="18"/>
              </w:rPr>
              <w:t>工作温度：-30℃~60℃</w:t>
            </w:r>
          </w:p>
          <w:p>
            <w:pPr>
              <w:widowControl/>
              <w:jc w:val="left"/>
              <w:rPr>
                <w:rFonts w:ascii="宋体" w:hAnsi="宋体" w:cs="宋体"/>
                <w:color w:val="000000"/>
                <w:sz w:val="18"/>
                <w:szCs w:val="18"/>
              </w:rPr>
            </w:pPr>
            <w:r>
              <w:rPr>
                <w:rFonts w:hint="eastAsia" w:ascii="宋体" w:hAnsi="宋体" w:cs="宋体"/>
                <w:color w:val="000000"/>
                <w:sz w:val="18"/>
                <w:szCs w:val="18"/>
              </w:rPr>
              <w:t>散热方式：自冷</w:t>
            </w:r>
          </w:p>
          <w:p>
            <w:pPr>
              <w:widowControl/>
              <w:jc w:val="left"/>
              <w:rPr>
                <w:rFonts w:ascii="宋体" w:hAnsi="宋体" w:cs="宋体"/>
                <w:color w:val="000000"/>
                <w:sz w:val="18"/>
                <w:szCs w:val="18"/>
              </w:rPr>
            </w:pPr>
            <w:r>
              <w:rPr>
                <w:rFonts w:hint="eastAsia" w:ascii="宋体" w:hAnsi="宋体" w:cs="宋体"/>
                <w:color w:val="000000"/>
                <w:sz w:val="18"/>
                <w:szCs w:val="18"/>
              </w:rPr>
              <w:t>储存温度：-40~80℃</w:t>
            </w:r>
          </w:p>
          <w:p>
            <w:pPr>
              <w:widowControl/>
              <w:jc w:val="left"/>
              <w:rPr>
                <w:rFonts w:ascii="宋体" w:hAnsi="宋体" w:cs="宋体"/>
                <w:color w:val="000000"/>
                <w:sz w:val="18"/>
                <w:szCs w:val="18"/>
              </w:rPr>
            </w:pPr>
            <w:r>
              <w:rPr>
                <w:rFonts w:hint="eastAsia" w:ascii="宋体" w:hAnsi="宋体" w:cs="宋体"/>
                <w:color w:val="000000"/>
                <w:sz w:val="18"/>
                <w:szCs w:val="18"/>
              </w:rPr>
              <w:t>输入电压：200-240Vac,47-63Hz</w:t>
            </w:r>
          </w:p>
          <w:p>
            <w:pPr>
              <w:widowControl/>
              <w:jc w:val="left"/>
              <w:rPr>
                <w:rFonts w:ascii="宋体" w:hAnsi="宋体" w:cs="宋体"/>
                <w:color w:val="000000"/>
                <w:sz w:val="18"/>
                <w:szCs w:val="18"/>
              </w:rPr>
            </w:pPr>
            <w:r>
              <w:rPr>
                <w:rFonts w:hint="eastAsia" w:ascii="宋体" w:hAnsi="宋体" w:cs="宋体"/>
                <w:color w:val="000000"/>
                <w:sz w:val="18"/>
                <w:szCs w:val="18"/>
              </w:rPr>
              <w:t>绝缘电压：I/P-O/P:3.0KVac;I/P-FG:1.5KVac;O/P-FG:0.5KVac</w:t>
            </w:r>
          </w:p>
          <w:p>
            <w:pPr>
              <w:widowControl/>
              <w:jc w:val="left"/>
              <w:rPr>
                <w:rFonts w:ascii="宋体" w:hAnsi="宋体" w:cs="宋体"/>
                <w:color w:val="000000"/>
                <w:sz w:val="18"/>
                <w:szCs w:val="18"/>
              </w:rPr>
            </w:pPr>
            <w:r>
              <w:rPr>
                <w:rFonts w:hint="eastAsia" w:ascii="宋体" w:hAnsi="宋体" w:cs="宋体"/>
                <w:color w:val="000000"/>
                <w:sz w:val="18"/>
                <w:szCs w:val="18"/>
              </w:rPr>
              <w:t>安全标准：GB4943,EN60950</w:t>
            </w:r>
          </w:p>
          <w:p>
            <w:pPr>
              <w:widowControl/>
              <w:jc w:val="left"/>
              <w:rPr>
                <w:rFonts w:ascii="宋体" w:hAnsi="宋体" w:cs="宋体"/>
                <w:color w:val="000000"/>
                <w:sz w:val="18"/>
                <w:szCs w:val="18"/>
              </w:rPr>
            </w:pPr>
            <w:r>
              <w:rPr>
                <w:rFonts w:hint="eastAsia" w:ascii="宋体" w:hAnsi="宋体" w:cs="宋体"/>
                <w:color w:val="000000"/>
                <w:sz w:val="18"/>
                <w:szCs w:val="18"/>
              </w:rPr>
              <w:t>保护功能：输入欠压，过载保护，短路保护</w:t>
            </w:r>
          </w:p>
          <w:p>
            <w:pPr>
              <w:widowControl/>
              <w:jc w:val="left"/>
              <w:rPr>
                <w:rFonts w:ascii="宋体" w:hAnsi="宋体" w:cs="宋体"/>
                <w:color w:val="000000"/>
                <w:kern w:val="0"/>
                <w:szCs w:val="21"/>
              </w:rPr>
            </w:pPr>
            <w:r>
              <w:rPr>
                <w:rFonts w:hint="eastAsia" w:ascii="宋体" w:hAnsi="宋体" w:cs="宋体"/>
                <w:color w:val="000000"/>
                <w:sz w:val="18"/>
                <w:szCs w:val="18"/>
              </w:rPr>
              <w:t>功率因素：0.50@230Vac</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r>
      <w:tr>
        <w:tblPrEx>
          <w:tblLayout w:type="fixed"/>
          <w:tblCellMar>
            <w:top w:w="0" w:type="dxa"/>
            <w:left w:w="108" w:type="dxa"/>
            <w:bottom w:w="0" w:type="dxa"/>
            <w:right w:w="108" w:type="dxa"/>
          </w:tblCellMar>
        </w:tblPrEx>
        <w:trPr>
          <w:trHeight w:val="243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w:t>
            </w:r>
          </w:p>
        </w:tc>
        <w:tc>
          <w:tcPr>
            <w:tcW w:w="797"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发送卡</w:t>
            </w:r>
          </w:p>
        </w:tc>
        <w:tc>
          <w:tcPr>
            <w:tcW w:w="6648"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Cs w:val="21"/>
              </w:rPr>
            </w:pPr>
            <w:r>
              <w:rPr>
                <w:rFonts w:hint="eastAsia" w:ascii="宋体" w:hAnsi="宋体" w:cs="宋体"/>
                <w:color w:val="000000"/>
                <w:kern w:val="0"/>
                <w:szCs w:val="21"/>
              </w:rPr>
              <w:t>支持音频输入，通过网线同步传输；</w:t>
            </w:r>
          </w:p>
          <w:p>
            <w:pPr>
              <w:widowControl/>
              <w:jc w:val="left"/>
              <w:rPr>
                <w:rFonts w:ascii="宋体" w:hAnsi="宋体" w:cs="宋体"/>
                <w:color w:val="000000"/>
                <w:kern w:val="0"/>
                <w:szCs w:val="21"/>
              </w:rPr>
            </w:pPr>
            <w:r>
              <w:rPr>
                <w:rFonts w:hint="eastAsia" w:ascii="宋体" w:hAnsi="宋体" w:cs="宋体"/>
                <w:color w:val="000000"/>
                <w:kern w:val="0"/>
                <w:szCs w:val="21"/>
              </w:rPr>
              <w:t>•输入分辨率：最大1920×1200点，支持分辨率任意设置；</w:t>
            </w:r>
          </w:p>
          <w:p>
            <w:pPr>
              <w:widowControl/>
              <w:jc w:val="left"/>
              <w:rPr>
                <w:rFonts w:ascii="宋体" w:hAnsi="宋体" w:cs="宋体"/>
                <w:color w:val="000000"/>
                <w:kern w:val="0"/>
                <w:szCs w:val="21"/>
              </w:rPr>
            </w:pPr>
            <w:r>
              <w:rPr>
                <w:rFonts w:hint="eastAsia" w:ascii="宋体" w:hAnsi="宋体" w:cs="宋体"/>
                <w:color w:val="000000"/>
                <w:kern w:val="0"/>
                <w:szCs w:val="21"/>
              </w:rPr>
              <w:t>•单卡最大带载面积：130万点，最宽可达2560，或最高可达2560点；</w:t>
            </w:r>
          </w:p>
          <w:p>
            <w:pPr>
              <w:widowControl/>
              <w:jc w:val="left"/>
              <w:rPr>
                <w:rFonts w:ascii="宋体" w:hAnsi="宋体" w:cs="宋体"/>
                <w:color w:val="000000"/>
                <w:kern w:val="0"/>
                <w:szCs w:val="21"/>
              </w:rPr>
            </w:pPr>
            <w:r>
              <w:rPr>
                <w:rFonts w:hint="eastAsia" w:ascii="宋体" w:hAnsi="宋体" w:cs="宋体"/>
                <w:color w:val="000000"/>
                <w:kern w:val="0"/>
                <w:szCs w:val="21"/>
              </w:rPr>
              <w:t>•2个千兆网口输出，支持两上下、左右任意拼接；</w:t>
            </w:r>
          </w:p>
          <w:p>
            <w:pPr>
              <w:widowControl/>
              <w:jc w:val="left"/>
              <w:rPr>
                <w:rFonts w:ascii="宋体" w:hAnsi="宋体" w:cs="宋体"/>
                <w:color w:val="000000"/>
                <w:kern w:val="0"/>
                <w:szCs w:val="21"/>
              </w:rPr>
            </w:pPr>
            <w:r>
              <w:rPr>
                <w:rFonts w:hint="eastAsia" w:ascii="宋体" w:hAnsi="宋体" w:cs="宋体"/>
                <w:color w:val="000000"/>
                <w:kern w:val="0"/>
                <w:szCs w:val="21"/>
              </w:rPr>
              <w:t>•双USB接口进行数据通讯，方便级联拼接，严格同步；</w:t>
            </w:r>
          </w:p>
          <w:p>
            <w:pPr>
              <w:widowControl/>
              <w:jc w:val="left"/>
              <w:rPr>
                <w:rFonts w:ascii="宋体" w:hAnsi="宋体" w:cs="宋体"/>
                <w:color w:val="000000"/>
                <w:kern w:val="0"/>
                <w:szCs w:val="21"/>
              </w:rPr>
            </w:pPr>
            <w:r>
              <w:rPr>
                <w:rFonts w:hint="eastAsia" w:ascii="宋体" w:hAnsi="宋体" w:cs="宋体"/>
                <w:color w:val="000000"/>
                <w:kern w:val="0"/>
                <w:szCs w:val="21"/>
              </w:rPr>
              <w:t>•支持低亮高灰；</w:t>
            </w:r>
          </w:p>
          <w:p>
            <w:pPr>
              <w:widowControl/>
              <w:jc w:val="left"/>
              <w:rPr>
                <w:rFonts w:ascii="宋体" w:hAnsi="宋体" w:cs="宋体"/>
                <w:color w:val="000000"/>
                <w:kern w:val="0"/>
                <w:szCs w:val="21"/>
              </w:rPr>
            </w:pPr>
            <w:r>
              <w:rPr>
                <w:rFonts w:hint="eastAsia" w:ascii="宋体" w:hAnsi="宋体" w:cs="宋体"/>
                <w:color w:val="000000"/>
                <w:kern w:val="0"/>
                <w:szCs w:val="21"/>
              </w:rPr>
              <w:t>•采用PCI-E 1X接口，通用性更强；</w:t>
            </w:r>
          </w:p>
          <w:p>
            <w:pPr>
              <w:widowControl/>
              <w:jc w:val="left"/>
              <w:rPr>
                <w:rFonts w:ascii="宋体" w:hAnsi="宋体" w:cs="宋体"/>
                <w:color w:val="000000"/>
                <w:kern w:val="0"/>
                <w:szCs w:val="21"/>
              </w:rPr>
            </w:pPr>
            <w:r>
              <w:rPr>
                <w:rFonts w:hint="eastAsia" w:ascii="宋体" w:hAnsi="宋体" w:cs="宋体"/>
                <w:color w:val="000000"/>
                <w:kern w:val="0"/>
                <w:szCs w:val="21"/>
              </w:rPr>
              <w:t>•支持DC 3.8~12V超宽工作电压，更强适应性；</w:t>
            </w:r>
          </w:p>
          <w:p>
            <w:pPr>
              <w:widowControl/>
              <w:jc w:val="left"/>
              <w:rPr>
                <w:rFonts w:ascii="宋体" w:hAnsi="宋体" w:cs="宋体"/>
                <w:color w:val="000000"/>
                <w:kern w:val="0"/>
                <w:szCs w:val="21"/>
              </w:rPr>
            </w:pPr>
            <w:r>
              <w:rPr>
                <w:rFonts w:hint="eastAsia" w:ascii="宋体" w:hAnsi="宋体" w:cs="宋体"/>
                <w:color w:val="000000"/>
                <w:kern w:val="0"/>
                <w:szCs w:val="21"/>
              </w:rPr>
              <w:t>★为保证产品的兼容性，要求与单元板为同一生产厂家，并提供LED视频控制器的3C证明。</w:t>
            </w:r>
          </w:p>
          <w:p>
            <w:pPr>
              <w:widowControl/>
              <w:jc w:val="left"/>
              <w:rPr>
                <w:rFonts w:ascii="宋体" w:hAnsi="宋体" w:cs="宋体"/>
                <w:color w:val="000000"/>
                <w:kern w:val="0"/>
                <w:szCs w:val="21"/>
              </w:rPr>
            </w:pPr>
            <w:r>
              <w:rPr>
                <w:rFonts w:hint="eastAsia" w:ascii="宋体" w:hAnsi="宋体" w:cs="宋体"/>
                <w:color w:val="000000"/>
                <w:kern w:val="0"/>
                <w:szCs w:val="21"/>
              </w:rPr>
              <w:t>★要注生产厂家具有LED电子显示屏信息发布管控系统软著及舞台LED显示设计制作软件系统软著</w:t>
            </w:r>
            <w:r>
              <w:rPr>
                <w:rFonts w:ascii="宋体" w:hAnsi="宋体" w:cs="宋体"/>
                <w:color w:val="000000"/>
                <w:kern w:val="0"/>
                <w:szCs w:val="21"/>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1495425</wp:posOffset>
                  </wp:positionV>
                  <wp:extent cx="371475" cy="0"/>
                  <wp:effectExtent l="0" t="0" r="0" b="0"/>
                  <wp:wrapNone/>
                  <wp:docPr id="658" name="图片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图片 65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371475" cy="0"/>
                          </a:xfrm>
                          <a:prstGeom prst="rect">
                            <a:avLst/>
                          </a:prstGeom>
                          <a:noFill/>
                          <a:ln>
                            <a:noFill/>
                          </a:ln>
                        </pic:spPr>
                      </pic:pic>
                    </a:graphicData>
                  </a:graphic>
                </wp:anchor>
              </w:drawing>
            </w:r>
            <w:r>
              <w:rPr>
                <w:rFonts w:hint="eastAsia" w:ascii="宋体" w:hAnsi="宋体" w:cs="宋体"/>
                <w:b/>
                <w:bCs/>
                <w:color w:val="000000"/>
                <w:sz w:val="18"/>
                <w:szCs w:val="18"/>
              </w:rPr>
              <w:t>。</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r>
      <w:tr>
        <w:tblPrEx>
          <w:tblLayout w:type="fixed"/>
          <w:tblCellMar>
            <w:top w:w="0" w:type="dxa"/>
            <w:left w:w="108" w:type="dxa"/>
            <w:bottom w:w="0" w:type="dxa"/>
            <w:right w:w="108" w:type="dxa"/>
          </w:tblCellMar>
        </w:tblPrEx>
        <w:trPr>
          <w:trHeight w:val="54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w:t>
            </w:r>
          </w:p>
        </w:tc>
        <w:tc>
          <w:tcPr>
            <w:tcW w:w="79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接送卡</w:t>
            </w:r>
          </w:p>
        </w:tc>
        <w:tc>
          <w:tcPr>
            <w:tcW w:w="6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集成HUB75，无需再配转接板，更方便，成本更低；</w:t>
            </w:r>
          </w:p>
          <w:p>
            <w:pPr>
              <w:widowControl/>
              <w:jc w:val="left"/>
              <w:rPr>
                <w:rFonts w:ascii="宋体" w:hAnsi="宋体" w:cs="宋体"/>
                <w:color w:val="000000"/>
                <w:kern w:val="0"/>
                <w:szCs w:val="21"/>
              </w:rPr>
            </w:pPr>
            <w:r>
              <w:rPr>
                <w:rFonts w:hint="eastAsia" w:ascii="宋体" w:hAnsi="宋体" w:cs="宋体"/>
                <w:color w:val="000000"/>
                <w:kern w:val="0"/>
                <w:szCs w:val="21"/>
              </w:rPr>
              <w:t>减少接插连接件，减少故障点，故障率更低；</w:t>
            </w:r>
          </w:p>
          <w:p>
            <w:pPr>
              <w:widowControl/>
              <w:jc w:val="left"/>
              <w:rPr>
                <w:rFonts w:ascii="宋体" w:hAnsi="宋体" w:cs="宋体"/>
                <w:color w:val="000000"/>
                <w:kern w:val="0"/>
                <w:szCs w:val="21"/>
              </w:rPr>
            </w:pPr>
            <w:r>
              <w:rPr>
                <w:rFonts w:hint="eastAsia" w:ascii="宋体" w:hAnsi="宋体" w:cs="宋体"/>
                <w:color w:val="000000"/>
                <w:kern w:val="0"/>
                <w:szCs w:val="21"/>
              </w:rPr>
              <w:t>支持常规芯片实现高刷新、高灰度、高亮度；</w:t>
            </w:r>
          </w:p>
          <w:p>
            <w:pPr>
              <w:widowControl/>
              <w:jc w:val="left"/>
              <w:rPr>
                <w:rFonts w:ascii="宋体" w:hAnsi="宋体" w:cs="宋体"/>
                <w:color w:val="000000"/>
                <w:kern w:val="0"/>
                <w:szCs w:val="21"/>
              </w:rPr>
            </w:pPr>
            <w:r>
              <w:rPr>
                <w:rFonts w:hint="eastAsia" w:ascii="宋体" w:hAnsi="宋体" w:cs="宋体"/>
                <w:color w:val="000000"/>
                <w:kern w:val="0"/>
                <w:szCs w:val="21"/>
              </w:rPr>
              <w:t>全新灰度引擎，低灰度表现更佳；</w:t>
            </w:r>
          </w:p>
          <w:p>
            <w:pPr>
              <w:widowControl/>
              <w:jc w:val="left"/>
              <w:rPr>
                <w:rFonts w:ascii="宋体" w:hAnsi="宋体" w:cs="宋体"/>
                <w:color w:val="000000"/>
                <w:kern w:val="0"/>
                <w:szCs w:val="21"/>
              </w:rPr>
            </w:pPr>
            <w:r>
              <w:rPr>
                <w:rFonts w:hint="eastAsia" w:ascii="宋体" w:hAnsi="宋体" w:cs="宋体"/>
                <w:color w:val="000000"/>
                <w:kern w:val="0"/>
                <w:szCs w:val="21"/>
              </w:rPr>
              <w:t>细节处理更完美，可消除单元板设计引起的某行偏暗、低灰偏红、鬼影等细节问题；</w:t>
            </w:r>
          </w:p>
          <w:p>
            <w:pPr>
              <w:widowControl/>
              <w:jc w:val="left"/>
              <w:rPr>
                <w:rFonts w:ascii="宋体" w:hAnsi="宋体" w:cs="宋体"/>
                <w:color w:val="000000"/>
                <w:kern w:val="0"/>
                <w:szCs w:val="21"/>
              </w:rPr>
            </w:pPr>
            <w:r>
              <w:rPr>
                <w:rFonts w:hint="eastAsia" w:ascii="宋体" w:hAnsi="宋体" w:cs="宋体"/>
                <w:color w:val="000000"/>
                <w:kern w:val="0"/>
                <w:szCs w:val="21"/>
              </w:rPr>
              <w:t>支持14bit精度的色度、亮度一体化逐点校正；</w:t>
            </w:r>
          </w:p>
          <w:p>
            <w:pPr>
              <w:widowControl/>
              <w:jc w:val="left"/>
              <w:rPr>
                <w:rFonts w:ascii="宋体" w:hAnsi="宋体" w:cs="宋体"/>
                <w:color w:val="000000"/>
                <w:kern w:val="0"/>
                <w:szCs w:val="21"/>
              </w:rPr>
            </w:pPr>
            <w:r>
              <w:rPr>
                <w:rFonts w:hint="eastAsia" w:ascii="宋体" w:hAnsi="宋体" w:cs="宋体"/>
                <w:color w:val="000000"/>
                <w:kern w:val="0"/>
                <w:szCs w:val="21"/>
              </w:rPr>
              <w:t>支持所有常规芯片、PWM芯片和灯饰芯片；</w:t>
            </w:r>
          </w:p>
          <w:p>
            <w:pPr>
              <w:widowControl/>
              <w:jc w:val="left"/>
              <w:rPr>
                <w:rFonts w:ascii="宋体" w:hAnsi="宋体" w:cs="宋体"/>
                <w:color w:val="000000"/>
                <w:kern w:val="0"/>
                <w:szCs w:val="21"/>
              </w:rPr>
            </w:pPr>
            <w:r>
              <w:rPr>
                <w:rFonts w:hint="eastAsia" w:ascii="宋体" w:hAnsi="宋体" w:cs="宋体"/>
                <w:color w:val="000000"/>
                <w:kern w:val="0"/>
                <w:szCs w:val="21"/>
              </w:rPr>
              <w:t>支持静态屏、1/2~1/32扫之间的任意扫描类型；</w:t>
            </w:r>
          </w:p>
          <w:p>
            <w:pPr>
              <w:widowControl/>
              <w:jc w:val="left"/>
              <w:rPr>
                <w:rFonts w:ascii="宋体" w:hAnsi="宋体" w:cs="宋体"/>
                <w:color w:val="000000"/>
                <w:kern w:val="0"/>
                <w:szCs w:val="21"/>
              </w:rPr>
            </w:pPr>
            <w:r>
              <w:rPr>
                <w:rFonts w:hint="eastAsia" w:ascii="宋体" w:hAnsi="宋体" w:cs="宋体"/>
                <w:color w:val="000000"/>
                <w:kern w:val="0"/>
                <w:szCs w:val="21"/>
              </w:rPr>
              <w:t>支持任意抽点，支持数据偏移，可轻松实现各种异型屏、球形屏、创意显示屏；</w:t>
            </w:r>
          </w:p>
          <w:p>
            <w:pPr>
              <w:widowControl/>
              <w:jc w:val="left"/>
              <w:rPr>
                <w:rFonts w:ascii="宋体" w:hAnsi="宋体" w:cs="宋体"/>
                <w:color w:val="000000"/>
                <w:kern w:val="0"/>
                <w:szCs w:val="21"/>
              </w:rPr>
            </w:pPr>
            <w:r>
              <w:rPr>
                <w:rFonts w:hint="eastAsia" w:ascii="宋体" w:hAnsi="宋体" w:cs="宋体"/>
                <w:color w:val="000000"/>
                <w:kern w:val="0"/>
                <w:szCs w:val="21"/>
              </w:rPr>
              <w:t>单卡支持16组RGB信号输出；</w:t>
            </w:r>
          </w:p>
          <w:p>
            <w:pPr>
              <w:widowControl/>
              <w:jc w:val="left"/>
              <w:rPr>
                <w:rFonts w:ascii="宋体" w:hAnsi="宋体" w:cs="宋体"/>
                <w:color w:val="000000"/>
                <w:kern w:val="0"/>
                <w:szCs w:val="21"/>
              </w:rPr>
            </w:pPr>
            <w:r>
              <w:rPr>
                <w:rFonts w:hint="eastAsia" w:ascii="宋体" w:hAnsi="宋体" w:cs="宋体"/>
                <w:color w:val="000000"/>
                <w:kern w:val="0"/>
                <w:szCs w:val="21"/>
              </w:rPr>
              <w:t>支持超大带载面积，单卡带载128*512，256*256；</w:t>
            </w:r>
          </w:p>
          <w:p>
            <w:pPr>
              <w:widowControl/>
              <w:jc w:val="left"/>
              <w:rPr>
                <w:rFonts w:ascii="宋体" w:hAnsi="宋体" w:cs="宋体"/>
                <w:color w:val="000000"/>
                <w:kern w:val="0"/>
                <w:szCs w:val="21"/>
              </w:rPr>
            </w:pPr>
            <w:r>
              <w:rPr>
                <w:rFonts w:hint="eastAsia" w:ascii="宋体" w:hAnsi="宋体" w:cs="宋体"/>
                <w:color w:val="000000"/>
                <w:kern w:val="0"/>
                <w:szCs w:val="21"/>
              </w:rPr>
              <w:t>先进设计，优质元器件，全自动高低温老化测试，零故障出厂；</w:t>
            </w:r>
          </w:p>
          <w:p>
            <w:pPr>
              <w:widowControl/>
              <w:jc w:val="left"/>
              <w:rPr>
                <w:rFonts w:ascii="宋体" w:hAnsi="宋体" w:cs="宋体"/>
                <w:color w:val="000000"/>
                <w:kern w:val="0"/>
                <w:szCs w:val="21"/>
              </w:rPr>
            </w:pPr>
            <w:r>
              <w:rPr>
                <w:rFonts w:hint="eastAsia" w:ascii="宋体" w:hAnsi="宋体" w:cs="宋体"/>
                <w:color w:val="000000"/>
                <w:kern w:val="0"/>
                <w:szCs w:val="21"/>
              </w:rPr>
              <w:t>支持DC 3.3V~6V超宽工作电压，有效减弱电压波动带来的影响；</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r>
      <w:tr>
        <w:tblPrEx>
          <w:tblLayout w:type="fixed"/>
          <w:tblCellMar>
            <w:top w:w="0" w:type="dxa"/>
            <w:left w:w="108" w:type="dxa"/>
            <w:bottom w:w="0" w:type="dxa"/>
            <w:right w:w="108" w:type="dxa"/>
          </w:tblCellMar>
        </w:tblPrEx>
        <w:trPr>
          <w:trHeight w:val="54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5</w:t>
            </w:r>
          </w:p>
        </w:tc>
        <w:tc>
          <w:tcPr>
            <w:tcW w:w="79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控制软件</w:t>
            </w:r>
          </w:p>
        </w:tc>
        <w:tc>
          <w:tcPr>
            <w:tcW w:w="6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★1、软件可视化管理，支持PC端及移动端， PC端支持windowsXP、 win7、win8、win10系统以及windows server服务器系统，中标麒麟系统。移动端APP支持：安卓、sureface、IOS、且IOS版无需越狱，为保证操作的编辑及各种控制方式的灵活切换PC和移动端的软件界面和功能要求是一模一样的。</w:t>
            </w:r>
          </w:p>
          <w:p>
            <w:pPr>
              <w:widowControl/>
              <w:jc w:val="left"/>
              <w:rPr>
                <w:rFonts w:ascii="宋体" w:hAnsi="宋体" w:cs="宋体"/>
                <w:color w:val="000000"/>
                <w:kern w:val="0"/>
                <w:szCs w:val="21"/>
              </w:rPr>
            </w:pPr>
            <w:r>
              <w:rPr>
                <w:rFonts w:hint="eastAsia" w:ascii="宋体" w:hAnsi="宋体" w:cs="宋体"/>
                <w:color w:val="000000"/>
                <w:kern w:val="0"/>
                <w:szCs w:val="21"/>
              </w:rPr>
              <w:t>2、多串口与中控控制外围设备功能，支持控制大屏、投影机、灯光、摄像头、窗帘等外围设备的控制。</w:t>
            </w:r>
          </w:p>
          <w:p>
            <w:pPr>
              <w:widowControl/>
              <w:jc w:val="left"/>
              <w:rPr>
                <w:rFonts w:ascii="宋体" w:hAnsi="宋体" w:cs="宋体"/>
                <w:color w:val="000000"/>
                <w:kern w:val="0"/>
                <w:szCs w:val="21"/>
              </w:rPr>
            </w:pPr>
            <w:r>
              <w:rPr>
                <w:rFonts w:hint="eastAsia" w:ascii="宋体" w:hAnsi="宋体" w:cs="宋体"/>
                <w:color w:val="000000"/>
                <w:kern w:val="0"/>
                <w:szCs w:val="21"/>
              </w:rPr>
              <w:t>3、底图烧写功能，写入的过程中显示终端能够时时显示的进度状态。</w:t>
            </w:r>
          </w:p>
          <w:p>
            <w:pPr>
              <w:widowControl/>
              <w:jc w:val="left"/>
              <w:rPr>
                <w:rFonts w:ascii="宋体" w:hAnsi="宋体" w:cs="宋体"/>
                <w:color w:val="000000"/>
                <w:kern w:val="0"/>
                <w:szCs w:val="21"/>
              </w:rPr>
            </w:pPr>
            <w:r>
              <w:rPr>
                <w:rFonts w:hint="eastAsia" w:ascii="宋体" w:hAnsi="宋体" w:cs="宋体"/>
                <w:color w:val="000000"/>
                <w:kern w:val="0"/>
                <w:szCs w:val="21"/>
              </w:rPr>
              <w:t>4、软件支持预监回显功能，在客户端软件上面支持实时显示输入信号源的图像，也同时显示解码输出的视频图像。</w:t>
            </w:r>
          </w:p>
          <w:p>
            <w:pPr>
              <w:widowControl/>
              <w:jc w:val="left"/>
              <w:rPr>
                <w:rFonts w:ascii="宋体" w:hAnsi="宋体" w:cs="宋体"/>
                <w:color w:val="000000"/>
                <w:kern w:val="0"/>
                <w:szCs w:val="21"/>
              </w:rPr>
            </w:pPr>
            <w:r>
              <w:rPr>
                <w:rFonts w:hint="eastAsia" w:ascii="宋体" w:hAnsi="宋体" w:cs="宋体"/>
                <w:color w:val="000000"/>
                <w:kern w:val="0"/>
                <w:szCs w:val="21"/>
              </w:rPr>
              <w:t>★5、软件UI窗口支持多种底色，每个信号源有一种特殊的颜色，支持窗口底色功能，客户端软件窗口预览模式中，支持多种底色叠加显示。（提供第三方检测报告，提供软件界面截图证明）</w:t>
            </w:r>
          </w:p>
          <w:p>
            <w:pPr>
              <w:widowControl/>
              <w:jc w:val="left"/>
              <w:rPr>
                <w:rFonts w:ascii="宋体" w:hAnsi="宋体" w:cs="宋体"/>
                <w:color w:val="000000"/>
                <w:kern w:val="0"/>
                <w:szCs w:val="21"/>
              </w:rPr>
            </w:pPr>
            <w:r>
              <w:rPr>
                <w:rFonts w:hint="eastAsia" w:ascii="宋体" w:hAnsi="宋体" w:cs="宋体"/>
                <w:color w:val="000000"/>
                <w:kern w:val="0"/>
                <w:szCs w:val="21"/>
              </w:rPr>
              <w:t>6、软件支持跨网段解码同一局域网的摄像头，并且同时支持云台控制。（提供第三方检测报告）</w:t>
            </w:r>
          </w:p>
          <w:p>
            <w:pPr>
              <w:widowControl/>
              <w:jc w:val="left"/>
              <w:rPr>
                <w:rFonts w:ascii="宋体" w:hAnsi="宋体" w:cs="宋体"/>
                <w:color w:val="000000"/>
                <w:kern w:val="0"/>
                <w:szCs w:val="21"/>
              </w:rPr>
            </w:pPr>
            <w:r>
              <w:rPr>
                <w:rFonts w:hint="eastAsia" w:ascii="宋体" w:hAnsi="宋体" w:cs="宋体"/>
                <w:color w:val="000000"/>
                <w:kern w:val="0"/>
                <w:szCs w:val="21"/>
              </w:rPr>
              <w:t>7、设备支持跨平台操作，支持与会者系统对接，与大小屏互动会议系统软件等对接实现对图片文档PPT等翻页标注操作。</w:t>
            </w:r>
          </w:p>
          <w:p>
            <w:pPr>
              <w:widowControl/>
              <w:jc w:val="left"/>
              <w:rPr>
                <w:rFonts w:ascii="宋体" w:hAnsi="宋体" w:cs="宋体"/>
                <w:color w:val="000000"/>
                <w:kern w:val="0"/>
                <w:szCs w:val="21"/>
              </w:rPr>
            </w:pPr>
            <w:r>
              <w:rPr>
                <w:rFonts w:hint="eastAsia" w:ascii="宋体" w:hAnsi="宋体" w:cs="宋体"/>
                <w:color w:val="000000"/>
                <w:kern w:val="0"/>
                <w:szCs w:val="21"/>
              </w:rPr>
              <w:t>★以上参数带★为重要参数，需逐一提供证明材料并加盖生产厂家公章，不能提供完全的，视为不合格。</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r>
      <w:tr>
        <w:tblPrEx>
          <w:tblLayout w:type="fixed"/>
          <w:tblCellMar>
            <w:top w:w="0" w:type="dxa"/>
            <w:left w:w="108" w:type="dxa"/>
            <w:bottom w:w="0" w:type="dxa"/>
            <w:right w:w="108" w:type="dxa"/>
          </w:tblCellMar>
        </w:tblPrEx>
        <w:trPr>
          <w:trHeight w:val="137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w:t>
            </w:r>
          </w:p>
        </w:tc>
        <w:tc>
          <w:tcPr>
            <w:tcW w:w="797"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视频处理器</w:t>
            </w:r>
          </w:p>
        </w:tc>
        <w:tc>
          <w:tcPr>
            <w:tcW w:w="6648"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Cs w:val="21"/>
              </w:rPr>
            </w:pPr>
            <w:r>
              <w:rPr>
                <w:rFonts w:hint="eastAsia" w:ascii="宋体" w:hAnsi="宋体" w:cs="宋体"/>
                <w:color w:val="000000"/>
                <w:kern w:val="0"/>
                <w:szCs w:val="21"/>
              </w:rPr>
              <w:t>1、输入支持1路DVI、HDMI、SDI、VGA、CVBS、YPBPR、HDbaseT、光纤输入、IP流媒体、DVI-X 3.5mm音频等信号的混合输入，同时支持DP 、HDMI1.4、Dual-Link DVI等4K分辨率输入采集。</w:t>
            </w:r>
          </w:p>
          <w:p>
            <w:pPr>
              <w:widowControl/>
              <w:jc w:val="left"/>
              <w:rPr>
                <w:rFonts w:ascii="宋体" w:hAnsi="宋体" w:cs="宋体"/>
                <w:color w:val="000000"/>
                <w:kern w:val="0"/>
                <w:szCs w:val="21"/>
              </w:rPr>
            </w:pPr>
            <w:r>
              <w:rPr>
                <w:rFonts w:hint="eastAsia" w:ascii="宋体" w:hAnsi="宋体" w:cs="宋体"/>
                <w:color w:val="000000"/>
                <w:kern w:val="0"/>
                <w:szCs w:val="21"/>
              </w:rPr>
              <w:t>2、切换信号之间、开窗响应、调模式的间隔时间≤15ms。</w:t>
            </w:r>
          </w:p>
          <w:p>
            <w:pPr>
              <w:widowControl/>
              <w:jc w:val="left"/>
              <w:rPr>
                <w:rFonts w:ascii="宋体" w:hAnsi="宋体" w:cs="宋体"/>
                <w:color w:val="000000"/>
                <w:kern w:val="0"/>
                <w:szCs w:val="21"/>
              </w:rPr>
            </w:pPr>
            <w:r>
              <w:rPr>
                <w:rFonts w:hint="eastAsia" w:ascii="宋体" w:hAnsi="宋体" w:cs="宋体"/>
                <w:color w:val="000000"/>
                <w:kern w:val="0"/>
                <w:szCs w:val="21"/>
              </w:rPr>
              <w:t>3、★平均故障时间间隔（MTBF）不小于100000小时，保证设备正常稳定运行。</w:t>
            </w:r>
          </w:p>
          <w:p>
            <w:pPr>
              <w:widowControl/>
              <w:jc w:val="left"/>
              <w:rPr>
                <w:rFonts w:ascii="宋体" w:hAnsi="宋体" w:cs="宋体"/>
                <w:color w:val="000000"/>
                <w:kern w:val="0"/>
                <w:szCs w:val="21"/>
              </w:rPr>
            </w:pPr>
            <w:r>
              <w:rPr>
                <w:rFonts w:hint="eastAsia" w:ascii="宋体" w:hAnsi="宋体" w:cs="宋体"/>
                <w:color w:val="000000"/>
                <w:kern w:val="0"/>
                <w:szCs w:val="21"/>
              </w:rPr>
              <w:t>4、支持中控集成功能，支持RS232\RS485\DMX512输出板卡，单板8路串口输出，可直接控制LCD屏体，投影机，灯光等外围第三方设备的控制。</w:t>
            </w:r>
          </w:p>
          <w:p>
            <w:pPr>
              <w:widowControl/>
              <w:jc w:val="left"/>
              <w:rPr>
                <w:rFonts w:ascii="宋体" w:hAnsi="宋体" w:cs="宋体"/>
                <w:color w:val="000000"/>
                <w:kern w:val="0"/>
                <w:szCs w:val="21"/>
              </w:rPr>
            </w:pPr>
            <w:r>
              <w:rPr>
                <w:rFonts w:hint="eastAsia" w:ascii="宋体" w:hAnsi="宋体" w:cs="宋体"/>
                <w:color w:val="000000"/>
                <w:kern w:val="0"/>
                <w:szCs w:val="21"/>
              </w:rPr>
              <w:t>5、设备可支持U盘接入播放各种格式的视频图片、也可以插USB鼠标键盘控制PPT以及视频的播放暂停等操作。</w:t>
            </w:r>
          </w:p>
          <w:p>
            <w:pPr>
              <w:widowControl/>
              <w:jc w:val="left"/>
              <w:rPr>
                <w:rFonts w:ascii="宋体" w:hAnsi="宋体" w:cs="宋体"/>
                <w:color w:val="000000"/>
                <w:kern w:val="0"/>
                <w:szCs w:val="21"/>
              </w:rPr>
            </w:pPr>
            <w:r>
              <w:rPr>
                <w:rFonts w:hint="eastAsia" w:ascii="宋体" w:hAnsi="宋体" w:cs="宋体"/>
                <w:color w:val="000000"/>
                <w:kern w:val="0"/>
                <w:szCs w:val="21"/>
              </w:rPr>
              <w:t>6、网络IP视频解码功能，支持H.265,H.264解码，单网口能解码4路4K或者16路1080P，且支持网络抓屏。</w:t>
            </w:r>
          </w:p>
          <w:p>
            <w:pPr>
              <w:widowControl/>
              <w:jc w:val="left"/>
              <w:rPr>
                <w:rFonts w:ascii="宋体" w:hAnsi="宋体" w:cs="宋体"/>
                <w:color w:val="000000"/>
                <w:kern w:val="0"/>
                <w:szCs w:val="21"/>
              </w:rPr>
            </w:pPr>
            <w:r>
              <w:rPr>
                <w:rFonts w:hint="eastAsia" w:ascii="宋体" w:hAnsi="宋体" w:cs="宋体"/>
                <w:color w:val="000000"/>
                <w:kern w:val="0"/>
                <w:szCs w:val="21"/>
              </w:rPr>
              <w:t>7、支持大屏虚拟菜单，实现无需客户端软件即可直接对大屏幕窗口进行操作，开窗、移动、漫游、叠加、缩放、信号切换、模式存储调用等操作。</w:t>
            </w:r>
          </w:p>
          <w:p>
            <w:pPr>
              <w:widowControl/>
              <w:jc w:val="left"/>
              <w:rPr>
                <w:rFonts w:ascii="宋体" w:hAnsi="宋体" w:cs="宋体"/>
                <w:color w:val="000000"/>
                <w:kern w:val="0"/>
                <w:szCs w:val="21"/>
              </w:rPr>
            </w:pPr>
            <w:r>
              <w:rPr>
                <w:rFonts w:hint="eastAsia" w:ascii="宋体" w:hAnsi="宋体" w:cs="宋体"/>
                <w:color w:val="000000"/>
                <w:kern w:val="0"/>
                <w:szCs w:val="21"/>
              </w:rPr>
              <w:t>8、支持鼠标直控功能，单张板卡8路USB Type A的接口，可通过外接的鼠标键盘直接控制输入信号源的电脑的内容。</w:t>
            </w:r>
          </w:p>
          <w:p>
            <w:pPr>
              <w:widowControl/>
              <w:jc w:val="left"/>
              <w:rPr>
                <w:rFonts w:ascii="宋体" w:hAnsi="宋体" w:cs="宋体"/>
                <w:color w:val="000000"/>
                <w:kern w:val="0"/>
                <w:szCs w:val="21"/>
              </w:rPr>
            </w:pPr>
            <w:r>
              <w:rPr>
                <w:rFonts w:hint="eastAsia" w:ascii="宋体" w:hAnsi="宋体" w:cs="宋体"/>
                <w:color w:val="000000"/>
                <w:kern w:val="0"/>
                <w:szCs w:val="21"/>
              </w:rPr>
              <w:t>★9、支持人工智能AI语音控制图像处理器，能通过语音控制处理器新建、端对端、开窗、清空、全屏、底图开关、字符显示关闭、调用模式，切换信源等。</w:t>
            </w:r>
          </w:p>
          <w:p>
            <w:pPr>
              <w:widowControl/>
              <w:jc w:val="left"/>
              <w:rPr>
                <w:rFonts w:ascii="宋体" w:hAnsi="宋体" w:cs="宋体"/>
                <w:bCs/>
                <w:color w:val="000000" w:themeColor="text1"/>
                <w:kern w:val="0"/>
                <w:szCs w:val="21"/>
              </w:rPr>
            </w:pPr>
            <w:r>
              <w:rPr>
                <w:rFonts w:hint="eastAsia" w:ascii="宋体" w:hAnsi="宋体" w:cs="宋体"/>
                <w:bCs/>
                <w:color w:val="000000" w:themeColor="text1"/>
                <w:kern w:val="0"/>
                <w:szCs w:val="21"/>
              </w:rPr>
              <w:t>★10、支持人脸识别登录软件以及权限操作管理功能，提供第三方检测报告。</w:t>
            </w:r>
          </w:p>
          <w:p>
            <w:pPr>
              <w:widowControl/>
              <w:jc w:val="left"/>
              <w:rPr>
                <w:rFonts w:ascii="宋体" w:hAnsi="宋体" w:cs="宋体"/>
                <w:color w:val="000000"/>
                <w:kern w:val="0"/>
                <w:szCs w:val="21"/>
              </w:rPr>
            </w:pPr>
            <w:r>
              <w:rPr>
                <w:rFonts w:hint="eastAsia" w:ascii="宋体" w:hAnsi="宋体" w:cs="宋体"/>
                <w:color w:val="000000"/>
                <w:kern w:val="0"/>
                <w:szCs w:val="21"/>
              </w:rPr>
              <w:t>11、电脑信号源支持无限制开窗数量，窗口的内容可以放PPT、Word网页等常规软件窗口；</w:t>
            </w:r>
          </w:p>
          <w:p>
            <w:pPr>
              <w:widowControl/>
              <w:jc w:val="left"/>
              <w:rPr>
                <w:rFonts w:ascii="宋体" w:hAnsi="宋体" w:cs="宋体"/>
                <w:color w:val="000000"/>
                <w:kern w:val="0"/>
                <w:szCs w:val="21"/>
              </w:rPr>
            </w:pPr>
            <w:r>
              <w:rPr>
                <w:rFonts w:hint="eastAsia" w:ascii="宋体" w:hAnsi="宋体" w:cs="宋体"/>
                <w:color w:val="000000"/>
                <w:kern w:val="0"/>
                <w:szCs w:val="21"/>
              </w:rPr>
              <w:t>12、支持LED的主动立体和左右上下被动立体的显示；</w:t>
            </w:r>
          </w:p>
          <w:p>
            <w:pPr>
              <w:widowControl/>
              <w:jc w:val="left"/>
              <w:rPr>
                <w:rFonts w:ascii="宋体" w:hAnsi="宋体" w:cs="宋体"/>
                <w:color w:val="000000"/>
                <w:kern w:val="0"/>
                <w:szCs w:val="21"/>
              </w:rPr>
            </w:pPr>
            <w:r>
              <w:rPr>
                <w:rFonts w:hint="eastAsia" w:ascii="宋体" w:hAnsi="宋体" w:cs="宋体"/>
                <w:color w:val="000000"/>
                <w:kern w:val="0"/>
                <w:szCs w:val="21"/>
              </w:rPr>
              <w:t xml:space="preserve">★13、投标产品的生产企业获得国际权威机构颁发软件能力成熟度模型CMMI-3认证证书 </w:t>
            </w:r>
          </w:p>
          <w:p>
            <w:pPr>
              <w:widowControl/>
              <w:jc w:val="left"/>
              <w:rPr>
                <w:rFonts w:ascii="宋体" w:hAnsi="宋体" w:cs="宋体"/>
                <w:color w:val="000000"/>
                <w:kern w:val="0"/>
                <w:szCs w:val="21"/>
              </w:rPr>
            </w:pPr>
            <w:r>
              <w:rPr>
                <w:rFonts w:hint="eastAsia" w:ascii="宋体" w:hAnsi="宋体" w:cs="宋体"/>
                <w:color w:val="000000"/>
                <w:kern w:val="0"/>
                <w:szCs w:val="21"/>
              </w:rPr>
              <w:t>★14、投标产品必须通过QC080000有害物质过程管理合格证书</w:t>
            </w:r>
          </w:p>
          <w:p>
            <w:pPr>
              <w:widowControl/>
              <w:jc w:val="left"/>
              <w:rPr>
                <w:rFonts w:ascii="宋体" w:hAnsi="宋体" w:cs="宋体"/>
                <w:color w:val="000000"/>
                <w:kern w:val="0"/>
                <w:szCs w:val="21"/>
              </w:rPr>
            </w:pPr>
            <w:r>
              <w:rPr>
                <w:rFonts w:hint="eastAsia" w:ascii="宋体" w:hAnsi="宋体" w:cs="宋体"/>
                <w:color w:val="000000"/>
                <w:kern w:val="0"/>
                <w:szCs w:val="21"/>
              </w:rPr>
              <w:t>★15、投标产品的生产企业获得全国质量检验稳定合格产品认证。</w:t>
            </w:r>
          </w:p>
          <w:p>
            <w:pPr>
              <w:widowControl/>
              <w:jc w:val="left"/>
              <w:rPr>
                <w:rFonts w:ascii="宋体" w:hAnsi="宋体" w:cs="宋体"/>
                <w:color w:val="000000"/>
                <w:kern w:val="0"/>
                <w:szCs w:val="21"/>
              </w:rPr>
            </w:pPr>
            <w:r>
              <w:rPr>
                <w:rFonts w:hint="eastAsia" w:ascii="宋体" w:hAnsi="宋体" w:cs="宋体"/>
                <w:color w:val="000000"/>
                <w:kern w:val="0"/>
                <w:szCs w:val="21"/>
              </w:rPr>
              <w:t>★以上参数带★为重要参数，需逐一提供证明材料并加盖生产厂家公章，不能提供完全的，视为不合格。</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r>
      <w:tr>
        <w:tblPrEx>
          <w:tblLayout w:type="fixed"/>
          <w:tblCellMar>
            <w:top w:w="0" w:type="dxa"/>
            <w:left w:w="108" w:type="dxa"/>
            <w:bottom w:w="0" w:type="dxa"/>
            <w:right w:w="108" w:type="dxa"/>
          </w:tblCellMar>
        </w:tblPrEx>
        <w:trPr>
          <w:trHeight w:val="27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w:t>
            </w:r>
          </w:p>
        </w:tc>
        <w:tc>
          <w:tcPr>
            <w:tcW w:w="797"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配电柜</w:t>
            </w:r>
          </w:p>
        </w:tc>
        <w:tc>
          <w:tcPr>
            <w:tcW w:w="6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近端自动上电，可实现过流保护，配多功能卡，实现定时器并远程控制，自动上电、关电功能，接触器与断路器选用知名品牌，带电气及信号避雷功能.具有综保功能，对过压、过流、短路等异常情况具有自动保护功能</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r>
      <w:tr>
        <w:tblPrEx>
          <w:tblLayout w:type="fixed"/>
          <w:tblCellMar>
            <w:top w:w="0" w:type="dxa"/>
            <w:left w:w="108" w:type="dxa"/>
            <w:bottom w:w="0" w:type="dxa"/>
            <w:right w:w="108" w:type="dxa"/>
          </w:tblCellMar>
        </w:tblPrEx>
        <w:trPr>
          <w:trHeight w:val="54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8</w:t>
            </w:r>
          </w:p>
        </w:tc>
        <w:tc>
          <w:tcPr>
            <w:tcW w:w="79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屏体</w:t>
            </w:r>
            <w:r>
              <w:rPr>
                <w:rFonts w:hint="eastAsia" w:ascii="宋体" w:hAnsi="宋体" w:cs="宋体"/>
                <w:color w:val="000000"/>
                <w:sz w:val="18"/>
                <w:szCs w:val="18"/>
              </w:rPr>
              <w:t>支撑结构（主屏）</w:t>
            </w:r>
          </w:p>
        </w:tc>
        <w:tc>
          <w:tcPr>
            <w:tcW w:w="6648" w:type="dxa"/>
            <w:tcBorders>
              <w:top w:val="nil"/>
              <w:left w:val="nil"/>
              <w:bottom w:val="single" w:color="auto" w:sz="4" w:space="0"/>
              <w:right w:val="single" w:color="auto" w:sz="4" w:space="0"/>
            </w:tcBorders>
            <w:shd w:val="clear" w:color="auto" w:fill="auto"/>
            <w:vAlign w:val="center"/>
          </w:tcPr>
          <w:p>
            <w:pPr>
              <w:spacing w:line="400" w:lineRule="exact"/>
              <w:jc w:val="left"/>
              <w:rPr>
                <w:rFonts w:ascii="宋体" w:hAnsi="宋体" w:cs="宋体"/>
                <w:color w:val="000000"/>
                <w:sz w:val="18"/>
                <w:szCs w:val="18"/>
              </w:rPr>
            </w:pPr>
            <w:r>
              <w:rPr>
                <w:rFonts w:hint="eastAsia" w:ascii="宋体" w:hAnsi="宋体" w:cs="宋体"/>
                <w:color w:val="000000"/>
                <w:sz w:val="18"/>
                <w:szCs w:val="18"/>
              </w:rPr>
              <w:t>尺寸：7880mmX3550mm</w:t>
            </w:r>
          </w:p>
          <w:p>
            <w:pPr>
              <w:spacing w:line="400" w:lineRule="exact"/>
              <w:jc w:val="left"/>
              <w:rPr>
                <w:rFonts w:ascii="宋体" w:hAnsi="宋体" w:cs="宋体"/>
                <w:color w:val="000000"/>
                <w:sz w:val="18"/>
                <w:szCs w:val="18"/>
              </w:rPr>
            </w:pPr>
            <w:r>
              <w:rPr>
                <w:rFonts w:hint="eastAsia" w:ascii="宋体" w:hAnsi="宋体" w:cs="宋体"/>
                <w:color w:val="000000"/>
                <w:sz w:val="18"/>
                <w:szCs w:val="18"/>
              </w:rPr>
              <w:t>所需国标热处理镀锌钢材材料壁厚≥2.0mm；规格≥30mmx50mm</w:t>
            </w:r>
          </w:p>
          <w:p>
            <w:pPr>
              <w:spacing w:line="400" w:lineRule="exact"/>
              <w:jc w:val="left"/>
              <w:rPr>
                <w:rFonts w:ascii="宋体" w:hAnsi="宋体" w:cs="宋体"/>
                <w:color w:val="000000"/>
                <w:sz w:val="18"/>
                <w:szCs w:val="18"/>
              </w:rPr>
            </w:pPr>
            <w:r>
              <w:rPr>
                <w:rFonts w:hint="eastAsia" w:ascii="宋体" w:hAnsi="宋体" w:cs="宋体"/>
                <w:color w:val="000000"/>
                <w:sz w:val="18"/>
                <w:szCs w:val="18"/>
              </w:rPr>
              <w:t>采用黑色拉丝不锈钢包边 ,左、右、上宽度100mm，下面宽度250mm，不锈钢厚度≥1.2mm，主屏固定安装，</w:t>
            </w:r>
          </w:p>
          <w:p>
            <w:pPr>
              <w:spacing w:line="400" w:lineRule="exact"/>
              <w:jc w:val="left"/>
              <w:rPr>
                <w:rFonts w:ascii="宋体" w:hAnsi="宋体" w:cs="宋体"/>
                <w:color w:val="000000"/>
                <w:sz w:val="18"/>
                <w:szCs w:val="18"/>
              </w:rPr>
            </w:pPr>
            <w:r>
              <w:rPr>
                <w:rFonts w:hint="eastAsia" w:ascii="宋体" w:hAnsi="宋体" w:cs="宋体"/>
                <w:color w:val="000000"/>
                <w:sz w:val="18"/>
                <w:szCs w:val="18"/>
              </w:rPr>
              <w:t>整屏厚度≤0.1M</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r>
      <w:tr>
        <w:tblPrEx>
          <w:tblLayout w:type="fixed"/>
          <w:tblCellMar>
            <w:top w:w="0" w:type="dxa"/>
            <w:left w:w="108" w:type="dxa"/>
            <w:bottom w:w="0" w:type="dxa"/>
            <w:right w:w="108" w:type="dxa"/>
          </w:tblCellMar>
        </w:tblPrEx>
        <w:trPr>
          <w:trHeight w:val="54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9</w:t>
            </w:r>
          </w:p>
        </w:tc>
        <w:tc>
          <w:tcPr>
            <w:tcW w:w="79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屏体</w:t>
            </w:r>
            <w:r>
              <w:rPr>
                <w:rFonts w:hint="eastAsia" w:ascii="宋体" w:hAnsi="宋体" w:cs="宋体"/>
                <w:color w:val="000000"/>
                <w:sz w:val="18"/>
                <w:szCs w:val="18"/>
              </w:rPr>
              <w:t>支撑结构（副屏）</w:t>
            </w:r>
          </w:p>
        </w:tc>
        <w:tc>
          <w:tcPr>
            <w:tcW w:w="6648" w:type="dxa"/>
            <w:tcBorders>
              <w:top w:val="nil"/>
              <w:left w:val="nil"/>
              <w:bottom w:val="single" w:color="auto" w:sz="4" w:space="0"/>
              <w:right w:val="single" w:color="auto" w:sz="4" w:space="0"/>
            </w:tcBorders>
            <w:shd w:val="clear" w:color="auto" w:fill="auto"/>
            <w:vAlign w:val="center"/>
          </w:tcPr>
          <w:p>
            <w:pPr>
              <w:spacing w:line="400" w:lineRule="exact"/>
              <w:jc w:val="left"/>
              <w:rPr>
                <w:rFonts w:ascii="宋体" w:hAnsi="宋体" w:cs="宋体"/>
                <w:color w:val="000000"/>
                <w:sz w:val="18"/>
                <w:szCs w:val="18"/>
              </w:rPr>
            </w:pPr>
            <w:r>
              <w:rPr>
                <w:rFonts w:hint="eastAsia" w:ascii="宋体" w:hAnsi="宋体" w:cs="宋体"/>
                <w:color w:val="000000"/>
                <w:sz w:val="18"/>
                <w:szCs w:val="18"/>
              </w:rPr>
              <w:t>尺寸：3080mmX3550mmX2块</w:t>
            </w:r>
          </w:p>
          <w:p>
            <w:pPr>
              <w:spacing w:line="400" w:lineRule="exact"/>
              <w:jc w:val="left"/>
              <w:rPr>
                <w:rFonts w:ascii="宋体" w:hAnsi="宋体" w:cs="宋体"/>
                <w:color w:val="000000"/>
                <w:sz w:val="18"/>
                <w:szCs w:val="18"/>
              </w:rPr>
            </w:pPr>
            <w:r>
              <w:rPr>
                <w:rFonts w:hint="eastAsia" w:ascii="宋体" w:hAnsi="宋体" w:cs="宋体"/>
                <w:color w:val="000000"/>
                <w:sz w:val="18"/>
                <w:szCs w:val="18"/>
              </w:rPr>
              <w:t>所需国标热处理镀锌钢材材料壁厚≥2.0mm；规格≥30mmx50mm</w:t>
            </w:r>
          </w:p>
          <w:p>
            <w:pPr>
              <w:spacing w:line="400" w:lineRule="exact"/>
              <w:jc w:val="left"/>
              <w:rPr>
                <w:rFonts w:ascii="宋体" w:hAnsi="宋体" w:cs="宋体"/>
                <w:color w:val="000000"/>
                <w:sz w:val="18"/>
                <w:szCs w:val="18"/>
              </w:rPr>
            </w:pPr>
            <w:r>
              <w:rPr>
                <w:rFonts w:hint="eastAsia" w:ascii="宋体" w:hAnsi="宋体" w:cs="宋体"/>
                <w:color w:val="000000"/>
                <w:sz w:val="18"/>
                <w:szCs w:val="18"/>
              </w:rPr>
              <w:t>采用黑色拉丝不锈钢包边 ,左、右、上宽度100mm，下面宽度250mm ，不锈钢厚度≥1.2mm，屏体背后用塑铝班封装。</w:t>
            </w:r>
          </w:p>
          <w:p>
            <w:pPr>
              <w:spacing w:line="400" w:lineRule="exact"/>
              <w:jc w:val="left"/>
              <w:rPr>
                <w:rFonts w:ascii="宋体" w:hAnsi="宋体" w:cs="宋体"/>
                <w:color w:val="000000"/>
                <w:sz w:val="18"/>
                <w:szCs w:val="18"/>
              </w:rPr>
            </w:pPr>
            <w:r>
              <w:rPr>
                <w:rFonts w:hint="eastAsia" w:ascii="宋体" w:hAnsi="宋体" w:cs="宋体"/>
                <w:color w:val="000000"/>
                <w:sz w:val="18"/>
                <w:szCs w:val="18"/>
              </w:rPr>
              <w:t>屏体底座厚度≤0.6M  基座上部分≤0.2M</w:t>
            </w:r>
          </w:p>
          <w:p>
            <w:pPr>
              <w:spacing w:line="400" w:lineRule="exact"/>
              <w:jc w:val="left"/>
              <w:rPr>
                <w:rFonts w:ascii="宋体" w:hAnsi="宋体" w:cs="宋体"/>
                <w:color w:val="000000"/>
                <w:sz w:val="18"/>
                <w:szCs w:val="18"/>
              </w:rPr>
            </w:pPr>
            <w:r>
              <w:rPr>
                <w:rFonts w:hint="eastAsia" w:ascii="宋体" w:hAnsi="宋体" w:cs="宋体"/>
                <w:color w:val="000000"/>
                <w:sz w:val="18"/>
                <w:szCs w:val="18"/>
              </w:rPr>
              <w:t>结构是可移动式，带滑轮，共12个轮子直径≥12CM。要求推动不倒，稳固。</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r>
      <w:tr>
        <w:tblPrEx>
          <w:tblLayout w:type="fixed"/>
          <w:tblCellMar>
            <w:top w:w="0" w:type="dxa"/>
            <w:left w:w="108" w:type="dxa"/>
            <w:bottom w:w="0" w:type="dxa"/>
            <w:right w:w="108" w:type="dxa"/>
          </w:tblCellMar>
        </w:tblPrEx>
        <w:trPr>
          <w:trHeight w:val="54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797"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hint="eastAsia" w:ascii="宋体" w:hAnsi="宋体"/>
                <w:color w:val="000000"/>
                <w:kern w:val="0"/>
                <w:szCs w:val="21"/>
              </w:rPr>
              <w:t>安装及调试</w:t>
            </w:r>
          </w:p>
        </w:tc>
        <w:tc>
          <w:tcPr>
            <w:tcW w:w="6648" w:type="dxa"/>
            <w:tcBorders>
              <w:top w:val="nil"/>
              <w:left w:val="nil"/>
              <w:bottom w:val="single" w:color="auto" w:sz="4" w:space="0"/>
              <w:right w:val="single" w:color="auto" w:sz="4" w:space="0"/>
            </w:tcBorders>
            <w:shd w:val="clear" w:color="auto" w:fill="auto"/>
            <w:vAlign w:val="center"/>
          </w:tcPr>
          <w:p>
            <w:pPr>
              <w:spacing w:line="400" w:lineRule="exact"/>
              <w:jc w:val="left"/>
              <w:rPr>
                <w:rFonts w:ascii="宋体" w:hAnsi="宋体" w:cs="宋体"/>
                <w:color w:val="000000"/>
                <w:sz w:val="18"/>
                <w:szCs w:val="18"/>
              </w:rPr>
            </w:pPr>
            <w:r>
              <w:rPr>
                <w:rFonts w:hint="eastAsia" w:ascii="宋体" w:hAnsi="宋体" w:cs="宋体"/>
                <w:color w:val="000000"/>
                <w:sz w:val="18"/>
                <w:szCs w:val="18"/>
              </w:rPr>
              <w:t>1.有详细的安装及安全施工方案；</w:t>
            </w:r>
          </w:p>
          <w:p>
            <w:pPr>
              <w:spacing w:line="400" w:lineRule="exact"/>
              <w:jc w:val="left"/>
              <w:rPr>
                <w:rFonts w:ascii="宋体" w:hAnsi="宋体" w:cs="宋体"/>
                <w:color w:val="000000"/>
                <w:sz w:val="18"/>
                <w:szCs w:val="18"/>
              </w:rPr>
            </w:pPr>
            <w:r>
              <w:rPr>
                <w:rFonts w:hint="eastAsia" w:ascii="宋体" w:hAnsi="宋体" w:cs="宋体"/>
                <w:color w:val="000000"/>
                <w:sz w:val="18"/>
                <w:szCs w:val="18"/>
              </w:rPr>
              <w:t>2.有针对性的施工组织设计（包括技术、安全措施；计划、工序、项目经理和人员组织等）；</w:t>
            </w:r>
          </w:p>
          <w:p>
            <w:pPr>
              <w:spacing w:line="400" w:lineRule="exact"/>
              <w:jc w:val="left"/>
              <w:rPr>
                <w:rFonts w:ascii="宋体" w:hAnsi="宋体" w:cs="宋体"/>
                <w:color w:val="000000"/>
                <w:sz w:val="18"/>
                <w:szCs w:val="18"/>
              </w:rPr>
            </w:pPr>
            <w:r>
              <w:rPr>
                <w:rFonts w:hint="eastAsia" w:ascii="宋体" w:hAnsi="宋体" w:cs="宋体"/>
                <w:color w:val="000000"/>
                <w:sz w:val="18"/>
                <w:szCs w:val="18"/>
              </w:rPr>
              <w:t>★3. LED显示屏生产厂家必须具备并提供设计、维修、施工资格证明文件；</w:t>
            </w:r>
          </w:p>
          <w:p>
            <w:pPr>
              <w:spacing w:line="400" w:lineRule="exact"/>
              <w:jc w:val="left"/>
              <w:rPr>
                <w:rFonts w:ascii="宋体" w:hAnsi="宋体" w:cs="宋体"/>
                <w:color w:val="000000"/>
                <w:sz w:val="18"/>
                <w:szCs w:val="18"/>
              </w:rPr>
            </w:pPr>
            <w:r>
              <w:rPr>
                <w:rFonts w:hint="eastAsia" w:ascii="宋体" w:hAnsi="宋体" w:cs="宋体"/>
                <w:color w:val="000000"/>
                <w:sz w:val="18"/>
                <w:szCs w:val="18"/>
              </w:rPr>
              <w:t>★4.LED显示屏生产厂家必须具备安全生产许可证明文件。</w:t>
            </w:r>
          </w:p>
          <w:p>
            <w:pPr>
              <w:spacing w:line="400" w:lineRule="exact"/>
              <w:jc w:val="left"/>
              <w:rPr>
                <w:rFonts w:ascii="宋体" w:hAnsi="宋体" w:cs="宋体"/>
                <w:color w:val="000000"/>
                <w:sz w:val="18"/>
                <w:szCs w:val="18"/>
              </w:rPr>
            </w:pPr>
            <w:r>
              <w:rPr>
                <w:rFonts w:hint="eastAsia" w:ascii="宋体" w:hAnsi="宋体" w:cs="宋体"/>
                <w:color w:val="000000"/>
                <w:sz w:val="18"/>
                <w:szCs w:val="18"/>
              </w:rPr>
              <w:t>★5.投标产品的生产企业须提供生产厂家生活污水、工业废气、厂界噪声环境检测报告加盖公章。</w:t>
            </w:r>
          </w:p>
          <w:p>
            <w:pPr>
              <w:spacing w:line="400" w:lineRule="exact"/>
              <w:jc w:val="left"/>
              <w:rPr>
                <w:rFonts w:ascii="宋体" w:hAnsi="宋体" w:cs="宋体"/>
                <w:color w:val="000000"/>
                <w:sz w:val="18"/>
                <w:szCs w:val="18"/>
              </w:rPr>
            </w:pPr>
            <w:r>
              <w:rPr>
                <w:rFonts w:hint="eastAsia" w:ascii="宋体" w:hAnsi="宋体" w:cs="宋体"/>
                <w:color w:val="000000"/>
                <w:sz w:val="18"/>
                <w:szCs w:val="18"/>
              </w:rPr>
              <w:t>★以上参数带★为重要参数，需逐一提供证明材料并加盖生产厂家公章，不能提供完全的，视为不合格。</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r>
      <w:tr>
        <w:tblPrEx>
          <w:tblLayout w:type="fixed"/>
          <w:tblCellMar>
            <w:top w:w="0" w:type="dxa"/>
            <w:left w:w="108" w:type="dxa"/>
            <w:bottom w:w="0" w:type="dxa"/>
            <w:right w:w="108" w:type="dxa"/>
          </w:tblCellMar>
        </w:tblPrEx>
        <w:trPr>
          <w:trHeight w:val="841"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11</w:t>
            </w:r>
          </w:p>
        </w:tc>
        <w:tc>
          <w:tcPr>
            <w:tcW w:w="797"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color w:val="000000"/>
                <w:kern w:val="0"/>
                <w:szCs w:val="21"/>
              </w:rPr>
            </w:pPr>
            <w:r>
              <w:rPr>
                <w:rFonts w:hint="eastAsia" w:ascii="宋体" w:hAnsi="宋体" w:cs="宋体"/>
                <w:color w:val="000000"/>
                <w:sz w:val="18"/>
                <w:szCs w:val="18"/>
              </w:rPr>
              <w:t>配套辅材</w:t>
            </w:r>
          </w:p>
        </w:tc>
        <w:tc>
          <w:tcPr>
            <w:tcW w:w="6648" w:type="dxa"/>
            <w:tcBorders>
              <w:top w:val="nil"/>
              <w:left w:val="nil"/>
              <w:bottom w:val="single" w:color="auto" w:sz="4" w:space="0"/>
              <w:right w:val="single" w:color="auto" w:sz="4" w:space="0"/>
            </w:tcBorders>
            <w:shd w:val="clear" w:color="auto" w:fill="auto"/>
            <w:vAlign w:val="center"/>
          </w:tcPr>
          <w:p>
            <w:pPr>
              <w:spacing w:line="400" w:lineRule="exact"/>
              <w:jc w:val="left"/>
              <w:rPr>
                <w:rFonts w:ascii="宋体" w:hAnsi="宋体" w:cs="宋体"/>
                <w:color w:val="000000"/>
                <w:sz w:val="18"/>
                <w:szCs w:val="18"/>
              </w:rPr>
            </w:pPr>
            <w:r>
              <w:rPr>
                <w:rFonts w:hint="eastAsia" w:ascii="宋体" w:hAnsi="宋体" w:cs="宋体"/>
                <w:color w:val="000000"/>
                <w:sz w:val="18"/>
                <w:szCs w:val="18"/>
              </w:rPr>
              <w:t>线材：长排线线材：国标纯铜0.08mm16pin、网线:国标超5类网线、电源线：国标3*2.5mm带铠、和单位原有设备组合使用的转接器材、数据线按需配备，均需满足LED显示屏厂家配备标准。</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r>
      <w:tr>
        <w:tblPrEx>
          <w:tblLayout w:type="fixed"/>
          <w:tblCellMar>
            <w:top w:w="0" w:type="dxa"/>
            <w:left w:w="108" w:type="dxa"/>
            <w:bottom w:w="0" w:type="dxa"/>
            <w:right w:w="108" w:type="dxa"/>
          </w:tblCellMar>
        </w:tblPrEx>
        <w:trPr>
          <w:trHeight w:val="54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12</w:t>
            </w:r>
          </w:p>
        </w:tc>
        <w:tc>
          <w:tcPr>
            <w:tcW w:w="797" w:type="dxa"/>
            <w:gridSpan w:val="4"/>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室内5.0单红</w:t>
            </w:r>
          </w:p>
        </w:tc>
        <w:tc>
          <w:tcPr>
            <w:tcW w:w="6648" w:type="dxa"/>
            <w:tcBorders>
              <w:top w:val="nil"/>
              <w:left w:val="nil"/>
              <w:bottom w:val="single" w:color="auto" w:sz="4" w:space="0"/>
              <w:right w:val="single" w:color="auto" w:sz="4" w:space="0"/>
            </w:tcBorders>
            <w:shd w:val="clear" w:color="auto" w:fill="auto"/>
            <w:vAlign w:val="center"/>
          </w:tcPr>
          <w:p>
            <w:pPr>
              <w:spacing w:line="400" w:lineRule="exact"/>
              <w:jc w:val="left"/>
              <w:rPr>
                <w:rFonts w:ascii="宋体" w:hAnsi="宋体" w:cs="宋体"/>
                <w:color w:val="000000"/>
                <w:sz w:val="18"/>
                <w:szCs w:val="18"/>
              </w:rPr>
            </w:pPr>
            <w:r>
              <w:rPr>
                <w:rFonts w:hint="eastAsia" w:ascii="宋体" w:hAnsi="宋体" w:cs="宋体"/>
                <w:color w:val="000000"/>
                <w:sz w:val="18"/>
                <w:szCs w:val="18"/>
              </w:rPr>
              <w:t>每平方密度：17222点 单元板尺寸：488*244</w:t>
            </w:r>
          </w:p>
          <w:p>
            <w:pPr>
              <w:spacing w:line="400" w:lineRule="exact"/>
              <w:jc w:val="left"/>
              <w:rPr>
                <w:rFonts w:ascii="宋体" w:hAnsi="宋体" w:cs="宋体"/>
                <w:color w:val="000000"/>
                <w:sz w:val="18"/>
                <w:szCs w:val="18"/>
              </w:rPr>
            </w:pPr>
            <w:r>
              <w:rPr>
                <w:rFonts w:ascii="宋体" w:hAnsi="宋体" w:cs="宋体"/>
                <w:color w:val="000000"/>
                <w:sz w:val="18"/>
                <w:szCs w:val="18"/>
              </w:rPr>
              <w:t>屏一：9.86*0.588=5.8平方</w:t>
            </w:r>
          </w:p>
          <w:p>
            <w:pPr>
              <w:spacing w:line="400" w:lineRule="exact"/>
              <w:jc w:val="left"/>
              <w:rPr>
                <w:rFonts w:ascii="宋体" w:hAnsi="宋体" w:cs="宋体"/>
                <w:color w:val="000000"/>
                <w:sz w:val="18"/>
                <w:szCs w:val="18"/>
              </w:rPr>
            </w:pPr>
            <w:r>
              <w:rPr>
                <w:rFonts w:ascii="宋体" w:hAnsi="宋体" w:cs="宋体"/>
                <w:color w:val="000000"/>
                <w:sz w:val="18"/>
                <w:szCs w:val="18"/>
              </w:rPr>
              <w:t>屏二：6.45*0.588=3.76平方</w:t>
            </w:r>
            <w:r>
              <w:rPr>
                <w:rFonts w:hint="eastAsia" w:ascii="宋体" w:hAnsi="宋体" w:cs="宋体"/>
                <w:color w:val="000000"/>
                <w:sz w:val="18"/>
                <w:szCs w:val="18"/>
              </w:rPr>
              <w:t xml:space="preserve">    异步控制、网线U盘可选</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平方米</w:t>
            </w:r>
          </w:p>
        </w:tc>
      </w:tr>
      <w:tr>
        <w:tblPrEx>
          <w:tblLayout w:type="fixed"/>
          <w:tblCellMar>
            <w:top w:w="0" w:type="dxa"/>
            <w:left w:w="108" w:type="dxa"/>
            <w:bottom w:w="0" w:type="dxa"/>
            <w:right w:w="108" w:type="dxa"/>
          </w:tblCellMar>
        </w:tblPrEx>
        <w:trPr>
          <w:trHeight w:val="270" w:hRule="atLeast"/>
        </w:trPr>
        <w:tc>
          <w:tcPr>
            <w:tcW w:w="93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交互智能平板</w:t>
            </w:r>
          </w:p>
        </w:tc>
      </w:tr>
      <w:tr>
        <w:tblPrEx>
          <w:tblLayout w:type="fixed"/>
          <w:tblCellMar>
            <w:top w:w="0" w:type="dxa"/>
            <w:left w:w="108" w:type="dxa"/>
            <w:bottom w:w="0" w:type="dxa"/>
            <w:right w:w="108" w:type="dxa"/>
          </w:tblCellMar>
        </w:tblPrEx>
        <w:trPr>
          <w:trHeight w:val="5229"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13</w:t>
            </w:r>
          </w:p>
        </w:tc>
        <w:tc>
          <w:tcPr>
            <w:tcW w:w="73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70寸交互智能平板</w:t>
            </w:r>
          </w:p>
        </w:tc>
        <w:tc>
          <w:tcPr>
            <w:tcW w:w="6663" w:type="dxa"/>
            <w:gridSpan w:val="2"/>
            <w:tcBorders>
              <w:top w:val="nil"/>
              <w:left w:val="nil"/>
              <w:bottom w:val="single" w:color="auto" w:sz="4" w:space="0"/>
              <w:right w:val="single" w:color="auto" w:sz="4" w:space="0"/>
            </w:tcBorders>
            <w:shd w:val="clear" w:color="auto" w:fill="auto"/>
            <w:vAlign w:val="center"/>
          </w:tcPr>
          <w:p>
            <w:pPr>
              <w:spacing w:line="380" w:lineRule="exact"/>
              <w:rPr>
                <w:rFonts w:ascii="宋体" w:hAnsi="宋体" w:cs="仿宋"/>
                <w:color w:val="000000" w:themeColor="text1"/>
                <w:szCs w:val="21"/>
              </w:rPr>
            </w:pPr>
            <w:r>
              <w:rPr>
                <w:rFonts w:hint="eastAsia" w:ascii="宋体" w:hAnsi="宋体" w:cs="仿宋"/>
                <w:color w:val="000000" w:themeColor="text1"/>
                <w:szCs w:val="21"/>
              </w:rPr>
              <w:t>1.★显示尺寸：70英寸；屏幕材质采用A规屏；屏幕图像分辨率达1920*1080。屏幕表面采用≥4mm厚全钢化玻璃，透光率不低于93%，且具备防眩光效果（提供相关证明文件复印件并加盖厂家公章）。</w:t>
            </w:r>
          </w:p>
          <w:p>
            <w:pPr>
              <w:spacing w:line="380" w:lineRule="exact"/>
              <w:rPr>
                <w:rFonts w:ascii="宋体" w:hAnsi="宋体" w:cs="仿宋"/>
                <w:color w:val="000000" w:themeColor="text1"/>
                <w:szCs w:val="21"/>
              </w:rPr>
            </w:pPr>
            <w:r>
              <w:rPr>
                <w:rFonts w:hint="eastAsia" w:ascii="宋体" w:hAnsi="宋体" w:cs="仿宋"/>
                <w:color w:val="000000" w:themeColor="text1"/>
                <w:szCs w:val="21"/>
              </w:rPr>
              <w:t>2.★整机触摸区域无图标按键，防止老师误碰，影响教学活动。（提供一体机实物高清图片，并加盖厂家公章）</w:t>
            </w:r>
          </w:p>
          <w:p>
            <w:pPr>
              <w:spacing w:line="380" w:lineRule="exact"/>
              <w:rPr>
                <w:rFonts w:ascii="宋体" w:hAnsi="宋体" w:cs="仿宋"/>
                <w:color w:val="000000" w:themeColor="text1"/>
                <w:szCs w:val="21"/>
              </w:rPr>
            </w:pPr>
            <w:r>
              <w:rPr>
                <w:rFonts w:hint="eastAsia" w:ascii="宋体" w:hAnsi="宋体" w:cs="仿宋"/>
                <w:color w:val="000000" w:themeColor="text1"/>
                <w:szCs w:val="21"/>
              </w:rPr>
              <w:t>3.整机电视开关、电脑开关和节能待机键三合一，操作便捷。</w:t>
            </w:r>
          </w:p>
          <w:p>
            <w:pPr>
              <w:spacing w:line="380" w:lineRule="exact"/>
              <w:rPr>
                <w:rFonts w:ascii="宋体" w:hAnsi="宋体" w:cs="仿宋"/>
                <w:color w:val="000000" w:themeColor="text1"/>
                <w:szCs w:val="21"/>
              </w:rPr>
            </w:pPr>
            <w:r>
              <w:rPr>
                <w:rFonts w:hint="eastAsia" w:ascii="宋体" w:hAnsi="宋体" w:cs="仿宋"/>
                <w:color w:val="000000" w:themeColor="text1"/>
                <w:szCs w:val="21"/>
              </w:rPr>
              <w:t>4.采用非接触式红外触控技术，支持在Windows与安卓系统中进行十点触控及十点书写。</w:t>
            </w:r>
          </w:p>
          <w:p>
            <w:pPr>
              <w:spacing w:line="380" w:lineRule="exact"/>
              <w:rPr>
                <w:rFonts w:ascii="宋体" w:hAnsi="宋体" w:cs="仿宋"/>
                <w:color w:val="000000" w:themeColor="text1"/>
                <w:szCs w:val="21"/>
              </w:rPr>
            </w:pPr>
            <w:r>
              <w:rPr>
                <w:rFonts w:hint="eastAsia" w:ascii="宋体" w:hAnsi="宋体" w:cs="仿宋"/>
                <w:color w:val="000000" w:themeColor="text1"/>
                <w:szCs w:val="21"/>
              </w:rPr>
              <w:t>5.整机支持一键黑屏节能70%，且整机符合GB21520-2008的能源效率等级1级限值要求。</w:t>
            </w:r>
          </w:p>
          <w:p>
            <w:pPr>
              <w:spacing w:line="380" w:lineRule="exact"/>
              <w:rPr>
                <w:rFonts w:ascii="宋体" w:hAnsi="宋体" w:cs="仿宋"/>
                <w:color w:val="000000" w:themeColor="text1"/>
                <w:szCs w:val="21"/>
              </w:rPr>
            </w:pPr>
            <w:r>
              <w:rPr>
                <w:rFonts w:hint="eastAsia" w:ascii="宋体" w:hAnsi="宋体" w:cs="仿宋"/>
                <w:color w:val="000000" w:themeColor="text1"/>
                <w:szCs w:val="21"/>
              </w:rPr>
              <w:t>6.设备可通过遥控器一键锁定/解锁触摸、按键，也可通过前置组合按键的形式锁定/解锁触摸和按键，防止课间学生操作。</w:t>
            </w:r>
          </w:p>
          <w:p>
            <w:pPr>
              <w:spacing w:line="380" w:lineRule="exact"/>
              <w:rPr>
                <w:rFonts w:ascii="宋体" w:hAnsi="宋体" w:cs="仿宋"/>
                <w:color w:val="000000" w:themeColor="text1"/>
                <w:szCs w:val="21"/>
              </w:rPr>
            </w:pPr>
            <w:r>
              <w:rPr>
                <w:rFonts w:hint="eastAsia" w:ascii="宋体" w:hAnsi="宋体" w:cs="仿宋"/>
                <w:color w:val="000000" w:themeColor="text1"/>
                <w:szCs w:val="21"/>
              </w:rPr>
              <w:t>7.★微课拾音：内置非独立外扩展的拾音麦克风，拾音距离至少3米，方便录制老师人声，内置非独立外扩展的摄像头，像素至少500万，支持二维码扫码识别功能，帮助用户调用在线资源。（提供国家权威检测机构出具的检测报告, 并加盖厂家公章）</w:t>
            </w:r>
          </w:p>
          <w:p>
            <w:pPr>
              <w:spacing w:line="380" w:lineRule="exact"/>
              <w:rPr>
                <w:rFonts w:ascii="宋体" w:hAnsi="宋体" w:cs="仿宋"/>
                <w:color w:val="000000" w:themeColor="text1"/>
                <w:szCs w:val="21"/>
              </w:rPr>
            </w:pPr>
            <w:r>
              <w:rPr>
                <w:rFonts w:hint="eastAsia" w:ascii="宋体" w:hAnsi="宋体" w:cs="仿宋"/>
                <w:color w:val="000000" w:themeColor="text1"/>
                <w:szCs w:val="21"/>
              </w:rPr>
              <w:t>8.微课录制：设备支持通过前置按键一键启动录屏功能，可将屏幕中显示的课件、音频等内容与老师人声同步录制，方便制作教学视频。（提供国家权威检测机构出具的检测报告, 并加盖厂家公章）</w:t>
            </w:r>
          </w:p>
          <w:p>
            <w:pPr>
              <w:spacing w:line="380" w:lineRule="exact"/>
              <w:rPr>
                <w:rFonts w:ascii="宋体" w:hAnsi="宋体" w:cs="仿宋"/>
                <w:color w:val="000000" w:themeColor="text1"/>
                <w:szCs w:val="21"/>
              </w:rPr>
            </w:pPr>
            <w:r>
              <w:rPr>
                <w:rFonts w:hint="eastAsia" w:ascii="宋体" w:hAnsi="宋体" w:cs="仿宋"/>
                <w:color w:val="000000" w:themeColor="text1"/>
                <w:szCs w:val="21"/>
              </w:rPr>
              <w:t>9.联网要求：整机只需连接一根网线，即可实现Windows及Android系统同时联网；整机无需外接无线网卡，在嵌入式系统下接入无线网络，切换到windows系统下可同时实现无线上网功能，不需手动重复设置（提供国家权威检测机构出具的检测报告, 并加盖厂家公章）</w:t>
            </w:r>
          </w:p>
          <w:p>
            <w:pPr>
              <w:spacing w:line="380" w:lineRule="exact"/>
              <w:rPr>
                <w:rFonts w:ascii="宋体" w:hAnsi="宋体" w:cs="仿宋"/>
                <w:color w:val="000000" w:themeColor="text1"/>
                <w:szCs w:val="21"/>
              </w:rPr>
            </w:pPr>
            <w:r>
              <w:rPr>
                <w:rFonts w:hint="eastAsia" w:ascii="宋体" w:hAnsi="宋体" w:cs="仿宋"/>
                <w:color w:val="000000" w:themeColor="text1"/>
                <w:szCs w:val="21"/>
              </w:rPr>
              <w:t>10.整机具备至少3路前置双通道USB接口,3个USB接口均可支持同时在Windows及Android系统下被读取，无需区分。其中至少有3路为USB3.0。 （提供国家权威检测机构出具的检测报告, 并加盖厂家公章）</w:t>
            </w:r>
          </w:p>
          <w:p>
            <w:pPr>
              <w:spacing w:line="380" w:lineRule="exact"/>
              <w:rPr>
                <w:rFonts w:ascii="宋体" w:hAnsi="宋体" w:cs="仿宋"/>
                <w:color w:val="000000" w:themeColor="text1"/>
                <w:szCs w:val="21"/>
              </w:rPr>
            </w:pPr>
            <w:r>
              <w:rPr>
                <w:rFonts w:hint="eastAsia" w:ascii="宋体" w:hAnsi="宋体" w:cs="仿宋"/>
                <w:color w:val="000000" w:themeColor="text1"/>
                <w:szCs w:val="21"/>
              </w:rPr>
              <w:t>11.外接多媒体要求：前置USB接口支持通过一根USB线可实现外部电脑与交互智能平板之间高清视频信号、音频信号以及触摸信号的实时传输，可兼容市面上具备通用USB端子的各类电脑,无需额外安装驱动，连接上即可使用。（提供国家权威检测机构出具的检测报告, 并加盖厂家公章）</w:t>
            </w:r>
          </w:p>
          <w:p>
            <w:pPr>
              <w:spacing w:line="380" w:lineRule="exact"/>
              <w:rPr>
                <w:rFonts w:ascii="宋体" w:hAnsi="宋体" w:cs="仿宋"/>
                <w:color w:val="000000" w:themeColor="text1"/>
                <w:szCs w:val="21"/>
              </w:rPr>
            </w:pPr>
            <w:r>
              <w:rPr>
                <w:rFonts w:hint="eastAsia" w:ascii="宋体" w:hAnsi="宋体" w:cs="仿宋"/>
                <w:color w:val="000000" w:themeColor="text1"/>
                <w:szCs w:val="21"/>
              </w:rPr>
              <w:t>12.无需借助PC，整机可一键进行硬件自检，包括对系统硬盘、系统内存、触摸框、PC模块、光感系统等模块进行检测，并针对不同模块给出问题原因提示，支持直接扫描系统提供的二维码进行在线客服问题保修，提供相关权威检测报告并加盖厂家公章。</w:t>
            </w:r>
          </w:p>
          <w:p>
            <w:pPr>
              <w:spacing w:line="380" w:lineRule="exact"/>
              <w:rPr>
                <w:rFonts w:ascii="宋体" w:hAnsi="宋体" w:cs="仿宋"/>
                <w:color w:val="000000" w:themeColor="text1"/>
                <w:szCs w:val="21"/>
              </w:rPr>
            </w:pPr>
            <w:r>
              <w:rPr>
                <w:rFonts w:hint="eastAsia" w:ascii="宋体" w:hAnsi="宋体" w:cs="仿宋"/>
                <w:color w:val="000000" w:themeColor="text1"/>
                <w:szCs w:val="21"/>
              </w:rPr>
              <w:t>13.整机具备抗振动、防跌落特性，保证整机运输或使用过程中不易受损。（提供国家权威检测报告）</w:t>
            </w:r>
          </w:p>
          <w:p>
            <w:pPr>
              <w:spacing w:line="380" w:lineRule="exact"/>
              <w:rPr>
                <w:rFonts w:ascii="宋体" w:hAnsi="宋体" w:cs="仿宋"/>
                <w:color w:val="000000" w:themeColor="text1"/>
                <w:szCs w:val="21"/>
              </w:rPr>
            </w:pPr>
            <w:r>
              <w:rPr>
                <w:rFonts w:hint="eastAsia" w:ascii="宋体" w:hAnsi="宋体" w:cs="仿宋"/>
                <w:color w:val="000000" w:themeColor="text1"/>
                <w:szCs w:val="21"/>
              </w:rPr>
              <w:t>14.整机在0℃—40℃环境下可正常工作，在-20℃—60℃的环境下可正常贮存且贮存后功能无损。（提供国家权威检测报告并加盖厂家公章）</w:t>
            </w:r>
          </w:p>
          <w:p>
            <w:pPr>
              <w:spacing w:line="380" w:lineRule="exact"/>
              <w:rPr>
                <w:rFonts w:ascii="宋体" w:hAnsi="宋体" w:cs="仿宋"/>
                <w:color w:val="000000" w:themeColor="text1"/>
                <w:szCs w:val="21"/>
              </w:rPr>
            </w:pPr>
            <w:r>
              <w:rPr>
                <w:rFonts w:hint="eastAsia" w:ascii="宋体" w:hAnsi="宋体" w:cs="仿宋"/>
                <w:color w:val="000000" w:themeColor="text1"/>
                <w:szCs w:val="21"/>
              </w:rPr>
              <w:t>15.使用1.04kg钢球，在2m处自由落体撞击整机液晶显示屏幕的钢化玻璃，无损伤破裂，功能无异常。</w:t>
            </w:r>
          </w:p>
          <w:p>
            <w:pPr>
              <w:spacing w:line="380" w:lineRule="exact"/>
              <w:rPr>
                <w:rFonts w:ascii="宋体" w:hAnsi="宋体" w:cs="仿宋"/>
                <w:color w:val="000000" w:themeColor="text1"/>
                <w:szCs w:val="21"/>
              </w:rPr>
            </w:pPr>
            <w:r>
              <w:rPr>
                <w:rFonts w:hint="eastAsia" w:ascii="宋体" w:hAnsi="宋体" w:cs="仿宋"/>
                <w:color w:val="000000" w:themeColor="text1"/>
                <w:szCs w:val="21"/>
              </w:rPr>
              <w:t>16.整机符合浪涌（冲击）抗扰度、静电放电抗扰度、射频电磁场辐射抗扰度、电快速瞬变脉冲群抗扰度、射频场感应的传导抗扰度等要求，确保整机使用安全。</w:t>
            </w:r>
          </w:p>
          <w:p>
            <w:pPr>
              <w:spacing w:line="380" w:lineRule="exact"/>
              <w:rPr>
                <w:rFonts w:ascii="宋体" w:hAnsi="宋体" w:cs="仿宋"/>
                <w:color w:val="000000" w:themeColor="text1"/>
                <w:szCs w:val="21"/>
              </w:rPr>
            </w:pPr>
            <w:r>
              <w:rPr>
                <w:rFonts w:hint="eastAsia" w:ascii="宋体" w:hAnsi="宋体" w:cs="仿宋"/>
                <w:color w:val="000000" w:themeColor="text1"/>
                <w:szCs w:val="21"/>
              </w:rPr>
              <w:t>17.当整机外接电脑设备并连接触摸线使用时，外接电脑可直接读取插在整机上的U盘，并识别连接至整机的翻页笔、无线键鼠等USB连接设备。（提供国家权威检测机构出具的检测报告, 并加盖厂家公章）</w:t>
            </w:r>
          </w:p>
          <w:p>
            <w:pPr>
              <w:widowControl/>
              <w:jc w:val="left"/>
              <w:rPr>
                <w:rFonts w:ascii="宋体" w:hAnsi="宋体" w:cs="宋体"/>
                <w:color w:val="000000"/>
                <w:kern w:val="0"/>
                <w:szCs w:val="21"/>
              </w:rPr>
            </w:pPr>
            <w:r>
              <w:rPr>
                <w:rFonts w:hint="eastAsia" w:ascii="宋体" w:hAnsi="宋体" w:cs="仿宋"/>
                <w:color w:val="000000" w:themeColor="text1"/>
                <w:szCs w:val="21"/>
              </w:rPr>
              <w:t>18.整机可通过实体按键以及触摸按键实现一键切换ppt比例，调整画面显示比例。</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台</w:t>
            </w:r>
          </w:p>
        </w:tc>
      </w:tr>
      <w:tr>
        <w:tblPrEx>
          <w:tblLayout w:type="fixed"/>
          <w:tblCellMar>
            <w:top w:w="0" w:type="dxa"/>
            <w:left w:w="108" w:type="dxa"/>
            <w:bottom w:w="0" w:type="dxa"/>
            <w:right w:w="108" w:type="dxa"/>
          </w:tblCellMar>
        </w:tblPrEx>
        <w:trPr>
          <w:trHeight w:val="693"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14</w:t>
            </w:r>
          </w:p>
        </w:tc>
        <w:tc>
          <w:tcPr>
            <w:tcW w:w="73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内置OPS电脑</w:t>
            </w:r>
          </w:p>
        </w:tc>
        <w:tc>
          <w:tcPr>
            <w:tcW w:w="6663" w:type="dxa"/>
            <w:gridSpan w:val="2"/>
            <w:tcBorders>
              <w:top w:val="nil"/>
              <w:left w:val="nil"/>
              <w:bottom w:val="single" w:color="auto" w:sz="4" w:space="0"/>
              <w:right w:val="single" w:color="auto" w:sz="4" w:space="0"/>
            </w:tcBorders>
            <w:shd w:val="clear" w:color="auto" w:fill="auto"/>
            <w:vAlign w:val="center"/>
          </w:tcPr>
          <w:p>
            <w:pPr>
              <w:spacing w:line="380" w:lineRule="exact"/>
              <w:rPr>
                <w:rFonts w:ascii="宋体" w:hAnsi="宋体"/>
                <w:bCs/>
                <w:color w:val="000000" w:themeColor="text1"/>
                <w:szCs w:val="21"/>
              </w:rPr>
            </w:pPr>
            <w:r>
              <w:rPr>
                <w:rFonts w:hint="eastAsia" w:ascii="宋体" w:hAnsi="宋体"/>
                <w:bCs/>
                <w:color w:val="000000" w:themeColor="text1"/>
                <w:szCs w:val="21"/>
              </w:rPr>
              <w:t>1.整机架构:采用插拔式模块电脑架构(不接受外挂盒模式)，接口严格遵循Intel相关规范,针脚数不少于80Pin,与大屏无单独接线.</w:t>
            </w:r>
          </w:p>
          <w:p>
            <w:pPr>
              <w:spacing w:line="380" w:lineRule="exact"/>
              <w:rPr>
                <w:rFonts w:ascii="宋体" w:hAnsi="宋体"/>
                <w:bCs/>
                <w:color w:val="000000" w:themeColor="text1"/>
                <w:szCs w:val="21"/>
              </w:rPr>
            </w:pPr>
            <w:r>
              <w:rPr>
                <w:rFonts w:hint="eastAsia" w:ascii="宋体" w:hAnsi="宋体"/>
                <w:bCs/>
                <w:color w:val="000000" w:themeColor="text1"/>
                <w:szCs w:val="21"/>
              </w:rPr>
              <w:t>2.散热处理:具备高效铜导管散热模组，超低静音侧出风散热设计.</w:t>
            </w:r>
          </w:p>
          <w:p>
            <w:pPr>
              <w:spacing w:line="380" w:lineRule="exact"/>
              <w:rPr>
                <w:rFonts w:ascii="宋体" w:hAnsi="宋体"/>
                <w:bCs/>
                <w:color w:val="000000" w:themeColor="text1"/>
                <w:szCs w:val="21"/>
              </w:rPr>
            </w:pPr>
            <w:r>
              <w:rPr>
                <w:rFonts w:hint="eastAsia" w:ascii="宋体" w:hAnsi="宋体"/>
                <w:bCs/>
                <w:color w:val="000000" w:themeColor="text1"/>
                <w:szCs w:val="21"/>
              </w:rPr>
              <w:t>3.主板规格:采用H110芯片组。</w:t>
            </w:r>
          </w:p>
          <w:p>
            <w:pPr>
              <w:spacing w:line="380" w:lineRule="exact"/>
              <w:rPr>
                <w:rFonts w:ascii="宋体" w:hAnsi="宋体"/>
                <w:b/>
                <w:bCs/>
                <w:color w:val="000000" w:themeColor="text1"/>
                <w:szCs w:val="21"/>
              </w:rPr>
            </w:pPr>
            <w:r>
              <w:rPr>
                <w:rFonts w:hint="eastAsia" w:ascii="宋体" w:hAnsi="宋体"/>
                <w:b/>
                <w:bCs/>
                <w:color w:val="000000" w:themeColor="text1"/>
                <w:szCs w:val="21"/>
              </w:rPr>
              <w:t>4.</w:t>
            </w:r>
            <w:r>
              <w:rPr>
                <w:rFonts w:hint="eastAsia" w:ascii="宋体" w:hAnsi="宋体" w:cs="宋体"/>
                <w:b/>
                <w:color w:val="000000" w:themeColor="text1"/>
                <w:szCs w:val="21"/>
              </w:rPr>
              <w:t>★</w:t>
            </w:r>
            <w:r>
              <w:rPr>
                <w:rFonts w:hint="eastAsia" w:ascii="宋体" w:hAnsi="宋体"/>
                <w:b/>
                <w:bCs/>
                <w:color w:val="000000" w:themeColor="text1"/>
                <w:szCs w:val="21"/>
              </w:rPr>
              <w:t>处理器性能:采用不低于Intel I5处理器（CPU 7500及以上）、主频3.2GHz或以上配置;</w:t>
            </w:r>
          </w:p>
          <w:p>
            <w:pPr>
              <w:spacing w:line="380" w:lineRule="exact"/>
              <w:rPr>
                <w:rFonts w:ascii="宋体" w:hAnsi="宋体"/>
                <w:bCs/>
                <w:color w:val="000000" w:themeColor="text1"/>
                <w:szCs w:val="21"/>
              </w:rPr>
            </w:pPr>
            <w:r>
              <w:rPr>
                <w:rFonts w:hint="eastAsia" w:ascii="宋体" w:hAnsi="宋体"/>
                <w:bCs/>
                <w:color w:val="000000" w:themeColor="text1"/>
                <w:szCs w:val="21"/>
              </w:rPr>
              <w:t>5.内存性能：4G DDR4笔记本内存或以上配置;</w:t>
            </w:r>
          </w:p>
          <w:p>
            <w:pPr>
              <w:spacing w:line="380" w:lineRule="exact"/>
              <w:rPr>
                <w:rFonts w:ascii="宋体" w:hAnsi="宋体"/>
                <w:bCs/>
                <w:color w:val="000000" w:themeColor="text1"/>
                <w:szCs w:val="21"/>
              </w:rPr>
            </w:pPr>
            <w:r>
              <w:rPr>
                <w:rFonts w:hint="eastAsia" w:ascii="宋体" w:hAnsi="宋体"/>
                <w:bCs/>
                <w:color w:val="000000" w:themeColor="text1"/>
                <w:szCs w:val="21"/>
              </w:rPr>
              <w:t>6.硬盘性能:存储空间256G SSD或以上配置,并具有防震功能;</w:t>
            </w:r>
          </w:p>
          <w:p>
            <w:pPr>
              <w:spacing w:line="380" w:lineRule="exact"/>
              <w:rPr>
                <w:rFonts w:ascii="宋体" w:hAnsi="宋体"/>
                <w:bCs/>
                <w:color w:val="000000" w:themeColor="text1"/>
                <w:szCs w:val="21"/>
              </w:rPr>
            </w:pPr>
            <w:r>
              <w:rPr>
                <w:rFonts w:hint="eastAsia" w:ascii="宋体" w:hAnsi="宋体"/>
                <w:bCs/>
                <w:color w:val="000000" w:themeColor="text1"/>
                <w:szCs w:val="21"/>
              </w:rPr>
              <w:t>7.网络接入:内置10/100/1000M自适应网卡,WiFi遵循IEEE 802.11ac标准</w:t>
            </w:r>
          </w:p>
          <w:p>
            <w:pPr>
              <w:spacing w:line="380" w:lineRule="exact"/>
              <w:rPr>
                <w:rFonts w:ascii="宋体" w:hAnsi="宋体"/>
                <w:bCs/>
                <w:color w:val="000000" w:themeColor="text1"/>
                <w:szCs w:val="21"/>
              </w:rPr>
            </w:pPr>
            <w:r>
              <w:rPr>
                <w:rFonts w:hint="eastAsia" w:ascii="宋体" w:hAnsi="宋体"/>
                <w:bCs/>
                <w:color w:val="000000" w:themeColor="text1"/>
                <w:szCs w:val="21"/>
              </w:rPr>
              <w:t>8.拓展接口:具备独立非外扩展不低于4个USB（其中USB3.0 2个）、HDMI*1、,DP*1等,满足教学拓展需求;</w:t>
            </w:r>
          </w:p>
          <w:p>
            <w:pPr>
              <w:spacing w:line="380" w:lineRule="exact"/>
              <w:rPr>
                <w:rFonts w:ascii="宋体" w:hAnsi="宋体"/>
                <w:bCs/>
                <w:color w:val="000000" w:themeColor="text1"/>
                <w:szCs w:val="21"/>
              </w:rPr>
            </w:pPr>
            <w:r>
              <w:rPr>
                <w:rFonts w:hint="eastAsia" w:ascii="宋体" w:hAnsi="宋体"/>
                <w:bCs/>
                <w:color w:val="000000" w:themeColor="text1"/>
                <w:szCs w:val="21"/>
              </w:rPr>
              <w:t>9.系统还原:提供软件或硬件一键系统还原方案;</w:t>
            </w:r>
          </w:p>
          <w:p>
            <w:pPr>
              <w:widowControl/>
              <w:jc w:val="left"/>
              <w:rPr>
                <w:rFonts w:ascii="宋体" w:hAnsi="宋体" w:cs="宋体"/>
                <w:color w:val="000000"/>
                <w:kern w:val="0"/>
                <w:szCs w:val="21"/>
              </w:rPr>
            </w:pPr>
            <w:r>
              <w:rPr>
                <w:rFonts w:hint="eastAsia" w:ascii="宋体" w:hAnsi="宋体"/>
                <w:bCs/>
                <w:color w:val="000000" w:themeColor="text1"/>
                <w:szCs w:val="21"/>
              </w:rPr>
              <w:t>10.设备兼容与认证:插拔式电脑模块与整机必须为同一厂家并通过3C认证，提供单独电脑模块3C认证（制造商名称与整机3C制造商名称一致）</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r>
      <w:tr>
        <w:tblPrEx>
          <w:tblLayout w:type="fixed"/>
          <w:tblCellMar>
            <w:top w:w="0" w:type="dxa"/>
            <w:left w:w="108" w:type="dxa"/>
            <w:bottom w:w="0" w:type="dxa"/>
            <w:right w:w="108" w:type="dxa"/>
          </w:tblCellMar>
        </w:tblPrEx>
        <w:trPr>
          <w:trHeight w:val="540"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15</w:t>
            </w:r>
          </w:p>
        </w:tc>
        <w:tc>
          <w:tcPr>
            <w:tcW w:w="73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视频展台</w:t>
            </w:r>
          </w:p>
        </w:tc>
        <w:tc>
          <w:tcPr>
            <w:tcW w:w="666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1、箱体环保坚固材质，耐磨防锈，整机无锐角无利边设计，关注师生安全；内置机械式防盗锁，壁挂式安装。</w:t>
            </w:r>
          </w:p>
          <w:p>
            <w:pPr>
              <w:widowControl/>
              <w:jc w:val="left"/>
              <w:rPr>
                <w:rFonts w:ascii="宋体" w:hAnsi="宋体" w:cs="宋体"/>
                <w:color w:val="000000"/>
                <w:kern w:val="0"/>
                <w:szCs w:val="21"/>
              </w:rPr>
            </w:pPr>
            <w:r>
              <w:rPr>
                <w:rFonts w:hint="eastAsia" w:ascii="宋体" w:hAnsi="宋体" w:cs="宋体"/>
                <w:color w:val="000000"/>
                <w:kern w:val="0"/>
                <w:szCs w:val="21"/>
              </w:rPr>
              <w:t>2、展台模块化前拆设计，不用拆卸挂箱即可更换展台，便于安装和维护。</w:t>
            </w:r>
          </w:p>
          <w:p>
            <w:pPr>
              <w:widowControl/>
              <w:jc w:val="left"/>
              <w:rPr>
                <w:rFonts w:ascii="宋体" w:hAnsi="宋体" w:cs="宋体"/>
                <w:color w:val="000000"/>
                <w:kern w:val="0"/>
                <w:szCs w:val="21"/>
              </w:rPr>
            </w:pPr>
            <w:r>
              <w:rPr>
                <w:rFonts w:hint="eastAsia" w:ascii="宋体" w:hAnsi="宋体" w:cs="宋体"/>
                <w:color w:val="000000"/>
                <w:kern w:val="0"/>
                <w:szCs w:val="21"/>
              </w:rPr>
              <w:t>3、采用三折叠式开合托板，打开时大于等于A4幅面，收起时小巧不占空间，所需挂墙面积小。</w:t>
            </w:r>
          </w:p>
          <w:p>
            <w:pPr>
              <w:widowControl/>
              <w:jc w:val="left"/>
              <w:rPr>
                <w:rFonts w:ascii="宋体" w:hAnsi="宋体" w:cs="宋体"/>
                <w:color w:val="000000"/>
                <w:kern w:val="0"/>
                <w:szCs w:val="21"/>
              </w:rPr>
            </w:pPr>
            <w:r>
              <w:rPr>
                <w:rFonts w:hint="eastAsia" w:ascii="宋体" w:hAnsi="宋体" w:cs="宋体"/>
                <w:color w:val="000000"/>
                <w:kern w:val="0"/>
                <w:szCs w:val="21"/>
              </w:rPr>
              <w:t>4、★托板四角边上具有磁性点，并带强磁小工具，用于固定纸张，以免使用过程中，纸张被风吹动而影响老师教学。（需要出具国家级产品检测报告证明）</w:t>
            </w:r>
          </w:p>
          <w:p>
            <w:pPr>
              <w:widowControl/>
              <w:jc w:val="left"/>
              <w:rPr>
                <w:rFonts w:ascii="宋体" w:hAnsi="宋体" w:cs="宋体"/>
                <w:color w:val="000000"/>
                <w:kern w:val="0"/>
                <w:szCs w:val="21"/>
              </w:rPr>
            </w:pPr>
            <w:r>
              <w:rPr>
                <w:rFonts w:hint="eastAsia" w:ascii="宋体" w:hAnsi="宋体" w:cs="宋体"/>
                <w:color w:val="000000"/>
                <w:kern w:val="0"/>
                <w:szCs w:val="21"/>
              </w:rPr>
              <w:t>5、800万像素，最高分辨率3264×2448，满足课堂演示清晰度和流畅度的要求。</w:t>
            </w:r>
          </w:p>
          <w:p>
            <w:pPr>
              <w:widowControl/>
              <w:jc w:val="left"/>
              <w:rPr>
                <w:rFonts w:ascii="宋体" w:hAnsi="宋体" w:cs="宋体"/>
                <w:color w:val="000000"/>
                <w:kern w:val="0"/>
                <w:szCs w:val="21"/>
              </w:rPr>
            </w:pPr>
            <w:r>
              <w:rPr>
                <w:rFonts w:hint="eastAsia" w:ascii="宋体" w:hAnsi="宋体" w:cs="宋体"/>
                <w:color w:val="000000"/>
                <w:kern w:val="0"/>
                <w:szCs w:val="21"/>
              </w:rPr>
              <w:t>6、箱体内嵌2个USB扩展口，可外接U盘或无线键鼠的接收器等设备。</w:t>
            </w:r>
          </w:p>
          <w:p>
            <w:pPr>
              <w:widowControl/>
              <w:jc w:val="left"/>
              <w:rPr>
                <w:rFonts w:ascii="宋体" w:hAnsi="宋体" w:cs="宋体"/>
                <w:color w:val="000000"/>
                <w:kern w:val="0"/>
                <w:szCs w:val="21"/>
              </w:rPr>
            </w:pPr>
            <w:r>
              <w:rPr>
                <w:rFonts w:hint="eastAsia" w:ascii="宋体" w:hAnsi="宋体" w:cs="宋体"/>
                <w:color w:val="000000"/>
                <w:kern w:val="0"/>
                <w:szCs w:val="21"/>
              </w:rPr>
              <w:t>7、★展台面板具有物理触摸按键，可实现画面放大、缩小、旋转、启动软件、拍照等功能。（需提供厂家产品彩页盖章证明）</w:t>
            </w:r>
          </w:p>
          <w:p>
            <w:pPr>
              <w:widowControl/>
              <w:jc w:val="left"/>
              <w:rPr>
                <w:rFonts w:ascii="宋体" w:hAnsi="宋体" w:cs="宋体"/>
                <w:color w:val="000000"/>
                <w:kern w:val="0"/>
                <w:szCs w:val="21"/>
              </w:rPr>
            </w:pPr>
            <w:r>
              <w:rPr>
                <w:rFonts w:hint="eastAsia" w:ascii="宋体" w:hAnsi="宋体" w:cs="宋体"/>
                <w:color w:val="000000"/>
                <w:kern w:val="0"/>
                <w:szCs w:val="21"/>
              </w:rPr>
              <w:t>8、展台面板按键具有一键启动展台软件功能，可通过箱体按键在PPT全屏放映和展台画面进行一键快速切换，老师上课演示更灵活、更高效。</w:t>
            </w:r>
          </w:p>
          <w:p>
            <w:pPr>
              <w:widowControl/>
              <w:jc w:val="left"/>
              <w:rPr>
                <w:rFonts w:ascii="宋体" w:hAnsi="宋体" w:cs="宋体"/>
                <w:color w:val="000000"/>
                <w:kern w:val="0"/>
                <w:szCs w:val="21"/>
              </w:rPr>
            </w:pPr>
            <w:r>
              <w:rPr>
                <w:rFonts w:hint="eastAsia" w:ascii="宋体" w:hAnsi="宋体" w:cs="宋体"/>
                <w:color w:val="000000"/>
                <w:kern w:val="0"/>
                <w:szCs w:val="21"/>
              </w:rPr>
              <w:t xml:space="preserve">9、整机自带LED补光灯，可触摸式三级灯光调节。 </w:t>
            </w:r>
          </w:p>
          <w:p>
            <w:pPr>
              <w:widowControl/>
              <w:jc w:val="left"/>
              <w:rPr>
                <w:rFonts w:ascii="宋体" w:hAnsi="宋体" w:cs="宋体"/>
                <w:color w:val="000000"/>
                <w:kern w:val="0"/>
                <w:szCs w:val="21"/>
              </w:rPr>
            </w:pPr>
            <w:r>
              <w:rPr>
                <w:rFonts w:hint="eastAsia" w:ascii="宋体" w:hAnsi="宋体" w:cs="宋体"/>
                <w:color w:val="000000"/>
                <w:kern w:val="0"/>
                <w:szCs w:val="21"/>
              </w:rPr>
              <w:t>10、展台按键采用电容式触摸控制，无缝防尘，使用寿命长。</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r>
      <w:tr>
        <w:tblPrEx>
          <w:tblLayout w:type="fixed"/>
          <w:tblCellMar>
            <w:top w:w="0" w:type="dxa"/>
            <w:left w:w="108" w:type="dxa"/>
            <w:bottom w:w="0" w:type="dxa"/>
            <w:right w:w="108" w:type="dxa"/>
          </w:tblCellMar>
        </w:tblPrEx>
        <w:trPr>
          <w:trHeight w:val="270" w:hRule="atLeast"/>
        </w:trPr>
        <w:tc>
          <w:tcPr>
            <w:tcW w:w="93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扩声系统</w:t>
            </w:r>
          </w:p>
        </w:tc>
      </w:tr>
      <w:tr>
        <w:tblPrEx>
          <w:tblLayout w:type="fixed"/>
          <w:tblCellMar>
            <w:top w:w="0" w:type="dxa"/>
            <w:left w:w="108" w:type="dxa"/>
            <w:bottom w:w="0" w:type="dxa"/>
            <w:right w:w="108" w:type="dxa"/>
          </w:tblCellMar>
        </w:tblPrEx>
        <w:trPr>
          <w:trHeight w:val="983"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16</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主扩声音箱</w:t>
            </w:r>
          </w:p>
        </w:tc>
        <w:tc>
          <w:tcPr>
            <w:tcW w:w="674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★1、基本技术要求：（1）额定功率≥350W（8Ω）；（2）峰值功率≥1400W；（3）灵敏度≥96dB；（4）覆盖角度≥H100°×V 55°；（5）最大声压级≥125dB。（提供第三方权威检测机构检测报告加盖厂家公章证明）</w:t>
            </w:r>
          </w:p>
          <w:p>
            <w:pPr>
              <w:widowControl/>
              <w:jc w:val="left"/>
              <w:rPr>
                <w:rFonts w:ascii="宋体" w:hAnsi="宋体" w:cs="宋体"/>
                <w:kern w:val="0"/>
                <w:szCs w:val="21"/>
              </w:rPr>
            </w:pPr>
            <w:r>
              <w:rPr>
                <w:rFonts w:hint="eastAsia" w:ascii="宋体" w:hAnsi="宋体" w:cs="宋体"/>
                <w:kern w:val="0"/>
                <w:szCs w:val="21"/>
              </w:rPr>
              <w:t>2、频率响应：60Hz-19KHz(±3dB)</w:t>
            </w:r>
          </w:p>
          <w:p>
            <w:pPr>
              <w:widowControl/>
              <w:jc w:val="left"/>
              <w:rPr>
                <w:rFonts w:ascii="宋体" w:hAnsi="宋体" w:cs="宋体"/>
                <w:kern w:val="0"/>
                <w:szCs w:val="21"/>
              </w:rPr>
            </w:pPr>
            <w:r>
              <w:rPr>
                <w:rFonts w:hint="eastAsia" w:ascii="宋体" w:hAnsi="宋体" w:cs="宋体"/>
                <w:kern w:val="0"/>
                <w:szCs w:val="21"/>
              </w:rPr>
              <w:t>3、分频模式：采用内置二分频，采用了平面波波导术，声波的相位延时传导和声波导相叠加技术。音箱灵敏度高、音色优美、音域宽广、层次清晰、人声中低频厚实中高频透亮自然；分频点：2100Hz。</w:t>
            </w:r>
          </w:p>
          <w:p>
            <w:pPr>
              <w:widowControl/>
              <w:jc w:val="left"/>
              <w:rPr>
                <w:rFonts w:ascii="宋体" w:hAnsi="宋体" w:cs="宋体"/>
                <w:kern w:val="0"/>
                <w:szCs w:val="21"/>
              </w:rPr>
            </w:pPr>
            <w:r>
              <w:rPr>
                <w:rFonts w:hint="eastAsia" w:ascii="宋体" w:hAnsi="宋体" w:cs="宋体"/>
                <w:kern w:val="0"/>
                <w:szCs w:val="21"/>
              </w:rPr>
              <w:t>★4、高音单元：高频不低于1.75″×1(44芯，26mm喉口)，120磁钢，PI膜片、铝扁线高音，高音单元能承受较长时间的大功率而不易于烧毁。音色自然、柔和、清晰，与低音匹配调试后，相位准确，分频点选择符合高、低音单元的频率特性，衔接后响应平滑。（提供官网配置及功能截图并加盖厂家公章证明）</w:t>
            </w:r>
          </w:p>
          <w:p>
            <w:pPr>
              <w:widowControl/>
              <w:jc w:val="left"/>
              <w:rPr>
                <w:rFonts w:ascii="宋体" w:hAnsi="宋体" w:cs="宋体"/>
                <w:kern w:val="0"/>
                <w:szCs w:val="21"/>
              </w:rPr>
            </w:pPr>
            <w:r>
              <w:rPr>
                <w:rFonts w:hint="eastAsia" w:ascii="宋体" w:hAnsi="宋体" w:cs="宋体"/>
                <w:kern w:val="0"/>
                <w:szCs w:val="21"/>
              </w:rPr>
              <w:t>★5、低音单元：低频不低于12″×1(65芯)，170磁钢，铝扁线绕组线圈，这种音圈特点是质量轻、效率高。采用对称磁路设计，减少了二次谐波失真。（提供官网配置及功能截图并加盖厂家公章证明）</w:t>
            </w:r>
          </w:p>
          <w:p>
            <w:pPr>
              <w:widowControl/>
              <w:jc w:val="left"/>
              <w:rPr>
                <w:rFonts w:ascii="宋体" w:hAnsi="宋体" w:cs="宋体"/>
                <w:kern w:val="0"/>
                <w:szCs w:val="21"/>
              </w:rPr>
            </w:pPr>
            <w:r>
              <w:rPr>
                <w:rFonts w:hint="eastAsia" w:ascii="宋体" w:hAnsi="宋体" w:cs="宋体"/>
                <w:kern w:val="0"/>
                <w:szCs w:val="21"/>
              </w:rPr>
              <w:t>6、梯形外观设计，能抑止箱体内驻波，配一个内置提手和一个全铝托盘，配备一个Speaker四芯插座，四个防振脚垫。</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只</w:t>
            </w:r>
          </w:p>
        </w:tc>
      </w:tr>
      <w:tr>
        <w:tblPrEx>
          <w:tblLayout w:type="fixed"/>
          <w:tblCellMar>
            <w:top w:w="0" w:type="dxa"/>
            <w:left w:w="108" w:type="dxa"/>
            <w:bottom w:w="0" w:type="dxa"/>
            <w:right w:w="108" w:type="dxa"/>
          </w:tblCellMar>
        </w:tblPrEx>
        <w:trPr>
          <w:trHeight w:val="1260"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17</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辅助音箱</w:t>
            </w:r>
          </w:p>
        </w:tc>
        <w:tc>
          <w:tcPr>
            <w:tcW w:w="674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★1、基本技术要求：（1）额定功率≥250W（8Ω）；（2）峰值功率≥1000W；（3）灵敏度≥95dB；（4）覆盖角度≥H100°×V 55°；（5）最大声压级≥120dB。（提供第三方权威检测机构检测报告加盖厂家公章证明）</w:t>
            </w:r>
          </w:p>
          <w:p>
            <w:pPr>
              <w:widowControl/>
              <w:jc w:val="left"/>
              <w:rPr>
                <w:rFonts w:ascii="宋体" w:hAnsi="宋体" w:cs="宋体"/>
                <w:kern w:val="0"/>
                <w:szCs w:val="21"/>
              </w:rPr>
            </w:pPr>
            <w:r>
              <w:rPr>
                <w:rFonts w:hint="eastAsia" w:ascii="宋体" w:hAnsi="宋体" w:cs="宋体"/>
                <w:kern w:val="0"/>
                <w:szCs w:val="21"/>
              </w:rPr>
              <w:t>2、频率响应：60Hz-19KHz(±3dB)</w:t>
            </w:r>
          </w:p>
          <w:p>
            <w:pPr>
              <w:widowControl/>
              <w:jc w:val="left"/>
              <w:rPr>
                <w:rFonts w:ascii="宋体" w:hAnsi="宋体" w:cs="宋体"/>
                <w:kern w:val="0"/>
                <w:szCs w:val="21"/>
              </w:rPr>
            </w:pPr>
            <w:r>
              <w:rPr>
                <w:rFonts w:hint="eastAsia" w:ascii="宋体" w:hAnsi="宋体" w:cs="宋体"/>
                <w:kern w:val="0"/>
                <w:szCs w:val="21"/>
              </w:rPr>
              <w:t>★3、分频模式：内置二分频的全频音箱，采用了平面波波导技术，声波的相位延时传导和声波导相叠加，以解决相位失真。音箱灵敏度高、音色优美、层次清晰、声音厚实。人声演唱音域宽，人声清晰、自然、逼真；分频点：2300Hz。（提供产品说明书加盖厂家公章证明）</w:t>
            </w:r>
          </w:p>
          <w:p>
            <w:pPr>
              <w:widowControl/>
              <w:jc w:val="left"/>
              <w:rPr>
                <w:rFonts w:ascii="宋体" w:hAnsi="宋体" w:cs="宋体"/>
                <w:kern w:val="0"/>
                <w:szCs w:val="21"/>
              </w:rPr>
            </w:pPr>
            <w:r>
              <w:rPr>
                <w:rFonts w:hint="eastAsia" w:ascii="宋体" w:hAnsi="宋体" w:cs="宋体"/>
                <w:kern w:val="0"/>
                <w:szCs w:val="21"/>
              </w:rPr>
              <w:t>★4、喇叭单元：由一个10寸纸盆低音和一个36芯PEEK膜片、铜包铝扁线的高音组成。低音采用耐高温玻璃纤维骨架做成的50芯铜包铝绕组线圈。这种音圈特点是效率高、稳定性好。采用对称磁路设计，减少了二次谐波失真。高音采用一寸压缩喉口和高分子高音膜片，高频透亮平滑。（提供产品说明书加盖厂家公章证明）</w:t>
            </w:r>
          </w:p>
          <w:p>
            <w:pPr>
              <w:widowControl/>
              <w:jc w:val="left"/>
              <w:rPr>
                <w:rFonts w:ascii="宋体" w:hAnsi="宋体" w:cs="宋体"/>
                <w:kern w:val="0"/>
                <w:szCs w:val="21"/>
              </w:rPr>
            </w:pPr>
            <w:r>
              <w:rPr>
                <w:rFonts w:hint="eastAsia" w:ascii="宋体" w:hAnsi="宋体" w:cs="宋体"/>
                <w:kern w:val="0"/>
                <w:szCs w:val="21"/>
              </w:rPr>
              <w:t>★5、与主音箱同品牌</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只</w:t>
            </w:r>
          </w:p>
        </w:tc>
      </w:tr>
      <w:tr>
        <w:tblPrEx>
          <w:tblLayout w:type="fixed"/>
          <w:tblCellMar>
            <w:top w:w="0" w:type="dxa"/>
            <w:left w:w="108" w:type="dxa"/>
            <w:bottom w:w="0" w:type="dxa"/>
            <w:right w:w="108" w:type="dxa"/>
          </w:tblCellMar>
        </w:tblPrEx>
        <w:trPr>
          <w:trHeight w:val="3120"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18</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专业纯后级主功放</w:t>
            </w:r>
          </w:p>
        </w:tc>
        <w:tc>
          <w:tcPr>
            <w:tcW w:w="6749"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Cs w:val="21"/>
              </w:rPr>
            </w:pPr>
            <w:r>
              <w:rPr>
                <w:rFonts w:hint="eastAsia" w:ascii="宋体" w:hAnsi="宋体" w:cs="宋体"/>
                <w:color w:val="000000"/>
                <w:kern w:val="0"/>
                <w:szCs w:val="21"/>
              </w:rPr>
              <w:t>★1、技术要求：(1)输出功率(W) 8 ohms:600W*2；(2)总谐波失真率：﹤0.01%；(3)信噪比：≥100dB；(4)频率响应： 20Hz-20KHz；（5）阻尼系数：600：1；（6）输入增益：≤-75dB；（7）声道分离度：≤-75dB。（提供第三方权威检测机构检测报告加盖厂家公章证明）</w:t>
            </w:r>
          </w:p>
          <w:p>
            <w:pPr>
              <w:widowControl/>
              <w:jc w:val="left"/>
              <w:rPr>
                <w:rFonts w:ascii="宋体" w:hAnsi="宋体" w:cs="宋体"/>
                <w:color w:val="000000"/>
                <w:kern w:val="0"/>
                <w:szCs w:val="21"/>
              </w:rPr>
            </w:pPr>
            <w:r>
              <w:rPr>
                <w:rFonts w:hint="eastAsia" w:ascii="宋体" w:hAnsi="宋体" w:cs="宋体"/>
                <w:color w:val="000000"/>
                <w:kern w:val="0"/>
                <w:szCs w:val="21"/>
              </w:rPr>
              <w:t>2、保护电路齐全：扬声器系统保护、过载保护、高温保护、短路保护。</w:t>
            </w:r>
          </w:p>
          <w:p>
            <w:pPr>
              <w:widowControl/>
              <w:jc w:val="left"/>
              <w:rPr>
                <w:rFonts w:ascii="宋体" w:hAnsi="宋体" w:cs="宋体"/>
                <w:color w:val="000000"/>
                <w:kern w:val="0"/>
                <w:szCs w:val="21"/>
              </w:rPr>
            </w:pPr>
            <w:r>
              <w:rPr>
                <w:rFonts w:hint="eastAsia" w:ascii="宋体" w:hAnsi="宋体" w:cs="宋体"/>
                <w:color w:val="000000"/>
                <w:kern w:val="0"/>
                <w:szCs w:val="21"/>
              </w:rPr>
              <w:t xml:space="preserve">★3、功能：(1)低频下潜深，高频延伸广，低音，中音，高音平衡；(2)在音乐表现上，失真度低，频响宽。(提供官网功能介绍截图加盖厂家公章证明) </w:t>
            </w:r>
          </w:p>
          <w:p>
            <w:pPr>
              <w:widowControl/>
              <w:jc w:val="left"/>
              <w:rPr>
                <w:rFonts w:ascii="宋体" w:hAnsi="宋体" w:cs="宋体"/>
                <w:color w:val="000000"/>
                <w:kern w:val="0"/>
                <w:szCs w:val="21"/>
              </w:rPr>
            </w:pPr>
            <w:r>
              <w:rPr>
                <w:rFonts w:hint="eastAsia" w:ascii="宋体" w:hAnsi="宋体" w:cs="宋体"/>
                <w:color w:val="000000"/>
                <w:kern w:val="0"/>
                <w:szCs w:val="21"/>
              </w:rPr>
              <w:t>4、 散热静音设计，避免工作噪音影响会议环境。</w:t>
            </w:r>
          </w:p>
          <w:p>
            <w:pPr>
              <w:widowControl/>
              <w:jc w:val="left"/>
              <w:rPr>
                <w:rFonts w:ascii="宋体" w:hAnsi="宋体" w:cs="宋体"/>
                <w:color w:val="000000"/>
                <w:kern w:val="0"/>
                <w:szCs w:val="21"/>
              </w:rPr>
            </w:pPr>
            <w:r>
              <w:rPr>
                <w:rFonts w:hint="eastAsia" w:ascii="宋体" w:hAnsi="宋体" w:cs="宋体"/>
                <w:color w:val="000000"/>
                <w:kern w:val="0"/>
                <w:szCs w:val="21"/>
              </w:rPr>
              <w:t>5、级联式输出设计。</w:t>
            </w:r>
          </w:p>
          <w:p>
            <w:pPr>
              <w:widowControl/>
              <w:jc w:val="left"/>
              <w:rPr>
                <w:rFonts w:ascii="宋体" w:hAnsi="宋体" w:cs="宋体"/>
                <w:color w:val="000000"/>
                <w:kern w:val="0"/>
                <w:szCs w:val="21"/>
              </w:rPr>
            </w:pPr>
            <w:r>
              <w:rPr>
                <w:rFonts w:hint="eastAsia" w:ascii="宋体" w:hAnsi="宋体" w:cs="宋体"/>
                <w:color w:val="000000"/>
                <w:kern w:val="0"/>
                <w:szCs w:val="21"/>
              </w:rPr>
              <w:t>6、所投产品具备第三方权威机构检测报告。（提供第三方权威检测机构检测报告加盖厂家公章证明）</w:t>
            </w:r>
          </w:p>
          <w:p>
            <w:pPr>
              <w:widowControl/>
              <w:jc w:val="left"/>
              <w:rPr>
                <w:rFonts w:ascii="宋体" w:hAnsi="宋体" w:cs="宋体"/>
                <w:color w:val="000000"/>
                <w:kern w:val="0"/>
                <w:szCs w:val="21"/>
              </w:rPr>
            </w:pPr>
            <w:r>
              <w:rPr>
                <w:rFonts w:hint="eastAsia" w:ascii="宋体" w:hAnsi="宋体" w:cs="宋体"/>
                <w:color w:val="000000"/>
                <w:kern w:val="0"/>
                <w:szCs w:val="21"/>
              </w:rPr>
              <w:t>★7、与音箱同品牌</w:t>
            </w:r>
          </w:p>
          <w:p>
            <w:pPr>
              <w:widowControl/>
              <w:jc w:val="left"/>
              <w:rPr>
                <w:rFonts w:ascii="宋体" w:hAnsi="宋体" w:cs="宋体"/>
                <w:color w:val="000000"/>
                <w:kern w:val="0"/>
                <w:szCs w:val="21"/>
              </w:rPr>
            </w:pPr>
            <w:r>
              <w:rPr>
                <w:rFonts w:hint="eastAsia" w:ascii="宋体" w:hAnsi="宋体" w:cs="宋体"/>
                <w:color w:val="000000"/>
                <w:kern w:val="0"/>
                <w:szCs w:val="21"/>
              </w:rPr>
              <w:t>★8、所投产品厂商具备E-315:9000国际信用管理体系认证。(提供证书复印件加盖厂家公章)</w:t>
            </w:r>
            <w:r>
              <w:rPr>
                <w:rFonts w:ascii="宋体" w:hAnsi="宋体" w:cs="宋体"/>
                <w:color w:val="000000"/>
                <w:kern w:val="0"/>
                <w:szCs w:val="21"/>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6675" cy="47625"/>
                  <wp:effectExtent l="0" t="0" r="9525" b="9525"/>
                  <wp:wrapNone/>
                  <wp:docPr id="659" name="图片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图片 6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6675" cy="47625"/>
                          </a:xfrm>
                          <a:prstGeom prst="rect">
                            <a:avLst/>
                          </a:prstGeom>
                          <a:noFill/>
                          <a:ln>
                            <a:noFill/>
                          </a:ln>
                        </pic:spPr>
                      </pic:pic>
                    </a:graphicData>
                  </a:graphic>
                </wp:anchor>
              </w:drawing>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r>
      <w:tr>
        <w:tblPrEx>
          <w:tblLayout w:type="fixed"/>
          <w:tblCellMar>
            <w:top w:w="0" w:type="dxa"/>
            <w:left w:w="108" w:type="dxa"/>
            <w:bottom w:w="0" w:type="dxa"/>
            <w:right w:w="108" w:type="dxa"/>
          </w:tblCellMar>
        </w:tblPrEx>
        <w:trPr>
          <w:trHeight w:val="699"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19</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专业四通道后级功放</w:t>
            </w:r>
          </w:p>
        </w:tc>
        <w:tc>
          <w:tcPr>
            <w:tcW w:w="6749" w:type="dxa"/>
            <w:gridSpan w:val="3"/>
            <w:tcBorders>
              <w:top w:val="single" w:color="auto" w:sz="4" w:space="0"/>
              <w:left w:val="nil"/>
              <w:bottom w:val="nil"/>
              <w:right w:val="single" w:color="auto" w:sz="4" w:space="0"/>
            </w:tcBorders>
            <w:shd w:val="clear" w:color="auto" w:fill="auto"/>
            <w:vAlign w:val="bottom"/>
          </w:tcPr>
          <w:p>
            <w:pPr>
              <w:widowControl/>
              <w:jc w:val="left"/>
              <w:rPr>
                <w:rFonts w:ascii="宋体" w:hAnsi="宋体" w:cs="宋体"/>
                <w:color w:val="000000"/>
                <w:kern w:val="0"/>
                <w:szCs w:val="21"/>
              </w:rPr>
            </w:pPr>
            <w:r>
              <w:rPr>
                <w:rFonts w:hint="eastAsia" w:ascii="宋体" w:hAnsi="宋体" w:cs="宋体"/>
                <w:color w:val="000000"/>
                <w:kern w:val="0"/>
                <w:szCs w:val="21"/>
              </w:rPr>
              <w:t>★1、技术要求：(1)输出功率(W) 8 ohms:300W*4；(2)总谐波失真率：﹤0.01%；(3)信噪比：≥102dB；(4)频率响应： 20Hz-20KHz；（5）阻尼系数：600：1；（6）输入增益：≤-75dB；（7）声道分离度：≤-70dB。（提供第三方权威检测机构检测报告加盖厂家公章证明）</w:t>
            </w:r>
          </w:p>
          <w:p>
            <w:pPr>
              <w:widowControl/>
              <w:jc w:val="left"/>
              <w:rPr>
                <w:rFonts w:ascii="宋体" w:hAnsi="宋体" w:cs="宋体"/>
                <w:color w:val="000000"/>
                <w:kern w:val="0"/>
                <w:szCs w:val="21"/>
              </w:rPr>
            </w:pPr>
            <w:r>
              <w:rPr>
                <w:rFonts w:hint="eastAsia" w:ascii="宋体" w:hAnsi="宋体" w:cs="宋体"/>
                <w:color w:val="000000"/>
                <w:kern w:val="0"/>
                <w:szCs w:val="21"/>
              </w:rPr>
              <w:t>2、保护电路齐全：扬声器系统保护、过载保护、高温保护、短路保护。</w:t>
            </w:r>
          </w:p>
          <w:p>
            <w:pPr>
              <w:widowControl/>
              <w:jc w:val="left"/>
              <w:rPr>
                <w:rFonts w:ascii="宋体" w:hAnsi="宋体" w:cs="宋体"/>
                <w:color w:val="000000"/>
                <w:kern w:val="0"/>
                <w:szCs w:val="21"/>
              </w:rPr>
            </w:pPr>
            <w:r>
              <w:rPr>
                <w:rFonts w:hint="eastAsia" w:ascii="宋体" w:hAnsi="宋体" w:cs="宋体"/>
                <w:color w:val="000000"/>
                <w:kern w:val="0"/>
                <w:szCs w:val="21"/>
              </w:rPr>
              <w:t xml:space="preserve">★3、功能特点：每通道可负载2-16欧姆，可选择立体声、桥接、并联式输出使用。当负载4欧姆，输出达450W，负载2欧姆，输出600W。桥接（8欧姆）输出达900W。(提供官网功能介绍截图加盖厂家公章证明) </w:t>
            </w:r>
          </w:p>
          <w:p>
            <w:pPr>
              <w:widowControl/>
              <w:jc w:val="left"/>
              <w:rPr>
                <w:rFonts w:ascii="宋体" w:hAnsi="宋体" w:cs="宋体"/>
                <w:color w:val="000000"/>
                <w:kern w:val="0"/>
                <w:szCs w:val="21"/>
              </w:rPr>
            </w:pPr>
            <w:r>
              <w:rPr>
                <w:rFonts w:hint="eastAsia" w:ascii="宋体" w:hAnsi="宋体" w:cs="宋体"/>
                <w:color w:val="000000"/>
                <w:kern w:val="0"/>
                <w:szCs w:val="21"/>
              </w:rPr>
              <w:t>4、散热静音设计，避免工作噪音影响会议环境。</w:t>
            </w:r>
          </w:p>
          <w:p>
            <w:pPr>
              <w:widowControl/>
              <w:jc w:val="left"/>
              <w:rPr>
                <w:rFonts w:ascii="宋体" w:hAnsi="宋体" w:cs="宋体"/>
                <w:color w:val="000000"/>
                <w:kern w:val="0"/>
                <w:szCs w:val="21"/>
              </w:rPr>
            </w:pPr>
            <w:r>
              <w:rPr>
                <w:rFonts w:hint="eastAsia" w:ascii="宋体" w:hAnsi="宋体" w:cs="宋体"/>
                <w:color w:val="000000"/>
                <w:kern w:val="0"/>
                <w:szCs w:val="21"/>
              </w:rPr>
              <w:t>5、级联式输出设计。</w:t>
            </w:r>
          </w:p>
          <w:p>
            <w:pPr>
              <w:widowControl/>
              <w:jc w:val="left"/>
              <w:rPr>
                <w:rFonts w:ascii="宋体" w:hAnsi="宋体" w:cs="宋体"/>
                <w:color w:val="000000"/>
                <w:kern w:val="0"/>
                <w:szCs w:val="21"/>
              </w:rPr>
            </w:pPr>
            <w:r>
              <w:rPr>
                <w:rFonts w:hint="eastAsia" w:ascii="宋体" w:hAnsi="宋体" w:cs="宋体"/>
                <w:color w:val="000000"/>
                <w:kern w:val="0"/>
                <w:szCs w:val="21"/>
              </w:rPr>
              <w:t>6、所投产品具备第三方权威机构检测报告。（提供第三方权威检测机构检测报告加盖厂家公章证明）</w:t>
            </w:r>
          </w:p>
          <w:p>
            <w:pPr>
              <w:widowControl/>
              <w:jc w:val="left"/>
              <w:rPr>
                <w:rFonts w:ascii="宋体" w:hAnsi="宋体" w:cs="宋体"/>
                <w:color w:val="000000"/>
                <w:kern w:val="0"/>
                <w:szCs w:val="21"/>
              </w:rPr>
            </w:pPr>
            <w:r>
              <w:rPr>
                <w:rFonts w:hint="eastAsia" w:ascii="宋体" w:hAnsi="宋体" w:cs="宋体"/>
                <w:color w:val="000000"/>
                <w:kern w:val="0"/>
                <w:szCs w:val="21"/>
              </w:rPr>
              <w:t>★7、与音箱同品牌</w:t>
            </w:r>
          </w:p>
          <w:p>
            <w:pPr>
              <w:widowControl/>
              <w:jc w:val="left"/>
              <w:rPr>
                <w:rFonts w:ascii="宋体" w:hAnsi="宋体" w:cs="宋体"/>
                <w:color w:val="000000"/>
                <w:kern w:val="0"/>
                <w:szCs w:val="21"/>
              </w:rPr>
            </w:pPr>
            <w:r>
              <w:rPr>
                <w:rFonts w:hint="eastAsia" w:ascii="宋体" w:hAnsi="宋体" w:cs="宋体"/>
                <w:color w:val="000000"/>
                <w:kern w:val="0"/>
                <w:szCs w:val="21"/>
              </w:rPr>
              <w:t>★8、所投产品厂商具备E-315:9000国际信用管理体系认证。(提供证书复印件加盖厂家公章)</w:t>
            </w:r>
            <w:r>
              <w:rPr>
                <w:rFonts w:ascii="宋体" w:hAnsi="宋体" w:cs="宋体"/>
                <w:color w:val="000000"/>
                <w:kern w:val="0"/>
                <w:szCs w:val="21"/>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6675" cy="47625"/>
                  <wp:effectExtent l="0" t="0" r="9525" b="9525"/>
                  <wp:wrapNone/>
                  <wp:docPr id="660" name="图片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图片 6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6675" cy="47625"/>
                          </a:xfrm>
                          <a:prstGeom prst="rect">
                            <a:avLst/>
                          </a:prstGeom>
                          <a:noFill/>
                          <a:ln>
                            <a:noFill/>
                          </a:ln>
                        </pic:spPr>
                      </pic:pic>
                    </a:graphicData>
                  </a:graphic>
                </wp:anchor>
              </w:drawing>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r>
      <w:tr>
        <w:tblPrEx>
          <w:tblLayout w:type="fixed"/>
          <w:tblCellMar>
            <w:top w:w="0" w:type="dxa"/>
            <w:left w:w="108" w:type="dxa"/>
            <w:bottom w:w="0" w:type="dxa"/>
            <w:right w:w="108" w:type="dxa"/>
          </w:tblCellMar>
        </w:tblPrEx>
        <w:trPr>
          <w:trHeight w:val="1691"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20</w:t>
            </w:r>
          </w:p>
        </w:tc>
        <w:tc>
          <w:tcPr>
            <w:tcW w:w="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调音台</w:t>
            </w:r>
          </w:p>
        </w:tc>
        <w:tc>
          <w:tcPr>
            <w:tcW w:w="6749" w:type="dxa"/>
            <w:gridSpan w:val="3"/>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Cs w:val="21"/>
              </w:rPr>
            </w:pPr>
            <w:r>
              <w:rPr>
                <w:rFonts w:hint="eastAsia" w:ascii="宋体" w:hAnsi="宋体" w:cs="宋体"/>
                <w:color w:val="000000"/>
                <w:kern w:val="0"/>
                <w:szCs w:val="21"/>
              </w:rPr>
              <w:t>1、基本配置：（1）6个XLR和TRS平衡输入接口；（2）单通道3段EQ，立体声4段EQ；（3）2个辅助输送：辅助输送AUX1配有PRE/POST开关；（4）具备USB存储接口。（提供说明书设备功能面板详细图解加盖厂家公章证明）</w:t>
            </w:r>
          </w:p>
          <w:p>
            <w:pPr>
              <w:widowControl/>
              <w:jc w:val="left"/>
              <w:rPr>
                <w:rFonts w:ascii="宋体" w:hAnsi="宋体" w:cs="宋体"/>
                <w:color w:val="000000"/>
                <w:kern w:val="0"/>
                <w:szCs w:val="21"/>
              </w:rPr>
            </w:pPr>
            <w:r>
              <w:rPr>
                <w:rFonts w:hint="eastAsia" w:ascii="宋体" w:hAnsi="宋体" w:cs="宋体"/>
                <w:color w:val="000000"/>
                <w:kern w:val="0"/>
                <w:szCs w:val="21"/>
              </w:rPr>
              <w:t>2、具备SUB，MAIN两编组输出，每个输入通道配有SUB1~2和MAIN L-R分配开关（提供官网功能介绍截图加盖厂家公章证明）</w:t>
            </w:r>
          </w:p>
          <w:p>
            <w:pPr>
              <w:widowControl/>
              <w:jc w:val="left"/>
              <w:rPr>
                <w:rFonts w:ascii="宋体" w:hAnsi="宋体" w:cs="宋体"/>
                <w:color w:val="000000"/>
                <w:kern w:val="0"/>
                <w:szCs w:val="21"/>
              </w:rPr>
            </w:pPr>
            <w:r>
              <w:rPr>
                <w:rFonts w:hint="eastAsia" w:ascii="宋体" w:hAnsi="宋体" w:cs="宋体"/>
                <w:color w:val="000000"/>
                <w:kern w:val="0"/>
                <w:szCs w:val="21"/>
              </w:rPr>
              <w:t>3、性能参数：（1）输入通道失真度&lt;0.005%；（2）输入通道信噪比：&lt;-100dB；（3）输入通道灵敏度：灵敏度：+15dBu±3dB；（4）主混音整体增益≤-70dB。（提供第三方权威检测机构检测报告加盖厂家公章证明）</w:t>
            </w:r>
          </w:p>
          <w:p>
            <w:pPr>
              <w:widowControl/>
              <w:jc w:val="left"/>
              <w:rPr>
                <w:rFonts w:ascii="宋体" w:hAnsi="宋体" w:cs="宋体"/>
                <w:color w:val="000000"/>
                <w:kern w:val="0"/>
                <w:szCs w:val="21"/>
              </w:rPr>
            </w:pPr>
            <w:r>
              <w:rPr>
                <w:rFonts w:hint="eastAsia" w:ascii="宋体" w:hAnsi="宋体" w:cs="宋体"/>
                <w:color w:val="000000"/>
                <w:kern w:val="0"/>
                <w:szCs w:val="21"/>
              </w:rPr>
              <w:t>4、每个输入通道都有静音开关，监听开关及相应的LED灯。</w:t>
            </w:r>
          </w:p>
          <w:p>
            <w:pPr>
              <w:widowControl/>
              <w:jc w:val="left"/>
              <w:rPr>
                <w:rFonts w:ascii="宋体" w:hAnsi="宋体" w:cs="宋体"/>
                <w:color w:val="000000"/>
                <w:kern w:val="0"/>
                <w:szCs w:val="21"/>
              </w:rPr>
            </w:pPr>
            <w:r>
              <w:rPr>
                <w:rFonts w:hint="eastAsia" w:ascii="宋体" w:hAnsi="宋体" w:cs="宋体"/>
                <w:color w:val="000000"/>
                <w:kern w:val="0"/>
                <w:szCs w:val="21"/>
              </w:rPr>
              <w:t>5、CD/Tape IN 可以配送主输出或监听输出</w:t>
            </w:r>
          </w:p>
          <w:p>
            <w:pPr>
              <w:widowControl/>
              <w:jc w:val="left"/>
              <w:rPr>
                <w:rFonts w:ascii="宋体" w:hAnsi="宋体" w:cs="宋体"/>
                <w:color w:val="000000"/>
                <w:kern w:val="0"/>
                <w:szCs w:val="21"/>
              </w:rPr>
            </w:pPr>
            <w:r>
              <w:rPr>
                <w:rFonts w:hint="eastAsia" w:ascii="宋体" w:hAnsi="宋体" w:cs="宋体"/>
                <w:color w:val="000000"/>
                <w:kern w:val="0"/>
                <w:szCs w:val="21"/>
              </w:rPr>
              <w:t>6、监听有衰减前衰减后，两种不同方式的控制信号路径</w:t>
            </w:r>
          </w:p>
          <w:p>
            <w:pPr>
              <w:widowControl/>
              <w:jc w:val="left"/>
              <w:rPr>
                <w:rFonts w:ascii="宋体" w:hAnsi="宋体" w:cs="宋体"/>
                <w:color w:val="000000"/>
                <w:kern w:val="0"/>
                <w:szCs w:val="21"/>
              </w:rPr>
            </w:pPr>
            <w:r>
              <w:rPr>
                <w:rFonts w:hint="eastAsia" w:ascii="宋体" w:hAnsi="宋体" w:cs="宋体"/>
                <w:color w:val="000000"/>
                <w:kern w:val="0"/>
                <w:szCs w:val="21"/>
              </w:rPr>
              <w:t>7、24字节的内部效果，配有100个预设，效果静音和峰值LED灯</w:t>
            </w:r>
          </w:p>
          <w:p>
            <w:pPr>
              <w:widowControl/>
              <w:jc w:val="left"/>
              <w:rPr>
                <w:rFonts w:ascii="宋体" w:hAnsi="宋体" w:cs="宋体"/>
                <w:color w:val="000000"/>
                <w:kern w:val="0"/>
                <w:szCs w:val="21"/>
              </w:rPr>
            </w:pPr>
            <w:r>
              <w:rPr>
                <w:rFonts w:hint="eastAsia" w:ascii="宋体" w:hAnsi="宋体" w:cs="宋体"/>
                <w:color w:val="000000"/>
                <w:kern w:val="0"/>
                <w:szCs w:val="21"/>
              </w:rPr>
              <w:t>★8、与音箱同品牌</w:t>
            </w:r>
          </w:p>
          <w:p>
            <w:pPr>
              <w:widowControl/>
              <w:jc w:val="left"/>
              <w:rPr>
                <w:rFonts w:ascii="宋体" w:hAnsi="宋体" w:cs="宋体"/>
                <w:color w:val="000000"/>
                <w:kern w:val="0"/>
                <w:szCs w:val="21"/>
              </w:rPr>
            </w:pPr>
            <w:r>
              <w:rPr>
                <w:rFonts w:hint="eastAsia" w:ascii="宋体" w:hAnsi="宋体" w:cs="宋体"/>
                <w:color w:val="000000"/>
                <w:kern w:val="0"/>
                <w:szCs w:val="21"/>
              </w:rPr>
              <w:t>★9、所投产品符合国际标准产品认证。（提供国家标准化管理委员会颁发的国际标准产品标志证书复印件加盖厂家公章）</w:t>
            </w:r>
            <w:r>
              <w:rPr>
                <w:rFonts w:ascii="宋体" w:hAnsi="宋体" w:cs="宋体"/>
                <w:color w:val="000000"/>
                <w:kern w:val="0"/>
                <w:szCs w:val="21"/>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6675" cy="38100"/>
                  <wp:effectExtent l="0" t="0" r="9525" b="0"/>
                  <wp:wrapNone/>
                  <wp:docPr id="661" name="图片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图片 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6675" cy="38100"/>
                          </a:xfrm>
                          <a:prstGeom prst="rect">
                            <a:avLst/>
                          </a:prstGeom>
                          <a:noFill/>
                          <a:ln>
                            <a:noFill/>
                          </a:ln>
                        </pic:spPr>
                      </pic:pic>
                    </a:graphicData>
                  </a:graphic>
                </wp:anchor>
              </w:drawing>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r>
      <w:tr>
        <w:tblPrEx>
          <w:tblLayout w:type="fixed"/>
          <w:tblCellMar>
            <w:top w:w="0" w:type="dxa"/>
            <w:left w:w="108" w:type="dxa"/>
            <w:bottom w:w="0" w:type="dxa"/>
            <w:right w:w="108" w:type="dxa"/>
          </w:tblCellMar>
        </w:tblPrEx>
        <w:trPr>
          <w:trHeight w:val="1407"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21</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啸叫抑制器</w:t>
            </w:r>
          </w:p>
        </w:tc>
        <w:tc>
          <w:tcPr>
            <w:tcW w:w="674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1、每通道24个编程可控的滤波器</w:t>
            </w:r>
          </w:p>
          <w:p>
            <w:pPr>
              <w:widowControl/>
              <w:jc w:val="left"/>
              <w:rPr>
                <w:rFonts w:ascii="宋体" w:hAnsi="宋体" w:cs="宋体"/>
                <w:kern w:val="0"/>
                <w:szCs w:val="21"/>
              </w:rPr>
            </w:pPr>
            <w:r>
              <w:rPr>
                <w:rFonts w:hint="eastAsia" w:ascii="宋体" w:hAnsi="宋体" w:cs="宋体"/>
                <w:kern w:val="0"/>
                <w:szCs w:val="21"/>
              </w:rPr>
              <w:t>2、 独立双通道处理</w:t>
            </w:r>
          </w:p>
          <w:p>
            <w:pPr>
              <w:widowControl/>
              <w:jc w:val="left"/>
              <w:rPr>
                <w:rFonts w:ascii="宋体" w:hAnsi="宋体" w:cs="宋体"/>
                <w:kern w:val="0"/>
                <w:szCs w:val="21"/>
              </w:rPr>
            </w:pPr>
            <w:r>
              <w:rPr>
                <w:rFonts w:hint="eastAsia" w:ascii="宋体" w:hAnsi="宋体" w:cs="宋体"/>
                <w:kern w:val="0"/>
                <w:szCs w:val="21"/>
              </w:rPr>
              <w:t>3、实况使用（Live）与固定设置（Fixed）滤波模式</w:t>
            </w:r>
          </w:p>
          <w:p>
            <w:pPr>
              <w:widowControl/>
              <w:jc w:val="left"/>
              <w:rPr>
                <w:rFonts w:ascii="宋体" w:hAnsi="宋体" w:cs="宋体"/>
                <w:kern w:val="0"/>
                <w:szCs w:val="21"/>
              </w:rPr>
            </w:pPr>
            <w:r>
              <w:rPr>
                <w:rFonts w:hint="eastAsia" w:ascii="宋体" w:hAnsi="宋体" w:cs="宋体"/>
                <w:kern w:val="0"/>
                <w:szCs w:val="21"/>
              </w:rPr>
              <w:t>4、自动Live滤波</w:t>
            </w:r>
          </w:p>
          <w:p>
            <w:pPr>
              <w:widowControl/>
              <w:jc w:val="left"/>
              <w:rPr>
                <w:rFonts w:ascii="宋体" w:hAnsi="宋体" w:cs="宋体"/>
                <w:kern w:val="0"/>
                <w:szCs w:val="21"/>
              </w:rPr>
            </w:pPr>
            <w:r>
              <w:rPr>
                <w:rFonts w:hint="eastAsia" w:ascii="宋体" w:hAnsi="宋体" w:cs="宋体"/>
                <w:kern w:val="0"/>
                <w:szCs w:val="21"/>
              </w:rPr>
              <w:t>5、滤波应用选择（Music/Speech）</w:t>
            </w:r>
          </w:p>
          <w:p>
            <w:pPr>
              <w:widowControl/>
              <w:jc w:val="left"/>
              <w:rPr>
                <w:rFonts w:ascii="宋体" w:hAnsi="宋体" w:cs="宋体"/>
                <w:kern w:val="0"/>
                <w:szCs w:val="21"/>
              </w:rPr>
            </w:pPr>
            <w:r>
              <w:rPr>
                <w:rFonts w:hint="eastAsia" w:ascii="宋体" w:hAnsi="宋体" w:cs="宋体"/>
                <w:kern w:val="0"/>
                <w:szCs w:val="21"/>
              </w:rPr>
              <w:t>6、2通道输入通道位准计量</w:t>
            </w:r>
          </w:p>
          <w:p>
            <w:pPr>
              <w:widowControl/>
              <w:jc w:val="left"/>
              <w:rPr>
                <w:rFonts w:ascii="宋体" w:hAnsi="宋体" w:cs="宋体"/>
                <w:kern w:val="0"/>
                <w:szCs w:val="21"/>
              </w:rPr>
            </w:pPr>
            <w:r>
              <w:rPr>
                <w:rFonts w:hint="eastAsia" w:ascii="宋体" w:hAnsi="宋体" w:cs="宋体"/>
                <w:kern w:val="0"/>
                <w:szCs w:val="21"/>
              </w:rPr>
              <w:t>7、每通道24个指示灯滤波计量</w:t>
            </w:r>
          </w:p>
          <w:p>
            <w:pPr>
              <w:widowControl/>
              <w:jc w:val="left"/>
              <w:rPr>
                <w:rFonts w:ascii="宋体" w:hAnsi="宋体" w:cs="宋体"/>
                <w:kern w:val="0"/>
                <w:szCs w:val="21"/>
              </w:rPr>
            </w:pPr>
            <w:r>
              <w:rPr>
                <w:rFonts w:hint="eastAsia" w:ascii="宋体" w:hAnsi="宋体" w:cs="宋体"/>
                <w:kern w:val="0"/>
                <w:szCs w:val="21"/>
              </w:rPr>
              <w:t>8、2*XLR&amp;2*TRS平衡式输入&amp;输出</w:t>
            </w:r>
          </w:p>
          <w:p>
            <w:pPr>
              <w:widowControl/>
              <w:jc w:val="left"/>
              <w:rPr>
                <w:rFonts w:ascii="宋体" w:hAnsi="宋体" w:cs="宋体"/>
                <w:kern w:val="0"/>
                <w:szCs w:val="21"/>
              </w:rPr>
            </w:pPr>
            <w:r>
              <w:rPr>
                <w:rFonts w:hint="eastAsia" w:ascii="宋体" w:hAnsi="宋体" w:cs="宋体"/>
                <w:kern w:val="0"/>
                <w:szCs w:val="21"/>
              </w:rPr>
              <w:t>9、运行位准选择开关（+4dBu/-10dBv）</w:t>
            </w:r>
          </w:p>
          <w:p>
            <w:pPr>
              <w:widowControl/>
              <w:jc w:val="left"/>
              <w:rPr>
                <w:rFonts w:ascii="宋体" w:hAnsi="宋体" w:cs="宋体"/>
                <w:kern w:val="0"/>
                <w:szCs w:val="21"/>
              </w:rPr>
            </w:pPr>
            <w:r>
              <w:rPr>
                <w:rFonts w:hint="eastAsia" w:ascii="宋体" w:hAnsi="宋体" w:cs="宋体"/>
                <w:kern w:val="0"/>
                <w:szCs w:val="21"/>
              </w:rPr>
              <w:t>10、后板锁定开关</w:t>
            </w:r>
          </w:p>
          <w:p>
            <w:pPr>
              <w:widowControl/>
              <w:jc w:val="left"/>
              <w:rPr>
                <w:rFonts w:ascii="宋体" w:hAnsi="宋体" w:cs="宋体"/>
                <w:kern w:val="0"/>
                <w:szCs w:val="21"/>
              </w:rPr>
            </w:pPr>
            <w:r>
              <w:rPr>
                <w:rFonts w:hint="eastAsia" w:ascii="宋体" w:hAnsi="宋体" w:cs="宋体"/>
                <w:kern w:val="0"/>
                <w:szCs w:val="21"/>
              </w:rPr>
              <w:t>★11、所投产品符合国际标准产品认证。（提供国家标准化管理委员会颁发的国际标准产品标志证书复印件加盖厂家公章）</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r>
      <w:tr>
        <w:tblPrEx>
          <w:tblLayout w:type="fixed"/>
          <w:tblCellMar>
            <w:top w:w="0" w:type="dxa"/>
            <w:left w:w="108" w:type="dxa"/>
            <w:bottom w:w="0" w:type="dxa"/>
            <w:right w:w="108" w:type="dxa"/>
          </w:tblCellMar>
        </w:tblPrEx>
        <w:trPr>
          <w:trHeight w:val="1920"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22</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U段一拖四话筒</w:t>
            </w:r>
          </w:p>
        </w:tc>
        <w:tc>
          <w:tcPr>
            <w:tcW w:w="674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1、话筒单位配置：配置2只无线手持话筒和2只头戴麦。</w:t>
            </w:r>
          </w:p>
          <w:p>
            <w:pPr>
              <w:widowControl/>
              <w:jc w:val="left"/>
              <w:rPr>
                <w:rFonts w:ascii="宋体" w:hAnsi="宋体" w:cs="宋体"/>
                <w:kern w:val="0"/>
                <w:szCs w:val="21"/>
              </w:rPr>
            </w:pPr>
            <w:r>
              <w:rPr>
                <w:rFonts w:hint="eastAsia" w:ascii="宋体" w:hAnsi="宋体" w:cs="宋体"/>
                <w:kern w:val="0"/>
                <w:szCs w:val="21"/>
              </w:rPr>
              <w:t>2、无线话筒接受主机配置：（1）DPLL数字锁相环多信道频率合成技术，轻松避开各类干扰；（2）具备自动对频技术；（3）具备接收灵敏度调节功能，可根据需要调节灵敏度，以提高抗干扰能力或增加接收距离。（提供官网截图加盖厂家公章证明）</w:t>
            </w:r>
          </w:p>
          <w:p>
            <w:pPr>
              <w:widowControl/>
              <w:jc w:val="left"/>
              <w:rPr>
                <w:rFonts w:ascii="宋体" w:hAnsi="宋体" w:cs="宋体"/>
                <w:kern w:val="0"/>
                <w:szCs w:val="21"/>
              </w:rPr>
            </w:pPr>
            <w:r>
              <w:rPr>
                <w:rFonts w:hint="eastAsia" w:ascii="宋体" w:hAnsi="宋体" w:cs="宋体"/>
                <w:kern w:val="0"/>
                <w:szCs w:val="21"/>
              </w:rPr>
              <w:t>★3、性能要求：（1）接收灵敏度≥12 dBμV ；（2）综合信噪比&gt;105dB；（3）信道数量≥200个可调；（4）失真度＜0.5% (1kHz)；（5）话筒单元频率响应80Hz-18kHz。（提供第三方权威机构检测报告加盖厂家公章证明）</w:t>
            </w:r>
          </w:p>
          <w:p>
            <w:pPr>
              <w:widowControl/>
              <w:jc w:val="left"/>
              <w:rPr>
                <w:rFonts w:ascii="宋体" w:hAnsi="宋体" w:cs="宋体"/>
                <w:kern w:val="0"/>
                <w:szCs w:val="21"/>
              </w:rPr>
            </w:pPr>
            <w:r>
              <w:rPr>
                <w:rFonts w:hint="eastAsia" w:ascii="宋体" w:hAnsi="宋体" w:cs="宋体"/>
                <w:kern w:val="0"/>
                <w:szCs w:val="21"/>
              </w:rPr>
              <w:t>★4、所投产品具备无线频段许可证。（提供证书复印件加盖厂家公章）</w:t>
            </w:r>
          </w:p>
          <w:p>
            <w:pPr>
              <w:widowControl/>
              <w:jc w:val="left"/>
              <w:rPr>
                <w:rFonts w:ascii="宋体" w:hAnsi="宋体" w:cs="宋体"/>
                <w:kern w:val="0"/>
                <w:szCs w:val="21"/>
              </w:rPr>
            </w:pPr>
            <w:r>
              <w:rPr>
                <w:rFonts w:hint="eastAsia" w:ascii="宋体" w:hAnsi="宋体" w:cs="宋体"/>
                <w:kern w:val="0"/>
                <w:szCs w:val="21"/>
              </w:rPr>
              <w:t>5、所投产品生产厂家具备质量、服务、诚信AAA级企业认证证书。（提供证书复印件加盖厂家公章）</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套</w:t>
            </w:r>
          </w:p>
        </w:tc>
      </w:tr>
      <w:tr>
        <w:tblPrEx>
          <w:tblLayout w:type="fixed"/>
          <w:tblCellMar>
            <w:top w:w="0" w:type="dxa"/>
            <w:left w:w="108" w:type="dxa"/>
            <w:bottom w:w="0" w:type="dxa"/>
            <w:right w:w="108" w:type="dxa"/>
          </w:tblCellMar>
        </w:tblPrEx>
        <w:trPr>
          <w:trHeight w:val="558"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23</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U段一拖二鹅颈话筒</w:t>
            </w:r>
          </w:p>
        </w:tc>
        <w:tc>
          <w:tcPr>
            <w:tcW w:w="674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1、话筒单位配置：配置2只无线鹅颈会议话筒单元。</w:t>
            </w:r>
          </w:p>
          <w:p>
            <w:pPr>
              <w:widowControl/>
              <w:jc w:val="left"/>
              <w:rPr>
                <w:rFonts w:ascii="宋体" w:hAnsi="宋体" w:cs="宋体"/>
                <w:kern w:val="0"/>
                <w:szCs w:val="21"/>
              </w:rPr>
            </w:pPr>
            <w:r>
              <w:rPr>
                <w:rFonts w:hint="eastAsia" w:ascii="宋体" w:hAnsi="宋体" w:cs="宋体"/>
                <w:kern w:val="0"/>
                <w:szCs w:val="21"/>
              </w:rPr>
              <w:t>2、无线话筒接受主机配置：（1）采用D-PLL射频频率锁定技术，频率精准、工作稳定可靠；（2）杂散抑制≥55dB；（3）发射器输出功率 ＜10mW，安全环保。（提供官网截图加盖厂家公章证明）</w:t>
            </w:r>
          </w:p>
          <w:p>
            <w:pPr>
              <w:widowControl/>
              <w:jc w:val="left"/>
              <w:rPr>
                <w:rFonts w:ascii="宋体" w:hAnsi="宋体" w:cs="宋体"/>
                <w:kern w:val="0"/>
                <w:szCs w:val="21"/>
              </w:rPr>
            </w:pPr>
            <w:r>
              <w:rPr>
                <w:rFonts w:hint="eastAsia" w:ascii="宋体" w:hAnsi="宋体" w:cs="宋体"/>
                <w:kern w:val="0"/>
                <w:szCs w:val="21"/>
              </w:rPr>
              <w:t>★3、性能要求：（1）接收灵敏度≥12 dBμV ；（2）综合信噪比&gt;85dB A+；（3）信道数量≥800个可调；（4）失真度＜0.5% (1kHz)；（5）话筒单元频率响应80Hz-12kHz。（提供第三方权威机构检测报告加盖厂家公章证明）</w:t>
            </w:r>
          </w:p>
          <w:p>
            <w:pPr>
              <w:widowControl/>
              <w:jc w:val="left"/>
              <w:rPr>
                <w:rFonts w:ascii="宋体" w:hAnsi="宋体" w:cs="宋体"/>
                <w:kern w:val="0"/>
                <w:szCs w:val="21"/>
              </w:rPr>
            </w:pPr>
            <w:r>
              <w:rPr>
                <w:rFonts w:hint="eastAsia" w:ascii="宋体" w:hAnsi="宋体" w:cs="宋体"/>
                <w:kern w:val="0"/>
                <w:szCs w:val="21"/>
              </w:rPr>
              <w:t>★4、所投产品具备无线频段许可证。（提供证书复印件加盖厂家公章）</w:t>
            </w:r>
          </w:p>
          <w:p>
            <w:pPr>
              <w:widowControl/>
              <w:jc w:val="left"/>
              <w:rPr>
                <w:rFonts w:ascii="宋体" w:hAnsi="宋体" w:cs="宋体"/>
                <w:kern w:val="0"/>
                <w:szCs w:val="21"/>
              </w:rPr>
            </w:pPr>
            <w:r>
              <w:rPr>
                <w:rFonts w:hint="eastAsia" w:ascii="宋体" w:hAnsi="宋体" w:cs="宋体"/>
                <w:kern w:val="0"/>
                <w:szCs w:val="21"/>
              </w:rPr>
              <w:t>5、所投产品生产厂家具备质量、服务、诚信AAA级企业认证证书。（提供证书复印件加盖厂家公章）</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套</w:t>
            </w:r>
          </w:p>
        </w:tc>
      </w:tr>
      <w:tr>
        <w:tblPrEx>
          <w:tblLayout w:type="fixed"/>
          <w:tblCellMar>
            <w:top w:w="0" w:type="dxa"/>
            <w:left w:w="108" w:type="dxa"/>
            <w:bottom w:w="0" w:type="dxa"/>
            <w:right w:w="108" w:type="dxa"/>
          </w:tblCellMar>
        </w:tblPrEx>
        <w:trPr>
          <w:trHeight w:val="540"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24</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机柜</w:t>
            </w:r>
          </w:p>
        </w:tc>
        <w:tc>
          <w:tcPr>
            <w:tcW w:w="674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尺寸：600*800*1800，颜色：黑色，配置：8位10APDU一个，固定板2块，风扇2组</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个</w:t>
            </w:r>
          </w:p>
        </w:tc>
      </w:tr>
      <w:tr>
        <w:tblPrEx>
          <w:tblLayout w:type="fixed"/>
          <w:tblCellMar>
            <w:top w:w="0" w:type="dxa"/>
            <w:left w:w="108" w:type="dxa"/>
            <w:bottom w:w="0" w:type="dxa"/>
            <w:right w:w="108" w:type="dxa"/>
          </w:tblCellMar>
        </w:tblPrEx>
        <w:trPr>
          <w:trHeight w:val="540"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25</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color w:val="000000"/>
                <w:kern w:val="0"/>
                <w:szCs w:val="21"/>
              </w:rPr>
              <w:t>电源时序器</w:t>
            </w:r>
          </w:p>
        </w:tc>
        <w:tc>
          <w:tcPr>
            <w:tcW w:w="674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1、8路电源输出，每路电源可承受AC220V/10A功率，电源总容量可承受AC220V/6KVA功率。</w:t>
            </w:r>
          </w:p>
          <w:p>
            <w:pPr>
              <w:widowControl/>
              <w:jc w:val="left"/>
              <w:rPr>
                <w:rFonts w:ascii="宋体" w:hAnsi="宋体" w:cs="宋体"/>
                <w:color w:val="000000"/>
                <w:kern w:val="0"/>
                <w:szCs w:val="21"/>
              </w:rPr>
            </w:pPr>
            <w:r>
              <w:rPr>
                <w:rFonts w:hint="eastAsia" w:ascii="宋体" w:hAnsi="宋体" w:cs="宋体"/>
                <w:color w:val="000000"/>
                <w:kern w:val="0"/>
                <w:szCs w:val="21"/>
              </w:rPr>
              <w:t>2、采用电子安全锁开关管理，可手动紧急控制8路电源输出。</w:t>
            </w:r>
          </w:p>
          <w:p>
            <w:pPr>
              <w:widowControl/>
              <w:jc w:val="left"/>
              <w:rPr>
                <w:rFonts w:ascii="宋体" w:hAnsi="宋体" w:cs="宋体"/>
                <w:color w:val="000000"/>
                <w:kern w:val="0"/>
                <w:szCs w:val="21"/>
              </w:rPr>
            </w:pPr>
            <w:r>
              <w:rPr>
                <w:rFonts w:hint="eastAsia" w:ascii="宋体" w:hAnsi="宋体" w:cs="宋体"/>
                <w:color w:val="000000"/>
                <w:kern w:val="0"/>
                <w:szCs w:val="21"/>
              </w:rPr>
              <w:t>3、设有1路短路信号输入，可短路触发打开设备。</w:t>
            </w:r>
          </w:p>
          <w:p>
            <w:pPr>
              <w:widowControl/>
              <w:jc w:val="left"/>
              <w:rPr>
                <w:rFonts w:ascii="宋体" w:hAnsi="宋体" w:cs="宋体"/>
                <w:color w:val="000000"/>
                <w:kern w:val="0"/>
                <w:szCs w:val="21"/>
              </w:rPr>
            </w:pPr>
            <w:r>
              <w:rPr>
                <w:rFonts w:hint="eastAsia" w:ascii="宋体" w:hAnsi="宋体" w:cs="宋体"/>
                <w:color w:val="000000"/>
                <w:kern w:val="0"/>
                <w:szCs w:val="21"/>
              </w:rPr>
              <w:t>4、具备RS232接口，可通过中央控制主机进行控制。</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r>
      <w:tr>
        <w:tblPrEx>
          <w:tblLayout w:type="fixed"/>
          <w:tblCellMar>
            <w:top w:w="0" w:type="dxa"/>
            <w:left w:w="108" w:type="dxa"/>
            <w:bottom w:w="0" w:type="dxa"/>
            <w:right w:w="108" w:type="dxa"/>
          </w:tblCellMar>
        </w:tblPrEx>
        <w:trPr>
          <w:trHeight w:val="270"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26</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音响托架</w:t>
            </w:r>
          </w:p>
        </w:tc>
        <w:tc>
          <w:tcPr>
            <w:tcW w:w="674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专用,与产品相匹配。</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对</w:t>
            </w:r>
          </w:p>
        </w:tc>
      </w:tr>
      <w:tr>
        <w:tblPrEx>
          <w:tblLayout w:type="fixed"/>
          <w:tblCellMar>
            <w:top w:w="0" w:type="dxa"/>
            <w:left w:w="108" w:type="dxa"/>
            <w:bottom w:w="0" w:type="dxa"/>
            <w:right w:w="108" w:type="dxa"/>
          </w:tblCellMar>
        </w:tblPrEx>
        <w:trPr>
          <w:trHeight w:val="270"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27</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辅材布线及安装</w:t>
            </w:r>
          </w:p>
        </w:tc>
        <w:tc>
          <w:tcPr>
            <w:tcW w:w="6749" w:type="dxa"/>
            <w:gridSpan w:val="3"/>
            <w:tcBorders>
              <w:top w:val="nil"/>
              <w:left w:val="nil"/>
              <w:bottom w:val="single" w:color="auto" w:sz="4" w:space="0"/>
              <w:right w:val="single" w:color="auto" w:sz="4" w:space="0"/>
            </w:tcBorders>
            <w:shd w:val="clear" w:color="auto" w:fill="auto"/>
            <w:vAlign w:val="center"/>
          </w:tcPr>
          <w:p>
            <w:pPr>
              <w:widowControl/>
              <w:jc w:val="left"/>
              <w:rPr>
                <w:rFonts w:hAnsi="宋体"/>
                <w:szCs w:val="21"/>
              </w:rPr>
            </w:pPr>
            <w:r>
              <w:rPr>
                <w:rFonts w:hAnsi="宋体"/>
                <w:szCs w:val="21"/>
              </w:rPr>
              <w:t>1.</w:t>
            </w:r>
            <w:r>
              <w:rPr>
                <w:rFonts w:hint="eastAsia" w:hAnsi="宋体"/>
                <w:szCs w:val="21"/>
              </w:rPr>
              <w:t>电源线：符合国家标准的铜线，负载满足要求，三线分色分类阻燃分离布线。液晶拼接屏电源线必须用≥</w:t>
            </w:r>
            <w:r>
              <w:rPr>
                <w:rFonts w:hAnsi="宋体"/>
                <w:szCs w:val="21"/>
              </w:rPr>
              <w:t>6mm</w:t>
            </w:r>
            <w:r>
              <w:rPr>
                <w:rFonts w:hint="eastAsia" w:hAnsi="宋体"/>
                <w:szCs w:val="21"/>
              </w:rPr>
              <w:t>平方的单股铜芯线；其他设备电源线必须用≥2.5</w:t>
            </w:r>
            <w:r>
              <w:rPr>
                <w:rFonts w:hAnsi="宋体"/>
                <w:szCs w:val="21"/>
              </w:rPr>
              <w:t>mm</w:t>
            </w:r>
            <w:r>
              <w:rPr>
                <w:rFonts w:hint="eastAsia" w:hAnsi="宋体"/>
                <w:szCs w:val="21"/>
              </w:rPr>
              <w:t>平方的单股铜芯线。</w:t>
            </w:r>
          </w:p>
          <w:p>
            <w:pPr>
              <w:widowControl/>
              <w:jc w:val="left"/>
              <w:rPr>
                <w:rFonts w:ascii="宋体" w:hAnsi="宋体"/>
                <w:szCs w:val="21"/>
              </w:rPr>
            </w:pPr>
            <w:r>
              <w:rPr>
                <w:rFonts w:hint="eastAsia" w:ascii="宋体" w:hAnsi="宋体"/>
                <w:szCs w:val="21"/>
              </w:rPr>
              <w:t>2、高清线材：HDMI 1.4版本，线芯导体采用高纯无氧铜。品牌须选用厂商通过ISO9001质量认证的企业。</w:t>
            </w:r>
          </w:p>
          <w:p>
            <w:pPr>
              <w:widowControl/>
              <w:jc w:val="left"/>
              <w:rPr>
                <w:rFonts w:ascii="宋体" w:hAnsi="宋体"/>
                <w:szCs w:val="21"/>
              </w:rPr>
            </w:pPr>
            <w:r>
              <w:rPr>
                <w:rFonts w:hint="eastAsia" w:ascii="宋体" w:hAnsi="宋体"/>
                <w:szCs w:val="21"/>
              </w:rPr>
              <w:t>3、音响线材：300芯，无氧铜。品牌须选用厂商通过ISO9001质量认证的企业。</w:t>
            </w:r>
          </w:p>
          <w:p>
            <w:pPr>
              <w:widowControl/>
              <w:jc w:val="left"/>
              <w:rPr>
                <w:rFonts w:ascii="宋体" w:hAnsi="宋体"/>
                <w:szCs w:val="21"/>
              </w:rPr>
            </w:pPr>
            <w:r>
              <w:rPr>
                <w:rFonts w:hint="eastAsia" w:ascii="宋体" w:hAnsi="宋体"/>
                <w:szCs w:val="21"/>
              </w:rPr>
              <w:t>4、辅线：超5类网线，RS232控制线，音频线等。所有辅线线芯导体必须为无氧铜。</w:t>
            </w:r>
          </w:p>
          <w:p>
            <w:pPr>
              <w:widowControl/>
              <w:jc w:val="left"/>
              <w:rPr>
                <w:rFonts w:ascii="宋体" w:hAnsi="宋体"/>
                <w:szCs w:val="21"/>
              </w:rPr>
            </w:pPr>
            <w:r>
              <w:rPr>
                <w:rFonts w:hint="eastAsia" w:ascii="宋体" w:hAnsi="宋体"/>
                <w:szCs w:val="21"/>
              </w:rPr>
              <w:t>5、电源插座：符合国家标准，满足连接需求，主流品牌。</w:t>
            </w:r>
          </w:p>
          <w:p>
            <w:pPr>
              <w:widowControl/>
              <w:jc w:val="left"/>
              <w:rPr>
                <w:rFonts w:ascii="宋体" w:hAnsi="宋体"/>
                <w:szCs w:val="21"/>
              </w:rPr>
            </w:pPr>
            <w:r>
              <w:rPr>
                <w:rFonts w:hint="eastAsia" w:ascii="宋体" w:hAnsi="宋体"/>
                <w:szCs w:val="21"/>
              </w:rPr>
              <w:t>6、线槽及扣条：金属、塑料，符合国家安全标准（主线槽外用不锈钢一次成型盖板），所有线出地板后必须用线槽走线。</w:t>
            </w:r>
          </w:p>
          <w:p>
            <w:pPr>
              <w:widowControl/>
              <w:jc w:val="left"/>
              <w:rPr>
                <w:rFonts w:hAnsi="宋体"/>
                <w:szCs w:val="21"/>
              </w:rPr>
            </w:pPr>
            <w:r>
              <w:rPr>
                <w:rFonts w:hint="eastAsia" w:hAnsi="宋体"/>
                <w:szCs w:val="21"/>
              </w:rPr>
              <w:t>7、施工规范：施工依照</w:t>
            </w:r>
            <w:r>
              <w:rPr>
                <w:rFonts w:hAnsi="宋体"/>
                <w:szCs w:val="21"/>
              </w:rPr>
              <w:t>CSC</w:t>
            </w:r>
            <w:r>
              <w:rPr>
                <w:rFonts w:hint="eastAsia" w:hAnsi="宋体"/>
                <w:szCs w:val="21"/>
              </w:rPr>
              <w:t>综合布线标准设计，强弱电规范（分离）施工，整个教室/会议室要具有高扩展性、灵活性、先进性、可管理性。在布线中，所有线路均有一定编号规则和颜色规则，以方便维护。</w:t>
            </w:r>
          </w:p>
          <w:p>
            <w:pPr>
              <w:widowControl/>
              <w:jc w:val="left"/>
              <w:rPr>
                <w:rFonts w:ascii="宋体" w:hAnsi="宋体" w:cs="宋体"/>
                <w:color w:val="000000"/>
                <w:kern w:val="0"/>
                <w:szCs w:val="21"/>
              </w:rPr>
            </w:pPr>
            <w:r>
              <w:rPr>
                <w:rFonts w:hint="eastAsia" w:hAnsi="宋体"/>
                <w:szCs w:val="21"/>
              </w:rPr>
              <w:t>本标由中标方负责施工、安装、调试、培训、质检验收等所需全部费用（含采购方未考虑到辅料）由中标方承担。</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批</w:t>
            </w:r>
          </w:p>
        </w:tc>
      </w:tr>
      <w:tr>
        <w:tblPrEx>
          <w:tblLayout w:type="fixed"/>
          <w:tblCellMar>
            <w:top w:w="0" w:type="dxa"/>
            <w:left w:w="108" w:type="dxa"/>
            <w:bottom w:w="0" w:type="dxa"/>
            <w:right w:w="108" w:type="dxa"/>
          </w:tblCellMar>
        </w:tblPrEx>
        <w:trPr>
          <w:trHeight w:val="540" w:hRule="atLeast"/>
        </w:trPr>
        <w:tc>
          <w:tcPr>
            <w:tcW w:w="5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28</w:t>
            </w:r>
          </w:p>
        </w:tc>
        <w:tc>
          <w:tcPr>
            <w:tcW w:w="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主席讲台</w:t>
            </w:r>
          </w:p>
        </w:tc>
        <w:tc>
          <w:tcPr>
            <w:tcW w:w="674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实木,如图</w:t>
            </w:r>
            <w:r>
              <w:rPr>
                <w:szCs w:val="21"/>
              </w:rPr>
              <w:drawing>
                <wp:inline distT="0" distB="0" distL="0" distR="0">
                  <wp:extent cx="1417955" cy="1809750"/>
                  <wp:effectExtent l="0" t="0" r="10795" b="0"/>
                  <wp:docPr id="662"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图片 74"/>
                          <pic:cNvPicPr>
                            <a:picLocks noChangeAspect="1" noChangeArrowheads="1"/>
                          </pic:cNvPicPr>
                        </pic:nvPicPr>
                        <pic:blipFill>
                          <a:blip r:embed="rId15" cstate="print"/>
                          <a:srcRect/>
                          <a:stretch>
                            <a:fillRect/>
                          </a:stretch>
                        </pic:blipFill>
                        <pic:spPr>
                          <a:xfrm>
                            <a:off x="0" y="0"/>
                            <a:ext cx="1419225" cy="1811379"/>
                          </a:xfrm>
                          <a:prstGeom prst="rect">
                            <a:avLst/>
                          </a:prstGeom>
                          <a:noFill/>
                          <a:ln w="9525">
                            <a:noFill/>
                            <a:miter lim="800000"/>
                            <a:headEnd/>
                            <a:tailEnd/>
                          </a:ln>
                        </pic:spPr>
                      </pic:pic>
                    </a:graphicData>
                  </a:graphic>
                </wp:inline>
              </w:drawing>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张</w:t>
            </w:r>
          </w:p>
        </w:tc>
      </w:tr>
    </w:tbl>
    <w:p>
      <w:pPr>
        <w:pStyle w:val="3"/>
        <w:spacing w:before="0" w:after="0" w:line="360" w:lineRule="auto"/>
        <w:jc w:val="left"/>
        <w:rPr>
          <w:rFonts w:ascii="宋体" w:hAnsi="宋体"/>
          <w:bCs w:val="0"/>
          <w:sz w:val="30"/>
          <w:szCs w:val="30"/>
          <w:lang w:val="zh-CN"/>
        </w:rPr>
      </w:pPr>
      <w:bookmarkStart w:id="54" w:name="_Toc22052"/>
      <w:r>
        <w:rPr>
          <w:rFonts w:hint="eastAsia" w:ascii="宋体" w:hAnsi="宋体"/>
          <w:bCs w:val="0"/>
          <w:sz w:val="30"/>
          <w:szCs w:val="30"/>
        </w:rPr>
        <w:t>三、商务</w:t>
      </w:r>
      <w:r>
        <w:rPr>
          <w:rFonts w:hint="eastAsia" w:ascii="宋体" w:hAnsi="宋体"/>
          <w:bCs w:val="0"/>
          <w:sz w:val="30"/>
          <w:szCs w:val="30"/>
          <w:lang w:val="zh-CN"/>
        </w:rPr>
        <w:t>要求</w:t>
      </w:r>
      <w:bookmarkEnd w:id="54"/>
    </w:p>
    <w:p>
      <w:pPr>
        <w:tabs>
          <w:tab w:val="left" w:pos="4283"/>
        </w:tabs>
        <w:adjustRightInd w:val="0"/>
        <w:snapToGrid w:val="0"/>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投标人在投标文件《商务要求响应、偏离说明表》中应对以下逐条商务要求进行响应描述或偏离说明。不满足以下要求的，其投标按照无效投标处理。</w:t>
      </w:r>
    </w:p>
    <w:p>
      <w:pPr>
        <w:tabs>
          <w:tab w:val="left" w:pos="4283"/>
        </w:tabs>
        <w:adjustRightInd w:val="0"/>
        <w:snapToGrid w:val="0"/>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1、交货期限：合同签订</w:t>
      </w:r>
      <w:r>
        <w:rPr>
          <w:rFonts w:hint="eastAsia" w:asciiTheme="minorEastAsia" w:hAnsiTheme="minorEastAsia" w:cstheme="minorEastAsia"/>
          <w:color w:val="000000" w:themeColor="text1"/>
          <w:kern w:val="0"/>
          <w:sz w:val="24"/>
          <w:szCs w:val="24"/>
        </w:rPr>
        <w:t>30</w:t>
      </w:r>
      <w:r>
        <w:rPr>
          <w:rFonts w:hint="eastAsia" w:asciiTheme="minorEastAsia" w:hAnsiTheme="minorEastAsia" w:cstheme="minorEastAsia"/>
          <w:kern w:val="0"/>
          <w:sz w:val="24"/>
          <w:szCs w:val="24"/>
        </w:rPr>
        <w:t>个日历日内完工。</w:t>
      </w:r>
    </w:p>
    <w:p>
      <w:pPr>
        <w:tabs>
          <w:tab w:val="left" w:pos="4283"/>
        </w:tabs>
        <w:adjustRightInd w:val="0"/>
        <w:snapToGrid w:val="0"/>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2、交货地点：阳新县第一中学。</w:t>
      </w:r>
    </w:p>
    <w:p>
      <w:pPr>
        <w:tabs>
          <w:tab w:val="left" w:pos="4283"/>
        </w:tabs>
        <w:adjustRightInd w:val="0"/>
        <w:snapToGrid w:val="0"/>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3、质保期：一年。</w:t>
      </w:r>
    </w:p>
    <w:p>
      <w:pPr>
        <w:tabs>
          <w:tab w:val="left" w:pos="4283"/>
        </w:tabs>
        <w:adjustRightInd w:val="0"/>
        <w:snapToGrid w:val="0"/>
        <w:spacing w:line="360" w:lineRule="auto"/>
        <w:ind w:firstLine="477" w:firstLineChars="199"/>
      </w:pPr>
      <w:r>
        <w:rPr>
          <w:rFonts w:hint="eastAsia" w:asciiTheme="minorEastAsia" w:hAnsiTheme="minorEastAsia" w:cstheme="minorEastAsia"/>
          <w:kern w:val="0"/>
          <w:sz w:val="24"/>
          <w:szCs w:val="24"/>
        </w:rPr>
        <w:t>4、付款方式：合同签订以后甲方须支付合同金额的50%，项目完工验收合格后付全款的45%，余款5%作为质保金一年后付清。</w:t>
      </w:r>
    </w:p>
    <w:p>
      <w:pPr>
        <w:pStyle w:val="38"/>
        <w:ind w:firstLine="0" w:firstLineChars="0"/>
        <w:rPr>
          <w:rFonts w:ascii="宋体"/>
          <w:b/>
          <w:szCs w:val="21"/>
          <w:shd w:val="clear" w:color="auto" w:fill="FFFFFF"/>
        </w:rPr>
      </w:pPr>
      <w:r>
        <w:rPr>
          <w:rFonts w:hint="eastAsia" w:ascii="宋体" w:hAnsi="宋体"/>
          <w:b/>
          <w:szCs w:val="21"/>
          <w:shd w:val="clear" w:color="auto" w:fill="FFFFFF"/>
        </w:rPr>
        <w:t>注：带“★”的技术参数、要求必须满足，任何一条不满足的做废标处理。</w:t>
      </w:r>
    </w:p>
    <w:p>
      <w:pPr>
        <w:spacing w:line="360" w:lineRule="auto"/>
        <w:rPr>
          <w:rFonts w:ascii="宋体" w:cs="宋体"/>
          <w:color w:val="000000"/>
          <w:sz w:val="24"/>
          <w:szCs w:val="24"/>
        </w:rPr>
      </w:pPr>
    </w:p>
    <w:p>
      <w:pPr>
        <w:spacing w:line="360" w:lineRule="auto"/>
        <w:rPr>
          <w:rFonts w:ascii="宋体" w:cs="宋体"/>
          <w:b/>
          <w:color w:val="000000"/>
          <w:sz w:val="24"/>
          <w:szCs w:val="24"/>
        </w:rPr>
      </w:pPr>
      <w:r>
        <w:rPr>
          <w:rFonts w:hint="eastAsia" w:ascii="宋体" w:hAnsi="宋体" w:cs="宋体"/>
          <w:b/>
          <w:color w:val="000000"/>
          <w:sz w:val="24"/>
          <w:szCs w:val="24"/>
        </w:rPr>
        <w:t>说明：</w:t>
      </w:r>
      <w:r>
        <w:rPr>
          <w:rFonts w:hint="eastAsia" w:ascii="宋体" w:hAnsi="宋体" w:cs="仿宋_GB2312"/>
          <w:b/>
          <w:sz w:val="24"/>
          <w:szCs w:val="24"/>
        </w:rPr>
        <w:t>投标人在投标文件《商务要求响应、偏离说明表》中应对以下逐条商务要求进行响应描述或偏离说明。</w:t>
      </w:r>
      <w:r>
        <w:rPr>
          <w:rFonts w:hint="eastAsia" w:ascii="宋体" w:hAnsi="宋体" w:cs="宋体"/>
          <w:b/>
          <w:color w:val="000000"/>
          <w:sz w:val="24"/>
          <w:szCs w:val="24"/>
        </w:rPr>
        <w:t>不满足以上要求的，其投标按照无效投标处理。</w:t>
      </w:r>
    </w:p>
    <w:p/>
    <w:p>
      <w:pPr>
        <w:tabs>
          <w:tab w:val="left" w:pos="4283"/>
        </w:tabs>
        <w:adjustRightInd w:val="0"/>
        <w:snapToGrid w:val="0"/>
        <w:spacing w:line="360" w:lineRule="auto"/>
        <w:ind w:firstLine="480" w:firstLineChars="200"/>
        <w:rPr>
          <w:rFonts w:asciiTheme="minorEastAsia" w:hAnsiTheme="minorEastAsia" w:cstheme="minorEastAsia"/>
          <w:kern w:val="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rPr>
          <w:rFonts w:ascii="宋体" w:hAnsi="宋体" w:cs="宋体"/>
          <w:b/>
          <w:color w:val="000000"/>
          <w:sz w:val="24"/>
          <w:szCs w:val="24"/>
        </w:rPr>
      </w:pPr>
    </w:p>
    <w:p>
      <w:pPr>
        <w:pStyle w:val="28"/>
        <w:ind w:firstLine="0"/>
        <w:rPr>
          <w:rFonts w:ascii="宋体" w:hAnsi="宋体" w:cs="宋体"/>
          <w:b/>
          <w:color w:val="000000"/>
          <w:sz w:val="24"/>
          <w:szCs w:val="24"/>
        </w:rPr>
      </w:pPr>
    </w:p>
    <w:p>
      <w:pPr>
        <w:pStyle w:val="28"/>
        <w:ind w:firstLine="0"/>
        <w:rPr>
          <w:rFonts w:ascii="宋体" w:hAnsi="宋体" w:cs="宋体"/>
          <w:b/>
          <w:color w:val="000000"/>
          <w:sz w:val="24"/>
          <w:szCs w:val="24"/>
        </w:rPr>
      </w:pPr>
    </w:p>
    <w:p>
      <w:pPr>
        <w:pStyle w:val="2"/>
        <w:numPr>
          <w:ilvl w:val="0"/>
          <w:numId w:val="1"/>
        </w:numPr>
        <w:jc w:val="center"/>
        <w:rPr>
          <w:rFonts w:ascii="黑体" w:hAnsi="黑体" w:eastAsia="黑体"/>
          <w:color w:val="000000" w:themeColor="text1"/>
        </w:rPr>
      </w:pPr>
      <w:r>
        <w:rPr>
          <w:rFonts w:hint="eastAsia" w:ascii="黑体" w:hAnsi="黑体" w:eastAsia="黑体"/>
          <w:color w:val="000000" w:themeColor="text1"/>
        </w:rPr>
        <w:t>资格审查方法及标准</w:t>
      </w:r>
      <w:bookmarkEnd w:id="50"/>
    </w:p>
    <w:p>
      <w:pPr>
        <w:spacing w:line="360" w:lineRule="auto"/>
        <w:ind w:firstLine="420"/>
        <w:rPr>
          <w:rFonts w:ascii="宋体"/>
          <w:bCs/>
          <w:color w:val="000000" w:themeColor="text1"/>
          <w:sz w:val="24"/>
          <w:szCs w:val="20"/>
          <w:lang w:val="zh-CN"/>
        </w:rPr>
      </w:pPr>
      <w:r>
        <w:rPr>
          <w:rFonts w:hint="eastAsia" w:ascii="宋体" w:hAnsi="宋体"/>
          <w:bCs/>
          <w:color w:val="000000" w:themeColor="text1"/>
          <w:sz w:val="24"/>
          <w:szCs w:val="20"/>
          <w:lang w:val="zh-CN"/>
        </w:rPr>
        <w:t>根据《政府采购法》、《政府采购法实施条例》、《政府采购货物和服务招标投标管理办法》等相关法律法规确定以下资格审查方法及标准。</w:t>
      </w:r>
    </w:p>
    <w:p>
      <w:pPr>
        <w:pStyle w:val="3"/>
        <w:numPr>
          <w:ilvl w:val="0"/>
          <w:numId w:val="38"/>
        </w:numPr>
        <w:spacing w:before="0" w:after="0" w:line="360" w:lineRule="auto"/>
        <w:ind w:left="616" w:hanging="616"/>
        <w:jc w:val="left"/>
        <w:rPr>
          <w:rFonts w:ascii="宋体"/>
          <w:bCs w:val="0"/>
          <w:color w:val="000000" w:themeColor="text1"/>
          <w:sz w:val="30"/>
          <w:szCs w:val="30"/>
          <w:lang w:val="zh-CN"/>
        </w:rPr>
      </w:pPr>
      <w:bookmarkStart w:id="55" w:name="_Toc494561958"/>
      <w:bookmarkStart w:id="56" w:name="_Toc18420"/>
      <w:r>
        <w:rPr>
          <w:rFonts w:hint="eastAsia" w:ascii="宋体" w:hAnsi="宋体"/>
          <w:bCs w:val="0"/>
          <w:color w:val="000000" w:themeColor="text1"/>
          <w:sz w:val="30"/>
          <w:szCs w:val="30"/>
          <w:lang w:val="zh-CN"/>
        </w:rPr>
        <w:t>资格审查方法</w:t>
      </w:r>
      <w:bookmarkEnd w:id="55"/>
      <w:bookmarkEnd w:id="56"/>
    </w:p>
    <w:p>
      <w:pPr>
        <w:spacing w:line="360" w:lineRule="auto"/>
        <w:ind w:firstLine="420"/>
        <w:rPr>
          <w:rFonts w:ascii="宋体"/>
          <w:bCs/>
          <w:color w:val="000000" w:themeColor="text1"/>
          <w:sz w:val="24"/>
          <w:szCs w:val="20"/>
          <w:lang w:val="zh-CN"/>
        </w:rPr>
      </w:pPr>
      <w:r>
        <w:rPr>
          <w:rFonts w:hint="eastAsia" w:ascii="宋体" w:hAnsi="宋体"/>
          <w:bCs/>
          <w:color w:val="000000" w:themeColor="text1"/>
          <w:sz w:val="24"/>
          <w:szCs w:val="20"/>
          <w:lang w:val="zh-CN"/>
        </w:rPr>
        <w:t>公开招标采购项目开标结束后，采购人成立资格审查小组，依据法律、法规及招标文件的规定，对投标人的资格进行审查，以确定投标人资格是否合格。</w:t>
      </w:r>
    </w:p>
    <w:p>
      <w:pPr>
        <w:pStyle w:val="3"/>
        <w:numPr>
          <w:ilvl w:val="0"/>
          <w:numId w:val="38"/>
        </w:numPr>
        <w:spacing w:before="0" w:after="0" w:line="360" w:lineRule="auto"/>
        <w:ind w:left="616" w:hanging="616"/>
        <w:jc w:val="left"/>
        <w:rPr>
          <w:rFonts w:ascii="宋体"/>
          <w:bCs w:val="0"/>
          <w:color w:val="000000" w:themeColor="text1"/>
          <w:sz w:val="30"/>
          <w:szCs w:val="30"/>
          <w:lang w:val="zh-CN"/>
        </w:rPr>
      </w:pPr>
      <w:bookmarkStart w:id="57" w:name="_Toc494561959"/>
      <w:bookmarkStart w:id="58" w:name="_Toc9791"/>
      <w:r>
        <w:rPr>
          <w:rFonts w:hint="eastAsia" w:ascii="宋体" w:hAnsi="宋体"/>
          <w:bCs w:val="0"/>
          <w:color w:val="000000" w:themeColor="text1"/>
          <w:sz w:val="30"/>
          <w:szCs w:val="30"/>
          <w:lang w:val="zh-CN"/>
        </w:rPr>
        <w:t>资格审查标准</w:t>
      </w:r>
      <w:bookmarkEnd w:id="57"/>
      <w:bookmarkEnd w:id="58"/>
    </w:p>
    <w:p>
      <w:pPr>
        <w:numPr>
          <w:ilvl w:val="0"/>
          <w:numId w:val="39"/>
        </w:numPr>
        <w:tabs>
          <w:tab w:val="left" w:pos="616"/>
        </w:tabs>
        <w:spacing w:line="360" w:lineRule="auto"/>
        <w:ind w:left="14" w:firstLine="238"/>
        <w:rPr>
          <w:rFonts w:ascii="宋体"/>
          <w:b/>
          <w:color w:val="000000" w:themeColor="text1"/>
          <w:sz w:val="24"/>
          <w:szCs w:val="24"/>
          <w:lang w:val="zh-CN"/>
        </w:rPr>
      </w:pPr>
      <w:r>
        <w:rPr>
          <w:rFonts w:hint="eastAsia" w:ascii="宋体" w:hAnsi="宋体"/>
          <w:b/>
          <w:color w:val="000000" w:themeColor="text1"/>
          <w:sz w:val="24"/>
          <w:szCs w:val="24"/>
          <w:lang w:val="zh-CN"/>
        </w:rPr>
        <w:t>资格证明文件审查</w:t>
      </w:r>
    </w:p>
    <w:p>
      <w:pPr>
        <w:tabs>
          <w:tab w:val="left" w:pos="616"/>
        </w:tabs>
        <w:spacing w:line="360" w:lineRule="auto"/>
        <w:ind w:firstLine="420"/>
        <w:rPr>
          <w:rFonts w:ascii="Helvetica" w:hAnsi="Helvetica" w:cs="Helvetica"/>
          <w:b/>
          <w:color w:val="000000" w:themeColor="text1"/>
          <w:kern w:val="0"/>
          <w:sz w:val="24"/>
          <w:szCs w:val="24"/>
          <w:lang w:val="zh-CN"/>
        </w:rPr>
      </w:pPr>
      <w:r>
        <w:rPr>
          <w:rFonts w:hint="eastAsia" w:ascii="Helvetica" w:hAnsi="Helvetica" w:cs="Helvetica"/>
          <w:color w:val="000000" w:themeColor="text1"/>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themeColor="text1"/>
          <w:kern w:val="0"/>
          <w:sz w:val="24"/>
          <w:szCs w:val="24"/>
          <w:lang w:val="zh-CN"/>
        </w:rPr>
        <w:t>无效投标处理：</w:t>
      </w:r>
    </w:p>
    <w:p>
      <w:pPr>
        <w:pStyle w:val="38"/>
        <w:numPr>
          <w:ilvl w:val="0"/>
          <w:numId w:val="40"/>
        </w:numPr>
        <w:tabs>
          <w:tab w:val="left" w:pos="840"/>
        </w:tabs>
        <w:spacing w:line="360" w:lineRule="auto"/>
        <w:ind w:hanging="602" w:firstLineChars="0"/>
        <w:rPr>
          <w:rFonts w:ascii="宋体"/>
          <w:color w:val="000000" w:themeColor="text1"/>
          <w:sz w:val="24"/>
          <w:szCs w:val="24"/>
          <w:lang w:val="zh-CN"/>
        </w:rPr>
      </w:pPr>
      <w:r>
        <w:rPr>
          <w:rFonts w:hint="eastAsia" w:ascii="宋体" w:hAnsi="宋体"/>
          <w:color w:val="000000" w:themeColor="text1"/>
          <w:sz w:val="24"/>
          <w:szCs w:val="24"/>
          <w:lang w:val="zh-CN"/>
        </w:rPr>
        <w:t>应具备《政府采购法》第二十二条第一款规定的条件，</w:t>
      </w:r>
      <w:r>
        <w:rPr>
          <w:rFonts w:hint="eastAsia" w:hAnsi="宋体"/>
          <w:color w:val="000000" w:themeColor="text1"/>
          <w:sz w:val="24"/>
          <w:szCs w:val="24"/>
        </w:rPr>
        <w:t>提供下列材料</w:t>
      </w:r>
      <w:r>
        <w:rPr>
          <w:rFonts w:hint="eastAsia" w:ascii="宋体" w:hAnsi="宋体"/>
          <w:color w:val="000000" w:themeColor="text1"/>
          <w:sz w:val="24"/>
          <w:szCs w:val="24"/>
          <w:lang w:val="zh-CN"/>
        </w:rPr>
        <w:t>：</w:t>
      </w:r>
    </w:p>
    <w:p>
      <w:pPr>
        <w:pStyle w:val="38"/>
        <w:numPr>
          <w:ilvl w:val="0"/>
          <w:numId w:val="41"/>
        </w:numPr>
        <w:tabs>
          <w:tab w:val="left" w:pos="1036"/>
        </w:tabs>
        <w:spacing w:line="360" w:lineRule="auto"/>
        <w:ind w:left="1036" w:hanging="616" w:firstLineChars="0"/>
        <w:rPr>
          <w:rFonts w:ascii="宋体"/>
          <w:color w:val="000000" w:themeColor="text1"/>
          <w:sz w:val="24"/>
          <w:szCs w:val="24"/>
          <w:lang w:val="zh-CN"/>
        </w:rPr>
      </w:pPr>
      <w:r>
        <w:rPr>
          <w:rFonts w:hint="eastAsia" w:ascii="宋体" w:hAnsi="宋体"/>
          <w:color w:val="000000" w:themeColor="text1"/>
          <w:sz w:val="24"/>
          <w:szCs w:val="24"/>
          <w:lang w:val="zh-CN"/>
        </w:rPr>
        <w:t>法人或者其他组织的营业执照等证明文件，自然人的身份证明；</w:t>
      </w:r>
    </w:p>
    <w:p>
      <w:pPr>
        <w:pStyle w:val="38"/>
        <w:numPr>
          <w:ilvl w:val="0"/>
          <w:numId w:val="41"/>
        </w:numPr>
        <w:tabs>
          <w:tab w:val="left" w:pos="1036"/>
        </w:tabs>
        <w:spacing w:line="360" w:lineRule="auto"/>
        <w:ind w:left="1036" w:hanging="616" w:firstLineChars="0"/>
        <w:rPr>
          <w:rFonts w:ascii="宋体"/>
          <w:color w:val="000000" w:themeColor="text1"/>
          <w:sz w:val="24"/>
          <w:szCs w:val="24"/>
          <w:lang w:val="zh-CN"/>
        </w:rPr>
      </w:pPr>
      <w:r>
        <w:rPr>
          <w:rFonts w:hint="eastAsia" w:ascii="宋体" w:hAnsi="宋体"/>
          <w:color w:val="000000" w:themeColor="text1"/>
          <w:sz w:val="24"/>
          <w:szCs w:val="24"/>
          <w:lang w:val="zh-CN"/>
        </w:rPr>
        <w:t>财务状况报告，依法缴纳税收和社会保障资金的相关材料；</w:t>
      </w:r>
    </w:p>
    <w:p>
      <w:pPr>
        <w:pStyle w:val="38"/>
        <w:numPr>
          <w:ilvl w:val="0"/>
          <w:numId w:val="41"/>
        </w:numPr>
        <w:tabs>
          <w:tab w:val="left" w:pos="1036"/>
        </w:tabs>
        <w:spacing w:line="360" w:lineRule="auto"/>
        <w:ind w:left="1036" w:hanging="616" w:firstLineChars="0"/>
        <w:rPr>
          <w:rFonts w:ascii="宋体"/>
          <w:color w:val="000000" w:themeColor="text1"/>
          <w:sz w:val="24"/>
          <w:szCs w:val="24"/>
          <w:lang w:val="zh-CN"/>
        </w:rPr>
      </w:pPr>
      <w:r>
        <w:rPr>
          <w:rFonts w:hint="eastAsia" w:ascii="宋体" w:hAnsi="宋体"/>
          <w:color w:val="000000" w:themeColor="text1"/>
          <w:sz w:val="24"/>
          <w:szCs w:val="24"/>
          <w:lang w:val="zh-CN"/>
        </w:rPr>
        <w:t>具备履行合同所必需的设备和专业技术能力的证明材料；</w:t>
      </w:r>
    </w:p>
    <w:p>
      <w:pPr>
        <w:pStyle w:val="38"/>
        <w:numPr>
          <w:ilvl w:val="0"/>
          <w:numId w:val="41"/>
        </w:numPr>
        <w:tabs>
          <w:tab w:val="left" w:pos="1036"/>
        </w:tabs>
        <w:spacing w:line="360" w:lineRule="auto"/>
        <w:ind w:left="1036" w:hanging="616" w:firstLineChars="0"/>
        <w:rPr>
          <w:rFonts w:ascii="宋体"/>
          <w:color w:val="000000" w:themeColor="text1"/>
          <w:sz w:val="24"/>
          <w:szCs w:val="24"/>
          <w:lang w:val="zh-CN"/>
        </w:rPr>
      </w:pPr>
      <w:r>
        <w:rPr>
          <w:rFonts w:hint="eastAsia" w:ascii="宋体" w:hAnsi="宋体"/>
          <w:color w:val="000000" w:themeColor="text1"/>
          <w:sz w:val="24"/>
          <w:szCs w:val="24"/>
          <w:lang w:val="zh-CN"/>
        </w:rPr>
        <w:t>参加政府采购活动前</w:t>
      </w:r>
      <w:r>
        <w:rPr>
          <w:rFonts w:ascii="宋体" w:hAnsi="宋体"/>
          <w:color w:val="000000" w:themeColor="text1"/>
          <w:sz w:val="24"/>
          <w:szCs w:val="24"/>
          <w:lang w:val="zh-CN"/>
        </w:rPr>
        <w:t>3</w:t>
      </w:r>
      <w:r>
        <w:rPr>
          <w:rFonts w:hint="eastAsia" w:ascii="宋体" w:hAnsi="宋体"/>
          <w:color w:val="000000" w:themeColor="text1"/>
          <w:sz w:val="24"/>
          <w:szCs w:val="24"/>
          <w:lang w:val="zh-CN"/>
        </w:rPr>
        <w:t>年内在经营活动中没有重大违法记录的书面声明；</w:t>
      </w:r>
    </w:p>
    <w:p>
      <w:pPr>
        <w:pStyle w:val="38"/>
        <w:numPr>
          <w:ilvl w:val="0"/>
          <w:numId w:val="41"/>
        </w:numPr>
        <w:tabs>
          <w:tab w:val="left" w:pos="1036"/>
        </w:tabs>
        <w:spacing w:line="360" w:lineRule="auto"/>
        <w:ind w:left="1036" w:hanging="616" w:firstLineChars="0"/>
        <w:rPr>
          <w:rFonts w:ascii="宋体"/>
          <w:color w:val="000000" w:themeColor="text1"/>
          <w:sz w:val="24"/>
          <w:szCs w:val="24"/>
          <w:lang w:val="zh-CN"/>
        </w:rPr>
      </w:pPr>
      <w:r>
        <w:rPr>
          <w:rFonts w:hint="eastAsia" w:ascii="宋体" w:hAnsi="宋体"/>
          <w:color w:val="000000" w:themeColor="text1"/>
          <w:sz w:val="24"/>
          <w:szCs w:val="24"/>
          <w:lang w:val="zh-CN"/>
        </w:rPr>
        <w:t>具备法律、行政法规规定的其他条件的证明材料。</w:t>
      </w:r>
    </w:p>
    <w:p>
      <w:pPr>
        <w:pStyle w:val="38"/>
        <w:numPr>
          <w:ilvl w:val="0"/>
          <w:numId w:val="40"/>
        </w:numPr>
        <w:tabs>
          <w:tab w:val="left" w:pos="840"/>
        </w:tabs>
        <w:spacing w:line="360" w:lineRule="auto"/>
        <w:ind w:hanging="602" w:firstLineChars="0"/>
        <w:rPr>
          <w:rFonts w:ascii="宋体"/>
          <w:color w:val="000000" w:themeColor="text1"/>
          <w:sz w:val="24"/>
          <w:szCs w:val="24"/>
          <w:lang w:val="zh-CN"/>
        </w:rPr>
      </w:pPr>
      <w:r>
        <w:rPr>
          <w:rFonts w:hint="eastAsia" w:ascii="宋体" w:hAnsi="宋体"/>
          <w:color w:val="000000" w:themeColor="text1"/>
          <w:sz w:val="24"/>
          <w:szCs w:val="24"/>
          <w:lang w:val="zh-CN"/>
        </w:rPr>
        <w:t>未被“信用中国”网站</w:t>
      </w:r>
      <w:r>
        <w:rPr>
          <w:rFonts w:ascii="宋体" w:hAnsi="宋体"/>
          <w:color w:val="000000" w:themeColor="text1"/>
          <w:sz w:val="24"/>
          <w:szCs w:val="24"/>
          <w:lang w:val="zh-CN"/>
        </w:rPr>
        <w:t>(www.creditchina.gov.cn)</w:t>
      </w:r>
      <w:r>
        <w:rPr>
          <w:rFonts w:hint="eastAsia" w:ascii="宋体" w:hAnsi="宋体"/>
          <w:color w:val="000000" w:themeColor="text1"/>
          <w:sz w:val="24"/>
          <w:szCs w:val="24"/>
          <w:lang w:val="zh-CN"/>
        </w:rPr>
        <w:t>列入失信被执行人、重大税收违法案件当事人名单、政府采购严重违法失信行为记录名单的书面申明及该网站查询结果页面截图；</w:t>
      </w:r>
    </w:p>
    <w:p>
      <w:pPr>
        <w:pStyle w:val="38"/>
        <w:numPr>
          <w:ilvl w:val="0"/>
          <w:numId w:val="40"/>
        </w:numPr>
        <w:tabs>
          <w:tab w:val="left" w:pos="840"/>
        </w:tabs>
        <w:spacing w:line="360" w:lineRule="auto"/>
        <w:ind w:hanging="602" w:firstLineChars="0"/>
        <w:rPr>
          <w:rFonts w:ascii="宋体"/>
          <w:color w:val="000000" w:themeColor="text1"/>
          <w:sz w:val="24"/>
          <w:szCs w:val="24"/>
          <w:lang w:val="zh-CN"/>
        </w:rPr>
      </w:pPr>
      <w:r>
        <w:rPr>
          <w:rFonts w:hint="eastAsia" w:ascii="宋体" w:hAnsi="宋体"/>
          <w:color w:val="000000" w:themeColor="text1"/>
          <w:sz w:val="24"/>
          <w:szCs w:val="24"/>
          <w:lang w:val="zh-CN"/>
        </w:rPr>
        <w:t>招标文件第一章“投标人资格要求”中有特殊要求的，投标人应提供其符合特殊要求的证明材料或者情况说明；</w:t>
      </w:r>
    </w:p>
    <w:p>
      <w:pPr>
        <w:pStyle w:val="38"/>
        <w:numPr>
          <w:ilvl w:val="0"/>
          <w:numId w:val="40"/>
        </w:numPr>
        <w:tabs>
          <w:tab w:val="left" w:pos="840"/>
        </w:tabs>
        <w:spacing w:line="360" w:lineRule="auto"/>
        <w:ind w:hanging="602" w:firstLineChars="0"/>
        <w:rPr>
          <w:rFonts w:ascii="宋体"/>
          <w:color w:val="000000" w:themeColor="text1"/>
          <w:sz w:val="24"/>
          <w:szCs w:val="24"/>
          <w:lang w:val="zh-CN"/>
        </w:rPr>
      </w:pPr>
      <w:r>
        <w:rPr>
          <w:rFonts w:hint="eastAsia" w:ascii="宋体" w:hAnsi="宋体"/>
          <w:color w:val="000000" w:themeColor="text1"/>
          <w:sz w:val="24"/>
          <w:szCs w:val="24"/>
          <w:lang w:val="zh-CN"/>
        </w:rPr>
        <w:t>不符合联合体投标相关规定和要求的；</w:t>
      </w:r>
    </w:p>
    <w:p>
      <w:pPr>
        <w:pStyle w:val="38"/>
        <w:numPr>
          <w:ilvl w:val="0"/>
          <w:numId w:val="40"/>
        </w:numPr>
        <w:tabs>
          <w:tab w:val="left" w:pos="840"/>
        </w:tabs>
        <w:spacing w:line="360" w:lineRule="auto"/>
        <w:ind w:hanging="602" w:firstLineChars="0"/>
        <w:rPr>
          <w:rFonts w:ascii="宋体"/>
          <w:color w:val="000000" w:themeColor="text1"/>
          <w:sz w:val="24"/>
          <w:szCs w:val="24"/>
          <w:lang w:val="zh-CN"/>
        </w:rPr>
      </w:pPr>
      <w:r>
        <w:rPr>
          <w:rFonts w:hint="eastAsia" w:ascii="宋体" w:hAnsi="宋体"/>
          <w:color w:val="000000" w:themeColor="text1"/>
          <w:sz w:val="24"/>
          <w:szCs w:val="24"/>
          <w:lang w:val="zh-CN"/>
        </w:rPr>
        <w:t>投标人认为需提供的其它相关资格证明材料；</w:t>
      </w:r>
    </w:p>
    <w:p>
      <w:pPr>
        <w:pStyle w:val="38"/>
        <w:numPr>
          <w:ilvl w:val="0"/>
          <w:numId w:val="40"/>
        </w:numPr>
        <w:tabs>
          <w:tab w:val="left" w:pos="840"/>
        </w:tabs>
        <w:spacing w:line="360" w:lineRule="auto"/>
        <w:ind w:hanging="602" w:firstLineChars="0"/>
        <w:rPr>
          <w:rFonts w:ascii="宋体"/>
          <w:color w:val="000000" w:themeColor="text1"/>
          <w:sz w:val="24"/>
          <w:szCs w:val="24"/>
          <w:lang w:val="zh-CN"/>
        </w:rPr>
      </w:pPr>
      <w:r>
        <w:rPr>
          <w:rFonts w:hint="eastAsia" w:ascii="宋体" w:hAnsi="宋体"/>
          <w:color w:val="000000" w:themeColor="text1"/>
          <w:sz w:val="24"/>
          <w:szCs w:val="24"/>
          <w:lang w:val="zh-CN"/>
        </w:rPr>
        <w:t>资格证明文件正本应为清晰彩色影印件且加盖单位公章。</w:t>
      </w:r>
    </w:p>
    <w:p>
      <w:pPr>
        <w:numPr>
          <w:ilvl w:val="0"/>
          <w:numId w:val="39"/>
        </w:numPr>
        <w:tabs>
          <w:tab w:val="left" w:pos="616"/>
        </w:tabs>
        <w:spacing w:line="360" w:lineRule="auto"/>
        <w:ind w:left="14" w:firstLine="238"/>
        <w:rPr>
          <w:rFonts w:ascii="宋体"/>
          <w:b/>
          <w:color w:val="000000" w:themeColor="text1"/>
          <w:sz w:val="24"/>
          <w:szCs w:val="24"/>
          <w:lang w:val="zh-CN"/>
        </w:rPr>
      </w:pPr>
      <w:r>
        <w:rPr>
          <w:rFonts w:hint="eastAsia" w:ascii="宋体" w:hAnsi="宋体"/>
          <w:b/>
          <w:color w:val="000000" w:themeColor="text1"/>
          <w:sz w:val="24"/>
          <w:szCs w:val="24"/>
          <w:lang w:val="zh-CN"/>
        </w:rPr>
        <w:t>确定资格审查合格投标人</w:t>
      </w:r>
    </w:p>
    <w:p>
      <w:pPr>
        <w:pStyle w:val="38"/>
        <w:numPr>
          <w:ilvl w:val="0"/>
          <w:numId w:val="42"/>
        </w:numPr>
        <w:tabs>
          <w:tab w:val="left" w:pos="840"/>
        </w:tabs>
        <w:spacing w:line="360" w:lineRule="auto"/>
        <w:ind w:hanging="602" w:firstLineChars="0"/>
        <w:rPr>
          <w:rFonts w:ascii="宋体"/>
          <w:color w:val="000000" w:themeColor="text1"/>
          <w:sz w:val="24"/>
          <w:szCs w:val="24"/>
          <w:lang w:val="zh-CN"/>
        </w:rPr>
      </w:pPr>
      <w:r>
        <w:rPr>
          <w:rFonts w:hint="eastAsia" w:ascii="宋体" w:hAnsi="宋体"/>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b/>
          <w:color w:val="000000" w:themeColor="text1"/>
          <w:sz w:val="24"/>
          <w:szCs w:val="24"/>
          <w:lang w:val="zh-CN"/>
        </w:rPr>
        <w:t>形成书面的资格审查报告。</w:t>
      </w:r>
    </w:p>
    <w:p>
      <w:pPr>
        <w:pStyle w:val="38"/>
        <w:numPr>
          <w:ilvl w:val="0"/>
          <w:numId w:val="42"/>
        </w:numPr>
        <w:tabs>
          <w:tab w:val="left" w:pos="840"/>
        </w:tabs>
        <w:spacing w:line="360" w:lineRule="auto"/>
        <w:ind w:hanging="602" w:firstLineChars="0"/>
        <w:rPr>
          <w:rFonts w:ascii="宋体"/>
          <w:color w:val="000000" w:themeColor="text1"/>
          <w:sz w:val="24"/>
          <w:szCs w:val="24"/>
          <w:lang w:val="zh-CN"/>
        </w:rPr>
      </w:pPr>
      <w:r>
        <w:rPr>
          <w:rFonts w:hint="eastAsia" w:ascii="宋体" w:hAnsi="宋体"/>
          <w:color w:val="000000" w:themeColor="text1"/>
          <w:sz w:val="24"/>
          <w:szCs w:val="24"/>
          <w:lang w:val="zh-CN"/>
        </w:rPr>
        <w:t>资格审查合格投标人不足</w:t>
      </w:r>
      <w:r>
        <w:rPr>
          <w:rFonts w:ascii="宋体" w:hAnsi="宋体"/>
          <w:color w:val="000000" w:themeColor="text1"/>
          <w:sz w:val="24"/>
          <w:szCs w:val="24"/>
          <w:lang w:val="zh-CN"/>
        </w:rPr>
        <w:t>3</w:t>
      </w:r>
      <w:r>
        <w:rPr>
          <w:rFonts w:hint="eastAsia" w:ascii="宋体" w:hAnsi="宋体"/>
          <w:color w:val="000000" w:themeColor="text1"/>
          <w:sz w:val="24"/>
          <w:szCs w:val="24"/>
          <w:lang w:val="zh-CN"/>
        </w:rPr>
        <w:t>家的，不进行评标。</w:t>
      </w:r>
    </w:p>
    <w:p>
      <w:pPr>
        <w:pStyle w:val="38"/>
        <w:numPr>
          <w:ilvl w:val="0"/>
          <w:numId w:val="42"/>
        </w:numPr>
        <w:tabs>
          <w:tab w:val="left" w:pos="840"/>
        </w:tabs>
        <w:spacing w:line="360" w:lineRule="auto"/>
        <w:ind w:hanging="602" w:firstLineChars="0"/>
        <w:rPr>
          <w:rFonts w:ascii="宋体"/>
          <w:color w:val="000000" w:themeColor="text1"/>
          <w:sz w:val="24"/>
          <w:szCs w:val="24"/>
          <w:lang w:val="zh-CN"/>
        </w:rPr>
      </w:pPr>
      <w:r>
        <w:rPr>
          <w:rFonts w:hint="eastAsia" w:ascii="宋体" w:hAnsi="宋体"/>
          <w:color w:val="000000" w:themeColor="text1"/>
          <w:sz w:val="24"/>
          <w:szCs w:val="24"/>
          <w:lang w:val="zh-CN"/>
        </w:rPr>
        <w:t>资格审查未通过的投标人可在结果公告质疑有效期内按公告中的联系方式获知本单位的资格审查情况。</w:t>
      </w:r>
    </w:p>
    <w:p>
      <w:pPr>
        <w:pStyle w:val="38"/>
        <w:numPr>
          <w:ilvl w:val="0"/>
          <w:numId w:val="42"/>
        </w:numPr>
        <w:tabs>
          <w:tab w:val="left" w:pos="840"/>
        </w:tabs>
        <w:spacing w:line="360" w:lineRule="auto"/>
        <w:ind w:hanging="602" w:firstLineChars="0"/>
        <w:rPr>
          <w:rFonts w:ascii="宋体"/>
          <w:color w:val="000000" w:themeColor="text1"/>
          <w:sz w:val="24"/>
          <w:szCs w:val="24"/>
          <w:lang w:val="zh-CN"/>
        </w:rPr>
      </w:pPr>
      <w:r>
        <w:rPr>
          <w:rFonts w:hint="eastAsia" w:ascii="宋体" w:hAnsi="宋体"/>
          <w:color w:val="000000" w:themeColor="text1"/>
          <w:sz w:val="24"/>
          <w:szCs w:val="24"/>
          <w:lang w:val="zh-CN"/>
        </w:rPr>
        <w:t>采购人已进行资格预审的，不再进行资格审查。未通过资格预审的投标人，采购人、采购代理机构</w:t>
      </w:r>
      <w:r>
        <w:rPr>
          <w:rFonts w:hint="eastAsia" w:ascii="宋体" w:hAnsi="宋体"/>
          <w:b/>
          <w:color w:val="000000" w:themeColor="text1"/>
          <w:sz w:val="24"/>
          <w:szCs w:val="24"/>
          <w:lang w:val="zh-CN"/>
        </w:rPr>
        <w:t>拒绝</w:t>
      </w:r>
      <w:r>
        <w:rPr>
          <w:rFonts w:hint="eastAsia" w:ascii="宋体" w:hAnsi="宋体"/>
          <w:color w:val="000000" w:themeColor="text1"/>
          <w:sz w:val="24"/>
          <w:szCs w:val="24"/>
          <w:lang w:val="zh-CN"/>
        </w:rPr>
        <w:t>其投标。</w:t>
      </w:r>
    </w:p>
    <w:p>
      <w:pPr>
        <w:rPr>
          <w:color w:val="000000" w:themeColor="text1"/>
        </w:rPr>
      </w:pPr>
      <w:r>
        <w:rPr>
          <w:color w:val="000000" w:themeColor="text1"/>
        </w:rPr>
        <w:br w:type="page"/>
      </w:r>
    </w:p>
    <w:p>
      <w:pPr>
        <w:pStyle w:val="2"/>
        <w:numPr>
          <w:ilvl w:val="0"/>
          <w:numId w:val="1"/>
        </w:numPr>
        <w:jc w:val="center"/>
        <w:rPr>
          <w:rFonts w:ascii="黑体" w:hAnsi="黑体" w:eastAsia="黑体"/>
          <w:color w:val="000000" w:themeColor="text1"/>
        </w:rPr>
      </w:pPr>
      <w:bookmarkStart w:id="59" w:name="_Toc28674"/>
      <w:r>
        <w:rPr>
          <w:rFonts w:hint="eastAsia" w:ascii="黑体" w:hAnsi="黑体" w:eastAsia="黑体"/>
          <w:color w:val="000000" w:themeColor="text1"/>
        </w:rPr>
        <w:t>评标方法、程序及标准</w:t>
      </w:r>
      <w:bookmarkEnd w:id="59"/>
    </w:p>
    <w:p>
      <w:pPr>
        <w:spacing w:line="360" w:lineRule="auto"/>
        <w:ind w:firstLine="480" w:firstLineChars="200"/>
        <w:rPr>
          <w:rFonts w:ascii="宋体"/>
          <w:bCs/>
          <w:color w:val="000000" w:themeColor="text1"/>
          <w:sz w:val="24"/>
          <w:szCs w:val="20"/>
          <w:lang w:val="zh-CN"/>
        </w:rPr>
      </w:pPr>
      <w:r>
        <w:rPr>
          <w:rFonts w:hint="eastAsia" w:ascii="宋体" w:hAnsi="宋体"/>
          <w:bCs/>
          <w:color w:val="000000" w:themeColor="text1"/>
          <w:sz w:val="24"/>
          <w:szCs w:val="20"/>
          <w:lang w:val="zh-CN"/>
        </w:rPr>
        <w:t>根据《政府采购法》、《政府采购法实施条例》、《政府采购货物和服务招标投标管理办法》等相关法律法规确定以下评标办法、程序及标准。</w:t>
      </w:r>
    </w:p>
    <w:p>
      <w:pPr>
        <w:pStyle w:val="3"/>
        <w:numPr>
          <w:ilvl w:val="0"/>
          <w:numId w:val="43"/>
        </w:numPr>
        <w:spacing w:before="0" w:after="0" w:line="360" w:lineRule="auto"/>
        <w:ind w:left="616" w:hanging="616"/>
        <w:jc w:val="left"/>
        <w:rPr>
          <w:rFonts w:ascii="宋体"/>
          <w:bCs w:val="0"/>
          <w:color w:val="000000" w:themeColor="text1"/>
          <w:sz w:val="30"/>
          <w:szCs w:val="30"/>
          <w:lang w:val="zh-CN"/>
        </w:rPr>
      </w:pPr>
      <w:bookmarkStart w:id="60" w:name="_Toc272247708"/>
      <w:bookmarkStart w:id="61" w:name="_Toc278891605"/>
      <w:bookmarkStart w:id="62" w:name="_Toc5823"/>
      <w:bookmarkStart w:id="63" w:name="_Toc494561961"/>
      <w:r>
        <w:rPr>
          <w:rFonts w:hint="eastAsia" w:ascii="宋体" w:hAnsi="宋体"/>
          <w:bCs w:val="0"/>
          <w:color w:val="000000" w:themeColor="text1"/>
          <w:sz w:val="30"/>
          <w:szCs w:val="30"/>
          <w:lang w:val="zh-CN"/>
        </w:rPr>
        <w:t>评标</w:t>
      </w:r>
      <w:bookmarkEnd w:id="60"/>
      <w:bookmarkEnd w:id="61"/>
      <w:r>
        <w:rPr>
          <w:rFonts w:hint="eastAsia" w:ascii="宋体" w:hAnsi="宋体"/>
          <w:bCs w:val="0"/>
          <w:color w:val="000000" w:themeColor="text1"/>
          <w:sz w:val="30"/>
          <w:szCs w:val="30"/>
          <w:lang w:val="zh-CN"/>
        </w:rPr>
        <w:t>方法</w:t>
      </w:r>
      <w:bookmarkEnd w:id="62"/>
      <w:bookmarkEnd w:id="63"/>
    </w:p>
    <w:p>
      <w:pPr>
        <w:spacing w:line="360" w:lineRule="auto"/>
        <w:ind w:firstLine="480" w:firstLineChars="200"/>
        <w:rPr>
          <w:rFonts w:ascii="宋体"/>
          <w:bCs/>
          <w:color w:val="000000" w:themeColor="text1"/>
          <w:sz w:val="24"/>
          <w:szCs w:val="20"/>
          <w:lang w:val="zh-CN"/>
        </w:rPr>
      </w:pPr>
      <w:r>
        <w:rPr>
          <w:rFonts w:hint="eastAsia" w:ascii="宋体" w:hAnsi="宋体"/>
          <w:bCs/>
          <w:color w:val="000000" w:themeColor="text1"/>
          <w:sz w:val="24"/>
          <w:szCs w:val="20"/>
          <w:lang w:val="zh-CN"/>
        </w:rPr>
        <w:t>本项目评标采用综合评分法，是指投标文件满足招标文件全部实质性要求，且按照评审因素的量化指标评审得分最高的投标人为中标候选人的评标方法。</w:t>
      </w:r>
    </w:p>
    <w:p>
      <w:pPr>
        <w:pStyle w:val="3"/>
        <w:numPr>
          <w:ilvl w:val="0"/>
          <w:numId w:val="43"/>
        </w:numPr>
        <w:spacing w:before="0" w:after="0" w:line="360" w:lineRule="auto"/>
        <w:ind w:left="616" w:hanging="616"/>
        <w:jc w:val="left"/>
        <w:rPr>
          <w:rFonts w:ascii="宋体"/>
          <w:bCs w:val="0"/>
          <w:color w:val="000000" w:themeColor="text1"/>
          <w:sz w:val="30"/>
          <w:szCs w:val="30"/>
          <w:lang w:val="zh-CN"/>
        </w:rPr>
      </w:pPr>
      <w:bookmarkStart w:id="64" w:name="_Toc272247709"/>
      <w:bookmarkStart w:id="65" w:name="_Toc278891606"/>
      <w:bookmarkStart w:id="66" w:name="_Toc494561962"/>
      <w:bookmarkStart w:id="67" w:name="_Toc16555"/>
      <w:r>
        <w:rPr>
          <w:rFonts w:hint="eastAsia" w:ascii="宋体" w:hAnsi="宋体"/>
          <w:bCs w:val="0"/>
          <w:color w:val="000000" w:themeColor="text1"/>
          <w:sz w:val="30"/>
          <w:szCs w:val="30"/>
          <w:lang w:val="zh-CN"/>
        </w:rPr>
        <w:t>评标程序</w:t>
      </w:r>
      <w:bookmarkEnd w:id="64"/>
      <w:bookmarkEnd w:id="65"/>
      <w:r>
        <w:rPr>
          <w:rFonts w:hint="eastAsia" w:ascii="宋体" w:hAnsi="宋体"/>
          <w:bCs w:val="0"/>
          <w:color w:val="000000" w:themeColor="text1"/>
          <w:sz w:val="30"/>
          <w:szCs w:val="30"/>
          <w:lang w:val="zh-CN"/>
        </w:rPr>
        <w:t>及标准</w:t>
      </w:r>
      <w:bookmarkEnd w:id="66"/>
      <w:bookmarkEnd w:id="67"/>
    </w:p>
    <w:p>
      <w:pPr>
        <w:spacing w:line="360" w:lineRule="auto"/>
        <w:ind w:firstLine="480" w:firstLineChars="200"/>
        <w:rPr>
          <w:rFonts w:ascii="宋体"/>
          <w:bCs/>
          <w:color w:val="000000" w:themeColor="text1"/>
          <w:sz w:val="24"/>
          <w:szCs w:val="20"/>
          <w:lang w:val="zh-CN"/>
        </w:rPr>
      </w:pPr>
      <w:r>
        <w:rPr>
          <w:rFonts w:hint="eastAsia" w:ascii="宋体" w:hAnsi="宋体"/>
          <w:bCs/>
          <w:color w:val="000000" w:themeColor="text1"/>
          <w:sz w:val="24"/>
          <w:szCs w:val="20"/>
          <w:lang w:val="zh-CN"/>
        </w:rPr>
        <w:t>评标委员会按以下工作程序进行评标：</w:t>
      </w:r>
      <w:r>
        <w:rPr>
          <w:rFonts w:hint="eastAsia" w:ascii="宋体" w:hAnsi="宋体"/>
          <w:color w:val="000000" w:themeColor="text1"/>
          <w:sz w:val="24"/>
          <w:szCs w:val="20"/>
          <w:lang w:val="zh-CN"/>
        </w:rPr>
        <w:t>符合性审查、澄清有关问题、综合比较和评价、确定中标候选人名单。</w:t>
      </w:r>
    </w:p>
    <w:p>
      <w:pPr>
        <w:numPr>
          <w:ilvl w:val="0"/>
          <w:numId w:val="44"/>
        </w:numPr>
        <w:ind w:left="1311" w:leftChars="154" w:hanging="988" w:hangingChars="353"/>
        <w:rPr>
          <w:rFonts w:ascii="宋体"/>
          <w:strike/>
          <w:color w:val="000000" w:themeColor="text1"/>
          <w:sz w:val="28"/>
          <w:szCs w:val="28"/>
          <w:lang w:val="zh-CN"/>
        </w:rPr>
      </w:pPr>
      <w:r>
        <w:rPr>
          <w:rFonts w:hint="eastAsia" w:ascii="宋体" w:hAnsi="宋体"/>
          <w:b/>
          <w:color w:val="000000" w:themeColor="text1"/>
          <w:sz w:val="28"/>
          <w:szCs w:val="28"/>
          <w:lang w:val="zh-CN"/>
        </w:rPr>
        <w:t>符合性审查</w:t>
      </w:r>
    </w:p>
    <w:p>
      <w:pPr>
        <w:spacing w:line="360" w:lineRule="auto"/>
        <w:ind w:firstLine="470" w:firstLineChars="196"/>
        <w:rPr>
          <w:rFonts w:ascii="宋体"/>
          <w:bCs/>
          <w:color w:val="000000" w:themeColor="text1"/>
          <w:sz w:val="24"/>
          <w:szCs w:val="20"/>
          <w:lang w:val="zh-CN"/>
        </w:rPr>
      </w:pPr>
      <w:r>
        <w:rPr>
          <w:rFonts w:hint="eastAsia" w:ascii="Helvetica" w:hAnsi="Helvetica" w:cs="Helvetica"/>
          <w:color w:val="000000" w:themeColor="text1"/>
          <w:kern w:val="0"/>
          <w:sz w:val="24"/>
          <w:szCs w:val="24"/>
          <w:lang w:val="zh-CN"/>
        </w:rPr>
        <w:t>评标委员会应当对符合资格的投标人的投标文件进行符合性审查，以确定其是否满足招标文件的实质性要求。</w:t>
      </w:r>
      <w:r>
        <w:rPr>
          <w:rFonts w:hint="eastAsia" w:ascii="宋体" w:hAnsi="宋体"/>
          <w:bCs/>
          <w:color w:val="000000" w:themeColor="text1"/>
          <w:sz w:val="24"/>
          <w:szCs w:val="20"/>
          <w:lang w:val="zh-CN"/>
        </w:rPr>
        <w:t>符合性审查出现下列情形之一的投标按照</w:t>
      </w:r>
      <w:r>
        <w:rPr>
          <w:rFonts w:hint="eastAsia" w:ascii="宋体" w:hAnsi="宋体"/>
          <w:b/>
          <w:bCs/>
          <w:color w:val="000000" w:themeColor="text1"/>
          <w:sz w:val="24"/>
          <w:szCs w:val="20"/>
          <w:lang w:val="zh-CN"/>
        </w:rPr>
        <w:t>无效投标处理</w:t>
      </w:r>
      <w:r>
        <w:rPr>
          <w:rFonts w:hint="eastAsia" w:ascii="宋体" w:hAnsi="宋体"/>
          <w:bCs/>
          <w:color w:val="000000" w:themeColor="text1"/>
          <w:sz w:val="24"/>
          <w:szCs w:val="20"/>
          <w:lang w:val="zh-CN"/>
        </w:rPr>
        <w:t>：</w:t>
      </w:r>
    </w:p>
    <w:p>
      <w:pPr>
        <w:numPr>
          <w:ilvl w:val="0"/>
          <w:numId w:val="45"/>
        </w:numPr>
        <w:tabs>
          <w:tab w:val="left" w:pos="616"/>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投标总报价超过项目（分包）预算金额或最高限价的；</w:t>
      </w:r>
    </w:p>
    <w:p>
      <w:pPr>
        <w:numPr>
          <w:ilvl w:val="0"/>
          <w:numId w:val="45"/>
        </w:numPr>
        <w:tabs>
          <w:tab w:val="left" w:pos="616"/>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《投标书》、《法定代表人授权书》、《开标一览表》、《投标报价明细表》未提供或不符合招标文件要求的；</w:t>
      </w:r>
    </w:p>
    <w:p>
      <w:pPr>
        <w:numPr>
          <w:ilvl w:val="0"/>
          <w:numId w:val="45"/>
        </w:numPr>
        <w:tabs>
          <w:tab w:val="left" w:pos="616"/>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工期（服务期限）、质保期不符合招标文件要求的；</w:t>
      </w:r>
    </w:p>
    <w:p>
      <w:pPr>
        <w:numPr>
          <w:ilvl w:val="0"/>
          <w:numId w:val="45"/>
        </w:numPr>
        <w:tabs>
          <w:tab w:val="left" w:pos="616"/>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投标保证金的交纳不符合招标文件要求的；</w:t>
      </w:r>
    </w:p>
    <w:p>
      <w:pPr>
        <w:numPr>
          <w:ilvl w:val="0"/>
          <w:numId w:val="45"/>
        </w:numPr>
        <w:tabs>
          <w:tab w:val="left" w:pos="616"/>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出现两个或两个以上不同报价的；</w:t>
      </w:r>
    </w:p>
    <w:p>
      <w:pPr>
        <w:numPr>
          <w:ilvl w:val="0"/>
          <w:numId w:val="45"/>
        </w:numPr>
        <w:tabs>
          <w:tab w:val="left" w:pos="616"/>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出现两个或两个以上投标方案的（招标文件中要求提供备选方案的除外）；</w:t>
      </w:r>
    </w:p>
    <w:p>
      <w:pPr>
        <w:numPr>
          <w:ilvl w:val="0"/>
          <w:numId w:val="45"/>
        </w:numPr>
        <w:tabs>
          <w:tab w:val="left" w:pos="616"/>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投标报价存在缺项、漏项的；</w:t>
      </w:r>
    </w:p>
    <w:p>
      <w:pPr>
        <w:numPr>
          <w:ilvl w:val="0"/>
          <w:numId w:val="45"/>
        </w:numPr>
        <w:tabs>
          <w:tab w:val="left" w:pos="616"/>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投标有效期不足的；</w:t>
      </w:r>
    </w:p>
    <w:p>
      <w:pPr>
        <w:numPr>
          <w:ilvl w:val="0"/>
          <w:numId w:val="45"/>
        </w:numPr>
        <w:tabs>
          <w:tab w:val="left" w:pos="616"/>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无法定代表人签字（签章）或签字（签章）人无法定代表人有效授权的；</w:t>
      </w:r>
    </w:p>
    <w:p>
      <w:pPr>
        <w:numPr>
          <w:ilvl w:val="0"/>
          <w:numId w:val="45"/>
        </w:numPr>
        <w:tabs>
          <w:tab w:val="left" w:pos="756"/>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正本未按要求提供加盖公章及签字（签章）原件的；</w:t>
      </w:r>
    </w:p>
    <w:p>
      <w:pPr>
        <w:numPr>
          <w:ilvl w:val="0"/>
          <w:numId w:val="45"/>
        </w:numPr>
        <w:tabs>
          <w:tab w:val="left" w:pos="742"/>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符合招标文件第二章“投标人须知”中</w:t>
      </w:r>
      <w:r>
        <w:rPr>
          <w:rFonts w:ascii="Times New Roman" w:hAnsi="宋体"/>
          <w:color w:val="000000" w:themeColor="text1"/>
          <w:sz w:val="24"/>
          <w:szCs w:val="24"/>
          <w:lang w:val="zh-CN"/>
        </w:rPr>
        <w:t>40</w:t>
      </w:r>
      <w:r>
        <w:rPr>
          <w:rFonts w:hint="eastAsia" w:ascii="Times New Roman" w:hAnsi="宋体"/>
          <w:color w:val="000000" w:themeColor="text1"/>
          <w:sz w:val="24"/>
          <w:szCs w:val="24"/>
          <w:lang w:val="zh-CN"/>
        </w:rPr>
        <w:t>条中规定情形，以分公司形式参与投标的，法定代表人授权书未由总公司法定代表人签字（盖章）并加盖公章的；</w:t>
      </w:r>
    </w:p>
    <w:p>
      <w:pPr>
        <w:numPr>
          <w:ilvl w:val="0"/>
          <w:numId w:val="45"/>
        </w:numPr>
        <w:tabs>
          <w:tab w:val="left" w:pos="742"/>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未按要求提供招标文件第二章“十一</w:t>
      </w:r>
      <w:r>
        <w:rPr>
          <w:rFonts w:ascii="Times New Roman" w:hAnsi="宋体"/>
          <w:color w:val="000000" w:themeColor="text1"/>
          <w:sz w:val="24"/>
          <w:szCs w:val="24"/>
          <w:lang w:val="zh-CN"/>
        </w:rPr>
        <w:t xml:space="preserve"> </w:t>
      </w:r>
      <w:r>
        <w:rPr>
          <w:rFonts w:hint="eastAsia" w:ascii="Times New Roman" w:hAnsi="宋体"/>
          <w:color w:val="000000" w:themeColor="text1"/>
          <w:sz w:val="24"/>
          <w:szCs w:val="24"/>
          <w:lang w:val="zh-CN"/>
        </w:rPr>
        <w:t>其他注意事项”中规定的书面声明的；</w:t>
      </w:r>
    </w:p>
    <w:p>
      <w:pPr>
        <w:numPr>
          <w:ilvl w:val="0"/>
          <w:numId w:val="45"/>
        </w:numPr>
        <w:tabs>
          <w:tab w:val="left" w:pos="742"/>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5"/>
        </w:numPr>
        <w:tabs>
          <w:tab w:val="left" w:pos="742"/>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所投货物是通过中国海关报关验放进入中国境内且产自关境外的（招标文件中注明已办理进口产品核准的除外）；</w:t>
      </w:r>
    </w:p>
    <w:p>
      <w:pPr>
        <w:numPr>
          <w:ilvl w:val="0"/>
          <w:numId w:val="45"/>
        </w:numPr>
        <w:tabs>
          <w:tab w:val="left" w:pos="742"/>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未提供所投货物（工程或服务）的具体参数值或功能表述，或原文复制招标文件的技术规格相关部分内容作为其投标文件的一部分的；</w:t>
      </w:r>
    </w:p>
    <w:p>
      <w:pPr>
        <w:numPr>
          <w:ilvl w:val="0"/>
          <w:numId w:val="45"/>
        </w:numPr>
        <w:tabs>
          <w:tab w:val="left" w:pos="742"/>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不满足招标文件第三章“项目技术、服务和商务要求”中“★”号条款要求的；</w:t>
      </w:r>
    </w:p>
    <w:p>
      <w:pPr>
        <w:numPr>
          <w:ilvl w:val="0"/>
          <w:numId w:val="45"/>
        </w:numPr>
        <w:tabs>
          <w:tab w:val="left" w:pos="742"/>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含有采购人不能接受的附加条件的；</w:t>
      </w:r>
    </w:p>
    <w:p>
      <w:pPr>
        <w:numPr>
          <w:ilvl w:val="0"/>
          <w:numId w:val="45"/>
        </w:numPr>
        <w:tabs>
          <w:tab w:val="left" w:pos="742"/>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5"/>
        </w:numPr>
        <w:tabs>
          <w:tab w:val="left" w:pos="742"/>
        </w:tabs>
        <w:spacing w:line="360" w:lineRule="auto"/>
        <w:ind w:left="10" w:leftChars="5" w:firstLine="237" w:firstLineChars="99"/>
        <w:rPr>
          <w:rFonts w:ascii="Times New Roman" w:hAnsi="宋体"/>
          <w:color w:val="000000" w:themeColor="text1"/>
          <w:sz w:val="24"/>
          <w:szCs w:val="24"/>
          <w:lang w:val="zh-CN"/>
        </w:rPr>
      </w:pPr>
      <w:r>
        <w:rPr>
          <w:rFonts w:hint="eastAsia" w:ascii="Times New Roman" w:hAnsi="宋体"/>
          <w:color w:val="000000" w:themeColor="text1"/>
          <w:sz w:val="24"/>
          <w:szCs w:val="24"/>
          <w:lang w:val="zh-CN"/>
        </w:rPr>
        <w:t>法律、法规和招标文件规定的其他无效投标情形。</w:t>
      </w:r>
    </w:p>
    <w:p>
      <w:pPr>
        <w:numPr>
          <w:ilvl w:val="0"/>
          <w:numId w:val="44"/>
        </w:numPr>
        <w:ind w:left="1311" w:leftChars="154" w:hanging="988" w:hangingChars="353"/>
        <w:rPr>
          <w:rFonts w:ascii="宋体"/>
          <w:b/>
          <w:color w:val="000000" w:themeColor="text1"/>
          <w:sz w:val="28"/>
          <w:szCs w:val="28"/>
          <w:lang w:val="zh-CN"/>
        </w:rPr>
      </w:pPr>
      <w:r>
        <w:rPr>
          <w:rFonts w:hint="eastAsia" w:ascii="宋体" w:hAnsi="宋体"/>
          <w:b/>
          <w:color w:val="000000" w:themeColor="text1"/>
          <w:sz w:val="28"/>
          <w:szCs w:val="28"/>
          <w:lang w:val="zh-CN"/>
        </w:rPr>
        <w:t>澄清有关问题</w:t>
      </w:r>
    </w:p>
    <w:p>
      <w:pPr>
        <w:numPr>
          <w:ilvl w:val="0"/>
          <w:numId w:val="46"/>
        </w:numPr>
        <w:tabs>
          <w:tab w:val="left" w:pos="616"/>
        </w:tabs>
        <w:spacing w:line="360" w:lineRule="auto"/>
        <w:ind w:left="10" w:leftChars="5" w:firstLine="237" w:firstLineChars="99"/>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pPr>
        <w:numPr>
          <w:ilvl w:val="0"/>
          <w:numId w:val="46"/>
        </w:numPr>
        <w:tabs>
          <w:tab w:val="left" w:pos="616"/>
        </w:tabs>
        <w:spacing w:line="360" w:lineRule="auto"/>
        <w:ind w:left="10" w:leftChars="5" w:firstLine="237" w:firstLineChars="99"/>
        <w:rPr>
          <w:rFonts w:ascii="宋体"/>
          <w:bCs/>
          <w:strike/>
          <w:color w:val="000000" w:themeColor="text1"/>
          <w:sz w:val="24"/>
          <w:szCs w:val="20"/>
          <w:lang w:val="zh-CN"/>
        </w:rPr>
      </w:pPr>
      <w:r>
        <w:rPr>
          <w:rFonts w:hint="eastAsia" w:ascii="宋体" w:hAnsi="宋体"/>
          <w:bCs/>
          <w:color w:val="000000" w:themeColor="text1"/>
          <w:sz w:val="24"/>
          <w:szCs w:val="20"/>
          <w:lang w:val="zh-CN"/>
        </w:rPr>
        <w:t>投标人应按照评标委员会要求的澄清内容在规定时间内做出澄清。</w:t>
      </w:r>
      <w:r>
        <w:rPr>
          <w:rFonts w:hint="eastAsia" w:ascii="宋体" w:hAnsi="宋体"/>
          <w:color w:val="000000" w:themeColor="text1"/>
          <w:sz w:val="24"/>
          <w:szCs w:val="20"/>
          <w:lang w:val="zh-CN"/>
        </w:rPr>
        <w:t>投标文件报价出现前后不一致的，按照本节第</w:t>
      </w:r>
      <w:r>
        <w:rPr>
          <w:rFonts w:ascii="宋体" w:hAnsi="宋体"/>
          <w:color w:val="000000" w:themeColor="text1"/>
          <w:sz w:val="24"/>
          <w:szCs w:val="20"/>
          <w:lang w:val="zh-CN"/>
        </w:rPr>
        <w:t>3</w:t>
      </w:r>
      <w:r>
        <w:rPr>
          <w:rFonts w:hint="eastAsia" w:ascii="宋体" w:hAnsi="宋体"/>
          <w:bCs/>
          <w:color w:val="000000" w:themeColor="text1"/>
          <w:sz w:val="24"/>
          <w:szCs w:val="20"/>
          <w:lang w:val="zh-CN"/>
        </w:rPr>
        <w:t>条规定进行修正，</w:t>
      </w:r>
      <w:r>
        <w:rPr>
          <w:rFonts w:hint="eastAsia" w:ascii="Helvetica" w:hAnsi="Helvetica" w:cs="Helvetica"/>
          <w:color w:val="000000" w:themeColor="text1"/>
          <w:kern w:val="0"/>
          <w:sz w:val="24"/>
          <w:szCs w:val="24"/>
          <w:lang w:val="zh-CN"/>
        </w:rPr>
        <w:t>投标人的澄清、说明或者补正不得超出投标文件的范围或者改变投标文件的实质性内容。</w:t>
      </w:r>
    </w:p>
    <w:p>
      <w:pPr>
        <w:numPr>
          <w:ilvl w:val="0"/>
          <w:numId w:val="46"/>
        </w:numPr>
        <w:tabs>
          <w:tab w:val="left" w:pos="616"/>
        </w:tabs>
        <w:spacing w:line="360" w:lineRule="auto"/>
        <w:ind w:left="10" w:leftChars="5" w:firstLine="237" w:firstLineChars="99"/>
        <w:rPr>
          <w:rFonts w:ascii="宋体"/>
          <w:bCs/>
          <w:color w:val="000000" w:themeColor="text1"/>
          <w:sz w:val="24"/>
          <w:szCs w:val="20"/>
          <w:lang w:val="zh-CN"/>
        </w:rPr>
      </w:pPr>
      <w:r>
        <w:rPr>
          <w:rFonts w:hint="eastAsia" w:ascii="宋体" w:hAnsi="宋体"/>
          <w:bCs/>
          <w:color w:val="000000" w:themeColor="text1"/>
          <w:sz w:val="24"/>
          <w:szCs w:val="20"/>
          <w:lang w:val="zh-CN"/>
        </w:rPr>
        <w:t>投标文件报价出现前后不一致的，按照下列规定修正：</w:t>
      </w:r>
    </w:p>
    <w:p>
      <w:pPr>
        <w:numPr>
          <w:ilvl w:val="0"/>
          <w:numId w:val="47"/>
        </w:numPr>
        <w:adjustRightInd w:val="0"/>
        <w:spacing w:line="360" w:lineRule="auto"/>
        <w:ind w:left="742" w:hanging="493"/>
        <w:rPr>
          <w:rFonts w:ascii="宋体"/>
          <w:color w:val="000000" w:themeColor="text1"/>
          <w:sz w:val="24"/>
          <w:szCs w:val="24"/>
          <w:lang w:val="zh-CN"/>
        </w:rPr>
      </w:pPr>
      <w:r>
        <w:rPr>
          <w:rFonts w:hint="eastAsia" w:ascii="宋体" w:hAnsi="宋体"/>
          <w:color w:val="000000" w:themeColor="text1"/>
          <w:sz w:val="24"/>
          <w:szCs w:val="24"/>
          <w:lang w:val="zh-CN"/>
        </w:rPr>
        <w:t>投标文件中开标一览表内容与投标文件中相应内容不一致的，以开标一览表为准。</w:t>
      </w:r>
    </w:p>
    <w:p>
      <w:pPr>
        <w:numPr>
          <w:ilvl w:val="0"/>
          <w:numId w:val="47"/>
        </w:numPr>
        <w:adjustRightInd w:val="0"/>
        <w:spacing w:line="360" w:lineRule="auto"/>
        <w:ind w:left="742" w:hanging="493"/>
        <w:rPr>
          <w:rFonts w:ascii="宋体"/>
          <w:color w:val="000000" w:themeColor="text1"/>
          <w:sz w:val="24"/>
          <w:szCs w:val="24"/>
          <w:lang w:val="zh-CN"/>
        </w:rPr>
      </w:pPr>
      <w:r>
        <w:rPr>
          <w:rFonts w:hint="eastAsia" w:ascii="宋体" w:hAnsi="宋体"/>
          <w:color w:val="000000" w:themeColor="text1"/>
          <w:sz w:val="24"/>
          <w:szCs w:val="24"/>
          <w:lang w:val="zh-CN"/>
        </w:rPr>
        <w:t>大写金额和小写金额不一致的，以大写金额为准。</w:t>
      </w:r>
    </w:p>
    <w:p>
      <w:pPr>
        <w:numPr>
          <w:ilvl w:val="0"/>
          <w:numId w:val="47"/>
        </w:numPr>
        <w:adjustRightInd w:val="0"/>
        <w:spacing w:line="360" w:lineRule="auto"/>
        <w:ind w:left="742" w:hanging="493"/>
        <w:rPr>
          <w:rFonts w:ascii="宋体"/>
          <w:color w:val="000000" w:themeColor="text1"/>
          <w:sz w:val="24"/>
          <w:szCs w:val="24"/>
          <w:lang w:val="zh-CN"/>
        </w:rPr>
      </w:pPr>
      <w:r>
        <w:rPr>
          <w:rFonts w:hint="eastAsia" w:ascii="宋体" w:hAnsi="宋体"/>
          <w:color w:val="000000" w:themeColor="text1"/>
          <w:sz w:val="24"/>
          <w:szCs w:val="24"/>
          <w:lang w:val="zh-CN"/>
        </w:rPr>
        <w:t>单价金额小数点或者百分比有明显错位的，以开标一览表的总价为准，并修改单价。</w:t>
      </w:r>
    </w:p>
    <w:p>
      <w:pPr>
        <w:numPr>
          <w:ilvl w:val="0"/>
          <w:numId w:val="47"/>
        </w:numPr>
        <w:adjustRightInd w:val="0"/>
        <w:spacing w:line="360" w:lineRule="auto"/>
        <w:ind w:left="742" w:hanging="493"/>
        <w:rPr>
          <w:rFonts w:ascii="宋体"/>
          <w:color w:val="000000" w:themeColor="text1"/>
          <w:sz w:val="24"/>
          <w:szCs w:val="24"/>
          <w:lang w:val="zh-CN"/>
        </w:rPr>
      </w:pPr>
      <w:r>
        <w:rPr>
          <w:rFonts w:hint="eastAsia" w:ascii="宋体" w:hAnsi="宋体"/>
          <w:color w:val="000000" w:themeColor="text1"/>
          <w:sz w:val="24"/>
          <w:szCs w:val="24"/>
          <w:lang w:val="zh-CN"/>
        </w:rPr>
        <w:t>总价金额与按单价汇总金额不一致的，以单价金额计算结果为准。</w:t>
      </w:r>
    </w:p>
    <w:p>
      <w:pPr>
        <w:numPr>
          <w:ilvl w:val="0"/>
          <w:numId w:val="47"/>
        </w:numPr>
        <w:adjustRightInd w:val="0"/>
        <w:spacing w:line="360" w:lineRule="auto"/>
        <w:ind w:left="742" w:hanging="493"/>
        <w:rPr>
          <w:rFonts w:ascii="宋体"/>
          <w:color w:val="000000" w:themeColor="text1"/>
          <w:sz w:val="24"/>
          <w:szCs w:val="24"/>
          <w:lang w:val="zh-CN"/>
        </w:rPr>
      </w:pPr>
      <w:r>
        <w:rPr>
          <w:rFonts w:hint="eastAsia" w:ascii="宋体" w:hAnsi="宋体"/>
          <w:color w:val="000000" w:themeColor="text1"/>
          <w:sz w:val="24"/>
          <w:szCs w:val="24"/>
          <w:lang w:val="zh-CN"/>
        </w:rPr>
        <w:t>同时出现两种以上不一致的，按照前款规定的顺序修正。</w:t>
      </w:r>
    </w:p>
    <w:p>
      <w:pPr>
        <w:numPr>
          <w:ilvl w:val="0"/>
          <w:numId w:val="47"/>
        </w:numPr>
        <w:adjustRightInd w:val="0"/>
        <w:spacing w:line="360" w:lineRule="auto"/>
        <w:ind w:left="742" w:hanging="493"/>
        <w:rPr>
          <w:rFonts w:ascii="宋体"/>
          <w:color w:val="000000" w:themeColor="text1"/>
          <w:sz w:val="24"/>
          <w:szCs w:val="24"/>
          <w:lang w:val="zh-CN"/>
        </w:rPr>
      </w:pPr>
      <w:r>
        <w:rPr>
          <w:rFonts w:hint="eastAsia" w:ascii="宋体" w:hAnsi="宋体"/>
          <w:color w:val="000000" w:themeColor="text1"/>
          <w:sz w:val="24"/>
          <w:szCs w:val="24"/>
          <w:lang w:val="zh-CN"/>
        </w:rPr>
        <w:t>修正后的报价按照本节第</w:t>
      </w:r>
      <w:r>
        <w:rPr>
          <w:rFonts w:ascii="宋体" w:hAnsi="宋体"/>
          <w:color w:val="000000" w:themeColor="text1"/>
          <w:sz w:val="24"/>
          <w:szCs w:val="24"/>
          <w:lang w:val="zh-CN"/>
        </w:rPr>
        <w:t>4</w:t>
      </w:r>
      <w:r>
        <w:rPr>
          <w:rFonts w:hint="eastAsia" w:ascii="宋体" w:hAnsi="宋体"/>
          <w:color w:val="000000" w:themeColor="text1"/>
          <w:sz w:val="24"/>
          <w:szCs w:val="24"/>
          <w:lang w:val="zh-CN"/>
        </w:rPr>
        <w:t>条规定经投标人确认后产生约束力，投标人不确认的，按照</w:t>
      </w:r>
      <w:r>
        <w:rPr>
          <w:rFonts w:hint="eastAsia" w:ascii="宋体" w:hAnsi="宋体"/>
          <w:b/>
          <w:color w:val="000000" w:themeColor="text1"/>
          <w:sz w:val="24"/>
          <w:szCs w:val="24"/>
          <w:lang w:val="zh-CN"/>
        </w:rPr>
        <w:t>无效投标处理</w:t>
      </w:r>
      <w:r>
        <w:rPr>
          <w:rFonts w:hint="eastAsia" w:ascii="宋体" w:hAnsi="宋体"/>
          <w:color w:val="000000" w:themeColor="text1"/>
          <w:sz w:val="24"/>
          <w:szCs w:val="24"/>
          <w:lang w:val="zh-CN"/>
        </w:rPr>
        <w:t>。</w:t>
      </w:r>
    </w:p>
    <w:p>
      <w:pPr>
        <w:numPr>
          <w:ilvl w:val="0"/>
          <w:numId w:val="46"/>
        </w:numPr>
        <w:tabs>
          <w:tab w:val="left" w:pos="616"/>
        </w:tabs>
        <w:spacing w:line="360" w:lineRule="auto"/>
        <w:ind w:left="10" w:leftChars="5" w:firstLine="237" w:firstLineChars="99"/>
        <w:rPr>
          <w:rFonts w:ascii="宋体"/>
          <w:color w:val="000000" w:themeColor="text1"/>
          <w:sz w:val="24"/>
          <w:szCs w:val="20"/>
          <w:lang w:val="zh-CN"/>
        </w:rPr>
      </w:pPr>
      <w:r>
        <w:rPr>
          <w:rFonts w:hint="eastAsia" w:ascii="宋体" w:hAnsi="宋体"/>
          <w:color w:val="000000" w:themeColor="text1"/>
          <w:sz w:val="24"/>
          <w:szCs w:val="20"/>
          <w:lang w:val="zh-CN"/>
        </w:rPr>
        <w:t>投标人的</w:t>
      </w:r>
      <w:r>
        <w:rPr>
          <w:rFonts w:hint="eastAsia" w:ascii="Helvetica" w:hAnsi="Helvetica" w:cs="Helvetica"/>
          <w:color w:val="000000" w:themeColor="text1"/>
          <w:kern w:val="0"/>
          <w:sz w:val="24"/>
          <w:szCs w:val="24"/>
          <w:lang w:val="zh-CN"/>
        </w:rPr>
        <w:t>澄清、说明或者补正</w:t>
      </w:r>
      <w:r>
        <w:rPr>
          <w:rFonts w:hint="eastAsia" w:ascii="宋体" w:hAnsi="宋体"/>
          <w:color w:val="000000" w:themeColor="text1"/>
          <w:sz w:val="24"/>
          <w:szCs w:val="20"/>
          <w:lang w:val="zh-CN"/>
        </w:rPr>
        <w:t>是其投标文件的有效组成部分。</w:t>
      </w:r>
      <w:r>
        <w:rPr>
          <w:rFonts w:hint="eastAsia" w:ascii="Helvetica" w:hAnsi="Helvetica" w:cs="Helvetica"/>
          <w:color w:val="000000" w:themeColor="text1"/>
          <w:kern w:val="0"/>
          <w:sz w:val="24"/>
          <w:szCs w:val="24"/>
          <w:lang w:val="zh-CN"/>
        </w:rPr>
        <w:t>投标人的澄清、说明或者补正应当采用书面形式，并加盖公章，或者由法定代表人或其授权的代表签字。</w:t>
      </w:r>
    </w:p>
    <w:p>
      <w:pPr>
        <w:numPr>
          <w:ilvl w:val="0"/>
          <w:numId w:val="44"/>
        </w:numPr>
        <w:ind w:left="1311" w:leftChars="154" w:hanging="988" w:hangingChars="353"/>
        <w:rPr>
          <w:rFonts w:ascii="宋体"/>
          <w:b/>
          <w:color w:val="000000" w:themeColor="text1"/>
          <w:sz w:val="28"/>
          <w:szCs w:val="28"/>
          <w:lang w:val="zh-CN"/>
        </w:rPr>
      </w:pPr>
      <w:r>
        <w:rPr>
          <w:rFonts w:hint="eastAsia" w:ascii="宋体" w:hAnsi="宋体"/>
          <w:b/>
          <w:color w:val="000000" w:themeColor="text1"/>
          <w:sz w:val="28"/>
          <w:szCs w:val="28"/>
          <w:lang w:val="zh-CN"/>
        </w:rPr>
        <w:t>综合比较与评价</w:t>
      </w:r>
    </w:p>
    <w:p>
      <w:pPr>
        <w:spacing w:line="360" w:lineRule="auto"/>
        <w:ind w:firstLine="480" w:firstLineChars="200"/>
        <w:rPr>
          <w:rFonts w:ascii="宋体"/>
          <w:bCs/>
          <w:color w:val="000000" w:themeColor="text1"/>
          <w:sz w:val="24"/>
          <w:szCs w:val="20"/>
          <w:lang w:val="zh-CN"/>
        </w:rPr>
      </w:pPr>
      <w:r>
        <w:rPr>
          <w:rFonts w:hint="eastAsia" w:ascii="宋体" w:hAnsi="宋体"/>
          <w:bCs/>
          <w:color w:val="000000" w:themeColor="text1"/>
          <w:sz w:val="24"/>
          <w:szCs w:val="20"/>
          <w:lang w:val="zh-CN"/>
        </w:rPr>
        <w:t>评标委员会应当按照本章中规定的评标方法和标准，对符合性审查合格的投标文件进行商务和技术、服务评估，综合比较与评价。</w:t>
      </w:r>
    </w:p>
    <w:p>
      <w:pPr>
        <w:numPr>
          <w:ilvl w:val="0"/>
          <w:numId w:val="48"/>
        </w:numPr>
        <w:tabs>
          <w:tab w:val="left" w:pos="616"/>
        </w:tabs>
        <w:spacing w:line="360" w:lineRule="auto"/>
        <w:ind w:left="10" w:leftChars="5" w:firstLine="237" w:firstLineChars="99"/>
        <w:rPr>
          <w:rFonts w:ascii="宋体"/>
          <w:b/>
          <w:bCs/>
          <w:color w:val="000000" w:themeColor="text1"/>
          <w:sz w:val="24"/>
          <w:szCs w:val="20"/>
          <w:lang w:val="zh-CN"/>
        </w:rPr>
      </w:pPr>
      <w:r>
        <w:rPr>
          <w:rFonts w:hint="eastAsia" w:ascii="宋体" w:hAnsi="宋体"/>
          <w:b/>
          <w:bCs/>
          <w:color w:val="000000" w:themeColor="text1"/>
          <w:sz w:val="24"/>
          <w:szCs w:val="20"/>
          <w:lang w:val="zh-CN"/>
        </w:rPr>
        <w:t>商务评议</w:t>
      </w:r>
    </w:p>
    <w:p>
      <w:pPr>
        <w:spacing w:line="360" w:lineRule="auto"/>
        <w:ind w:firstLine="480" w:firstLineChars="200"/>
        <w:rPr>
          <w:rFonts w:ascii="宋体"/>
          <w:bCs/>
          <w:color w:val="000000" w:themeColor="text1"/>
          <w:sz w:val="24"/>
          <w:szCs w:val="20"/>
          <w:lang w:val="zh-CN"/>
        </w:rPr>
      </w:pPr>
      <w:r>
        <w:rPr>
          <w:rFonts w:hint="eastAsia" w:ascii="宋体" w:hAnsi="宋体"/>
          <w:bCs/>
          <w:color w:val="000000" w:themeColor="text1"/>
          <w:sz w:val="24"/>
          <w:szCs w:val="20"/>
          <w:lang w:val="zh-CN"/>
        </w:rPr>
        <w:t>评标委员会对符合性审查合格的投标文件进行评议，并依据本章“评审因素及评分标准”中的商务评议进行综合比较和评分。</w:t>
      </w:r>
    </w:p>
    <w:p>
      <w:pPr>
        <w:numPr>
          <w:ilvl w:val="0"/>
          <w:numId w:val="48"/>
        </w:numPr>
        <w:tabs>
          <w:tab w:val="left" w:pos="616"/>
        </w:tabs>
        <w:spacing w:line="360" w:lineRule="auto"/>
        <w:ind w:left="10" w:leftChars="5" w:firstLine="237" w:firstLineChars="99"/>
        <w:rPr>
          <w:rFonts w:ascii="宋体"/>
          <w:b/>
          <w:bCs/>
          <w:color w:val="000000" w:themeColor="text1"/>
          <w:sz w:val="24"/>
          <w:szCs w:val="20"/>
          <w:lang w:val="zh-CN"/>
        </w:rPr>
      </w:pPr>
      <w:r>
        <w:rPr>
          <w:rFonts w:hint="eastAsia" w:ascii="宋体" w:hAnsi="宋体"/>
          <w:b/>
          <w:bCs/>
          <w:color w:val="000000" w:themeColor="text1"/>
          <w:sz w:val="24"/>
          <w:szCs w:val="20"/>
          <w:lang w:val="zh-CN"/>
        </w:rPr>
        <w:t>技术、服务评议</w:t>
      </w:r>
    </w:p>
    <w:p>
      <w:pPr>
        <w:spacing w:line="360" w:lineRule="auto"/>
        <w:ind w:firstLine="480" w:firstLineChars="200"/>
        <w:rPr>
          <w:rFonts w:ascii="宋体"/>
          <w:color w:val="000000" w:themeColor="text1"/>
          <w:kern w:val="0"/>
          <w:sz w:val="24"/>
          <w:szCs w:val="20"/>
          <w:lang w:val="zh-CN"/>
        </w:rPr>
      </w:pPr>
      <w:r>
        <w:rPr>
          <w:rFonts w:hint="eastAsia" w:ascii="宋体" w:hAnsi="宋体"/>
          <w:bCs/>
          <w:color w:val="000000" w:themeColor="text1"/>
          <w:sz w:val="24"/>
          <w:szCs w:val="20"/>
          <w:lang w:val="zh-CN"/>
        </w:rPr>
        <w:t>评标委员会对符合性审查合格的投标文件进行评议，并依据本章“评审因素及评分标准”中的技术、服务评议进行综合比较和评分。</w:t>
      </w:r>
    </w:p>
    <w:p>
      <w:pPr>
        <w:numPr>
          <w:ilvl w:val="0"/>
          <w:numId w:val="48"/>
        </w:numPr>
        <w:tabs>
          <w:tab w:val="left" w:pos="616"/>
        </w:tabs>
        <w:spacing w:line="360" w:lineRule="auto"/>
        <w:ind w:left="10" w:leftChars="5" w:firstLine="237" w:firstLineChars="99"/>
        <w:rPr>
          <w:rFonts w:ascii="宋体"/>
          <w:b/>
          <w:bCs/>
          <w:color w:val="000000" w:themeColor="text1"/>
          <w:sz w:val="24"/>
          <w:szCs w:val="20"/>
          <w:lang w:val="zh-CN"/>
        </w:rPr>
      </w:pPr>
      <w:r>
        <w:rPr>
          <w:rFonts w:hint="eastAsia" w:ascii="宋体" w:hAnsi="宋体"/>
          <w:b/>
          <w:bCs/>
          <w:color w:val="000000" w:themeColor="text1"/>
          <w:sz w:val="24"/>
          <w:szCs w:val="20"/>
          <w:lang w:val="zh-CN"/>
        </w:rPr>
        <w:t>价格评议</w:t>
      </w: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评标委员会对符合性审查合格的投标文件进行价格评议（</w:t>
      </w:r>
      <w:r>
        <w:rPr>
          <w:rFonts w:hint="eastAsia" w:ascii="宋体" w:hAnsi="宋体"/>
          <w:bCs/>
          <w:color w:val="000000" w:themeColor="text1"/>
          <w:sz w:val="24"/>
          <w:szCs w:val="21"/>
          <w:lang w:val="zh-CN"/>
        </w:rPr>
        <w:t>执行国家统一定价标准和采用固定价格采购的项目，其价格不列为评审因素</w:t>
      </w:r>
      <w:r>
        <w:rPr>
          <w:rFonts w:hint="eastAsia" w:ascii="宋体" w:hAnsi="宋体"/>
          <w:bCs/>
          <w:color w:val="000000" w:themeColor="text1"/>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49"/>
        </w:numPr>
        <w:adjustRightInd w:val="0"/>
        <w:spacing w:line="360" w:lineRule="auto"/>
        <w:ind w:left="742" w:hanging="493"/>
        <w:rPr>
          <w:rFonts w:ascii="宋体"/>
          <w:bCs/>
          <w:color w:val="000000" w:themeColor="text1"/>
          <w:sz w:val="24"/>
          <w:szCs w:val="21"/>
          <w:lang w:val="zh-CN"/>
        </w:rPr>
      </w:pPr>
      <w:r>
        <w:rPr>
          <w:rFonts w:hint="eastAsia" w:ascii="宋体" w:hAnsi="宋体"/>
          <w:b/>
          <w:color w:val="000000" w:themeColor="text1"/>
          <w:sz w:val="24"/>
          <w:szCs w:val="24"/>
          <w:lang w:val="zh-CN"/>
        </w:rPr>
        <w:t>报价合理性说明：</w:t>
      </w:r>
      <w:r>
        <w:rPr>
          <w:rFonts w:hint="eastAsia" w:ascii="宋体" w:hAnsi="宋体" w:cs="Helvetica"/>
          <w:color w:val="000000" w:themeColor="text1"/>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color w:val="000000" w:themeColor="text1"/>
          <w:kern w:val="0"/>
          <w:sz w:val="24"/>
          <w:szCs w:val="24"/>
          <w:lang w:val="zh-CN"/>
        </w:rPr>
        <w:t>无效投标处理</w:t>
      </w:r>
      <w:r>
        <w:rPr>
          <w:rFonts w:hint="eastAsia" w:ascii="宋体" w:hAnsi="宋体" w:cs="Helvetica"/>
          <w:color w:val="000000" w:themeColor="text1"/>
          <w:kern w:val="0"/>
          <w:sz w:val="24"/>
          <w:szCs w:val="24"/>
          <w:lang w:val="zh-CN"/>
        </w:rPr>
        <w:t>。</w:t>
      </w:r>
    </w:p>
    <w:p>
      <w:pPr>
        <w:numPr>
          <w:ilvl w:val="0"/>
          <w:numId w:val="49"/>
        </w:numPr>
        <w:adjustRightInd w:val="0"/>
        <w:spacing w:line="360" w:lineRule="auto"/>
        <w:ind w:left="742" w:hanging="493"/>
        <w:rPr>
          <w:rFonts w:ascii="宋体"/>
          <w:b/>
          <w:color w:val="000000" w:themeColor="text1"/>
          <w:sz w:val="24"/>
          <w:szCs w:val="24"/>
          <w:lang w:val="zh-CN"/>
        </w:rPr>
      </w:pPr>
      <w:r>
        <w:rPr>
          <w:rFonts w:hint="eastAsia" w:ascii="宋体" w:hAnsi="宋体"/>
          <w:b/>
          <w:color w:val="000000" w:themeColor="text1"/>
          <w:sz w:val="24"/>
          <w:szCs w:val="24"/>
          <w:lang w:val="zh-CN"/>
        </w:rPr>
        <w:t>小型和微型企业、监狱企业、残疾人福利性单位价格扣除：</w:t>
      </w:r>
    </w:p>
    <w:p>
      <w:pPr>
        <w:numPr>
          <w:ilvl w:val="0"/>
          <w:numId w:val="50"/>
        </w:numPr>
        <w:spacing w:line="360" w:lineRule="auto"/>
        <w:ind w:left="1134" w:hanging="756"/>
        <w:rPr>
          <w:rFonts w:ascii="宋体"/>
          <w:bCs/>
          <w:color w:val="000000" w:themeColor="text1"/>
          <w:sz w:val="24"/>
          <w:szCs w:val="20"/>
          <w:lang w:val="zh-CN"/>
        </w:rPr>
      </w:pPr>
      <w:r>
        <w:rPr>
          <w:rFonts w:hint="eastAsia" w:ascii="宋体" w:hAnsi="宋体"/>
          <w:bCs/>
          <w:color w:val="000000" w:themeColor="text1"/>
          <w:sz w:val="24"/>
          <w:szCs w:val="20"/>
          <w:lang w:val="zh-CN"/>
        </w:rPr>
        <w:t>非专门面向中小企业的货物类采购项目，按招标文件中采购清单确定的货物，对小型和微型企业制造的货物价格给予</w:t>
      </w:r>
      <w:r>
        <w:rPr>
          <w:rFonts w:ascii="宋体" w:hAnsi="宋体"/>
          <w:b/>
          <w:bCs/>
          <w:color w:val="000000" w:themeColor="text1"/>
          <w:sz w:val="24"/>
          <w:szCs w:val="20"/>
          <w:lang w:val="zh-CN"/>
        </w:rPr>
        <w:t>6%</w:t>
      </w:r>
      <w:r>
        <w:rPr>
          <w:rFonts w:hint="eastAsia" w:ascii="宋体" w:hAnsi="宋体"/>
          <w:bCs/>
          <w:color w:val="000000" w:themeColor="text1"/>
          <w:sz w:val="24"/>
          <w:szCs w:val="20"/>
          <w:lang w:val="zh-CN"/>
        </w:rPr>
        <w:t>的扣除，用扣除后的价格参与评审。</w:t>
      </w:r>
    </w:p>
    <w:p>
      <w:pPr>
        <w:numPr>
          <w:ilvl w:val="0"/>
          <w:numId w:val="50"/>
        </w:numPr>
        <w:spacing w:line="360" w:lineRule="auto"/>
        <w:ind w:left="1134" w:hanging="756"/>
        <w:rPr>
          <w:rFonts w:ascii="宋体"/>
          <w:bCs/>
          <w:color w:val="000000" w:themeColor="text1"/>
          <w:sz w:val="24"/>
          <w:szCs w:val="20"/>
          <w:lang w:val="zh-CN"/>
        </w:rPr>
      </w:pPr>
      <w:r>
        <w:rPr>
          <w:rFonts w:hint="eastAsia" w:ascii="宋体" w:hAnsi="宋体"/>
          <w:bCs/>
          <w:color w:val="000000" w:themeColor="text1"/>
          <w:sz w:val="24"/>
          <w:szCs w:val="20"/>
          <w:lang w:val="zh-CN"/>
        </w:rPr>
        <w:t>非专门面向中小企业的工程、服务类采购项目，投标人是小型和微型企业的价格给予</w:t>
      </w:r>
      <w:r>
        <w:rPr>
          <w:rFonts w:ascii="宋体" w:hAnsi="宋体"/>
          <w:b/>
          <w:bCs/>
          <w:color w:val="000000" w:themeColor="text1"/>
          <w:sz w:val="24"/>
          <w:szCs w:val="20"/>
          <w:lang w:val="zh-CN"/>
        </w:rPr>
        <w:t>6%</w:t>
      </w:r>
      <w:r>
        <w:rPr>
          <w:rFonts w:hint="eastAsia" w:ascii="宋体" w:hAnsi="宋体"/>
          <w:bCs/>
          <w:color w:val="000000" w:themeColor="text1"/>
          <w:sz w:val="24"/>
          <w:szCs w:val="20"/>
          <w:lang w:val="zh-CN"/>
        </w:rPr>
        <w:t>的扣除，用扣除后的价格参与评审。</w:t>
      </w:r>
    </w:p>
    <w:p>
      <w:pPr>
        <w:numPr>
          <w:ilvl w:val="0"/>
          <w:numId w:val="50"/>
        </w:numPr>
        <w:spacing w:line="360" w:lineRule="auto"/>
        <w:ind w:left="1134" w:hanging="756"/>
        <w:rPr>
          <w:rFonts w:ascii="宋体"/>
          <w:bCs/>
          <w:color w:val="000000" w:themeColor="text1"/>
          <w:sz w:val="24"/>
          <w:szCs w:val="20"/>
          <w:lang w:val="zh-CN"/>
        </w:rPr>
      </w:pPr>
      <w:r>
        <w:rPr>
          <w:rFonts w:hint="eastAsia" w:ascii="宋体" w:hAnsi="宋体"/>
          <w:bCs/>
          <w:color w:val="000000" w:themeColor="text1"/>
          <w:sz w:val="24"/>
          <w:szCs w:val="20"/>
          <w:lang w:val="zh-CN"/>
        </w:rPr>
        <w:t>鼓励大中型企业和其他自然人</w:t>
      </w:r>
      <w:r>
        <w:rPr>
          <w:rFonts w:hint="eastAsia" w:ascii="宋体" w:hAnsi="宋体"/>
          <w:bCs/>
          <w:color w:val="000000" w:themeColor="text1"/>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b/>
          <w:bCs/>
          <w:color w:val="000000" w:themeColor="text1"/>
          <w:sz w:val="24"/>
          <w:szCs w:val="20"/>
        </w:rPr>
        <w:t>30%</w:t>
      </w:r>
      <w:r>
        <w:rPr>
          <w:rFonts w:hint="eastAsia" w:ascii="宋体" w:hAnsi="宋体"/>
          <w:bCs/>
          <w:color w:val="000000" w:themeColor="text1"/>
          <w:sz w:val="24"/>
          <w:szCs w:val="20"/>
        </w:rPr>
        <w:t>以上的，可给予联合体</w:t>
      </w:r>
      <w:r>
        <w:rPr>
          <w:rFonts w:ascii="宋体" w:hAnsi="宋体"/>
          <w:b/>
          <w:bCs/>
          <w:color w:val="000000" w:themeColor="text1"/>
          <w:sz w:val="24"/>
          <w:szCs w:val="20"/>
          <w:lang w:val="zh-CN"/>
        </w:rPr>
        <w:t>3%</w:t>
      </w:r>
      <w:r>
        <w:rPr>
          <w:rFonts w:hint="eastAsia" w:ascii="宋体" w:hAnsi="宋体"/>
          <w:bCs/>
          <w:color w:val="000000" w:themeColor="text1"/>
          <w:sz w:val="24"/>
          <w:szCs w:val="20"/>
        </w:rPr>
        <w:t>的价格扣除，</w:t>
      </w:r>
      <w:r>
        <w:rPr>
          <w:rFonts w:hint="eastAsia" w:ascii="宋体" w:hAnsi="宋体"/>
          <w:bCs/>
          <w:color w:val="000000" w:themeColor="text1"/>
          <w:sz w:val="24"/>
          <w:szCs w:val="20"/>
          <w:lang w:val="zh-CN"/>
        </w:rPr>
        <w:t>不重复享受政策。</w:t>
      </w:r>
    </w:p>
    <w:p>
      <w:pPr>
        <w:numPr>
          <w:ilvl w:val="0"/>
          <w:numId w:val="50"/>
        </w:numPr>
        <w:spacing w:line="360" w:lineRule="auto"/>
        <w:ind w:left="1134" w:hanging="756"/>
        <w:rPr>
          <w:rFonts w:ascii="宋体"/>
          <w:bCs/>
          <w:color w:val="000000" w:themeColor="text1"/>
          <w:sz w:val="24"/>
          <w:szCs w:val="20"/>
          <w:lang w:val="zh-CN"/>
        </w:rPr>
      </w:pPr>
      <w:r>
        <w:rPr>
          <w:rFonts w:hint="eastAsia" w:ascii="宋体" w:hAnsi="宋体"/>
          <w:bCs/>
          <w:color w:val="000000" w:themeColor="text1"/>
          <w:sz w:val="24"/>
          <w:szCs w:val="20"/>
          <w:lang w:val="zh-CN"/>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50"/>
        </w:numPr>
        <w:spacing w:line="360" w:lineRule="auto"/>
        <w:ind w:left="1134" w:hanging="756"/>
        <w:rPr>
          <w:rFonts w:ascii="宋体"/>
          <w:bCs/>
          <w:color w:val="000000" w:themeColor="text1"/>
          <w:sz w:val="24"/>
          <w:szCs w:val="20"/>
          <w:lang w:val="zh-CN"/>
        </w:rPr>
      </w:pPr>
      <w:r>
        <w:rPr>
          <w:rFonts w:hint="eastAsia" w:ascii="宋体" w:hAnsi="宋体"/>
          <w:bCs/>
          <w:color w:val="000000" w:themeColor="text1"/>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48"/>
        </w:numPr>
        <w:tabs>
          <w:tab w:val="left" w:pos="616"/>
        </w:tabs>
        <w:spacing w:line="360" w:lineRule="auto"/>
        <w:ind w:left="10" w:leftChars="5" w:firstLine="237" w:firstLineChars="99"/>
        <w:rPr>
          <w:rFonts w:ascii="宋体"/>
          <w:b/>
          <w:bCs/>
          <w:color w:val="000000" w:themeColor="text1"/>
          <w:sz w:val="24"/>
          <w:szCs w:val="20"/>
          <w:lang w:val="zh-CN"/>
        </w:rPr>
      </w:pPr>
      <w:r>
        <w:rPr>
          <w:rFonts w:hint="eastAsia" w:ascii="宋体" w:hAnsi="宋体"/>
          <w:b/>
          <w:bCs/>
          <w:color w:val="000000" w:themeColor="text1"/>
          <w:sz w:val="24"/>
          <w:szCs w:val="20"/>
          <w:lang w:val="zh-CN"/>
        </w:rPr>
        <w:t>相同品牌处理原则</w:t>
      </w:r>
    </w:p>
    <w:p>
      <w:pPr>
        <w:numPr>
          <w:ilvl w:val="0"/>
          <w:numId w:val="51"/>
        </w:numPr>
        <w:adjustRightInd w:val="0"/>
        <w:spacing w:line="360" w:lineRule="auto"/>
        <w:ind w:left="756" w:hanging="507"/>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pPr>
        <w:numPr>
          <w:ilvl w:val="0"/>
          <w:numId w:val="51"/>
        </w:numPr>
        <w:adjustRightInd w:val="0"/>
        <w:spacing w:line="360" w:lineRule="auto"/>
        <w:ind w:left="756" w:hanging="507"/>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非单一产品采购项目，采购人应当根据采购项目技术构成、产品价格比重等合理确定</w:t>
      </w:r>
      <w:r>
        <w:rPr>
          <w:rFonts w:hint="eastAsia" w:ascii="Helvetica" w:hAnsi="Helvetica" w:cs="Helvetica"/>
          <w:b/>
          <w:color w:val="000000" w:themeColor="text1"/>
          <w:kern w:val="0"/>
          <w:sz w:val="24"/>
          <w:szCs w:val="24"/>
          <w:lang w:val="zh-CN"/>
        </w:rPr>
        <w:t>一个核心产品</w:t>
      </w:r>
      <w:r>
        <w:rPr>
          <w:rFonts w:hint="eastAsia" w:ascii="Helvetica" w:hAnsi="Helvetica" w:cs="Helvetica"/>
          <w:color w:val="000000" w:themeColor="text1"/>
          <w:kern w:val="0"/>
          <w:sz w:val="24"/>
          <w:szCs w:val="24"/>
          <w:lang w:val="zh-CN"/>
        </w:rPr>
        <w:t>（采购清单中作“相同〈或同一〉品牌”实质性要求的产品，视为一个核心产品），并以</w:t>
      </w:r>
      <w:r>
        <w:rPr>
          <w:rFonts w:hint="eastAsia" w:ascii="Helvetica" w:hAnsi="Helvetica" w:cs="Helvetica"/>
          <w:b/>
          <w:color w:val="000000" w:themeColor="text1"/>
          <w:kern w:val="0"/>
          <w:sz w:val="24"/>
          <w:szCs w:val="24"/>
          <w:lang w:val="zh-CN"/>
        </w:rPr>
        <w:t>“</w:t>
      </w:r>
      <w:r>
        <w:rPr>
          <w:rFonts w:hint="eastAsia" w:ascii="MS Gothic" w:hAnsi="MS Gothic" w:cs="MS Gothic"/>
          <w:b/>
          <w:color w:val="000000" w:themeColor="text1"/>
          <w:kern w:val="0"/>
          <w:sz w:val="24"/>
          <w:szCs w:val="24"/>
          <w:lang w:val="zh-CN"/>
        </w:rPr>
        <w:t>核心产品</w:t>
      </w:r>
      <w:r>
        <w:rPr>
          <w:rFonts w:hint="eastAsia" w:ascii="Helvetica" w:hAnsi="Helvetica" w:cs="Helvetica"/>
          <w:b/>
          <w:color w:val="000000" w:themeColor="text1"/>
          <w:kern w:val="0"/>
          <w:sz w:val="24"/>
          <w:szCs w:val="24"/>
          <w:lang w:val="zh-CN"/>
        </w:rPr>
        <w:t>”</w:t>
      </w:r>
      <w:r>
        <w:rPr>
          <w:rFonts w:hint="eastAsia" w:ascii="Helvetica" w:hAnsi="Helvetica" w:cs="Helvetica"/>
          <w:color w:val="000000" w:themeColor="text1"/>
          <w:kern w:val="0"/>
          <w:sz w:val="24"/>
          <w:szCs w:val="24"/>
          <w:lang w:val="zh-CN"/>
        </w:rPr>
        <w:t>在招标文件中标注。</w:t>
      </w:r>
    </w:p>
    <w:p>
      <w:pPr>
        <w:numPr>
          <w:ilvl w:val="0"/>
          <w:numId w:val="48"/>
        </w:numPr>
        <w:tabs>
          <w:tab w:val="left" w:pos="616"/>
        </w:tabs>
        <w:spacing w:line="360" w:lineRule="auto"/>
        <w:ind w:left="10" w:leftChars="5" w:firstLine="237" w:firstLineChars="99"/>
        <w:rPr>
          <w:rFonts w:ascii="宋体"/>
          <w:b/>
          <w:bCs/>
          <w:color w:val="000000" w:themeColor="text1"/>
          <w:sz w:val="24"/>
          <w:szCs w:val="20"/>
          <w:lang w:val="zh-CN"/>
        </w:rPr>
      </w:pPr>
      <w:r>
        <w:rPr>
          <w:rFonts w:hint="eastAsia" w:ascii="宋体" w:hAnsi="宋体"/>
          <w:b/>
          <w:bCs/>
          <w:color w:val="000000" w:themeColor="text1"/>
          <w:sz w:val="24"/>
          <w:szCs w:val="20"/>
          <w:lang w:val="zh-CN"/>
        </w:rPr>
        <w:t>计分办法</w:t>
      </w:r>
    </w:p>
    <w:p>
      <w:pPr>
        <w:numPr>
          <w:ilvl w:val="0"/>
          <w:numId w:val="52"/>
        </w:numPr>
        <w:adjustRightInd w:val="0"/>
        <w:spacing w:line="360" w:lineRule="auto"/>
        <w:ind w:left="756" w:hanging="507"/>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集中采购机构对各评委的总分进行复核。各项统计结果均精确到小数点后两位。</w:t>
      </w:r>
    </w:p>
    <w:p>
      <w:pPr>
        <w:numPr>
          <w:ilvl w:val="0"/>
          <w:numId w:val="52"/>
        </w:numPr>
        <w:adjustRightInd w:val="0"/>
        <w:spacing w:line="360" w:lineRule="auto"/>
        <w:ind w:left="756" w:hanging="507"/>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各投标人的最终得分为评委所评定分数的算术平均值。</w:t>
      </w:r>
    </w:p>
    <w:p>
      <w:pPr>
        <w:numPr>
          <w:ilvl w:val="0"/>
          <w:numId w:val="44"/>
        </w:numPr>
        <w:ind w:left="1311" w:leftChars="154" w:hanging="988" w:hangingChars="353"/>
        <w:rPr>
          <w:rFonts w:ascii="宋体"/>
          <w:b/>
          <w:color w:val="000000" w:themeColor="text1"/>
          <w:sz w:val="28"/>
          <w:szCs w:val="28"/>
          <w:lang w:val="zh-CN"/>
        </w:rPr>
      </w:pPr>
      <w:r>
        <w:rPr>
          <w:rFonts w:hint="eastAsia" w:ascii="宋体" w:hAnsi="宋体"/>
          <w:b/>
          <w:color w:val="000000" w:themeColor="text1"/>
          <w:sz w:val="28"/>
          <w:szCs w:val="28"/>
          <w:lang w:val="zh-CN"/>
        </w:rPr>
        <w:t>推荐中标候选人名单或确定中标人</w:t>
      </w:r>
    </w:p>
    <w:p>
      <w:pPr>
        <w:numPr>
          <w:ilvl w:val="0"/>
          <w:numId w:val="53"/>
        </w:numPr>
        <w:tabs>
          <w:tab w:val="left" w:pos="616"/>
        </w:tabs>
        <w:spacing w:line="360" w:lineRule="auto"/>
        <w:ind w:left="10" w:leftChars="5" w:firstLine="237" w:firstLineChars="99"/>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3"/>
        </w:numPr>
        <w:tabs>
          <w:tab w:val="left" w:pos="616"/>
        </w:tabs>
        <w:spacing w:line="360" w:lineRule="auto"/>
        <w:ind w:left="10" w:leftChars="5" w:firstLine="237" w:firstLineChars="99"/>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3"/>
        </w:numPr>
        <w:tabs>
          <w:tab w:val="left" w:pos="616"/>
        </w:tabs>
        <w:spacing w:line="360" w:lineRule="auto"/>
        <w:ind w:left="10" w:leftChars="5" w:firstLine="237" w:firstLineChars="99"/>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中标候选人并列的，由采购人确定或者采购人委托评标委员会以投票方式确定中标人。</w:t>
      </w:r>
    </w:p>
    <w:p>
      <w:pPr>
        <w:numPr>
          <w:ilvl w:val="0"/>
          <w:numId w:val="53"/>
        </w:numPr>
        <w:tabs>
          <w:tab w:val="left" w:pos="616"/>
        </w:tabs>
        <w:spacing w:line="360" w:lineRule="auto"/>
        <w:ind w:left="10" w:leftChars="5" w:firstLine="237" w:firstLineChars="99"/>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3"/>
        </w:numPr>
        <w:tabs>
          <w:tab w:val="left" w:pos="616"/>
        </w:tabs>
        <w:spacing w:line="360" w:lineRule="auto"/>
        <w:ind w:left="10" w:leftChars="5" w:firstLine="237" w:firstLineChars="99"/>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中标人的数量有其他规定的，应在此处明确方法、中标比例等。</w:t>
      </w:r>
    </w:p>
    <w:p>
      <w:pPr>
        <w:tabs>
          <w:tab w:val="left" w:pos="616"/>
        </w:tabs>
        <w:spacing w:line="360" w:lineRule="auto"/>
        <w:rPr>
          <w:rFonts w:ascii="Helvetica" w:hAnsi="Helvetica" w:cs="Helvetica"/>
          <w:color w:val="000000" w:themeColor="text1"/>
          <w:kern w:val="0"/>
          <w:sz w:val="24"/>
          <w:szCs w:val="24"/>
          <w:lang w:val="zh-CN"/>
        </w:rPr>
      </w:pPr>
    </w:p>
    <w:p>
      <w:pPr>
        <w:pStyle w:val="3"/>
        <w:numPr>
          <w:ilvl w:val="0"/>
          <w:numId w:val="43"/>
        </w:numPr>
        <w:spacing w:before="0" w:after="0" w:line="360" w:lineRule="auto"/>
        <w:ind w:left="616" w:hanging="616"/>
        <w:jc w:val="left"/>
        <w:rPr>
          <w:rFonts w:ascii="宋体" w:hAnsi="宋体"/>
          <w:bCs w:val="0"/>
          <w:color w:val="000000" w:themeColor="text1"/>
          <w:sz w:val="30"/>
          <w:szCs w:val="30"/>
          <w:lang w:val="zh-CN"/>
        </w:rPr>
      </w:pPr>
      <w:bookmarkStart w:id="68" w:name="_Toc10738"/>
      <w:bookmarkStart w:id="69" w:name="_Toc494561963"/>
      <w:r>
        <w:rPr>
          <w:rFonts w:hint="eastAsia" w:ascii="宋体" w:hAnsi="宋体"/>
          <w:bCs w:val="0"/>
          <w:color w:val="000000" w:themeColor="text1"/>
          <w:sz w:val="30"/>
          <w:szCs w:val="30"/>
          <w:lang w:val="zh-CN"/>
        </w:rPr>
        <w:t>评审因素及评分标准</w:t>
      </w:r>
      <w:bookmarkEnd w:id="68"/>
      <w:bookmarkEnd w:id="69"/>
    </w:p>
    <w:p>
      <w:pPr>
        <w:jc w:val="center"/>
        <w:rPr>
          <w:rFonts w:ascii="宋体" w:hAnsi="宋体" w:cs="宋体"/>
          <w:b/>
          <w:color w:val="000000" w:themeColor="text1"/>
          <w:sz w:val="28"/>
          <w:szCs w:val="28"/>
        </w:rPr>
      </w:pPr>
      <w:r>
        <w:rPr>
          <w:rFonts w:hint="eastAsia" w:ascii="宋体" w:hAnsi="宋体" w:cs="宋体"/>
          <w:b/>
          <w:color w:val="000000" w:themeColor="text1"/>
          <w:sz w:val="28"/>
          <w:szCs w:val="28"/>
        </w:rPr>
        <w:t>理化生实验室设备采购及安装项目（一包）评分标准</w:t>
      </w:r>
    </w:p>
    <w:p>
      <w:pPr>
        <w:pStyle w:val="9"/>
        <w:rPr>
          <w:rFonts w:hAnsi="宋体"/>
          <w:szCs w:val="21"/>
        </w:rPr>
      </w:pPr>
      <w:r>
        <w:rPr>
          <w:rFonts w:hint="eastAsia" w:hAnsi="宋体"/>
          <w:szCs w:val="21"/>
        </w:rPr>
        <w:t>一、商务报价评分 3</w:t>
      </w:r>
      <w:r>
        <w:rPr>
          <w:rFonts w:hAnsi="宋体"/>
          <w:szCs w:val="21"/>
        </w:rPr>
        <w:t>0</w:t>
      </w:r>
      <w:r>
        <w:rPr>
          <w:rFonts w:hint="eastAsia" w:hAnsi="宋体"/>
          <w:szCs w:val="21"/>
        </w:rPr>
        <w:t>分；</w:t>
      </w:r>
    </w:p>
    <w:p>
      <w:pPr>
        <w:pStyle w:val="9"/>
        <w:rPr>
          <w:rFonts w:hAnsi="宋体"/>
          <w:szCs w:val="21"/>
        </w:rPr>
      </w:pPr>
      <w:r>
        <w:rPr>
          <w:rFonts w:hint="eastAsia" w:hAnsi="宋体"/>
          <w:szCs w:val="21"/>
        </w:rPr>
        <w:t>以供应商有效投标价中的最低价为评标基准价，得满分3</w:t>
      </w:r>
      <w:r>
        <w:rPr>
          <w:rFonts w:hAnsi="宋体"/>
          <w:szCs w:val="21"/>
        </w:rPr>
        <w:t>0</w:t>
      </w:r>
      <w:r>
        <w:rPr>
          <w:rFonts w:hint="eastAsia" w:hAnsi="宋体"/>
          <w:szCs w:val="21"/>
        </w:rPr>
        <w:t>分。商务报价评分计算公式为:投标报价得分=(评标基准价／投标报价)×3</w:t>
      </w:r>
      <w:r>
        <w:rPr>
          <w:rFonts w:hAnsi="宋体"/>
          <w:szCs w:val="21"/>
        </w:rPr>
        <w:t>0</w:t>
      </w:r>
      <w:r>
        <w:rPr>
          <w:rFonts w:hint="eastAsia" w:hAnsi="宋体"/>
          <w:szCs w:val="21"/>
        </w:rPr>
        <w:t>%×100。</w:t>
      </w:r>
    </w:p>
    <w:p>
      <w:pPr>
        <w:pStyle w:val="9"/>
        <w:rPr>
          <w:rFonts w:hAnsi="宋体"/>
          <w:b/>
          <w:szCs w:val="21"/>
        </w:rPr>
      </w:pPr>
      <w:r>
        <w:rPr>
          <w:rFonts w:hint="eastAsia" w:hAnsi="宋体"/>
          <w:szCs w:val="21"/>
        </w:rPr>
        <w:t>符合采购文件规定条件的小、微企业（或监狱企业、残疾人福利性单位），给予评标价格折扣。</w:t>
      </w:r>
      <w:r>
        <w:rPr>
          <w:rFonts w:hint="eastAsia" w:hAnsi="宋体"/>
          <w:b/>
          <w:szCs w:val="21"/>
        </w:rPr>
        <w:t>（投标人报价低于预算价的80%）的，有可能影响产品质量或者不能诚信履约的，应当要求其在评标现场合理的时间内提供书面说明，同时提交证明材料，投标人不能证明其报价合理性的，评标委员会应当将其作为无效投标处理）</w:t>
      </w:r>
    </w:p>
    <w:p>
      <w:pPr>
        <w:pStyle w:val="9"/>
        <w:rPr>
          <w:lang w:val="zh-CN"/>
        </w:rPr>
      </w:pPr>
      <w:r>
        <w:rPr>
          <w:rFonts w:hint="eastAsia" w:hAnsi="宋体"/>
          <w:szCs w:val="21"/>
        </w:rPr>
        <w:t xml:space="preserve">二、技术、服务、资信业绩综合评分  </w:t>
      </w:r>
      <w:r>
        <w:rPr>
          <w:rFonts w:hAnsi="宋体"/>
          <w:szCs w:val="21"/>
        </w:rPr>
        <w:t>70</w:t>
      </w:r>
      <w:r>
        <w:rPr>
          <w:rFonts w:hint="eastAsia" w:hAnsi="宋体"/>
          <w:szCs w:val="21"/>
        </w:rPr>
        <w:t>分</w:t>
      </w:r>
    </w:p>
    <w:tbl>
      <w:tblPr>
        <w:tblStyle w:val="21"/>
        <w:tblW w:w="1004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5"/>
        <w:gridCol w:w="2503"/>
        <w:gridCol w:w="5714"/>
        <w:gridCol w:w="10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szCs w:val="21"/>
              </w:rPr>
            </w:pPr>
            <w:r>
              <w:rPr>
                <w:rFonts w:hint="eastAsia" w:ascii="宋体"/>
                <w:b/>
                <w:bCs/>
                <w:szCs w:val="21"/>
              </w:rPr>
              <w:t>序号</w:t>
            </w:r>
          </w:p>
        </w:tc>
        <w:tc>
          <w:tcPr>
            <w:tcW w:w="2503"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
                <w:bCs/>
                <w:kern w:val="2"/>
                <w:sz w:val="21"/>
                <w:szCs w:val="21"/>
              </w:rPr>
            </w:pPr>
            <w:r>
              <w:rPr>
                <w:rFonts w:hint="eastAsia" w:ascii="宋体"/>
                <w:b/>
                <w:bCs/>
                <w:kern w:val="2"/>
                <w:sz w:val="21"/>
                <w:szCs w:val="21"/>
              </w:rPr>
              <w:t>评审内容</w:t>
            </w:r>
          </w:p>
        </w:tc>
        <w:tc>
          <w:tcPr>
            <w:tcW w:w="5714" w:type="dxa"/>
            <w:tcBorders>
              <w:top w:val="single" w:color="auto" w:sz="4" w:space="0"/>
              <w:left w:val="single" w:color="auto" w:sz="4" w:space="0"/>
              <w:bottom w:val="single" w:color="auto" w:sz="4" w:space="0"/>
              <w:right w:val="single" w:color="auto" w:sz="4" w:space="0"/>
            </w:tcBorders>
            <w:vAlign w:val="center"/>
          </w:tcPr>
          <w:p>
            <w:pPr>
              <w:pStyle w:val="16"/>
              <w:ind w:firstLine="482"/>
              <w:jc w:val="center"/>
              <w:rPr>
                <w:rFonts w:ascii="宋体"/>
                <w:b/>
                <w:bCs/>
                <w:kern w:val="2"/>
                <w:sz w:val="21"/>
                <w:szCs w:val="21"/>
              </w:rPr>
            </w:pPr>
            <w:r>
              <w:rPr>
                <w:rFonts w:hint="eastAsia" w:ascii="宋体"/>
                <w:b/>
                <w:bCs/>
                <w:kern w:val="2"/>
                <w:sz w:val="21"/>
                <w:szCs w:val="21"/>
              </w:rPr>
              <w:t>评分标准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
                <w:bCs/>
                <w:kern w:val="2"/>
                <w:sz w:val="21"/>
                <w:szCs w:val="21"/>
              </w:rPr>
            </w:pPr>
            <w:r>
              <w:rPr>
                <w:rFonts w:hint="eastAsia" w:ascii="宋体"/>
                <w:b/>
                <w:bCs/>
                <w:kern w:val="2"/>
                <w:sz w:val="21"/>
                <w:szCs w:val="21"/>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4" w:hRule="atLeast"/>
          <w:jc w:val="center"/>
        </w:trPr>
        <w:tc>
          <w:tcPr>
            <w:tcW w:w="9002" w:type="dxa"/>
            <w:gridSpan w:val="3"/>
            <w:tcBorders>
              <w:top w:val="single" w:color="auto" w:sz="4" w:space="0"/>
              <w:left w:val="single" w:color="auto" w:sz="4" w:space="0"/>
              <w:bottom w:val="single" w:color="auto" w:sz="4" w:space="0"/>
              <w:right w:val="single" w:color="auto" w:sz="4" w:space="0"/>
            </w:tcBorders>
            <w:vAlign w:val="center"/>
          </w:tcPr>
          <w:p>
            <w:pPr>
              <w:pStyle w:val="16"/>
              <w:jc w:val="center"/>
              <w:rPr>
                <w:rFonts w:ascii="宋体"/>
                <w:b/>
                <w:kern w:val="2"/>
                <w:sz w:val="21"/>
                <w:szCs w:val="21"/>
              </w:rPr>
            </w:pPr>
            <w:r>
              <w:rPr>
                <w:rFonts w:hint="eastAsia" w:ascii="宋体" w:hAnsi="宋体"/>
                <w:b/>
                <w:kern w:val="2"/>
                <w:sz w:val="21"/>
                <w:szCs w:val="21"/>
              </w:rPr>
              <w:t>一、</w:t>
            </w:r>
            <w:r>
              <w:rPr>
                <w:rFonts w:hint="eastAsia" w:ascii="宋体"/>
                <w:b/>
                <w:bCs/>
                <w:kern w:val="2"/>
                <w:sz w:val="21"/>
                <w:szCs w:val="21"/>
              </w:rPr>
              <w:t>商务资信分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
                <w:kern w:val="2"/>
                <w:sz w:val="21"/>
                <w:szCs w:val="21"/>
              </w:rPr>
            </w:pPr>
            <w:r>
              <w:rPr>
                <w:rFonts w:hint="eastAsia" w:ascii="宋体"/>
                <w:b/>
                <w:kern w:val="2"/>
                <w:sz w:val="21"/>
                <w:szCs w:val="21"/>
              </w:rPr>
              <w:t>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1</w:t>
            </w:r>
          </w:p>
        </w:tc>
        <w:tc>
          <w:tcPr>
            <w:tcW w:w="2503"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标书质量</w:t>
            </w:r>
          </w:p>
        </w:tc>
        <w:tc>
          <w:tcPr>
            <w:tcW w:w="5714" w:type="dxa"/>
            <w:tcBorders>
              <w:top w:val="single" w:color="auto" w:sz="4" w:space="0"/>
              <w:left w:val="single" w:color="auto" w:sz="4" w:space="0"/>
              <w:bottom w:val="single" w:color="auto" w:sz="4" w:space="0"/>
              <w:right w:val="single" w:color="auto" w:sz="4" w:space="0"/>
            </w:tcBorders>
            <w:vAlign w:val="center"/>
          </w:tcPr>
          <w:p>
            <w:pPr>
              <w:pStyle w:val="16"/>
              <w:ind w:left="0" w:leftChars="0"/>
              <w:rPr>
                <w:rFonts w:ascii="宋体"/>
                <w:bCs/>
                <w:kern w:val="2"/>
                <w:sz w:val="21"/>
                <w:szCs w:val="21"/>
              </w:rPr>
            </w:pPr>
            <w:r>
              <w:rPr>
                <w:rFonts w:hint="eastAsia" w:ascii="宋体" w:hAnsi="宋体" w:cs="宋体"/>
                <w:bCs/>
                <w:kern w:val="2"/>
                <w:sz w:val="21"/>
                <w:szCs w:val="21"/>
              </w:rPr>
              <w:t>根据投标文件编制完整性、格式是否规范、装订是否整齐、符合招标文件要求程度等：0～2分。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75" w:hRule="atLeast"/>
          <w:jc w:val="center"/>
        </w:trPr>
        <w:tc>
          <w:tcPr>
            <w:tcW w:w="785" w:type="dxa"/>
            <w:vMerge w:val="restart"/>
            <w:tcBorders>
              <w:top w:val="single" w:color="auto" w:sz="4" w:space="0"/>
              <w:left w:val="single" w:color="auto" w:sz="4" w:space="0"/>
              <w:right w:val="single" w:color="auto" w:sz="4" w:space="0"/>
            </w:tcBorders>
            <w:vAlign w:val="center"/>
          </w:tcPr>
          <w:p>
            <w:pPr>
              <w:pStyle w:val="61"/>
              <w:ind w:firstLine="222" w:firstLineChars="100"/>
              <w:rPr>
                <w:bCs/>
                <w:sz w:val="21"/>
                <w:szCs w:val="21"/>
              </w:rPr>
            </w:pPr>
            <w:r>
              <w:rPr>
                <w:rFonts w:hint="eastAsia"/>
                <w:bCs/>
                <w:sz w:val="21"/>
                <w:szCs w:val="21"/>
              </w:rPr>
              <w:t>2</w:t>
            </w:r>
          </w:p>
        </w:tc>
        <w:tc>
          <w:tcPr>
            <w:tcW w:w="2503" w:type="dxa"/>
            <w:vMerge w:val="restart"/>
            <w:tcBorders>
              <w:top w:val="single" w:color="auto" w:sz="4" w:space="0"/>
              <w:left w:val="single" w:color="auto" w:sz="4" w:space="0"/>
              <w:right w:val="single" w:color="auto" w:sz="4" w:space="0"/>
            </w:tcBorders>
            <w:vAlign w:val="center"/>
          </w:tcPr>
          <w:p>
            <w:pPr>
              <w:pStyle w:val="61"/>
              <w:ind w:firstLine="0"/>
              <w:jc w:val="center"/>
              <w:rPr>
                <w:bCs/>
                <w:sz w:val="21"/>
                <w:szCs w:val="21"/>
              </w:rPr>
            </w:pPr>
            <w:r>
              <w:rPr>
                <w:rFonts w:hint="eastAsia"/>
                <w:bCs/>
                <w:sz w:val="21"/>
                <w:szCs w:val="21"/>
              </w:rPr>
              <w:t>投标人实力和资质</w:t>
            </w:r>
          </w:p>
        </w:tc>
        <w:tc>
          <w:tcPr>
            <w:tcW w:w="5714" w:type="dxa"/>
            <w:tcBorders>
              <w:top w:val="single" w:color="auto" w:sz="4" w:space="0"/>
              <w:left w:val="single" w:color="auto" w:sz="4" w:space="0"/>
              <w:bottom w:val="single" w:color="auto" w:sz="4" w:space="0"/>
              <w:right w:val="single" w:color="auto" w:sz="4" w:space="0"/>
            </w:tcBorders>
            <w:vAlign w:val="center"/>
          </w:tcPr>
          <w:p>
            <w:pPr>
              <w:rPr>
                <w:rFonts w:ascii="宋体"/>
                <w:bCs/>
                <w:color w:val="0000FF"/>
                <w:szCs w:val="21"/>
              </w:rPr>
            </w:pPr>
            <w:r>
              <w:rPr>
                <w:rFonts w:hint="eastAsia" w:ascii="宋体"/>
                <w:bCs/>
                <w:color w:val="0000FF"/>
                <w:szCs w:val="21"/>
              </w:rPr>
              <w:t>根据投标人技术实力情况及投标人其他实力的认证或认定证书等：</w:t>
            </w:r>
          </w:p>
          <w:p>
            <w:pPr>
              <w:rPr>
                <w:rFonts w:ascii="宋体" w:hAnsi="宋体" w:cs="宋体"/>
                <w:bCs/>
                <w:color w:val="0000FF"/>
                <w:szCs w:val="21"/>
              </w:rPr>
            </w:pPr>
            <w:r>
              <w:rPr>
                <w:rFonts w:hint="eastAsia" w:ascii="宋体" w:hAnsi="宋体" w:cs="宋体"/>
                <w:bCs/>
                <w:color w:val="0000FF"/>
                <w:szCs w:val="21"/>
              </w:rPr>
              <w:t>1.投标人提供职业健康安全管理体系认证证书的得1分；</w:t>
            </w:r>
          </w:p>
          <w:p>
            <w:pPr>
              <w:rPr>
                <w:rFonts w:ascii="宋体" w:hAnsi="宋体" w:cs="宋体"/>
                <w:bCs/>
                <w:color w:val="0000FF"/>
                <w:szCs w:val="21"/>
              </w:rPr>
            </w:pPr>
            <w:r>
              <w:rPr>
                <w:rFonts w:hint="eastAsia" w:ascii="宋体" w:hAnsi="宋体" w:cs="宋体"/>
                <w:bCs/>
                <w:color w:val="0000FF"/>
                <w:szCs w:val="21"/>
              </w:rPr>
              <w:t>2.投标人提供质量管理体系认证证书的得1分；</w:t>
            </w:r>
          </w:p>
          <w:p>
            <w:pPr>
              <w:pStyle w:val="62"/>
              <w:rPr>
                <w:rFonts w:ascii="宋体" w:hAnsi="宋体" w:cs="宋体"/>
                <w:bCs/>
                <w:color w:val="0000FF"/>
                <w:sz w:val="21"/>
                <w:szCs w:val="21"/>
              </w:rPr>
            </w:pPr>
            <w:r>
              <w:rPr>
                <w:rFonts w:hint="eastAsia" w:ascii="宋体" w:hAnsi="宋体" w:cs="宋体"/>
                <w:bCs/>
                <w:color w:val="0000FF"/>
                <w:sz w:val="21"/>
                <w:szCs w:val="21"/>
              </w:rPr>
              <w:t>3.提供环境管理体系体系认证证书得1分</w:t>
            </w:r>
          </w:p>
          <w:p>
            <w:pPr>
              <w:rPr>
                <w:rFonts w:ascii="宋体"/>
                <w:bCs/>
                <w:color w:val="FF0000"/>
                <w:szCs w:val="21"/>
              </w:rPr>
            </w:pPr>
            <w:r>
              <w:rPr>
                <w:rFonts w:hint="eastAsia" w:ascii="宋体"/>
                <w:b/>
                <w:bCs/>
                <w:color w:val="0000FF"/>
                <w:szCs w:val="21"/>
              </w:rPr>
              <w:t>注：提供有关资料复印件编入商务与技术文件，但认证（或认定）证书资料须在投标时带原件备查，未提供原件者不得分。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color w:val="0000FF"/>
                <w:kern w:val="2"/>
                <w:sz w:val="21"/>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25" w:hRule="atLeast"/>
          <w:jc w:val="center"/>
        </w:trPr>
        <w:tc>
          <w:tcPr>
            <w:tcW w:w="785" w:type="dxa"/>
            <w:vMerge w:val="continue"/>
            <w:tcBorders>
              <w:left w:val="single" w:color="auto" w:sz="4" w:space="0"/>
              <w:bottom w:val="single" w:color="auto" w:sz="4" w:space="0"/>
              <w:right w:val="single" w:color="auto" w:sz="4" w:space="0"/>
            </w:tcBorders>
            <w:vAlign w:val="center"/>
          </w:tcPr>
          <w:p>
            <w:pPr>
              <w:pStyle w:val="61"/>
              <w:jc w:val="center"/>
              <w:rPr>
                <w:bCs/>
                <w:sz w:val="21"/>
                <w:szCs w:val="21"/>
              </w:rPr>
            </w:pPr>
          </w:p>
        </w:tc>
        <w:tc>
          <w:tcPr>
            <w:tcW w:w="2503" w:type="dxa"/>
            <w:vMerge w:val="continue"/>
            <w:tcBorders>
              <w:left w:val="single" w:color="auto" w:sz="4" w:space="0"/>
              <w:bottom w:val="single" w:color="auto" w:sz="4" w:space="0"/>
              <w:right w:val="single" w:color="auto" w:sz="4" w:space="0"/>
            </w:tcBorders>
            <w:vAlign w:val="center"/>
          </w:tcPr>
          <w:p>
            <w:pPr>
              <w:pStyle w:val="61"/>
              <w:jc w:val="center"/>
              <w:rPr>
                <w:bCs/>
                <w:sz w:val="21"/>
                <w:szCs w:val="21"/>
              </w:rPr>
            </w:pPr>
          </w:p>
        </w:tc>
        <w:tc>
          <w:tcPr>
            <w:tcW w:w="5714" w:type="dxa"/>
            <w:tcBorders>
              <w:top w:val="single" w:color="auto" w:sz="4" w:space="0"/>
              <w:left w:val="single" w:color="auto" w:sz="4" w:space="0"/>
              <w:bottom w:val="single" w:color="auto" w:sz="4" w:space="0"/>
              <w:right w:val="single" w:color="auto" w:sz="4" w:space="0"/>
            </w:tcBorders>
            <w:vAlign w:val="center"/>
          </w:tcPr>
          <w:p>
            <w:pPr>
              <w:jc w:val="left"/>
              <w:rPr>
                <w:rFonts w:ascii="宋体"/>
                <w:bCs/>
                <w:szCs w:val="21"/>
              </w:rPr>
            </w:pPr>
          </w:p>
          <w:p>
            <w:pPr>
              <w:rPr>
                <w:rFonts w:ascii="宋体"/>
                <w:b/>
                <w:bCs/>
                <w:szCs w:val="21"/>
              </w:rPr>
            </w:pPr>
            <w:r>
              <w:rPr>
                <w:rFonts w:hint="eastAsia" w:ascii="宋体"/>
                <w:bCs/>
                <w:szCs w:val="21"/>
              </w:rPr>
              <w:t>具有中国环境标志产品认证证书得2分</w:t>
            </w:r>
            <w:r>
              <w:rPr>
                <w:rFonts w:hint="eastAsia" w:ascii="宋体" w:hAnsi="宋体"/>
                <w:szCs w:val="21"/>
              </w:rPr>
              <w:t xml:space="preserve">。证书需包含实验桌。       </w:t>
            </w:r>
            <w:r>
              <w:rPr>
                <w:rFonts w:hint="eastAsia" w:ascii="宋体"/>
                <w:b/>
                <w:bCs/>
                <w:szCs w:val="21"/>
              </w:rPr>
              <w:t>注：复印件编入商务与技术文件，原件备查，未提供原件者不得分。</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ascii="宋体"/>
                <w:bCs/>
                <w:szCs w:val="21"/>
              </w:rPr>
            </w:pPr>
            <w:r>
              <w:rPr>
                <w:rFonts w:hint="eastAsia" w:ascii="宋体"/>
                <w:bCs/>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1" w:hRule="atLeast"/>
          <w:jc w:val="center"/>
        </w:trPr>
        <w:tc>
          <w:tcPr>
            <w:tcW w:w="785" w:type="dxa"/>
            <w:tcBorders>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3</w:t>
            </w:r>
          </w:p>
        </w:tc>
        <w:tc>
          <w:tcPr>
            <w:tcW w:w="2503" w:type="dxa"/>
            <w:tcBorders>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cs="宋体"/>
                <w:kern w:val="2"/>
                <w:sz w:val="21"/>
                <w:szCs w:val="21"/>
              </w:rPr>
              <w:t>投标人业绩</w:t>
            </w:r>
          </w:p>
        </w:tc>
        <w:tc>
          <w:tcPr>
            <w:tcW w:w="5714" w:type="dxa"/>
            <w:tcBorders>
              <w:top w:val="single" w:color="auto" w:sz="4" w:space="0"/>
              <w:left w:val="single" w:color="auto" w:sz="4" w:space="0"/>
              <w:bottom w:val="single" w:color="auto" w:sz="4" w:space="0"/>
              <w:right w:val="single" w:color="auto" w:sz="4" w:space="0"/>
            </w:tcBorders>
            <w:vAlign w:val="center"/>
          </w:tcPr>
          <w:p>
            <w:pPr>
              <w:pStyle w:val="16"/>
              <w:ind w:left="0" w:leftChars="0"/>
              <w:rPr>
                <w:rFonts w:ascii="宋体" w:hAnsi="宋体" w:cs="宋体"/>
                <w:bCs/>
                <w:color w:val="0000FF"/>
                <w:kern w:val="2"/>
                <w:sz w:val="21"/>
                <w:szCs w:val="21"/>
              </w:rPr>
            </w:pPr>
            <w:r>
              <w:rPr>
                <w:rFonts w:hint="eastAsia" w:ascii="宋体" w:hAnsi="宋体" w:cs="宋体"/>
                <w:bCs/>
                <w:color w:val="0000FF"/>
                <w:kern w:val="2"/>
                <w:sz w:val="21"/>
                <w:szCs w:val="21"/>
              </w:rPr>
              <w:t>投标人近三年内（自2016年7月1号至今具有类似政府采购项目业绩的，每个合同得1分，本项最高得3分。</w:t>
            </w:r>
          </w:p>
          <w:p>
            <w:pPr>
              <w:pStyle w:val="16"/>
              <w:ind w:left="0" w:leftChars="0"/>
              <w:rPr>
                <w:rFonts w:ascii="宋体"/>
                <w:b/>
                <w:bCs/>
                <w:kern w:val="2"/>
                <w:sz w:val="21"/>
                <w:szCs w:val="21"/>
              </w:rPr>
            </w:pPr>
            <w:r>
              <w:rPr>
                <w:rFonts w:hint="eastAsia" w:ascii="宋体"/>
                <w:b/>
                <w:bCs/>
                <w:kern w:val="2"/>
                <w:sz w:val="21"/>
                <w:szCs w:val="21"/>
              </w:rPr>
              <w:t>注：合同复印件编入商务与技术文件，并在投标时提供合同原件、中标通知书原件备查（如无法提供中标通知书原件的，也可以用相关</w:t>
            </w:r>
            <w:r>
              <w:rPr>
                <w:rFonts w:hint="eastAsia" w:ascii="宋体"/>
                <w:b/>
                <w:kern w:val="2"/>
                <w:sz w:val="21"/>
                <w:szCs w:val="21"/>
              </w:rPr>
              <w:t>项目中标结果公示链接网址与截图替代</w:t>
            </w:r>
            <w:r>
              <w:rPr>
                <w:rFonts w:hint="eastAsia" w:ascii="宋体"/>
                <w:b/>
                <w:bCs/>
                <w:kern w:val="2"/>
                <w:sz w:val="21"/>
                <w:szCs w:val="21"/>
              </w:rPr>
              <w:t>）。否则，该合同不计分。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63" w:hRule="atLeast"/>
          <w:jc w:val="center"/>
        </w:trPr>
        <w:tc>
          <w:tcPr>
            <w:tcW w:w="785" w:type="dxa"/>
            <w:tcBorders>
              <w:left w:val="single" w:color="auto" w:sz="4" w:space="0"/>
              <w:bottom w:val="single" w:color="auto" w:sz="4" w:space="0"/>
              <w:right w:val="single" w:color="auto" w:sz="4" w:space="0"/>
            </w:tcBorders>
            <w:vAlign w:val="center"/>
          </w:tcPr>
          <w:p>
            <w:pPr>
              <w:jc w:val="center"/>
              <w:rPr>
                <w:rFonts w:ascii="宋体"/>
                <w:bCs/>
                <w:szCs w:val="21"/>
              </w:rPr>
            </w:pPr>
            <w:r>
              <w:rPr>
                <w:rFonts w:hint="eastAsia" w:ascii="宋体" w:hAnsi="宋体"/>
                <w:szCs w:val="21"/>
              </w:rPr>
              <w:t>4</w:t>
            </w:r>
          </w:p>
        </w:tc>
        <w:tc>
          <w:tcPr>
            <w:tcW w:w="2503" w:type="dxa"/>
            <w:tcBorders>
              <w:left w:val="single" w:color="auto" w:sz="4" w:space="0"/>
              <w:bottom w:val="single" w:color="auto" w:sz="4" w:space="0"/>
              <w:right w:val="single" w:color="auto" w:sz="4" w:space="0"/>
            </w:tcBorders>
            <w:vAlign w:val="center"/>
          </w:tcPr>
          <w:p>
            <w:pPr>
              <w:pStyle w:val="16"/>
              <w:ind w:left="0" w:leftChars="0"/>
              <w:jc w:val="center"/>
              <w:rPr>
                <w:rFonts w:ascii="宋体" w:cs="宋体"/>
                <w:kern w:val="2"/>
                <w:sz w:val="21"/>
                <w:szCs w:val="21"/>
              </w:rPr>
            </w:pPr>
            <w:r>
              <w:rPr>
                <w:rFonts w:hint="eastAsia" w:ascii="宋体"/>
                <w:bCs/>
                <w:kern w:val="2"/>
                <w:sz w:val="21"/>
                <w:szCs w:val="21"/>
              </w:rPr>
              <w:t>节能与环保产品</w:t>
            </w:r>
          </w:p>
        </w:tc>
        <w:tc>
          <w:tcPr>
            <w:tcW w:w="5714" w:type="dxa"/>
            <w:tcBorders>
              <w:top w:val="single" w:color="auto" w:sz="4" w:space="0"/>
              <w:left w:val="single" w:color="auto" w:sz="4" w:space="0"/>
              <w:right w:val="single" w:color="auto" w:sz="4" w:space="0"/>
            </w:tcBorders>
            <w:vAlign w:val="center"/>
          </w:tcPr>
          <w:p>
            <w:pPr>
              <w:widowControl/>
              <w:spacing w:line="300" w:lineRule="exact"/>
              <w:ind w:right="144" w:rightChars="69"/>
              <w:rPr>
                <w:rFonts w:ascii="宋体"/>
                <w:bCs/>
                <w:szCs w:val="21"/>
              </w:rPr>
            </w:pPr>
          </w:p>
          <w:p>
            <w:pPr>
              <w:widowControl/>
              <w:spacing w:line="300" w:lineRule="exact"/>
              <w:ind w:right="144" w:rightChars="69"/>
              <w:rPr>
                <w:rFonts w:ascii="宋体"/>
                <w:b/>
                <w:bCs/>
                <w:szCs w:val="21"/>
              </w:rPr>
            </w:pPr>
            <w:r>
              <w:rPr>
                <w:rFonts w:hint="eastAsia" w:ascii="宋体"/>
                <w:bCs/>
                <w:szCs w:val="21"/>
              </w:rPr>
              <w:t>1、投标产品中有列入最新一期财政部、环境保护部公布的“环境标志产品政府采购清单”的，得2分</w:t>
            </w:r>
            <w:r>
              <w:rPr>
                <w:rFonts w:hint="eastAsia" w:ascii="宋体" w:hAnsi="宋体" w:cs="宋体"/>
                <w:kern w:val="0"/>
                <w:szCs w:val="21"/>
              </w:rPr>
              <w:t>；未提供的，得0分</w:t>
            </w:r>
            <w:r>
              <w:rPr>
                <w:rFonts w:hint="eastAsia" w:ascii="宋体"/>
                <w:bCs/>
                <w:szCs w:val="21"/>
              </w:rPr>
              <w:t>。需</w:t>
            </w:r>
            <w:r>
              <w:rPr>
                <w:rFonts w:hint="eastAsia" w:ascii="宋体"/>
                <w:b/>
                <w:szCs w:val="21"/>
              </w:rPr>
              <w:t>网址与截图</w:t>
            </w:r>
          </w:p>
        </w:tc>
        <w:tc>
          <w:tcPr>
            <w:tcW w:w="1045" w:type="dxa"/>
            <w:tcBorders>
              <w:top w:val="single" w:color="auto" w:sz="4" w:space="0"/>
              <w:left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kern w:val="2"/>
                <w:sz w:val="21"/>
                <w:szCs w:val="21"/>
              </w:rPr>
              <w:t>2</w:t>
            </w:r>
          </w:p>
          <w:p>
            <w:pPr>
              <w:pStyle w:val="16"/>
              <w:jc w:val="center"/>
              <w:rPr>
                <w:rFonts w:ascii="宋体"/>
                <w:bCs/>
                <w:kern w:val="2"/>
                <w:sz w:val="21"/>
                <w:szCs w:val="21"/>
              </w:rPr>
            </w:pPr>
            <w:r>
              <w:rPr>
                <w:rFonts w:hint="eastAsia" w:ascii="宋体"/>
                <w:kern w:val="2"/>
                <w:sz w:val="21"/>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87" w:hRule="atLeast"/>
          <w:jc w:val="center"/>
        </w:trPr>
        <w:tc>
          <w:tcPr>
            <w:tcW w:w="785"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2503" w:type="dxa"/>
            <w:tcBorders>
              <w:top w:val="single" w:color="auto" w:sz="4" w:space="0"/>
              <w:left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售后服务的措施及承诺、优惠内容、培训</w:t>
            </w:r>
          </w:p>
        </w:tc>
        <w:tc>
          <w:tcPr>
            <w:tcW w:w="5714" w:type="dxa"/>
            <w:tcBorders>
              <w:top w:val="single" w:color="auto" w:sz="4" w:space="0"/>
              <w:left w:val="single" w:color="auto" w:sz="4" w:space="0"/>
              <w:right w:val="single" w:color="auto" w:sz="4" w:space="0"/>
            </w:tcBorders>
            <w:vAlign w:val="center"/>
          </w:tcPr>
          <w:p>
            <w:pPr>
              <w:widowControl/>
              <w:spacing w:line="300" w:lineRule="exact"/>
              <w:ind w:right="144" w:rightChars="69"/>
              <w:rPr>
                <w:rFonts w:ascii="宋体" w:hAnsi="宋体" w:cs="宋体"/>
                <w:kern w:val="0"/>
                <w:szCs w:val="21"/>
              </w:rPr>
            </w:pPr>
            <w:r>
              <w:rPr>
                <w:rFonts w:hint="eastAsia" w:ascii="宋体" w:hAnsi="宋体" w:cs="宋体"/>
                <w:kern w:val="0"/>
                <w:szCs w:val="21"/>
              </w:rPr>
              <w:t>1</w:t>
            </w:r>
            <w:r>
              <w:rPr>
                <w:rFonts w:hint="eastAsia" w:ascii="宋体" w:hAnsi="宋体" w:cs="宋体"/>
                <w:color w:val="0000FF"/>
                <w:kern w:val="0"/>
                <w:szCs w:val="21"/>
              </w:rPr>
              <w:t>.距项目实施地最近的服务网点详细介绍（包括地理位置、技术力量、工作业绩、培训。服务内容等）和根据投标人的售后服务措施及承诺</w:t>
            </w:r>
            <w:r>
              <w:rPr>
                <w:rFonts w:hint="eastAsia" w:ascii="宋体" w:hAnsi="宋体" w:cs="宋体"/>
                <w:b/>
                <w:color w:val="0000FF"/>
                <w:kern w:val="0"/>
                <w:szCs w:val="21"/>
              </w:rPr>
              <w:t>（在本地有售后服务机构提供本地营业执照及开户许可证）</w:t>
            </w:r>
            <w:r>
              <w:rPr>
                <w:rFonts w:hint="eastAsia" w:ascii="宋体" w:hAnsi="宋体" w:cs="宋体"/>
                <w:color w:val="0000FF"/>
                <w:kern w:val="0"/>
                <w:szCs w:val="21"/>
              </w:rPr>
              <w:t>需提供相关证明，</w:t>
            </w:r>
            <w:r>
              <w:rPr>
                <w:rFonts w:hint="eastAsia" w:ascii="宋体" w:hAnsi="宋体" w:cs="宋体"/>
                <w:bCs/>
                <w:color w:val="0000FF"/>
                <w:szCs w:val="21"/>
              </w:rPr>
              <w:t>综合比较：第一名得8分；第二名得4分；第三名得1分。</w:t>
            </w:r>
          </w:p>
        </w:tc>
        <w:tc>
          <w:tcPr>
            <w:tcW w:w="1045" w:type="dxa"/>
            <w:tcBorders>
              <w:top w:val="single" w:color="auto" w:sz="4" w:space="0"/>
              <w:left w:val="single" w:color="auto" w:sz="4" w:space="0"/>
              <w:right w:val="single" w:color="auto" w:sz="4" w:space="0"/>
            </w:tcBorders>
            <w:vAlign w:val="center"/>
          </w:tcPr>
          <w:p>
            <w:pPr>
              <w:pStyle w:val="16"/>
              <w:ind w:left="0" w:leftChars="0"/>
              <w:jc w:val="center"/>
              <w:rPr>
                <w:rFonts w:ascii="宋体"/>
                <w:kern w:val="2"/>
                <w:sz w:val="21"/>
                <w:szCs w:val="21"/>
              </w:rPr>
            </w:pPr>
            <w:r>
              <w:rPr>
                <w:rFonts w:hint="eastAsia" w:ascii="宋体"/>
                <w:kern w:val="2"/>
                <w:sz w:val="21"/>
                <w:szCs w:val="21"/>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9002" w:type="dxa"/>
            <w:gridSpan w:val="3"/>
            <w:tcBorders>
              <w:top w:val="single" w:color="auto" w:sz="4" w:space="0"/>
              <w:left w:val="single" w:color="auto" w:sz="4" w:space="0"/>
              <w:bottom w:val="single" w:color="auto" w:sz="4" w:space="0"/>
              <w:right w:val="single" w:color="auto" w:sz="4" w:space="0"/>
            </w:tcBorders>
            <w:vAlign w:val="center"/>
          </w:tcPr>
          <w:p>
            <w:pPr>
              <w:pStyle w:val="16"/>
              <w:ind w:firstLine="482"/>
              <w:jc w:val="center"/>
              <w:rPr>
                <w:rFonts w:ascii="宋体"/>
                <w:b/>
                <w:bCs/>
                <w:kern w:val="2"/>
                <w:sz w:val="21"/>
                <w:szCs w:val="21"/>
              </w:rPr>
            </w:pPr>
            <w:r>
              <w:rPr>
                <w:rFonts w:hint="eastAsia" w:ascii="宋体"/>
                <w:b/>
                <w:bCs/>
                <w:kern w:val="2"/>
                <w:sz w:val="21"/>
                <w:szCs w:val="21"/>
              </w:rPr>
              <w:t>二、技术分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
                <w:bCs/>
                <w:kern w:val="2"/>
                <w:sz w:val="21"/>
                <w:szCs w:val="21"/>
              </w:rPr>
            </w:pPr>
            <w:r>
              <w:rPr>
                <w:rFonts w:hint="eastAsia" w:ascii="宋体"/>
                <w:b/>
                <w:bCs/>
                <w:kern w:val="2"/>
                <w:sz w:val="21"/>
                <w:szCs w:val="21"/>
              </w:rPr>
              <w:t>50分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65"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6</w:t>
            </w:r>
          </w:p>
        </w:tc>
        <w:tc>
          <w:tcPr>
            <w:tcW w:w="2503" w:type="dxa"/>
            <w:tcBorders>
              <w:top w:val="single" w:color="auto" w:sz="4" w:space="0"/>
              <w:left w:val="single" w:color="auto" w:sz="4" w:space="0"/>
              <w:bottom w:val="single" w:color="auto" w:sz="4" w:space="0"/>
              <w:right w:val="single" w:color="auto" w:sz="4" w:space="0"/>
            </w:tcBorders>
            <w:vAlign w:val="center"/>
          </w:tcPr>
          <w:p>
            <w:pPr>
              <w:pStyle w:val="16"/>
              <w:ind w:left="0" w:leftChars="0"/>
              <w:rPr>
                <w:rFonts w:ascii="宋体"/>
                <w:bCs/>
                <w:kern w:val="2"/>
                <w:sz w:val="21"/>
                <w:szCs w:val="21"/>
              </w:rPr>
            </w:pPr>
            <w:r>
              <w:rPr>
                <w:rFonts w:hint="eastAsia" w:ascii="宋体"/>
                <w:bCs/>
                <w:kern w:val="2"/>
                <w:sz w:val="21"/>
                <w:szCs w:val="21"/>
              </w:rPr>
              <w:t>项目组织实施方案</w:t>
            </w:r>
          </w:p>
        </w:tc>
        <w:tc>
          <w:tcPr>
            <w:tcW w:w="5714" w:type="dxa"/>
            <w:tcBorders>
              <w:top w:val="single" w:color="auto" w:sz="4" w:space="0"/>
              <w:left w:val="single" w:color="auto" w:sz="4" w:space="0"/>
              <w:bottom w:val="single" w:color="auto" w:sz="4" w:space="0"/>
              <w:right w:val="single" w:color="auto" w:sz="4" w:space="0"/>
            </w:tcBorders>
            <w:vAlign w:val="center"/>
          </w:tcPr>
          <w:p>
            <w:pPr>
              <w:pStyle w:val="16"/>
              <w:ind w:left="0" w:leftChars="0"/>
              <w:rPr>
                <w:rFonts w:ascii="宋体"/>
                <w:bCs/>
                <w:kern w:val="2"/>
                <w:sz w:val="21"/>
                <w:szCs w:val="21"/>
              </w:rPr>
            </w:pPr>
            <w:r>
              <w:rPr>
                <w:rFonts w:hint="eastAsia" w:ascii="宋体"/>
                <w:bCs/>
                <w:color w:val="0000FF"/>
                <w:kern w:val="2"/>
                <w:sz w:val="21"/>
                <w:szCs w:val="21"/>
              </w:rPr>
              <w:t>根据投标人项目组织实施方案（包括项目工期、确保项目供货和产品质量的措施或方案、项目实施进度安排、项目实施人员资质证明等）的科学性、合理性等：综合比较：第一名3分；第二名得2分；第三名得1分。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73"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7</w:t>
            </w:r>
          </w:p>
        </w:tc>
        <w:tc>
          <w:tcPr>
            <w:tcW w:w="2503" w:type="dxa"/>
            <w:tcBorders>
              <w:top w:val="single" w:color="auto" w:sz="4" w:space="0"/>
              <w:left w:val="single" w:color="auto" w:sz="4" w:space="0"/>
              <w:bottom w:val="single" w:color="auto" w:sz="4" w:space="0"/>
              <w:right w:val="single" w:color="auto" w:sz="4" w:space="0"/>
            </w:tcBorders>
            <w:vAlign w:val="center"/>
          </w:tcPr>
          <w:p>
            <w:pPr>
              <w:pStyle w:val="16"/>
              <w:ind w:left="0" w:leftChars="0"/>
              <w:rPr>
                <w:rFonts w:ascii="宋体"/>
                <w:bCs/>
                <w:kern w:val="2"/>
                <w:sz w:val="21"/>
                <w:szCs w:val="21"/>
              </w:rPr>
            </w:pPr>
            <w:r>
              <w:rPr>
                <w:rFonts w:hint="eastAsia" w:ascii="宋体"/>
                <w:bCs/>
                <w:kern w:val="2"/>
                <w:sz w:val="21"/>
                <w:szCs w:val="21"/>
              </w:rPr>
              <w:t>各教室整体改造、设计方案说明情况</w:t>
            </w:r>
          </w:p>
          <w:p>
            <w:pPr>
              <w:pStyle w:val="16"/>
              <w:ind w:left="0" w:leftChars="0"/>
              <w:jc w:val="center"/>
              <w:rPr>
                <w:rFonts w:ascii="宋体"/>
                <w:bCs/>
                <w:kern w:val="2"/>
                <w:sz w:val="21"/>
                <w:szCs w:val="21"/>
              </w:rPr>
            </w:pPr>
          </w:p>
        </w:tc>
        <w:tc>
          <w:tcPr>
            <w:tcW w:w="5714" w:type="dxa"/>
            <w:tcBorders>
              <w:top w:val="single" w:color="auto" w:sz="4" w:space="0"/>
              <w:left w:val="single" w:color="auto" w:sz="4" w:space="0"/>
              <w:bottom w:val="single" w:color="auto" w:sz="4" w:space="0"/>
              <w:right w:val="single" w:color="auto" w:sz="4" w:space="0"/>
            </w:tcBorders>
            <w:vAlign w:val="center"/>
          </w:tcPr>
          <w:p>
            <w:pPr>
              <w:pStyle w:val="16"/>
              <w:ind w:left="0" w:leftChars="0"/>
              <w:rPr>
                <w:rFonts w:ascii="宋体"/>
                <w:b/>
                <w:color w:val="0000FF"/>
                <w:kern w:val="2"/>
                <w:sz w:val="21"/>
                <w:szCs w:val="21"/>
              </w:rPr>
            </w:pPr>
            <w:r>
              <w:rPr>
                <w:rFonts w:hint="eastAsia" w:ascii="宋体"/>
                <w:bCs/>
                <w:color w:val="0000FF"/>
                <w:kern w:val="2"/>
                <w:sz w:val="21"/>
                <w:szCs w:val="21"/>
              </w:rPr>
              <w:t>根据学校场地整体详细设计方案说明及相关图纸资料（详细的平面图纸、设计方案图纸等）综合比较打分。第一名得8分第二名得4分；第三名1分。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82" w:hRule="atLeast"/>
          <w:jc w:val="center"/>
        </w:trPr>
        <w:tc>
          <w:tcPr>
            <w:tcW w:w="785" w:type="dxa"/>
            <w:vMerge w:val="restart"/>
            <w:tcBorders>
              <w:top w:val="single" w:color="auto" w:sz="4" w:space="0"/>
              <w:left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8</w:t>
            </w:r>
          </w:p>
        </w:tc>
        <w:tc>
          <w:tcPr>
            <w:tcW w:w="2503" w:type="dxa"/>
            <w:vMerge w:val="restart"/>
            <w:tcBorders>
              <w:top w:val="single" w:color="auto" w:sz="4" w:space="0"/>
              <w:left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产品检测报告</w:t>
            </w:r>
          </w:p>
        </w:tc>
        <w:tc>
          <w:tcPr>
            <w:tcW w:w="571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bCs/>
                <w:szCs w:val="21"/>
              </w:rPr>
            </w:pPr>
            <w:r>
              <w:rPr>
                <w:rFonts w:hint="eastAsia" w:ascii="宋体"/>
                <w:bCs/>
                <w:szCs w:val="21"/>
              </w:rPr>
              <w:t>提供国家级质量检测部门出具的物理；化学；生物。实验桌检测报告</w:t>
            </w:r>
            <w:r>
              <w:rPr>
                <w:rFonts w:hint="eastAsia" w:ascii="宋体" w:hAnsi="宋体" w:cs="宋体"/>
                <w:bCs/>
                <w:szCs w:val="21"/>
              </w:rPr>
              <w:t>（有效期1年内）</w:t>
            </w:r>
            <w:r>
              <w:rPr>
                <w:rFonts w:hint="eastAsia" w:ascii="宋体"/>
                <w:bCs/>
                <w:szCs w:val="21"/>
              </w:rPr>
              <w:t>，有得3分，无不得分。</w:t>
            </w:r>
          </w:p>
          <w:p>
            <w:pPr>
              <w:spacing w:line="300" w:lineRule="exact"/>
              <w:rPr>
                <w:rFonts w:ascii="宋体"/>
                <w:bCs/>
                <w:szCs w:val="21"/>
              </w:rPr>
            </w:pPr>
            <w:r>
              <w:rPr>
                <w:rFonts w:hint="eastAsia" w:ascii="宋体"/>
                <w:b/>
                <w:szCs w:val="21"/>
              </w:rPr>
              <w:t>注：检测报告复印件</w:t>
            </w:r>
            <w:r>
              <w:rPr>
                <w:rFonts w:hint="eastAsia" w:ascii="宋体"/>
                <w:b/>
                <w:bCs/>
                <w:szCs w:val="21"/>
              </w:rPr>
              <w:t>编入商务与技术文件，原件备查，未提供原件者不得分</w:t>
            </w:r>
            <w:r>
              <w:rPr>
                <w:rFonts w:hint="eastAsia" w:ascii="宋体"/>
                <w:bCs/>
                <w:szCs w:val="21"/>
              </w:rPr>
              <w:t>。</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hAnsi="宋体" w:cs="宋体"/>
                <w:sz w:val="21"/>
                <w:szCs w:val="21"/>
              </w:rPr>
            </w:pPr>
            <w:r>
              <w:rPr>
                <w:rFonts w:hint="eastAsia" w:ascii="宋体" w:hAnsi="宋体" w:cs="宋体"/>
                <w:sz w:val="21"/>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82" w:hRule="atLeast"/>
          <w:jc w:val="center"/>
        </w:trPr>
        <w:tc>
          <w:tcPr>
            <w:tcW w:w="785" w:type="dxa"/>
            <w:vMerge w:val="continue"/>
            <w:tcBorders>
              <w:top w:val="single" w:color="auto" w:sz="4" w:space="0"/>
              <w:left w:val="single" w:color="auto" w:sz="4" w:space="0"/>
              <w:right w:val="single" w:color="auto" w:sz="4" w:space="0"/>
            </w:tcBorders>
            <w:vAlign w:val="center"/>
          </w:tcPr>
          <w:p>
            <w:pPr>
              <w:pStyle w:val="16"/>
              <w:ind w:left="0" w:leftChars="0"/>
              <w:jc w:val="center"/>
              <w:rPr>
                <w:rFonts w:ascii="宋体"/>
                <w:bCs/>
                <w:kern w:val="2"/>
                <w:sz w:val="21"/>
                <w:szCs w:val="21"/>
              </w:rPr>
            </w:pPr>
          </w:p>
        </w:tc>
        <w:tc>
          <w:tcPr>
            <w:tcW w:w="2503" w:type="dxa"/>
            <w:vMerge w:val="continue"/>
            <w:tcBorders>
              <w:top w:val="single" w:color="auto" w:sz="4" w:space="0"/>
              <w:left w:val="single" w:color="auto" w:sz="4" w:space="0"/>
              <w:right w:val="single" w:color="auto" w:sz="4" w:space="0"/>
            </w:tcBorders>
            <w:vAlign w:val="center"/>
          </w:tcPr>
          <w:p>
            <w:pPr>
              <w:pStyle w:val="16"/>
              <w:ind w:left="0" w:leftChars="0"/>
              <w:jc w:val="center"/>
              <w:rPr>
                <w:rFonts w:ascii="宋体"/>
                <w:bCs/>
                <w:kern w:val="2"/>
                <w:sz w:val="21"/>
                <w:szCs w:val="21"/>
              </w:rPr>
            </w:pPr>
          </w:p>
        </w:tc>
        <w:tc>
          <w:tcPr>
            <w:tcW w:w="5714" w:type="dxa"/>
            <w:tcBorders>
              <w:top w:val="single" w:color="auto" w:sz="4" w:space="0"/>
              <w:left w:val="single" w:color="auto" w:sz="4" w:space="0"/>
              <w:bottom w:val="single" w:color="auto" w:sz="4" w:space="0"/>
              <w:right w:val="single" w:color="auto" w:sz="4" w:space="0"/>
            </w:tcBorders>
            <w:vAlign w:val="center"/>
          </w:tcPr>
          <w:p>
            <w:pPr>
              <w:pStyle w:val="16"/>
              <w:ind w:left="0" w:leftChars="0"/>
              <w:rPr>
                <w:rFonts w:ascii="宋体"/>
                <w:bCs/>
                <w:kern w:val="2"/>
                <w:sz w:val="21"/>
                <w:szCs w:val="21"/>
              </w:rPr>
            </w:pPr>
            <w:r>
              <w:rPr>
                <w:rFonts w:hint="eastAsia" w:ascii="宋体" w:hAnsi="宋体" w:cs="宋体"/>
                <w:bCs/>
                <w:kern w:val="2"/>
                <w:sz w:val="21"/>
                <w:szCs w:val="21"/>
              </w:rPr>
              <w:t>投标人需提供本次项目所用</w:t>
            </w:r>
            <w:r>
              <w:rPr>
                <w:rFonts w:hint="eastAsia" w:ascii="宋体" w:hAnsi="宋体" w:cs="宋体"/>
                <w:color w:val="000000"/>
                <w:sz w:val="20"/>
                <w:szCs w:val="20"/>
              </w:rPr>
              <w:t>台面材料必须符合以下技术参数及要求：▲A、 通过国家级质量检测部门出具台面检测报告，正面、反面化学试剂的双面检测，覆盖玻璃板及不覆盖，分级结果为5级，无明显变化。B、甲醛释放量：根据（GB 18580-2001）标准，检测甲醛释放量：≤0.5mg/L。▲、物理性能一一按照 GB/T 17657-2013的标准方法进行检测，结果为：耐干热性能：5级、无明显变化；表面耐香烟灼烧：5级、表面无明显变化；耐高温性能：无裂痕；耐沸水性能：5级，无变化；拉伸强度：112MPa；弯曲强度：155MPa；抗冲击性：6.2mm，无破损；吸水率（24h,23oC）：0.16；耐刮划性：1.5N试件表面无大于90%的连续划痕，表面装饰花纹无破坏现象；（投标人应针对以上台面技术参数要求，提供符合参数的检测报告原件。</w:t>
            </w:r>
            <w:r>
              <w:rPr>
                <w:rFonts w:hint="eastAsia" w:ascii="宋体" w:hAnsi="宋体" w:cs="宋体"/>
                <w:color w:val="000000"/>
                <w:sz w:val="20"/>
                <w:szCs w:val="20"/>
              </w:rPr>
              <w:br w:type="textWrapping"/>
            </w:r>
            <w:r>
              <w:rPr>
                <w:rFonts w:hint="eastAsia" w:ascii="宋体" w:hAnsi="宋体" w:cs="宋体"/>
                <w:bCs/>
                <w:kern w:val="2"/>
                <w:sz w:val="21"/>
                <w:szCs w:val="21"/>
              </w:rPr>
              <w:t>。</w:t>
            </w:r>
            <w:r>
              <w:rPr>
                <w:rFonts w:hint="eastAsia" w:ascii="宋体"/>
                <w:b/>
                <w:kern w:val="2"/>
                <w:sz w:val="21"/>
                <w:szCs w:val="21"/>
              </w:rPr>
              <w:t>注：检验报告复印件</w:t>
            </w:r>
            <w:r>
              <w:rPr>
                <w:rFonts w:hint="eastAsia" w:ascii="宋体"/>
                <w:b/>
                <w:bCs/>
                <w:kern w:val="2"/>
                <w:sz w:val="21"/>
                <w:szCs w:val="21"/>
              </w:rPr>
              <w:t>编入商务与技术文件，原件备查，未提供原件者不得分</w:t>
            </w:r>
            <w:r>
              <w:rPr>
                <w:rFonts w:hint="eastAsia" w:ascii="宋体"/>
                <w:bCs/>
                <w:kern w:val="2"/>
                <w:sz w:val="21"/>
                <w:szCs w:val="21"/>
              </w:rPr>
              <w:t>。</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82" w:hRule="atLeast"/>
          <w:jc w:val="center"/>
        </w:trPr>
        <w:tc>
          <w:tcPr>
            <w:tcW w:w="785" w:type="dxa"/>
            <w:vMerge w:val="continue"/>
            <w:tcBorders>
              <w:top w:val="single" w:color="auto" w:sz="4" w:space="0"/>
              <w:left w:val="single" w:color="auto" w:sz="4" w:space="0"/>
              <w:right w:val="single" w:color="auto" w:sz="4" w:space="0"/>
            </w:tcBorders>
            <w:vAlign w:val="center"/>
          </w:tcPr>
          <w:p>
            <w:pPr>
              <w:pStyle w:val="16"/>
              <w:ind w:left="0" w:leftChars="0"/>
              <w:jc w:val="center"/>
              <w:rPr>
                <w:rFonts w:ascii="宋体"/>
                <w:bCs/>
                <w:kern w:val="2"/>
                <w:sz w:val="21"/>
                <w:szCs w:val="21"/>
              </w:rPr>
            </w:pPr>
          </w:p>
        </w:tc>
        <w:tc>
          <w:tcPr>
            <w:tcW w:w="2503" w:type="dxa"/>
            <w:vMerge w:val="continue"/>
            <w:tcBorders>
              <w:top w:val="single" w:color="auto" w:sz="4" w:space="0"/>
              <w:left w:val="single" w:color="auto" w:sz="4" w:space="0"/>
              <w:right w:val="single" w:color="auto" w:sz="4" w:space="0"/>
            </w:tcBorders>
            <w:vAlign w:val="center"/>
          </w:tcPr>
          <w:p>
            <w:pPr>
              <w:pStyle w:val="16"/>
              <w:ind w:left="0" w:leftChars="0"/>
              <w:jc w:val="center"/>
              <w:rPr>
                <w:rFonts w:ascii="宋体"/>
                <w:bCs/>
                <w:kern w:val="2"/>
                <w:sz w:val="21"/>
                <w:szCs w:val="21"/>
              </w:rPr>
            </w:pPr>
          </w:p>
        </w:tc>
        <w:tc>
          <w:tcPr>
            <w:tcW w:w="5714" w:type="dxa"/>
            <w:tcBorders>
              <w:top w:val="single" w:color="auto" w:sz="4" w:space="0"/>
              <w:left w:val="single" w:color="auto" w:sz="4" w:space="0"/>
              <w:bottom w:val="single" w:color="auto" w:sz="4" w:space="0"/>
              <w:right w:val="single" w:color="auto" w:sz="4" w:space="0"/>
            </w:tcBorders>
            <w:vAlign w:val="center"/>
          </w:tcPr>
          <w:p>
            <w:pPr>
              <w:pStyle w:val="16"/>
              <w:ind w:left="0" w:leftChars="0"/>
              <w:rPr>
                <w:rFonts w:ascii="宋体"/>
                <w:bCs/>
                <w:kern w:val="2"/>
                <w:sz w:val="21"/>
                <w:szCs w:val="21"/>
              </w:rPr>
            </w:pPr>
            <w:r>
              <w:rPr>
                <w:rFonts w:hint="eastAsia" w:ascii="宋体" w:hAnsi="宋体" w:cs="宋体"/>
                <w:bCs/>
                <w:kern w:val="2"/>
                <w:sz w:val="21"/>
                <w:szCs w:val="21"/>
              </w:rPr>
              <w:t>投标人需提供相关检测部门出具的塑粉、符合GB28481-2012（重金属含量达标）的检验报告；钢管、钢板符合QB/T1951.2-2013(抗盐雾）的检验报告；五金件符合QB/T1951.2-2013的检验报告；辅助材料的检验报告得每提供1份得1分，最高得4分。</w:t>
            </w:r>
            <w:r>
              <w:rPr>
                <w:rFonts w:hint="eastAsia" w:ascii="宋体"/>
                <w:b/>
                <w:kern w:val="2"/>
                <w:sz w:val="21"/>
                <w:szCs w:val="21"/>
              </w:rPr>
              <w:t>注：检验报告时间（有效期1年内）；复印件编入商务与技术文件，原件备查，未</w:t>
            </w:r>
            <w:r>
              <w:rPr>
                <w:rFonts w:hint="eastAsia" w:ascii="宋体"/>
                <w:b/>
                <w:bCs/>
                <w:kern w:val="2"/>
                <w:sz w:val="21"/>
                <w:szCs w:val="21"/>
              </w:rPr>
              <w:t>提供原件者不得分。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890" w:hRule="atLeast"/>
          <w:jc w:val="center"/>
        </w:trPr>
        <w:tc>
          <w:tcPr>
            <w:tcW w:w="785" w:type="dxa"/>
            <w:vMerge w:val="continue"/>
            <w:tcBorders>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p>
        </w:tc>
        <w:tc>
          <w:tcPr>
            <w:tcW w:w="2503" w:type="dxa"/>
            <w:vMerge w:val="continue"/>
            <w:tcBorders>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p>
        </w:tc>
        <w:tc>
          <w:tcPr>
            <w:tcW w:w="571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FF0000"/>
                <w:kern w:val="0"/>
                <w:szCs w:val="21"/>
              </w:rPr>
            </w:pPr>
            <w:r>
              <w:rPr>
                <w:rFonts w:hint="eastAsia" w:ascii="宋体" w:hAnsi="宋体" w:cs="宋体"/>
                <w:color w:val="FF0000"/>
                <w:kern w:val="0"/>
                <w:szCs w:val="21"/>
              </w:rPr>
              <w:t>根据投标人所投产品技术参数对招标文件需求的响应程度：</w:t>
            </w:r>
          </w:p>
          <w:p>
            <w:pPr>
              <w:spacing w:line="300" w:lineRule="exact"/>
              <w:rPr>
                <w:rFonts w:ascii="宋体" w:hAnsi="宋体" w:cs="宋体"/>
                <w:color w:val="FF0000"/>
                <w:kern w:val="0"/>
                <w:szCs w:val="21"/>
              </w:rPr>
            </w:pPr>
            <w:r>
              <w:rPr>
                <w:rFonts w:hint="eastAsia" w:ascii="宋体" w:hAnsi="宋体" w:cs="宋体"/>
                <w:color w:val="FF0000"/>
                <w:kern w:val="0"/>
                <w:szCs w:val="21"/>
              </w:rPr>
              <w:t>1.参数指标明显优于或等于招标技术需求，得8分；</w:t>
            </w:r>
          </w:p>
          <w:p>
            <w:pPr>
              <w:spacing w:line="300" w:lineRule="exact"/>
              <w:rPr>
                <w:rFonts w:ascii="宋体" w:hAnsi="宋体" w:cs="宋体"/>
                <w:color w:val="FF0000"/>
                <w:kern w:val="0"/>
                <w:szCs w:val="21"/>
              </w:rPr>
            </w:pPr>
            <w:r>
              <w:rPr>
                <w:rFonts w:hint="eastAsia" w:ascii="宋体" w:hAnsi="宋体" w:cs="宋体"/>
                <w:color w:val="FF0000"/>
                <w:kern w:val="0"/>
                <w:szCs w:val="21"/>
              </w:rPr>
              <w:t>2.参数指标与招标需求基本一致（关键性指标无偏离，其他指标少量负偏离）的，得3分；</w:t>
            </w:r>
          </w:p>
          <w:p>
            <w:pPr>
              <w:spacing w:line="300" w:lineRule="exact"/>
              <w:rPr>
                <w:rFonts w:ascii="宋体"/>
                <w:bCs/>
                <w:szCs w:val="21"/>
              </w:rPr>
            </w:pPr>
            <w:r>
              <w:rPr>
                <w:rFonts w:hint="eastAsia" w:ascii="宋体" w:hAnsi="宋体" w:cs="宋体"/>
                <w:color w:val="FF0000"/>
                <w:kern w:val="0"/>
                <w:szCs w:val="21"/>
              </w:rPr>
              <w:t>3.属其它响应情况的，得1分。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52" w:hRule="atLeast"/>
          <w:jc w:val="center"/>
        </w:trPr>
        <w:tc>
          <w:tcPr>
            <w:tcW w:w="785" w:type="dxa"/>
            <w:vMerge w:val="restart"/>
            <w:tcBorders>
              <w:left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9</w:t>
            </w:r>
          </w:p>
        </w:tc>
        <w:tc>
          <w:tcPr>
            <w:tcW w:w="2503" w:type="dxa"/>
            <w:vMerge w:val="restart"/>
            <w:tcBorders>
              <w:left w:val="single" w:color="auto" w:sz="4" w:space="0"/>
              <w:right w:val="single" w:color="auto" w:sz="4" w:space="0"/>
            </w:tcBorders>
            <w:vAlign w:val="center"/>
          </w:tcPr>
          <w:p>
            <w:pPr>
              <w:pStyle w:val="16"/>
              <w:ind w:left="0" w:leftChars="0"/>
              <w:jc w:val="center"/>
              <w:rPr>
                <w:rFonts w:ascii="宋体"/>
                <w:bCs/>
                <w:kern w:val="2"/>
                <w:sz w:val="21"/>
                <w:szCs w:val="21"/>
              </w:rPr>
            </w:pPr>
            <w:r>
              <w:rPr>
                <w:rFonts w:hint="eastAsia" w:ascii="宋体"/>
                <w:bCs/>
                <w:kern w:val="2"/>
                <w:sz w:val="21"/>
                <w:szCs w:val="21"/>
              </w:rPr>
              <w:t>样品展示</w:t>
            </w:r>
          </w:p>
        </w:tc>
        <w:tc>
          <w:tcPr>
            <w:tcW w:w="5714" w:type="dxa"/>
            <w:tcBorders>
              <w:top w:val="single" w:color="auto" w:sz="4" w:space="0"/>
              <w:left w:val="single" w:color="auto" w:sz="4" w:space="0"/>
              <w:bottom w:val="single" w:color="auto" w:sz="4" w:space="0"/>
              <w:right w:val="single" w:color="auto" w:sz="4" w:space="0"/>
            </w:tcBorders>
            <w:vAlign w:val="center"/>
          </w:tcPr>
          <w:p>
            <w:pPr>
              <w:pStyle w:val="16"/>
              <w:ind w:left="0" w:leftChars="0"/>
              <w:rPr>
                <w:rFonts w:ascii="宋体" w:hAnsi="宋体" w:cs="宋体"/>
                <w:color w:val="0000FF"/>
                <w:sz w:val="21"/>
                <w:szCs w:val="21"/>
              </w:rPr>
            </w:pPr>
            <w:r>
              <w:rPr>
                <w:rFonts w:hint="eastAsia" w:ascii="宋体"/>
                <w:bCs/>
                <w:color w:val="0000FF"/>
                <w:kern w:val="2"/>
                <w:sz w:val="21"/>
                <w:szCs w:val="21"/>
              </w:rPr>
              <w:t>根据投标样品的整体外观与招标文件需求的吻合程度、</w:t>
            </w:r>
            <w:r>
              <w:rPr>
                <w:rFonts w:hint="eastAsia" w:ascii="宋体" w:hAnsi="宋体" w:cs="宋体"/>
                <w:color w:val="0000FF"/>
                <w:sz w:val="21"/>
                <w:szCs w:val="21"/>
              </w:rPr>
              <w:t>制作工艺（包括涂饰情况）、舒适性与质量</w:t>
            </w:r>
            <w:r>
              <w:rPr>
                <w:rFonts w:hint="eastAsia" w:ascii="宋体"/>
                <w:bCs/>
                <w:color w:val="0000FF"/>
                <w:kern w:val="2"/>
                <w:sz w:val="21"/>
                <w:szCs w:val="21"/>
              </w:rPr>
              <w:t>等</w:t>
            </w:r>
            <w:r>
              <w:rPr>
                <w:rFonts w:hint="eastAsia" w:ascii="宋体" w:hAnsi="宋体" w:cs="宋体"/>
                <w:color w:val="0000FF"/>
                <w:sz w:val="21"/>
                <w:szCs w:val="21"/>
              </w:rPr>
              <w:t>（后附样品评分要素）；</w:t>
            </w:r>
            <w:r>
              <w:rPr>
                <w:rFonts w:hint="eastAsia" w:ascii="宋体"/>
                <w:bCs/>
                <w:color w:val="0000FF"/>
                <w:kern w:val="2"/>
                <w:sz w:val="21"/>
                <w:szCs w:val="21"/>
              </w:rPr>
              <w:t>综合比较：第一名得14分；第二名得9分；第三名得5分。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hAnsi="宋体" w:cs="宋体"/>
                <w:sz w:val="21"/>
                <w:szCs w:val="21"/>
              </w:rPr>
            </w:pPr>
            <w:r>
              <w:rPr>
                <w:rFonts w:hint="eastAsia" w:ascii="宋体" w:hAnsi="宋体" w:cs="宋体"/>
                <w:sz w:val="21"/>
                <w:szCs w:val="21"/>
              </w:rPr>
              <w:t>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4" w:hRule="atLeast"/>
          <w:jc w:val="center"/>
        </w:trPr>
        <w:tc>
          <w:tcPr>
            <w:tcW w:w="785" w:type="dxa"/>
            <w:vMerge w:val="continue"/>
            <w:tcBorders>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p>
        </w:tc>
        <w:tc>
          <w:tcPr>
            <w:tcW w:w="2503" w:type="dxa"/>
            <w:vMerge w:val="continue"/>
            <w:tcBorders>
              <w:left w:val="single" w:color="auto" w:sz="4" w:space="0"/>
              <w:bottom w:val="single" w:color="auto" w:sz="4" w:space="0"/>
              <w:right w:val="single" w:color="auto" w:sz="4" w:space="0"/>
            </w:tcBorders>
            <w:vAlign w:val="center"/>
          </w:tcPr>
          <w:p>
            <w:pPr>
              <w:pStyle w:val="16"/>
              <w:ind w:left="0" w:leftChars="0"/>
              <w:jc w:val="center"/>
              <w:rPr>
                <w:rFonts w:ascii="宋体"/>
                <w:bCs/>
                <w:kern w:val="2"/>
                <w:sz w:val="21"/>
                <w:szCs w:val="21"/>
              </w:rPr>
            </w:pPr>
          </w:p>
        </w:tc>
        <w:tc>
          <w:tcPr>
            <w:tcW w:w="5714" w:type="dxa"/>
            <w:tcBorders>
              <w:top w:val="single" w:color="auto" w:sz="4" w:space="0"/>
              <w:left w:val="single" w:color="auto" w:sz="4" w:space="0"/>
              <w:bottom w:val="single" w:color="auto" w:sz="4" w:space="0"/>
              <w:right w:val="single" w:color="auto" w:sz="4" w:space="0"/>
            </w:tcBorders>
            <w:vAlign w:val="center"/>
          </w:tcPr>
          <w:p>
            <w:pPr>
              <w:pStyle w:val="16"/>
              <w:ind w:left="0" w:leftChars="0"/>
              <w:rPr>
                <w:rFonts w:ascii="宋体" w:hAnsi="宋体" w:cs="宋体"/>
                <w:sz w:val="21"/>
                <w:szCs w:val="21"/>
              </w:rPr>
            </w:pPr>
            <w:r>
              <w:rPr>
                <w:rFonts w:hint="eastAsia" w:ascii="宋体" w:hAnsi="宋体" w:cs="宋体"/>
                <w:color w:val="0000FF"/>
                <w:sz w:val="21"/>
                <w:szCs w:val="21"/>
              </w:rPr>
              <w:t>投标人需提供的有害废气处理设施一套。根据现场演示质量打分；综合比较：第一名得5分；第二名得2分；第三名得1分。</w:t>
            </w:r>
          </w:p>
        </w:tc>
        <w:tc>
          <w:tcPr>
            <w:tcW w:w="1045"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2" w:hRule="exac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szCs w:val="21"/>
              </w:rPr>
            </w:pPr>
            <w:r>
              <w:rPr>
                <w:rFonts w:hint="eastAsia" w:ascii="宋体" w:hAnsi="宋体"/>
                <w:b/>
                <w:szCs w:val="21"/>
              </w:rPr>
              <w:t>备注</w:t>
            </w:r>
          </w:p>
        </w:tc>
        <w:tc>
          <w:tcPr>
            <w:tcW w:w="926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cs="宋体"/>
                <w:kern w:val="0"/>
                <w:szCs w:val="21"/>
              </w:rPr>
              <w:t>评委打分小数点后保留一位</w:t>
            </w:r>
          </w:p>
        </w:tc>
      </w:tr>
    </w:tbl>
    <w:p>
      <w:pPr>
        <w:pStyle w:val="9"/>
        <w:rPr>
          <w:rFonts w:hAnsi="宋体"/>
          <w:sz w:val="24"/>
          <w:szCs w:val="24"/>
        </w:rPr>
      </w:pPr>
    </w:p>
    <w:p>
      <w:pPr>
        <w:pStyle w:val="9"/>
        <w:rPr>
          <w:rFonts w:hAnsi="宋体"/>
          <w:sz w:val="24"/>
          <w:szCs w:val="24"/>
        </w:rPr>
      </w:pPr>
      <w:r>
        <w:rPr>
          <w:rFonts w:hint="eastAsia" w:hAnsi="宋体"/>
          <w:sz w:val="24"/>
          <w:szCs w:val="24"/>
        </w:rPr>
        <w:t>附：样品评分要素（注：样品不得带有投标人名称及相关标识）</w:t>
      </w:r>
    </w:p>
    <w:p>
      <w:pPr>
        <w:pStyle w:val="9"/>
        <w:rPr>
          <w:rFonts w:hAnsi="宋体"/>
          <w:sz w:val="24"/>
          <w:szCs w:val="24"/>
        </w:rPr>
      </w:pPr>
      <w:r>
        <w:rPr>
          <w:rFonts w:hint="eastAsia" w:hAnsi="宋体"/>
          <w:sz w:val="24"/>
          <w:szCs w:val="24"/>
        </w:rPr>
        <w:t>1、尺寸、规格、式样、外观的整体效果；</w:t>
      </w:r>
    </w:p>
    <w:p>
      <w:pPr>
        <w:pStyle w:val="9"/>
        <w:rPr>
          <w:rFonts w:hAnsi="宋体"/>
          <w:sz w:val="24"/>
          <w:szCs w:val="24"/>
        </w:rPr>
      </w:pPr>
      <w:r>
        <w:rPr>
          <w:rFonts w:hint="eastAsia" w:hAnsi="宋体"/>
          <w:sz w:val="24"/>
          <w:szCs w:val="24"/>
        </w:rPr>
        <w:t>2、符合技术参数；零件结合应牢固, 整体扎实程度等；</w:t>
      </w:r>
    </w:p>
    <w:p>
      <w:pPr>
        <w:pStyle w:val="9"/>
        <w:rPr>
          <w:rFonts w:hAnsi="宋体"/>
          <w:sz w:val="24"/>
          <w:szCs w:val="24"/>
        </w:rPr>
      </w:pPr>
      <w:r>
        <w:rPr>
          <w:rFonts w:hint="eastAsia" w:hAnsi="宋体"/>
          <w:sz w:val="24"/>
          <w:szCs w:val="24"/>
        </w:rPr>
        <w:t>3，样品不全，或没有提供样品。作无效标处理。</w:t>
      </w:r>
    </w:p>
    <w:p>
      <w:pPr>
        <w:pStyle w:val="9"/>
        <w:rPr>
          <w:rFonts w:hAnsi="宋体"/>
          <w:sz w:val="24"/>
          <w:szCs w:val="24"/>
        </w:rPr>
      </w:pPr>
      <w:r>
        <w:rPr>
          <w:rFonts w:hint="eastAsia" w:hAnsi="宋体"/>
          <w:sz w:val="24"/>
          <w:szCs w:val="24"/>
        </w:rPr>
        <w:t>提供样品清单及时间（因需现场演示接通电源所以样品需开标前一天安装到位）</w:t>
      </w:r>
    </w:p>
    <w:p>
      <w:pPr>
        <w:pStyle w:val="62"/>
        <w:jc w:val="center"/>
        <w:rPr>
          <w:b/>
        </w:rPr>
      </w:pPr>
      <w:r>
        <w:rPr>
          <w:rFonts w:hint="eastAsia" w:ascii="宋体" w:hAnsi="宋体" w:cs="宋体"/>
          <w:b/>
          <w:color w:val="000000" w:themeColor="text1"/>
          <w:sz w:val="24"/>
        </w:rPr>
        <w:br w:type="page"/>
      </w:r>
      <w:r>
        <w:rPr>
          <w:rFonts w:hint="eastAsia"/>
          <w:b/>
        </w:rPr>
        <w:t>样品清单</w:t>
      </w:r>
    </w:p>
    <w:tbl>
      <w:tblPr>
        <w:tblStyle w:val="21"/>
        <w:tblW w:w="8532" w:type="dxa"/>
        <w:jc w:val="center"/>
        <w:tblInd w:w="-7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34"/>
        <w:gridCol w:w="1276"/>
        <w:gridCol w:w="4633"/>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770" w:type="dxa"/>
          </w:tcPr>
          <w:p>
            <w:pPr>
              <w:pStyle w:val="9"/>
              <w:rPr>
                <w:rFonts w:hAnsi="宋体"/>
              </w:rPr>
            </w:pPr>
            <w:r>
              <w:rPr>
                <w:rFonts w:hint="eastAsia" w:hAnsi="宋体"/>
              </w:rPr>
              <w:t>序号</w:t>
            </w:r>
          </w:p>
        </w:tc>
        <w:tc>
          <w:tcPr>
            <w:tcW w:w="1134" w:type="dxa"/>
          </w:tcPr>
          <w:p>
            <w:pPr>
              <w:pStyle w:val="9"/>
              <w:rPr>
                <w:rFonts w:hAnsi="宋体" w:cs="宋体"/>
              </w:rPr>
            </w:pPr>
            <w:r>
              <w:rPr>
                <w:rFonts w:hint="eastAsia" w:hAnsi="宋体"/>
              </w:rPr>
              <w:t>货物名称</w:t>
            </w:r>
          </w:p>
        </w:tc>
        <w:tc>
          <w:tcPr>
            <w:tcW w:w="1276" w:type="dxa"/>
          </w:tcPr>
          <w:p>
            <w:pPr>
              <w:pStyle w:val="9"/>
              <w:rPr>
                <w:rFonts w:hAnsi="宋体" w:cs="宋体"/>
              </w:rPr>
            </w:pPr>
            <w:r>
              <w:rPr>
                <w:rFonts w:hint="eastAsia" w:hAnsi="宋体"/>
              </w:rPr>
              <w:t>规格型号</w:t>
            </w:r>
          </w:p>
        </w:tc>
        <w:tc>
          <w:tcPr>
            <w:tcW w:w="4633" w:type="dxa"/>
          </w:tcPr>
          <w:p>
            <w:pPr>
              <w:pStyle w:val="9"/>
              <w:rPr>
                <w:rFonts w:hAnsi="宋体" w:cs="宋体"/>
              </w:rPr>
            </w:pPr>
            <w:r>
              <w:rPr>
                <w:rFonts w:hint="eastAsia" w:hAnsi="宋体"/>
              </w:rPr>
              <w:t>技术参数</w:t>
            </w:r>
          </w:p>
        </w:tc>
        <w:tc>
          <w:tcPr>
            <w:tcW w:w="719" w:type="dxa"/>
          </w:tcPr>
          <w:p>
            <w:pPr>
              <w:pStyle w:val="9"/>
              <w:rPr>
                <w:rFonts w:hAnsi="宋体" w:cs="宋体"/>
              </w:rPr>
            </w:pPr>
            <w:r>
              <w:rPr>
                <w:rFonts w:hint="eastAsia" w:hAnsi="宋体"/>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2" w:hRule="atLeast"/>
          <w:jc w:val="center"/>
        </w:trPr>
        <w:tc>
          <w:tcPr>
            <w:tcW w:w="770" w:type="dxa"/>
            <w:vAlign w:val="center"/>
          </w:tcPr>
          <w:p>
            <w:pPr>
              <w:jc w:val="center"/>
              <w:rPr>
                <w:rFonts w:ascii="宋体" w:hAnsi="宋体"/>
                <w:color w:val="000000"/>
                <w:szCs w:val="21"/>
              </w:rPr>
            </w:pPr>
            <w:r>
              <w:rPr>
                <w:rFonts w:hint="eastAsia" w:ascii="宋体" w:hAnsi="宋体"/>
                <w:color w:val="000000"/>
                <w:szCs w:val="21"/>
              </w:rPr>
              <w:t>1</w:t>
            </w:r>
          </w:p>
        </w:tc>
        <w:tc>
          <w:tcPr>
            <w:tcW w:w="1134" w:type="dxa"/>
            <w:vAlign w:val="center"/>
          </w:tcPr>
          <w:p>
            <w:pPr>
              <w:jc w:val="center"/>
              <w:rPr>
                <w:rFonts w:ascii="宋体" w:hAnsi="宋体" w:cs="宋体"/>
                <w:szCs w:val="21"/>
              </w:rPr>
            </w:pPr>
            <w:r>
              <w:rPr>
                <w:rFonts w:hint="eastAsia" w:ascii="宋体" w:hAnsi="宋体"/>
                <w:szCs w:val="21"/>
              </w:rPr>
              <w:t>学生实验台</w:t>
            </w:r>
          </w:p>
          <w:p>
            <w:pPr>
              <w:jc w:val="center"/>
              <w:rPr>
                <w:rFonts w:ascii="宋体" w:hAnsi="宋体"/>
                <w:color w:val="000000"/>
                <w:szCs w:val="21"/>
              </w:rPr>
            </w:pPr>
          </w:p>
        </w:tc>
        <w:tc>
          <w:tcPr>
            <w:tcW w:w="1276" w:type="dxa"/>
            <w:vAlign w:val="center"/>
          </w:tcPr>
          <w:p>
            <w:pPr>
              <w:jc w:val="center"/>
              <w:rPr>
                <w:rFonts w:ascii="宋体" w:hAnsi="宋体" w:cs="宋体"/>
                <w:szCs w:val="21"/>
              </w:rPr>
            </w:pPr>
            <w:r>
              <w:rPr>
                <w:rFonts w:hint="eastAsia" w:ascii="宋体" w:hAnsi="宋体"/>
                <w:szCs w:val="21"/>
              </w:rPr>
              <w:t>2800×600×780mm</w:t>
            </w:r>
          </w:p>
          <w:p>
            <w:pPr>
              <w:jc w:val="center"/>
              <w:rPr>
                <w:rFonts w:ascii="宋体" w:hAnsi="宋体"/>
                <w:color w:val="000000"/>
                <w:szCs w:val="21"/>
              </w:rPr>
            </w:pPr>
          </w:p>
        </w:tc>
        <w:tc>
          <w:tcPr>
            <w:tcW w:w="4633" w:type="dxa"/>
            <w:vAlign w:val="center"/>
          </w:tcPr>
          <w:p>
            <w:pPr>
              <w:spacing w:after="240"/>
              <w:jc w:val="center"/>
              <w:rPr>
                <w:rFonts w:ascii="宋体" w:hAnsi="宋体" w:cs="宋体"/>
                <w:szCs w:val="21"/>
              </w:rPr>
            </w:pPr>
            <w:r>
              <w:rPr>
                <w:rFonts w:hint="eastAsia" w:ascii="宋体" w:hAnsi="宋体"/>
                <w:szCs w:val="21"/>
              </w:rPr>
              <w:t>台</w:t>
            </w:r>
            <w:r>
              <w:rPr>
                <w:rFonts w:hint="eastAsia" w:ascii="宋体" w:hAnsi="宋体"/>
                <w:color w:val="FF0000"/>
                <w:szCs w:val="21"/>
              </w:rPr>
              <w:t>面：*采用12mm双面膜实芯理化板，2.8米长台面前后端热压一体成型，时尚美观，耐酸碱、耐冲击、韧性强等特点。</w:t>
            </w:r>
            <w:r>
              <w:rPr>
                <w:rFonts w:hint="eastAsia" w:ascii="宋体" w:hAnsi="宋体"/>
                <w:szCs w:val="21"/>
              </w:rPr>
              <w:br w:type="textWrapping"/>
            </w:r>
            <w:r>
              <w:rPr>
                <w:rFonts w:hint="eastAsia" w:ascii="宋体" w:hAnsi="宋体"/>
                <w:szCs w:val="21"/>
              </w:rPr>
              <w:t>结构：台面为双面膜实芯理化板一体化成型，桌身由桌腿、立柱、前横梁、中横梁、后横梁及加强横支撑件组成。中间设水槽柜，学生位设书包斗、柜体箱。</w:t>
            </w:r>
            <w:r>
              <w:rPr>
                <w:rFonts w:hint="eastAsia" w:ascii="宋体" w:hAnsi="宋体"/>
                <w:szCs w:val="21"/>
              </w:rPr>
              <w:br w:type="textWrapping"/>
            </w:r>
            <w:r>
              <w:rPr>
                <w:rFonts w:hint="eastAsia" w:ascii="宋体" w:hAnsi="宋体"/>
                <w:szCs w:val="21"/>
              </w:rPr>
              <w:t>材料：采用优质铝镁合金材料，材料表面经高压静电喷涂环氧树脂防护层，耐酸碱，耐腐蚀处理。</w:t>
            </w:r>
            <w:r>
              <w:rPr>
                <w:rFonts w:hint="eastAsia" w:ascii="宋体" w:hAnsi="宋体"/>
                <w:szCs w:val="21"/>
              </w:rPr>
              <w:br w:type="textWrapping"/>
            </w:r>
            <w:r>
              <w:rPr>
                <w:rFonts w:hint="eastAsia" w:ascii="宋体" w:hAnsi="宋体"/>
                <w:szCs w:val="21"/>
              </w:rPr>
              <w:t>桌腿：采用工字型压铸铝一次成型，材料表面经高压静电喷涂环氧树脂防护层，耐酸碱，耐腐蚀处理。</w:t>
            </w:r>
            <w:r>
              <w:rPr>
                <w:rFonts w:hint="eastAsia" w:ascii="宋体" w:hAnsi="宋体"/>
                <w:szCs w:val="21"/>
              </w:rPr>
              <w:br w:type="textWrapping"/>
            </w:r>
            <w:r>
              <w:rPr>
                <w:rFonts w:hint="eastAsia" w:ascii="宋体" w:hAnsi="宋体"/>
                <w:szCs w:val="21"/>
              </w:rPr>
              <w:t>上腿：采用长570mm×宽57mm×高130mm。</w:t>
            </w:r>
            <w:r>
              <w:rPr>
                <w:rFonts w:hint="eastAsia" w:ascii="宋体" w:hAnsi="宋体"/>
                <w:szCs w:val="21"/>
              </w:rPr>
              <w:br w:type="textWrapping"/>
            </w:r>
            <w:r>
              <w:rPr>
                <w:rFonts w:hint="eastAsia" w:ascii="宋体" w:hAnsi="宋体"/>
                <w:szCs w:val="21"/>
              </w:rPr>
              <w:t>下腿：采用长505mm×宽57mm×高130mm。</w:t>
            </w:r>
            <w:r>
              <w:rPr>
                <w:rFonts w:hint="eastAsia" w:ascii="宋体" w:hAnsi="宋体"/>
                <w:szCs w:val="21"/>
              </w:rPr>
              <w:br w:type="textWrapping"/>
            </w:r>
            <w:r>
              <w:rPr>
                <w:rFonts w:hint="eastAsia" w:ascii="宋体" w:hAnsi="宋体"/>
                <w:szCs w:val="21"/>
              </w:rPr>
              <w:t>立柱：采用55mm×115mm，壁厚1.5mm。</w:t>
            </w:r>
            <w:r>
              <w:rPr>
                <w:rFonts w:hint="eastAsia" w:ascii="宋体" w:hAnsi="宋体"/>
                <w:szCs w:val="21"/>
              </w:rPr>
              <w:br w:type="textWrapping"/>
            </w:r>
            <w:r>
              <w:rPr>
                <w:rFonts w:hint="eastAsia" w:ascii="宋体" w:hAnsi="宋体"/>
                <w:szCs w:val="21"/>
              </w:rPr>
              <w:t>前横梁：采用33mm×30mm，壁厚1.2mm。</w:t>
            </w:r>
            <w:r>
              <w:rPr>
                <w:rFonts w:hint="eastAsia" w:ascii="宋体" w:hAnsi="宋体"/>
                <w:szCs w:val="21"/>
              </w:rPr>
              <w:br w:type="textWrapping"/>
            </w:r>
            <w:r>
              <w:rPr>
                <w:rFonts w:hint="eastAsia" w:ascii="宋体" w:hAnsi="宋体"/>
                <w:szCs w:val="21"/>
              </w:rPr>
              <w:t>中横梁：采用33mm×30mm，壁厚1.2mm。</w:t>
            </w:r>
            <w:r>
              <w:rPr>
                <w:rFonts w:hint="eastAsia" w:ascii="宋体" w:hAnsi="宋体"/>
                <w:szCs w:val="21"/>
              </w:rPr>
              <w:br w:type="textWrapping"/>
            </w:r>
            <w:r>
              <w:rPr>
                <w:rFonts w:hint="eastAsia" w:ascii="宋体" w:hAnsi="宋体"/>
                <w:szCs w:val="21"/>
              </w:rPr>
              <w:t>后横梁：采用85mm×30mm，壁厚1.2mm，造型截面为后端连续相切弧形，顶端高出台面35mm，可防止台面物体向后滑落、实验用水溢出。</w:t>
            </w:r>
            <w:r>
              <w:rPr>
                <w:rFonts w:hint="eastAsia" w:ascii="宋体" w:hAnsi="宋体"/>
                <w:szCs w:val="21"/>
              </w:rPr>
              <w:br w:type="textWrapping"/>
            </w:r>
            <w:r>
              <w:rPr>
                <w:rFonts w:hint="eastAsia" w:ascii="宋体" w:hAnsi="宋体"/>
                <w:szCs w:val="21"/>
              </w:rPr>
              <w:t>加强横支撑件：采用11mm×100mm，壁厚1.2mm。</w:t>
            </w:r>
            <w:r>
              <w:rPr>
                <w:rFonts w:hint="eastAsia" w:ascii="宋体" w:hAnsi="宋体"/>
                <w:szCs w:val="21"/>
              </w:rPr>
              <w:br w:type="textWrapping"/>
            </w:r>
            <w:r>
              <w:rPr>
                <w:rFonts w:hint="eastAsia" w:ascii="宋体" w:hAnsi="宋体"/>
                <w:szCs w:val="21"/>
              </w:rPr>
              <w:t>书包斗：壁厚4.6mm，采用环保型ABS工程塑料一次性注塑成型。</w:t>
            </w:r>
            <w:r>
              <w:rPr>
                <w:rFonts w:hint="eastAsia" w:ascii="宋体" w:hAnsi="宋体"/>
                <w:szCs w:val="21"/>
              </w:rPr>
              <w:br w:type="textWrapping"/>
            </w:r>
            <w:r>
              <w:rPr>
                <w:rFonts w:hint="eastAsia" w:ascii="宋体" w:hAnsi="宋体"/>
                <w:szCs w:val="21"/>
              </w:rPr>
              <w:t>柜体箱：宽400mm深212mm高753mm，壁厚3.0mm，采用环保型ABS工程塑料一次性注塑成型。</w:t>
            </w:r>
            <w:r>
              <w:rPr>
                <w:rFonts w:hint="eastAsia" w:ascii="宋体" w:hAnsi="宋体"/>
                <w:szCs w:val="21"/>
              </w:rPr>
              <w:br w:type="textWrapping"/>
            </w:r>
            <w:r>
              <w:rPr>
                <w:rFonts w:hint="eastAsia" w:ascii="宋体" w:hAnsi="宋体"/>
                <w:szCs w:val="21"/>
              </w:rPr>
              <w:t>可调脚：高强度可调脚，采用10mm螺纹钢，下部采用环保型PP加耐磨纤维质塑料。</w:t>
            </w:r>
          </w:p>
        </w:tc>
        <w:tc>
          <w:tcPr>
            <w:tcW w:w="719" w:type="dxa"/>
            <w:vAlign w:val="center"/>
          </w:tcPr>
          <w:p>
            <w:pPr>
              <w:jc w:val="center"/>
              <w:rPr>
                <w:rFonts w:ascii="宋体" w:hAnsi="宋体"/>
                <w:color w:val="000000"/>
                <w:szCs w:val="21"/>
              </w:rPr>
            </w:pPr>
            <w:r>
              <w:rPr>
                <w:rFonts w:hint="eastAsia" w:ascii="宋体" w:hAnsi="宋体"/>
                <w:color w:val="000000"/>
                <w:szCs w:val="21"/>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2" w:hRule="atLeast"/>
          <w:jc w:val="center"/>
        </w:trPr>
        <w:tc>
          <w:tcPr>
            <w:tcW w:w="770" w:type="dxa"/>
            <w:vAlign w:val="center"/>
          </w:tcPr>
          <w:p>
            <w:pPr>
              <w:jc w:val="center"/>
              <w:rPr>
                <w:rFonts w:ascii="宋体" w:hAnsi="宋体"/>
                <w:color w:val="000000"/>
                <w:szCs w:val="21"/>
              </w:rPr>
            </w:pPr>
            <w:r>
              <w:rPr>
                <w:rFonts w:hint="eastAsia" w:ascii="宋体" w:hAnsi="宋体"/>
                <w:color w:val="000000"/>
                <w:szCs w:val="21"/>
              </w:rPr>
              <w:t>2</w:t>
            </w:r>
          </w:p>
        </w:tc>
        <w:tc>
          <w:tcPr>
            <w:tcW w:w="1134" w:type="dxa"/>
            <w:vAlign w:val="center"/>
          </w:tcPr>
          <w:p>
            <w:pPr>
              <w:jc w:val="center"/>
              <w:rPr>
                <w:sz w:val="20"/>
                <w:szCs w:val="20"/>
              </w:rPr>
            </w:pPr>
            <w:r>
              <w:rPr>
                <w:rFonts w:hint="eastAsia"/>
                <w:sz w:val="20"/>
                <w:szCs w:val="20"/>
              </w:rPr>
              <w:t>学生水槽柜</w:t>
            </w:r>
            <w:r>
              <w:rPr>
                <w:rFonts w:hint="eastAsia"/>
                <w:b/>
                <w:sz w:val="20"/>
                <w:szCs w:val="20"/>
              </w:rPr>
              <w:t>（需提供样品一个）</w:t>
            </w:r>
          </w:p>
        </w:tc>
        <w:tc>
          <w:tcPr>
            <w:tcW w:w="1276" w:type="dxa"/>
            <w:vAlign w:val="center"/>
          </w:tcPr>
          <w:p>
            <w:pPr>
              <w:jc w:val="center"/>
              <w:rPr>
                <w:rFonts w:ascii="宋体" w:hAnsi="宋体" w:cs="宋体"/>
                <w:sz w:val="20"/>
                <w:szCs w:val="20"/>
              </w:rPr>
            </w:pPr>
            <w:r>
              <w:rPr>
                <w:rFonts w:hint="eastAsia"/>
                <w:sz w:val="20"/>
                <w:szCs w:val="20"/>
              </w:rPr>
              <w:t>500×600×760</w:t>
            </w:r>
          </w:p>
        </w:tc>
        <w:tc>
          <w:tcPr>
            <w:tcW w:w="4633" w:type="dxa"/>
            <w:vAlign w:val="center"/>
          </w:tcPr>
          <w:p>
            <w:pPr>
              <w:spacing w:after="240"/>
              <w:jc w:val="center"/>
              <w:rPr>
                <w:rFonts w:ascii="宋体" w:hAnsi="宋体" w:cs="宋体"/>
                <w:sz w:val="20"/>
                <w:szCs w:val="20"/>
              </w:rPr>
            </w:pPr>
            <w:r>
              <w:rPr>
                <w:rFonts w:hint="eastAsia"/>
                <w:sz w:val="20"/>
                <w:szCs w:val="20"/>
              </w:rPr>
              <w:t>尺寸500*600*840，★台面：采用PP改性材料，塑料注塑模一次性成型，其规格600X500mm，壁厚4.5mm，四周有50mm高挡水沿；水槽内尺寸：380*340*270mm，耐强酸强碱,水槽内右上角带溢水口, 可防止废水回流和堵塞。</w:t>
            </w:r>
            <w:r>
              <w:rPr>
                <w:rFonts w:hint="eastAsia"/>
                <w:sz w:val="20"/>
                <w:szCs w:val="20"/>
              </w:rPr>
              <w:br w:type="textWrapping"/>
            </w:r>
            <w:r>
              <w:rPr>
                <w:rFonts w:hint="eastAsia"/>
                <w:sz w:val="20"/>
                <w:szCs w:val="20"/>
              </w:rPr>
              <w:t>下水系统：采用国际公认的韩国共聚PP材质专用连接管，配有防虹吸，防阻塞装置。</w:t>
            </w:r>
            <w:r>
              <w:rPr>
                <w:rFonts w:hint="eastAsia"/>
                <w:sz w:val="20"/>
                <w:szCs w:val="20"/>
              </w:rPr>
              <w:br w:type="textWrapping"/>
            </w:r>
            <w:r>
              <w:rPr>
                <w:rFonts w:hint="eastAsia"/>
                <w:color w:val="FF0000"/>
                <w:sz w:val="20"/>
                <w:szCs w:val="20"/>
              </w:rPr>
              <w:t>★水柜侧板：600*85*805mm,采用9mmPP材料，塑料注塑模成型和铝合金型材组成，不允许含有三聚氰胺板等板材类构造，表面沙面与光面相结合处理两侧R60mm圆角。</w:t>
            </w:r>
            <w:r>
              <w:rPr>
                <w:rFonts w:hint="eastAsia"/>
                <w:sz w:val="20"/>
                <w:szCs w:val="20"/>
              </w:rPr>
              <w:br w:type="textWrapping"/>
            </w:r>
            <w:r>
              <w:rPr>
                <w:rFonts w:hint="eastAsia"/>
                <w:sz w:val="20"/>
                <w:szCs w:val="20"/>
              </w:rPr>
              <w:t>★水柜门面板：采用优质的8mm厚抗倍特板，配两个自动圆形玻璃门铰链，配以不锈钢镀铬自动拉手。</w:t>
            </w:r>
            <w:r>
              <w:rPr>
                <w:rFonts w:hint="eastAsia"/>
                <w:sz w:val="20"/>
                <w:szCs w:val="20"/>
              </w:rPr>
              <w:br w:type="textWrapping"/>
            </w:r>
            <w:r>
              <w:rPr>
                <w:rFonts w:hint="eastAsia"/>
                <w:sz w:val="20"/>
                <w:szCs w:val="20"/>
              </w:rPr>
              <w:t>箱体支撑固定架：箱体四周采用铝型材，表面经过时效处理和纯环氧树脂塑粉高温固化处理，具有较强的耐蚀性及承重性。</w:t>
            </w:r>
          </w:p>
        </w:tc>
        <w:tc>
          <w:tcPr>
            <w:tcW w:w="719"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vAlign w:val="center"/>
          </w:tcPr>
          <w:p>
            <w:pPr>
              <w:jc w:val="center"/>
              <w:rPr>
                <w:rFonts w:ascii="宋体" w:hAnsi="宋体"/>
                <w:color w:val="000000"/>
                <w:szCs w:val="21"/>
              </w:rPr>
            </w:pPr>
            <w:r>
              <w:rPr>
                <w:rFonts w:hint="eastAsia" w:ascii="宋体" w:hAnsi="宋体"/>
                <w:color w:val="000000"/>
                <w:szCs w:val="21"/>
              </w:rPr>
              <w:t>3</w:t>
            </w:r>
          </w:p>
        </w:tc>
        <w:tc>
          <w:tcPr>
            <w:tcW w:w="1134" w:type="dxa"/>
            <w:vAlign w:val="center"/>
          </w:tcPr>
          <w:p>
            <w:pPr>
              <w:jc w:val="center"/>
              <w:rPr>
                <w:rFonts w:ascii="宋体" w:hAnsi="宋体"/>
                <w:szCs w:val="21"/>
              </w:rPr>
            </w:pPr>
            <w:r>
              <w:rPr>
                <w:rFonts w:hint="eastAsia" w:ascii="宋体" w:hAnsi="宋体"/>
                <w:szCs w:val="21"/>
              </w:rPr>
              <w:t>有害废气处理设施一套</w:t>
            </w:r>
          </w:p>
        </w:tc>
        <w:tc>
          <w:tcPr>
            <w:tcW w:w="1276" w:type="dxa"/>
            <w:vAlign w:val="center"/>
          </w:tcPr>
          <w:p>
            <w:pPr>
              <w:jc w:val="center"/>
              <w:rPr>
                <w:rFonts w:ascii="宋体" w:hAnsi="宋体"/>
                <w:szCs w:val="21"/>
              </w:rPr>
            </w:pPr>
            <w:r>
              <w:rPr>
                <w:rFonts w:hint="eastAsia" w:ascii="宋体" w:hAnsi="宋体"/>
                <w:szCs w:val="21"/>
              </w:rPr>
              <w:t>各厂家自定</w:t>
            </w:r>
          </w:p>
        </w:tc>
        <w:tc>
          <w:tcPr>
            <w:tcW w:w="4633" w:type="dxa"/>
            <w:vAlign w:val="center"/>
          </w:tcPr>
          <w:p>
            <w:pPr>
              <w:spacing w:after="240"/>
              <w:jc w:val="center"/>
              <w:rPr>
                <w:rFonts w:ascii="宋体" w:hAnsi="宋体"/>
                <w:szCs w:val="21"/>
              </w:rPr>
            </w:pPr>
            <w:r>
              <w:rPr>
                <w:rFonts w:hint="eastAsia" w:ascii="宋体" w:hAnsi="宋体"/>
                <w:szCs w:val="21"/>
              </w:rPr>
              <w:t>各厂家自拟</w:t>
            </w:r>
          </w:p>
        </w:tc>
        <w:tc>
          <w:tcPr>
            <w:tcW w:w="719" w:type="dxa"/>
            <w:vAlign w:val="center"/>
          </w:tcPr>
          <w:p>
            <w:pPr>
              <w:jc w:val="center"/>
              <w:rPr>
                <w:rFonts w:ascii="宋体" w:hAnsi="宋体"/>
                <w:color w:val="000000"/>
                <w:szCs w:val="21"/>
              </w:rPr>
            </w:pPr>
            <w:r>
              <w:rPr>
                <w:rFonts w:hint="eastAsia" w:ascii="宋体" w:hAnsi="宋体"/>
                <w:color w:val="000000"/>
                <w:szCs w:val="21"/>
              </w:rPr>
              <w:t>1套</w:t>
            </w:r>
          </w:p>
        </w:tc>
      </w:tr>
    </w:tbl>
    <w:p>
      <w:pPr>
        <w:pStyle w:val="2"/>
      </w:pPr>
      <w:r>
        <w:br w:type="page"/>
      </w:r>
    </w:p>
    <w:p>
      <w:pPr>
        <w:jc w:val="center"/>
        <w:rPr>
          <w:rFonts w:ascii="宋体" w:hAnsi="宋体" w:cs="宋体"/>
          <w:b/>
          <w:color w:val="000000" w:themeColor="text1"/>
          <w:sz w:val="28"/>
          <w:szCs w:val="28"/>
        </w:rPr>
      </w:pPr>
      <w:r>
        <w:rPr>
          <w:rFonts w:hint="eastAsia" w:ascii="宋体" w:hAnsi="宋体" w:cs="宋体"/>
          <w:b/>
          <w:color w:val="000000" w:themeColor="text1"/>
          <w:sz w:val="28"/>
          <w:szCs w:val="28"/>
        </w:rPr>
        <w:t>会议系统设备采购及安装项目（二包）评分标准</w:t>
      </w:r>
    </w:p>
    <w:tbl>
      <w:tblPr>
        <w:tblStyle w:val="21"/>
        <w:tblW w:w="9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892"/>
        <w:gridCol w:w="481"/>
        <w:gridCol w:w="7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shd w:val="pct10" w:color="auto" w:fill="auto"/>
            <w:vAlign w:val="center"/>
          </w:tcPr>
          <w:p>
            <w:pPr>
              <w:spacing w:line="320" w:lineRule="exact"/>
              <w:ind w:left="-48" w:right="-42" w:rightChars="-20"/>
              <w:jc w:val="center"/>
              <w:rPr>
                <w:rFonts w:ascii="宋体" w:hAnsi="宋体"/>
                <w:b/>
                <w:bCs/>
                <w:sz w:val="24"/>
                <w:szCs w:val="24"/>
              </w:rPr>
            </w:pPr>
            <w:r>
              <w:rPr>
                <w:rFonts w:hint="eastAsia" w:ascii="宋体" w:hAnsi="宋体"/>
                <w:b/>
                <w:bCs/>
                <w:sz w:val="24"/>
                <w:szCs w:val="24"/>
              </w:rPr>
              <w:t>评标</w:t>
            </w:r>
          </w:p>
          <w:p>
            <w:pPr>
              <w:ind w:left="-77" w:leftChars="-37" w:right="-86" w:rightChars="-41"/>
              <w:jc w:val="center"/>
              <w:rPr>
                <w:rFonts w:ascii="宋体" w:hAnsi="宋体" w:cs="Courier New"/>
                <w:b/>
                <w:bCs/>
                <w:sz w:val="24"/>
                <w:szCs w:val="24"/>
              </w:rPr>
            </w:pPr>
            <w:r>
              <w:rPr>
                <w:rFonts w:hint="eastAsia" w:ascii="宋体" w:hAnsi="宋体"/>
                <w:b/>
                <w:bCs/>
                <w:sz w:val="24"/>
                <w:szCs w:val="24"/>
              </w:rPr>
              <w:t>项目</w:t>
            </w:r>
          </w:p>
        </w:tc>
        <w:tc>
          <w:tcPr>
            <w:tcW w:w="892" w:type="dxa"/>
            <w:shd w:val="pct10" w:color="auto" w:fill="auto"/>
            <w:vAlign w:val="center"/>
          </w:tcPr>
          <w:p>
            <w:pPr>
              <w:ind w:left="-77" w:leftChars="-37" w:right="-86" w:rightChars="-41"/>
              <w:jc w:val="center"/>
              <w:rPr>
                <w:rFonts w:ascii="宋体" w:hAnsi="宋体"/>
                <w:b/>
                <w:sz w:val="24"/>
                <w:szCs w:val="24"/>
              </w:rPr>
            </w:pPr>
            <w:r>
              <w:rPr>
                <w:rFonts w:hint="eastAsia" w:ascii="宋体" w:hAnsi="宋体"/>
                <w:b/>
                <w:sz w:val="24"/>
                <w:szCs w:val="24"/>
              </w:rPr>
              <w:t>评审</w:t>
            </w:r>
          </w:p>
          <w:p>
            <w:pPr>
              <w:ind w:left="-77" w:leftChars="-37" w:right="-86" w:rightChars="-41"/>
              <w:jc w:val="center"/>
              <w:rPr>
                <w:rFonts w:ascii="宋体" w:hAnsi="宋体" w:cs="Courier New"/>
                <w:b/>
                <w:bCs/>
                <w:sz w:val="24"/>
                <w:szCs w:val="24"/>
              </w:rPr>
            </w:pPr>
            <w:r>
              <w:rPr>
                <w:rFonts w:hint="eastAsia" w:ascii="宋体" w:hAnsi="宋体"/>
                <w:b/>
                <w:sz w:val="24"/>
                <w:szCs w:val="24"/>
              </w:rPr>
              <w:t>分项</w:t>
            </w:r>
          </w:p>
        </w:tc>
        <w:tc>
          <w:tcPr>
            <w:tcW w:w="481" w:type="dxa"/>
            <w:shd w:val="pct10" w:color="auto" w:fill="auto"/>
            <w:vAlign w:val="center"/>
          </w:tcPr>
          <w:p>
            <w:pPr>
              <w:ind w:left="-73" w:leftChars="-35" w:right="-79" w:rightChars="-38"/>
              <w:jc w:val="center"/>
              <w:rPr>
                <w:rFonts w:ascii="宋体" w:hAnsi="宋体" w:cs="Courier New"/>
                <w:b/>
                <w:bCs/>
                <w:sz w:val="24"/>
                <w:szCs w:val="24"/>
              </w:rPr>
            </w:pPr>
            <w:r>
              <w:rPr>
                <w:rFonts w:ascii="宋体" w:hAnsi="宋体" w:cs="Courier New"/>
                <w:b/>
                <w:bCs/>
                <w:sz w:val="24"/>
                <w:szCs w:val="24"/>
              </w:rPr>
              <w:t>分值</w:t>
            </w:r>
          </w:p>
        </w:tc>
        <w:tc>
          <w:tcPr>
            <w:tcW w:w="7511" w:type="dxa"/>
            <w:shd w:val="pct10" w:color="auto" w:fill="auto"/>
            <w:vAlign w:val="center"/>
          </w:tcPr>
          <w:p>
            <w:pPr>
              <w:spacing w:line="240" w:lineRule="atLeast"/>
              <w:jc w:val="center"/>
              <w:rPr>
                <w:rFonts w:ascii="宋体" w:hAnsi="宋体" w:cs="Courier New"/>
                <w:b/>
                <w:bCs/>
                <w:sz w:val="24"/>
                <w:szCs w:val="24"/>
              </w:rPr>
            </w:pPr>
            <w:r>
              <w:rPr>
                <w:rFonts w:hint="eastAsia" w:ascii="宋体" w:hAnsi="宋体"/>
                <w:b/>
                <w:sz w:val="24"/>
                <w:szCs w:val="24"/>
              </w:rPr>
              <w:t>评标分项及分值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Align w:val="center"/>
          </w:tcPr>
          <w:p>
            <w:pPr>
              <w:adjustRightInd w:val="0"/>
              <w:snapToGrid w:val="0"/>
              <w:spacing w:line="360" w:lineRule="auto"/>
              <w:jc w:val="center"/>
              <w:outlineLvl w:val="1"/>
              <w:rPr>
                <w:rFonts w:ascii="宋体" w:hAnsi="宋体"/>
                <w:b/>
                <w:bCs/>
                <w:sz w:val="24"/>
                <w:szCs w:val="24"/>
              </w:rPr>
            </w:pPr>
            <w:r>
              <w:rPr>
                <w:rFonts w:hint="eastAsia" w:ascii="宋体" w:hAnsi="宋体"/>
                <w:b/>
                <w:bCs/>
                <w:sz w:val="24"/>
                <w:szCs w:val="24"/>
              </w:rPr>
              <w:t>价格</w:t>
            </w:r>
          </w:p>
          <w:p>
            <w:pPr>
              <w:adjustRightInd w:val="0"/>
              <w:snapToGrid w:val="0"/>
              <w:spacing w:line="360" w:lineRule="auto"/>
              <w:jc w:val="center"/>
              <w:outlineLvl w:val="1"/>
              <w:rPr>
                <w:rFonts w:ascii="宋体" w:hAnsi="宋体"/>
                <w:b/>
                <w:bCs/>
                <w:sz w:val="24"/>
                <w:szCs w:val="24"/>
              </w:rPr>
            </w:pPr>
            <w:r>
              <w:rPr>
                <w:rFonts w:hint="eastAsia" w:ascii="宋体" w:hAnsi="宋体"/>
                <w:b/>
                <w:bCs/>
                <w:sz w:val="24"/>
                <w:szCs w:val="24"/>
              </w:rPr>
              <w:t>部分</w:t>
            </w:r>
          </w:p>
          <w:p>
            <w:pPr>
              <w:spacing w:line="320" w:lineRule="exact"/>
              <w:ind w:left="-48" w:right="-42" w:rightChars="-20"/>
              <w:jc w:val="center"/>
              <w:rPr>
                <w:rFonts w:ascii="宋体" w:hAnsi="宋体"/>
                <w:b/>
                <w:bCs/>
                <w:sz w:val="24"/>
                <w:szCs w:val="24"/>
              </w:rPr>
            </w:pPr>
            <w:r>
              <w:rPr>
                <w:rFonts w:hint="eastAsia" w:ascii="宋体" w:hAnsi="宋体"/>
                <w:b/>
                <w:bCs/>
                <w:sz w:val="24"/>
                <w:szCs w:val="24"/>
              </w:rPr>
              <w:t>30分</w:t>
            </w:r>
          </w:p>
        </w:tc>
        <w:tc>
          <w:tcPr>
            <w:tcW w:w="892" w:type="dxa"/>
            <w:vAlign w:val="center"/>
          </w:tcPr>
          <w:p>
            <w:pPr>
              <w:ind w:left="-77" w:leftChars="-37" w:right="-86" w:rightChars="-41"/>
              <w:jc w:val="center"/>
              <w:rPr>
                <w:rFonts w:ascii="宋体" w:hAnsi="宋体"/>
                <w:b/>
                <w:szCs w:val="21"/>
              </w:rPr>
            </w:pPr>
            <w:r>
              <w:rPr>
                <w:rFonts w:hint="eastAsia" w:ascii="宋体" w:hAnsi="宋体"/>
                <w:b/>
                <w:szCs w:val="21"/>
              </w:rPr>
              <w:t>评标</w:t>
            </w:r>
          </w:p>
          <w:p>
            <w:pPr>
              <w:ind w:left="-77" w:leftChars="-37" w:right="-86" w:rightChars="-41"/>
              <w:jc w:val="center"/>
              <w:rPr>
                <w:rFonts w:ascii="宋体" w:hAnsi="宋体"/>
                <w:b/>
                <w:bCs/>
                <w:szCs w:val="21"/>
              </w:rPr>
            </w:pPr>
            <w:r>
              <w:rPr>
                <w:rFonts w:hint="eastAsia" w:ascii="宋体" w:hAnsi="宋体"/>
                <w:b/>
                <w:szCs w:val="21"/>
              </w:rPr>
              <w:t>分项</w:t>
            </w:r>
          </w:p>
        </w:tc>
        <w:tc>
          <w:tcPr>
            <w:tcW w:w="481" w:type="dxa"/>
            <w:vAlign w:val="center"/>
          </w:tcPr>
          <w:p>
            <w:pPr>
              <w:spacing w:line="320" w:lineRule="exact"/>
              <w:jc w:val="center"/>
              <w:rPr>
                <w:rFonts w:ascii="宋体" w:hAnsi="宋体"/>
                <w:color w:val="0D0D0D"/>
                <w:kern w:val="0"/>
                <w:szCs w:val="21"/>
              </w:rPr>
            </w:pPr>
            <w:r>
              <w:rPr>
                <w:rFonts w:hint="eastAsia" w:ascii="宋体" w:hAnsi="宋体"/>
                <w:b/>
                <w:kern w:val="0"/>
                <w:szCs w:val="21"/>
              </w:rPr>
              <w:t>30</w:t>
            </w:r>
          </w:p>
        </w:tc>
        <w:tc>
          <w:tcPr>
            <w:tcW w:w="7511" w:type="dxa"/>
            <w:vAlign w:val="center"/>
          </w:tcPr>
          <w:p>
            <w:pPr>
              <w:adjustRightInd w:val="0"/>
              <w:snapToGrid w:val="0"/>
              <w:spacing w:line="440" w:lineRule="exact"/>
              <w:rPr>
                <w:rFonts w:ascii="宋体" w:hAnsi="宋体"/>
                <w:szCs w:val="21"/>
              </w:rPr>
            </w:pPr>
            <w:r>
              <w:rPr>
                <w:rFonts w:hint="eastAsia" w:ascii="宋体" w:hAnsi="宋体"/>
                <w:szCs w:val="21"/>
              </w:rPr>
              <w:t>评标委员会只对符合性审查合格的投标文件进行价格评议，报价分采用低价优先法计算，即满足招标文件要求且投标价格</w:t>
            </w:r>
            <w:r>
              <w:rPr>
                <w:rFonts w:hint="eastAsia" w:ascii="宋体" w:hAnsi="宋体"/>
                <w:b/>
                <w:szCs w:val="21"/>
              </w:rPr>
              <w:t>（落实政府采购政策进行价格调整的，以调整后的价格计算）</w:t>
            </w:r>
            <w:r>
              <w:rPr>
                <w:rFonts w:hint="eastAsia" w:ascii="宋体" w:hAnsi="宋体"/>
                <w:szCs w:val="21"/>
              </w:rPr>
              <w:t>最低的投标报价为评标基准价，其价格分为满分。其他投标人的价格分按照下列公式计算：报价得分=(评标基准价／投标报价)×30分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Merge w:val="restart"/>
            <w:vAlign w:val="center"/>
          </w:tcPr>
          <w:p>
            <w:pPr>
              <w:adjustRightInd w:val="0"/>
              <w:snapToGrid w:val="0"/>
              <w:spacing w:line="360" w:lineRule="auto"/>
              <w:jc w:val="center"/>
              <w:outlineLvl w:val="1"/>
              <w:rPr>
                <w:rFonts w:ascii="宋体" w:hAnsi="宋体"/>
                <w:b/>
                <w:bCs/>
                <w:sz w:val="24"/>
                <w:szCs w:val="24"/>
              </w:rPr>
            </w:pPr>
            <w:r>
              <w:rPr>
                <w:rFonts w:hint="eastAsia" w:ascii="宋体" w:hAnsi="宋体"/>
                <w:b/>
                <w:bCs/>
                <w:sz w:val="24"/>
                <w:szCs w:val="24"/>
              </w:rPr>
              <w:t>商务</w:t>
            </w:r>
          </w:p>
          <w:p>
            <w:pPr>
              <w:adjustRightInd w:val="0"/>
              <w:snapToGrid w:val="0"/>
              <w:spacing w:line="360" w:lineRule="auto"/>
              <w:jc w:val="center"/>
              <w:outlineLvl w:val="1"/>
              <w:rPr>
                <w:rFonts w:ascii="宋体" w:hAnsi="宋体"/>
                <w:b/>
                <w:bCs/>
                <w:sz w:val="24"/>
                <w:szCs w:val="24"/>
              </w:rPr>
            </w:pPr>
            <w:r>
              <w:rPr>
                <w:rFonts w:hint="eastAsia" w:ascii="宋体" w:hAnsi="宋体"/>
                <w:b/>
                <w:bCs/>
                <w:sz w:val="24"/>
                <w:szCs w:val="24"/>
              </w:rPr>
              <w:t>部分</w:t>
            </w:r>
          </w:p>
          <w:p>
            <w:pPr>
              <w:spacing w:line="320" w:lineRule="exact"/>
              <w:ind w:left="-48" w:right="-42" w:rightChars="-20"/>
              <w:jc w:val="center"/>
              <w:rPr>
                <w:rFonts w:ascii="宋体" w:hAnsi="宋体"/>
                <w:b/>
                <w:bCs/>
                <w:sz w:val="24"/>
                <w:szCs w:val="24"/>
              </w:rPr>
            </w:pPr>
            <w:r>
              <w:rPr>
                <w:rFonts w:hint="eastAsia" w:ascii="宋体" w:hAnsi="宋体"/>
                <w:b/>
                <w:bCs/>
                <w:sz w:val="24"/>
                <w:szCs w:val="24"/>
              </w:rPr>
              <w:t>20分</w:t>
            </w:r>
          </w:p>
        </w:tc>
        <w:tc>
          <w:tcPr>
            <w:tcW w:w="892" w:type="dxa"/>
            <w:vAlign w:val="center"/>
          </w:tcPr>
          <w:p>
            <w:pPr>
              <w:spacing w:line="360" w:lineRule="auto"/>
              <w:jc w:val="center"/>
              <w:rPr>
                <w:rFonts w:ascii="宋体" w:hAnsi="宋体"/>
                <w:b/>
                <w:szCs w:val="21"/>
              </w:rPr>
            </w:pPr>
            <w:r>
              <w:rPr>
                <w:rFonts w:hint="eastAsia" w:ascii="宋体" w:hAnsi="宋体"/>
                <w:b/>
                <w:szCs w:val="21"/>
              </w:rPr>
              <w:t>制造商实力</w:t>
            </w:r>
          </w:p>
        </w:tc>
        <w:tc>
          <w:tcPr>
            <w:tcW w:w="481" w:type="dxa"/>
            <w:vAlign w:val="center"/>
          </w:tcPr>
          <w:p>
            <w:pPr>
              <w:spacing w:line="360" w:lineRule="auto"/>
              <w:jc w:val="center"/>
              <w:rPr>
                <w:rFonts w:ascii="宋体" w:hAnsi="宋体"/>
                <w:b/>
                <w:szCs w:val="21"/>
              </w:rPr>
            </w:pPr>
            <w:r>
              <w:rPr>
                <w:rFonts w:hint="eastAsia" w:ascii="宋体" w:hAnsi="宋体"/>
                <w:b/>
                <w:szCs w:val="21"/>
              </w:rPr>
              <w:t>11</w:t>
            </w:r>
          </w:p>
        </w:tc>
        <w:tc>
          <w:tcPr>
            <w:tcW w:w="7511" w:type="dxa"/>
          </w:tcPr>
          <w:p>
            <w:pPr>
              <w:numPr>
                <w:ilvl w:val="0"/>
                <w:numId w:val="54"/>
              </w:numPr>
              <w:spacing w:line="440" w:lineRule="exact"/>
              <w:rPr>
                <w:rFonts w:ascii="宋体" w:hAnsi="宋体" w:cs="宋体"/>
                <w:color w:val="000000"/>
                <w:kern w:val="0"/>
                <w:szCs w:val="21"/>
              </w:rPr>
            </w:pPr>
            <w:r>
              <w:rPr>
                <w:rFonts w:hint="eastAsia" w:ascii="宋体" w:hAnsi="宋体" w:cs="宋体"/>
                <w:color w:val="000000"/>
                <w:kern w:val="0"/>
                <w:szCs w:val="21"/>
              </w:rPr>
              <w:t>所投触控 一体机制造商通过 CMMI3 及以上认证；所投触控一体机生产厂家为中国教育技术协会行业标准之《多媒体教学环境工程建设规范》的参与制定单位，并出具相关证明；所投主要产品触控一体机制造商温室气体核查符合 ISO14064 低碳体系标准的相关要求。每提供一个证明文件得 1分，不提供不得分，最高得3分。</w:t>
            </w:r>
          </w:p>
          <w:p>
            <w:pPr>
              <w:numPr>
                <w:ilvl w:val="0"/>
                <w:numId w:val="54"/>
              </w:numPr>
              <w:rPr>
                <w:rFonts w:ascii="宋体" w:hAnsi="宋体" w:cs="宋体"/>
                <w:color w:val="000000"/>
                <w:kern w:val="0"/>
                <w:szCs w:val="21"/>
              </w:rPr>
            </w:pPr>
            <w:r>
              <w:rPr>
                <w:rFonts w:hint="eastAsia" w:ascii="宋体" w:hAnsi="宋体" w:cs="宋体"/>
                <w:color w:val="000000"/>
                <w:kern w:val="0"/>
                <w:szCs w:val="21"/>
              </w:rPr>
              <w:t>所投视频处理控制器的生产企业获得国际权威机构颁发软件能力成熟度模型CMMI-3认证证书 (1分)</w:t>
            </w:r>
          </w:p>
          <w:p>
            <w:pPr>
              <w:numPr>
                <w:ilvl w:val="0"/>
                <w:numId w:val="54"/>
              </w:numPr>
              <w:spacing w:line="440" w:lineRule="exact"/>
              <w:rPr>
                <w:rFonts w:ascii="宋体" w:hAnsi="宋体" w:cs="宋体"/>
                <w:color w:val="000000"/>
                <w:kern w:val="0"/>
                <w:szCs w:val="21"/>
              </w:rPr>
            </w:pPr>
            <w:r>
              <w:rPr>
                <w:rFonts w:hint="eastAsia" w:ascii="宋体" w:hAnsi="宋体" w:cs="宋体"/>
                <w:color w:val="000000"/>
                <w:kern w:val="0"/>
                <w:szCs w:val="21"/>
              </w:rPr>
              <w:t>所投视频处理控制器通过QC080000有害物质过程管理合格证书（1分）</w:t>
            </w:r>
          </w:p>
          <w:p>
            <w:pPr>
              <w:numPr>
                <w:ilvl w:val="0"/>
                <w:numId w:val="54"/>
              </w:numPr>
              <w:spacing w:line="440" w:lineRule="exact"/>
              <w:rPr>
                <w:rFonts w:ascii="宋体" w:hAnsi="宋体" w:cs="宋体"/>
                <w:color w:val="000000"/>
                <w:kern w:val="0"/>
                <w:szCs w:val="21"/>
              </w:rPr>
            </w:pPr>
            <w:r>
              <w:rPr>
                <w:rFonts w:hint="eastAsia" w:ascii="宋体" w:hAnsi="宋体" w:cs="宋体"/>
                <w:color w:val="000000"/>
                <w:kern w:val="0"/>
                <w:szCs w:val="21"/>
              </w:rPr>
              <w:t>所投视频处理控制器的生产企业获得全国质量检验稳定合格产品认证（1分）</w:t>
            </w:r>
          </w:p>
          <w:p>
            <w:pPr>
              <w:numPr>
                <w:ilvl w:val="0"/>
                <w:numId w:val="54"/>
              </w:numPr>
              <w:spacing w:line="440" w:lineRule="exact"/>
              <w:rPr>
                <w:rFonts w:ascii="宋体" w:hAnsi="宋体" w:cs="宋体"/>
                <w:color w:val="000000"/>
                <w:kern w:val="0"/>
                <w:szCs w:val="21"/>
              </w:rPr>
            </w:pPr>
            <w:r>
              <w:rPr>
                <w:rFonts w:hint="eastAsia" w:ascii="宋体" w:hAnsi="宋体" w:cs="宋体"/>
                <w:color w:val="000000"/>
                <w:kern w:val="0"/>
                <w:szCs w:val="21"/>
              </w:rPr>
              <w:t>所投LED显示屏产品具有技术先进性，生产厂家提供无线连接专利证书,且所投LED产品必须注册商标认证资料。（共计2分，缺一项不得分）。</w:t>
            </w:r>
          </w:p>
          <w:p>
            <w:pPr>
              <w:numPr>
                <w:ilvl w:val="0"/>
                <w:numId w:val="54"/>
              </w:numPr>
              <w:spacing w:line="440" w:lineRule="exact"/>
              <w:rPr>
                <w:rFonts w:ascii="宋体" w:hAnsi="宋体" w:cs="宋体"/>
                <w:color w:val="000000"/>
                <w:kern w:val="0"/>
                <w:szCs w:val="21"/>
              </w:rPr>
            </w:pPr>
            <w:r>
              <w:rPr>
                <w:rFonts w:hint="eastAsia" w:ascii="宋体" w:hAnsi="宋体" w:cs="宋体"/>
                <w:color w:val="000000"/>
                <w:kern w:val="0"/>
                <w:szCs w:val="21"/>
              </w:rPr>
              <w:t>所投LED屏、液晶一体机、功放、调音台通过CCC国家强制认证的得3分，上述任意一项产品未通过CCC国家强制认证本项不得分。（提供有效CCC证书加盖厂商公章及国家认监委查询截图证明）</w:t>
            </w:r>
          </w:p>
          <w:p>
            <w:pPr>
              <w:spacing w:line="440" w:lineRule="exact"/>
              <w:rPr>
                <w:rFonts w:ascii="宋体" w:hAnsi="宋体" w:cs="宋体"/>
                <w:color w:val="000000"/>
                <w:kern w:val="0"/>
                <w:szCs w:val="21"/>
              </w:rPr>
            </w:pPr>
            <w:r>
              <w:rPr>
                <w:rFonts w:hint="eastAsia" w:ascii="宋体" w:hAnsi="宋体" w:cs="宋体"/>
                <w:b/>
                <w:szCs w:val="21"/>
              </w:rPr>
              <w:t>注：须提供证书证明复印件并加盖公章，否则不得分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Merge w:val="continue"/>
            <w:vAlign w:val="center"/>
          </w:tcPr>
          <w:p>
            <w:pPr>
              <w:spacing w:line="320" w:lineRule="exact"/>
              <w:ind w:left="-48" w:right="-42" w:rightChars="-20"/>
              <w:jc w:val="center"/>
              <w:rPr>
                <w:rFonts w:ascii="宋体" w:hAnsi="宋体"/>
                <w:b/>
                <w:bCs/>
                <w:sz w:val="24"/>
                <w:szCs w:val="24"/>
              </w:rPr>
            </w:pPr>
          </w:p>
        </w:tc>
        <w:tc>
          <w:tcPr>
            <w:tcW w:w="892" w:type="dxa"/>
            <w:vAlign w:val="center"/>
          </w:tcPr>
          <w:p>
            <w:pPr>
              <w:spacing w:line="360" w:lineRule="auto"/>
              <w:jc w:val="center"/>
              <w:rPr>
                <w:rFonts w:ascii="宋体" w:hAnsi="宋体"/>
                <w:b/>
                <w:szCs w:val="21"/>
              </w:rPr>
            </w:pPr>
            <w:r>
              <w:rPr>
                <w:rFonts w:hint="eastAsia" w:ascii="宋体" w:hAnsi="宋体"/>
                <w:b/>
                <w:szCs w:val="21"/>
              </w:rPr>
              <w:t>财务</w:t>
            </w:r>
          </w:p>
          <w:p>
            <w:pPr>
              <w:spacing w:line="360" w:lineRule="auto"/>
              <w:jc w:val="center"/>
              <w:rPr>
                <w:rFonts w:ascii="宋体" w:hAnsi="宋体"/>
                <w:b/>
                <w:szCs w:val="21"/>
              </w:rPr>
            </w:pPr>
            <w:r>
              <w:rPr>
                <w:rFonts w:hint="eastAsia" w:ascii="宋体" w:hAnsi="宋体"/>
                <w:b/>
                <w:szCs w:val="21"/>
              </w:rPr>
              <w:t>状况</w:t>
            </w:r>
          </w:p>
        </w:tc>
        <w:tc>
          <w:tcPr>
            <w:tcW w:w="481" w:type="dxa"/>
            <w:vAlign w:val="center"/>
          </w:tcPr>
          <w:p>
            <w:pPr>
              <w:spacing w:line="360" w:lineRule="auto"/>
              <w:jc w:val="center"/>
              <w:rPr>
                <w:rFonts w:ascii="宋体" w:hAnsi="宋体"/>
                <w:b/>
                <w:szCs w:val="21"/>
              </w:rPr>
            </w:pPr>
            <w:r>
              <w:rPr>
                <w:rFonts w:hint="eastAsia" w:ascii="宋体" w:hAnsi="宋体"/>
                <w:b/>
                <w:szCs w:val="21"/>
              </w:rPr>
              <w:t>2</w:t>
            </w:r>
          </w:p>
        </w:tc>
        <w:tc>
          <w:tcPr>
            <w:tcW w:w="7511" w:type="dxa"/>
          </w:tcPr>
          <w:p>
            <w:pPr>
              <w:spacing w:line="440" w:lineRule="exact"/>
              <w:rPr>
                <w:rFonts w:ascii="宋体" w:hAnsi="宋体" w:cs="宋体"/>
                <w:bCs/>
                <w:szCs w:val="21"/>
              </w:rPr>
            </w:pPr>
            <w:r>
              <w:rPr>
                <w:rFonts w:hint="eastAsia" w:ascii="宋体" w:hAnsi="宋体" w:cs="宋体"/>
                <w:color w:val="000000"/>
                <w:kern w:val="0"/>
                <w:szCs w:val="21"/>
              </w:rPr>
              <w:t>提供经审计事务所出具的2018年度的审计报告，依据各投标人所提供有关资料进行横向比较排名，第一名得2分，第二名得1.5分，第三名得1分，以此类推。</w:t>
            </w:r>
            <w:r>
              <w:rPr>
                <w:rFonts w:hint="eastAsia" w:ascii="宋体" w:hAnsi="宋体" w:cs="宋体"/>
                <w:b/>
                <w:color w:val="000000"/>
                <w:kern w:val="0"/>
                <w:szCs w:val="21"/>
              </w:rPr>
              <w:t>提供有效证明材料。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Merge w:val="continue"/>
            <w:vAlign w:val="center"/>
          </w:tcPr>
          <w:p>
            <w:pPr>
              <w:spacing w:line="320" w:lineRule="exact"/>
              <w:ind w:left="-48" w:right="-42" w:rightChars="-20"/>
              <w:jc w:val="center"/>
              <w:rPr>
                <w:rFonts w:ascii="宋体" w:hAnsi="宋体"/>
                <w:b/>
                <w:bCs/>
                <w:sz w:val="24"/>
                <w:szCs w:val="24"/>
              </w:rPr>
            </w:pPr>
          </w:p>
        </w:tc>
        <w:tc>
          <w:tcPr>
            <w:tcW w:w="892" w:type="dxa"/>
            <w:vAlign w:val="center"/>
          </w:tcPr>
          <w:p>
            <w:pPr>
              <w:spacing w:line="360" w:lineRule="auto"/>
              <w:jc w:val="center"/>
              <w:rPr>
                <w:rFonts w:ascii="宋体" w:hAnsi="宋体"/>
                <w:b/>
                <w:szCs w:val="21"/>
              </w:rPr>
            </w:pPr>
            <w:r>
              <w:rPr>
                <w:rFonts w:hint="eastAsia" w:ascii="宋体" w:hAnsi="宋体"/>
                <w:b/>
                <w:szCs w:val="21"/>
              </w:rPr>
              <w:t>售后</w:t>
            </w:r>
          </w:p>
          <w:p>
            <w:pPr>
              <w:spacing w:line="360" w:lineRule="auto"/>
              <w:jc w:val="center"/>
              <w:rPr>
                <w:rFonts w:ascii="宋体" w:hAnsi="宋体"/>
                <w:b/>
                <w:szCs w:val="21"/>
              </w:rPr>
            </w:pPr>
            <w:r>
              <w:rPr>
                <w:rFonts w:hint="eastAsia" w:ascii="宋体" w:hAnsi="宋体"/>
                <w:b/>
                <w:szCs w:val="21"/>
              </w:rPr>
              <w:t>服务</w:t>
            </w:r>
          </w:p>
        </w:tc>
        <w:tc>
          <w:tcPr>
            <w:tcW w:w="481" w:type="dxa"/>
            <w:vAlign w:val="center"/>
          </w:tcPr>
          <w:p>
            <w:pPr>
              <w:spacing w:line="360" w:lineRule="auto"/>
              <w:jc w:val="center"/>
              <w:rPr>
                <w:rFonts w:ascii="宋体" w:hAnsi="宋体"/>
                <w:b/>
                <w:szCs w:val="21"/>
              </w:rPr>
            </w:pPr>
            <w:r>
              <w:rPr>
                <w:rFonts w:hint="eastAsia" w:ascii="宋体" w:hAnsi="宋体"/>
                <w:b/>
                <w:szCs w:val="21"/>
              </w:rPr>
              <w:t>5</w:t>
            </w:r>
          </w:p>
        </w:tc>
        <w:tc>
          <w:tcPr>
            <w:tcW w:w="7511" w:type="dxa"/>
          </w:tcPr>
          <w:p>
            <w:pPr>
              <w:numPr>
                <w:ilvl w:val="0"/>
                <w:numId w:val="55"/>
              </w:numPr>
              <w:spacing w:line="440" w:lineRule="exact"/>
              <w:rPr>
                <w:rFonts w:ascii="宋体" w:hAnsi="宋体" w:cs="宋体"/>
                <w:color w:val="000000"/>
                <w:kern w:val="0"/>
                <w:szCs w:val="21"/>
              </w:rPr>
            </w:pPr>
            <w:r>
              <w:rPr>
                <w:rFonts w:hint="eastAsia" w:ascii="宋体" w:hAnsi="宋体" w:cs="宋体"/>
                <w:color w:val="000000"/>
                <w:kern w:val="0"/>
                <w:szCs w:val="21"/>
              </w:rPr>
              <w:t>投标人所投LED屏、扩声系统须提供生产厂家针对本项目售后服务承诺函和授权书。提供得2分，未提供不得分（须提供原件）</w:t>
            </w:r>
          </w:p>
          <w:p>
            <w:pPr>
              <w:numPr>
                <w:ilvl w:val="0"/>
                <w:numId w:val="55"/>
              </w:numPr>
              <w:spacing w:line="440" w:lineRule="exact"/>
              <w:rPr>
                <w:rFonts w:ascii="宋体" w:hAnsi="宋体" w:cs="宋体"/>
                <w:color w:val="000000"/>
                <w:kern w:val="0"/>
                <w:szCs w:val="21"/>
              </w:rPr>
            </w:pPr>
            <w:r>
              <w:rPr>
                <w:rFonts w:hint="eastAsia" w:ascii="宋体" w:hAnsi="宋体" w:cs="宋体"/>
                <w:color w:val="000000"/>
                <w:kern w:val="0"/>
                <w:szCs w:val="21"/>
              </w:rPr>
              <w:t>质保期：质保期1年，超过质保期后每增加一年质保得1分，最高加3分。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Merge w:val="continue"/>
            <w:vAlign w:val="center"/>
          </w:tcPr>
          <w:p>
            <w:pPr>
              <w:spacing w:line="320" w:lineRule="exact"/>
              <w:ind w:left="-48" w:right="-42" w:rightChars="-20"/>
              <w:jc w:val="center"/>
              <w:rPr>
                <w:rFonts w:ascii="宋体" w:hAnsi="宋体"/>
                <w:b/>
                <w:bCs/>
                <w:sz w:val="24"/>
                <w:szCs w:val="24"/>
              </w:rPr>
            </w:pPr>
          </w:p>
        </w:tc>
        <w:tc>
          <w:tcPr>
            <w:tcW w:w="892" w:type="dxa"/>
            <w:vAlign w:val="center"/>
          </w:tcPr>
          <w:p>
            <w:pPr>
              <w:spacing w:line="360" w:lineRule="auto"/>
              <w:jc w:val="center"/>
              <w:rPr>
                <w:rFonts w:ascii="宋体" w:hAnsi="宋体"/>
                <w:b/>
                <w:szCs w:val="21"/>
              </w:rPr>
            </w:pPr>
            <w:r>
              <w:rPr>
                <w:rFonts w:hint="eastAsia" w:ascii="宋体" w:hAnsi="宋体"/>
                <w:b/>
                <w:szCs w:val="21"/>
              </w:rPr>
              <w:t>投标文件编制</w:t>
            </w:r>
          </w:p>
        </w:tc>
        <w:tc>
          <w:tcPr>
            <w:tcW w:w="481" w:type="dxa"/>
            <w:vAlign w:val="center"/>
          </w:tcPr>
          <w:p>
            <w:pPr>
              <w:spacing w:line="360" w:lineRule="auto"/>
              <w:jc w:val="center"/>
              <w:rPr>
                <w:rFonts w:ascii="宋体" w:hAnsi="宋体"/>
                <w:b/>
                <w:szCs w:val="21"/>
              </w:rPr>
            </w:pPr>
            <w:r>
              <w:rPr>
                <w:rFonts w:hint="eastAsia" w:ascii="宋体" w:hAnsi="宋体"/>
                <w:b/>
                <w:szCs w:val="21"/>
              </w:rPr>
              <w:t>2</w:t>
            </w:r>
          </w:p>
        </w:tc>
        <w:tc>
          <w:tcPr>
            <w:tcW w:w="7511" w:type="dxa"/>
            <w:vAlign w:val="center"/>
          </w:tcPr>
          <w:p>
            <w:pPr>
              <w:spacing w:line="440" w:lineRule="exact"/>
              <w:rPr>
                <w:rFonts w:ascii="宋体" w:hAnsi="宋体" w:cs="宋体"/>
                <w:szCs w:val="21"/>
              </w:rPr>
            </w:pPr>
            <w:r>
              <w:rPr>
                <w:rFonts w:hint="eastAsia" w:ascii="宋体" w:hAnsi="宋体" w:cs="宋体"/>
                <w:szCs w:val="21"/>
              </w:rPr>
              <w:t>投标文件全面响应招标文件要求，编制完整、美观，非活页装订，且有详细目录、连续页码、目录与有关材料装订顺序对应清晰、查阅方便。不符合要求的，每处扣0.5分，扣完为止。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Merge w:val="restart"/>
            <w:vAlign w:val="center"/>
          </w:tcPr>
          <w:p>
            <w:pPr>
              <w:adjustRightInd w:val="0"/>
              <w:snapToGrid w:val="0"/>
              <w:spacing w:line="360" w:lineRule="auto"/>
              <w:jc w:val="center"/>
              <w:outlineLvl w:val="1"/>
              <w:rPr>
                <w:rFonts w:ascii="宋体" w:hAnsi="宋体"/>
                <w:b/>
                <w:bCs/>
                <w:sz w:val="24"/>
                <w:szCs w:val="24"/>
              </w:rPr>
            </w:pPr>
            <w:r>
              <w:rPr>
                <w:rFonts w:hint="eastAsia" w:ascii="宋体" w:hAnsi="宋体"/>
                <w:b/>
                <w:bCs/>
                <w:sz w:val="24"/>
                <w:szCs w:val="24"/>
              </w:rPr>
              <w:t>技术</w:t>
            </w:r>
          </w:p>
          <w:p>
            <w:pPr>
              <w:adjustRightInd w:val="0"/>
              <w:snapToGrid w:val="0"/>
              <w:spacing w:line="360" w:lineRule="auto"/>
              <w:jc w:val="center"/>
              <w:outlineLvl w:val="1"/>
              <w:rPr>
                <w:rFonts w:ascii="宋体" w:hAnsi="宋体"/>
                <w:b/>
                <w:bCs/>
                <w:sz w:val="24"/>
                <w:szCs w:val="24"/>
              </w:rPr>
            </w:pPr>
            <w:r>
              <w:rPr>
                <w:rFonts w:hint="eastAsia" w:ascii="宋体" w:hAnsi="宋体"/>
                <w:b/>
                <w:bCs/>
                <w:sz w:val="24"/>
                <w:szCs w:val="24"/>
              </w:rPr>
              <w:t>部分</w:t>
            </w:r>
          </w:p>
          <w:p>
            <w:pPr>
              <w:adjustRightInd w:val="0"/>
              <w:snapToGrid w:val="0"/>
              <w:spacing w:line="360" w:lineRule="auto"/>
              <w:jc w:val="center"/>
              <w:outlineLvl w:val="1"/>
              <w:rPr>
                <w:rFonts w:ascii="宋体" w:hAnsi="宋体"/>
                <w:b/>
                <w:bCs/>
                <w:sz w:val="24"/>
                <w:szCs w:val="24"/>
              </w:rPr>
            </w:pPr>
            <w:r>
              <w:rPr>
                <w:rFonts w:hint="eastAsia" w:ascii="宋体" w:hAnsi="宋体"/>
                <w:b/>
                <w:bCs/>
                <w:sz w:val="24"/>
                <w:szCs w:val="24"/>
              </w:rPr>
              <w:t>50分</w:t>
            </w:r>
          </w:p>
        </w:tc>
        <w:tc>
          <w:tcPr>
            <w:tcW w:w="892" w:type="dxa"/>
            <w:vAlign w:val="center"/>
          </w:tcPr>
          <w:p>
            <w:pPr>
              <w:spacing w:line="360" w:lineRule="auto"/>
              <w:jc w:val="center"/>
              <w:rPr>
                <w:rFonts w:ascii="宋体" w:hAnsi="宋体"/>
                <w:b/>
                <w:szCs w:val="21"/>
              </w:rPr>
            </w:pPr>
            <w:r>
              <w:rPr>
                <w:rFonts w:hint="eastAsia" w:ascii="宋体" w:hAnsi="宋体"/>
                <w:b/>
                <w:szCs w:val="21"/>
              </w:rPr>
              <w:t>技术</w:t>
            </w:r>
          </w:p>
          <w:p>
            <w:pPr>
              <w:spacing w:line="360" w:lineRule="auto"/>
              <w:jc w:val="center"/>
              <w:rPr>
                <w:rFonts w:ascii="宋体" w:hAnsi="宋体"/>
                <w:b/>
                <w:szCs w:val="21"/>
              </w:rPr>
            </w:pPr>
            <w:r>
              <w:rPr>
                <w:rFonts w:hint="eastAsia" w:ascii="宋体" w:hAnsi="宋体"/>
                <w:b/>
                <w:szCs w:val="21"/>
              </w:rPr>
              <w:t>响应</w:t>
            </w:r>
          </w:p>
        </w:tc>
        <w:tc>
          <w:tcPr>
            <w:tcW w:w="481" w:type="dxa"/>
            <w:vAlign w:val="center"/>
          </w:tcPr>
          <w:p>
            <w:pPr>
              <w:spacing w:line="360" w:lineRule="auto"/>
              <w:jc w:val="center"/>
              <w:rPr>
                <w:rFonts w:ascii="宋体" w:hAnsi="宋体"/>
                <w:b/>
                <w:szCs w:val="21"/>
              </w:rPr>
            </w:pPr>
            <w:r>
              <w:rPr>
                <w:rFonts w:hint="eastAsia" w:ascii="宋体" w:hAnsi="宋体"/>
                <w:b/>
                <w:szCs w:val="21"/>
              </w:rPr>
              <w:t>20</w:t>
            </w:r>
          </w:p>
        </w:tc>
        <w:tc>
          <w:tcPr>
            <w:tcW w:w="7511" w:type="dxa"/>
            <w:vAlign w:val="center"/>
          </w:tcPr>
          <w:p>
            <w:pPr>
              <w:spacing w:line="440" w:lineRule="exact"/>
              <w:rPr>
                <w:rFonts w:ascii="宋体" w:hAnsi="宋体"/>
                <w:szCs w:val="21"/>
              </w:rPr>
            </w:pPr>
            <w:r>
              <w:rPr>
                <w:rFonts w:hint="eastAsia"/>
                <w:szCs w:val="21"/>
              </w:rPr>
              <w:t>提供完整的生产厂家产品说明书（彩页），根据产品彩页上的技术性能说明、详细规格型号、参数等技术指标评分。招标文件中标注“★”的技术指标任何一条不满足的作废标处理；一般技术指标根据产品性能、技术指标及其他重要性能指标和投标服务情况：符合招标文件要求20分，不满足招标文件要求的每项扣2分,超过10项属于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Merge w:val="continue"/>
            <w:vAlign w:val="center"/>
          </w:tcPr>
          <w:p>
            <w:pPr>
              <w:spacing w:line="320" w:lineRule="exact"/>
              <w:ind w:left="-48" w:right="-42" w:rightChars="-20"/>
              <w:jc w:val="center"/>
              <w:rPr>
                <w:rFonts w:ascii="宋体" w:hAnsi="宋体"/>
                <w:b/>
                <w:bCs/>
                <w:sz w:val="24"/>
                <w:szCs w:val="24"/>
              </w:rPr>
            </w:pPr>
          </w:p>
        </w:tc>
        <w:tc>
          <w:tcPr>
            <w:tcW w:w="892" w:type="dxa"/>
            <w:vAlign w:val="center"/>
          </w:tcPr>
          <w:p>
            <w:pPr>
              <w:spacing w:line="360" w:lineRule="auto"/>
              <w:jc w:val="center"/>
              <w:rPr>
                <w:rFonts w:ascii="宋体" w:hAnsi="宋体"/>
                <w:b/>
                <w:szCs w:val="21"/>
              </w:rPr>
            </w:pPr>
            <w:r>
              <w:rPr>
                <w:rFonts w:hint="eastAsia" w:ascii="宋体" w:hAnsi="宋体"/>
                <w:b/>
                <w:szCs w:val="21"/>
              </w:rPr>
              <w:t>LED屏</w:t>
            </w:r>
          </w:p>
        </w:tc>
        <w:tc>
          <w:tcPr>
            <w:tcW w:w="481" w:type="dxa"/>
            <w:vAlign w:val="center"/>
          </w:tcPr>
          <w:p>
            <w:pPr>
              <w:spacing w:line="360" w:lineRule="auto"/>
              <w:jc w:val="center"/>
              <w:rPr>
                <w:rFonts w:ascii="宋体" w:hAnsi="宋体"/>
                <w:b/>
                <w:szCs w:val="21"/>
              </w:rPr>
            </w:pPr>
            <w:r>
              <w:rPr>
                <w:rFonts w:hint="eastAsia" w:ascii="宋体" w:hAnsi="宋体"/>
                <w:b/>
                <w:szCs w:val="21"/>
              </w:rPr>
              <w:t>8</w:t>
            </w:r>
          </w:p>
        </w:tc>
        <w:tc>
          <w:tcPr>
            <w:tcW w:w="7511" w:type="dxa"/>
            <w:vAlign w:val="center"/>
          </w:tcPr>
          <w:p>
            <w:pPr>
              <w:numPr>
                <w:ilvl w:val="0"/>
                <w:numId w:val="56"/>
              </w:numPr>
              <w:rPr>
                <w:rFonts w:ascii="宋体" w:hAnsi="宋体" w:cs="宋体"/>
                <w:sz w:val="18"/>
                <w:szCs w:val="18"/>
              </w:rPr>
            </w:pPr>
            <w:r>
              <w:rPr>
                <w:rFonts w:hint="eastAsia" w:ascii="宋体" w:hAnsi="宋体" w:cs="宋体"/>
                <w:sz w:val="18"/>
                <w:szCs w:val="18"/>
              </w:rPr>
              <w:t>所投 LED 显示屏产品生产厂家必须获得ISO9001质量管理体系、ISO14001环境管理体系、ISO18001职业健康体系认证。（提供制造厂家盖章文件得3分，缺一项不得分）。</w:t>
            </w:r>
          </w:p>
          <w:p>
            <w:pPr>
              <w:rPr>
                <w:rFonts w:ascii="宋体" w:hAnsi="宋体" w:cs="宋体"/>
                <w:color w:val="0000FF"/>
                <w:sz w:val="18"/>
                <w:szCs w:val="18"/>
              </w:rPr>
            </w:pPr>
            <w:r>
              <w:rPr>
                <w:rFonts w:hint="eastAsia" w:ascii="宋体" w:hAnsi="宋体" w:cs="宋体"/>
                <w:color w:val="0000FF"/>
                <w:sz w:val="18"/>
                <w:szCs w:val="18"/>
              </w:rPr>
              <w:t>2、所投LED显示屏生产厂家具备系统集成资质、具备安全技术防范系统（设计、施工、维修资格证书）。（提供制造厂家盖章文件得 1分，缺一项不得分）。</w:t>
            </w:r>
          </w:p>
          <w:p>
            <w:pPr>
              <w:rPr>
                <w:rFonts w:ascii="宋体" w:hAnsi="宋体" w:cs="宋体"/>
                <w:sz w:val="18"/>
                <w:szCs w:val="18"/>
              </w:rPr>
            </w:pPr>
            <w:r>
              <w:rPr>
                <w:rFonts w:hint="eastAsia" w:ascii="宋体" w:hAnsi="宋体" w:cs="宋体"/>
                <w:sz w:val="18"/>
                <w:szCs w:val="18"/>
              </w:rPr>
              <w:t>3、所投 LED 产品生产厂家具 有AAA信用等级证书，</w:t>
            </w:r>
            <w:r>
              <w:rPr>
                <w:rFonts w:hint="eastAsia" w:ascii="宋体" w:hAnsi="宋体" w:cs="宋体"/>
                <w:color w:val="0000FF"/>
                <w:sz w:val="18"/>
                <w:szCs w:val="18"/>
              </w:rPr>
              <w:t>所投标的产品必须是无污染的，要求厂家提供环评检测报告，及环境影响批文</w:t>
            </w:r>
            <w:r>
              <w:rPr>
                <w:rFonts w:hint="eastAsia" w:ascii="宋体" w:hAnsi="宋体" w:cs="宋体"/>
                <w:sz w:val="18"/>
                <w:szCs w:val="18"/>
              </w:rPr>
              <w:t>；（提供制造厂家盖章文件1分，缺一项不得分）。</w:t>
            </w:r>
          </w:p>
          <w:p>
            <w:pPr>
              <w:rPr>
                <w:rFonts w:ascii="宋体" w:hAnsi="宋体" w:cs="宋体"/>
                <w:sz w:val="18"/>
                <w:szCs w:val="18"/>
              </w:rPr>
            </w:pPr>
            <w:r>
              <w:rPr>
                <w:rFonts w:hint="eastAsia" w:ascii="宋体" w:hAnsi="宋体" w:cs="宋体"/>
                <w:sz w:val="18"/>
                <w:szCs w:val="18"/>
              </w:rPr>
              <w:t>4.大屏制造商具有国家高新企业证书；（提供制造厂家盖章文件得 1分，缺一项不得分）。</w:t>
            </w:r>
          </w:p>
          <w:p>
            <w:pPr>
              <w:numPr>
                <w:ilvl w:val="0"/>
                <w:numId w:val="57"/>
              </w:numPr>
              <w:rPr>
                <w:rFonts w:ascii="宋体" w:hAnsi="宋体" w:cs="宋体"/>
                <w:sz w:val="18"/>
                <w:szCs w:val="18"/>
              </w:rPr>
            </w:pPr>
            <w:r>
              <w:rPr>
                <w:rFonts w:hint="eastAsia" w:ascii="宋体" w:hAnsi="宋体" w:cs="宋体"/>
                <w:sz w:val="18"/>
                <w:szCs w:val="18"/>
              </w:rPr>
              <w:t>为了保证产品的兼容性，LED显示屏，LED电源、</w:t>
            </w:r>
            <w:r>
              <w:rPr>
                <w:rFonts w:hint="eastAsia" w:ascii="宋体" w:hAnsi="宋体" w:cs="宋体"/>
                <w:color w:val="000000"/>
                <w:kern w:val="0"/>
                <w:sz w:val="18"/>
                <w:szCs w:val="18"/>
              </w:rPr>
              <w:t>LED视频控制器</w:t>
            </w:r>
            <w:r>
              <w:rPr>
                <w:rFonts w:hint="eastAsia" w:ascii="宋体" w:hAnsi="宋体" w:cs="宋体"/>
                <w:sz w:val="18"/>
                <w:szCs w:val="18"/>
              </w:rPr>
              <w:t>，必须为同一品牌，提供证明资料，加盖公章（提供制造厂家盖章文件得 1分，缺一项不得分）。</w:t>
            </w:r>
          </w:p>
          <w:p>
            <w:pPr>
              <w:rPr>
                <w:rFonts w:ascii="宋体" w:hAnsi="宋体" w:cs="宋体"/>
                <w:sz w:val="18"/>
                <w:szCs w:val="18"/>
              </w:rPr>
            </w:pPr>
            <w:r>
              <w:rPr>
                <w:rFonts w:hint="eastAsia" w:ascii="宋体" w:hAnsi="宋体" w:cs="宋体"/>
                <w:sz w:val="18"/>
                <w:szCs w:val="18"/>
              </w:rPr>
              <w:t>6、</w:t>
            </w:r>
            <w:r>
              <w:rPr>
                <w:rFonts w:hint="eastAsia" w:ascii="宋体" w:hAnsi="宋体" w:cs="宋体"/>
                <w:color w:val="0000FF"/>
                <w:sz w:val="18"/>
                <w:szCs w:val="18"/>
              </w:rPr>
              <w:t>LED生产商必须具备安全产许可证，所投标产品必须通过ETL检测认证，提供证明资料加盖公章。全部提供得1分，缺一不得分。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Merge w:val="continue"/>
            <w:vAlign w:val="center"/>
          </w:tcPr>
          <w:p>
            <w:pPr>
              <w:spacing w:line="320" w:lineRule="exact"/>
              <w:ind w:left="-48" w:right="-42" w:rightChars="-20"/>
              <w:jc w:val="center"/>
              <w:rPr>
                <w:rFonts w:ascii="宋体" w:hAnsi="宋体"/>
                <w:b/>
                <w:bCs/>
                <w:sz w:val="24"/>
                <w:szCs w:val="24"/>
              </w:rPr>
            </w:pPr>
          </w:p>
        </w:tc>
        <w:tc>
          <w:tcPr>
            <w:tcW w:w="892" w:type="dxa"/>
            <w:vAlign w:val="center"/>
          </w:tcPr>
          <w:p>
            <w:pPr>
              <w:ind w:left="-77" w:leftChars="-37" w:right="-86" w:rightChars="-41"/>
              <w:jc w:val="center"/>
              <w:rPr>
                <w:rFonts w:ascii="宋体" w:hAnsi="宋体"/>
                <w:b/>
                <w:szCs w:val="21"/>
              </w:rPr>
            </w:pPr>
            <w:r>
              <w:rPr>
                <w:rFonts w:hint="eastAsia" w:ascii="宋体" w:hAnsi="宋体"/>
                <w:b/>
                <w:szCs w:val="21"/>
              </w:rPr>
              <w:t>交互智能一体机</w:t>
            </w:r>
          </w:p>
        </w:tc>
        <w:tc>
          <w:tcPr>
            <w:tcW w:w="481" w:type="dxa"/>
            <w:vAlign w:val="center"/>
          </w:tcPr>
          <w:p>
            <w:pPr>
              <w:spacing w:line="360" w:lineRule="auto"/>
              <w:jc w:val="center"/>
              <w:rPr>
                <w:rFonts w:ascii="宋体" w:hAnsi="宋体"/>
                <w:b/>
                <w:szCs w:val="21"/>
              </w:rPr>
            </w:pPr>
            <w:r>
              <w:rPr>
                <w:rFonts w:hint="eastAsia" w:ascii="宋体" w:hAnsi="宋体"/>
                <w:b/>
                <w:szCs w:val="21"/>
              </w:rPr>
              <w:t>7</w:t>
            </w:r>
          </w:p>
        </w:tc>
        <w:tc>
          <w:tcPr>
            <w:tcW w:w="7511" w:type="dxa"/>
            <w:vAlign w:val="center"/>
          </w:tcPr>
          <w:p>
            <w:pPr>
              <w:widowControl/>
              <w:numPr>
                <w:ilvl w:val="0"/>
                <w:numId w:val="58"/>
              </w:numPr>
              <w:spacing w:line="440" w:lineRule="exact"/>
              <w:textAlignment w:val="center"/>
              <w:rPr>
                <w:rFonts w:ascii="宋体" w:hAnsi="宋体" w:cs="宋体"/>
                <w:color w:val="000000"/>
                <w:kern w:val="0"/>
                <w:szCs w:val="21"/>
              </w:rPr>
            </w:pPr>
            <w:r>
              <w:rPr>
                <w:rFonts w:hint="eastAsia" w:ascii="宋体" w:hAnsi="宋体" w:cs="宋体"/>
                <w:color w:val="000000"/>
                <w:kern w:val="0"/>
                <w:szCs w:val="21"/>
              </w:rPr>
              <w:t>所投产品制造商家符合 IECQ 有害物质过程管理程序和温室气体核查认证（低碳体系认证）相关要求，得1分；</w:t>
            </w:r>
          </w:p>
          <w:p>
            <w:pPr>
              <w:widowControl/>
              <w:numPr>
                <w:ilvl w:val="0"/>
                <w:numId w:val="58"/>
              </w:numPr>
              <w:spacing w:line="440" w:lineRule="exact"/>
              <w:textAlignment w:val="center"/>
              <w:rPr>
                <w:rFonts w:ascii="宋体" w:hAnsi="宋体" w:cs="宋体"/>
                <w:color w:val="000000"/>
                <w:kern w:val="0"/>
                <w:szCs w:val="21"/>
              </w:rPr>
            </w:pPr>
            <w:r>
              <w:rPr>
                <w:rFonts w:hint="eastAsia" w:ascii="宋体" w:hAnsi="宋体" w:cs="宋体"/>
                <w:color w:val="000000"/>
                <w:kern w:val="0"/>
                <w:szCs w:val="21"/>
              </w:rPr>
              <w:t>所投交互一体机获得国家高新技术产品认证的，得1分。</w:t>
            </w:r>
          </w:p>
          <w:p>
            <w:pPr>
              <w:widowControl/>
              <w:numPr>
                <w:ilvl w:val="0"/>
                <w:numId w:val="58"/>
              </w:numPr>
              <w:spacing w:line="440" w:lineRule="exact"/>
              <w:textAlignment w:val="center"/>
              <w:rPr>
                <w:rFonts w:ascii="宋体" w:hAnsi="宋体" w:cs="宋体"/>
                <w:color w:val="000000"/>
                <w:kern w:val="0"/>
                <w:szCs w:val="21"/>
              </w:rPr>
            </w:pPr>
            <w:r>
              <w:rPr>
                <w:rFonts w:hint="eastAsia" w:ascii="宋体" w:hAnsi="宋体" w:cs="宋体"/>
                <w:color w:val="000000"/>
                <w:kern w:val="0"/>
                <w:szCs w:val="21"/>
              </w:rPr>
              <w:t>所投产品生产厂家通过信息安全管理体系标准（ISO27001)，得2分。</w:t>
            </w:r>
          </w:p>
          <w:p>
            <w:pPr>
              <w:widowControl/>
              <w:numPr>
                <w:ilvl w:val="0"/>
                <w:numId w:val="58"/>
              </w:numPr>
              <w:spacing w:line="440" w:lineRule="exact"/>
              <w:textAlignment w:val="center"/>
              <w:rPr>
                <w:rFonts w:ascii="宋体" w:hAnsi="宋体" w:cs="宋体"/>
                <w:color w:val="000000"/>
                <w:kern w:val="0"/>
                <w:szCs w:val="21"/>
              </w:rPr>
            </w:pPr>
            <w:r>
              <w:rPr>
                <w:rFonts w:hint="eastAsia" w:ascii="宋体" w:hAnsi="宋体" w:cs="宋体"/>
                <w:color w:val="000000"/>
                <w:kern w:val="0"/>
                <w:szCs w:val="21"/>
              </w:rPr>
              <w:t>所投产品获得中国专利优秀奖证书，得1分。</w:t>
            </w:r>
          </w:p>
          <w:p>
            <w:pPr>
              <w:widowControl/>
              <w:numPr>
                <w:ilvl w:val="0"/>
                <w:numId w:val="58"/>
              </w:numPr>
              <w:spacing w:line="440" w:lineRule="exact"/>
              <w:textAlignment w:val="center"/>
              <w:rPr>
                <w:rFonts w:ascii="宋体" w:hAnsi="宋体" w:cs="宋体"/>
                <w:color w:val="000000"/>
                <w:kern w:val="0"/>
                <w:szCs w:val="21"/>
              </w:rPr>
            </w:pPr>
            <w:r>
              <w:rPr>
                <w:rFonts w:hint="eastAsia" w:ascii="宋体" w:hAnsi="宋体" w:cs="宋体"/>
                <w:color w:val="000000"/>
                <w:kern w:val="0"/>
                <w:szCs w:val="21"/>
              </w:rPr>
              <w:t>所投产品制造商获得由中国发明协会和中国教育装备行业协会颁发的国际发明展览会金奖，得1分。</w:t>
            </w:r>
          </w:p>
          <w:p>
            <w:pPr>
              <w:widowControl/>
              <w:numPr>
                <w:ilvl w:val="0"/>
                <w:numId w:val="58"/>
              </w:numPr>
              <w:spacing w:line="440" w:lineRule="exact"/>
              <w:textAlignment w:val="center"/>
              <w:rPr>
                <w:rFonts w:ascii="宋体" w:hAnsi="宋体" w:cs="宋体"/>
                <w:color w:val="000000"/>
                <w:kern w:val="0"/>
                <w:szCs w:val="21"/>
              </w:rPr>
            </w:pPr>
            <w:r>
              <w:rPr>
                <w:rFonts w:hint="eastAsia" w:ascii="宋体" w:hAnsi="宋体" w:cs="宋体"/>
                <w:color w:val="000000"/>
                <w:kern w:val="0"/>
                <w:szCs w:val="21"/>
              </w:rPr>
              <w:t>所投产品获得过商务部、科学技术部、环境保护部或国家质量监督检验检疫总局颁发的“国家重点新产品”证书，得1分。</w:t>
            </w:r>
          </w:p>
          <w:p>
            <w:pPr>
              <w:widowControl/>
              <w:spacing w:line="440" w:lineRule="exact"/>
              <w:textAlignment w:val="center"/>
              <w:rPr>
                <w:rFonts w:ascii="宋体" w:hAnsi="宋体" w:cs="宋体"/>
                <w:color w:val="000000"/>
                <w:kern w:val="0"/>
                <w:szCs w:val="21"/>
              </w:rPr>
            </w:pPr>
            <w:r>
              <w:rPr>
                <w:rFonts w:hint="eastAsia" w:ascii="宋体" w:hAnsi="宋体" w:cs="宋体"/>
                <w:b/>
                <w:bCs/>
                <w:szCs w:val="21"/>
              </w:rPr>
              <w:t>注：须提供证书证明复印件并加盖公章，否则不得分。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Merge w:val="continue"/>
            <w:vAlign w:val="center"/>
          </w:tcPr>
          <w:p>
            <w:pPr>
              <w:spacing w:line="320" w:lineRule="exact"/>
              <w:ind w:left="-48" w:right="-42" w:rightChars="-20"/>
              <w:jc w:val="center"/>
              <w:rPr>
                <w:rFonts w:ascii="宋体" w:hAnsi="宋体"/>
                <w:b/>
                <w:bCs/>
                <w:sz w:val="24"/>
                <w:szCs w:val="24"/>
              </w:rPr>
            </w:pPr>
          </w:p>
        </w:tc>
        <w:tc>
          <w:tcPr>
            <w:tcW w:w="892" w:type="dxa"/>
            <w:vAlign w:val="center"/>
          </w:tcPr>
          <w:p>
            <w:pPr>
              <w:ind w:left="-77" w:leftChars="-37" w:right="-86" w:rightChars="-41"/>
              <w:jc w:val="center"/>
              <w:rPr>
                <w:rFonts w:ascii="宋体" w:hAnsi="宋体"/>
                <w:b/>
                <w:szCs w:val="21"/>
              </w:rPr>
            </w:pPr>
            <w:r>
              <w:rPr>
                <w:rFonts w:hint="eastAsia" w:ascii="宋体" w:hAnsi="宋体"/>
                <w:b/>
                <w:szCs w:val="21"/>
              </w:rPr>
              <w:t>扩声</w:t>
            </w:r>
          </w:p>
          <w:p>
            <w:pPr>
              <w:ind w:left="-77" w:leftChars="-37" w:right="-86" w:rightChars="-41"/>
              <w:jc w:val="center"/>
              <w:rPr>
                <w:rFonts w:ascii="宋体" w:hAnsi="宋体"/>
                <w:b/>
                <w:szCs w:val="21"/>
              </w:rPr>
            </w:pPr>
            <w:r>
              <w:rPr>
                <w:rFonts w:hint="eastAsia" w:ascii="宋体" w:hAnsi="宋体"/>
                <w:b/>
                <w:szCs w:val="21"/>
              </w:rPr>
              <w:t>系统</w:t>
            </w:r>
          </w:p>
        </w:tc>
        <w:tc>
          <w:tcPr>
            <w:tcW w:w="481" w:type="dxa"/>
            <w:vAlign w:val="center"/>
          </w:tcPr>
          <w:p>
            <w:pPr>
              <w:spacing w:line="360" w:lineRule="auto"/>
              <w:jc w:val="center"/>
              <w:rPr>
                <w:rFonts w:ascii="宋体" w:hAnsi="宋体"/>
                <w:b/>
                <w:szCs w:val="21"/>
              </w:rPr>
            </w:pPr>
            <w:r>
              <w:rPr>
                <w:rFonts w:hint="eastAsia" w:ascii="宋体" w:hAnsi="宋体"/>
                <w:b/>
                <w:szCs w:val="21"/>
              </w:rPr>
              <w:t>12</w:t>
            </w:r>
          </w:p>
        </w:tc>
        <w:tc>
          <w:tcPr>
            <w:tcW w:w="7511" w:type="dxa"/>
            <w:vAlign w:val="center"/>
          </w:tcPr>
          <w:p>
            <w:pPr>
              <w:autoSpaceDE w:val="0"/>
              <w:autoSpaceDN w:val="0"/>
              <w:adjustRightInd w:val="0"/>
              <w:spacing w:line="440" w:lineRule="exact"/>
              <w:jc w:val="left"/>
              <w:rPr>
                <w:rFonts w:ascii="宋体" w:cs="宋体"/>
                <w:color w:val="000000"/>
                <w:kern w:val="0"/>
                <w:szCs w:val="21"/>
              </w:rPr>
            </w:pPr>
            <w:r>
              <w:rPr>
                <w:rFonts w:hint="eastAsia" w:ascii="宋体" w:cs="宋体"/>
                <w:color w:val="000000"/>
                <w:kern w:val="0"/>
                <w:szCs w:val="21"/>
              </w:rPr>
              <w:t>1、所投音响设备生产厂家具备声频工程企业综合技术等级认证的得1分。(提供证书彩印件加盖厂家公章)</w:t>
            </w:r>
          </w:p>
          <w:p>
            <w:pPr>
              <w:autoSpaceDE w:val="0"/>
              <w:autoSpaceDN w:val="0"/>
              <w:adjustRightInd w:val="0"/>
              <w:spacing w:line="440" w:lineRule="exact"/>
              <w:jc w:val="left"/>
              <w:rPr>
                <w:rFonts w:ascii="宋体" w:cs="宋体"/>
                <w:color w:val="000000"/>
                <w:kern w:val="0"/>
                <w:szCs w:val="21"/>
              </w:rPr>
            </w:pPr>
            <w:r>
              <w:rPr>
                <w:rFonts w:hint="eastAsia" w:ascii="宋体" w:cs="宋体"/>
                <w:color w:val="000000"/>
                <w:kern w:val="0"/>
                <w:szCs w:val="21"/>
              </w:rPr>
              <w:t>2、所投音响设备生产厂家具备质量、服务、诚信AAA级企业认证证书的得1分。(提供证书彩印件加盖厂家公章)</w:t>
            </w:r>
          </w:p>
          <w:p>
            <w:pPr>
              <w:autoSpaceDE w:val="0"/>
              <w:autoSpaceDN w:val="0"/>
              <w:adjustRightInd w:val="0"/>
              <w:spacing w:line="440" w:lineRule="exact"/>
              <w:jc w:val="left"/>
              <w:rPr>
                <w:rFonts w:ascii="宋体" w:cs="宋体"/>
                <w:color w:val="000000"/>
                <w:kern w:val="0"/>
                <w:szCs w:val="21"/>
              </w:rPr>
            </w:pPr>
            <w:r>
              <w:rPr>
                <w:rFonts w:hint="eastAsia" w:ascii="宋体" w:cs="宋体"/>
                <w:color w:val="000000"/>
                <w:kern w:val="0"/>
                <w:szCs w:val="21"/>
              </w:rPr>
              <w:t>3、所投音响设备生产厂家具备国家知识产权优势企业认证的得2分。(提供证书彩印件加盖厂家公章)</w:t>
            </w:r>
          </w:p>
          <w:p>
            <w:pPr>
              <w:autoSpaceDE w:val="0"/>
              <w:autoSpaceDN w:val="0"/>
              <w:adjustRightInd w:val="0"/>
              <w:spacing w:line="440" w:lineRule="exact"/>
              <w:rPr>
                <w:rFonts w:ascii="宋体" w:cs="宋体"/>
                <w:color w:val="000000"/>
                <w:kern w:val="0"/>
                <w:szCs w:val="21"/>
              </w:rPr>
            </w:pPr>
            <w:r>
              <w:rPr>
                <w:rFonts w:hint="eastAsia" w:ascii="宋体" w:cs="宋体"/>
                <w:color w:val="000000"/>
                <w:kern w:val="0"/>
                <w:szCs w:val="21"/>
              </w:rPr>
              <w:t>4、为了保障声音经过啸叫抑制器处理后不变调，总谐波失真≤0.01%的得2分（提供官网产品参数截图并加盖厂家公章）</w:t>
            </w:r>
          </w:p>
          <w:p>
            <w:pPr>
              <w:autoSpaceDE w:val="0"/>
              <w:autoSpaceDN w:val="0"/>
              <w:adjustRightInd w:val="0"/>
              <w:spacing w:line="440" w:lineRule="exact"/>
              <w:rPr>
                <w:rFonts w:ascii="宋体" w:cs="宋体"/>
                <w:color w:val="000000"/>
                <w:kern w:val="0"/>
                <w:szCs w:val="21"/>
              </w:rPr>
            </w:pPr>
            <w:r>
              <w:rPr>
                <w:rFonts w:hint="eastAsia" w:ascii="宋体" w:cs="宋体"/>
                <w:color w:val="000000"/>
                <w:kern w:val="0"/>
                <w:szCs w:val="21"/>
              </w:rPr>
              <w:t>5、所投功放符合国际标准产品认证的得2分。（提供国家标准化管理委员会颁发的国际标准产品标志证书复印件加盖厂家公章）</w:t>
            </w:r>
          </w:p>
          <w:p>
            <w:pPr>
              <w:autoSpaceDE w:val="0"/>
              <w:autoSpaceDN w:val="0"/>
              <w:adjustRightInd w:val="0"/>
              <w:spacing w:line="440" w:lineRule="exact"/>
              <w:rPr>
                <w:rFonts w:ascii="宋体" w:cs="宋体"/>
                <w:color w:val="000000"/>
                <w:kern w:val="0"/>
                <w:szCs w:val="21"/>
              </w:rPr>
            </w:pPr>
            <w:r>
              <w:rPr>
                <w:rFonts w:hint="eastAsia" w:ascii="宋体" w:cs="宋体"/>
                <w:color w:val="000000"/>
                <w:kern w:val="0"/>
                <w:szCs w:val="21"/>
              </w:rPr>
              <w:t>6、所投音响设备生产厂家获得了省级以上（含省级）工商机关颁发的著名商标认证的得2分。(提供证书彩印件加盖厂家公章)</w:t>
            </w:r>
            <w:r>
              <w:rPr>
                <w:rFonts w:ascii="宋体" w:cs="宋体"/>
                <w:color w:val="000000"/>
                <w:kern w:val="0"/>
                <w:szCs w:val="21"/>
              </w:rPr>
              <w:t xml:space="preserve"> </w:t>
            </w:r>
          </w:p>
          <w:p>
            <w:pPr>
              <w:widowControl/>
              <w:spacing w:line="440" w:lineRule="exact"/>
              <w:textAlignment w:val="center"/>
              <w:rPr>
                <w:rFonts w:ascii="Times New Roman" w:hAnsi="Times New Roman"/>
                <w:szCs w:val="21"/>
              </w:rPr>
            </w:pPr>
            <w:r>
              <w:rPr>
                <w:rFonts w:hint="eastAsia" w:ascii="Times New Roman" w:hAnsi="Times New Roman"/>
                <w:szCs w:val="21"/>
              </w:rPr>
              <w:t>7、为确保话筒拾音清晰无杂音，一拖四话筒信噪比≥110dB得1分；一拖二会议话筒信噪比≥90dB得1分。本项最多得2分。（提供第三方检测机构出具的检测报告彩印件并加盖厂家公章）</w:t>
            </w:r>
          </w:p>
          <w:p>
            <w:pPr>
              <w:widowControl/>
              <w:spacing w:line="440" w:lineRule="exact"/>
              <w:textAlignment w:val="center"/>
              <w:rPr>
                <w:rFonts w:ascii="宋体" w:hAnsi="宋体" w:cs="宋体"/>
                <w:color w:val="000000"/>
                <w:kern w:val="0"/>
                <w:szCs w:val="21"/>
                <w:highlight w:val="yellow"/>
              </w:rPr>
            </w:pPr>
            <w:r>
              <w:rPr>
                <w:rFonts w:hint="eastAsia" w:ascii="宋体" w:hAnsi="宋体" w:cs="宋体"/>
                <w:b/>
                <w:bCs/>
                <w:szCs w:val="21"/>
              </w:rPr>
              <w:t>注：须提供证书证明复印件并加盖公章，否则不得分。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Merge w:val="continue"/>
            <w:vAlign w:val="center"/>
          </w:tcPr>
          <w:p>
            <w:pPr>
              <w:spacing w:line="320" w:lineRule="exact"/>
              <w:ind w:left="-48" w:right="-42" w:rightChars="-20"/>
              <w:jc w:val="center"/>
              <w:rPr>
                <w:rFonts w:ascii="宋体" w:hAnsi="宋体"/>
                <w:b/>
                <w:bCs/>
                <w:sz w:val="24"/>
                <w:szCs w:val="24"/>
              </w:rPr>
            </w:pPr>
          </w:p>
        </w:tc>
        <w:tc>
          <w:tcPr>
            <w:tcW w:w="892" w:type="dxa"/>
            <w:vAlign w:val="center"/>
          </w:tcPr>
          <w:p>
            <w:pPr>
              <w:ind w:left="-77" w:leftChars="-37" w:right="-86" w:rightChars="-41"/>
              <w:jc w:val="center"/>
              <w:rPr>
                <w:rFonts w:ascii="宋体" w:hAnsi="宋体"/>
                <w:b/>
                <w:szCs w:val="21"/>
              </w:rPr>
            </w:pPr>
            <w:r>
              <w:rPr>
                <w:rFonts w:hint="eastAsia" w:ascii="宋体" w:hAnsi="宋体"/>
                <w:b/>
                <w:szCs w:val="21"/>
              </w:rPr>
              <w:t>施工</w:t>
            </w:r>
          </w:p>
          <w:p>
            <w:pPr>
              <w:ind w:left="-77" w:leftChars="-37" w:right="-86" w:rightChars="-41"/>
              <w:jc w:val="center"/>
              <w:rPr>
                <w:rFonts w:ascii="宋体" w:hAnsi="宋体"/>
                <w:b/>
                <w:szCs w:val="21"/>
              </w:rPr>
            </w:pPr>
            <w:r>
              <w:rPr>
                <w:rFonts w:hint="eastAsia" w:ascii="宋体" w:hAnsi="宋体"/>
                <w:b/>
                <w:szCs w:val="21"/>
              </w:rPr>
              <w:t>方案</w:t>
            </w:r>
          </w:p>
        </w:tc>
        <w:tc>
          <w:tcPr>
            <w:tcW w:w="481" w:type="dxa"/>
            <w:vAlign w:val="center"/>
          </w:tcPr>
          <w:p>
            <w:pPr>
              <w:spacing w:line="360" w:lineRule="auto"/>
              <w:jc w:val="center"/>
              <w:rPr>
                <w:rFonts w:ascii="宋体" w:hAnsi="宋体"/>
                <w:b/>
                <w:szCs w:val="21"/>
              </w:rPr>
            </w:pPr>
            <w:r>
              <w:rPr>
                <w:rFonts w:hint="eastAsia" w:ascii="宋体" w:hAnsi="宋体"/>
                <w:b/>
                <w:szCs w:val="21"/>
              </w:rPr>
              <w:t>3</w:t>
            </w:r>
          </w:p>
        </w:tc>
        <w:tc>
          <w:tcPr>
            <w:tcW w:w="7511" w:type="dxa"/>
            <w:vAlign w:val="center"/>
          </w:tcPr>
          <w:p>
            <w:pPr>
              <w:widowControl/>
              <w:spacing w:line="440" w:lineRule="exact"/>
              <w:textAlignment w:val="center"/>
              <w:rPr>
                <w:color w:val="000000"/>
                <w:szCs w:val="21"/>
              </w:rPr>
            </w:pPr>
            <w:r>
              <w:rPr>
                <w:rFonts w:hint="eastAsia" w:ascii="宋体" w:hAnsi="宋体"/>
                <w:color w:val="0000FF"/>
                <w:szCs w:val="21"/>
              </w:rPr>
              <w:t>提供详细的技术方案。依据各投标人所提供有关资料进行横向比较排名。①第一名得3分；②第二名得2分；③第三名得1分；未提供的不得分。</w:t>
            </w:r>
          </w:p>
        </w:tc>
      </w:tr>
    </w:tbl>
    <w:p>
      <w:pPr>
        <w:rPr>
          <w:rFonts w:ascii="宋体" w:hAnsi="宋体"/>
          <w:b/>
          <w:color w:val="000000" w:themeColor="text1"/>
          <w:sz w:val="24"/>
          <w:szCs w:val="24"/>
        </w:rPr>
      </w:pPr>
    </w:p>
    <w:p>
      <w:pPr>
        <w:spacing w:line="360" w:lineRule="auto"/>
        <w:ind w:firstLine="480" w:firstLineChars="200"/>
        <w:rPr>
          <w:color w:val="000000" w:themeColor="text1"/>
          <w:lang w:val="zh-CN"/>
        </w:rPr>
      </w:pPr>
      <w:r>
        <w:rPr>
          <w:rFonts w:hint="eastAsia" w:ascii="宋体" w:hAnsi="宋体"/>
          <w:b/>
          <w:color w:val="000000" w:themeColor="text1"/>
          <w:sz w:val="24"/>
          <w:szCs w:val="24"/>
        </w:rPr>
        <w:t>备注：以上所有须提供的证件、证书、有关资料等投标人都必须提供原件真彩扫描件（加盖公章）等有关资料供专家评委评审，否则不得分。投标人投标时须认真对待、如实应标。凡提供虚假材料谋取中标的，一经查实，根据《政府采购法》第七十七条之规定，将对供应商处以罚款、列入不良行为记录名单、依法追究刑事责任等。</w:t>
      </w:r>
      <w:r>
        <w:rPr>
          <w:rFonts w:hint="eastAsia" w:ascii="宋体" w:hAnsi="宋体" w:cs="宋体"/>
          <w:b/>
          <w:bCs/>
          <w:color w:val="000000" w:themeColor="text1"/>
          <w:sz w:val="24"/>
          <w:szCs w:val="24"/>
        </w:rPr>
        <w:t>以上详细评分细则中每项标注的分值，由各位评委独立量分。</w:t>
      </w:r>
    </w:p>
    <w:p>
      <w:pPr>
        <w:rPr>
          <w:color w:val="000000" w:themeColor="text1"/>
        </w:rPr>
      </w:pPr>
      <w:r>
        <w:rPr>
          <w:color w:val="000000" w:themeColor="text1"/>
        </w:rPr>
        <w:br w:type="page"/>
      </w:r>
    </w:p>
    <w:p>
      <w:pPr>
        <w:pStyle w:val="2"/>
        <w:numPr>
          <w:ilvl w:val="0"/>
          <w:numId w:val="1"/>
        </w:numPr>
        <w:jc w:val="center"/>
        <w:rPr>
          <w:rFonts w:ascii="黑体" w:hAnsi="黑体" w:eastAsia="黑体"/>
          <w:color w:val="000000" w:themeColor="text1"/>
        </w:rPr>
      </w:pPr>
      <w:bookmarkStart w:id="70" w:name="_Toc13483"/>
      <w:bookmarkStart w:id="71" w:name="_Toc494702263"/>
      <w:bookmarkStart w:id="72" w:name="_Toc494745310"/>
      <w:bookmarkStart w:id="73" w:name="_Toc494664993"/>
      <w:bookmarkStart w:id="74" w:name="_Toc494665546"/>
      <w:bookmarkStart w:id="75" w:name="_Toc494665943"/>
      <w:bookmarkStart w:id="76" w:name="_Toc494721093"/>
      <w:r>
        <w:rPr>
          <w:rFonts w:hint="eastAsia" w:ascii="黑体" w:hAnsi="黑体" w:eastAsia="黑体"/>
          <w:color w:val="000000" w:themeColor="text1"/>
        </w:rPr>
        <w:t>合同书格式（参考）</w:t>
      </w:r>
      <w:bookmarkEnd w:id="70"/>
      <w:bookmarkEnd w:id="71"/>
      <w:bookmarkEnd w:id="72"/>
      <w:bookmarkEnd w:id="73"/>
      <w:bookmarkEnd w:id="74"/>
      <w:bookmarkEnd w:id="75"/>
      <w:bookmarkEnd w:id="76"/>
    </w:p>
    <w:p>
      <w:pPr>
        <w:spacing w:line="360" w:lineRule="auto"/>
        <w:ind w:firstLine="480" w:firstLineChars="200"/>
        <w:rPr>
          <w:color w:val="000000" w:themeColor="text1"/>
          <w:sz w:val="24"/>
          <w:szCs w:val="24"/>
        </w:rPr>
      </w:pPr>
      <w:r>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b/>
          <w:color w:val="000000" w:themeColor="text1"/>
          <w:kern w:val="0"/>
          <w:sz w:val="36"/>
          <w:szCs w:val="36"/>
        </w:rPr>
      </w:pPr>
      <w:r>
        <w:rPr>
          <w:rFonts w:hint="eastAsia" w:ascii="宋体" w:hAnsi="宋体"/>
          <w:b/>
          <w:color w:val="000000" w:themeColor="text1"/>
          <w:kern w:val="0"/>
          <w:sz w:val="36"/>
          <w:szCs w:val="36"/>
        </w:rPr>
        <w:t>合</w:t>
      </w:r>
      <w:r>
        <w:rPr>
          <w:rFonts w:ascii="宋体" w:hAnsi="宋体"/>
          <w:b/>
          <w:color w:val="000000" w:themeColor="text1"/>
          <w:kern w:val="0"/>
          <w:sz w:val="36"/>
          <w:szCs w:val="36"/>
        </w:rPr>
        <w:t xml:space="preserve">   </w:t>
      </w:r>
      <w:r>
        <w:rPr>
          <w:rFonts w:hint="eastAsia" w:ascii="宋体" w:hAnsi="宋体"/>
          <w:b/>
          <w:color w:val="000000" w:themeColor="text1"/>
          <w:kern w:val="0"/>
          <w:sz w:val="36"/>
          <w:szCs w:val="36"/>
        </w:rPr>
        <w:t>同</w:t>
      </w:r>
      <w:r>
        <w:rPr>
          <w:rFonts w:ascii="宋体" w:hAnsi="宋体"/>
          <w:b/>
          <w:color w:val="000000" w:themeColor="text1"/>
          <w:kern w:val="0"/>
          <w:sz w:val="36"/>
          <w:szCs w:val="36"/>
        </w:rPr>
        <w:t xml:space="preserve">   </w:t>
      </w:r>
      <w:r>
        <w:rPr>
          <w:rFonts w:hint="eastAsia" w:ascii="宋体" w:hAnsi="宋体"/>
          <w:b/>
          <w:color w:val="000000" w:themeColor="text1"/>
          <w:kern w:val="0"/>
          <w:sz w:val="36"/>
          <w:szCs w:val="36"/>
        </w:rPr>
        <w:t>书</w:t>
      </w:r>
    </w:p>
    <w:p>
      <w:pPr>
        <w:spacing w:before="78" w:beforeLines="25" w:line="360" w:lineRule="auto"/>
        <w:ind w:firstLine="480" w:firstLineChars="200"/>
        <w:rPr>
          <w:rFonts w:ascii="Helvetica" w:hAnsi="Helvetica" w:cs="Helvetica"/>
          <w:b/>
          <w:color w:val="000000" w:themeColor="text1"/>
          <w:kern w:val="0"/>
          <w:sz w:val="24"/>
          <w:szCs w:val="24"/>
          <w:lang w:val="zh-CN"/>
        </w:rPr>
      </w:pPr>
      <w:r>
        <w:rPr>
          <w:rFonts w:hint="eastAsia" w:ascii="Helvetica" w:hAnsi="Helvetica" w:cs="Helvetica"/>
          <w:b/>
          <w:color w:val="000000" w:themeColor="text1"/>
          <w:kern w:val="0"/>
          <w:sz w:val="24"/>
          <w:szCs w:val="24"/>
          <w:lang w:val="zh-CN"/>
        </w:rPr>
        <w:t>项目名称：</w:t>
      </w:r>
    </w:p>
    <w:p>
      <w:pPr>
        <w:spacing w:before="78" w:beforeLines="25" w:line="360" w:lineRule="auto"/>
        <w:ind w:firstLine="480" w:firstLineChars="200"/>
        <w:rPr>
          <w:rFonts w:ascii="Helvetica" w:hAnsi="Helvetica" w:cs="Helvetica"/>
          <w:b/>
          <w:color w:val="000000" w:themeColor="text1"/>
          <w:kern w:val="0"/>
          <w:sz w:val="24"/>
          <w:szCs w:val="24"/>
          <w:lang w:val="zh-CN"/>
        </w:rPr>
      </w:pPr>
      <w:r>
        <w:rPr>
          <w:rFonts w:hint="eastAsia" w:ascii="Helvetica" w:hAnsi="Helvetica" w:cs="Helvetica"/>
          <w:b/>
          <w:color w:val="000000" w:themeColor="text1"/>
          <w:kern w:val="0"/>
          <w:sz w:val="24"/>
          <w:szCs w:val="24"/>
          <w:lang w:val="zh-CN"/>
        </w:rPr>
        <w:t>合同编号：</w:t>
      </w:r>
    </w:p>
    <w:p>
      <w:pPr>
        <w:spacing w:before="78" w:beforeLines="25" w:line="360" w:lineRule="auto"/>
        <w:ind w:firstLine="480" w:firstLineChars="200"/>
        <w:rPr>
          <w:rFonts w:ascii="Helvetica" w:hAnsi="Helvetica" w:cs="Helvetica"/>
          <w:b/>
          <w:color w:val="000000" w:themeColor="text1"/>
          <w:kern w:val="0"/>
          <w:sz w:val="24"/>
          <w:szCs w:val="24"/>
          <w:lang w:val="zh-CN"/>
        </w:rPr>
      </w:pPr>
      <w:r>
        <w:rPr>
          <w:rFonts w:hint="eastAsia" w:ascii="Helvetica" w:hAnsi="Helvetica" w:cs="Helvetica"/>
          <w:b/>
          <w:color w:val="000000" w:themeColor="text1"/>
          <w:kern w:val="0"/>
          <w:sz w:val="24"/>
          <w:szCs w:val="24"/>
          <w:lang w:val="zh-CN"/>
        </w:rPr>
        <w:t>签订日期：</w:t>
      </w:r>
    </w:p>
    <w:p>
      <w:pPr>
        <w:spacing w:before="78" w:beforeLines="25" w:line="360" w:lineRule="auto"/>
        <w:ind w:firstLine="480" w:firstLineChars="200"/>
        <w:rPr>
          <w:rFonts w:ascii="Helvetica" w:hAnsi="Helvetica" w:cs="Helvetica"/>
          <w:b/>
          <w:color w:val="000000" w:themeColor="text1"/>
          <w:kern w:val="0"/>
          <w:sz w:val="24"/>
          <w:szCs w:val="24"/>
          <w:lang w:val="zh-CN"/>
        </w:rPr>
      </w:pPr>
      <w:r>
        <w:rPr>
          <w:rFonts w:hint="eastAsia" w:ascii="Helvetica" w:hAnsi="Helvetica" w:cs="Helvetica"/>
          <w:b/>
          <w:color w:val="000000" w:themeColor="text1"/>
          <w:kern w:val="0"/>
          <w:sz w:val="24"/>
          <w:szCs w:val="24"/>
          <w:lang w:val="zh-CN"/>
        </w:rPr>
        <w:t>签订合同地点：</w:t>
      </w:r>
    </w:p>
    <w:p>
      <w:pPr>
        <w:spacing w:before="78" w:beforeLines="25" w:line="360" w:lineRule="auto"/>
        <w:ind w:firstLine="480" w:firstLineChars="200"/>
        <w:rPr>
          <w:rFonts w:ascii="Helvetica" w:hAnsi="Helvetica" w:cs="Helvetica"/>
          <w:color w:val="000000" w:themeColor="text1"/>
          <w:kern w:val="0"/>
          <w:sz w:val="24"/>
          <w:szCs w:val="24"/>
          <w:lang w:val="zh-CN"/>
        </w:rPr>
      </w:pPr>
      <w:r>
        <w:rPr>
          <w:rFonts w:hint="eastAsia" w:ascii="Helvetica" w:hAnsi="Helvetica" w:cs="Helvetica"/>
          <w:color w:val="000000" w:themeColor="text1"/>
          <w:kern w:val="0"/>
          <w:sz w:val="24"/>
          <w:szCs w:val="24"/>
          <w:lang w:val="zh-CN"/>
        </w:rPr>
        <w:t>本合同由</w:t>
      </w:r>
      <w:r>
        <w:rPr>
          <w:rFonts w:hint="eastAsia" w:ascii="Helvetica" w:hAnsi="Helvetica" w:cs="Helvetica"/>
          <w:color w:val="000000" w:themeColor="text1"/>
          <w:kern w:val="0"/>
          <w:sz w:val="24"/>
          <w:szCs w:val="24"/>
          <w:u w:val="single"/>
          <w:lang w:val="zh-CN"/>
        </w:rPr>
        <w:t>（采购人）</w:t>
      </w:r>
      <w:r>
        <w:rPr>
          <w:rFonts w:hint="eastAsia" w:ascii="Helvetica" w:hAnsi="Helvetica" w:cs="Helvetica"/>
          <w:color w:val="000000" w:themeColor="text1"/>
          <w:kern w:val="0"/>
          <w:sz w:val="24"/>
          <w:szCs w:val="24"/>
          <w:lang w:val="zh-CN"/>
        </w:rPr>
        <w:t>（以下简称“甲方”）与</w:t>
      </w:r>
      <w:r>
        <w:rPr>
          <w:rFonts w:hint="eastAsia" w:ascii="Helvetica" w:hAnsi="Helvetica" w:cs="Helvetica"/>
          <w:color w:val="000000" w:themeColor="text1"/>
          <w:kern w:val="0"/>
          <w:sz w:val="24"/>
          <w:szCs w:val="24"/>
          <w:u w:val="single"/>
          <w:lang w:val="zh-CN"/>
        </w:rPr>
        <w:t>（中标人）</w:t>
      </w:r>
      <w:r>
        <w:rPr>
          <w:rFonts w:hint="eastAsia" w:ascii="Helvetica" w:hAnsi="Helvetica" w:cs="Helvetica"/>
          <w:color w:val="000000" w:themeColor="text1"/>
          <w:kern w:val="0"/>
          <w:sz w:val="24"/>
          <w:szCs w:val="24"/>
          <w:lang w:val="zh-CN"/>
        </w:rPr>
        <w:t>（以下简称“乙方”）签订。乙方以总金额万元人民币（用大写数字书写）向甲方提供如下货物（工程或服务）：</w:t>
      </w:r>
    </w:p>
    <w:p>
      <w:pPr>
        <w:spacing w:before="78" w:beforeLines="25" w:line="360" w:lineRule="auto"/>
        <w:ind w:firstLine="489" w:firstLineChars="204"/>
        <w:contextualSpacing/>
        <w:rPr>
          <w:rFonts w:ascii="宋体"/>
          <w:b/>
          <w:color w:val="000000" w:themeColor="text1"/>
          <w:kern w:val="0"/>
          <w:sz w:val="24"/>
          <w:szCs w:val="20"/>
        </w:rPr>
      </w:pPr>
      <w:r>
        <w:rPr>
          <w:rFonts w:hint="eastAsia" w:ascii="Helvetica" w:hAnsi="Helvetica" w:cs="Helvetica"/>
          <w:b/>
          <w:color w:val="000000" w:themeColor="text1"/>
          <w:kern w:val="0"/>
          <w:sz w:val="24"/>
          <w:szCs w:val="24"/>
          <w:lang w:val="zh-CN"/>
        </w:rPr>
        <w:t>经双方协商，同意按下列条文执行：</w:t>
      </w:r>
    </w:p>
    <w:p>
      <w:pPr>
        <w:numPr>
          <w:ilvl w:val="3"/>
          <w:numId w:val="59"/>
        </w:numPr>
        <w:tabs>
          <w:tab w:val="left" w:pos="854"/>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本合同甲、乙双方应遵守国家颁布的《中华人民共和国合同法》、《中华人民共和国政府采购法》，并各自履行应负的全部责任和义务。</w:t>
      </w:r>
    </w:p>
    <w:p>
      <w:pPr>
        <w:numPr>
          <w:ilvl w:val="3"/>
          <w:numId w:val="59"/>
        </w:numPr>
        <w:tabs>
          <w:tab w:val="left" w:pos="854"/>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甲方保证按合同条款规定的时间和方式付给乙方到期应付的合同款，并承担应负的责任和义务。</w:t>
      </w:r>
    </w:p>
    <w:p>
      <w:pPr>
        <w:numPr>
          <w:ilvl w:val="3"/>
          <w:numId w:val="59"/>
        </w:numPr>
        <w:tabs>
          <w:tab w:val="left" w:pos="854"/>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乙方保证按合同条款规定的内容和工期（服务期限）向甲方提供合格的货物（工程或服务），并承担应负的责任和义务。</w:t>
      </w:r>
    </w:p>
    <w:p>
      <w:pPr>
        <w:numPr>
          <w:ilvl w:val="3"/>
          <w:numId w:val="59"/>
        </w:numPr>
        <w:tabs>
          <w:tab w:val="left" w:pos="854"/>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合同文件。下列文件为本合同不可分割的部分：</w:t>
      </w:r>
    </w:p>
    <w:p>
      <w:pPr>
        <w:numPr>
          <w:ilvl w:val="0"/>
          <w:numId w:val="60"/>
        </w:numPr>
        <w:adjustRightInd w:val="0"/>
        <w:spacing w:before="78" w:beforeLines="25" w:line="360" w:lineRule="auto"/>
        <w:ind w:left="1090" w:leftChars="227" w:hanging="614" w:hangingChars="256"/>
        <w:rPr>
          <w:rFonts w:ascii="宋体"/>
          <w:color w:val="000000" w:themeColor="text1"/>
          <w:kern w:val="0"/>
          <w:sz w:val="24"/>
          <w:szCs w:val="20"/>
          <w:lang w:val="zh-CN"/>
        </w:rPr>
      </w:pPr>
      <w:r>
        <w:rPr>
          <w:rFonts w:hint="eastAsia" w:ascii="宋体" w:hAnsi="宋体"/>
          <w:color w:val="000000" w:themeColor="text1"/>
          <w:kern w:val="0"/>
          <w:sz w:val="24"/>
          <w:szCs w:val="20"/>
          <w:lang w:val="zh-CN"/>
        </w:rPr>
        <w:t>招标文件（项目编号：</w:t>
      </w:r>
      <w:r>
        <w:rPr>
          <w:rFonts w:hint="eastAsia" w:ascii="宋体" w:hAnsi="宋体"/>
          <w:color w:val="000000" w:themeColor="text1"/>
          <w:kern w:val="0"/>
          <w:sz w:val="24"/>
          <w:szCs w:val="20"/>
          <w:u w:val="single"/>
          <w:lang w:val="zh-CN"/>
        </w:rPr>
        <w:t>　　</w:t>
      </w:r>
      <w:r>
        <w:rPr>
          <w:rFonts w:ascii="宋体" w:hAnsi="宋体"/>
          <w:color w:val="000000" w:themeColor="text1"/>
          <w:kern w:val="0"/>
          <w:sz w:val="24"/>
          <w:szCs w:val="20"/>
          <w:u w:val="single"/>
          <w:lang w:val="zh-CN"/>
        </w:rPr>
        <w:t xml:space="preserve">            </w:t>
      </w:r>
      <w:r>
        <w:rPr>
          <w:rFonts w:hint="eastAsia" w:ascii="宋体" w:hAnsi="宋体"/>
          <w:color w:val="000000" w:themeColor="text1"/>
          <w:kern w:val="0"/>
          <w:sz w:val="24"/>
          <w:szCs w:val="20"/>
          <w:u w:val="single"/>
          <w:lang w:val="zh-CN"/>
        </w:rPr>
        <w:t>　</w:t>
      </w:r>
      <w:r>
        <w:rPr>
          <w:rFonts w:hint="eastAsia" w:ascii="宋体" w:hAnsi="宋体"/>
          <w:color w:val="000000" w:themeColor="text1"/>
          <w:kern w:val="0"/>
          <w:sz w:val="24"/>
          <w:szCs w:val="20"/>
          <w:lang w:val="zh-CN"/>
        </w:rPr>
        <w:t>）；</w:t>
      </w:r>
    </w:p>
    <w:p>
      <w:pPr>
        <w:numPr>
          <w:ilvl w:val="0"/>
          <w:numId w:val="60"/>
        </w:numPr>
        <w:adjustRightInd w:val="0"/>
        <w:spacing w:before="78" w:beforeLines="25" w:line="360" w:lineRule="auto"/>
        <w:ind w:left="1090" w:leftChars="227" w:hanging="614" w:hangingChars="256"/>
        <w:rPr>
          <w:rFonts w:ascii="宋体"/>
          <w:color w:val="000000" w:themeColor="text1"/>
          <w:kern w:val="0"/>
          <w:sz w:val="24"/>
          <w:szCs w:val="20"/>
          <w:lang w:val="zh-CN"/>
        </w:rPr>
      </w:pPr>
      <w:r>
        <w:rPr>
          <w:rFonts w:hint="eastAsia" w:ascii="宋体" w:hAnsi="宋体"/>
          <w:color w:val="000000" w:themeColor="text1"/>
          <w:kern w:val="0"/>
          <w:sz w:val="24"/>
          <w:szCs w:val="20"/>
          <w:lang w:val="zh-CN"/>
        </w:rPr>
        <w:t>中标的投标文件；</w:t>
      </w:r>
    </w:p>
    <w:p>
      <w:pPr>
        <w:numPr>
          <w:ilvl w:val="0"/>
          <w:numId w:val="60"/>
        </w:numPr>
        <w:adjustRightInd w:val="0"/>
        <w:spacing w:before="78" w:beforeLines="25" w:line="360" w:lineRule="auto"/>
        <w:ind w:left="1090" w:leftChars="227" w:hanging="614" w:hangingChars="256"/>
        <w:rPr>
          <w:rFonts w:ascii="宋体"/>
          <w:color w:val="000000" w:themeColor="text1"/>
          <w:kern w:val="0"/>
          <w:sz w:val="24"/>
          <w:szCs w:val="20"/>
          <w:lang w:val="zh-CN"/>
        </w:rPr>
      </w:pPr>
      <w:r>
        <w:rPr>
          <w:rFonts w:hint="eastAsia" w:ascii="宋体" w:hAnsi="宋体"/>
          <w:color w:val="000000" w:themeColor="text1"/>
          <w:kern w:val="0"/>
          <w:sz w:val="24"/>
          <w:szCs w:val="20"/>
          <w:lang w:val="zh-CN"/>
        </w:rPr>
        <w:t>合同书；</w:t>
      </w:r>
    </w:p>
    <w:p>
      <w:pPr>
        <w:numPr>
          <w:ilvl w:val="0"/>
          <w:numId w:val="60"/>
        </w:numPr>
        <w:adjustRightInd w:val="0"/>
        <w:spacing w:before="78" w:beforeLines="25" w:line="360" w:lineRule="auto"/>
        <w:ind w:left="1090" w:leftChars="227" w:hanging="614" w:hangingChars="256"/>
        <w:rPr>
          <w:rFonts w:ascii="宋体"/>
          <w:color w:val="000000" w:themeColor="text1"/>
          <w:kern w:val="0"/>
          <w:sz w:val="24"/>
          <w:szCs w:val="20"/>
          <w:lang w:val="zh-CN"/>
        </w:rPr>
      </w:pPr>
      <w:r>
        <w:rPr>
          <w:rFonts w:hint="eastAsia" w:ascii="宋体" w:hAnsi="宋体"/>
          <w:color w:val="000000" w:themeColor="text1"/>
          <w:kern w:val="0"/>
          <w:sz w:val="24"/>
          <w:szCs w:val="20"/>
          <w:lang w:val="zh-CN"/>
        </w:rPr>
        <w:t>合同条款；</w:t>
      </w:r>
    </w:p>
    <w:p>
      <w:pPr>
        <w:numPr>
          <w:ilvl w:val="0"/>
          <w:numId w:val="60"/>
        </w:numPr>
        <w:adjustRightInd w:val="0"/>
        <w:spacing w:before="78" w:beforeLines="25" w:line="360" w:lineRule="auto"/>
        <w:ind w:left="1090" w:leftChars="227" w:hanging="614" w:hangingChars="256"/>
        <w:rPr>
          <w:rFonts w:ascii="宋体"/>
          <w:color w:val="000000" w:themeColor="text1"/>
          <w:kern w:val="0"/>
          <w:sz w:val="24"/>
          <w:szCs w:val="20"/>
          <w:lang w:val="zh-CN"/>
        </w:rPr>
      </w:pPr>
      <w:r>
        <w:rPr>
          <w:rFonts w:hint="eastAsia" w:ascii="宋体" w:hAnsi="宋体"/>
          <w:color w:val="000000" w:themeColor="text1"/>
          <w:kern w:val="0"/>
          <w:sz w:val="24"/>
          <w:szCs w:val="20"/>
          <w:lang w:val="zh-CN"/>
        </w:rPr>
        <w:t>集中采购机构发出的中标通知书；</w:t>
      </w:r>
    </w:p>
    <w:p>
      <w:pPr>
        <w:numPr>
          <w:ilvl w:val="0"/>
          <w:numId w:val="60"/>
        </w:numPr>
        <w:adjustRightInd w:val="0"/>
        <w:spacing w:before="78" w:beforeLines="25" w:line="360" w:lineRule="auto"/>
        <w:ind w:left="1090" w:leftChars="227" w:hanging="614" w:hangingChars="256"/>
        <w:rPr>
          <w:rFonts w:ascii="宋体"/>
          <w:color w:val="000000" w:themeColor="text1"/>
          <w:kern w:val="0"/>
          <w:sz w:val="24"/>
          <w:szCs w:val="20"/>
          <w:lang w:val="zh-CN"/>
        </w:rPr>
      </w:pPr>
      <w:r>
        <w:rPr>
          <w:rFonts w:hint="eastAsia" w:ascii="宋体" w:hAnsi="宋体"/>
          <w:color w:val="000000" w:themeColor="text1"/>
          <w:kern w:val="0"/>
          <w:sz w:val="24"/>
          <w:szCs w:val="20"/>
          <w:lang w:val="zh-CN"/>
        </w:rPr>
        <w:t>附件；</w:t>
      </w:r>
    </w:p>
    <w:p>
      <w:pPr>
        <w:numPr>
          <w:ilvl w:val="0"/>
          <w:numId w:val="61"/>
        </w:numPr>
        <w:spacing w:before="78" w:beforeLines="25" w:line="360" w:lineRule="auto"/>
        <w:ind w:left="1358" w:hanging="724"/>
        <w:rPr>
          <w:rFonts w:ascii="宋体"/>
          <w:color w:val="000000" w:themeColor="text1"/>
          <w:sz w:val="24"/>
          <w:szCs w:val="20"/>
          <w:lang w:val="zh-CN"/>
        </w:rPr>
      </w:pPr>
      <w:r>
        <w:rPr>
          <w:rFonts w:hint="eastAsia" w:ascii="宋体" w:hAnsi="宋体"/>
          <w:color w:val="000000" w:themeColor="text1"/>
          <w:kern w:val="0"/>
          <w:sz w:val="24"/>
          <w:szCs w:val="20"/>
          <w:lang w:val="zh-CN"/>
        </w:rPr>
        <w:t>甲方</w:t>
      </w:r>
      <w:r>
        <w:rPr>
          <w:rFonts w:hint="eastAsia" w:ascii="宋体" w:hAnsi="宋体"/>
          <w:color w:val="000000" w:themeColor="text1"/>
          <w:sz w:val="24"/>
          <w:szCs w:val="20"/>
          <w:lang w:val="zh-CN"/>
        </w:rPr>
        <w:t>在招标期间发布的所有补充通知；</w:t>
      </w:r>
    </w:p>
    <w:p>
      <w:pPr>
        <w:numPr>
          <w:ilvl w:val="0"/>
          <w:numId w:val="61"/>
        </w:numPr>
        <w:spacing w:before="78" w:beforeLines="25" w:line="360" w:lineRule="auto"/>
        <w:ind w:left="1358" w:hanging="724"/>
        <w:rPr>
          <w:rFonts w:ascii="宋体"/>
          <w:color w:val="000000" w:themeColor="text1"/>
          <w:kern w:val="0"/>
          <w:sz w:val="24"/>
          <w:szCs w:val="20"/>
          <w:lang w:val="zh-CN"/>
        </w:rPr>
      </w:pPr>
      <w:r>
        <w:rPr>
          <w:rFonts w:hint="eastAsia" w:ascii="宋体" w:hAnsi="宋体"/>
          <w:color w:val="000000" w:themeColor="text1"/>
          <w:kern w:val="0"/>
          <w:sz w:val="24"/>
          <w:szCs w:val="20"/>
          <w:lang w:val="zh-CN"/>
        </w:rPr>
        <w:t>乙方在投标期内补充的所有书面文件；</w:t>
      </w:r>
    </w:p>
    <w:p>
      <w:pPr>
        <w:numPr>
          <w:ilvl w:val="0"/>
          <w:numId w:val="61"/>
        </w:numPr>
        <w:spacing w:before="78" w:beforeLines="25" w:line="360" w:lineRule="auto"/>
        <w:ind w:left="1358" w:hanging="724"/>
        <w:rPr>
          <w:rFonts w:ascii="宋体"/>
          <w:color w:val="000000" w:themeColor="text1"/>
          <w:kern w:val="0"/>
          <w:sz w:val="24"/>
          <w:szCs w:val="20"/>
          <w:lang w:val="zh-CN"/>
        </w:rPr>
      </w:pPr>
      <w:r>
        <w:rPr>
          <w:rFonts w:hint="eastAsia" w:ascii="宋体" w:hAnsi="宋体"/>
          <w:color w:val="000000" w:themeColor="text1"/>
          <w:kern w:val="0"/>
          <w:sz w:val="24"/>
          <w:szCs w:val="20"/>
          <w:lang w:val="zh-CN"/>
        </w:rPr>
        <w:t>乙方在投标时随同投标文件一起递送的资料及附图；</w:t>
      </w:r>
    </w:p>
    <w:p>
      <w:pPr>
        <w:numPr>
          <w:ilvl w:val="0"/>
          <w:numId w:val="61"/>
        </w:numPr>
        <w:spacing w:before="78" w:beforeLines="25" w:line="360" w:lineRule="auto"/>
        <w:ind w:left="1358" w:hanging="724"/>
        <w:rPr>
          <w:rFonts w:ascii="宋体"/>
          <w:color w:val="000000" w:themeColor="text1"/>
          <w:kern w:val="0"/>
          <w:sz w:val="24"/>
          <w:szCs w:val="20"/>
          <w:lang w:val="zh-CN"/>
        </w:rPr>
      </w:pPr>
      <w:r>
        <w:rPr>
          <w:rFonts w:hint="eastAsia" w:ascii="宋体" w:hAnsi="宋体"/>
          <w:color w:val="000000" w:themeColor="text1"/>
          <w:kern w:val="0"/>
          <w:sz w:val="24"/>
          <w:szCs w:val="20"/>
          <w:lang w:val="zh-CN"/>
        </w:rPr>
        <w:t>在商洽本合同时，双方澄清、确认并共同签字的补充文件、技术协议。</w:t>
      </w:r>
    </w:p>
    <w:p>
      <w:pPr>
        <w:numPr>
          <w:ilvl w:val="3"/>
          <w:numId w:val="59"/>
        </w:numPr>
        <w:tabs>
          <w:tab w:val="left" w:pos="854"/>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合同范围和条件。本合同的范围和条件应与上述规定的合同文件内容相一致。</w:t>
      </w:r>
    </w:p>
    <w:p>
      <w:pPr>
        <w:numPr>
          <w:ilvl w:val="3"/>
          <w:numId w:val="59"/>
        </w:numPr>
        <w:tabs>
          <w:tab w:val="left" w:pos="854"/>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货物（工程或服务）及数量。本合同所提供的货物（工程或服务）及数量详见招标文件的要求及乙方投标文件中的承诺。</w:t>
      </w:r>
    </w:p>
    <w:p>
      <w:pPr>
        <w:numPr>
          <w:ilvl w:val="3"/>
          <w:numId w:val="59"/>
        </w:numPr>
        <w:tabs>
          <w:tab w:val="left" w:pos="854"/>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付款条件。本合同的付款条件按招标文件规定执行。</w:t>
      </w:r>
    </w:p>
    <w:p>
      <w:pPr>
        <w:numPr>
          <w:ilvl w:val="3"/>
          <w:numId w:val="59"/>
        </w:numPr>
        <w:tabs>
          <w:tab w:val="left" w:pos="854"/>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合同金额。合同总金额见合同书，分项价格在乙方的投标报价表中有明确规定。</w:t>
      </w:r>
    </w:p>
    <w:p>
      <w:pPr>
        <w:numPr>
          <w:ilvl w:val="3"/>
          <w:numId w:val="59"/>
        </w:numPr>
        <w:tabs>
          <w:tab w:val="left" w:pos="854"/>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工期和交货（服务）地点。本合同中货物（工程或服务）的工期、交货（服务）地点在招标文件中有明确规定。</w:t>
      </w:r>
    </w:p>
    <w:p>
      <w:pPr>
        <w:numPr>
          <w:ilvl w:val="3"/>
          <w:numId w:val="59"/>
        </w:numPr>
        <w:tabs>
          <w:tab w:val="left" w:pos="980"/>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合同生效。本合同经甲、乙双方授权代表签字和加盖公章（或合同专用章）后生效。如招标申请公证的，合同需经公证机构公证后生效。</w:t>
      </w:r>
    </w:p>
    <w:p>
      <w:pPr>
        <w:numPr>
          <w:ilvl w:val="3"/>
          <w:numId w:val="59"/>
        </w:numPr>
        <w:tabs>
          <w:tab w:val="left" w:pos="980"/>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合同的份数。本合同正本一式</w:t>
      </w:r>
      <w:r>
        <w:rPr>
          <w:rFonts w:hint="eastAsia" w:ascii="宋体" w:hAnsi="宋体"/>
          <w:color w:val="000000" w:themeColor="text1"/>
          <w:kern w:val="0"/>
          <w:sz w:val="24"/>
          <w:szCs w:val="20"/>
          <w:u w:val="single"/>
        </w:rPr>
        <w:t>　</w:t>
      </w:r>
      <w:r>
        <w:rPr>
          <w:rFonts w:hint="eastAsia" w:ascii="宋体" w:hAnsi="宋体"/>
          <w:color w:val="000000" w:themeColor="text1"/>
          <w:kern w:val="0"/>
          <w:sz w:val="24"/>
          <w:szCs w:val="20"/>
        </w:rPr>
        <w:t>份，甲方执</w:t>
      </w:r>
      <w:r>
        <w:rPr>
          <w:rFonts w:hint="eastAsia" w:ascii="宋体" w:hAnsi="宋体"/>
          <w:color w:val="000000" w:themeColor="text1"/>
          <w:kern w:val="0"/>
          <w:sz w:val="24"/>
          <w:szCs w:val="20"/>
          <w:u w:val="single"/>
        </w:rPr>
        <w:t>　</w:t>
      </w:r>
      <w:r>
        <w:rPr>
          <w:rFonts w:hint="eastAsia" w:ascii="宋体" w:hAnsi="宋体"/>
          <w:color w:val="000000" w:themeColor="text1"/>
          <w:kern w:val="0"/>
          <w:sz w:val="24"/>
          <w:szCs w:val="20"/>
        </w:rPr>
        <w:t>份，乙方执</w:t>
      </w:r>
      <w:r>
        <w:rPr>
          <w:rFonts w:hint="eastAsia" w:ascii="宋体" w:hAnsi="宋体"/>
          <w:color w:val="000000" w:themeColor="text1"/>
          <w:kern w:val="0"/>
          <w:sz w:val="24"/>
          <w:szCs w:val="20"/>
          <w:u w:val="single"/>
        </w:rPr>
        <w:t>　</w:t>
      </w:r>
      <w:r>
        <w:rPr>
          <w:rFonts w:hint="eastAsia" w:ascii="宋体" w:hAnsi="宋体"/>
          <w:color w:val="000000" w:themeColor="text1"/>
          <w:kern w:val="0"/>
          <w:sz w:val="24"/>
          <w:szCs w:val="20"/>
        </w:rPr>
        <w:t>份；副本一式</w:t>
      </w:r>
      <w:r>
        <w:rPr>
          <w:rFonts w:hint="eastAsia" w:ascii="宋体" w:hAnsi="宋体"/>
          <w:color w:val="000000" w:themeColor="text1"/>
          <w:kern w:val="0"/>
          <w:sz w:val="24"/>
          <w:szCs w:val="20"/>
          <w:u w:val="single"/>
        </w:rPr>
        <w:t>　</w:t>
      </w:r>
      <w:r>
        <w:rPr>
          <w:rFonts w:hint="eastAsia" w:ascii="宋体" w:hAnsi="宋体"/>
          <w:color w:val="000000" w:themeColor="text1"/>
          <w:kern w:val="0"/>
          <w:sz w:val="24"/>
          <w:szCs w:val="20"/>
        </w:rPr>
        <w:t>份，甲方执</w:t>
      </w:r>
      <w:r>
        <w:rPr>
          <w:rFonts w:hint="eastAsia" w:ascii="宋体" w:hAnsi="宋体"/>
          <w:color w:val="000000" w:themeColor="text1"/>
          <w:kern w:val="0"/>
          <w:sz w:val="24"/>
          <w:szCs w:val="20"/>
          <w:u w:val="single"/>
        </w:rPr>
        <w:t>　</w:t>
      </w:r>
      <w:r>
        <w:rPr>
          <w:rFonts w:hint="eastAsia" w:ascii="宋体" w:hAnsi="宋体"/>
          <w:color w:val="000000" w:themeColor="text1"/>
          <w:kern w:val="0"/>
          <w:sz w:val="24"/>
          <w:szCs w:val="20"/>
        </w:rPr>
        <w:t>份，乙方执</w:t>
      </w:r>
      <w:r>
        <w:rPr>
          <w:rFonts w:hint="eastAsia" w:ascii="宋体" w:hAnsi="宋体"/>
          <w:color w:val="000000" w:themeColor="text1"/>
          <w:kern w:val="0"/>
          <w:sz w:val="24"/>
          <w:szCs w:val="20"/>
          <w:u w:val="single"/>
        </w:rPr>
        <w:t>　</w:t>
      </w:r>
      <w:r>
        <w:rPr>
          <w:rFonts w:hint="eastAsia" w:ascii="宋体" w:hAnsi="宋体"/>
          <w:color w:val="000000" w:themeColor="text1"/>
          <w:kern w:val="0"/>
          <w:sz w:val="24"/>
          <w:szCs w:val="20"/>
        </w:rPr>
        <w:t>份。</w:t>
      </w:r>
    </w:p>
    <w:p>
      <w:pPr>
        <w:numPr>
          <w:ilvl w:val="3"/>
          <w:numId w:val="59"/>
        </w:numPr>
        <w:tabs>
          <w:tab w:val="left" w:pos="980"/>
        </w:tabs>
        <w:autoSpaceDE w:val="0"/>
        <w:autoSpaceDN w:val="0"/>
        <w:spacing w:before="78" w:beforeLines="25" w:line="360" w:lineRule="auto"/>
        <w:ind w:left="11" w:firstLine="477" w:firstLineChars="199"/>
        <w:contextualSpacing/>
        <w:rPr>
          <w:rFonts w:ascii="宋体"/>
          <w:color w:val="000000" w:themeColor="text1"/>
          <w:kern w:val="0"/>
          <w:sz w:val="24"/>
          <w:szCs w:val="20"/>
        </w:rPr>
      </w:pPr>
      <w:r>
        <w:rPr>
          <w:rFonts w:hint="eastAsia" w:ascii="宋体" w:hAnsi="宋体"/>
          <w:color w:val="000000" w:themeColor="text1"/>
          <w:kern w:val="0"/>
          <w:sz w:val="24"/>
          <w:szCs w:val="20"/>
        </w:rPr>
        <w:t>合同的失效。本合同在合同价款全部结清后失效。</w:t>
      </w:r>
    </w:p>
    <w:p>
      <w:pPr>
        <w:spacing w:before="78" w:beforeLines="25" w:line="360" w:lineRule="auto"/>
        <w:ind w:firstLine="489" w:firstLineChars="204"/>
        <w:contextualSpacing/>
        <w:jc w:val="left"/>
        <w:rPr>
          <w:rFonts w:ascii="宋体"/>
          <w:color w:val="000000" w:themeColor="text1"/>
          <w:kern w:val="0"/>
          <w:sz w:val="24"/>
          <w:szCs w:val="20"/>
        </w:rPr>
      </w:pPr>
      <w:r>
        <w:rPr>
          <w:rFonts w:hint="eastAsia" w:ascii="宋体" w:hAnsi="宋体"/>
          <w:color w:val="000000" w:themeColor="text1"/>
          <w:kern w:val="0"/>
          <w:sz w:val="24"/>
          <w:szCs w:val="20"/>
        </w:rPr>
        <w:t>甲　　方：</w:t>
      </w:r>
      <w:r>
        <w:rPr>
          <w:rFonts w:ascii="宋体"/>
          <w:color w:val="000000" w:themeColor="text1"/>
          <w:kern w:val="0"/>
          <w:sz w:val="24"/>
          <w:szCs w:val="20"/>
        </w:rPr>
        <w:tab/>
      </w:r>
      <w:r>
        <w:rPr>
          <w:rFonts w:ascii="宋体" w:hAnsi="宋体"/>
          <w:color w:val="000000" w:themeColor="text1"/>
          <w:kern w:val="0"/>
          <w:sz w:val="24"/>
          <w:szCs w:val="20"/>
        </w:rPr>
        <w:t xml:space="preserve">                         </w:t>
      </w:r>
      <w:r>
        <w:rPr>
          <w:rFonts w:hint="eastAsia" w:ascii="宋体" w:hAnsi="宋体"/>
          <w:color w:val="000000" w:themeColor="text1"/>
          <w:kern w:val="0"/>
          <w:sz w:val="24"/>
          <w:szCs w:val="20"/>
        </w:rPr>
        <w:t>乙　　方：</w:t>
      </w:r>
    </w:p>
    <w:p>
      <w:pPr>
        <w:spacing w:before="78" w:beforeLines="25" w:line="360" w:lineRule="auto"/>
        <w:ind w:firstLine="489" w:firstLineChars="204"/>
        <w:contextualSpacing/>
        <w:jc w:val="left"/>
        <w:rPr>
          <w:rFonts w:ascii="宋体"/>
          <w:color w:val="000000" w:themeColor="text1"/>
          <w:kern w:val="0"/>
          <w:sz w:val="24"/>
          <w:szCs w:val="20"/>
        </w:rPr>
      </w:pPr>
      <w:r>
        <w:rPr>
          <w:rFonts w:hint="eastAsia" w:ascii="宋体" w:hAnsi="宋体"/>
          <w:color w:val="000000" w:themeColor="text1"/>
          <w:kern w:val="0"/>
          <w:sz w:val="24"/>
          <w:szCs w:val="20"/>
        </w:rPr>
        <w:t>单位名称（盖章）：</w:t>
      </w:r>
      <w:r>
        <w:rPr>
          <w:rFonts w:ascii="宋体"/>
          <w:color w:val="000000" w:themeColor="text1"/>
          <w:kern w:val="0"/>
          <w:sz w:val="24"/>
          <w:szCs w:val="20"/>
        </w:rPr>
        <w:tab/>
      </w:r>
      <w:r>
        <w:rPr>
          <w:rFonts w:ascii="宋体" w:hAnsi="宋体"/>
          <w:color w:val="000000" w:themeColor="text1"/>
          <w:kern w:val="0"/>
          <w:sz w:val="24"/>
          <w:szCs w:val="20"/>
        </w:rPr>
        <w:t xml:space="preserve">                  </w:t>
      </w:r>
      <w:r>
        <w:rPr>
          <w:rFonts w:hint="eastAsia" w:ascii="宋体" w:hAnsi="宋体"/>
          <w:color w:val="000000" w:themeColor="text1"/>
          <w:kern w:val="0"/>
          <w:sz w:val="24"/>
          <w:szCs w:val="20"/>
        </w:rPr>
        <w:t>单位名称（盖章）：</w:t>
      </w:r>
    </w:p>
    <w:p>
      <w:pPr>
        <w:spacing w:before="78" w:beforeLines="25" w:line="360" w:lineRule="auto"/>
        <w:ind w:firstLine="489" w:firstLineChars="204"/>
        <w:contextualSpacing/>
        <w:jc w:val="left"/>
        <w:rPr>
          <w:rFonts w:ascii="宋体"/>
          <w:color w:val="000000" w:themeColor="text1"/>
          <w:kern w:val="0"/>
          <w:sz w:val="24"/>
          <w:szCs w:val="20"/>
        </w:rPr>
      </w:pPr>
      <w:r>
        <w:rPr>
          <w:rFonts w:hint="eastAsia" w:ascii="宋体" w:hAnsi="宋体"/>
          <w:color w:val="000000" w:themeColor="text1"/>
          <w:kern w:val="0"/>
          <w:sz w:val="24"/>
          <w:szCs w:val="20"/>
        </w:rPr>
        <w:t>单位地址：</w:t>
      </w:r>
      <w:r>
        <w:rPr>
          <w:rFonts w:ascii="宋体"/>
          <w:color w:val="000000" w:themeColor="text1"/>
          <w:kern w:val="0"/>
          <w:sz w:val="24"/>
          <w:szCs w:val="20"/>
        </w:rPr>
        <w:tab/>
      </w:r>
      <w:r>
        <w:rPr>
          <w:rFonts w:ascii="宋体" w:hAnsi="宋体"/>
          <w:color w:val="000000" w:themeColor="text1"/>
          <w:kern w:val="0"/>
          <w:sz w:val="24"/>
          <w:szCs w:val="20"/>
        </w:rPr>
        <w:t xml:space="preserve">                         </w:t>
      </w:r>
      <w:r>
        <w:rPr>
          <w:rFonts w:hint="eastAsia" w:ascii="宋体" w:hAnsi="宋体"/>
          <w:color w:val="000000" w:themeColor="text1"/>
          <w:kern w:val="0"/>
          <w:sz w:val="24"/>
          <w:szCs w:val="20"/>
        </w:rPr>
        <w:t>单位地址：</w:t>
      </w:r>
    </w:p>
    <w:p>
      <w:pPr>
        <w:spacing w:before="78" w:beforeLines="25" w:line="360" w:lineRule="auto"/>
        <w:ind w:firstLine="489" w:firstLineChars="204"/>
        <w:contextualSpacing/>
        <w:jc w:val="left"/>
        <w:rPr>
          <w:rFonts w:ascii="宋体"/>
          <w:color w:val="000000" w:themeColor="text1"/>
          <w:kern w:val="0"/>
          <w:sz w:val="24"/>
          <w:szCs w:val="20"/>
        </w:rPr>
      </w:pPr>
      <w:r>
        <w:rPr>
          <w:rFonts w:hint="eastAsia" w:ascii="宋体" w:hAnsi="宋体"/>
          <w:color w:val="000000" w:themeColor="text1"/>
          <w:kern w:val="0"/>
          <w:sz w:val="24"/>
          <w:szCs w:val="20"/>
        </w:rPr>
        <w:t>法人代表授权人</w:t>
      </w:r>
      <w:r>
        <w:rPr>
          <w:rFonts w:ascii="宋体" w:hAnsi="宋体"/>
          <w:color w:val="000000" w:themeColor="text1"/>
          <w:kern w:val="0"/>
          <w:sz w:val="24"/>
          <w:szCs w:val="20"/>
        </w:rPr>
        <w:t>(</w:t>
      </w:r>
      <w:r>
        <w:rPr>
          <w:rFonts w:hint="eastAsia" w:ascii="宋体" w:hAnsi="宋体"/>
          <w:color w:val="000000" w:themeColor="text1"/>
          <w:kern w:val="0"/>
          <w:sz w:val="24"/>
          <w:szCs w:val="20"/>
        </w:rPr>
        <w:t>签字</w:t>
      </w:r>
      <w:r>
        <w:rPr>
          <w:rFonts w:ascii="宋体" w:hAnsi="宋体"/>
          <w:color w:val="000000" w:themeColor="text1"/>
          <w:kern w:val="0"/>
          <w:sz w:val="24"/>
          <w:szCs w:val="20"/>
        </w:rPr>
        <w:t>)</w:t>
      </w:r>
      <w:r>
        <w:rPr>
          <w:rFonts w:hint="eastAsia" w:ascii="宋体" w:hAnsi="宋体"/>
          <w:color w:val="000000" w:themeColor="text1"/>
          <w:kern w:val="0"/>
          <w:sz w:val="24"/>
          <w:szCs w:val="20"/>
        </w:rPr>
        <w:t>：</w:t>
      </w:r>
      <w:r>
        <w:rPr>
          <w:rFonts w:ascii="宋体" w:hAnsi="宋体"/>
          <w:color w:val="000000" w:themeColor="text1"/>
          <w:kern w:val="0"/>
          <w:sz w:val="24"/>
          <w:szCs w:val="20"/>
        </w:rPr>
        <w:t xml:space="preserve">             </w:t>
      </w:r>
      <w:r>
        <w:rPr>
          <w:rFonts w:ascii="宋体" w:hAnsi="宋体"/>
          <w:color w:val="000000" w:themeColor="text1"/>
          <w:kern w:val="0"/>
          <w:sz w:val="24"/>
          <w:szCs w:val="20"/>
        </w:rPr>
        <w:tab/>
      </w:r>
      <w:r>
        <w:rPr>
          <w:rFonts w:hint="eastAsia" w:ascii="宋体" w:hAnsi="宋体"/>
          <w:color w:val="000000" w:themeColor="text1"/>
          <w:kern w:val="0"/>
          <w:sz w:val="24"/>
          <w:szCs w:val="20"/>
        </w:rPr>
        <w:t>法人代表授权人</w:t>
      </w:r>
      <w:r>
        <w:rPr>
          <w:rFonts w:ascii="宋体" w:hAnsi="宋体"/>
          <w:color w:val="000000" w:themeColor="text1"/>
          <w:kern w:val="0"/>
          <w:sz w:val="24"/>
          <w:szCs w:val="20"/>
        </w:rPr>
        <w:t>(</w:t>
      </w:r>
      <w:r>
        <w:rPr>
          <w:rFonts w:hint="eastAsia" w:ascii="宋体" w:hAnsi="宋体"/>
          <w:color w:val="000000" w:themeColor="text1"/>
          <w:kern w:val="0"/>
          <w:sz w:val="24"/>
          <w:szCs w:val="20"/>
        </w:rPr>
        <w:t>签字</w:t>
      </w:r>
      <w:r>
        <w:rPr>
          <w:rFonts w:ascii="宋体" w:hAnsi="宋体"/>
          <w:color w:val="000000" w:themeColor="text1"/>
          <w:kern w:val="0"/>
          <w:sz w:val="24"/>
          <w:szCs w:val="20"/>
        </w:rPr>
        <w:t>)</w:t>
      </w:r>
      <w:r>
        <w:rPr>
          <w:rFonts w:hint="eastAsia" w:ascii="宋体" w:hAnsi="宋体"/>
          <w:color w:val="000000" w:themeColor="text1"/>
          <w:kern w:val="0"/>
          <w:sz w:val="24"/>
          <w:szCs w:val="20"/>
        </w:rPr>
        <w:t>：</w:t>
      </w:r>
    </w:p>
    <w:p>
      <w:pPr>
        <w:spacing w:before="78" w:beforeLines="25" w:line="360" w:lineRule="auto"/>
        <w:ind w:firstLine="489" w:firstLineChars="204"/>
        <w:contextualSpacing/>
        <w:jc w:val="left"/>
        <w:rPr>
          <w:rFonts w:ascii="宋体"/>
          <w:color w:val="000000" w:themeColor="text1"/>
          <w:kern w:val="0"/>
          <w:sz w:val="24"/>
          <w:szCs w:val="20"/>
        </w:rPr>
      </w:pPr>
      <w:r>
        <w:rPr>
          <w:rFonts w:hint="eastAsia" w:ascii="宋体" w:hAnsi="宋体"/>
          <w:color w:val="000000" w:themeColor="text1"/>
          <w:kern w:val="0"/>
          <w:sz w:val="24"/>
          <w:szCs w:val="20"/>
        </w:rPr>
        <w:t>联</w:t>
      </w:r>
      <w:r>
        <w:rPr>
          <w:rFonts w:ascii="宋体" w:hAnsi="宋体"/>
          <w:color w:val="000000" w:themeColor="text1"/>
          <w:kern w:val="0"/>
          <w:sz w:val="24"/>
          <w:szCs w:val="20"/>
        </w:rPr>
        <w:t xml:space="preserve"> </w:t>
      </w:r>
      <w:r>
        <w:rPr>
          <w:rFonts w:hint="eastAsia" w:ascii="宋体" w:hAnsi="宋体"/>
          <w:color w:val="000000" w:themeColor="text1"/>
          <w:kern w:val="0"/>
          <w:sz w:val="24"/>
          <w:szCs w:val="20"/>
        </w:rPr>
        <w:t>系</w:t>
      </w:r>
      <w:r>
        <w:rPr>
          <w:rFonts w:ascii="宋体" w:hAnsi="宋体"/>
          <w:color w:val="000000" w:themeColor="text1"/>
          <w:kern w:val="0"/>
          <w:sz w:val="24"/>
          <w:szCs w:val="20"/>
        </w:rPr>
        <w:t xml:space="preserve"> </w:t>
      </w:r>
      <w:r>
        <w:rPr>
          <w:rFonts w:hint="eastAsia" w:ascii="宋体" w:hAnsi="宋体"/>
          <w:color w:val="000000" w:themeColor="text1"/>
          <w:kern w:val="0"/>
          <w:sz w:val="24"/>
          <w:szCs w:val="20"/>
        </w:rPr>
        <w:t>人：</w:t>
      </w:r>
      <w:r>
        <w:rPr>
          <w:rFonts w:ascii="宋体"/>
          <w:color w:val="000000" w:themeColor="text1"/>
          <w:kern w:val="0"/>
          <w:sz w:val="24"/>
          <w:szCs w:val="20"/>
        </w:rPr>
        <w:tab/>
      </w:r>
      <w:r>
        <w:rPr>
          <w:rFonts w:ascii="宋体" w:hAnsi="宋体"/>
          <w:color w:val="000000" w:themeColor="text1"/>
          <w:kern w:val="0"/>
          <w:sz w:val="24"/>
          <w:szCs w:val="20"/>
        </w:rPr>
        <w:t xml:space="preserve">                         </w:t>
      </w:r>
      <w:r>
        <w:rPr>
          <w:rFonts w:hint="eastAsia" w:ascii="宋体" w:hAnsi="宋体"/>
          <w:color w:val="000000" w:themeColor="text1"/>
          <w:kern w:val="0"/>
          <w:sz w:val="24"/>
          <w:szCs w:val="20"/>
        </w:rPr>
        <w:t>联</w:t>
      </w:r>
      <w:r>
        <w:rPr>
          <w:rFonts w:ascii="宋体" w:hAnsi="宋体"/>
          <w:color w:val="000000" w:themeColor="text1"/>
          <w:kern w:val="0"/>
          <w:sz w:val="24"/>
          <w:szCs w:val="20"/>
        </w:rPr>
        <w:t xml:space="preserve"> </w:t>
      </w:r>
      <w:r>
        <w:rPr>
          <w:rFonts w:hint="eastAsia" w:ascii="宋体" w:hAnsi="宋体"/>
          <w:color w:val="000000" w:themeColor="text1"/>
          <w:kern w:val="0"/>
          <w:sz w:val="24"/>
          <w:szCs w:val="20"/>
        </w:rPr>
        <w:t>系</w:t>
      </w:r>
      <w:r>
        <w:rPr>
          <w:rFonts w:ascii="宋体" w:hAnsi="宋体"/>
          <w:color w:val="000000" w:themeColor="text1"/>
          <w:kern w:val="0"/>
          <w:sz w:val="24"/>
          <w:szCs w:val="20"/>
        </w:rPr>
        <w:t xml:space="preserve"> </w:t>
      </w:r>
      <w:r>
        <w:rPr>
          <w:rFonts w:hint="eastAsia" w:ascii="宋体" w:hAnsi="宋体"/>
          <w:color w:val="000000" w:themeColor="text1"/>
          <w:kern w:val="0"/>
          <w:sz w:val="24"/>
          <w:szCs w:val="20"/>
        </w:rPr>
        <w:t>人：</w:t>
      </w:r>
    </w:p>
    <w:p>
      <w:pPr>
        <w:spacing w:before="78" w:beforeLines="25" w:line="360" w:lineRule="auto"/>
        <w:ind w:firstLine="489" w:firstLineChars="204"/>
        <w:contextualSpacing/>
        <w:jc w:val="left"/>
        <w:rPr>
          <w:rFonts w:ascii="宋体"/>
          <w:color w:val="000000" w:themeColor="text1"/>
          <w:kern w:val="0"/>
          <w:sz w:val="24"/>
          <w:szCs w:val="20"/>
        </w:rPr>
      </w:pPr>
      <w:r>
        <w:rPr>
          <w:rFonts w:hint="eastAsia" w:ascii="宋体" w:hAnsi="宋体"/>
          <w:color w:val="000000" w:themeColor="text1"/>
          <w:kern w:val="0"/>
          <w:sz w:val="24"/>
          <w:szCs w:val="20"/>
        </w:rPr>
        <w:t>电　　话：</w:t>
      </w:r>
      <w:r>
        <w:rPr>
          <w:rFonts w:ascii="宋体" w:hAnsi="宋体"/>
          <w:color w:val="000000" w:themeColor="text1"/>
          <w:kern w:val="0"/>
          <w:sz w:val="24"/>
          <w:szCs w:val="20"/>
        </w:rPr>
        <w:t xml:space="preserve">                         </w:t>
      </w:r>
      <w:r>
        <w:rPr>
          <w:rFonts w:ascii="宋体" w:hAnsi="宋体"/>
          <w:color w:val="000000" w:themeColor="text1"/>
          <w:kern w:val="0"/>
          <w:sz w:val="24"/>
          <w:szCs w:val="20"/>
        </w:rPr>
        <w:tab/>
      </w:r>
      <w:r>
        <w:rPr>
          <w:rFonts w:hint="eastAsia" w:ascii="宋体" w:hAnsi="宋体"/>
          <w:color w:val="000000" w:themeColor="text1"/>
          <w:kern w:val="0"/>
          <w:sz w:val="24"/>
          <w:szCs w:val="20"/>
        </w:rPr>
        <w:t>电　　话：</w:t>
      </w:r>
    </w:p>
    <w:p>
      <w:pPr>
        <w:spacing w:before="78" w:beforeLines="25" w:line="360" w:lineRule="auto"/>
        <w:ind w:firstLine="489" w:firstLineChars="204"/>
        <w:contextualSpacing/>
        <w:jc w:val="left"/>
        <w:rPr>
          <w:rFonts w:ascii="宋体"/>
          <w:color w:val="000000" w:themeColor="text1"/>
          <w:kern w:val="0"/>
          <w:sz w:val="24"/>
          <w:szCs w:val="20"/>
        </w:rPr>
      </w:pPr>
      <w:r>
        <w:rPr>
          <w:rFonts w:hint="eastAsia" w:ascii="宋体" w:hAnsi="宋体"/>
          <w:color w:val="000000" w:themeColor="text1"/>
          <w:kern w:val="0"/>
          <w:sz w:val="24"/>
          <w:szCs w:val="20"/>
        </w:rPr>
        <w:t>传　　真：</w:t>
      </w:r>
      <w:r>
        <w:rPr>
          <w:rFonts w:ascii="宋体" w:hAnsi="宋体"/>
          <w:color w:val="000000" w:themeColor="text1"/>
          <w:kern w:val="0"/>
          <w:sz w:val="24"/>
          <w:szCs w:val="20"/>
        </w:rPr>
        <w:t xml:space="preserve">                         </w:t>
      </w:r>
      <w:r>
        <w:rPr>
          <w:rFonts w:ascii="宋体" w:hAnsi="宋体"/>
          <w:color w:val="000000" w:themeColor="text1"/>
          <w:kern w:val="0"/>
          <w:sz w:val="24"/>
          <w:szCs w:val="20"/>
        </w:rPr>
        <w:tab/>
      </w:r>
      <w:r>
        <w:rPr>
          <w:rFonts w:hint="eastAsia" w:ascii="宋体" w:hAnsi="宋体"/>
          <w:color w:val="000000" w:themeColor="text1"/>
          <w:kern w:val="0"/>
          <w:sz w:val="24"/>
          <w:szCs w:val="20"/>
        </w:rPr>
        <w:t>传　　真：</w:t>
      </w:r>
    </w:p>
    <w:p>
      <w:pPr>
        <w:spacing w:before="78" w:beforeLines="25" w:line="360" w:lineRule="auto"/>
        <w:ind w:firstLine="489" w:firstLineChars="204"/>
        <w:contextualSpacing/>
        <w:jc w:val="left"/>
        <w:rPr>
          <w:rFonts w:ascii="宋体"/>
          <w:color w:val="000000" w:themeColor="text1"/>
          <w:kern w:val="0"/>
          <w:sz w:val="24"/>
          <w:szCs w:val="20"/>
        </w:rPr>
      </w:pPr>
      <w:r>
        <w:rPr>
          <w:rFonts w:hint="eastAsia" w:ascii="宋体" w:hAnsi="宋体"/>
          <w:color w:val="000000" w:themeColor="text1"/>
          <w:kern w:val="0"/>
          <w:sz w:val="24"/>
          <w:szCs w:val="20"/>
        </w:rPr>
        <w:t>邮政编码：</w:t>
      </w:r>
      <w:r>
        <w:rPr>
          <w:rFonts w:ascii="宋体" w:hAnsi="宋体"/>
          <w:color w:val="000000" w:themeColor="text1"/>
          <w:kern w:val="0"/>
          <w:sz w:val="24"/>
          <w:szCs w:val="20"/>
        </w:rPr>
        <w:t xml:space="preserve">                         </w:t>
      </w:r>
      <w:r>
        <w:rPr>
          <w:rFonts w:ascii="宋体" w:hAnsi="宋体"/>
          <w:color w:val="000000" w:themeColor="text1"/>
          <w:kern w:val="0"/>
          <w:sz w:val="24"/>
          <w:szCs w:val="20"/>
        </w:rPr>
        <w:tab/>
      </w:r>
      <w:r>
        <w:rPr>
          <w:rFonts w:hint="eastAsia" w:ascii="宋体" w:hAnsi="宋体"/>
          <w:color w:val="000000" w:themeColor="text1"/>
          <w:kern w:val="0"/>
          <w:sz w:val="24"/>
          <w:szCs w:val="20"/>
        </w:rPr>
        <w:t>邮政编码：</w:t>
      </w:r>
    </w:p>
    <w:p>
      <w:pPr>
        <w:spacing w:before="78" w:beforeLines="25" w:line="360" w:lineRule="auto"/>
        <w:ind w:firstLine="489" w:firstLineChars="204"/>
        <w:contextualSpacing/>
        <w:jc w:val="left"/>
        <w:rPr>
          <w:rFonts w:ascii="宋体"/>
          <w:color w:val="000000" w:themeColor="text1"/>
          <w:kern w:val="0"/>
          <w:sz w:val="24"/>
          <w:szCs w:val="20"/>
        </w:rPr>
      </w:pPr>
      <w:r>
        <w:rPr>
          <w:rFonts w:hint="eastAsia" w:ascii="宋体" w:hAnsi="宋体"/>
          <w:color w:val="000000" w:themeColor="text1"/>
          <w:kern w:val="0"/>
          <w:sz w:val="24"/>
          <w:szCs w:val="20"/>
        </w:rPr>
        <w:t>开户银行：</w:t>
      </w:r>
      <w:r>
        <w:rPr>
          <w:rFonts w:ascii="宋体" w:hAnsi="宋体"/>
          <w:color w:val="000000" w:themeColor="text1"/>
          <w:kern w:val="0"/>
          <w:sz w:val="24"/>
          <w:szCs w:val="20"/>
        </w:rPr>
        <w:t xml:space="preserve">                         </w:t>
      </w:r>
      <w:r>
        <w:rPr>
          <w:rFonts w:ascii="宋体" w:hAnsi="宋体"/>
          <w:color w:val="000000" w:themeColor="text1"/>
          <w:kern w:val="0"/>
          <w:sz w:val="24"/>
          <w:szCs w:val="20"/>
        </w:rPr>
        <w:tab/>
      </w:r>
      <w:r>
        <w:rPr>
          <w:rFonts w:hint="eastAsia" w:ascii="宋体" w:hAnsi="宋体"/>
          <w:color w:val="000000" w:themeColor="text1"/>
          <w:kern w:val="0"/>
          <w:sz w:val="24"/>
          <w:szCs w:val="20"/>
        </w:rPr>
        <w:t>开户银行：</w:t>
      </w:r>
    </w:p>
    <w:p>
      <w:pPr>
        <w:spacing w:before="78" w:beforeLines="25" w:line="360" w:lineRule="auto"/>
        <w:ind w:firstLine="489" w:firstLineChars="204"/>
        <w:contextualSpacing/>
        <w:jc w:val="left"/>
        <w:rPr>
          <w:rFonts w:ascii="宋体"/>
          <w:color w:val="000000" w:themeColor="text1"/>
          <w:kern w:val="0"/>
          <w:sz w:val="24"/>
          <w:szCs w:val="20"/>
        </w:rPr>
      </w:pPr>
      <w:r>
        <w:rPr>
          <w:rFonts w:hint="eastAsia" w:ascii="宋体" w:hAnsi="宋体"/>
          <w:color w:val="000000" w:themeColor="text1"/>
          <w:kern w:val="0"/>
          <w:sz w:val="24"/>
          <w:szCs w:val="20"/>
        </w:rPr>
        <w:t>帐　　号：</w:t>
      </w:r>
      <w:r>
        <w:rPr>
          <w:rFonts w:ascii="宋体" w:hAnsi="宋体"/>
          <w:color w:val="000000" w:themeColor="text1"/>
          <w:kern w:val="0"/>
          <w:sz w:val="24"/>
          <w:szCs w:val="20"/>
        </w:rPr>
        <w:t xml:space="preserve">                         </w:t>
      </w:r>
      <w:r>
        <w:rPr>
          <w:rFonts w:ascii="宋体" w:hAnsi="宋体"/>
          <w:color w:val="000000" w:themeColor="text1"/>
          <w:kern w:val="0"/>
          <w:sz w:val="24"/>
          <w:szCs w:val="20"/>
        </w:rPr>
        <w:tab/>
      </w:r>
      <w:r>
        <w:rPr>
          <w:rFonts w:hint="eastAsia" w:ascii="宋体" w:hAnsi="宋体"/>
          <w:color w:val="000000" w:themeColor="text1"/>
          <w:kern w:val="0"/>
          <w:sz w:val="24"/>
          <w:szCs w:val="20"/>
        </w:rPr>
        <w:t>帐　　号：</w:t>
      </w:r>
    </w:p>
    <w:p>
      <w:pPr>
        <w:spacing w:before="78" w:beforeLines="25" w:line="360" w:lineRule="auto"/>
        <w:ind w:firstLine="489" w:firstLineChars="204"/>
        <w:contextualSpacing/>
        <w:jc w:val="left"/>
        <w:rPr>
          <w:rFonts w:ascii="宋体" w:hAnsi="宋体"/>
          <w:color w:val="000000" w:themeColor="text1"/>
          <w:kern w:val="0"/>
          <w:sz w:val="24"/>
          <w:szCs w:val="20"/>
        </w:rPr>
      </w:pPr>
      <w:r>
        <w:rPr>
          <w:rFonts w:hint="eastAsia" w:ascii="宋体" w:hAnsi="宋体"/>
          <w:color w:val="000000" w:themeColor="text1"/>
          <w:kern w:val="0"/>
          <w:sz w:val="24"/>
          <w:szCs w:val="20"/>
        </w:rPr>
        <w:t>税　　号：</w:t>
      </w:r>
      <w:r>
        <w:rPr>
          <w:rFonts w:ascii="宋体" w:hAnsi="宋体"/>
          <w:color w:val="000000" w:themeColor="text1"/>
          <w:kern w:val="0"/>
          <w:sz w:val="24"/>
          <w:szCs w:val="20"/>
        </w:rPr>
        <w:t xml:space="preserve">                         </w:t>
      </w:r>
      <w:r>
        <w:rPr>
          <w:rFonts w:ascii="宋体" w:hAnsi="宋体"/>
          <w:color w:val="000000" w:themeColor="text1"/>
          <w:kern w:val="0"/>
          <w:sz w:val="24"/>
          <w:szCs w:val="20"/>
        </w:rPr>
        <w:tab/>
      </w:r>
      <w:r>
        <w:rPr>
          <w:rFonts w:hint="eastAsia" w:ascii="宋体" w:hAnsi="宋体"/>
          <w:color w:val="000000" w:themeColor="text1"/>
          <w:kern w:val="0"/>
          <w:sz w:val="24"/>
          <w:szCs w:val="20"/>
        </w:rPr>
        <w:t>税　　号：</w:t>
      </w:r>
    </w:p>
    <w:p>
      <w:pPr>
        <w:rPr>
          <w:rFonts w:ascii="宋体" w:hAnsi="宋体"/>
          <w:color w:val="000000" w:themeColor="text1"/>
          <w:kern w:val="0"/>
          <w:sz w:val="24"/>
          <w:szCs w:val="20"/>
        </w:rPr>
      </w:pPr>
      <w:r>
        <w:rPr>
          <w:rFonts w:hint="eastAsia" w:ascii="宋体" w:hAnsi="宋体"/>
          <w:color w:val="000000" w:themeColor="text1"/>
          <w:kern w:val="0"/>
          <w:sz w:val="24"/>
          <w:szCs w:val="20"/>
        </w:rPr>
        <w:br w:type="page"/>
      </w:r>
    </w:p>
    <w:p>
      <w:pPr>
        <w:pStyle w:val="2"/>
        <w:numPr>
          <w:ilvl w:val="0"/>
          <w:numId w:val="1"/>
        </w:numPr>
        <w:jc w:val="center"/>
        <w:rPr>
          <w:rFonts w:ascii="黑体" w:hAnsi="黑体" w:eastAsia="黑体"/>
          <w:color w:val="000000" w:themeColor="text1"/>
        </w:rPr>
      </w:pPr>
      <w:bookmarkStart w:id="77" w:name="_Toc494745311"/>
      <w:bookmarkStart w:id="78" w:name="_Toc494702264"/>
      <w:bookmarkStart w:id="79" w:name="_Toc494664994"/>
      <w:bookmarkStart w:id="80" w:name="_Toc3523"/>
      <w:bookmarkStart w:id="81" w:name="_Toc494665547"/>
      <w:bookmarkStart w:id="82" w:name="_Toc494721094"/>
      <w:bookmarkStart w:id="83" w:name="_Toc494665944"/>
      <w:r>
        <w:rPr>
          <w:rFonts w:hint="eastAsia" w:ascii="黑体" w:hAnsi="黑体" w:eastAsia="黑体"/>
          <w:color w:val="000000" w:themeColor="text1"/>
        </w:rPr>
        <w:t>投标文件格式（参考）</w:t>
      </w:r>
      <w:bookmarkEnd w:id="77"/>
      <w:bookmarkEnd w:id="78"/>
      <w:bookmarkEnd w:id="79"/>
      <w:bookmarkEnd w:id="80"/>
      <w:bookmarkEnd w:id="81"/>
      <w:bookmarkEnd w:id="82"/>
      <w:bookmarkEnd w:id="83"/>
    </w:p>
    <w:p>
      <w:pPr>
        <w:spacing w:after="780" w:afterLines="250"/>
        <w:jc w:val="center"/>
        <w:rPr>
          <w:rFonts w:ascii="黑体" w:hAnsi="黑体" w:eastAsia="黑体"/>
          <w:b/>
          <w:color w:val="000000" w:themeColor="text1"/>
          <w:sz w:val="56"/>
          <w:szCs w:val="56"/>
        </w:rPr>
      </w:pPr>
      <w:r>
        <w:rPr>
          <w:rFonts w:hint="eastAsia" w:ascii="黑体" w:hAnsi="黑体" w:eastAsia="黑体"/>
          <w:b/>
          <w:color w:val="000000" w:themeColor="text1"/>
          <w:sz w:val="56"/>
          <w:szCs w:val="56"/>
        </w:rPr>
        <w:t>阳新县县级政府采购</w:t>
      </w:r>
    </w:p>
    <w:p>
      <w:pPr>
        <w:spacing w:after="624" w:afterLines="200"/>
        <w:jc w:val="center"/>
        <w:rPr>
          <w:rFonts w:ascii="黑体" w:hAnsi="黑体" w:eastAsia="黑体"/>
          <w:b/>
          <w:color w:val="000000" w:themeColor="text1"/>
          <w:sz w:val="144"/>
          <w:szCs w:val="144"/>
        </w:rPr>
      </w:pPr>
      <w:r>
        <w:rPr>
          <w:rFonts w:hint="eastAsia" w:ascii="黑体" w:hAnsi="黑体" w:eastAsia="黑体"/>
          <w:b/>
          <w:color w:val="000000" w:themeColor="text1"/>
          <w:sz w:val="144"/>
          <w:szCs w:val="144"/>
        </w:rPr>
        <w:t>投</w:t>
      </w:r>
      <w:r>
        <w:rPr>
          <w:rFonts w:ascii="黑体" w:hAnsi="黑体" w:eastAsia="黑体"/>
          <w:b/>
          <w:color w:val="000000" w:themeColor="text1"/>
          <w:sz w:val="144"/>
          <w:szCs w:val="144"/>
        </w:rPr>
        <w:t xml:space="preserve"> </w:t>
      </w:r>
      <w:r>
        <w:rPr>
          <w:rFonts w:hint="eastAsia" w:ascii="黑体" w:hAnsi="黑体" w:eastAsia="黑体"/>
          <w:b/>
          <w:color w:val="000000" w:themeColor="text1"/>
          <w:sz w:val="144"/>
          <w:szCs w:val="144"/>
        </w:rPr>
        <w:t>标</w:t>
      </w:r>
      <w:r>
        <w:rPr>
          <w:rFonts w:ascii="黑体" w:hAnsi="黑体" w:eastAsia="黑体"/>
          <w:b/>
          <w:color w:val="000000" w:themeColor="text1"/>
          <w:sz w:val="144"/>
          <w:szCs w:val="144"/>
        </w:rPr>
        <w:t xml:space="preserve"> </w:t>
      </w:r>
      <w:r>
        <w:rPr>
          <w:rFonts w:hint="eastAsia" w:ascii="黑体" w:hAnsi="黑体" w:eastAsia="黑体"/>
          <w:b/>
          <w:color w:val="000000" w:themeColor="text1"/>
          <w:sz w:val="144"/>
          <w:szCs w:val="144"/>
        </w:rPr>
        <w:t>文</w:t>
      </w:r>
      <w:r>
        <w:rPr>
          <w:rFonts w:ascii="黑体" w:hAnsi="黑体" w:eastAsia="黑体"/>
          <w:b/>
          <w:color w:val="000000" w:themeColor="text1"/>
          <w:sz w:val="144"/>
          <w:szCs w:val="144"/>
        </w:rPr>
        <w:t xml:space="preserve"> </w:t>
      </w:r>
      <w:r>
        <w:rPr>
          <w:rFonts w:hint="eastAsia" w:ascii="黑体" w:hAnsi="黑体" w:eastAsia="黑体"/>
          <w:b/>
          <w:color w:val="000000" w:themeColor="text1"/>
          <w:sz w:val="144"/>
          <w:szCs w:val="144"/>
        </w:rPr>
        <w:t>件</w:t>
      </w:r>
    </w:p>
    <w:p>
      <w:pPr>
        <w:pStyle w:val="3"/>
        <w:spacing w:before="340" w:after="480" w:line="360" w:lineRule="auto"/>
        <w:rPr>
          <w:rFonts w:ascii="宋体" w:hAnsi="宋体"/>
          <w:bCs w:val="0"/>
          <w:color w:val="000000" w:themeColor="text1"/>
          <w:sz w:val="44"/>
          <w:szCs w:val="44"/>
          <w:lang w:val="zh-CN"/>
        </w:rPr>
      </w:pPr>
      <w:bookmarkStart w:id="84" w:name="_Toc494665548"/>
      <w:bookmarkStart w:id="85" w:name="_Toc494721095"/>
      <w:bookmarkStart w:id="86" w:name="_Toc494745312"/>
      <w:bookmarkStart w:id="87" w:name="_Toc28638"/>
      <w:bookmarkStart w:id="88" w:name="_Toc494702265"/>
      <w:bookmarkStart w:id="89" w:name="_Toc494664995"/>
      <w:bookmarkStart w:id="90" w:name="_Toc494665945"/>
    </w:p>
    <w:p>
      <w:pPr>
        <w:pStyle w:val="3"/>
        <w:spacing w:before="340" w:after="480" w:line="360" w:lineRule="auto"/>
        <w:ind w:firstLine="1760" w:firstLineChars="400"/>
        <w:rPr>
          <w:rFonts w:ascii="宋体" w:hAnsi="宋体"/>
          <w:bCs w:val="0"/>
          <w:color w:val="000000" w:themeColor="text1"/>
          <w:sz w:val="44"/>
          <w:szCs w:val="44"/>
          <w:lang w:val="zh-CN"/>
        </w:rPr>
      </w:pPr>
      <w:r>
        <w:rPr>
          <w:rFonts w:hint="eastAsia" w:ascii="宋体" w:hAnsi="宋体"/>
          <w:bCs w:val="0"/>
          <w:color w:val="000000" w:themeColor="text1"/>
          <w:sz w:val="44"/>
          <w:szCs w:val="44"/>
          <w:lang w:val="zh-CN"/>
        </w:rPr>
        <w:t>第一部分</w:t>
      </w:r>
      <w:r>
        <w:rPr>
          <w:rFonts w:hint="eastAsia" w:ascii="宋体" w:hAnsi="宋体"/>
          <w:bCs w:val="0"/>
          <w:color w:val="000000" w:themeColor="text1"/>
          <w:sz w:val="44"/>
          <w:szCs w:val="44"/>
        </w:rPr>
        <w:t xml:space="preserve">  </w:t>
      </w:r>
      <w:r>
        <w:rPr>
          <w:rFonts w:hint="eastAsia" w:ascii="宋体" w:hAnsi="宋体"/>
          <w:bCs w:val="0"/>
          <w:color w:val="000000" w:themeColor="text1"/>
          <w:sz w:val="44"/>
          <w:szCs w:val="44"/>
          <w:lang w:val="zh-CN"/>
        </w:rPr>
        <w:t>资格证明文件</w:t>
      </w:r>
      <w:bookmarkEnd w:id="84"/>
      <w:bookmarkEnd w:id="85"/>
      <w:bookmarkEnd w:id="86"/>
      <w:bookmarkEnd w:id="87"/>
      <w:bookmarkEnd w:id="88"/>
      <w:bookmarkEnd w:id="89"/>
      <w:bookmarkEnd w:id="90"/>
    </w:p>
    <w:p>
      <w:pPr>
        <w:rPr>
          <w:lang w:val="zh-CN"/>
        </w:rPr>
      </w:pPr>
    </w:p>
    <w:p>
      <w:pPr>
        <w:spacing w:line="360" w:lineRule="auto"/>
        <w:ind w:left="2051" w:leftChars="619" w:right="1299" w:rightChars="619" w:hanging="752" w:hangingChars="209"/>
        <w:rPr>
          <w:rFonts w:ascii="宋体"/>
          <w:bCs/>
          <w:color w:val="000000" w:themeColor="text1"/>
          <w:sz w:val="36"/>
          <w:szCs w:val="24"/>
        </w:rPr>
      </w:pPr>
      <w:r>
        <w:rPr>
          <w:rFonts w:hint="eastAsia" w:ascii="宋体" w:hAnsi="宋体"/>
          <w:b/>
          <w:bCs/>
          <w:color w:val="000000" w:themeColor="text1"/>
          <w:sz w:val="36"/>
          <w:szCs w:val="24"/>
        </w:rPr>
        <w:t>项目编号：</w:t>
      </w:r>
    </w:p>
    <w:p>
      <w:pPr>
        <w:spacing w:line="360" w:lineRule="auto"/>
        <w:ind w:left="2051" w:leftChars="619" w:right="1299" w:rightChars="619" w:hanging="752" w:hangingChars="209"/>
        <w:rPr>
          <w:rFonts w:ascii="宋体"/>
          <w:b/>
          <w:bCs/>
          <w:color w:val="000000" w:themeColor="text1"/>
          <w:sz w:val="36"/>
          <w:szCs w:val="24"/>
        </w:rPr>
      </w:pPr>
      <w:r>
        <w:rPr>
          <w:rFonts w:hint="eastAsia" w:ascii="宋体" w:hAnsi="宋体"/>
          <w:b/>
          <w:bCs/>
          <w:color w:val="000000" w:themeColor="text1"/>
          <w:sz w:val="36"/>
          <w:szCs w:val="24"/>
        </w:rPr>
        <w:t>项目名称（及包号）：</w:t>
      </w:r>
    </w:p>
    <w:p>
      <w:pPr>
        <w:spacing w:line="360" w:lineRule="auto"/>
        <w:ind w:left="2051" w:leftChars="619" w:right="1299" w:rightChars="619" w:hanging="752" w:hangingChars="209"/>
        <w:rPr>
          <w:rFonts w:ascii="宋体"/>
          <w:bCs/>
          <w:color w:val="000000" w:themeColor="text1"/>
          <w:sz w:val="36"/>
          <w:szCs w:val="24"/>
          <w:lang w:val="zh-CN"/>
        </w:rPr>
      </w:pPr>
      <w:r>
        <w:rPr>
          <w:rFonts w:hint="eastAsia" w:ascii="宋体" w:hAnsi="宋体"/>
          <w:b/>
          <w:bCs/>
          <w:color w:val="000000" w:themeColor="text1"/>
          <w:sz w:val="36"/>
          <w:szCs w:val="24"/>
        </w:rPr>
        <w:t>采购人：</w:t>
      </w:r>
    </w:p>
    <w:p>
      <w:pPr>
        <w:spacing w:line="360" w:lineRule="auto"/>
        <w:ind w:left="2051" w:leftChars="619" w:right="1299" w:rightChars="619" w:hanging="752" w:hangingChars="209"/>
        <w:rPr>
          <w:rFonts w:ascii="宋体"/>
          <w:color w:val="000000" w:themeColor="text1"/>
          <w:sz w:val="36"/>
          <w:szCs w:val="36"/>
        </w:rPr>
      </w:pPr>
      <w:r>
        <w:rPr>
          <w:rFonts w:hint="eastAsia" w:ascii="宋体" w:hAnsi="宋体"/>
          <w:b/>
          <w:bCs/>
          <w:color w:val="000000" w:themeColor="text1"/>
          <w:sz w:val="36"/>
          <w:szCs w:val="24"/>
        </w:rPr>
        <w:t>采购内容：</w:t>
      </w:r>
    </w:p>
    <w:p>
      <w:pPr>
        <w:spacing w:line="360" w:lineRule="auto"/>
        <w:ind w:right="1287" w:rightChars="613"/>
        <w:jc w:val="center"/>
        <w:rPr>
          <w:rFonts w:ascii="宋体"/>
          <w:b/>
          <w:bCs/>
          <w:color w:val="000000" w:themeColor="text1"/>
          <w:sz w:val="96"/>
          <w:szCs w:val="96"/>
        </w:rPr>
      </w:pPr>
      <w:r>
        <w:rPr>
          <w:rFonts w:ascii="宋体" w:hAnsi="宋体"/>
          <w:b/>
          <w:bCs/>
          <w:color w:val="000000" w:themeColor="text1"/>
          <w:sz w:val="96"/>
          <w:szCs w:val="96"/>
        </w:rPr>
        <w:t xml:space="preserve">   </w:t>
      </w:r>
      <w:r>
        <w:rPr>
          <w:rFonts w:hint="eastAsia" w:ascii="宋体" w:hAnsi="宋体"/>
          <w:b/>
          <w:bCs/>
          <w:color w:val="000000" w:themeColor="text1"/>
          <w:sz w:val="96"/>
          <w:szCs w:val="96"/>
        </w:rPr>
        <w:t>投标人（盖章）</w:t>
      </w:r>
    </w:p>
    <w:p>
      <w:pPr>
        <w:spacing w:line="360" w:lineRule="auto"/>
        <w:ind w:left="1971" w:leftChars="939" w:right="1287" w:rightChars="613" w:firstLine="1104" w:firstLineChars="345"/>
        <w:rPr>
          <w:rFonts w:ascii="宋体"/>
          <w:b/>
          <w:bCs/>
          <w:color w:val="000000" w:themeColor="text1"/>
          <w:sz w:val="32"/>
          <w:szCs w:val="32"/>
        </w:rPr>
      </w:pPr>
      <w:r>
        <w:rPr>
          <w:rFonts w:hint="eastAsia" w:ascii="宋体" w:hAnsi="宋体"/>
          <w:b/>
          <w:bCs/>
          <w:color w:val="000000" w:themeColor="text1"/>
          <w:sz w:val="32"/>
          <w:szCs w:val="32"/>
        </w:rPr>
        <w:t>投标人授权代表（签字）：</w:t>
      </w:r>
    </w:p>
    <w:p>
      <w:pPr>
        <w:spacing w:before="312" w:beforeLines="100" w:after="312" w:afterLines="100" w:line="360" w:lineRule="auto"/>
        <w:ind w:left="2256" w:leftChars="466" w:right="466" w:hanging="1278" w:hangingChars="355"/>
        <w:jc w:val="center"/>
        <w:rPr>
          <w:rFonts w:ascii="宋体"/>
          <w:b/>
          <w:color w:val="000000" w:themeColor="text1"/>
          <w:sz w:val="36"/>
          <w:szCs w:val="36"/>
        </w:rPr>
      </w:pPr>
      <w:r>
        <w:rPr>
          <w:rFonts w:hint="eastAsia" w:ascii="宋体" w:hAnsi="宋体"/>
          <w:b/>
          <w:bCs/>
          <w:color w:val="000000" w:themeColor="text1"/>
          <w:sz w:val="36"/>
          <w:szCs w:val="36"/>
        </w:rPr>
        <w:t>二</w:t>
      </w:r>
      <w:r>
        <w:rPr>
          <w:rFonts w:ascii="宋体"/>
          <w:b/>
          <w:bCs/>
          <w:color w:val="000000" w:themeColor="text1"/>
          <w:sz w:val="36"/>
          <w:szCs w:val="36"/>
        </w:rPr>
        <w:t>0</w:t>
      </w:r>
      <w:r>
        <w:rPr>
          <w:rFonts w:hint="eastAsia" w:ascii="宋体" w:hAnsi="宋体"/>
          <w:b/>
          <w:bCs/>
          <w:color w:val="000000" w:themeColor="text1"/>
          <w:sz w:val="36"/>
          <w:szCs w:val="36"/>
        </w:rPr>
        <w:t>一九</w:t>
      </w:r>
      <w:r>
        <w:rPr>
          <w:rFonts w:hint="eastAsia" w:ascii="宋体" w:hAnsi="宋体"/>
          <w:b/>
          <w:color w:val="000000" w:themeColor="text1"/>
          <w:sz w:val="36"/>
          <w:szCs w:val="36"/>
        </w:rPr>
        <w:t>年</w:t>
      </w:r>
      <w:r>
        <w:rPr>
          <w:rFonts w:ascii="宋体" w:hAnsi="宋体"/>
          <w:b/>
          <w:color w:val="000000" w:themeColor="text1"/>
          <w:sz w:val="36"/>
          <w:szCs w:val="36"/>
        </w:rPr>
        <w:t xml:space="preserve"> </w:t>
      </w:r>
      <w:r>
        <w:rPr>
          <w:rFonts w:hint="eastAsia" w:ascii="宋体" w:hAnsi="宋体"/>
          <w:b/>
          <w:color w:val="000000" w:themeColor="text1"/>
          <w:sz w:val="36"/>
          <w:szCs w:val="36"/>
        </w:rPr>
        <w:t>月</w:t>
      </w:r>
    </w:p>
    <w:p>
      <w:pPr>
        <w:rPr>
          <w:color w:val="000000" w:themeColor="text1"/>
        </w:rPr>
      </w:pPr>
      <w:r>
        <w:rPr>
          <w:color w:val="000000" w:themeColor="text1"/>
        </w:rPr>
        <w:br w:type="page"/>
      </w:r>
    </w:p>
    <w:p>
      <w:pPr>
        <w:spacing w:before="312" w:beforeLines="100" w:line="360" w:lineRule="auto"/>
        <w:jc w:val="left"/>
        <w:rPr>
          <w:rFonts w:ascii="宋体"/>
          <w:b/>
          <w:bCs/>
          <w:color w:val="000000" w:themeColor="text1"/>
          <w:sz w:val="30"/>
          <w:szCs w:val="30"/>
          <w:lang w:val="zh-CN"/>
        </w:rPr>
      </w:pPr>
      <w:r>
        <w:rPr>
          <w:rFonts w:hint="eastAsia" w:ascii="宋体" w:hAnsi="宋体"/>
          <w:b/>
          <w:bCs/>
          <w:color w:val="000000" w:themeColor="text1"/>
          <w:sz w:val="30"/>
          <w:szCs w:val="30"/>
          <w:lang w:val="zh-CN"/>
        </w:rPr>
        <w:t>格式（参考）说明：</w:t>
      </w:r>
    </w:p>
    <w:p>
      <w:pPr>
        <w:spacing w:before="120" w:after="120" w:line="578" w:lineRule="auto"/>
        <w:jc w:val="center"/>
        <w:rPr>
          <w:rFonts w:ascii="黑体" w:hAnsi="黑体" w:eastAsia="黑体"/>
          <w:b/>
          <w:color w:val="000000" w:themeColor="text1"/>
          <w:sz w:val="36"/>
          <w:szCs w:val="36"/>
        </w:rPr>
      </w:pPr>
      <w:bookmarkStart w:id="91" w:name="_Toc494721096"/>
      <w:bookmarkStart w:id="92" w:name="_Toc494665549"/>
      <w:bookmarkStart w:id="93" w:name="_Toc494745313"/>
      <w:bookmarkStart w:id="94" w:name="_Toc494665946"/>
      <w:bookmarkStart w:id="95" w:name="_Toc494702266"/>
      <w:bookmarkStart w:id="96" w:name="_Toc494664996"/>
      <w:r>
        <w:rPr>
          <w:rFonts w:hint="eastAsia" w:ascii="黑体" w:hAnsi="黑体" w:eastAsia="黑体"/>
          <w:b/>
          <w:color w:val="000000" w:themeColor="text1"/>
          <w:sz w:val="36"/>
          <w:szCs w:val="36"/>
        </w:rPr>
        <w:t>资格证明文件组成</w:t>
      </w:r>
      <w:bookmarkEnd w:id="91"/>
      <w:bookmarkEnd w:id="92"/>
      <w:bookmarkEnd w:id="93"/>
      <w:bookmarkEnd w:id="94"/>
      <w:bookmarkEnd w:id="95"/>
      <w:bookmarkEnd w:id="96"/>
    </w:p>
    <w:p>
      <w:pPr>
        <w:autoSpaceDE w:val="0"/>
        <w:autoSpaceDN w:val="0"/>
        <w:adjustRightInd w:val="0"/>
        <w:spacing w:before="156" w:beforeLines="50" w:after="156" w:afterLines="50" w:line="360" w:lineRule="auto"/>
        <w:ind w:firstLine="480" w:firstLineChars="200"/>
        <w:rPr>
          <w:rFonts w:ascii="宋体"/>
          <w:color w:val="000000" w:themeColor="text1"/>
          <w:kern w:val="0"/>
          <w:sz w:val="24"/>
          <w:szCs w:val="32"/>
        </w:rPr>
      </w:pPr>
      <w:r>
        <w:rPr>
          <w:rFonts w:hint="eastAsia" w:ascii="宋体" w:hAnsi="宋体"/>
          <w:color w:val="000000" w:themeColor="text1"/>
          <w:kern w:val="0"/>
          <w:sz w:val="24"/>
          <w:szCs w:val="32"/>
        </w:rPr>
        <w:t>由各投标人根据参考格式要求自行编写。目录清晰、内容详尽、易于理解和审查。具体内容应包括但不限于以下内容：</w:t>
      </w:r>
    </w:p>
    <w:p>
      <w:pPr>
        <w:numPr>
          <w:ilvl w:val="0"/>
          <w:numId w:val="62"/>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资格证明文件目录</w:t>
      </w:r>
      <w:r>
        <w:rPr>
          <w:rFonts w:hint="eastAsia" w:ascii="宋体" w:hAnsi="宋体"/>
          <w:b/>
          <w:color w:val="000000" w:themeColor="text1"/>
          <w:kern w:val="0"/>
          <w:sz w:val="24"/>
          <w:szCs w:val="32"/>
        </w:rPr>
        <w:t>（目录应涵盖下述所有资料，页码清晰以便查阅）</w:t>
      </w:r>
      <w:r>
        <w:rPr>
          <w:rFonts w:hint="eastAsia" w:ascii="宋体" w:hAnsi="宋体"/>
          <w:color w:val="000000" w:themeColor="text1"/>
          <w:kern w:val="0"/>
          <w:sz w:val="24"/>
          <w:szCs w:val="32"/>
        </w:rPr>
        <w:t>；</w:t>
      </w:r>
    </w:p>
    <w:p>
      <w:pPr>
        <w:numPr>
          <w:ilvl w:val="0"/>
          <w:numId w:val="62"/>
        </w:numPr>
        <w:autoSpaceDE w:val="0"/>
        <w:autoSpaceDN w:val="0"/>
        <w:adjustRightInd w:val="0"/>
        <w:spacing w:line="360" w:lineRule="auto"/>
        <w:ind w:left="490" w:hanging="370"/>
        <w:rPr>
          <w:rFonts w:ascii="宋体"/>
          <w:b/>
          <w:color w:val="000000" w:themeColor="text1"/>
          <w:kern w:val="0"/>
          <w:sz w:val="24"/>
          <w:szCs w:val="32"/>
        </w:rPr>
      </w:pPr>
      <w:r>
        <w:rPr>
          <w:rFonts w:hint="eastAsia" w:ascii="宋体" w:hAnsi="宋体"/>
          <w:color w:val="000000" w:themeColor="text1"/>
          <w:kern w:val="0"/>
          <w:sz w:val="24"/>
          <w:szCs w:val="32"/>
        </w:rPr>
        <w:t>应具备《政府采购法》第二十二条第一款规定的条件，提供下列材料：</w:t>
      </w:r>
    </w:p>
    <w:p>
      <w:pPr>
        <w:pStyle w:val="38"/>
        <w:numPr>
          <w:ilvl w:val="0"/>
          <w:numId w:val="63"/>
        </w:numPr>
        <w:autoSpaceDE w:val="0"/>
        <w:autoSpaceDN w:val="0"/>
        <w:adjustRightInd w:val="0"/>
        <w:spacing w:line="360" w:lineRule="auto"/>
        <w:ind w:hanging="260" w:firstLineChars="0"/>
        <w:rPr>
          <w:rFonts w:ascii="宋体"/>
          <w:color w:val="000000" w:themeColor="text1"/>
          <w:kern w:val="0"/>
          <w:sz w:val="24"/>
          <w:szCs w:val="32"/>
        </w:rPr>
      </w:pPr>
      <w:r>
        <w:rPr>
          <w:rFonts w:hint="eastAsia" w:ascii="宋体" w:hAnsi="宋体"/>
          <w:color w:val="000000" w:themeColor="text1"/>
          <w:kern w:val="0"/>
          <w:sz w:val="24"/>
          <w:szCs w:val="32"/>
        </w:rPr>
        <w:t>法人或者其他组织的营业执照等证明文件，自然人的身份证明；</w:t>
      </w:r>
    </w:p>
    <w:p>
      <w:pPr>
        <w:pStyle w:val="38"/>
        <w:numPr>
          <w:ilvl w:val="0"/>
          <w:numId w:val="63"/>
        </w:numPr>
        <w:autoSpaceDE w:val="0"/>
        <w:autoSpaceDN w:val="0"/>
        <w:adjustRightInd w:val="0"/>
        <w:spacing w:line="360" w:lineRule="auto"/>
        <w:ind w:hanging="260" w:firstLineChars="0"/>
        <w:rPr>
          <w:rFonts w:ascii="宋体"/>
          <w:color w:val="000000" w:themeColor="text1"/>
          <w:kern w:val="0"/>
          <w:sz w:val="24"/>
          <w:szCs w:val="32"/>
        </w:rPr>
      </w:pPr>
      <w:r>
        <w:rPr>
          <w:rFonts w:hint="eastAsia" w:ascii="宋体" w:hAnsi="宋体"/>
          <w:color w:val="000000" w:themeColor="text1"/>
          <w:kern w:val="0"/>
          <w:sz w:val="24"/>
          <w:szCs w:val="32"/>
        </w:rPr>
        <w:t>财务状况报告，依法缴纳税收和社会保障资金的相关材料；</w:t>
      </w:r>
    </w:p>
    <w:p>
      <w:pPr>
        <w:pStyle w:val="38"/>
        <w:numPr>
          <w:ilvl w:val="0"/>
          <w:numId w:val="63"/>
        </w:numPr>
        <w:autoSpaceDE w:val="0"/>
        <w:autoSpaceDN w:val="0"/>
        <w:adjustRightInd w:val="0"/>
        <w:spacing w:line="360" w:lineRule="auto"/>
        <w:ind w:hanging="260" w:firstLineChars="0"/>
        <w:rPr>
          <w:rFonts w:ascii="宋体"/>
          <w:color w:val="000000" w:themeColor="text1"/>
          <w:kern w:val="0"/>
          <w:sz w:val="24"/>
          <w:szCs w:val="32"/>
        </w:rPr>
      </w:pPr>
      <w:r>
        <w:rPr>
          <w:rFonts w:hint="eastAsia" w:ascii="宋体" w:hAnsi="宋体"/>
          <w:color w:val="000000" w:themeColor="text1"/>
          <w:kern w:val="0"/>
          <w:sz w:val="24"/>
          <w:szCs w:val="32"/>
        </w:rPr>
        <w:t>具备履行合同所必需的设备和专业技术能力的证明材料；</w:t>
      </w:r>
    </w:p>
    <w:p>
      <w:pPr>
        <w:pStyle w:val="38"/>
        <w:numPr>
          <w:ilvl w:val="0"/>
          <w:numId w:val="63"/>
        </w:numPr>
        <w:autoSpaceDE w:val="0"/>
        <w:autoSpaceDN w:val="0"/>
        <w:adjustRightInd w:val="0"/>
        <w:spacing w:line="360" w:lineRule="auto"/>
        <w:ind w:hanging="260" w:firstLineChars="0"/>
        <w:rPr>
          <w:rFonts w:ascii="宋体"/>
          <w:color w:val="000000" w:themeColor="text1"/>
          <w:kern w:val="0"/>
          <w:sz w:val="24"/>
          <w:szCs w:val="32"/>
        </w:rPr>
      </w:pPr>
      <w:r>
        <w:rPr>
          <w:rFonts w:hint="eastAsia" w:ascii="宋体" w:hAnsi="宋体"/>
          <w:color w:val="000000" w:themeColor="text1"/>
          <w:kern w:val="0"/>
          <w:sz w:val="24"/>
          <w:szCs w:val="32"/>
        </w:rPr>
        <w:t>参加政府采购活动前</w:t>
      </w:r>
      <w:r>
        <w:rPr>
          <w:rFonts w:ascii="宋体" w:hAnsi="宋体"/>
          <w:color w:val="000000" w:themeColor="text1"/>
          <w:kern w:val="0"/>
          <w:sz w:val="24"/>
          <w:szCs w:val="32"/>
        </w:rPr>
        <w:t>3</w:t>
      </w:r>
      <w:r>
        <w:rPr>
          <w:rFonts w:hint="eastAsia" w:ascii="宋体" w:hAnsi="宋体"/>
          <w:color w:val="000000" w:themeColor="text1"/>
          <w:kern w:val="0"/>
          <w:sz w:val="24"/>
          <w:szCs w:val="32"/>
        </w:rPr>
        <w:t>年内在经营活动中没有重大违法记录的书面声明；</w:t>
      </w:r>
    </w:p>
    <w:p>
      <w:pPr>
        <w:pStyle w:val="38"/>
        <w:numPr>
          <w:ilvl w:val="0"/>
          <w:numId w:val="63"/>
        </w:numPr>
        <w:autoSpaceDE w:val="0"/>
        <w:autoSpaceDN w:val="0"/>
        <w:adjustRightInd w:val="0"/>
        <w:spacing w:line="360" w:lineRule="auto"/>
        <w:ind w:hanging="260" w:firstLineChars="0"/>
        <w:rPr>
          <w:rFonts w:ascii="宋体"/>
          <w:color w:val="000000" w:themeColor="text1"/>
          <w:kern w:val="0"/>
          <w:sz w:val="24"/>
          <w:szCs w:val="32"/>
        </w:rPr>
      </w:pPr>
      <w:r>
        <w:rPr>
          <w:rFonts w:hint="eastAsia" w:ascii="宋体" w:hAnsi="宋体"/>
          <w:color w:val="000000" w:themeColor="text1"/>
          <w:kern w:val="0"/>
          <w:sz w:val="24"/>
          <w:szCs w:val="32"/>
        </w:rPr>
        <w:t>具备法律、行政法规规定的其他条件的证明材料；</w:t>
      </w:r>
    </w:p>
    <w:p>
      <w:pPr>
        <w:numPr>
          <w:ilvl w:val="0"/>
          <w:numId w:val="62"/>
        </w:numPr>
        <w:autoSpaceDE w:val="0"/>
        <w:autoSpaceDN w:val="0"/>
        <w:adjustRightInd w:val="0"/>
        <w:spacing w:line="360" w:lineRule="auto"/>
        <w:ind w:left="490" w:hanging="370"/>
        <w:rPr>
          <w:rFonts w:ascii="宋体" w:cs="Courier New"/>
          <w:color w:val="000000" w:themeColor="text1"/>
          <w:sz w:val="24"/>
          <w:szCs w:val="24"/>
        </w:rPr>
      </w:pPr>
      <w:r>
        <w:rPr>
          <w:rFonts w:hint="eastAsia" w:ascii="宋体" w:hAnsi="宋体" w:cs="Courier New"/>
          <w:color w:val="000000" w:themeColor="text1"/>
          <w:sz w:val="24"/>
          <w:szCs w:val="24"/>
        </w:rPr>
        <w:t>未被“信用中国”网站</w:t>
      </w:r>
      <w:r>
        <w:rPr>
          <w:rFonts w:ascii="宋体" w:hAnsi="宋体" w:cs="Courier New"/>
          <w:color w:val="000000" w:themeColor="text1"/>
          <w:sz w:val="24"/>
          <w:szCs w:val="24"/>
        </w:rPr>
        <w:t>(www.creditchina.gov.cn)</w:t>
      </w:r>
      <w:r>
        <w:rPr>
          <w:rFonts w:hint="eastAsia" w:ascii="宋体" w:hAnsi="宋体" w:cs="Courier New"/>
          <w:color w:val="000000" w:themeColor="text1"/>
          <w:sz w:val="24"/>
          <w:szCs w:val="24"/>
        </w:rPr>
        <w:t>列入失信被执行人、重大税收违法案件当事人名单、政府采购严重违法失信行为记录名单的书面申明及该网站查询结果页面截图；</w:t>
      </w:r>
    </w:p>
    <w:p>
      <w:pPr>
        <w:numPr>
          <w:ilvl w:val="0"/>
          <w:numId w:val="62"/>
        </w:numPr>
        <w:autoSpaceDE w:val="0"/>
        <w:autoSpaceDN w:val="0"/>
        <w:adjustRightInd w:val="0"/>
        <w:spacing w:line="360" w:lineRule="auto"/>
        <w:ind w:left="490" w:hanging="370"/>
        <w:rPr>
          <w:rFonts w:ascii="宋体" w:cs="Courier New"/>
          <w:color w:val="000000" w:themeColor="text1"/>
          <w:sz w:val="24"/>
          <w:szCs w:val="24"/>
        </w:rPr>
      </w:pPr>
      <w:r>
        <w:rPr>
          <w:rFonts w:hint="eastAsia" w:ascii="宋体" w:hAnsi="宋体" w:cs="Courier New"/>
          <w:color w:val="000000" w:themeColor="text1"/>
          <w:sz w:val="24"/>
          <w:szCs w:val="24"/>
        </w:rPr>
        <w:t>招标文件第一章“投标人资格要求”中有特殊要求的，投标人应提供其符合特殊要求的证明材料或者情况说明；</w:t>
      </w:r>
    </w:p>
    <w:p>
      <w:pPr>
        <w:numPr>
          <w:ilvl w:val="0"/>
          <w:numId w:val="62"/>
        </w:numPr>
        <w:autoSpaceDE w:val="0"/>
        <w:autoSpaceDN w:val="0"/>
        <w:adjustRightInd w:val="0"/>
        <w:spacing w:line="360" w:lineRule="auto"/>
        <w:ind w:left="490" w:hanging="370"/>
        <w:rPr>
          <w:rFonts w:ascii="宋体" w:cs="Courier New"/>
          <w:color w:val="000000" w:themeColor="text1"/>
          <w:sz w:val="24"/>
          <w:szCs w:val="24"/>
        </w:rPr>
      </w:pPr>
      <w:r>
        <w:rPr>
          <w:rFonts w:hint="eastAsia" w:ascii="宋体" w:hAnsi="宋体" w:cs="Courier New"/>
          <w:color w:val="000000" w:themeColor="text1"/>
          <w:sz w:val="24"/>
          <w:szCs w:val="24"/>
        </w:rPr>
        <w:t>不符合联合体投标相关规定和要求的（适用于接受联合体投标的项目）；</w:t>
      </w:r>
    </w:p>
    <w:p>
      <w:pPr>
        <w:numPr>
          <w:ilvl w:val="0"/>
          <w:numId w:val="62"/>
        </w:numPr>
        <w:autoSpaceDE w:val="0"/>
        <w:autoSpaceDN w:val="0"/>
        <w:adjustRightInd w:val="0"/>
        <w:spacing w:line="360" w:lineRule="auto"/>
        <w:ind w:left="490" w:hanging="370"/>
        <w:rPr>
          <w:rFonts w:ascii="宋体" w:cs="Courier New"/>
          <w:color w:val="000000" w:themeColor="text1"/>
          <w:sz w:val="24"/>
          <w:szCs w:val="24"/>
        </w:rPr>
      </w:pPr>
      <w:r>
        <w:rPr>
          <w:rFonts w:hint="eastAsia" w:ascii="宋体" w:hAnsi="宋体" w:cs="Courier New"/>
          <w:color w:val="000000" w:themeColor="text1"/>
          <w:sz w:val="24"/>
          <w:szCs w:val="24"/>
        </w:rPr>
        <w:t>投标人认为需提供的其它相关资格证明材料。</w:t>
      </w:r>
    </w:p>
    <w:p>
      <w:pPr>
        <w:autoSpaceDE w:val="0"/>
        <w:autoSpaceDN w:val="0"/>
        <w:adjustRightInd w:val="0"/>
        <w:spacing w:line="400" w:lineRule="exact"/>
        <w:ind w:left="490"/>
        <w:rPr>
          <w:rFonts w:hAnsi="宋体"/>
          <w:color w:val="000000" w:themeColor="text1"/>
          <w:sz w:val="24"/>
          <w:szCs w:val="24"/>
        </w:rPr>
      </w:pPr>
    </w:p>
    <w:p>
      <w:pPr>
        <w:autoSpaceDE w:val="0"/>
        <w:autoSpaceDN w:val="0"/>
        <w:adjustRightInd w:val="0"/>
        <w:spacing w:line="400" w:lineRule="exact"/>
        <w:ind w:left="490"/>
        <w:rPr>
          <w:rFonts w:hAnsi="宋体"/>
          <w:color w:val="000000" w:themeColor="text1"/>
          <w:sz w:val="24"/>
          <w:szCs w:val="24"/>
        </w:rPr>
      </w:pPr>
    </w:p>
    <w:p>
      <w:pPr>
        <w:rPr>
          <w:color w:val="000000" w:themeColor="text1"/>
        </w:rPr>
      </w:pPr>
      <w:r>
        <w:rPr>
          <w:rFonts w:hint="eastAsia" w:ascii="宋体" w:hAnsi="宋体"/>
          <w:color w:val="000000" w:themeColor="text1"/>
          <w:sz w:val="24"/>
          <w:szCs w:val="24"/>
        </w:rPr>
        <w:t>说明：资格证明文件正本应为清晰彩色影印件且加盖单位公章，否则</w:t>
      </w:r>
      <w:r>
        <w:rPr>
          <w:rFonts w:hint="eastAsia" w:ascii="Helvetica" w:hAnsi="Helvetica" w:cs="Helvetica"/>
          <w:color w:val="000000" w:themeColor="text1"/>
          <w:kern w:val="0"/>
          <w:sz w:val="24"/>
          <w:szCs w:val="24"/>
        </w:rPr>
        <w:t>按照</w:t>
      </w:r>
      <w:r>
        <w:rPr>
          <w:rFonts w:hint="eastAsia" w:ascii="Helvetica" w:hAnsi="Helvetica" w:cs="Helvetica"/>
          <w:b/>
          <w:color w:val="000000" w:themeColor="text1"/>
          <w:kern w:val="0"/>
          <w:sz w:val="24"/>
          <w:szCs w:val="24"/>
        </w:rPr>
        <w:t>无效投标处理</w:t>
      </w:r>
      <w:r>
        <w:rPr>
          <w:rFonts w:hint="eastAsia" w:ascii="宋体" w:hAnsi="宋体"/>
          <w:b/>
          <w:color w:val="000000" w:themeColor="text1"/>
          <w:sz w:val="24"/>
          <w:szCs w:val="24"/>
        </w:rPr>
        <w:t>。</w:t>
      </w:r>
    </w:p>
    <w:p>
      <w:pPr>
        <w:rPr>
          <w:color w:val="000000" w:themeColor="text1"/>
        </w:rPr>
      </w:pPr>
      <w:r>
        <w:rPr>
          <w:color w:val="000000" w:themeColor="text1"/>
        </w:rPr>
        <w:br w:type="page"/>
      </w:r>
    </w:p>
    <w:p>
      <w:pPr>
        <w:spacing w:before="312" w:beforeLines="100" w:after="780" w:afterLines="250"/>
        <w:jc w:val="center"/>
        <w:rPr>
          <w:rFonts w:ascii="黑体" w:hAnsi="黑体" w:eastAsia="黑体"/>
          <w:b/>
          <w:color w:val="000000" w:themeColor="text1"/>
          <w:sz w:val="72"/>
          <w:szCs w:val="72"/>
        </w:rPr>
      </w:pPr>
      <w:r>
        <w:rPr>
          <w:rFonts w:hint="eastAsia" w:ascii="黑体" w:hAnsi="黑体" w:eastAsia="黑体"/>
          <w:b/>
          <w:color w:val="000000" w:themeColor="text1"/>
          <w:sz w:val="72"/>
          <w:szCs w:val="72"/>
        </w:rPr>
        <w:t>阳新县县级政府采购</w:t>
      </w:r>
    </w:p>
    <w:p>
      <w:pPr>
        <w:spacing w:after="624" w:afterLines="200"/>
        <w:jc w:val="center"/>
        <w:rPr>
          <w:rFonts w:ascii="黑体" w:hAnsi="黑体" w:eastAsia="黑体"/>
          <w:b/>
          <w:color w:val="000000" w:themeColor="text1"/>
          <w:sz w:val="144"/>
          <w:szCs w:val="144"/>
        </w:rPr>
      </w:pPr>
      <w:r>
        <w:rPr>
          <w:rFonts w:hint="eastAsia" w:ascii="黑体" w:hAnsi="黑体" w:eastAsia="黑体"/>
          <w:b/>
          <w:color w:val="000000" w:themeColor="text1"/>
          <w:sz w:val="144"/>
          <w:szCs w:val="144"/>
        </w:rPr>
        <w:t>投</w:t>
      </w:r>
      <w:r>
        <w:rPr>
          <w:rFonts w:ascii="黑体" w:hAnsi="黑体" w:eastAsia="黑体"/>
          <w:b/>
          <w:color w:val="000000" w:themeColor="text1"/>
          <w:sz w:val="144"/>
          <w:szCs w:val="144"/>
        </w:rPr>
        <w:t xml:space="preserve"> </w:t>
      </w:r>
      <w:r>
        <w:rPr>
          <w:rFonts w:hint="eastAsia" w:ascii="黑体" w:hAnsi="黑体" w:eastAsia="黑体"/>
          <w:b/>
          <w:color w:val="000000" w:themeColor="text1"/>
          <w:sz w:val="144"/>
          <w:szCs w:val="144"/>
        </w:rPr>
        <w:t>标</w:t>
      </w:r>
      <w:r>
        <w:rPr>
          <w:rFonts w:ascii="黑体" w:hAnsi="黑体" w:eastAsia="黑体"/>
          <w:b/>
          <w:color w:val="000000" w:themeColor="text1"/>
          <w:sz w:val="144"/>
          <w:szCs w:val="144"/>
        </w:rPr>
        <w:t xml:space="preserve"> </w:t>
      </w:r>
      <w:r>
        <w:rPr>
          <w:rFonts w:hint="eastAsia" w:ascii="黑体" w:hAnsi="黑体" w:eastAsia="黑体"/>
          <w:b/>
          <w:color w:val="000000" w:themeColor="text1"/>
          <w:sz w:val="144"/>
          <w:szCs w:val="144"/>
        </w:rPr>
        <w:t>文</w:t>
      </w:r>
      <w:r>
        <w:rPr>
          <w:rFonts w:ascii="黑体" w:hAnsi="黑体" w:eastAsia="黑体"/>
          <w:b/>
          <w:color w:val="000000" w:themeColor="text1"/>
          <w:sz w:val="144"/>
          <w:szCs w:val="144"/>
        </w:rPr>
        <w:t xml:space="preserve"> </w:t>
      </w:r>
      <w:r>
        <w:rPr>
          <w:rFonts w:hint="eastAsia" w:ascii="黑体" w:hAnsi="黑体" w:eastAsia="黑体"/>
          <w:b/>
          <w:color w:val="000000" w:themeColor="text1"/>
          <w:sz w:val="144"/>
          <w:szCs w:val="144"/>
        </w:rPr>
        <w:t>件</w:t>
      </w:r>
    </w:p>
    <w:p>
      <w:pPr>
        <w:pStyle w:val="3"/>
        <w:spacing w:before="340" w:after="480" w:line="360" w:lineRule="auto"/>
        <w:jc w:val="center"/>
        <w:rPr>
          <w:rFonts w:ascii="宋体"/>
          <w:bCs w:val="0"/>
          <w:color w:val="000000" w:themeColor="text1"/>
          <w:sz w:val="44"/>
          <w:szCs w:val="44"/>
          <w:lang w:val="zh-CN"/>
        </w:rPr>
      </w:pPr>
      <w:bookmarkStart w:id="97" w:name="_Toc494745314"/>
      <w:bookmarkStart w:id="98" w:name="_Toc494664997"/>
      <w:bookmarkStart w:id="99" w:name="_Toc494702267"/>
      <w:bookmarkStart w:id="100" w:name="_Toc494721097"/>
      <w:bookmarkStart w:id="101" w:name="_Toc494665947"/>
      <w:bookmarkStart w:id="102" w:name="_Toc494665550"/>
    </w:p>
    <w:p>
      <w:pPr>
        <w:pStyle w:val="3"/>
        <w:spacing w:before="340" w:after="480" w:line="360" w:lineRule="auto"/>
        <w:rPr>
          <w:rFonts w:ascii="宋体"/>
          <w:bCs w:val="0"/>
          <w:color w:val="000000" w:themeColor="text1"/>
          <w:sz w:val="44"/>
          <w:szCs w:val="44"/>
          <w:lang w:val="zh-CN"/>
        </w:rPr>
      </w:pPr>
    </w:p>
    <w:p>
      <w:pPr>
        <w:pStyle w:val="3"/>
        <w:spacing w:before="340" w:after="480" w:line="360" w:lineRule="auto"/>
        <w:jc w:val="center"/>
        <w:rPr>
          <w:rFonts w:ascii="宋体"/>
          <w:bCs w:val="0"/>
          <w:color w:val="000000" w:themeColor="text1"/>
          <w:sz w:val="44"/>
          <w:szCs w:val="44"/>
          <w:lang w:val="zh-CN"/>
        </w:rPr>
      </w:pPr>
      <w:bookmarkStart w:id="103" w:name="_Toc13783"/>
      <w:r>
        <w:rPr>
          <w:rFonts w:hint="eastAsia" w:ascii="宋体" w:hAnsi="宋体"/>
          <w:bCs w:val="0"/>
          <w:color w:val="000000" w:themeColor="text1"/>
          <w:sz w:val="44"/>
          <w:szCs w:val="44"/>
          <w:lang w:val="zh-CN"/>
        </w:rPr>
        <w:t>第二部分</w:t>
      </w:r>
      <w:r>
        <w:rPr>
          <w:rFonts w:ascii="宋体" w:hAnsi="宋体"/>
          <w:bCs w:val="0"/>
          <w:color w:val="000000" w:themeColor="text1"/>
          <w:sz w:val="44"/>
          <w:szCs w:val="44"/>
          <w:lang w:val="zh-CN"/>
        </w:rPr>
        <w:t xml:space="preserve"> </w:t>
      </w:r>
      <w:r>
        <w:rPr>
          <w:rFonts w:hint="eastAsia" w:ascii="宋体" w:hAnsi="宋体"/>
          <w:bCs w:val="0"/>
          <w:color w:val="000000" w:themeColor="text1"/>
          <w:sz w:val="44"/>
          <w:szCs w:val="44"/>
          <w:lang w:val="zh-CN"/>
        </w:rPr>
        <w:t>商务文件</w:t>
      </w:r>
      <w:bookmarkEnd w:id="97"/>
      <w:bookmarkEnd w:id="98"/>
      <w:bookmarkEnd w:id="99"/>
      <w:bookmarkEnd w:id="100"/>
      <w:bookmarkEnd w:id="101"/>
      <w:bookmarkEnd w:id="102"/>
      <w:bookmarkEnd w:id="103"/>
    </w:p>
    <w:p>
      <w:pPr>
        <w:spacing w:line="360" w:lineRule="auto"/>
        <w:ind w:left="2051" w:leftChars="619" w:right="1299" w:rightChars="619" w:hanging="752" w:hangingChars="209"/>
        <w:rPr>
          <w:rFonts w:ascii="宋体"/>
          <w:bCs/>
          <w:color w:val="000000" w:themeColor="text1"/>
          <w:sz w:val="36"/>
          <w:szCs w:val="24"/>
        </w:rPr>
      </w:pPr>
      <w:r>
        <w:rPr>
          <w:rFonts w:hint="eastAsia" w:ascii="宋体" w:hAnsi="宋体"/>
          <w:b/>
          <w:bCs/>
          <w:color w:val="000000" w:themeColor="text1"/>
          <w:sz w:val="36"/>
          <w:szCs w:val="24"/>
        </w:rPr>
        <w:t>项目编号：</w:t>
      </w:r>
    </w:p>
    <w:p>
      <w:pPr>
        <w:spacing w:line="360" w:lineRule="auto"/>
        <w:ind w:left="2051" w:leftChars="619" w:right="1299" w:rightChars="619" w:hanging="752" w:hangingChars="209"/>
        <w:rPr>
          <w:rFonts w:ascii="宋体"/>
          <w:b/>
          <w:bCs/>
          <w:color w:val="000000" w:themeColor="text1"/>
          <w:sz w:val="36"/>
          <w:szCs w:val="24"/>
        </w:rPr>
      </w:pPr>
      <w:r>
        <w:rPr>
          <w:rFonts w:hint="eastAsia" w:ascii="宋体" w:hAnsi="宋体"/>
          <w:b/>
          <w:bCs/>
          <w:color w:val="000000" w:themeColor="text1"/>
          <w:sz w:val="36"/>
          <w:szCs w:val="24"/>
        </w:rPr>
        <w:t>项目名称（及包号）：</w:t>
      </w:r>
    </w:p>
    <w:p>
      <w:pPr>
        <w:spacing w:line="360" w:lineRule="auto"/>
        <w:ind w:left="2051" w:leftChars="619" w:right="1299" w:rightChars="619" w:hanging="752" w:hangingChars="209"/>
        <w:rPr>
          <w:rFonts w:ascii="宋体"/>
          <w:bCs/>
          <w:color w:val="000000" w:themeColor="text1"/>
          <w:sz w:val="36"/>
          <w:szCs w:val="24"/>
          <w:lang w:val="zh-CN"/>
        </w:rPr>
      </w:pPr>
      <w:r>
        <w:rPr>
          <w:rFonts w:hint="eastAsia" w:ascii="宋体" w:hAnsi="宋体"/>
          <w:b/>
          <w:bCs/>
          <w:color w:val="000000" w:themeColor="text1"/>
          <w:sz w:val="36"/>
          <w:szCs w:val="24"/>
        </w:rPr>
        <w:t>采购人：</w:t>
      </w:r>
    </w:p>
    <w:p>
      <w:pPr>
        <w:spacing w:line="360" w:lineRule="auto"/>
        <w:ind w:left="2051" w:leftChars="619" w:right="1299" w:rightChars="619" w:hanging="752" w:hangingChars="209"/>
        <w:rPr>
          <w:rFonts w:ascii="宋体"/>
          <w:color w:val="000000" w:themeColor="text1"/>
          <w:sz w:val="36"/>
          <w:szCs w:val="36"/>
        </w:rPr>
      </w:pPr>
      <w:r>
        <w:rPr>
          <w:rFonts w:hint="eastAsia" w:ascii="宋体" w:hAnsi="宋体"/>
          <w:b/>
          <w:bCs/>
          <w:color w:val="000000" w:themeColor="text1"/>
          <w:sz w:val="36"/>
          <w:szCs w:val="24"/>
        </w:rPr>
        <w:t>采购内容：</w:t>
      </w:r>
    </w:p>
    <w:p>
      <w:pPr>
        <w:spacing w:line="360" w:lineRule="auto"/>
        <w:ind w:left="2057" w:leftChars="613" w:right="1287" w:rightChars="613" w:hanging="770" w:hangingChars="214"/>
        <w:rPr>
          <w:rFonts w:ascii="宋体"/>
          <w:color w:val="000000" w:themeColor="text1"/>
          <w:sz w:val="36"/>
          <w:szCs w:val="36"/>
        </w:rPr>
      </w:pPr>
    </w:p>
    <w:p>
      <w:pPr>
        <w:spacing w:line="360" w:lineRule="auto"/>
        <w:ind w:left="3341" w:leftChars="613" w:right="1287" w:rightChars="613" w:hanging="2054" w:hangingChars="214"/>
        <w:rPr>
          <w:rFonts w:ascii="宋体"/>
          <w:b/>
          <w:bCs/>
          <w:color w:val="000000" w:themeColor="text1"/>
          <w:sz w:val="96"/>
          <w:szCs w:val="96"/>
        </w:rPr>
      </w:pPr>
      <w:r>
        <w:rPr>
          <w:rFonts w:hint="eastAsia" w:ascii="宋体" w:hAnsi="宋体"/>
          <w:b/>
          <w:bCs/>
          <w:color w:val="000000" w:themeColor="text1"/>
          <w:sz w:val="96"/>
          <w:szCs w:val="96"/>
        </w:rPr>
        <w:t>投标人（盖章）</w:t>
      </w:r>
    </w:p>
    <w:p>
      <w:pPr>
        <w:spacing w:line="360" w:lineRule="auto"/>
        <w:ind w:left="1971" w:leftChars="613" w:right="1287" w:rightChars="613" w:hanging="684" w:hangingChars="214"/>
        <w:rPr>
          <w:rFonts w:ascii="宋体"/>
          <w:b/>
          <w:bCs/>
          <w:color w:val="000000" w:themeColor="text1"/>
          <w:sz w:val="32"/>
          <w:szCs w:val="32"/>
        </w:rPr>
      </w:pPr>
      <w:r>
        <w:rPr>
          <w:rFonts w:hint="eastAsia" w:ascii="宋体" w:hAnsi="宋体"/>
          <w:b/>
          <w:bCs/>
          <w:color w:val="000000" w:themeColor="text1"/>
          <w:sz w:val="32"/>
          <w:szCs w:val="32"/>
        </w:rPr>
        <w:t>投标人授权代表（签字）：</w:t>
      </w:r>
    </w:p>
    <w:p>
      <w:pPr>
        <w:spacing w:before="312" w:beforeLines="100" w:after="312" w:afterLines="100" w:line="360" w:lineRule="auto"/>
        <w:ind w:left="2256" w:leftChars="466" w:right="466" w:hanging="1278" w:hangingChars="355"/>
        <w:jc w:val="center"/>
        <w:rPr>
          <w:rFonts w:ascii="宋体"/>
          <w:b/>
          <w:color w:val="000000" w:themeColor="text1"/>
          <w:sz w:val="36"/>
          <w:szCs w:val="36"/>
        </w:rPr>
      </w:pPr>
      <w:r>
        <w:rPr>
          <w:rFonts w:hint="eastAsia" w:ascii="宋体" w:hAnsi="宋体"/>
          <w:b/>
          <w:bCs/>
          <w:color w:val="000000" w:themeColor="text1"/>
          <w:sz w:val="36"/>
          <w:szCs w:val="36"/>
        </w:rPr>
        <w:t>二</w:t>
      </w:r>
      <w:r>
        <w:rPr>
          <w:rFonts w:ascii="宋体"/>
          <w:b/>
          <w:bCs/>
          <w:color w:val="000000" w:themeColor="text1"/>
          <w:sz w:val="36"/>
          <w:szCs w:val="36"/>
        </w:rPr>
        <w:t>0</w:t>
      </w:r>
      <w:r>
        <w:rPr>
          <w:rFonts w:hint="eastAsia" w:ascii="宋体" w:hAnsi="宋体"/>
          <w:b/>
          <w:bCs/>
          <w:color w:val="000000" w:themeColor="text1"/>
          <w:sz w:val="36"/>
          <w:szCs w:val="36"/>
        </w:rPr>
        <w:t>一</w:t>
      </w:r>
      <w:r>
        <w:rPr>
          <w:rFonts w:hint="eastAsia" w:ascii="宋体" w:hAnsi="宋体"/>
          <w:b/>
          <w:color w:val="000000" w:themeColor="text1"/>
          <w:sz w:val="36"/>
          <w:szCs w:val="36"/>
        </w:rPr>
        <w:t>九</w:t>
      </w:r>
      <w:r>
        <w:rPr>
          <w:rFonts w:ascii="宋体" w:hAnsi="宋体"/>
          <w:b/>
          <w:color w:val="000000" w:themeColor="text1"/>
          <w:sz w:val="36"/>
          <w:szCs w:val="36"/>
        </w:rPr>
        <w:t xml:space="preserve"> </w:t>
      </w:r>
      <w:r>
        <w:rPr>
          <w:rFonts w:hint="eastAsia" w:ascii="宋体" w:hAnsi="宋体"/>
          <w:b/>
          <w:color w:val="000000" w:themeColor="text1"/>
          <w:sz w:val="36"/>
          <w:szCs w:val="36"/>
        </w:rPr>
        <w:t>年</w:t>
      </w:r>
      <w:r>
        <w:rPr>
          <w:rFonts w:ascii="宋体" w:hAnsi="宋体"/>
          <w:b/>
          <w:color w:val="000000" w:themeColor="text1"/>
          <w:sz w:val="36"/>
          <w:szCs w:val="36"/>
        </w:rPr>
        <w:t xml:space="preserve"> </w:t>
      </w:r>
      <w:r>
        <w:rPr>
          <w:rFonts w:hint="eastAsia" w:ascii="宋体" w:hAnsi="宋体"/>
          <w:b/>
          <w:color w:val="000000" w:themeColor="text1"/>
          <w:sz w:val="36"/>
          <w:szCs w:val="36"/>
        </w:rPr>
        <w:t xml:space="preserve"> 月</w:t>
      </w:r>
    </w:p>
    <w:p>
      <w:pPr>
        <w:rPr>
          <w:color w:val="000000" w:themeColor="text1"/>
        </w:rPr>
      </w:pPr>
      <w:r>
        <w:rPr>
          <w:color w:val="000000" w:themeColor="text1"/>
        </w:rPr>
        <w:br w:type="page"/>
      </w:r>
    </w:p>
    <w:p>
      <w:pPr>
        <w:spacing w:before="312" w:beforeLines="100" w:line="360" w:lineRule="auto"/>
        <w:jc w:val="left"/>
        <w:rPr>
          <w:rFonts w:ascii="宋体"/>
          <w:b/>
          <w:bCs/>
          <w:color w:val="000000" w:themeColor="text1"/>
          <w:sz w:val="30"/>
          <w:szCs w:val="30"/>
          <w:lang w:val="zh-CN"/>
        </w:rPr>
      </w:pPr>
      <w:r>
        <w:rPr>
          <w:rFonts w:hint="eastAsia" w:ascii="宋体" w:hAnsi="宋体"/>
          <w:b/>
          <w:bCs/>
          <w:color w:val="000000" w:themeColor="text1"/>
          <w:sz w:val="30"/>
          <w:szCs w:val="30"/>
          <w:lang w:val="zh-CN"/>
        </w:rPr>
        <w:t>格式（参考）说明：</w:t>
      </w:r>
    </w:p>
    <w:p>
      <w:pPr>
        <w:spacing w:before="120" w:after="120" w:line="578" w:lineRule="auto"/>
        <w:jc w:val="center"/>
        <w:rPr>
          <w:rFonts w:ascii="黑体" w:hAnsi="黑体" w:eastAsia="黑体"/>
          <w:b/>
          <w:color w:val="000000" w:themeColor="text1"/>
          <w:sz w:val="36"/>
          <w:szCs w:val="36"/>
        </w:rPr>
      </w:pPr>
      <w:bookmarkStart w:id="104" w:name="_Toc494664998"/>
      <w:bookmarkStart w:id="105" w:name="_Toc494702268"/>
      <w:bookmarkStart w:id="106" w:name="_Toc494721098"/>
      <w:bookmarkStart w:id="107" w:name="_Toc494665551"/>
      <w:bookmarkStart w:id="108" w:name="_Toc494665948"/>
      <w:bookmarkStart w:id="109" w:name="_Toc494745315"/>
      <w:r>
        <w:rPr>
          <w:rFonts w:hint="eastAsia" w:ascii="黑体" w:hAnsi="黑体" w:eastAsia="黑体"/>
          <w:b/>
          <w:color w:val="000000" w:themeColor="text1"/>
          <w:sz w:val="36"/>
          <w:szCs w:val="36"/>
        </w:rPr>
        <w:t>商务文件组成</w:t>
      </w:r>
      <w:bookmarkEnd w:id="104"/>
      <w:bookmarkEnd w:id="105"/>
      <w:bookmarkEnd w:id="106"/>
      <w:bookmarkEnd w:id="107"/>
      <w:bookmarkEnd w:id="108"/>
      <w:bookmarkEnd w:id="109"/>
    </w:p>
    <w:p>
      <w:pPr>
        <w:autoSpaceDE w:val="0"/>
        <w:autoSpaceDN w:val="0"/>
        <w:adjustRightInd w:val="0"/>
        <w:spacing w:before="156" w:beforeLines="50" w:after="156" w:afterLines="50" w:line="360" w:lineRule="auto"/>
        <w:ind w:firstLine="480" w:firstLineChars="200"/>
        <w:rPr>
          <w:rFonts w:ascii="宋体"/>
          <w:color w:val="000000" w:themeColor="text1"/>
          <w:kern w:val="0"/>
          <w:sz w:val="24"/>
          <w:szCs w:val="32"/>
        </w:rPr>
      </w:pPr>
      <w:r>
        <w:rPr>
          <w:rFonts w:hint="eastAsia" w:ascii="宋体" w:hAnsi="宋体"/>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4"/>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商务文件目录</w:t>
      </w:r>
      <w:r>
        <w:rPr>
          <w:rFonts w:hint="eastAsia" w:ascii="宋体" w:hAnsi="宋体"/>
          <w:b/>
          <w:color w:val="000000" w:themeColor="text1"/>
          <w:kern w:val="0"/>
          <w:sz w:val="24"/>
          <w:szCs w:val="32"/>
        </w:rPr>
        <w:t>（目录应涵盖下述所有资料，页码清晰以便查阅）</w:t>
      </w:r>
      <w:r>
        <w:rPr>
          <w:rFonts w:hint="eastAsia" w:ascii="宋体" w:hAnsi="宋体"/>
          <w:color w:val="000000" w:themeColor="text1"/>
          <w:kern w:val="0"/>
          <w:sz w:val="24"/>
          <w:szCs w:val="32"/>
        </w:rPr>
        <w:t>；</w:t>
      </w:r>
    </w:p>
    <w:p>
      <w:pPr>
        <w:numPr>
          <w:ilvl w:val="0"/>
          <w:numId w:val="64"/>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投标书（附件一）；</w:t>
      </w:r>
    </w:p>
    <w:p>
      <w:pPr>
        <w:numPr>
          <w:ilvl w:val="0"/>
          <w:numId w:val="64"/>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制造商中小企业声明函（附件二）；</w:t>
      </w:r>
    </w:p>
    <w:p>
      <w:pPr>
        <w:numPr>
          <w:ilvl w:val="0"/>
          <w:numId w:val="64"/>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中小企业声明函（附件三）；</w:t>
      </w:r>
    </w:p>
    <w:p>
      <w:pPr>
        <w:numPr>
          <w:ilvl w:val="0"/>
          <w:numId w:val="64"/>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残疾人福利性单位声明函（附件四）</w:t>
      </w:r>
    </w:p>
    <w:p>
      <w:pPr>
        <w:numPr>
          <w:ilvl w:val="0"/>
          <w:numId w:val="64"/>
        </w:numPr>
        <w:autoSpaceDE w:val="0"/>
        <w:autoSpaceDN w:val="0"/>
        <w:adjustRightInd w:val="0"/>
        <w:spacing w:line="360" w:lineRule="auto"/>
        <w:ind w:left="490" w:hanging="370"/>
        <w:rPr>
          <w:rFonts w:ascii="宋体" w:cs="Courier New"/>
          <w:color w:val="000000" w:themeColor="text1"/>
          <w:sz w:val="24"/>
          <w:szCs w:val="24"/>
        </w:rPr>
      </w:pPr>
      <w:r>
        <w:rPr>
          <w:rFonts w:hint="eastAsia" w:ascii="宋体" w:hAnsi="宋体" w:cs="Courier New"/>
          <w:color w:val="000000" w:themeColor="text1"/>
          <w:sz w:val="24"/>
          <w:szCs w:val="24"/>
        </w:rPr>
        <w:t>开标一览表（附件五）；</w:t>
      </w:r>
    </w:p>
    <w:p>
      <w:pPr>
        <w:numPr>
          <w:ilvl w:val="0"/>
          <w:numId w:val="64"/>
        </w:numPr>
        <w:autoSpaceDE w:val="0"/>
        <w:autoSpaceDN w:val="0"/>
        <w:adjustRightInd w:val="0"/>
        <w:spacing w:line="360" w:lineRule="auto"/>
        <w:ind w:left="490" w:hanging="370"/>
        <w:rPr>
          <w:rFonts w:ascii="宋体" w:cs="Courier New"/>
          <w:color w:val="000000" w:themeColor="text1"/>
          <w:sz w:val="24"/>
          <w:szCs w:val="24"/>
        </w:rPr>
      </w:pPr>
      <w:r>
        <w:rPr>
          <w:rFonts w:hint="eastAsia" w:ascii="宋体" w:hAnsi="宋体" w:cs="Courier New"/>
          <w:color w:val="000000" w:themeColor="text1"/>
          <w:sz w:val="24"/>
          <w:szCs w:val="24"/>
        </w:rPr>
        <w:t>投标报价明细表（附件六）；</w:t>
      </w:r>
    </w:p>
    <w:p>
      <w:pPr>
        <w:numPr>
          <w:ilvl w:val="0"/>
          <w:numId w:val="64"/>
        </w:numPr>
        <w:autoSpaceDE w:val="0"/>
        <w:autoSpaceDN w:val="0"/>
        <w:adjustRightInd w:val="0"/>
        <w:spacing w:line="360" w:lineRule="auto"/>
        <w:ind w:left="490" w:hanging="370"/>
        <w:rPr>
          <w:rFonts w:ascii="宋体" w:cs="Courier New"/>
          <w:color w:val="000000" w:themeColor="text1"/>
          <w:sz w:val="24"/>
          <w:szCs w:val="24"/>
        </w:rPr>
      </w:pPr>
      <w:r>
        <w:rPr>
          <w:rFonts w:hint="eastAsia" w:ascii="宋体" w:hAnsi="宋体" w:cs="Courier New"/>
          <w:color w:val="000000" w:themeColor="text1"/>
          <w:sz w:val="24"/>
          <w:szCs w:val="24"/>
        </w:rPr>
        <w:t>小型和微型企业、监狱企业、残疾人福利性单位货物汇总表（附件七）；</w:t>
      </w:r>
    </w:p>
    <w:p>
      <w:pPr>
        <w:numPr>
          <w:ilvl w:val="0"/>
          <w:numId w:val="64"/>
        </w:numPr>
        <w:autoSpaceDE w:val="0"/>
        <w:autoSpaceDN w:val="0"/>
        <w:adjustRightInd w:val="0"/>
        <w:spacing w:line="360" w:lineRule="auto"/>
        <w:ind w:left="490" w:hanging="370"/>
        <w:rPr>
          <w:rFonts w:ascii="宋体" w:cs="Courier New"/>
          <w:color w:val="000000" w:themeColor="text1"/>
          <w:sz w:val="24"/>
          <w:szCs w:val="24"/>
        </w:rPr>
      </w:pPr>
      <w:r>
        <w:rPr>
          <w:rFonts w:hint="eastAsia" w:ascii="宋体" w:hAnsi="宋体" w:cs="Courier New"/>
          <w:color w:val="000000" w:themeColor="text1"/>
          <w:sz w:val="24"/>
          <w:szCs w:val="24"/>
        </w:rPr>
        <w:t>投标货物、服务清单（附件八）；</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交纳投标保证金的银行凭证（附件九，适用招标文件有交纳要求的应当提供）；</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法定代表人授权书（附件十）；</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关于不存在招标文件第二章“十一</w:t>
      </w:r>
      <w:r>
        <w:rPr>
          <w:rFonts w:ascii="宋体" w:hAnsi="宋体" w:cs="Courier New"/>
          <w:color w:val="000000" w:themeColor="text1"/>
          <w:sz w:val="24"/>
          <w:szCs w:val="24"/>
        </w:rPr>
        <w:t xml:space="preserve"> </w:t>
      </w:r>
      <w:r>
        <w:rPr>
          <w:rFonts w:hint="eastAsia" w:ascii="宋体" w:hAnsi="宋体" w:cs="Courier New"/>
          <w:color w:val="000000" w:themeColor="text1"/>
          <w:sz w:val="24"/>
          <w:szCs w:val="24"/>
        </w:rPr>
        <w:t>其他注意事项”中规定禁止情形的书面声明；</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投标人的资格声明（附件十一）；</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项目负责人、技术负责人简历表（附件十二）；</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项目班子成员情况表（附件十三）；</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投标人类似项目业绩表（附件十四）；</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招标文件要求提供或投标人认为需提供的其它资料；</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符合性审查对照表（附件十五）；</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商务要求响应、偏离说明表（附件十六）；</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商务要求“★”号条款响应、偏离说明表（附件十七）</w:t>
      </w:r>
    </w:p>
    <w:p>
      <w:pPr>
        <w:numPr>
          <w:ilvl w:val="0"/>
          <w:numId w:val="64"/>
        </w:numPr>
        <w:autoSpaceDE w:val="0"/>
        <w:autoSpaceDN w:val="0"/>
        <w:adjustRightInd w:val="0"/>
        <w:spacing w:line="360" w:lineRule="auto"/>
        <w:ind w:left="616" w:hanging="496"/>
        <w:rPr>
          <w:rFonts w:ascii="宋体" w:cs="Courier New"/>
          <w:color w:val="000000" w:themeColor="text1"/>
          <w:sz w:val="24"/>
          <w:szCs w:val="24"/>
        </w:rPr>
      </w:pPr>
      <w:r>
        <w:rPr>
          <w:rFonts w:hint="eastAsia" w:ascii="宋体" w:hAnsi="宋体" w:cs="Courier New"/>
          <w:color w:val="000000" w:themeColor="text1"/>
          <w:sz w:val="24"/>
          <w:szCs w:val="24"/>
        </w:rPr>
        <w:t>商务评议对照表（附件十八）。</w:t>
      </w:r>
    </w:p>
    <w:p>
      <w:pPr>
        <w:rPr>
          <w:color w:val="000000" w:themeColor="text1"/>
        </w:rPr>
      </w:pPr>
      <w:r>
        <w:rPr>
          <w:color w:val="000000" w:themeColor="text1"/>
        </w:rPr>
        <w:br w:type="page"/>
      </w:r>
    </w:p>
    <w:p>
      <w:pPr>
        <w:spacing w:before="312" w:beforeLines="100" w:after="780" w:afterLines="250"/>
        <w:jc w:val="center"/>
        <w:rPr>
          <w:rFonts w:ascii="黑体" w:hAnsi="黑体" w:eastAsia="黑体"/>
          <w:b/>
          <w:color w:val="000000" w:themeColor="text1"/>
          <w:sz w:val="72"/>
          <w:szCs w:val="72"/>
        </w:rPr>
      </w:pPr>
      <w:r>
        <w:rPr>
          <w:rFonts w:hint="eastAsia" w:ascii="黑体" w:hAnsi="黑体" w:eastAsia="黑体"/>
          <w:b/>
          <w:color w:val="000000" w:themeColor="text1"/>
          <w:sz w:val="72"/>
          <w:szCs w:val="72"/>
        </w:rPr>
        <w:t>阳新县县级政府采购</w:t>
      </w:r>
    </w:p>
    <w:p>
      <w:pPr>
        <w:spacing w:after="624" w:afterLines="200"/>
        <w:jc w:val="center"/>
        <w:rPr>
          <w:rFonts w:ascii="黑体" w:hAnsi="黑体" w:eastAsia="黑体"/>
          <w:b/>
          <w:color w:val="000000" w:themeColor="text1"/>
          <w:sz w:val="144"/>
          <w:szCs w:val="144"/>
        </w:rPr>
      </w:pPr>
      <w:r>
        <w:rPr>
          <w:rFonts w:hint="eastAsia" w:ascii="黑体" w:hAnsi="黑体" w:eastAsia="黑体"/>
          <w:b/>
          <w:color w:val="000000" w:themeColor="text1"/>
          <w:sz w:val="144"/>
          <w:szCs w:val="144"/>
        </w:rPr>
        <w:t>投</w:t>
      </w:r>
      <w:r>
        <w:rPr>
          <w:rFonts w:ascii="黑体" w:hAnsi="黑体" w:eastAsia="黑体"/>
          <w:b/>
          <w:color w:val="000000" w:themeColor="text1"/>
          <w:sz w:val="144"/>
          <w:szCs w:val="144"/>
        </w:rPr>
        <w:t xml:space="preserve"> </w:t>
      </w:r>
      <w:r>
        <w:rPr>
          <w:rFonts w:hint="eastAsia" w:ascii="黑体" w:hAnsi="黑体" w:eastAsia="黑体"/>
          <w:b/>
          <w:color w:val="000000" w:themeColor="text1"/>
          <w:sz w:val="144"/>
          <w:szCs w:val="144"/>
        </w:rPr>
        <w:t>标</w:t>
      </w:r>
      <w:r>
        <w:rPr>
          <w:rFonts w:ascii="黑体" w:hAnsi="黑体" w:eastAsia="黑体"/>
          <w:b/>
          <w:color w:val="000000" w:themeColor="text1"/>
          <w:sz w:val="144"/>
          <w:szCs w:val="144"/>
        </w:rPr>
        <w:t xml:space="preserve"> </w:t>
      </w:r>
      <w:r>
        <w:rPr>
          <w:rFonts w:hint="eastAsia" w:ascii="黑体" w:hAnsi="黑体" w:eastAsia="黑体"/>
          <w:b/>
          <w:color w:val="000000" w:themeColor="text1"/>
          <w:sz w:val="144"/>
          <w:szCs w:val="144"/>
        </w:rPr>
        <w:t>文</w:t>
      </w:r>
      <w:r>
        <w:rPr>
          <w:rFonts w:ascii="黑体" w:hAnsi="黑体" w:eastAsia="黑体"/>
          <w:b/>
          <w:color w:val="000000" w:themeColor="text1"/>
          <w:sz w:val="144"/>
          <w:szCs w:val="144"/>
        </w:rPr>
        <w:t xml:space="preserve"> </w:t>
      </w:r>
      <w:r>
        <w:rPr>
          <w:rFonts w:hint="eastAsia" w:ascii="黑体" w:hAnsi="黑体" w:eastAsia="黑体"/>
          <w:b/>
          <w:color w:val="000000" w:themeColor="text1"/>
          <w:sz w:val="144"/>
          <w:szCs w:val="144"/>
        </w:rPr>
        <w:t>件</w:t>
      </w:r>
    </w:p>
    <w:p>
      <w:pPr>
        <w:pStyle w:val="3"/>
        <w:spacing w:before="340" w:after="480" w:line="360" w:lineRule="auto"/>
        <w:rPr>
          <w:rFonts w:ascii="宋体"/>
          <w:bCs w:val="0"/>
          <w:color w:val="000000" w:themeColor="text1"/>
          <w:sz w:val="44"/>
          <w:szCs w:val="44"/>
          <w:lang w:val="zh-CN"/>
        </w:rPr>
      </w:pPr>
      <w:bookmarkStart w:id="110" w:name="_Toc494665949"/>
      <w:bookmarkStart w:id="111" w:name="_Toc494665552"/>
      <w:bookmarkStart w:id="112" w:name="_Toc494702269"/>
      <w:bookmarkStart w:id="113" w:name="_Toc494664999"/>
      <w:bookmarkStart w:id="114" w:name="_Toc494721099"/>
      <w:bookmarkStart w:id="115" w:name="_Toc494745316"/>
    </w:p>
    <w:p>
      <w:pPr>
        <w:pStyle w:val="3"/>
        <w:spacing w:before="340" w:after="480" w:line="360" w:lineRule="auto"/>
        <w:jc w:val="center"/>
        <w:rPr>
          <w:rFonts w:ascii="宋体"/>
          <w:bCs w:val="0"/>
          <w:color w:val="000000" w:themeColor="text1"/>
          <w:sz w:val="44"/>
          <w:szCs w:val="44"/>
          <w:lang w:val="zh-CN"/>
        </w:rPr>
      </w:pPr>
      <w:bookmarkStart w:id="116" w:name="_Toc16834"/>
      <w:r>
        <w:rPr>
          <w:rFonts w:hint="eastAsia" w:ascii="宋体" w:hAnsi="宋体"/>
          <w:bCs w:val="0"/>
          <w:color w:val="000000" w:themeColor="text1"/>
          <w:sz w:val="44"/>
          <w:szCs w:val="44"/>
          <w:lang w:val="zh-CN"/>
        </w:rPr>
        <w:t>第三部分</w:t>
      </w:r>
      <w:r>
        <w:rPr>
          <w:rFonts w:ascii="宋体" w:hAnsi="宋体"/>
          <w:bCs w:val="0"/>
          <w:color w:val="000000" w:themeColor="text1"/>
          <w:sz w:val="44"/>
          <w:szCs w:val="44"/>
          <w:lang w:val="zh-CN"/>
        </w:rPr>
        <w:t xml:space="preserve"> </w:t>
      </w:r>
      <w:r>
        <w:rPr>
          <w:rFonts w:hint="eastAsia" w:ascii="宋体" w:hAnsi="宋体"/>
          <w:bCs w:val="0"/>
          <w:color w:val="000000" w:themeColor="text1"/>
          <w:sz w:val="44"/>
          <w:szCs w:val="44"/>
          <w:lang w:val="zh-CN"/>
        </w:rPr>
        <w:t>技术、服务文件</w:t>
      </w:r>
      <w:bookmarkEnd w:id="110"/>
      <w:bookmarkEnd w:id="111"/>
      <w:bookmarkEnd w:id="112"/>
      <w:bookmarkEnd w:id="113"/>
      <w:bookmarkEnd w:id="114"/>
      <w:bookmarkEnd w:id="115"/>
      <w:bookmarkEnd w:id="116"/>
    </w:p>
    <w:p>
      <w:pPr>
        <w:spacing w:line="360" w:lineRule="auto"/>
        <w:ind w:left="2051" w:leftChars="619" w:right="1299" w:rightChars="619" w:hanging="752" w:hangingChars="209"/>
        <w:rPr>
          <w:rFonts w:ascii="宋体"/>
          <w:bCs/>
          <w:color w:val="000000" w:themeColor="text1"/>
          <w:sz w:val="36"/>
          <w:szCs w:val="24"/>
        </w:rPr>
      </w:pPr>
      <w:r>
        <w:rPr>
          <w:rFonts w:hint="eastAsia" w:ascii="宋体" w:hAnsi="宋体"/>
          <w:b/>
          <w:bCs/>
          <w:color w:val="000000" w:themeColor="text1"/>
          <w:sz w:val="36"/>
          <w:szCs w:val="24"/>
        </w:rPr>
        <w:t>项目编号：</w:t>
      </w:r>
    </w:p>
    <w:p>
      <w:pPr>
        <w:spacing w:line="360" w:lineRule="auto"/>
        <w:ind w:left="2051" w:leftChars="619" w:right="1299" w:rightChars="619" w:hanging="752" w:hangingChars="209"/>
        <w:rPr>
          <w:rFonts w:ascii="宋体"/>
          <w:b/>
          <w:bCs/>
          <w:color w:val="000000" w:themeColor="text1"/>
          <w:sz w:val="36"/>
          <w:szCs w:val="24"/>
        </w:rPr>
      </w:pPr>
      <w:r>
        <w:rPr>
          <w:rFonts w:hint="eastAsia" w:ascii="宋体" w:hAnsi="宋体"/>
          <w:b/>
          <w:bCs/>
          <w:color w:val="000000" w:themeColor="text1"/>
          <w:sz w:val="36"/>
          <w:szCs w:val="24"/>
        </w:rPr>
        <w:t>项目名称（及包号）：</w:t>
      </w:r>
    </w:p>
    <w:p>
      <w:pPr>
        <w:spacing w:line="360" w:lineRule="auto"/>
        <w:ind w:left="2051" w:leftChars="619" w:right="1299" w:rightChars="619" w:hanging="752" w:hangingChars="209"/>
        <w:rPr>
          <w:rFonts w:ascii="宋体"/>
          <w:bCs/>
          <w:color w:val="000000" w:themeColor="text1"/>
          <w:sz w:val="36"/>
          <w:szCs w:val="24"/>
          <w:lang w:val="zh-CN"/>
        </w:rPr>
      </w:pPr>
      <w:r>
        <w:rPr>
          <w:rFonts w:hint="eastAsia" w:ascii="宋体" w:hAnsi="宋体"/>
          <w:b/>
          <w:bCs/>
          <w:color w:val="000000" w:themeColor="text1"/>
          <w:sz w:val="36"/>
          <w:szCs w:val="24"/>
        </w:rPr>
        <w:t>采购人：</w:t>
      </w:r>
    </w:p>
    <w:p>
      <w:pPr>
        <w:spacing w:line="360" w:lineRule="auto"/>
        <w:ind w:left="2051" w:leftChars="619" w:right="1299" w:rightChars="619" w:hanging="752" w:hangingChars="209"/>
        <w:rPr>
          <w:rFonts w:ascii="宋体"/>
          <w:color w:val="000000" w:themeColor="text1"/>
          <w:sz w:val="36"/>
          <w:szCs w:val="36"/>
        </w:rPr>
      </w:pPr>
      <w:r>
        <w:rPr>
          <w:rFonts w:hint="eastAsia" w:ascii="宋体" w:hAnsi="宋体"/>
          <w:b/>
          <w:bCs/>
          <w:color w:val="000000" w:themeColor="text1"/>
          <w:sz w:val="36"/>
          <w:szCs w:val="24"/>
        </w:rPr>
        <w:t>采购内容：</w:t>
      </w:r>
    </w:p>
    <w:p>
      <w:pPr>
        <w:spacing w:line="360" w:lineRule="auto"/>
        <w:ind w:left="2057" w:leftChars="613" w:right="1287" w:rightChars="613" w:hanging="770" w:hangingChars="214"/>
        <w:rPr>
          <w:rFonts w:ascii="宋体"/>
          <w:color w:val="000000" w:themeColor="text1"/>
          <w:sz w:val="36"/>
          <w:szCs w:val="36"/>
        </w:rPr>
      </w:pPr>
    </w:p>
    <w:p>
      <w:pPr>
        <w:spacing w:line="360" w:lineRule="auto"/>
        <w:ind w:left="3341" w:leftChars="613" w:right="1287" w:rightChars="613" w:hanging="2054" w:hangingChars="214"/>
        <w:rPr>
          <w:rFonts w:ascii="宋体"/>
          <w:b/>
          <w:bCs/>
          <w:color w:val="000000" w:themeColor="text1"/>
          <w:sz w:val="96"/>
          <w:szCs w:val="96"/>
        </w:rPr>
      </w:pPr>
      <w:r>
        <w:rPr>
          <w:rFonts w:hint="eastAsia" w:ascii="宋体" w:hAnsi="宋体"/>
          <w:b/>
          <w:bCs/>
          <w:color w:val="000000" w:themeColor="text1"/>
          <w:sz w:val="96"/>
          <w:szCs w:val="96"/>
        </w:rPr>
        <w:t>投标人（盖章）</w:t>
      </w:r>
    </w:p>
    <w:p>
      <w:pPr>
        <w:spacing w:line="360" w:lineRule="auto"/>
        <w:ind w:left="1971" w:leftChars="613" w:right="1287" w:rightChars="613" w:hanging="684" w:hangingChars="214"/>
        <w:rPr>
          <w:rFonts w:ascii="宋体"/>
          <w:b/>
          <w:bCs/>
          <w:color w:val="000000" w:themeColor="text1"/>
          <w:sz w:val="32"/>
          <w:szCs w:val="32"/>
        </w:rPr>
      </w:pPr>
      <w:r>
        <w:rPr>
          <w:rFonts w:hint="eastAsia" w:ascii="宋体" w:hAnsi="宋体"/>
          <w:b/>
          <w:bCs/>
          <w:color w:val="000000" w:themeColor="text1"/>
          <w:sz w:val="32"/>
          <w:szCs w:val="32"/>
        </w:rPr>
        <w:t>投标人授权代表（签字）：</w:t>
      </w:r>
    </w:p>
    <w:p>
      <w:pPr>
        <w:spacing w:before="312" w:beforeLines="100" w:after="312" w:afterLines="100" w:line="360" w:lineRule="auto"/>
        <w:ind w:left="2256" w:leftChars="466" w:right="466" w:hanging="1278" w:hangingChars="355"/>
        <w:jc w:val="center"/>
        <w:rPr>
          <w:rFonts w:ascii="宋体"/>
          <w:b/>
          <w:color w:val="000000" w:themeColor="text1"/>
          <w:sz w:val="36"/>
          <w:szCs w:val="36"/>
        </w:rPr>
      </w:pPr>
      <w:r>
        <w:rPr>
          <w:rFonts w:hint="eastAsia" w:ascii="宋体" w:hAnsi="宋体"/>
          <w:b/>
          <w:bCs/>
          <w:color w:val="000000" w:themeColor="text1"/>
          <w:sz w:val="36"/>
          <w:szCs w:val="36"/>
        </w:rPr>
        <w:t>二</w:t>
      </w:r>
      <w:r>
        <w:rPr>
          <w:rFonts w:ascii="宋体"/>
          <w:b/>
          <w:bCs/>
          <w:color w:val="000000" w:themeColor="text1"/>
          <w:sz w:val="36"/>
          <w:szCs w:val="36"/>
        </w:rPr>
        <w:t>0</w:t>
      </w:r>
      <w:r>
        <w:rPr>
          <w:rFonts w:hint="eastAsia" w:ascii="宋体" w:hAnsi="宋体"/>
          <w:b/>
          <w:bCs/>
          <w:color w:val="000000" w:themeColor="text1"/>
          <w:sz w:val="36"/>
          <w:szCs w:val="36"/>
        </w:rPr>
        <w:t>一</w:t>
      </w:r>
      <w:r>
        <w:rPr>
          <w:rFonts w:hint="eastAsia" w:ascii="宋体" w:hAnsi="宋体"/>
          <w:b/>
          <w:color w:val="000000" w:themeColor="text1"/>
          <w:sz w:val="36"/>
          <w:szCs w:val="36"/>
        </w:rPr>
        <w:t>九年</w:t>
      </w:r>
      <w:r>
        <w:rPr>
          <w:rFonts w:ascii="宋体" w:hAnsi="宋体"/>
          <w:b/>
          <w:color w:val="000000" w:themeColor="text1"/>
          <w:sz w:val="36"/>
          <w:szCs w:val="36"/>
        </w:rPr>
        <w:t xml:space="preserve"> </w:t>
      </w:r>
      <w:r>
        <w:rPr>
          <w:rFonts w:hint="eastAsia" w:ascii="宋体" w:hAnsi="宋体"/>
          <w:b/>
          <w:color w:val="000000" w:themeColor="text1"/>
          <w:sz w:val="36"/>
          <w:szCs w:val="36"/>
        </w:rPr>
        <w:t xml:space="preserve"> 月</w:t>
      </w:r>
    </w:p>
    <w:p>
      <w:pPr>
        <w:rPr>
          <w:color w:val="000000" w:themeColor="text1"/>
        </w:rPr>
      </w:pPr>
      <w:r>
        <w:rPr>
          <w:color w:val="000000" w:themeColor="text1"/>
        </w:rPr>
        <w:br w:type="page"/>
      </w:r>
    </w:p>
    <w:p>
      <w:pPr>
        <w:spacing w:before="312" w:beforeLines="100" w:line="360" w:lineRule="auto"/>
        <w:jc w:val="left"/>
        <w:rPr>
          <w:rFonts w:ascii="宋体"/>
          <w:b/>
          <w:bCs/>
          <w:color w:val="000000" w:themeColor="text1"/>
          <w:sz w:val="30"/>
          <w:szCs w:val="30"/>
          <w:lang w:val="zh-CN"/>
        </w:rPr>
      </w:pPr>
      <w:r>
        <w:rPr>
          <w:rFonts w:hint="eastAsia" w:ascii="宋体" w:hAnsi="宋体"/>
          <w:b/>
          <w:bCs/>
          <w:color w:val="000000" w:themeColor="text1"/>
          <w:sz w:val="30"/>
          <w:szCs w:val="30"/>
          <w:lang w:val="zh-CN"/>
        </w:rPr>
        <w:t>格式（参考）说明：</w:t>
      </w:r>
    </w:p>
    <w:p>
      <w:pPr>
        <w:spacing w:before="120" w:after="120" w:line="578" w:lineRule="auto"/>
        <w:jc w:val="center"/>
        <w:rPr>
          <w:rFonts w:ascii="黑体" w:hAnsi="黑体" w:eastAsia="黑体"/>
          <w:b/>
          <w:color w:val="000000" w:themeColor="text1"/>
          <w:sz w:val="36"/>
          <w:szCs w:val="36"/>
        </w:rPr>
      </w:pPr>
      <w:bookmarkStart w:id="117" w:name="_Toc494702270"/>
      <w:bookmarkStart w:id="118" w:name="_Toc494665000"/>
      <w:bookmarkStart w:id="119" w:name="_Toc494745317"/>
      <w:bookmarkStart w:id="120" w:name="_Toc494721100"/>
      <w:bookmarkStart w:id="121" w:name="_Toc494665553"/>
      <w:bookmarkStart w:id="122" w:name="_Toc494665950"/>
      <w:r>
        <w:rPr>
          <w:rFonts w:hint="eastAsia" w:ascii="黑体" w:hAnsi="黑体" w:eastAsia="黑体"/>
          <w:b/>
          <w:bCs/>
          <w:color w:val="000000" w:themeColor="text1"/>
          <w:sz w:val="36"/>
          <w:szCs w:val="36"/>
          <w:lang w:val="zh-CN"/>
        </w:rPr>
        <w:t>技术</w:t>
      </w:r>
      <w:r>
        <w:rPr>
          <w:rFonts w:hint="eastAsia" w:ascii="黑体" w:hAnsi="黑体" w:eastAsia="黑体"/>
          <w:b/>
          <w:color w:val="000000" w:themeColor="text1"/>
          <w:sz w:val="36"/>
          <w:szCs w:val="36"/>
        </w:rPr>
        <w:t>、服务文件组成</w:t>
      </w:r>
      <w:bookmarkEnd w:id="117"/>
      <w:bookmarkEnd w:id="118"/>
      <w:bookmarkEnd w:id="119"/>
      <w:bookmarkEnd w:id="120"/>
      <w:bookmarkEnd w:id="121"/>
      <w:bookmarkEnd w:id="122"/>
    </w:p>
    <w:p>
      <w:pPr>
        <w:autoSpaceDE w:val="0"/>
        <w:autoSpaceDN w:val="0"/>
        <w:adjustRightInd w:val="0"/>
        <w:spacing w:before="156" w:beforeLines="50" w:after="156" w:afterLines="50" w:line="360" w:lineRule="auto"/>
        <w:ind w:firstLine="480" w:firstLineChars="200"/>
        <w:rPr>
          <w:rFonts w:ascii="宋体"/>
          <w:color w:val="000000" w:themeColor="text1"/>
          <w:kern w:val="0"/>
          <w:sz w:val="24"/>
          <w:szCs w:val="32"/>
        </w:rPr>
      </w:pPr>
      <w:r>
        <w:rPr>
          <w:rFonts w:hint="eastAsia" w:ascii="宋体" w:hAnsi="宋体"/>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5"/>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技术、服务文件目录（目录应涵盖下述所有资料，页码清晰以便查阅）；</w:t>
      </w:r>
    </w:p>
    <w:p>
      <w:pPr>
        <w:numPr>
          <w:ilvl w:val="0"/>
          <w:numId w:val="65"/>
        </w:numPr>
        <w:autoSpaceDE w:val="0"/>
        <w:autoSpaceDN w:val="0"/>
        <w:adjustRightInd w:val="0"/>
        <w:spacing w:line="360" w:lineRule="auto"/>
        <w:ind w:left="488" w:hanging="369"/>
        <w:rPr>
          <w:rFonts w:ascii="宋体"/>
          <w:color w:val="000000" w:themeColor="text1"/>
          <w:kern w:val="0"/>
          <w:sz w:val="24"/>
          <w:szCs w:val="32"/>
        </w:rPr>
      </w:pPr>
      <w:r>
        <w:rPr>
          <w:rFonts w:hint="eastAsia" w:ascii="宋体" w:hAnsi="宋体"/>
          <w:color w:val="000000" w:themeColor="text1"/>
          <w:kern w:val="0"/>
          <w:sz w:val="24"/>
          <w:szCs w:val="32"/>
        </w:rPr>
        <w:t>投标货物（工程或服务）介绍，项目建设（服务）方案；</w:t>
      </w:r>
    </w:p>
    <w:p>
      <w:pPr>
        <w:numPr>
          <w:ilvl w:val="0"/>
          <w:numId w:val="65"/>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技术、服务要求响应、偏离说明表（附件十九）；</w:t>
      </w:r>
    </w:p>
    <w:p>
      <w:pPr>
        <w:numPr>
          <w:ilvl w:val="0"/>
          <w:numId w:val="65"/>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技术、服务要求“★”号条款响应、偏离说明表（附件二十）；</w:t>
      </w:r>
    </w:p>
    <w:p>
      <w:pPr>
        <w:numPr>
          <w:ilvl w:val="0"/>
          <w:numId w:val="65"/>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技术、服务评议对照表（附件二十一）；</w:t>
      </w:r>
    </w:p>
    <w:p>
      <w:pPr>
        <w:numPr>
          <w:ilvl w:val="0"/>
          <w:numId w:val="65"/>
        </w:numPr>
        <w:autoSpaceDE w:val="0"/>
        <w:autoSpaceDN w:val="0"/>
        <w:adjustRightInd w:val="0"/>
        <w:spacing w:line="360" w:lineRule="auto"/>
        <w:ind w:left="490" w:hanging="370"/>
        <w:rPr>
          <w:rFonts w:ascii="宋体"/>
          <w:color w:val="000000" w:themeColor="text1"/>
          <w:kern w:val="0"/>
          <w:sz w:val="24"/>
          <w:szCs w:val="32"/>
        </w:rPr>
      </w:pPr>
      <w:r>
        <w:rPr>
          <w:rFonts w:hint="eastAsia" w:ascii="宋体" w:hAnsi="宋体"/>
          <w:color w:val="000000" w:themeColor="text1"/>
          <w:kern w:val="0"/>
          <w:sz w:val="24"/>
          <w:szCs w:val="32"/>
        </w:rPr>
        <w:t>招标文件要求提供或投标人认为需提供的其它资料。</w:t>
      </w:r>
    </w:p>
    <w:p>
      <w:pPr>
        <w:autoSpaceDE w:val="0"/>
        <w:autoSpaceDN w:val="0"/>
        <w:adjustRightInd w:val="0"/>
        <w:spacing w:line="360" w:lineRule="auto"/>
        <w:rPr>
          <w:rFonts w:ascii="宋体"/>
          <w:color w:val="000000" w:themeColor="text1"/>
          <w:kern w:val="0"/>
          <w:sz w:val="24"/>
          <w:szCs w:val="32"/>
        </w:rPr>
      </w:pPr>
    </w:p>
    <w:p>
      <w:pPr>
        <w:autoSpaceDE w:val="0"/>
        <w:autoSpaceDN w:val="0"/>
        <w:adjustRightInd w:val="0"/>
        <w:spacing w:line="360" w:lineRule="auto"/>
        <w:ind w:left="715" w:leftChars="-6" w:hanging="727" w:hangingChars="303"/>
        <w:rPr>
          <w:rFonts w:ascii="宋体"/>
          <w:color w:val="000000" w:themeColor="text1"/>
          <w:kern w:val="0"/>
          <w:sz w:val="24"/>
          <w:szCs w:val="32"/>
        </w:rPr>
      </w:pPr>
      <w:r>
        <w:rPr>
          <w:rFonts w:hint="eastAsia" w:ascii="宋体" w:hAnsi="宋体"/>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288" w:hanging="1288"/>
        <w:rPr>
          <w:rFonts w:ascii="宋体"/>
          <w:color w:val="000000" w:themeColor="text1"/>
        </w:rPr>
      </w:pPr>
      <w:bookmarkStart w:id="123" w:name="_Toc494745318"/>
      <w:bookmarkStart w:id="124" w:name="_Toc494702271"/>
      <w:bookmarkStart w:id="125" w:name="_Toc238276242"/>
      <w:bookmarkStart w:id="126" w:name="_Toc494665951"/>
      <w:bookmarkStart w:id="127" w:name="_Toc236473298"/>
      <w:bookmarkStart w:id="128" w:name="_Toc494665554"/>
      <w:bookmarkStart w:id="129" w:name="_Toc494721101"/>
      <w:bookmarkStart w:id="130" w:name="_Toc494665001"/>
      <w:bookmarkStart w:id="131" w:name="_Toc23664"/>
      <w:r>
        <w:rPr>
          <w:rFonts w:hint="eastAsia" w:ascii="宋体" w:hAnsi="宋体"/>
          <w:color w:val="000000" w:themeColor="text1"/>
        </w:rPr>
        <w:t>投标书</w:t>
      </w:r>
      <w:bookmarkEnd w:id="123"/>
      <w:bookmarkEnd w:id="124"/>
      <w:bookmarkEnd w:id="125"/>
      <w:bookmarkEnd w:id="126"/>
      <w:bookmarkEnd w:id="127"/>
      <w:bookmarkEnd w:id="128"/>
      <w:bookmarkEnd w:id="129"/>
      <w:bookmarkEnd w:id="130"/>
      <w:bookmarkEnd w:id="131"/>
    </w:p>
    <w:p>
      <w:pPr>
        <w:spacing w:line="360" w:lineRule="auto"/>
        <w:rPr>
          <w:b/>
          <w:color w:val="000000" w:themeColor="text1"/>
          <w:sz w:val="28"/>
          <w:szCs w:val="28"/>
        </w:rPr>
      </w:pPr>
      <w:r>
        <w:rPr>
          <w:rFonts w:hint="eastAsia"/>
          <w:b/>
          <w:color w:val="000000" w:themeColor="text1"/>
          <w:sz w:val="28"/>
          <w:szCs w:val="28"/>
        </w:rPr>
        <w:t>采购人</w:t>
      </w:r>
      <w:r>
        <w:rPr>
          <w:rFonts w:hint="eastAsia"/>
          <w:bCs/>
          <w:color w:val="000000" w:themeColor="text1"/>
          <w:sz w:val="28"/>
          <w:szCs w:val="28"/>
        </w:rPr>
        <w:t>（或采购代理公司）</w:t>
      </w:r>
      <w:r>
        <w:rPr>
          <w:rFonts w:hint="eastAsia"/>
          <w:b/>
          <w:color w:val="000000" w:themeColor="text1"/>
          <w:sz w:val="28"/>
          <w:szCs w:val="28"/>
        </w:rPr>
        <w:t>：</w:t>
      </w:r>
    </w:p>
    <w:p>
      <w:pPr>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依据贵方</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项目</w:t>
      </w:r>
      <w:r>
        <w:rPr>
          <w:rFonts w:hint="eastAsia" w:hAnsi="宋体"/>
          <w:color w:val="000000" w:themeColor="text1"/>
          <w:sz w:val="24"/>
        </w:rPr>
        <w:t>第</w:t>
      </w:r>
      <w:r>
        <w:rPr>
          <w:rFonts w:hAnsi="宋体"/>
          <w:color w:val="000000" w:themeColor="text1"/>
          <w:sz w:val="24"/>
          <w:u w:val="single"/>
        </w:rPr>
        <w:t xml:space="preserve">  </w:t>
      </w:r>
      <w:r>
        <w:rPr>
          <w:rFonts w:hint="eastAsia" w:hAnsi="宋体"/>
          <w:color w:val="000000" w:themeColor="text1"/>
          <w:sz w:val="24"/>
        </w:rPr>
        <w:t>包</w:t>
      </w:r>
      <w:r>
        <w:rPr>
          <w:rFonts w:hint="eastAsia" w:ascii="宋体" w:hAnsi="宋体"/>
          <w:color w:val="000000" w:themeColor="text1"/>
          <w:sz w:val="24"/>
          <w:szCs w:val="24"/>
        </w:rPr>
        <w:t>（项目编号：</w:t>
      </w:r>
      <w:r>
        <w:rPr>
          <w:rFonts w:ascii="宋体" w:hAnsi="宋体"/>
          <w:color w:val="000000" w:themeColor="text1"/>
          <w:sz w:val="24"/>
          <w:szCs w:val="24"/>
        </w:rPr>
        <w:t>_____</w:t>
      </w:r>
      <w:r>
        <w:rPr>
          <w:rFonts w:hint="eastAsia" w:ascii="宋体" w:hAnsi="宋体"/>
          <w:color w:val="000000" w:themeColor="text1"/>
          <w:sz w:val="24"/>
          <w:szCs w:val="24"/>
        </w:rPr>
        <w:t>）招标的投标邀请，我方代表</w:t>
      </w:r>
      <w:r>
        <w:rPr>
          <w:rFonts w:hint="eastAsia" w:ascii="宋体" w:hAnsi="宋体"/>
          <w:color w:val="000000" w:themeColor="text1"/>
          <w:sz w:val="24"/>
          <w:szCs w:val="24"/>
          <w:u w:val="single"/>
        </w:rPr>
        <w:t>（姓名、职务）</w:t>
      </w:r>
      <w:r>
        <w:rPr>
          <w:rFonts w:hint="eastAsia" w:ascii="宋体" w:hAnsi="宋体"/>
          <w:color w:val="000000" w:themeColor="text1"/>
          <w:sz w:val="24"/>
          <w:szCs w:val="24"/>
        </w:rPr>
        <w:t>经正式授权并代表投标人</w:t>
      </w:r>
      <w:r>
        <w:rPr>
          <w:rFonts w:hint="eastAsia" w:ascii="宋体" w:hAnsi="宋体"/>
          <w:color w:val="000000" w:themeColor="text1"/>
          <w:sz w:val="24"/>
          <w:szCs w:val="24"/>
          <w:u w:val="single"/>
        </w:rPr>
        <w:t>（投标人全称</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rPr>
        <w:t>）</w:t>
      </w:r>
      <w:r>
        <w:rPr>
          <w:rFonts w:hint="eastAsia" w:ascii="宋体" w:hAnsi="宋体"/>
          <w:color w:val="000000" w:themeColor="text1"/>
          <w:sz w:val="24"/>
          <w:szCs w:val="24"/>
        </w:rPr>
        <w:t>提交</w:t>
      </w:r>
      <w:r>
        <w:rPr>
          <w:rFonts w:hint="eastAsia" w:ascii="宋体" w:hAnsi="宋体"/>
          <w:color w:val="000000" w:themeColor="text1"/>
          <w:kern w:val="0"/>
          <w:sz w:val="24"/>
        </w:rPr>
        <w:t>“开标一览表”信封和下述文件正本份，副本份。</w:t>
      </w:r>
    </w:p>
    <w:p>
      <w:pPr>
        <w:spacing w:line="360" w:lineRule="auto"/>
        <w:ind w:left="12" w:leftChars="6" w:firstLine="472" w:firstLineChars="197"/>
        <w:rPr>
          <w:rFonts w:asci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资格证明文件；</w:t>
      </w:r>
      <w:r>
        <w:rPr>
          <w:rFonts w:ascii="宋体" w:hAnsi="宋体"/>
          <w:color w:val="000000" w:themeColor="text1"/>
          <w:sz w:val="24"/>
          <w:szCs w:val="24"/>
        </w:rPr>
        <w:t xml:space="preserve"> </w:t>
      </w:r>
    </w:p>
    <w:p>
      <w:pPr>
        <w:spacing w:line="360" w:lineRule="auto"/>
        <w:ind w:left="12" w:leftChars="6" w:firstLine="472" w:firstLineChars="197"/>
        <w:rPr>
          <w:rFonts w:asci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商务文件；</w:t>
      </w:r>
    </w:p>
    <w:p>
      <w:pPr>
        <w:spacing w:line="360" w:lineRule="auto"/>
        <w:ind w:left="12" w:leftChars="6" w:firstLine="472" w:firstLineChars="197"/>
        <w:rPr>
          <w:rFonts w:asci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技术、服务文件。</w:t>
      </w:r>
    </w:p>
    <w:p>
      <w:pPr>
        <w:spacing w:line="360" w:lineRule="auto"/>
        <w:rPr>
          <w:rFonts w:ascii="宋体"/>
          <w:b/>
          <w:color w:val="000000" w:themeColor="text1"/>
          <w:kern w:val="0"/>
          <w:sz w:val="24"/>
          <w:szCs w:val="24"/>
        </w:rPr>
      </w:pPr>
      <w:r>
        <w:rPr>
          <w:rFonts w:hint="eastAsia" w:ascii="宋体" w:hAnsi="宋体"/>
          <w:b/>
          <w:color w:val="000000" w:themeColor="text1"/>
          <w:kern w:val="0"/>
          <w:sz w:val="24"/>
          <w:szCs w:val="24"/>
        </w:rPr>
        <w:t>在此，我方宣布同意如下：</w:t>
      </w:r>
    </w:p>
    <w:p>
      <w:pPr>
        <w:spacing w:line="360" w:lineRule="auto"/>
        <w:ind w:left="12" w:leftChars="6" w:firstLine="472" w:firstLineChars="197"/>
        <w:rPr>
          <w:rFonts w:asci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．《开标一览表》中规定的应提交和交付的</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rPr>
        <w:t>（包号）</w:t>
      </w:r>
      <w:r>
        <w:rPr>
          <w:rFonts w:ascii="宋体" w:hAnsi="宋体"/>
          <w:color w:val="000000" w:themeColor="text1"/>
          <w:sz w:val="24"/>
          <w:szCs w:val="24"/>
          <w:u w:val="single"/>
        </w:rPr>
        <w:t xml:space="preserve">  </w:t>
      </w:r>
      <w:r>
        <w:rPr>
          <w:rFonts w:hint="eastAsia" w:ascii="宋体" w:hAnsi="宋体"/>
          <w:color w:val="000000" w:themeColor="text1"/>
          <w:sz w:val="24"/>
          <w:szCs w:val="24"/>
        </w:rPr>
        <w:t>货物（工程或服务）投标总价为</w:t>
      </w:r>
      <w:r>
        <w:rPr>
          <w:rFonts w:hint="eastAsia" w:ascii="宋体" w:hAnsi="宋体"/>
          <w:color w:val="000000" w:themeColor="text1"/>
          <w:sz w:val="24"/>
          <w:szCs w:val="24"/>
          <w:u w:val="single"/>
        </w:rPr>
        <w:t>（注明币种，并用大写和小写表述投标总价）</w:t>
      </w:r>
      <w:r>
        <w:rPr>
          <w:rFonts w:hint="eastAsia" w:ascii="宋体" w:hAnsi="宋体"/>
          <w:color w:val="000000" w:themeColor="text1"/>
          <w:sz w:val="24"/>
          <w:szCs w:val="24"/>
        </w:rPr>
        <w:t>；</w:t>
      </w:r>
    </w:p>
    <w:p>
      <w:pPr>
        <w:spacing w:line="360" w:lineRule="auto"/>
        <w:ind w:left="12" w:leftChars="6" w:firstLine="472" w:firstLineChars="197"/>
        <w:rPr>
          <w:rFonts w:asci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．按招标文件的约定履行合同责任和义务；</w:t>
      </w:r>
    </w:p>
    <w:p>
      <w:pPr>
        <w:spacing w:line="360" w:lineRule="auto"/>
        <w:ind w:left="12" w:leftChars="6" w:firstLine="472" w:firstLineChars="197"/>
        <w:rPr>
          <w:rFonts w:asci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．已详细审查全部招标文件，包括</w:t>
      </w:r>
      <w:r>
        <w:rPr>
          <w:rFonts w:hint="eastAsia" w:ascii="宋体" w:hAnsi="宋体"/>
          <w:color w:val="000000" w:themeColor="text1"/>
          <w:sz w:val="24"/>
          <w:szCs w:val="24"/>
          <w:u w:val="single"/>
        </w:rPr>
        <w:t>（修正或补充文件）（如果有的话）</w:t>
      </w:r>
      <w:r>
        <w:rPr>
          <w:rFonts w:hint="eastAsia" w:ascii="宋体" w:hAnsi="宋体"/>
          <w:color w:val="000000" w:themeColor="text1"/>
          <w:sz w:val="24"/>
          <w:szCs w:val="24"/>
        </w:rPr>
        <w:t>，对此无异议；</w:t>
      </w:r>
    </w:p>
    <w:p>
      <w:pPr>
        <w:spacing w:line="360" w:lineRule="auto"/>
        <w:ind w:left="12" w:leftChars="6" w:firstLine="472" w:firstLineChars="197"/>
        <w:rPr>
          <w:rFonts w:ascii="宋体"/>
          <w:color w:val="000000" w:themeColor="text1"/>
          <w:sz w:val="24"/>
          <w:szCs w:val="24"/>
        </w:rPr>
      </w:pPr>
      <w:r>
        <w:rPr>
          <w:rFonts w:ascii="宋体" w:hAnsi="宋体"/>
          <w:color w:val="000000" w:themeColor="text1"/>
          <w:sz w:val="24"/>
          <w:szCs w:val="24"/>
        </w:rPr>
        <w:t>4</w:t>
      </w:r>
      <w:r>
        <w:rPr>
          <w:rFonts w:hint="eastAsia" w:ascii="宋体" w:hAnsi="宋体"/>
          <w:color w:val="000000" w:themeColor="text1"/>
          <w:sz w:val="24"/>
          <w:szCs w:val="24"/>
        </w:rPr>
        <w:t>．投标有效期为自</w:t>
      </w:r>
      <w:r>
        <w:rPr>
          <w:rFonts w:hint="eastAsia" w:ascii="宋体" w:hAnsi="宋体"/>
          <w:color w:val="000000" w:themeColor="text1"/>
          <w:kern w:val="0"/>
          <w:sz w:val="24"/>
        </w:rPr>
        <w:t>递交投标文件截止之日</w:t>
      </w:r>
      <w:r>
        <w:rPr>
          <w:rFonts w:hint="eastAsia" w:ascii="宋体" w:hAnsi="宋体"/>
          <w:color w:val="000000" w:themeColor="text1"/>
          <w:sz w:val="24"/>
          <w:szCs w:val="24"/>
        </w:rPr>
        <w:t>起，共个日历日；</w:t>
      </w:r>
    </w:p>
    <w:p>
      <w:pPr>
        <w:spacing w:line="360" w:lineRule="auto"/>
        <w:ind w:left="12" w:leftChars="6" w:firstLine="472" w:firstLineChars="197"/>
        <w:rPr>
          <w:rFonts w:ascii="宋体"/>
          <w:color w:val="000000" w:themeColor="text1"/>
          <w:sz w:val="24"/>
          <w:szCs w:val="24"/>
        </w:rPr>
      </w:pPr>
      <w:r>
        <w:rPr>
          <w:rFonts w:ascii="宋体" w:hAnsi="宋体"/>
          <w:color w:val="000000" w:themeColor="text1"/>
          <w:sz w:val="24"/>
          <w:szCs w:val="24"/>
        </w:rPr>
        <w:t>5</w:t>
      </w:r>
      <w:r>
        <w:rPr>
          <w:rFonts w:hint="eastAsia" w:ascii="宋体" w:hAnsi="宋体"/>
          <w:color w:val="000000" w:themeColor="text1"/>
          <w:sz w:val="24"/>
          <w:szCs w:val="24"/>
        </w:rPr>
        <w:t>．接受招标文件关于不予退还投标保证金的约定；</w:t>
      </w:r>
    </w:p>
    <w:p>
      <w:pPr>
        <w:spacing w:line="360" w:lineRule="auto"/>
        <w:ind w:left="12" w:leftChars="6" w:firstLine="472" w:firstLineChars="197"/>
        <w:rPr>
          <w:rFonts w:ascii="宋体"/>
          <w:color w:val="000000" w:themeColor="text1"/>
          <w:sz w:val="24"/>
          <w:szCs w:val="24"/>
        </w:rPr>
      </w:pPr>
      <w:r>
        <w:rPr>
          <w:rFonts w:ascii="宋体" w:hAnsi="宋体"/>
          <w:color w:val="000000" w:themeColor="text1"/>
          <w:sz w:val="24"/>
          <w:szCs w:val="24"/>
        </w:rPr>
        <w:t>6</w:t>
      </w:r>
      <w:r>
        <w:rPr>
          <w:rFonts w:hint="eastAsia" w:ascii="宋体" w:hAnsi="宋体"/>
          <w:color w:val="000000" w:themeColor="text1"/>
          <w:sz w:val="24"/>
          <w:szCs w:val="24"/>
        </w:rPr>
        <w:t>．提供按照贵方可能要求的与投标有关的一切数据或资料；</w:t>
      </w:r>
    </w:p>
    <w:p>
      <w:pPr>
        <w:spacing w:line="360" w:lineRule="auto"/>
        <w:ind w:left="12" w:leftChars="6" w:firstLine="472" w:firstLineChars="197"/>
        <w:rPr>
          <w:rFonts w:ascii="宋体"/>
          <w:color w:val="000000" w:themeColor="text1"/>
          <w:sz w:val="24"/>
          <w:szCs w:val="24"/>
        </w:rPr>
      </w:pPr>
      <w:r>
        <w:rPr>
          <w:rFonts w:ascii="宋体" w:hAnsi="宋体"/>
          <w:color w:val="000000" w:themeColor="text1"/>
          <w:sz w:val="24"/>
          <w:szCs w:val="24"/>
        </w:rPr>
        <w:t>7</w:t>
      </w:r>
      <w:r>
        <w:rPr>
          <w:rFonts w:hint="eastAsia" w:ascii="宋体" w:hAnsi="宋体"/>
          <w:color w:val="000000" w:themeColor="text1"/>
          <w:sz w:val="24"/>
          <w:szCs w:val="24"/>
        </w:rPr>
        <w:t>．与投标有关的一切正式往来信函请寄：。</w:t>
      </w:r>
    </w:p>
    <w:p>
      <w:pPr>
        <w:autoSpaceDE w:val="0"/>
        <w:autoSpaceDN w:val="0"/>
        <w:adjustRightInd w:val="0"/>
        <w:spacing w:line="400" w:lineRule="exact"/>
        <w:ind w:right="246" w:firstLine="480" w:firstLineChars="200"/>
        <w:rPr>
          <w:rFonts w:ascii="宋体"/>
          <w:color w:val="000000" w:themeColor="text1"/>
          <w:kern w:val="0"/>
          <w:sz w:val="24"/>
          <w:szCs w:val="24"/>
        </w:rPr>
      </w:pPr>
    </w:p>
    <w:p>
      <w:pPr>
        <w:spacing w:line="360" w:lineRule="auto"/>
        <w:ind w:left="12" w:leftChars="6" w:firstLine="472" w:firstLineChars="197"/>
        <w:rPr>
          <w:rFonts w:ascii="宋体"/>
          <w:color w:val="000000" w:themeColor="text1"/>
          <w:sz w:val="24"/>
          <w:szCs w:val="24"/>
        </w:rPr>
      </w:pPr>
      <w:r>
        <w:rPr>
          <w:rFonts w:hint="eastAsia" w:ascii="宋体" w:hAnsi="宋体"/>
          <w:color w:val="000000" w:themeColor="text1"/>
          <w:sz w:val="24"/>
          <w:szCs w:val="24"/>
        </w:rPr>
        <w:t>投标人：</w:t>
      </w:r>
    </w:p>
    <w:p>
      <w:pPr>
        <w:spacing w:line="360" w:lineRule="auto"/>
        <w:ind w:left="12" w:leftChars="6" w:firstLine="472" w:firstLineChars="197"/>
        <w:rPr>
          <w:rFonts w:ascii="宋体"/>
          <w:color w:val="000000" w:themeColor="text1"/>
          <w:sz w:val="24"/>
          <w:szCs w:val="24"/>
        </w:rPr>
      </w:pPr>
      <w:r>
        <w:rPr>
          <w:rFonts w:hint="eastAsia" w:ascii="宋体" w:hAnsi="宋体"/>
          <w:color w:val="000000" w:themeColor="text1"/>
          <w:sz w:val="24"/>
          <w:szCs w:val="24"/>
        </w:rPr>
        <w:t>地</w:t>
      </w:r>
      <w:r>
        <w:rPr>
          <w:rFonts w:ascii="宋体" w:hAnsi="宋体"/>
          <w:color w:val="000000" w:themeColor="text1"/>
          <w:sz w:val="24"/>
          <w:szCs w:val="24"/>
        </w:rPr>
        <w:t xml:space="preserve">  </w:t>
      </w:r>
      <w:r>
        <w:rPr>
          <w:rFonts w:hint="eastAsia" w:ascii="宋体" w:hAnsi="宋体"/>
          <w:color w:val="000000" w:themeColor="text1"/>
          <w:sz w:val="24"/>
          <w:szCs w:val="24"/>
        </w:rPr>
        <w:t>址：</w:t>
      </w:r>
    </w:p>
    <w:p>
      <w:pPr>
        <w:spacing w:line="360" w:lineRule="auto"/>
        <w:ind w:left="12" w:leftChars="6" w:firstLine="472" w:firstLineChars="197"/>
        <w:rPr>
          <w:rFonts w:ascii="宋体"/>
          <w:color w:val="000000" w:themeColor="text1"/>
          <w:sz w:val="24"/>
          <w:szCs w:val="24"/>
        </w:rPr>
      </w:pPr>
      <w:r>
        <w:rPr>
          <w:rFonts w:hint="eastAsia" w:ascii="宋体" w:hAnsi="宋体"/>
          <w:color w:val="000000" w:themeColor="text1"/>
          <w:sz w:val="24"/>
          <w:szCs w:val="24"/>
        </w:rPr>
        <w:t>电话</w:t>
      </w:r>
      <w:r>
        <w:rPr>
          <w:rFonts w:ascii="宋体" w:hAnsi="宋体"/>
          <w:color w:val="000000" w:themeColor="text1"/>
          <w:sz w:val="24"/>
          <w:szCs w:val="24"/>
        </w:rPr>
        <w:t>/</w:t>
      </w:r>
      <w:r>
        <w:rPr>
          <w:rFonts w:hint="eastAsia" w:ascii="宋体" w:hAnsi="宋体"/>
          <w:color w:val="000000" w:themeColor="text1"/>
          <w:sz w:val="24"/>
          <w:szCs w:val="24"/>
        </w:rPr>
        <w:t>传真：</w:t>
      </w:r>
    </w:p>
    <w:p>
      <w:pPr>
        <w:spacing w:line="360" w:lineRule="auto"/>
        <w:ind w:left="12" w:leftChars="6" w:firstLine="472" w:firstLineChars="197"/>
        <w:rPr>
          <w:rFonts w:ascii="宋体"/>
          <w:color w:val="000000" w:themeColor="text1"/>
          <w:sz w:val="24"/>
          <w:szCs w:val="24"/>
        </w:rPr>
      </w:pPr>
      <w:r>
        <w:rPr>
          <w:rFonts w:hint="eastAsia" w:ascii="宋体" w:hAnsi="宋体"/>
          <w:color w:val="000000" w:themeColor="text1"/>
          <w:sz w:val="24"/>
          <w:szCs w:val="24"/>
        </w:rPr>
        <w:t>电子邮件：</w:t>
      </w:r>
    </w:p>
    <w:p>
      <w:pPr>
        <w:spacing w:line="360" w:lineRule="auto"/>
        <w:ind w:left="12" w:leftChars="6" w:firstLine="472" w:firstLineChars="197"/>
        <w:rPr>
          <w:rFonts w:ascii="宋体"/>
          <w:color w:val="000000" w:themeColor="text1"/>
          <w:sz w:val="24"/>
          <w:szCs w:val="24"/>
        </w:rPr>
      </w:pPr>
      <w:r>
        <w:rPr>
          <w:rFonts w:hint="eastAsia" w:ascii="宋体" w:hAnsi="宋体"/>
          <w:color w:val="000000" w:themeColor="text1"/>
          <w:sz w:val="24"/>
          <w:szCs w:val="24"/>
        </w:rPr>
        <w:t>投标人</w:t>
      </w:r>
      <w:r>
        <w:rPr>
          <w:rFonts w:ascii="宋体" w:hAnsi="宋体"/>
          <w:color w:val="000000" w:themeColor="text1"/>
          <w:sz w:val="24"/>
          <w:szCs w:val="24"/>
        </w:rPr>
        <w:t>(</w:t>
      </w:r>
      <w:r>
        <w:rPr>
          <w:rFonts w:hint="eastAsia" w:ascii="宋体" w:hAnsi="宋体"/>
          <w:color w:val="000000" w:themeColor="text1"/>
          <w:sz w:val="24"/>
          <w:szCs w:val="24"/>
        </w:rPr>
        <w:t>公章</w:t>
      </w:r>
      <w:r>
        <w:rPr>
          <w:rFonts w:ascii="宋体" w:hAnsi="宋体"/>
          <w:color w:val="000000" w:themeColor="text1"/>
          <w:sz w:val="24"/>
          <w:szCs w:val="24"/>
        </w:rPr>
        <w:t>)</w:t>
      </w:r>
      <w:r>
        <w:rPr>
          <w:rFonts w:hint="eastAsia" w:ascii="宋体" w:hAnsi="宋体"/>
          <w:color w:val="000000" w:themeColor="text1"/>
          <w:sz w:val="24"/>
          <w:szCs w:val="24"/>
        </w:rPr>
        <w:t>：</w:t>
      </w:r>
    </w:p>
    <w:p>
      <w:pPr>
        <w:spacing w:line="360" w:lineRule="auto"/>
        <w:ind w:left="12" w:leftChars="6" w:firstLine="472" w:firstLineChars="197"/>
        <w:rPr>
          <w:rFonts w:ascii="宋体"/>
          <w:color w:val="000000" w:themeColor="text1"/>
          <w:sz w:val="24"/>
          <w:szCs w:val="24"/>
        </w:rPr>
      </w:pPr>
      <w:r>
        <w:rPr>
          <w:rFonts w:hint="eastAsia" w:ascii="宋体" w:hAnsi="宋体"/>
          <w:color w:val="000000" w:themeColor="text1"/>
          <w:sz w:val="24"/>
          <w:szCs w:val="24"/>
        </w:rPr>
        <w:t>投标人授权代表（签字）：</w:t>
      </w:r>
    </w:p>
    <w:p>
      <w:pPr>
        <w:spacing w:line="360" w:lineRule="auto"/>
        <w:ind w:left="12" w:leftChars="6" w:firstLine="472" w:firstLineChars="197"/>
        <w:rPr>
          <w:rFonts w:ascii="宋体"/>
          <w:color w:val="000000" w:themeColor="text1"/>
          <w:sz w:val="24"/>
          <w:szCs w:val="24"/>
        </w:rPr>
      </w:pPr>
      <w:r>
        <w:rPr>
          <w:rFonts w:hint="eastAsia" w:ascii="宋体" w:hAnsi="宋体"/>
          <w:color w:val="000000" w:themeColor="text1"/>
          <w:sz w:val="24"/>
          <w:szCs w:val="24"/>
        </w:rPr>
        <w:t>日</w:t>
      </w:r>
      <w:r>
        <w:rPr>
          <w:rFonts w:ascii="宋体" w:hAnsi="宋体"/>
          <w:color w:val="000000" w:themeColor="text1"/>
          <w:sz w:val="24"/>
          <w:szCs w:val="24"/>
        </w:rPr>
        <w:t xml:space="preserve">    </w:t>
      </w:r>
      <w:r>
        <w:rPr>
          <w:rFonts w:hint="eastAsia" w:ascii="宋体" w:hAnsi="宋体"/>
          <w:color w:val="000000" w:themeColor="text1"/>
          <w:sz w:val="24"/>
          <w:szCs w:val="24"/>
        </w:rPr>
        <w:t>期：</w:t>
      </w:r>
    </w:p>
    <w:p>
      <w:pPr>
        <w:spacing w:line="360" w:lineRule="auto"/>
        <w:ind w:left="12" w:leftChars="6" w:firstLine="472" w:firstLineChars="197"/>
        <w:rPr>
          <w:rFonts w:ascii="宋体"/>
          <w:color w:val="000000" w:themeColor="text1"/>
          <w:sz w:val="24"/>
          <w:szCs w:val="24"/>
        </w:rPr>
      </w:pPr>
      <w:r>
        <w:rPr>
          <w:rFonts w:hint="eastAsia" w:ascii="宋体" w:hAnsi="宋体"/>
          <w:color w:val="000000" w:themeColor="text1"/>
          <w:sz w:val="24"/>
          <w:szCs w:val="24"/>
        </w:rPr>
        <w:t>开户银行：</w:t>
      </w:r>
    </w:p>
    <w:p>
      <w:pPr>
        <w:spacing w:line="360" w:lineRule="auto"/>
        <w:ind w:left="12" w:leftChars="6" w:firstLine="472" w:firstLineChars="197"/>
        <w:rPr>
          <w:rFonts w:ascii="宋体"/>
          <w:color w:val="000000" w:themeColor="text1"/>
          <w:sz w:val="24"/>
          <w:szCs w:val="24"/>
        </w:rPr>
      </w:pPr>
      <w:r>
        <w:rPr>
          <w:rFonts w:hint="eastAsia" w:ascii="宋体" w:hAnsi="宋体"/>
          <w:color w:val="000000" w:themeColor="text1"/>
          <w:sz w:val="24"/>
          <w:szCs w:val="24"/>
        </w:rPr>
        <w:t>帐号</w:t>
      </w:r>
      <w:r>
        <w:rPr>
          <w:rFonts w:ascii="宋体" w:hAnsi="宋体"/>
          <w:color w:val="000000" w:themeColor="text1"/>
          <w:sz w:val="24"/>
          <w:szCs w:val="24"/>
        </w:rPr>
        <w:t>/</w:t>
      </w:r>
      <w:r>
        <w:rPr>
          <w:rFonts w:hint="eastAsia" w:ascii="宋体" w:hAnsi="宋体"/>
          <w:color w:val="000000" w:themeColor="text1"/>
          <w:sz w:val="24"/>
          <w:szCs w:val="24"/>
        </w:rPr>
        <w:t>行号：</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288" w:hanging="1288"/>
        <w:rPr>
          <w:rFonts w:ascii="宋体"/>
          <w:color w:val="000000" w:themeColor="text1"/>
        </w:rPr>
      </w:pPr>
      <w:bookmarkStart w:id="132" w:name="_Toc494665002"/>
      <w:bookmarkStart w:id="133" w:name="_Toc494665952"/>
      <w:bookmarkStart w:id="134" w:name="_Toc494721102"/>
      <w:bookmarkStart w:id="135" w:name="_Toc494745319"/>
      <w:bookmarkStart w:id="136" w:name="_Toc494702272"/>
      <w:bookmarkStart w:id="137" w:name="_Toc494665555"/>
      <w:bookmarkStart w:id="138" w:name="_Toc2373"/>
      <w:r>
        <w:rPr>
          <w:rFonts w:hint="eastAsia" w:ascii="宋体" w:hAnsi="宋体"/>
          <w:color w:val="000000" w:themeColor="text1"/>
        </w:rPr>
        <w:t>制造商中小企业声明函</w:t>
      </w:r>
      <w:bookmarkEnd w:id="132"/>
      <w:bookmarkEnd w:id="133"/>
      <w:bookmarkEnd w:id="134"/>
      <w:bookmarkEnd w:id="135"/>
      <w:bookmarkEnd w:id="136"/>
      <w:bookmarkEnd w:id="137"/>
      <w:bookmarkEnd w:id="138"/>
    </w:p>
    <w:p>
      <w:pPr>
        <w:adjustRightInd w:val="0"/>
        <w:snapToGrid w:val="0"/>
        <w:jc w:val="center"/>
        <w:rPr>
          <w:rFonts w:ascii="宋体"/>
          <w:b/>
          <w:color w:val="000000" w:themeColor="text1"/>
          <w:sz w:val="30"/>
          <w:szCs w:val="30"/>
          <w:lang w:val="zh-CN"/>
        </w:rPr>
      </w:pPr>
      <w:r>
        <w:rPr>
          <w:rFonts w:hint="eastAsia" w:ascii="宋体" w:hAnsi="宋体"/>
          <w:b/>
          <w:color w:val="000000" w:themeColor="text1"/>
          <w:sz w:val="30"/>
          <w:szCs w:val="30"/>
          <w:lang w:val="zh-CN"/>
        </w:rPr>
        <w:t>制造商中小企业声明函</w:t>
      </w:r>
    </w:p>
    <w:p>
      <w:pPr>
        <w:adjustRightInd w:val="0"/>
        <w:snapToGrid w:val="0"/>
        <w:spacing w:before="156" w:beforeLines="50" w:after="156" w:afterLines="50"/>
        <w:jc w:val="center"/>
        <w:rPr>
          <w:rFonts w:ascii="宋体" w:hAnsi="Courier New"/>
          <w:color w:val="000000" w:themeColor="text1"/>
          <w:sz w:val="24"/>
          <w:szCs w:val="21"/>
          <w:lang w:val="zh-CN"/>
        </w:rPr>
      </w:pPr>
      <w:r>
        <w:rPr>
          <w:rFonts w:hint="eastAsia" w:ascii="宋体" w:hAnsi="Courier New"/>
          <w:color w:val="000000" w:themeColor="text1"/>
          <w:sz w:val="24"/>
          <w:szCs w:val="21"/>
          <w:lang w:val="zh-CN"/>
        </w:rPr>
        <w:t>（适用于货物类项目）</w:t>
      </w:r>
    </w:p>
    <w:p>
      <w:pPr>
        <w:spacing w:line="360" w:lineRule="auto"/>
        <w:rPr>
          <w:b/>
          <w:color w:val="000000" w:themeColor="text1"/>
          <w:sz w:val="28"/>
          <w:szCs w:val="28"/>
        </w:rPr>
      </w:pPr>
      <w:r>
        <w:rPr>
          <w:rFonts w:hint="eastAsia"/>
          <w:b/>
          <w:color w:val="000000" w:themeColor="text1"/>
          <w:sz w:val="28"/>
          <w:szCs w:val="28"/>
        </w:rPr>
        <w:t>采购人（或采购代理公司）：</w:t>
      </w:r>
    </w:p>
    <w:p>
      <w:pPr>
        <w:spacing w:line="360" w:lineRule="auto"/>
        <w:ind w:firstLine="475" w:firstLineChars="198"/>
        <w:jc w:val="left"/>
        <w:rPr>
          <w:rFonts w:ascii="宋体"/>
          <w:color w:val="000000" w:themeColor="text1"/>
          <w:sz w:val="24"/>
          <w:szCs w:val="21"/>
          <w:lang w:val="zh-CN"/>
        </w:rPr>
      </w:pPr>
      <w:r>
        <w:rPr>
          <w:rFonts w:hint="eastAsia" w:ascii="宋体" w:hAnsi="宋体"/>
          <w:color w:val="000000" w:themeColor="text1"/>
          <w:sz w:val="24"/>
          <w:szCs w:val="21"/>
          <w:lang w:val="zh-CN"/>
        </w:rPr>
        <w:t>本公司郑重声明，根据《政府采购促进中小企业发展暂行办法》（财库〔</w:t>
      </w:r>
      <w:r>
        <w:rPr>
          <w:rFonts w:ascii="宋体" w:hAnsi="宋体"/>
          <w:color w:val="000000" w:themeColor="text1"/>
          <w:sz w:val="24"/>
          <w:szCs w:val="21"/>
          <w:lang w:val="zh-CN"/>
        </w:rPr>
        <w:t>2011</w:t>
      </w:r>
      <w:r>
        <w:rPr>
          <w:rFonts w:hint="eastAsia" w:ascii="宋体" w:hAnsi="宋体"/>
          <w:color w:val="000000" w:themeColor="text1"/>
          <w:sz w:val="24"/>
          <w:szCs w:val="21"/>
          <w:lang w:val="zh-CN"/>
        </w:rPr>
        <w:t>〕</w:t>
      </w:r>
      <w:r>
        <w:rPr>
          <w:rFonts w:ascii="宋体" w:hAnsi="宋体"/>
          <w:color w:val="000000" w:themeColor="text1"/>
          <w:sz w:val="24"/>
          <w:szCs w:val="21"/>
          <w:lang w:val="zh-CN"/>
        </w:rPr>
        <w:t>181</w:t>
      </w:r>
      <w:r>
        <w:rPr>
          <w:rFonts w:hint="eastAsia" w:ascii="宋体" w:hAnsi="宋体"/>
          <w:color w:val="000000" w:themeColor="text1"/>
          <w:sz w:val="24"/>
          <w:szCs w:val="21"/>
          <w:lang w:val="zh-CN"/>
        </w:rPr>
        <w:t>号）的规定，本公司为</w:t>
      </w:r>
      <w:r>
        <w:rPr>
          <w:rFonts w:ascii="宋体" w:hAnsi="宋体"/>
          <w:color w:val="000000" w:themeColor="text1"/>
          <w:sz w:val="24"/>
          <w:szCs w:val="21"/>
          <w:lang w:val="zh-CN"/>
        </w:rPr>
        <w:t>______</w:t>
      </w:r>
      <w:r>
        <w:rPr>
          <w:rFonts w:hint="eastAsia" w:ascii="宋体" w:hAnsi="宋体"/>
          <w:color w:val="000000" w:themeColor="text1"/>
          <w:sz w:val="24"/>
          <w:szCs w:val="21"/>
          <w:lang w:val="zh-CN"/>
        </w:rPr>
        <w:t>（请填写：中型、小型、微型）企业。本公司同时满足以下条件：</w:t>
      </w:r>
    </w:p>
    <w:p>
      <w:pPr>
        <w:spacing w:line="360" w:lineRule="auto"/>
        <w:ind w:firstLine="475" w:firstLineChars="198"/>
        <w:jc w:val="left"/>
        <w:rPr>
          <w:rFonts w:ascii="宋体"/>
          <w:color w:val="000000" w:themeColor="text1"/>
          <w:sz w:val="24"/>
          <w:szCs w:val="21"/>
          <w:lang w:val="zh-CN"/>
        </w:rPr>
      </w:pPr>
      <w:r>
        <w:rPr>
          <w:rFonts w:ascii="宋体" w:hAnsi="宋体"/>
          <w:color w:val="000000" w:themeColor="text1"/>
          <w:sz w:val="24"/>
          <w:szCs w:val="21"/>
          <w:lang w:val="zh-CN"/>
        </w:rPr>
        <w:t>1.</w:t>
      </w:r>
      <w:r>
        <w:rPr>
          <w:rFonts w:hint="eastAsia" w:ascii="宋体" w:hAnsi="宋体"/>
          <w:color w:val="000000" w:themeColor="text1"/>
          <w:sz w:val="24"/>
          <w:szCs w:val="21"/>
          <w:lang w:val="zh-CN"/>
        </w:rPr>
        <w:t>根据《工业和信息化部、国家统计局、国家发展和改革委员会、财政部关于印发中小企业划型标准规定的通知》（工信部联企业〔</w:t>
      </w:r>
      <w:r>
        <w:rPr>
          <w:rFonts w:ascii="宋体" w:hAnsi="宋体"/>
          <w:color w:val="000000" w:themeColor="text1"/>
          <w:sz w:val="24"/>
          <w:szCs w:val="21"/>
          <w:lang w:val="zh-CN"/>
        </w:rPr>
        <w:t>2011</w:t>
      </w:r>
      <w:r>
        <w:rPr>
          <w:rFonts w:hint="eastAsia" w:ascii="宋体" w:hAnsi="宋体"/>
          <w:color w:val="000000" w:themeColor="text1"/>
          <w:sz w:val="24"/>
          <w:szCs w:val="21"/>
          <w:lang w:val="zh-CN"/>
        </w:rPr>
        <w:t>〕</w:t>
      </w:r>
      <w:r>
        <w:rPr>
          <w:rFonts w:ascii="宋体" w:hAnsi="宋体"/>
          <w:color w:val="000000" w:themeColor="text1"/>
          <w:sz w:val="24"/>
          <w:szCs w:val="21"/>
          <w:lang w:val="zh-CN"/>
        </w:rPr>
        <w:t>300</w:t>
      </w:r>
      <w:r>
        <w:rPr>
          <w:rFonts w:hint="eastAsia" w:ascii="宋体" w:hAnsi="宋体"/>
          <w:color w:val="000000" w:themeColor="text1"/>
          <w:sz w:val="24"/>
          <w:szCs w:val="21"/>
          <w:lang w:val="zh-CN"/>
        </w:rPr>
        <w:t>号）规定的划分标准</w:t>
      </w:r>
      <w:r>
        <w:rPr>
          <w:rFonts w:hint="eastAsia" w:hAnsi="宋体"/>
          <w:color w:val="000000" w:themeColor="text1"/>
          <w:sz w:val="24"/>
        </w:rPr>
        <w:t>（详见《中小企业划型标准》）</w:t>
      </w:r>
      <w:r>
        <w:rPr>
          <w:rFonts w:hint="eastAsia" w:ascii="宋体" w:hAnsi="宋体"/>
          <w:color w:val="000000" w:themeColor="text1"/>
          <w:sz w:val="24"/>
          <w:szCs w:val="21"/>
          <w:lang w:val="zh-CN"/>
        </w:rPr>
        <w:t>，本公司为</w:t>
      </w:r>
      <w:r>
        <w:rPr>
          <w:rFonts w:ascii="宋体" w:hAnsi="宋体"/>
          <w:color w:val="000000" w:themeColor="text1"/>
          <w:sz w:val="24"/>
          <w:szCs w:val="21"/>
          <w:lang w:val="zh-CN"/>
        </w:rPr>
        <w:t>______</w:t>
      </w:r>
      <w:r>
        <w:rPr>
          <w:rFonts w:hint="eastAsia" w:ascii="宋体" w:hAnsi="宋体"/>
          <w:color w:val="000000" w:themeColor="text1"/>
          <w:sz w:val="24"/>
          <w:szCs w:val="21"/>
          <w:lang w:val="zh-CN"/>
        </w:rPr>
        <w:t>（请填写：中型、小型、微型）企业。</w:t>
      </w:r>
    </w:p>
    <w:p>
      <w:pPr>
        <w:spacing w:line="360" w:lineRule="auto"/>
        <w:ind w:firstLine="475" w:firstLineChars="198"/>
        <w:jc w:val="left"/>
        <w:rPr>
          <w:rFonts w:ascii="宋体"/>
          <w:color w:val="000000" w:themeColor="text1"/>
          <w:sz w:val="24"/>
          <w:szCs w:val="21"/>
          <w:lang w:val="zh-CN"/>
        </w:rPr>
      </w:pPr>
      <w:r>
        <w:rPr>
          <w:rFonts w:ascii="宋体" w:hAnsi="宋体"/>
          <w:color w:val="000000" w:themeColor="text1"/>
          <w:sz w:val="24"/>
          <w:szCs w:val="21"/>
          <w:lang w:val="zh-CN"/>
        </w:rPr>
        <w:t>2.</w:t>
      </w:r>
      <w:r>
        <w:rPr>
          <w:rFonts w:hint="eastAsia" w:ascii="宋体" w:hAnsi="宋体"/>
          <w:color w:val="000000" w:themeColor="text1"/>
          <w:sz w:val="24"/>
          <w:szCs w:val="21"/>
          <w:lang w:val="zh-CN"/>
        </w:rPr>
        <w:t>本公司授权</w:t>
      </w:r>
      <w:r>
        <w:rPr>
          <w:rFonts w:ascii="宋体" w:hAnsi="宋体"/>
          <w:color w:val="000000" w:themeColor="text1"/>
          <w:sz w:val="24"/>
          <w:szCs w:val="21"/>
          <w:u w:val="single"/>
          <w:lang w:val="zh-CN"/>
        </w:rPr>
        <w:t xml:space="preserve">  </w:t>
      </w:r>
      <w:r>
        <w:rPr>
          <w:rFonts w:hint="eastAsia" w:ascii="宋体" w:hAnsi="宋体"/>
          <w:color w:val="000000" w:themeColor="text1"/>
          <w:sz w:val="24"/>
          <w:szCs w:val="21"/>
          <w:u w:val="single"/>
          <w:lang w:val="zh-CN"/>
        </w:rPr>
        <w:t>（投标人）</w:t>
      </w:r>
      <w:r>
        <w:rPr>
          <w:rFonts w:ascii="宋体" w:hAnsi="宋体"/>
          <w:color w:val="000000" w:themeColor="text1"/>
          <w:sz w:val="24"/>
          <w:szCs w:val="21"/>
          <w:u w:val="single"/>
          <w:lang w:val="zh-CN"/>
        </w:rPr>
        <w:t xml:space="preserve">  </w:t>
      </w:r>
      <w:r>
        <w:rPr>
          <w:rFonts w:hint="eastAsia" w:ascii="宋体" w:hAnsi="宋体"/>
          <w:color w:val="000000" w:themeColor="text1"/>
          <w:sz w:val="24"/>
          <w:szCs w:val="21"/>
          <w:lang w:val="zh-CN"/>
        </w:rPr>
        <w:t>参加</w:t>
      </w:r>
      <w:r>
        <w:rPr>
          <w:rFonts w:ascii="宋体" w:hAnsi="宋体"/>
          <w:color w:val="000000" w:themeColor="text1"/>
          <w:sz w:val="24"/>
          <w:szCs w:val="21"/>
          <w:lang w:val="zh-CN"/>
        </w:rPr>
        <w:t>_</w:t>
      </w:r>
      <w:r>
        <w:rPr>
          <w:rFonts w:ascii="宋体" w:hAnsi="宋体"/>
          <w:color w:val="000000" w:themeColor="text1"/>
          <w:sz w:val="24"/>
          <w:szCs w:val="21"/>
          <w:u w:val="single"/>
          <w:lang w:val="zh-CN"/>
        </w:rPr>
        <w:t>_</w:t>
      </w:r>
      <w:r>
        <w:rPr>
          <w:rFonts w:hint="eastAsia" w:ascii="宋体" w:hAnsi="宋体"/>
          <w:color w:val="000000" w:themeColor="text1"/>
          <w:sz w:val="24"/>
          <w:szCs w:val="21"/>
          <w:u w:val="single"/>
          <w:lang w:val="zh-CN"/>
        </w:rPr>
        <w:t>（采购人）</w:t>
      </w:r>
      <w:r>
        <w:rPr>
          <w:rFonts w:ascii="宋体" w:hAnsi="宋体"/>
          <w:color w:val="000000" w:themeColor="text1"/>
          <w:sz w:val="24"/>
          <w:szCs w:val="21"/>
          <w:u w:val="single"/>
          <w:lang w:val="zh-CN"/>
        </w:rPr>
        <w:t>_</w:t>
      </w:r>
      <w:r>
        <w:rPr>
          <w:rFonts w:hint="eastAsia" w:ascii="宋体" w:hAnsi="宋体"/>
          <w:color w:val="000000" w:themeColor="text1"/>
          <w:sz w:val="24"/>
          <w:szCs w:val="21"/>
          <w:lang w:val="zh-CN"/>
        </w:rPr>
        <w:t>的</w:t>
      </w:r>
      <w:r>
        <w:rPr>
          <w:rFonts w:ascii="宋体" w:hAnsi="宋体"/>
          <w:color w:val="000000" w:themeColor="text1"/>
          <w:sz w:val="24"/>
          <w:szCs w:val="21"/>
          <w:lang w:val="zh-CN"/>
        </w:rPr>
        <w:t>__</w:t>
      </w:r>
      <w:r>
        <w:rPr>
          <w:rFonts w:ascii="宋体" w:hAnsi="宋体"/>
          <w:color w:val="000000" w:themeColor="text1"/>
          <w:sz w:val="24"/>
          <w:szCs w:val="21"/>
          <w:u w:val="single"/>
          <w:lang w:val="zh-CN"/>
        </w:rPr>
        <w:t>__</w:t>
      </w:r>
      <w:r>
        <w:rPr>
          <w:rFonts w:hint="eastAsia" w:ascii="宋体" w:hAnsi="宋体"/>
          <w:color w:val="000000" w:themeColor="text1"/>
          <w:sz w:val="24"/>
          <w:szCs w:val="21"/>
          <w:lang w:val="zh-CN"/>
        </w:rPr>
        <w:t>项目</w:t>
      </w:r>
      <w:r>
        <w:rPr>
          <w:rFonts w:hint="eastAsia" w:hAnsi="宋体"/>
          <w:color w:val="000000" w:themeColor="text1"/>
          <w:sz w:val="24"/>
        </w:rPr>
        <w:t>第</w:t>
      </w:r>
      <w:r>
        <w:rPr>
          <w:rFonts w:hAnsi="宋体"/>
          <w:color w:val="000000" w:themeColor="text1"/>
          <w:sz w:val="24"/>
          <w:u w:val="single"/>
        </w:rPr>
        <w:t xml:space="preserve">  </w:t>
      </w:r>
      <w:r>
        <w:rPr>
          <w:rFonts w:hint="eastAsia" w:hAnsi="宋体"/>
          <w:color w:val="000000" w:themeColor="text1"/>
          <w:sz w:val="24"/>
        </w:rPr>
        <w:t>包</w:t>
      </w:r>
      <w:r>
        <w:rPr>
          <w:rFonts w:hint="eastAsia" w:ascii="宋体" w:hAnsi="宋体"/>
          <w:color w:val="000000" w:themeColor="text1"/>
          <w:sz w:val="24"/>
          <w:szCs w:val="21"/>
          <w:lang w:val="zh-CN"/>
        </w:rPr>
        <w:t>（项目编号：</w:t>
      </w:r>
      <w:r>
        <w:rPr>
          <w:rFonts w:ascii="宋体" w:hAnsi="宋体"/>
          <w:color w:val="000000" w:themeColor="text1"/>
          <w:sz w:val="24"/>
          <w:szCs w:val="21"/>
          <w:lang w:val="zh-CN"/>
        </w:rPr>
        <w:t>_____</w:t>
      </w:r>
      <w:r>
        <w:rPr>
          <w:rFonts w:hint="eastAsia" w:ascii="宋体" w:hAnsi="宋体"/>
          <w:color w:val="000000" w:themeColor="text1"/>
          <w:sz w:val="24"/>
          <w:szCs w:val="21"/>
          <w:lang w:val="zh-CN"/>
        </w:rPr>
        <w:t>）采购活动提供本企业制造的货物。本条所称货物不包括使用大型企业注册商标的货物。</w:t>
      </w:r>
    </w:p>
    <w:p>
      <w:pPr>
        <w:spacing w:line="360" w:lineRule="auto"/>
        <w:ind w:firstLine="480" w:firstLineChars="200"/>
        <w:rPr>
          <w:rFonts w:ascii="宋体"/>
          <w:bCs/>
          <w:color w:val="000000" w:themeColor="text1"/>
          <w:sz w:val="24"/>
          <w:szCs w:val="24"/>
        </w:rPr>
      </w:pPr>
      <w:r>
        <w:rPr>
          <w:rFonts w:ascii="宋体" w:hAnsi="宋体"/>
          <w:bCs/>
          <w:color w:val="000000" w:themeColor="text1"/>
          <w:sz w:val="24"/>
          <w:szCs w:val="24"/>
          <w:lang w:val="zh-CN"/>
        </w:rPr>
        <w:t>3</w:t>
      </w:r>
      <w:r>
        <w:rPr>
          <w:rFonts w:ascii="宋体"/>
          <w:bCs/>
          <w:color w:val="000000" w:themeColor="text1"/>
          <w:sz w:val="24"/>
          <w:szCs w:val="24"/>
        </w:rPr>
        <w:t>.</w:t>
      </w:r>
      <w:r>
        <w:rPr>
          <w:rFonts w:hint="eastAsia" w:ascii="宋体" w:hAnsi="宋体"/>
          <w:bCs/>
          <w:color w:val="000000" w:themeColor="text1"/>
          <w:sz w:val="24"/>
          <w:szCs w:val="24"/>
        </w:rPr>
        <w:t>由本公司制造的货物清单见下表：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652" w:type="dxa"/>
            <w:vAlign w:val="center"/>
          </w:tcPr>
          <w:p>
            <w:pPr>
              <w:spacing w:line="360" w:lineRule="auto"/>
              <w:ind w:left="-23" w:leftChars="-11" w:right="-65" w:rightChars="-31"/>
              <w:jc w:val="center"/>
              <w:rPr>
                <w:rFonts w:ascii="宋体" w:cs="宋体"/>
                <w:color w:val="000000" w:themeColor="text1"/>
                <w:kern w:val="0"/>
                <w:sz w:val="24"/>
              </w:rPr>
            </w:pPr>
            <w:r>
              <w:rPr>
                <w:rFonts w:hint="eastAsia" w:ascii="宋体" w:hAnsi="宋体" w:cs="宋体"/>
                <w:color w:val="000000" w:themeColor="text1"/>
                <w:kern w:val="0"/>
                <w:sz w:val="24"/>
              </w:rPr>
              <w:t>序号</w:t>
            </w:r>
          </w:p>
        </w:tc>
        <w:tc>
          <w:tcPr>
            <w:tcW w:w="2414" w:type="dxa"/>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名称</w:t>
            </w:r>
          </w:p>
        </w:tc>
        <w:tc>
          <w:tcPr>
            <w:tcW w:w="1224" w:type="dxa"/>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品牌规格型号</w:t>
            </w:r>
          </w:p>
        </w:tc>
        <w:tc>
          <w:tcPr>
            <w:tcW w:w="907" w:type="dxa"/>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数量</w:t>
            </w:r>
          </w:p>
        </w:tc>
        <w:tc>
          <w:tcPr>
            <w:tcW w:w="1278" w:type="dxa"/>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w:t>
            </w:r>
            <w:r>
              <w:rPr>
                <w:rFonts w:ascii="宋体" w:hAnsi="宋体" w:cs="宋体"/>
                <w:color w:val="000000" w:themeColor="text1"/>
                <w:kern w:val="0"/>
                <w:sz w:val="24"/>
              </w:rPr>
              <w:t>(</w:t>
            </w:r>
            <w:r>
              <w:rPr>
                <w:rFonts w:hint="eastAsia" w:ascii="宋体" w:hAnsi="宋体" w:cs="宋体"/>
                <w:color w:val="000000" w:themeColor="text1"/>
                <w:kern w:val="0"/>
                <w:sz w:val="24"/>
              </w:rPr>
              <w:t>元</w:t>
            </w:r>
            <w:r>
              <w:rPr>
                <w:rFonts w:ascii="宋体" w:hAnsi="宋体" w:cs="宋体"/>
                <w:color w:val="000000" w:themeColor="text1"/>
                <w:kern w:val="0"/>
                <w:sz w:val="24"/>
              </w:rPr>
              <w:t>)</w:t>
            </w:r>
          </w:p>
        </w:tc>
        <w:tc>
          <w:tcPr>
            <w:tcW w:w="1843" w:type="dxa"/>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w:t>
            </w:r>
            <w:r>
              <w:rPr>
                <w:rFonts w:ascii="宋体" w:hAnsi="宋体" w:cs="宋体"/>
                <w:color w:val="000000" w:themeColor="text1"/>
                <w:kern w:val="0"/>
                <w:sz w:val="24"/>
              </w:rPr>
              <w:t>(</w:t>
            </w:r>
            <w:r>
              <w:rPr>
                <w:rFonts w:hint="eastAsia" w:ascii="宋体" w:hAnsi="宋体" w:cs="宋体"/>
                <w:color w:val="000000" w:themeColor="text1"/>
                <w:kern w:val="0"/>
                <w:sz w:val="24"/>
              </w:rPr>
              <w:t>元</w:t>
            </w:r>
            <w:r>
              <w:rPr>
                <w:rFonts w:ascii="宋体" w:hAnsi="宋体" w:cs="宋体"/>
                <w:color w:val="000000" w:themeColor="text1"/>
                <w:kern w:val="0"/>
                <w:sz w:val="24"/>
              </w:rPr>
              <w:t>)</w:t>
            </w:r>
          </w:p>
        </w:tc>
        <w:tc>
          <w:tcPr>
            <w:tcW w:w="1228" w:type="dxa"/>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7"/>
              </w:numPr>
              <w:tabs>
                <w:tab w:val="left" w:pos="82"/>
              </w:tabs>
              <w:adjustRightInd w:val="0"/>
              <w:snapToGrid w:val="0"/>
              <w:ind w:left="-2" w:firstLine="2"/>
              <w:jc w:val="center"/>
              <w:rPr>
                <w:rFonts w:ascii="宋体"/>
                <w:color w:val="000000" w:themeColor="text1"/>
                <w:sz w:val="24"/>
              </w:rPr>
            </w:pPr>
          </w:p>
        </w:tc>
        <w:tc>
          <w:tcPr>
            <w:tcW w:w="241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907" w:type="dxa"/>
            <w:vAlign w:val="center"/>
          </w:tcPr>
          <w:p>
            <w:pPr>
              <w:spacing w:line="240" w:lineRule="atLeast"/>
              <w:ind w:left="-48" w:leftChars="-23" w:right="-375" w:rightChars="-179"/>
              <w:jc w:val="center"/>
              <w:rPr>
                <w:rFonts w:ascii="宋体" w:cs="宋体"/>
                <w:color w:val="000000" w:themeColor="text1"/>
                <w:kern w:val="0"/>
                <w:sz w:val="24"/>
                <w:szCs w:val="24"/>
              </w:rPr>
            </w:pPr>
          </w:p>
        </w:tc>
        <w:tc>
          <w:tcPr>
            <w:tcW w:w="1278"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843"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8"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7"/>
              </w:numPr>
              <w:tabs>
                <w:tab w:val="left" w:pos="82"/>
              </w:tabs>
              <w:adjustRightInd w:val="0"/>
              <w:snapToGrid w:val="0"/>
              <w:ind w:left="-2" w:firstLine="2"/>
              <w:jc w:val="center"/>
              <w:rPr>
                <w:rFonts w:ascii="宋体"/>
                <w:color w:val="000000" w:themeColor="text1"/>
                <w:sz w:val="24"/>
              </w:rPr>
            </w:pPr>
          </w:p>
        </w:tc>
        <w:tc>
          <w:tcPr>
            <w:tcW w:w="241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907"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278"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843"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8"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tabs>
                <w:tab w:val="left" w:pos="82"/>
              </w:tabs>
              <w:adjustRightInd w:val="0"/>
              <w:snapToGrid w:val="0"/>
              <w:jc w:val="center"/>
              <w:rPr>
                <w:rFonts w:ascii="宋体"/>
                <w:color w:val="000000" w:themeColor="text1"/>
                <w:sz w:val="24"/>
              </w:rPr>
            </w:pPr>
            <w:r>
              <w:rPr>
                <w:rFonts w:hint="eastAsia" w:ascii="宋体" w:hAnsi="宋体"/>
                <w:color w:val="000000" w:themeColor="text1"/>
                <w:sz w:val="24"/>
              </w:rPr>
              <w:t>…</w:t>
            </w:r>
          </w:p>
        </w:tc>
        <w:tc>
          <w:tcPr>
            <w:tcW w:w="241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907"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278"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843"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8"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475" w:type="dxa"/>
            <w:gridSpan w:val="5"/>
            <w:vAlign w:val="center"/>
          </w:tcPr>
          <w:p>
            <w:pPr>
              <w:spacing w:line="240" w:lineRule="atLeast"/>
              <w:ind w:left="-48" w:leftChars="-23" w:right="-65" w:rightChars="-31"/>
              <w:jc w:val="center"/>
              <w:rPr>
                <w:rFonts w:ascii="宋体" w:cs="宋体"/>
                <w:color w:val="000000" w:themeColor="text1"/>
                <w:kern w:val="0"/>
                <w:sz w:val="24"/>
                <w:szCs w:val="24"/>
              </w:rPr>
            </w:pPr>
            <w:r>
              <w:rPr>
                <w:rFonts w:hint="eastAsia" w:ascii="宋体" w:hAnsi="宋体" w:cs="宋体"/>
                <w:color w:val="000000" w:themeColor="text1"/>
                <w:kern w:val="0"/>
                <w:sz w:val="24"/>
                <w:szCs w:val="24"/>
              </w:rPr>
              <w:t>合计</w:t>
            </w:r>
          </w:p>
        </w:tc>
        <w:tc>
          <w:tcPr>
            <w:tcW w:w="3071" w:type="dxa"/>
            <w:gridSpan w:val="2"/>
            <w:vAlign w:val="center"/>
          </w:tcPr>
          <w:p>
            <w:pPr>
              <w:spacing w:line="240" w:lineRule="atLeast"/>
              <w:ind w:left="-48" w:leftChars="-23" w:right="-65" w:rightChars="-31"/>
              <w:jc w:val="left"/>
              <w:rPr>
                <w:rFonts w:ascii="宋体" w:cs="宋体"/>
                <w:color w:val="000000" w:themeColor="text1"/>
                <w:kern w:val="0"/>
                <w:sz w:val="24"/>
                <w:szCs w:val="24"/>
              </w:rPr>
            </w:pPr>
          </w:p>
        </w:tc>
      </w:tr>
    </w:tbl>
    <w:p>
      <w:pPr>
        <w:spacing w:before="156" w:beforeLines="50" w:line="360" w:lineRule="auto"/>
        <w:ind w:firstLine="475" w:firstLineChars="198"/>
        <w:jc w:val="left"/>
        <w:rPr>
          <w:rFonts w:ascii="宋体"/>
          <w:bCs/>
          <w:color w:val="000000" w:themeColor="text1"/>
          <w:sz w:val="24"/>
          <w:szCs w:val="24"/>
        </w:rPr>
      </w:pPr>
      <w:r>
        <w:rPr>
          <w:rFonts w:hint="eastAsia" w:ascii="宋体" w:hAnsi="宋体"/>
          <w:color w:val="000000" w:themeColor="text1"/>
          <w:sz w:val="24"/>
          <w:szCs w:val="21"/>
          <w:lang w:val="zh-CN"/>
        </w:rPr>
        <w:t>本公司对上述声明的真实性负责。如有虚假，将依法承担相应责任。</w:t>
      </w:r>
    </w:p>
    <w:p>
      <w:pPr>
        <w:pStyle w:val="9"/>
        <w:spacing w:line="360" w:lineRule="auto"/>
        <w:ind w:left="960" w:hanging="960" w:hangingChars="400"/>
        <w:jc w:val="left"/>
        <w:rPr>
          <w:rFonts w:hAnsi="宋体" w:cs="Corbel"/>
          <w:color w:val="000000" w:themeColor="text1"/>
          <w:sz w:val="24"/>
        </w:rPr>
      </w:pPr>
      <w:r>
        <w:rPr>
          <w:rFonts w:hint="eastAsia" w:hAnsi="宋体"/>
          <w:bCs/>
          <w:color w:val="000000" w:themeColor="text1"/>
          <w:sz w:val="24"/>
          <w:szCs w:val="24"/>
        </w:rPr>
        <w:t>说明：</w:t>
      </w:r>
      <w:r>
        <w:rPr>
          <w:rFonts w:hAnsi="宋体" w:cs="Corbel"/>
          <w:color w:val="000000" w:themeColor="text1"/>
          <w:sz w:val="24"/>
        </w:rPr>
        <w:t>1</w:t>
      </w:r>
      <w:r>
        <w:rPr>
          <w:rFonts w:hint="eastAsia" w:hAnsi="宋体" w:cs="Corbel"/>
          <w:color w:val="000000" w:themeColor="text1"/>
          <w:sz w:val="24"/>
        </w:rPr>
        <w:t>、投标人所投货物为自己制造的，也应按本声明函格式填写。</w:t>
      </w:r>
    </w:p>
    <w:p>
      <w:pPr>
        <w:pStyle w:val="9"/>
        <w:spacing w:line="360" w:lineRule="auto"/>
        <w:ind w:left="958" w:leftChars="342" w:hanging="240" w:hangingChars="100"/>
        <w:jc w:val="left"/>
        <w:rPr>
          <w:rFonts w:hAnsi="宋体"/>
          <w:color w:val="000000" w:themeColor="text1"/>
          <w:sz w:val="24"/>
        </w:rPr>
      </w:pPr>
      <w:r>
        <w:rPr>
          <w:rFonts w:hAnsi="宋体"/>
          <w:color w:val="000000" w:themeColor="text1"/>
          <w:sz w:val="24"/>
        </w:rPr>
        <w:t>2</w:t>
      </w:r>
      <w:r>
        <w:rPr>
          <w:rFonts w:hint="eastAsia" w:hAnsi="宋体"/>
          <w:color w:val="000000" w:themeColor="text1"/>
          <w:sz w:val="24"/>
        </w:rPr>
        <w:t>、组成联合体的大中型企业和其他自然人、法人或者其他组织，与小型、微型企业之间不得存在投资关系。</w:t>
      </w:r>
    </w:p>
    <w:p>
      <w:pPr>
        <w:pStyle w:val="9"/>
        <w:spacing w:line="360" w:lineRule="auto"/>
        <w:ind w:left="958" w:leftChars="342" w:hanging="240" w:hangingChars="100"/>
        <w:jc w:val="left"/>
        <w:rPr>
          <w:rFonts w:hAnsi="宋体"/>
          <w:bCs/>
          <w:color w:val="000000" w:themeColor="text1"/>
          <w:sz w:val="24"/>
          <w:szCs w:val="24"/>
        </w:rPr>
      </w:pPr>
      <w:r>
        <w:rPr>
          <w:rFonts w:hAnsi="宋体"/>
          <w:color w:val="000000" w:themeColor="text1"/>
          <w:sz w:val="24"/>
        </w:rPr>
        <w:t>3</w:t>
      </w:r>
      <w:r>
        <w:rPr>
          <w:rFonts w:hint="eastAsia" w:hAnsi="宋体"/>
          <w:color w:val="000000" w:themeColor="text1"/>
          <w:sz w:val="24"/>
        </w:rPr>
        <w:t>、如以联合体方式参与本项目投标的供应商，则应由联合体双方签字盖章。</w:t>
      </w:r>
    </w:p>
    <w:p>
      <w:pPr>
        <w:spacing w:before="100" w:beforeAutospacing="1" w:after="100" w:afterAutospacing="1"/>
        <w:ind w:firstLine="3316" w:firstLineChars="1382"/>
        <w:rPr>
          <w:rFonts w:ascii="宋体"/>
          <w:color w:val="000000" w:themeColor="text1"/>
          <w:sz w:val="24"/>
          <w:szCs w:val="21"/>
          <w:lang w:val="zh-CN"/>
        </w:rPr>
      </w:pPr>
      <w:r>
        <w:rPr>
          <w:rFonts w:hint="eastAsia" w:ascii="宋体" w:hAnsi="宋体"/>
          <w:color w:val="000000" w:themeColor="text1"/>
          <w:sz w:val="24"/>
          <w:szCs w:val="21"/>
          <w:lang w:val="zh-CN"/>
        </w:rPr>
        <w:t>制造商（公章）：</w:t>
      </w:r>
    </w:p>
    <w:p>
      <w:pPr>
        <w:spacing w:before="100" w:beforeAutospacing="1" w:after="100" w:afterAutospacing="1"/>
        <w:ind w:firstLine="3316" w:firstLineChars="1382"/>
      </w:pPr>
      <w:r>
        <w:rPr>
          <w:rFonts w:hint="eastAsia" w:ascii="宋体" w:hAnsi="宋体"/>
          <w:color w:val="000000" w:themeColor="text1"/>
          <w:sz w:val="24"/>
          <w:szCs w:val="21"/>
          <w:lang w:val="zh-CN"/>
        </w:rPr>
        <w:t>制造商法定代表人（签字或盖章）：</w:t>
      </w:r>
    </w:p>
    <w:p>
      <w:pPr>
        <w:ind w:firstLine="3360" w:firstLineChars="1600"/>
      </w:pPr>
      <w:r>
        <w:rPr>
          <w:rFonts w:hint="eastAsia"/>
          <w:color w:val="000000" w:themeColor="text1"/>
        </w:rPr>
        <w:t>日      期：</w:t>
      </w:r>
    </w:p>
    <w:p>
      <w:pPr>
        <w:pStyle w:val="3"/>
        <w:numPr>
          <w:ilvl w:val="0"/>
          <w:numId w:val="66"/>
        </w:numPr>
        <w:spacing w:before="100" w:beforeAutospacing="1" w:after="156" w:afterLines="50" w:line="360" w:lineRule="auto"/>
        <w:ind w:left="1288" w:hanging="1288"/>
        <w:rPr>
          <w:rFonts w:ascii="宋体"/>
          <w:color w:val="000000" w:themeColor="text1"/>
        </w:rPr>
      </w:pPr>
      <w:bookmarkStart w:id="139" w:name="_Toc9113"/>
      <w:bookmarkStart w:id="140" w:name="_Toc494665556"/>
      <w:bookmarkStart w:id="141" w:name="_Toc494665953"/>
      <w:bookmarkStart w:id="142" w:name="_Toc456264006"/>
      <w:bookmarkStart w:id="143" w:name="_Toc494665003"/>
      <w:bookmarkStart w:id="144" w:name="_Toc494702273"/>
      <w:bookmarkStart w:id="145" w:name="_Toc494721103"/>
      <w:bookmarkStart w:id="146" w:name="_Toc494745320"/>
      <w:r>
        <w:rPr>
          <w:rFonts w:hint="eastAsia" w:ascii="宋体" w:hAnsi="宋体"/>
          <w:color w:val="000000" w:themeColor="text1"/>
        </w:rPr>
        <w:t>中小企业声明函</w:t>
      </w:r>
      <w:bookmarkEnd w:id="139"/>
      <w:bookmarkEnd w:id="140"/>
      <w:bookmarkEnd w:id="141"/>
      <w:bookmarkEnd w:id="142"/>
      <w:bookmarkEnd w:id="143"/>
      <w:bookmarkEnd w:id="144"/>
      <w:bookmarkEnd w:id="145"/>
      <w:bookmarkEnd w:id="146"/>
    </w:p>
    <w:p>
      <w:pPr>
        <w:adjustRightInd w:val="0"/>
        <w:snapToGrid w:val="0"/>
        <w:jc w:val="center"/>
        <w:rPr>
          <w:rFonts w:ascii="宋体"/>
          <w:b/>
          <w:color w:val="000000" w:themeColor="text1"/>
          <w:sz w:val="30"/>
          <w:szCs w:val="30"/>
          <w:lang w:val="zh-CN"/>
        </w:rPr>
      </w:pPr>
      <w:r>
        <w:rPr>
          <w:rFonts w:hint="eastAsia" w:ascii="宋体" w:hAnsi="宋体"/>
          <w:b/>
          <w:color w:val="000000" w:themeColor="text1"/>
          <w:sz w:val="30"/>
          <w:szCs w:val="30"/>
          <w:lang w:val="zh-CN"/>
        </w:rPr>
        <w:t>中小企业声明函</w:t>
      </w:r>
    </w:p>
    <w:p>
      <w:pPr>
        <w:adjustRightInd w:val="0"/>
        <w:snapToGrid w:val="0"/>
        <w:spacing w:before="156" w:beforeLines="50" w:after="156" w:afterLines="50"/>
        <w:jc w:val="center"/>
        <w:rPr>
          <w:rFonts w:ascii="宋体" w:hAnsi="Courier New"/>
          <w:color w:val="000000" w:themeColor="text1"/>
          <w:sz w:val="24"/>
          <w:szCs w:val="21"/>
          <w:lang w:val="zh-CN"/>
        </w:rPr>
      </w:pPr>
      <w:r>
        <w:rPr>
          <w:rFonts w:hint="eastAsia" w:ascii="宋体" w:hAnsi="Courier New"/>
          <w:color w:val="000000" w:themeColor="text1"/>
          <w:sz w:val="24"/>
          <w:szCs w:val="21"/>
          <w:lang w:val="zh-CN"/>
        </w:rPr>
        <w:t>（适用于工程类、服务类项目）</w:t>
      </w:r>
    </w:p>
    <w:p>
      <w:pPr>
        <w:spacing w:line="360" w:lineRule="auto"/>
        <w:rPr>
          <w:b/>
          <w:color w:val="000000" w:themeColor="text1"/>
          <w:sz w:val="28"/>
          <w:szCs w:val="28"/>
        </w:rPr>
      </w:pPr>
      <w:r>
        <w:rPr>
          <w:rFonts w:hint="eastAsia"/>
          <w:b/>
          <w:color w:val="000000" w:themeColor="text1"/>
          <w:sz w:val="28"/>
          <w:szCs w:val="28"/>
        </w:rPr>
        <w:t>采购人</w:t>
      </w:r>
      <w:r>
        <w:rPr>
          <w:rFonts w:hint="eastAsia"/>
          <w:bCs/>
          <w:color w:val="000000" w:themeColor="text1"/>
          <w:sz w:val="28"/>
          <w:szCs w:val="28"/>
        </w:rPr>
        <w:t>（或采购代理公司）</w:t>
      </w:r>
      <w:r>
        <w:rPr>
          <w:rFonts w:hint="eastAsia"/>
          <w:b/>
          <w:color w:val="000000" w:themeColor="text1"/>
          <w:sz w:val="28"/>
          <w:szCs w:val="28"/>
        </w:rPr>
        <w:t>：</w:t>
      </w:r>
    </w:p>
    <w:p>
      <w:pPr>
        <w:spacing w:line="360" w:lineRule="auto"/>
        <w:ind w:firstLine="475" w:firstLineChars="198"/>
        <w:jc w:val="left"/>
        <w:rPr>
          <w:rFonts w:ascii="宋体"/>
          <w:color w:val="000000" w:themeColor="text1"/>
          <w:sz w:val="24"/>
          <w:szCs w:val="21"/>
          <w:lang w:val="zh-CN"/>
        </w:rPr>
      </w:pPr>
      <w:r>
        <w:rPr>
          <w:rFonts w:hint="eastAsia" w:ascii="宋体" w:hAnsi="宋体"/>
          <w:color w:val="000000" w:themeColor="text1"/>
          <w:sz w:val="24"/>
          <w:szCs w:val="21"/>
          <w:lang w:val="zh-CN"/>
        </w:rPr>
        <w:t>本公司郑重声明，根据《政府采购促进中小企业发展暂行办法》（财库〔</w:t>
      </w:r>
      <w:r>
        <w:rPr>
          <w:rFonts w:ascii="宋体" w:hAnsi="宋体"/>
          <w:color w:val="000000" w:themeColor="text1"/>
          <w:sz w:val="24"/>
          <w:szCs w:val="21"/>
          <w:lang w:val="zh-CN"/>
        </w:rPr>
        <w:t>2011</w:t>
      </w:r>
      <w:r>
        <w:rPr>
          <w:rFonts w:hint="eastAsia" w:ascii="宋体" w:hAnsi="宋体"/>
          <w:color w:val="000000" w:themeColor="text1"/>
          <w:sz w:val="24"/>
          <w:szCs w:val="21"/>
          <w:lang w:val="zh-CN"/>
        </w:rPr>
        <w:t>〕</w:t>
      </w:r>
      <w:r>
        <w:rPr>
          <w:rFonts w:ascii="宋体" w:hAnsi="宋体"/>
          <w:color w:val="000000" w:themeColor="text1"/>
          <w:sz w:val="24"/>
          <w:szCs w:val="21"/>
          <w:lang w:val="zh-CN"/>
        </w:rPr>
        <w:t>181</w:t>
      </w:r>
      <w:r>
        <w:rPr>
          <w:rFonts w:hint="eastAsia" w:ascii="宋体" w:hAnsi="宋体"/>
          <w:color w:val="000000" w:themeColor="text1"/>
          <w:sz w:val="24"/>
          <w:szCs w:val="21"/>
          <w:lang w:val="zh-CN"/>
        </w:rPr>
        <w:t>号）的规定，本公司为</w:t>
      </w:r>
      <w:r>
        <w:rPr>
          <w:rFonts w:ascii="宋体" w:hAnsi="宋体"/>
          <w:color w:val="000000" w:themeColor="text1"/>
          <w:sz w:val="24"/>
          <w:szCs w:val="21"/>
          <w:lang w:val="zh-CN"/>
        </w:rPr>
        <w:t>______</w:t>
      </w:r>
      <w:r>
        <w:rPr>
          <w:rFonts w:hint="eastAsia" w:ascii="宋体" w:hAnsi="宋体"/>
          <w:color w:val="000000" w:themeColor="text1"/>
          <w:sz w:val="24"/>
          <w:szCs w:val="21"/>
          <w:lang w:val="zh-CN"/>
        </w:rPr>
        <w:t>（请填写：中型、小型、微型）企业。本公司同时满足以下条件：</w:t>
      </w:r>
    </w:p>
    <w:p>
      <w:pPr>
        <w:spacing w:line="360" w:lineRule="auto"/>
        <w:ind w:firstLine="475" w:firstLineChars="198"/>
        <w:jc w:val="left"/>
        <w:rPr>
          <w:rFonts w:ascii="宋体"/>
          <w:color w:val="000000" w:themeColor="text1"/>
          <w:sz w:val="24"/>
          <w:szCs w:val="21"/>
          <w:lang w:val="zh-CN"/>
        </w:rPr>
      </w:pPr>
      <w:r>
        <w:rPr>
          <w:rFonts w:ascii="宋体" w:hAnsi="宋体"/>
          <w:color w:val="000000" w:themeColor="text1"/>
          <w:sz w:val="24"/>
          <w:szCs w:val="21"/>
          <w:lang w:val="zh-CN"/>
        </w:rPr>
        <w:t>1.</w:t>
      </w:r>
      <w:r>
        <w:rPr>
          <w:rFonts w:hint="eastAsia" w:ascii="宋体" w:hAnsi="宋体"/>
          <w:color w:val="000000" w:themeColor="text1"/>
          <w:sz w:val="24"/>
          <w:szCs w:val="21"/>
          <w:lang w:val="zh-CN"/>
        </w:rPr>
        <w:t>根据《工业和信息化部、国家统计局、国家发展和改革委员会、财政部关于印发中小企业划型标准规定的通知》（工信部联企业〔</w:t>
      </w:r>
      <w:r>
        <w:rPr>
          <w:rFonts w:ascii="宋体" w:hAnsi="宋体"/>
          <w:color w:val="000000" w:themeColor="text1"/>
          <w:sz w:val="24"/>
          <w:szCs w:val="21"/>
          <w:lang w:val="zh-CN"/>
        </w:rPr>
        <w:t>2011</w:t>
      </w:r>
      <w:r>
        <w:rPr>
          <w:rFonts w:hint="eastAsia" w:ascii="宋体" w:hAnsi="宋体"/>
          <w:color w:val="000000" w:themeColor="text1"/>
          <w:sz w:val="24"/>
          <w:szCs w:val="21"/>
          <w:lang w:val="zh-CN"/>
        </w:rPr>
        <w:t>〕</w:t>
      </w:r>
      <w:r>
        <w:rPr>
          <w:rFonts w:ascii="宋体" w:hAnsi="宋体"/>
          <w:color w:val="000000" w:themeColor="text1"/>
          <w:sz w:val="24"/>
          <w:szCs w:val="21"/>
          <w:lang w:val="zh-CN"/>
        </w:rPr>
        <w:t>300</w:t>
      </w:r>
      <w:r>
        <w:rPr>
          <w:rFonts w:hint="eastAsia" w:ascii="宋体" w:hAnsi="宋体"/>
          <w:color w:val="000000" w:themeColor="text1"/>
          <w:sz w:val="24"/>
          <w:szCs w:val="21"/>
          <w:lang w:val="zh-CN"/>
        </w:rPr>
        <w:t>号）规定的划分标准</w:t>
      </w:r>
      <w:r>
        <w:rPr>
          <w:rFonts w:hint="eastAsia" w:hAnsi="宋体"/>
          <w:color w:val="000000" w:themeColor="text1"/>
          <w:sz w:val="24"/>
        </w:rPr>
        <w:t>（详见《中小企业划型标准》）</w:t>
      </w:r>
      <w:r>
        <w:rPr>
          <w:rFonts w:hint="eastAsia" w:ascii="宋体" w:hAnsi="宋体"/>
          <w:color w:val="000000" w:themeColor="text1"/>
          <w:sz w:val="24"/>
          <w:szCs w:val="21"/>
          <w:lang w:val="zh-CN"/>
        </w:rPr>
        <w:t>，本公司为</w:t>
      </w:r>
      <w:r>
        <w:rPr>
          <w:rFonts w:ascii="宋体" w:hAnsi="宋体"/>
          <w:color w:val="000000" w:themeColor="text1"/>
          <w:sz w:val="24"/>
          <w:szCs w:val="21"/>
          <w:lang w:val="zh-CN"/>
        </w:rPr>
        <w:t>______</w:t>
      </w:r>
      <w:r>
        <w:rPr>
          <w:rFonts w:hint="eastAsia" w:ascii="宋体" w:hAnsi="宋体"/>
          <w:color w:val="000000" w:themeColor="text1"/>
          <w:sz w:val="24"/>
          <w:szCs w:val="21"/>
          <w:lang w:val="zh-CN"/>
        </w:rPr>
        <w:t>（请填写：中型、小型、微型）企业。</w:t>
      </w:r>
    </w:p>
    <w:p>
      <w:pPr>
        <w:spacing w:line="360" w:lineRule="auto"/>
        <w:ind w:firstLine="475" w:firstLineChars="198"/>
        <w:jc w:val="left"/>
        <w:rPr>
          <w:rFonts w:ascii="宋体"/>
          <w:color w:val="000000" w:themeColor="text1"/>
          <w:sz w:val="24"/>
          <w:szCs w:val="21"/>
          <w:lang w:val="zh-CN"/>
        </w:rPr>
      </w:pPr>
      <w:r>
        <w:rPr>
          <w:rFonts w:ascii="宋体" w:hAnsi="宋体"/>
          <w:color w:val="000000" w:themeColor="text1"/>
          <w:sz w:val="24"/>
          <w:szCs w:val="21"/>
          <w:lang w:val="zh-CN"/>
        </w:rPr>
        <w:t>2.</w:t>
      </w:r>
      <w:r>
        <w:rPr>
          <w:rFonts w:hint="eastAsia" w:ascii="宋体" w:hAnsi="宋体"/>
          <w:color w:val="000000" w:themeColor="text1"/>
          <w:sz w:val="24"/>
          <w:szCs w:val="21"/>
          <w:lang w:val="zh-CN"/>
        </w:rPr>
        <w:t>本公司参加</w:t>
      </w:r>
      <w:r>
        <w:rPr>
          <w:rFonts w:hint="eastAsia" w:ascii="宋体" w:hAnsi="宋体"/>
          <w:color w:val="000000" w:themeColor="text1"/>
          <w:sz w:val="24"/>
          <w:szCs w:val="21"/>
          <w:u w:val="single"/>
          <w:lang w:val="zh-CN"/>
        </w:rPr>
        <w:t>（采购人）</w:t>
      </w:r>
      <w:r>
        <w:rPr>
          <w:rFonts w:hint="eastAsia" w:ascii="宋体" w:hAnsi="宋体"/>
          <w:color w:val="000000" w:themeColor="text1"/>
          <w:sz w:val="24"/>
          <w:szCs w:val="21"/>
          <w:lang w:val="zh-CN"/>
        </w:rPr>
        <w:t>的</w:t>
      </w:r>
      <w:r>
        <w:rPr>
          <w:rFonts w:hint="eastAsia" w:ascii="宋体" w:hAnsi="宋体"/>
          <w:color w:val="000000" w:themeColor="text1"/>
          <w:sz w:val="24"/>
          <w:szCs w:val="21"/>
          <w:u w:val="single"/>
        </w:rPr>
        <w:t xml:space="preserve">    </w:t>
      </w:r>
      <w:r>
        <w:rPr>
          <w:rFonts w:hint="eastAsia" w:ascii="宋体" w:hAnsi="宋体"/>
          <w:color w:val="000000" w:themeColor="text1"/>
          <w:sz w:val="24"/>
          <w:szCs w:val="21"/>
          <w:lang w:val="zh-CN"/>
        </w:rPr>
        <w:t>项目</w:t>
      </w:r>
      <w:r>
        <w:rPr>
          <w:rFonts w:hint="eastAsia" w:hAnsi="宋体"/>
          <w:color w:val="000000" w:themeColor="text1"/>
          <w:sz w:val="24"/>
        </w:rPr>
        <w:t>第</w:t>
      </w:r>
      <w:r>
        <w:rPr>
          <w:rFonts w:hAnsi="宋体"/>
          <w:color w:val="000000" w:themeColor="text1"/>
          <w:sz w:val="24"/>
          <w:u w:val="single"/>
        </w:rPr>
        <w:t xml:space="preserve">  </w:t>
      </w:r>
      <w:r>
        <w:rPr>
          <w:rFonts w:hint="eastAsia" w:hAnsi="宋体"/>
          <w:color w:val="000000" w:themeColor="text1"/>
          <w:sz w:val="24"/>
        </w:rPr>
        <w:t>包</w:t>
      </w:r>
      <w:r>
        <w:rPr>
          <w:rFonts w:hint="eastAsia" w:ascii="宋体" w:hAnsi="宋体"/>
          <w:color w:val="000000" w:themeColor="text1"/>
          <w:sz w:val="24"/>
          <w:szCs w:val="21"/>
          <w:lang w:val="zh-CN"/>
        </w:rPr>
        <w:t>（项目编号：</w:t>
      </w:r>
      <w:r>
        <w:rPr>
          <w:rFonts w:ascii="宋体" w:hAnsi="宋体"/>
          <w:color w:val="000000" w:themeColor="text1"/>
          <w:sz w:val="24"/>
          <w:szCs w:val="21"/>
          <w:lang w:val="zh-CN"/>
        </w:rPr>
        <w:t>______</w:t>
      </w:r>
      <w:r>
        <w:rPr>
          <w:rFonts w:hint="eastAsia" w:ascii="宋体" w:hAnsi="宋体"/>
          <w:color w:val="000000" w:themeColor="text1"/>
          <w:sz w:val="24"/>
          <w:szCs w:val="21"/>
          <w:lang w:val="zh-CN"/>
        </w:rPr>
        <w:t>）采购活动由本企业承担工程（或提供服务）。</w:t>
      </w:r>
    </w:p>
    <w:p>
      <w:pPr>
        <w:spacing w:line="360" w:lineRule="auto"/>
        <w:ind w:firstLine="475" w:firstLineChars="198"/>
        <w:jc w:val="left"/>
        <w:rPr>
          <w:rFonts w:ascii="宋体"/>
          <w:color w:val="000000" w:themeColor="text1"/>
          <w:sz w:val="24"/>
          <w:szCs w:val="21"/>
          <w:lang w:val="zh-CN"/>
        </w:rPr>
      </w:pPr>
      <w:r>
        <w:rPr>
          <w:rFonts w:hint="eastAsia" w:ascii="宋体" w:hAnsi="宋体"/>
          <w:color w:val="000000" w:themeColor="text1"/>
          <w:sz w:val="24"/>
          <w:szCs w:val="21"/>
          <w:lang w:val="zh-CN"/>
        </w:rPr>
        <w:t>本公司对上述声明的真实性负责。如有虚假，将依法承担相应责任。</w:t>
      </w:r>
    </w:p>
    <w:p>
      <w:pPr>
        <w:adjustRightInd w:val="0"/>
        <w:snapToGrid w:val="0"/>
        <w:spacing w:line="360" w:lineRule="auto"/>
        <w:rPr>
          <w:rFonts w:ascii="宋体"/>
          <w:color w:val="000000" w:themeColor="text1"/>
          <w:sz w:val="28"/>
          <w:szCs w:val="24"/>
        </w:rPr>
      </w:pPr>
    </w:p>
    <w:p>
      <w:pPr>
        <w:adjustRightInd w:val="0"/>
        <w:snapToGrid w:val="0"/>
        <w:spacing w:line="360" w:lineRule="auto"/>
        <w:rPr>
          <w:rFonts w:ascii="宋体"/>
          <w:color w:val="000000" w:themeColor="text1"/>
          <w:sz w:val="28"/>
          <w:szCs w:val="24"/>
        </w:rPr>
      </w:pPr>
    </w:p>
    <w:p>
      <w:pPr>
        <w:spacing w:line="360" w:lineRule="auto"/>
        <w:ind w:left="950" w:hanging="950" w:hangingChars="396"/>
        <w:jc w:val="left"/>
        <w:rPr>
          <w:rFonts w:ascii="宋体"/>
          <w:color w:val="000000" w:themeColor="text1"/>
          <w:sz w:val="24"/>
          <w:szCs w:val="21"/>
          <w:lang w:val="zh-CN"/>
        </w:rPr>
      </w:pPr>
      <w:r>
        <w:rPr>
          <w:rFonts w:hint="eastAsia" w:ascii="宋体" w:hAnsi="宋体"/>
          <w:color w:val="000000" w:themeColor="text1"/>
          <w:sz w:val="24"/>
          <w:szCs w:val="21"/>
          <w:lang w:val="zh-CN"/>
        </w:rPr>
        <w:t>说明：</w:t>
      </w:r>
      <w:r>
        <w:rPr>
          <w:rFonts w:ascii="宋体" w:hAnsi="宋体"/>
          <w:color w:val="000000" w:themeColor="text1"/>
          <w:sz w:val="24"/>
          <w:szCs w:val="21"/>
          <w:lang w:val="zh-CN"/>
        </w:rPr>
        <w:t>1.</w:t>
      </w:r>
      <w:r>
        <w:rPr>
          <w:rFonts w:hint="eastAsia" w:ascii="宋体" w:hAnsi="宋体"/>
          <w:color w:val="000000" w:themeColor="text1"/>
          <w:sz w:val="24"/>
          <w:szCs w:val="21"/>
          <w:lang w:val="zh-CN"/>
        </w:rPr>
        <w:t>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color w:val="000000" w:themeColor="text1"/>
          <w:sz w:val="24"/>
          <w:szCs w:val="21"/>
          <w:lang w:val="zh-CN"/>
        </w:rPr>
      </w:pPr>
      <w:r>
        <w:rPr>
          <w:rFonts w:ascii="宋体" w:hAnsi="宋体"/>
          <w:color w:val="000000" w:themeColor="text1"/>
          <w:sz w:val="24"/>
          <w:szCs w:val="21"/>
          <w:lang w:val="zh-CN"/>
        </w:rPr>
        <w:t>2.</w:t>
      </w:r>
      <w:r>
        <w:rPr>
          <w:rFonts w:hint="eastAsia" w:ascii="宋体" w:hAnsi="宋体"/>
          <w:color w:val="000000" w:themeColor="text1"/>
          <w:sz w:val="24"/>
          <w:szCs w:val="21"/>
          <w:lang w:val="zh-CN"/>
        </w:rPr>
        <w:t>以联合体方式参与本项目投标的供应商，应由联合体双方签字盖章。</w:t>
      </w:r>
    </w:p>
    <w:p>
      <w:pPr>
        <w:spacing w:line="360" w:lineRule="auto"/>
        <w:ind w:firstLine="480" w:firstLineChars="200"/>
        <w:jc w:val="left"/>
        <w:rPr>
          <w:rFonts w:ascii="宋体"/>
          <w:color w:val="000000" w:themeColor="text1"/>
          <w:sz w:val="24"/>
          <w:szCs w:val="21"/>
          <w:lang w:val="zh-CN"/>
        </w:rPr>
      </w:pPr>
    </w:p>
    <w:p>
      <w:pPr>
        <w:spacing w:line="360" w:lineRule="auto"/>
        <w:ind w:firstLine="480" w:firstLineChars="200"/>
        <w:jc w:val="left"/>
        <w:rPr>
          <w:rFonts w:ascii="宋体"/>
          <w:color w:val="000000" w:themeColor="text1"/>
          <w:sz w:val="24"/>
          <w:szCs w:val="21"/>
          <w:lang w:val="zh-CN"/>
        </w:rPr>
      </w:pPr>
    </w:p>
    <w:p>
      <w:pPr>
        <w:spacing w:line="360" w:lineRule="auto"/>
        <w:ind w:firstLine="480" w:firstLineChars="200"/>
        <w:jc w:val="left"/>
        <w:rPr>
          <w:rFonts w:ascii="宋体"/>
          <w:color w:val="000000" w:themeColor="text1"/>
          <w:sz w:val="24"/>
          <w:szCs w:val="21"/>
          <w:lang w:val="zh-CN"/>
        </w:rPr>
      </w:pPr>
    </w:p>
    <w:p>
      <w:pPr>
        <w:spacing w:before="100" w:beforeAutospacing="1" w:after="100" w:afterAutospacing="1" w:line="360" w:lineRule="auto"/>
        <w:ind w:firstLine="3316" w:firstLineChars="1382"/>
        <w:rPr>
          <w:rFonts w:ascii="宋体"/>
          <w:color w:val="000000" w:themeColor="text1"/>
          <w:sz w:val="24"/>
          <w:szCs w:val="21"/>
          <w:u w:val="single"/>
          <w:lang w:val="zh-CN"/>
        </w:rPr>
      </w:pPr>
      <w:r>
        <w:rPr>
          <w:rFonts w:hint="eastAsia" w:ascii="宋体" w:hAnsi="宋体"/>
          <w:color w:val="000000" w:themeColor="text1"/>
          <w:sz w:val="24"/>
          <w:szCs w:val="21"/>
          <w:lang w:val="zh-CN"/>
        </w:rPr>
        <w:t>投标人（公章）：</w:t>
      </w:r>
    </w:p>
    <w:p>
      <w:pPr>
        <w:spacing w:before="100" w:beforeAutospacing="1" w:after="100" w:afterAutospacing="1" w:line="360" w:lineRule="auto"/>
        <w:ind w:firstLine="3316" w:firstLineChars="1382"/>
        <w:rPr>
          <w:rFonts w:ascii="宋体"/>
          <w:color w:val="000000" w:themeColor="text1"/>
          <w:sz w:val="24"/>
          <w:szCs w:val="21"/>
          <w:u w:val="single"/>
          <w:lang w:val="zh-CN"/>
        </w:rPr>
      </w:pPr>
      <w:r>
        <w:rPr>
          <w:rFonts w:hint="eastAsia" w:ascii="宋体" w:hAnsi="宋体"/>
          <w:color w:val="000000" w:themeColor="text1"/>
          <w:sz w:val="24"/>
          <w:szCs w:val="21"/>
          <w:lang w:val="zh-CN"/>
        </w:rPr>
        <w:t>投标人授权代表（签字）：</w:t>
      </w:r>
    </w:p>
    <w:p>
      <w:pPr>
        <w:spacing w:before="100" w:beforeAutospacing="1" w:after="100" w:afterAutospacing="1" w:line="360" w:lineRule="auto"/>
        <w:ind w:firstLine="3316" w:firstLineChars="1382"/>
        <w:rPr>
          <w:rFonts w:ascii="宋体"/>
          <w:color w:val="000000" w:themeColor="text1"/>
          <w:sz w:val="24"/>
          <w:szCs w:val="21"/>
          <w:u w:val="single"/>
          <w:lang w:val="zh-CN"/>
        </w:rPr>
      </w:pPr>
      <w:r>
        <w:rPr>
          <w:rFonts w:hint="eastAsia" w:ascii="宋体" w:hAnsi="宋体"/>
          <w:color w:val="000000" w:themeColor="text1"/>
          <w:sz w:val="24"/>
          <w:szCs w:val="21"/>
          <w:lang w:val="zh-CN"/>
        </w:rPr>
        <w:t>投标时间：</w:t>
      </w:r>
    </w:p>
    <w:p>
      <w:pPr>
        <w:rPr>
          <w:color w:val="000000" w:themeColor="text1"/>
        </w:rPr>
        <w:sectPr>
          <w:headerReference r:id="rId7" w:type="default"/>
          <w:footerReference r:id="rId8" w:type="default"/>
          <w:pgSz w:w="11906" w:h="16838"/>
          <w:pgMar w:top="1531" w:right="1304" w:bottom="1304" w:left="1304" w:header="851" w:footer="624" w:gutter="0"/>
          <w:cols w:space="425" w:num="1"/>
          <w:docGrid w:type="linesAndChars" w:linePitch="312" w:charSpace="0"/>
        </w:sectPr>
      </w:pPr>
    </w:p>
    <w:p>
      <w:pPr>
        <w:spacing w:line="240" w:lineRule="atLeast"/>
        <w:ind w:left="-48" w:leftChars="-23" w:right="-65" w:rightChars="-31"/>
        <w:jc w:val="center"/>
        <w:rPr>
          <w:rFonts w:ascii="宋体"/>
          <w:b/>
          <w:color w:val="000000" w:themeColor="text1"/>
          <w:sz w:val="30"/>
          <w:szCs w:val="30"/>
          <w:lang w:val="zh-CN"/>
        </w:rPr>
      </w:pPr>
      <w:bookmarkStart w:id="147" w:name="_Toc476153619"/>
      <w:r>
        <w:rPr>
          <w:rFonts w:hint="eastAsia" w:ascii="宋体" w:hAnsi="宋体"/>
          <w:b/>
          <w:color w:val="000000" w:themeColor="text1"/>
          <w:sz w:val="30"/>
          <w:szCs w:val="30"/>
          <w:lang w:val="zh-CN"/>
        </w:rPr>
        <w:t>中小企业划型标准</w:t>
      </w:r>
      <w:bookmarkEnd w:id="147"/>
    </w:p>
    <w:tbl>
      <w:tblPr>
        <w:tblStyle w:val="21"/>
        <w:tblW w:w="14470" w:type="dxa"/>
        <w:jc w:val="center"/>
        <w:tblInd w:w="0" w:type="dxa"/>
        <w:tblLayout w:type="fixed"/>
        <w:tblCellMar>
          <w:top w:w="0" w:type="dxa"/>
          <w:left w:w="108" w:type="dxa"/>
          <w:bottom w:w="0" w:type="dxa"/>
          <w:right w:w="108" w:type="dxa"/>
        </w:tblCellMar>
      </w:tblPr>
      <w:tblGrid>
        <w:gridCol w:w="490"/>
        <w:gridCol w:w="2260"/>
        <w:gridCol w:w="960"/>
        <w:gridCol w:w="855"/>
        <w:gridCol w:w="941"/>
        <w:gridCol w:w="1108"/>
        <w:gridCol w:w="943"/>
        <w:gridCol w:w="998"/>
        <w:gridCol w:w="1108"/>
        <w:gridCol w:w="961"/>
        <w:gridCol w:w="1004"/>
        <w:gridCol w:w="1108"/>
        <w:gridCol w:w="883"/>
        <w:gridCol w:w="851"/>
      </w:tblGrid>
      <w:tr>
        <w:tblPrEx>
          <w:tblLayout w:type="fixed"/>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序号</w:t>
            </w:r>
          </w:p>
        </w:tc>
        <w:tc>
          <w:tcPr>
            <w:tcW w:w="2260" w:type="dxa"/>
            <w:vMerge w:val="restart"/>
            <w:tcBorders>
              <w:top w:val="single" w:color="auto" w:sz="4" w:space="0"/>
              <w:left w:val="nil"/>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行业</w:t>
            </w:r>
          </w:p>
        </w:tc>
        <w:tc>
          <w:tcPr>
            <w:tcW w:w="2756"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大型企业</w:t>
            </w:r>
          </w:p>
        </w:tc>
        <w:tc>
          <w:tcPr>
            <w:tcW w:w="3049"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中型企业</w:t>
            </w:r>
          </w:p>
        </w:tc>
        <w:tc>
          <w:tcPr>
            <w:tcW w:w="3073"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小型企业</w:t>
            </w:r>
          </w:p>
        </w:tc>
        <w:tc>
          <w:tcPr>
            <w:tcW w:w="2842"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微型企业</w:t>
            </w:r>
          </w:p>
        </w:tc>
      </w:tr>
      <w:tr>
        <w:tblPrEx>
          <w:tblLayout w:type="fixed"/>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p>
        </w:tc>
        <w:tc>
          <w:tcPr>
            <w:tcW w:w="2260" w:type="dxa"/>
            <w:vMerge w:val="continue"/>
            <w:tcBorders>
              <w:left w:val="nil"/>
              <w:bottom w:val="single" w:color="auto" w:sz="4" w:space="0"/>
              <w:right w:val="single" w:color="auto" w:sz="4" w:space="0"/>
            </w:tcBorders>
            <w:vAlign w:val="center"/>
          </w:tcPr>
          <w:p>
            <w:pPr>
              <w:spacing w:line="240" w:lineRule="atLeast"/>
              <w:ind w:left="-48" w:leftChars="-23" w:right="-65" w:rightChars="-31"/>
              <w:jc w:val="left"/>
              <w:rPr>
                <w:rFonts w:ascii="宋体" w:cs="宋体"/>
                <w:b/>
                <w:color w:val="000000" w:themeColor="text1"/>
                <w:kern w:val="0"/>
                <w:szCs w:val="21"/>
              </w:rPr>
            </w:pPr>
          </w:p>
        </w:tc>
        <w:tc>
          <w:tcPr>
            <w:tcW w:w="960"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营业收入</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万元</w:t>
            </w:r>
            <w:r>
              <w:rPr>
                <w:rFonts w:ascii="宋体" w:hAnsi="宋体" w:cs="宋体"/>
                <w:b/>
                <w:color w:val="000000" w:themeColor="text1"/>
                <w:kern w:val="0"/>
                <w:szCs w:val="21"/>
              </w:rPr>
              <w:t>)</w:t>
            </w:r>
          </w:p>
        </w:tc>
        <w:tc>
          <w:tcPr>
            <w:tcW w:w="855"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从业人员</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人</w:t>
            </w:r>
            <w:r>
              <w:rPr>
                <w:rFonts w:ascii="宋体" w:hAnsi="宋体" w:cs="宋体"/>
                <w:b/>
                <w:color w:val="000000" w:themeColor="text1"/>
                <w:kern w:val="0"/>
                <w:szCs w:val="21"/>
              </w:rPr>
              <w:t>)</w:t>
            </w:r>
          </w:p>
        </w:tc>
        <w:tc>
          <w:tcPr>
            <w:tcW w:w="941"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总资产</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万元</w:t>
            </w:r>
            <w:r>
              <w:rPr>
                <w:rFonts w:ascii="宋体" w:hAnsi="宋体" w:cs="宋体"/>
                <w:b/>
                <w:color w:val="000000" w:themeColor="text1"/>
                <w:kern w:val="0"/>
                <w:szCs w:val="21"/>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营业收入</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万元</w:t>
            </w:r>
            <w:r>
              <w:rPr>
                <w:rFonts w:ascii="宋体" w:hAnsi="宋体" w:cs="宋体"/>
                <w:b/>
                <w:color w:val="000000" w:themeColor="text1"/>
                <w:kern w:val="0"/>
                <w:szCs w:val="21"/>
              </w:rPr>
              <w:t>)</w:t>
            </w:r>
          </w:p>
        </w:tc>
        <w:tc>
          <w:tcPr>
            <w:tcW w:w="94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从业人员</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人</w:t>
            </w:r>
            <w:r>
              <w:rPr>
                <w:rFonts w:ascii="宋体" w:hAnsi="宋体" w:cs="宋体"/>
                <w:b/>
                <w:color w:val="000000" w:themeColor="text1"/>
                <w:kern w:val="0"/>
                <w:szCs w:val="21"/>
              </w:rPr>
              <w:t>)</w:t>
            </w:r>
          </w:p>
        </w:tc>
        <w:tc>
          <w:tcPr>
            <w:tcW w:w="99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总资产</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万元</w:t>
            </w:r>
            <w:r>
              <w:rPr>
                <w:rFonts w:ascii="宋体" w:hAnsi="宋体" w:cs="宋体"/>
                <w:b/>
                <w:color w:val="000000" w:themeColor="text1"/>
                <w:kern w:val="0"/>
                <w:szCs w:val="21"/>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营业收入</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万元</w:t>
            </w:r>
            <w:r>
              <w:rPr>
                <w:rFonts w:ascii="宋体" w:hAnsi="宋体" w:cs="宋体"/>
                <w:b/>
                <w:color w:val="000000" w:themeColor="text1"/>
                <w:kern w:val="0"/>
                <w:szCs w:val="21"/>
              </w:rPr>
              <w:t>)</w:t>
            </w:r>
          </w:p>
        </w:tc>
        <w:tc>
          <w:tcPr>
            <w:tcW w:w="961" w:type="dxa"/>
            <w:tcBorders>
              <w:top w:val="nil"/>
              <w:left w:val="nil"/>
              <w:bottom w:val="single" w:color="auto" w:sz="4" w:space="0"/>
              <w:right w:val="single" w:color="auto" w:sz="4" w:space="0"/>
            </w:tcBorders>
            <w:vAlign w:val="center"/>
          </w:tcPr>
          <w:p>
            <w:pPr>
              <w:spacing w:line="240" w:lineRule="atLeast"/>
              <w:ind w:left="119" w:leftChars="-23" w:right="-65" w:rightChars="-31" w:hanging="167" w:hangingChars="79"/>
              <w:jc w:val="center"/>
              <w:rPr>
                <w:rFonts w:ascii="宋体" w:cs="宋体"/>
                <w:b/>
                <w:color w:val="000000" w:themeColor="text1"/>
                <w:kern w:val="0"/>
                <w:szCs w:val="21"/>
              </w:rPr>
            </w:pPr>
            <w:r>
              <w:rPr>
                <w:rFonts w:hint="eastAsia" w:ascii="宋体" w:hAnsi="宋体" w:cs="宋体"/>
                <w:b/>
                <w:color w:val="000000" w:themeColor="text1"/>
                <w:kern w:val="0"/>
                <w:szCs w:val="21"/>
              </w:rPr>
              <w:t>从业人员</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人</w:t>
            </w:r>
            <w:r>
              <w:rPr>
                <w:rFonts w:ascii="宋体" w:hAnsi="宋体" w:cs="宋体"/>
                <w:b/>
                <w:color w:val="000000" w:themeColor="text1"/>
                <w:kern w:val="0"/>
                <w:szCs w:val="21"/>
              </w:rPr>
              <w:t>)</w:t>
            </w:r>
          </w:p>
        </w:tc>
        <w:tc>
          <w:tcPr>
            <w:tcW w:w="1004"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总资产</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万元</w:t>
            </w:r>
            <w:r>
              <w:rPr>
                <w:rFonts w:ascii="宋体" w:hAnsi="宋体" w:cs="宋体"/>
                <w:b/>
                <w:color w:val="000000" w:themeColor="text1"/>
                <w:kern w:val="0"/>
                <w:szCs w:val="21"/>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营业收入</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万元</w:t>
            </w:r>
            <w:r>
              <w:rPr>
                <w:rFonts w:ascii="宋体" w:hAnsi="宋体" w:cs="宋体"/>
                <w:b/>
                <w:color w:val="000000" w:themeColor="text1"/>
                <w:kern w:val="0"/>
                <w:szCs w:val="21"/>
              </w:rPr>
              <w:t>)</w:t>
            </w:r>
          </w:p>
        </w:tc>
        <w:tc>
          <w:tcPr>
            <w:tcW w:w="88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从业人员</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人</w:t>
            </w:r>
            <w:r>
              <w:rPr>
                <w:rFonts w:ascii="宋体" w:hAnsi="宋体" w:cs="宋体"/>
                <w:b/>
                <w:color w:val="000000" w:themeColor="text1"/>
                <w:kern w:val="0"/>
                <w:szCs w:val="21"/>
              </w:rPr>
              <w:t>)</w:t>
            </w:r>
          </w:p>
        </w:tc>
        <w:tc>
          <w:tcPr>
            <w:tcW w:w="851"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color w:val="000000" w:themeColor="text1"/>
                <w:kern w:val="0"/>
                <w:szCs w:val="21"/>
              </w:rPr>
            </w:pPr>
            <w:r>
              <w:rPr>
                <w:rFonts w:hint="eastAsia" w:ascii="宋体" w:hAnsi="宋体" w:cs="宋体"/>
                <w:b/>
                <w:color w:val="000000" w:themeColor="text1"/>
                <w:kern w:val="0"/>
                <w:szCs w:val="21"/>
              </w:rPr>
              <w:t>总资产</w:t>
            </w:r>
          </w:p>
          <w:p>
            <w:pPr>
              <w:spacing w:line="240" w:lineRule="atLeast"/>
              <w:ind w:left="-48" w:leftChars="-23" w:right="-65" w:rightChars="-31"/>
              <w:jc w:val="center"/>
              <w:rPr>
                <w:rFonts w:ascii="宋体" w:cs="宋体"/>
                <w:b/>
                <w:color w:val="000000" w:themeColor="text1"/>
                <w:kern w:val="0"/>
                <w:szCs w:val="21"/>
              </w:rPr>
            </w:pPr>
            <w:r>
              <w:rPr>
                <w:rFonts w:ascii="宋体" w:hAnsi="宋体" w:cs="宋体"/>
                <w:b/>
                <w:color w:val="000000" w:themeColor="text1"/>
                <w:kern w:val="0"/>
                <w:szCs w:val="21"/>
              </w:rPr>
              <w:t>(</w:t>
            </w:r>
            <w:r>
              <w:rPr>
                <w:rFonts w:hint="eastAsia" w:ascii="宋体" w:hAnsi="宋体" w:cs="宋体"/>
                <w:b/>
                <w:color w:val="000000" w:themeColor="text1"/>
                <w:kern w:val="0"/>
                <w:szCs w:val="21"/>
              </w:rPr>
              <w:t>万元</w:t>
            </w:r>
            <w:r>
              <w:rPr>
                <w:rFonts w:ascii="宋体" w:hAnsi="宋体" w:cs="宋体"/>
                <w:b/>
                <w:color w:val="000000" w:themeColor="text1"/>
                <w:kern w:val="0"/>
                <w:szCs w:val="21"/>
              </w:rPr>
              <w:t>)</w:t>
            </w:r>
          </w:p>
        </w:tc>
      </w:tr>
      <w:tr>
        <w:tblPrEx>
          <w:tblLayout w:type="fixed"/>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vAlign w:val="center"/>
          </w:tcPr>
          <w:p>
            <w:pPr>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1</w:t>
            </w:r>
          </w:p>
        </w:tc>
        <w:tc>
          <w:tcPr>
            <w:tcW w:w="2260" w:type="dxa"/>
            <w:tcBorders>
              <w:top w:val="single" w:color="auto" w:sz="4" w:space="0"/>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农、林、牧、渔业</w:t>
            </w:r>
          </w:p>
        </w:tc>
        <w:tc>
          <w:tcPr>
            <w:tcW w:w="960" w:type="dxa"/>
            <w:tcBorders>
              <w:top w:val="single" w:color="auto" w:sz="4" w:space="0"/>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2</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工业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40000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3</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建筑业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80000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80000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4</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批发业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40000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5</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零售业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6</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交通运输业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7</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仓储业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8</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邮政业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9</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住宿业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10</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餐饮业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11</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信息传输业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12</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软件和信息技术服务业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13</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房地产开发经验</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200000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或</w:t>
            </w:r>
            <w:r>
              <w:rPr>
                <w:rFonts w:ascii="宋体" w:cs="宋体"/>
                <w:color w:val="000000" w:themeColor="text1"/>
                <w:kern w:val="0"/>
                <w:szCs w:val="21"/>
              </w:rPr>
              <w:t>,</w:t>
            </w:r>
            <w:r>
              <w:rPr>
                <w:rFonts w:hint="eastAsia" w:ascii="宋体" w:hAnsi="宋体" w:cs="宋体"/>
                <w:color w:val="000000" w:themeColor="text1"/>
                <w:kern w:val="0"/>
                <w:szCs w:val="21"/>
              </w:rPr>
              <w:t>≥</w:t>
            </w:r>
            <w:r>
              <w:rPr>
                <w:rFonts w:ascii="宋体" w:hAnsi="宋体" w:cs="宋体"/>
                <w:color w:val="000000" w:themeColor="text1"/>
                <w:kern w:val="0"/>
                <w:szCs w:val="21"/>
              </w:rPr>
              <w:t>10000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且</w:t>
            </w:r>
            <w:r>
              <w:rPr>
                <w:rFonts w:ascii="宋体" w:cs="宋体"/>
                <w:color w:val="000000" w:themeColor="text1"/>
                <w:kern w:val="0"/>
                <w:szCs w:val="21"/>
              </w:rPr>
              <w:t>,</w:t>
            </w:r>
            <w:r>
              <w:rPr>
                <w:rFonts w:hint="eastAsia" w:ascii="宋体" w:hAnsi="宋体" w:cs="宋体"/>
                <w:color w:val="000000" w:themeColor="text1"/>
                <w:kern w:val="0"/>
                <w:szCs w:val="21"/>
              </w:rPr>
              <w:t>≥</w:t>
            </w:r>
            <w:r>
              <w:rPr>
                <w:rFonts w:ascii="宋体" w:hAnsi="宋体" w:cs="宋体"/>
                <w:color w:val="000000" w:themeColor="text1"/>
                <w:kern w:val="0"/>
                <w:szCs w:val="21"/>
              </w:rPr>
              <w:t>5000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且</w:t>
            </w:r>
            <w:r>
              <w:rPr>
                <w:rFonts w:ascii="宋体" w:cs="宋体"/>
                <w:color w:val="000000" w:themeColor="text1"/>
                <w:kern w:val="0"/>
                <w:szCs w:val="21"/>
              </w:rPr>
              <w:t>,</w:t>
            </w:r>
            <w:r>
              <w:rPr>
                <w:rFonts w:hint="eastAsia" w:ascii="宋体" w:hAnsi="宋体" w:cs="宋体"/>
                <w:color w:val="000000" w:themeColor="text1"/>
                <w:kern w:val="0"/>
                <w:szCs w:val="21"/>
              </w:rPr>
              <w:t>≥</w:t>
            </w:r>
            <w:r>
              <w:rPr>
                <w:rFonts w:ascii="宋体" w:hAnsi="宋体" w:cs="宋体"/>
                <w:color w:val="000000" w:themeColor="text1"/>
                <w:kern w:val="0"/>
                <w:szCs w:val="21"/>
              </w:rPr>
              <w:t>2000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或</w:t>
            </w:r>
            <w:r>
              <w:rPr>
                <w:rFonts w:ascii="宋体" w:cs="宋体"/>
                <w:color w:val="000000" w:themeColor="text1"/>
                <w:kern w:val="0"/>
                <w:szCs w:val="21"/>
              </w:rPr>
              <w:t>,</w:t>
            </w:r>
            <w:r>
              <w:rPr>
                <w:rFonts w:hint="eastAsia" w:ascii="宋体" w:hAnsi="宋体" w:cs="宋体"/>
                <w:color w:val="000000" w:themeColor="text1"/>
                <w:kern w:val="0"/>
                <w:szCs w:val="21"/>
              </w:rPr>
              <w:t>＜</w:t>
            </w:r>
            <w:r>
              <w:rPr>
                <w:rFonts w:ascii="宋体" w:hAnsi="宋体" w:cs="宋体"/>
                <w:color w:val="000000" w:themeColor="text1"/>
                <w:kern w:val="0"/>
                <w:szCs w:val="21"/>
              </w:rPr>
              <w:t>2000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14</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物业管理</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5000</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500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15</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租赁和商务服务业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或</w:t>
            </w:r>
            <w:r>
              <w:rPr>
                <w:rFonts w:ascii="宋体" w:cs="宋体"/>
                <w:color w:val="000000" w:themeColor="text1"/>
                <w:kern w:val="0"/>
                <w:szCs w:val="21"/>
              </w:rPr>
              <w:t>,</w:t>
            </w:r>
            <w:r>
              <w:rPr>
                <w:rFonts w:hint="eastAsia" w:ascii="宋体" w:hAnsi="宋体" w:cs="宋体"/>
                <w:color w:val="000000" w:themeColor="text1"/>
                <w:kern w:val="0"/>
                <w:szCs w:val="21"/>
              </w:rPr>
              <w:t>≥</w:t>
            </w:r>
            <w:r>
              <w:rPr>
                <w:rFonts w:ascii="宋体" w:hAnsi="宋体" w:cs="宋体"/>
                <w:color w:val="000000" w:themeColor="text1"/>
                <w:kern w:val="0"/>
                <w:szCs w:val="21"/>
              </w:rPr>
              <w:t>120000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且</w:t>
            </w:r>
            <w:r>
              <w:rPr>
                <w:rFonts w:ascii="宋体" w:cs="宋体"/>
                <w:color w:val="000000" w:themeColor="text1"/>
                <w:kern w:val="0"/>
                <w:szCs w:val="21"/>
              </w:rPr>
              <w:t>,</w:t>
            </w:r>
            <w:r>
              <w:rPr>
                <w:rFonts w:hint="eastAsia" w:ascii="宋体" w:hAnsi="宋体" w:cs="宋体"/>
                <w:color w:val="000000" w:themeColor="text1"/>
                <w:kern w:val="0"/>
                <w:szCs w:val="21"/>
              </w:rPr>
              <w:t>≥</w:t>
            </w:r>
            <w:r>
              <w:rPr>
                <w:rFonts w:ascii="宋体" w:hAnsi="宋体" w:cs="宋体"/>
                <w:color w:val="000000" w:themeColor="text1"/>
                <w:kern w:val="0"/>
                <w:szCs w:val="21"/>
              </w:rPr>
              <w:t>8000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且</w:t>
            </w:r>
            <w:r>
              <w:rPr>
                <w:rFonts w:ascii="宋体" w:cs="宋体"/>
                <w:color w:val="000000" w:themeColor="text1"/>
                <w:kern w:val="0"/>
                <w:szCs w:val="21"/>
              </w:rPr>
              <w:t>,</w:t>
            </w: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或</w:t>
            </w:r>
            <w:r>
              <w:rPr>
                <w:rFonts w:ascii="宋体" w:cs="宋体"/>
                <w:color w:val="000000" w:themeColor="text1"/>
                <w:kern w:val="0"/>
                <w:szCs w:val="21"/>
              </w:rPr>
              <w:t>,</w:t>
            </w:r>
            <w:r>
              <w:rPr>
                <w:rFonts w:hint="eastAsia" w:ascii="宋体" w:hAnsi="宋体" w:cs="宋体"/>
                <w:color w:val="000000" w:themeColor="text1"/>
                <w:kern w:val="0"/>
                <w:szCs w:val="21"/>
              </w:rPr>
              <w:t>＜</w:t>
            </w:r>
            <w:r>
              <w:rPr>
                <w:rFonts w:ascii="宋体" w:hAnsi="宋体" w:cs="宋体"/>
                <w:color w:val="000000" w:themeColor="text1"/>
                <w:kern w:val="0"/>
                <w:szCs w:val="21"/>
              </w:rPr>
              <w:t>100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color w:val="000000" w:themeColor="text1"/>
                <w:kern w:val="0"/>
                <w:szCs w:val="21"/>
              </w:rPr>
            </w:pPr>
            <w:r>
              <w:rPr>
                <w:rFonts w:ascii="宋体" w:hAnsi="宋体" w:cs="宋体"/>
                <w:b/>
                <w:color w:val="000000" w:themeColor="text1"/>
                <w:kern w:val="0"/>
                <w:szCs w:val="21"/>
              </w:rPr>
              <w:t>16</w:t>
            </w:r>
          </w:p>
        </w:tc>
        <w:tc>
          <w:tcPr>
            <w:tcW w:w="2260"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color w:val="000000" w:themeColor="text1"/>
                <w:kern w:val="0"/>
                <w:szCs w:val="21"/>
              </w:rPr>
            </w:pPr>
            <w:r>
              <w:rPr>
                <w:rFonts w:hint="eastAsia" w:ascii="宋体" w:hAnsi="宋体" w:cs="宋体"/>
                <w:b/>
                <w:color w:val="000000" w:themeColor="text1"/>
                <w:kern w:val="0"/>
                <w:szCs w:val="21"/>
              </w:rPr>
              <w:t>其他未列明行业</w:t>
            </w:r>
          </w:p>
        </w:tc>
        <w:tc>
          <w:tcPr>
            <w:tcW w:w="960"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8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color w:val="000000" w:themeColor="text1"/>
                <w:kern w:val="0"/>
                <w:szCs w:val="21"/>
              </w:rPr>
            </w:pPr>
            <w:r>
              <w:rPr>
                <w:rFonts w:hint="eastAsia" w:ascii="宋体" w:hAnsi="宋体" w:cs="宋体"/>
                <w:color w:val="000000" w:themeColor="text1"/>
                <w:kern w:val="0"/>
                <w:szCs w:val="21"/>
              </w:rPr>
              <w:t>　</w:t>
            </w:r>
          </w:p>
        </w:tc>
      </w:tr>
    </w:tbl>
    <w:p>
      <w:pPr>
        <w:rPr>
          <w:color w:val="000000" w:themeColor="text1"/>
        </w:rPr>
        <w:sectPr>
          <w:pgSz w:w="16838" w:h="11906" w:orient="landscape"/>
          <w:pgMar w:top="1191" w:right="1134" w:bottom="1191" w:left="1134" w:header="851" w:footer="851" w:gutter="0"/>
          <w:cols w:space="425" w:num="1"/>
          <w:docGrid w:type="lines" w:linePitch="312" w:charSpace="0"/>
        </w:sectPr>
      </w:pPr>
    </w:p>
    <w:p>
      <w:pPr>
        <w:pStyle w:val="3"/>
        <w:numPr>
          <w:ilvl w:val="0"/>
          <w:numId w:val="66"/>
        </w:numPr>
        <w:spacing w:before="100" w:beforeAutospacing="1" w:after="156" w:afterLines="50" w:line="360" w:lineRule="auto"/>
        <w:ind w:left="1288" w:hanging="1288"/>
        <w:rPr>
          <w:rFonts w:ascii="宋体"/>
          <w:color w:val="000000" w:themeColor="text1"/>
        </w:rPr>
      </w:pPr>
      <w:bookmarkStart w:id="148" w:name="_Toc27605"/>
      <w:bookmarkStart w:id="149" w:name="_Toc494665004"/>
      <w:bookmarkStart w:id="150" w:name="_Toc494702274"/>
      <w:bookmarkStart w:id="151" w:name="_Toc494665557"/>
      <w:bookmarkStart w:id="152" w:name="_Toc494721104"/>
      <w:bookmarkStart w:id="153" w:name="_Toc494665954"/>
      <w:bookmarkStart w:id="154" w:name="_Toc494745321"/>
      <w:r>
        <w:rPr>
          <w:rFonts w:hint="eastAsia" w:ascii="宋体" w:hAnsi="宋体"/>
          <w:color w:val="000000" w:themeColor="text1"/>
        </w:rPr>
        <w:t>残疾人福利性单位声明函</w:t>
      </w:r>
      <w:bookmarkEnd w:id="148"/>
      <w:bookmarkEnd w:id="149"/>
      <w:bookmarkEnd w:id="150"/>
      <w:bookmarkEnd w:id="151"/>
      <w:bookmarkEnd w:id="152"/>
      <w:bookmarkEnd w:id="153"/>
      <w:bookmarkEnd w:id="154"/>
    </w:p>
    <w:p>
      <w:pPr>
        <w:adjustRightInd w:val="0"/>
        <w:snapToGrid w:val="0"/>
        <w:jc w:val="center"/>
        <w:rPr>
          <w:rFonts w:ascii="宋体"/>
          <w:b/>
          <w:color w:val="000000" w:themeColor="text1"/>
          <w:sz w:val="30"/>
          <w:szCs w:val="30"/>
          <w:lang w:val="zh-CN"/>
        </w:rPr>
      </w:pPr>
      <w:r>
        <w:rPr>
          <w:rFonts w:hint="eastAsia" w:ascii="宋体" w:hAnsi="宋体"/>
          <w:b/>
          <w:color w:val="000000" w:themeColor="text1"/>
          <w:sz w:val="30"/>
          <w:szCs w:val="30"/>
          <w:lang w:val="zh-CN"/>
        </w:rPr>
        <w:t>残疾人福利性单位声明函</w:t>
      </w:r>
    </w:p>
    <w:p>
      <w:pPr>
        <w:adjustRightInd w:val="0"/>
        <w:snapToGrid w:val="0"/>
        <w:spacing w:before="156" w:beforeLines="50" w:after="156" w:afterLines="50"/>
        <w:jc w:val="center"/>
        <w:rPr>
          <w:rFonts w:ascii="宋体" w:hAnsi="Courier New"/>
          <w:color w:val="000000" w:themeColor="text1"/>
          <w:sz w:val="24"/>
          <w:szCs w:val="21"/>
          <w:lang w:val="zh-CN"/>
        </w:rPr>
      </w:pPr>
      <w:r>
        <w:rPr>
          <w:rFonts w:hint="eastAsia" w:ascii="宋体" w:hAnsi="Courier New"/>
          <w:color w:val="000000" w:themeColor="text1"/>
          <w:sz w:val="24"/>
          <w:szCs w:val="21"/>
          <w:lang w:val="zh-CN"/>
        </w:rPr>
        <w:t>（适用于货物类项目）</w:t>
      </w:r>
    </w:p>
    <w:p>
      <w:pPr>
        <w:spacing w:line="360" w:lineRule="auto"/>
        <w:rPr>
          <w:b/>
          <w:color w:val="000000" w:themeColor="text1"/>
          <w:sz w:val="28"/>
          <w:szCs w:val="28"/>
        </w:rPr>
      </w:pPr>
      <w:r>
        <w:rPr>
          <w:rFonts w:hint="eastAsia"/>
          <w:b/>
          <w:color w:val="000000" w:themeColor="text1"/>
          <w:sz w:val="28"/>
          <w:szCs w:val="28"/>
        </w:rPr>
        <w:t>采购人</w:t>
      </w:r>
      <w:r>
        <w:rPr>
          <w:rFonts w:hint="eastAsia"/>
          <w:bCs/>
          <w:color w:val="000000" w:themeColor="text1"/>
          <w:sz w:val="28"/>
          <w:szCs w:val="28"/>
        </w:rPr>
        <w:t>（或采购代理公司）</w:t>
      </w:r>
      <w:r>
        <w:rPr>
          <w:rFonts w:hint="eastAsia"/>
          <w:b/>
          <w:color w:val="000000" w:themeColor="text1"/>
          <w:sz w:val="28"/>
          <w:szCs w:val="28"/>
        </w:rPr>
        <w:t>：</w:t>
      </w:r>
    </w:p>
    <w:p>
      <w:pPr>
        <w:pStyle w:val="9"/>
        <w:spacing w:line="360" w:lineRule="auto"/>
        <w:ind w:firstLine="475" w:firstLineChars="198"/>
        <w:jc w:val="left"/>
        <w:rPr>
          <w:rFonts w:hAnsi="宋体"/>
          <w:color w:val="000000" w:themeColor="text1"/>
          <w:sz w:val="24"/>
        </w:rPr>
      </w:pPr>
      <w:r>
        <w:rPr>
          <w:rFonts w:hint="eastAsia" w:hAnsi="宋体"/>
          <w:color w:val="000000" w:themeColor="text1"/>
          <w:sz w:val="24"/>
        </w:rPr>
        <w:t>本单位郑重声明，根据《财政部</w:t>
      </w:r>
      <w:r>
        <w:rPr>
          <w:rFonts w:hAnsi="宋体"/>
          <w:color w:val="000000" w:themeColor="text1"/>
          <w:sz w:val="24"/>
        </w:rPr>
        <w:t xml:space="preserve"> </w:t>
      </w:r>
      <w:r>
        <w:rPr>
          <w:rFonts w:hint="eastAsia" w:hAnsi="宋体"/>
          <w:color w:val="000000" w:themeColor="text1"/>
          <w:sz w:val="24"/>
        </w:rPr>
        <w:t>民政部</w:t>
      </w:r>
      <w:r>
        <w:rPr>
          <w:rFonts w:hAnsi="宋体"/>
          <w:color w:val="000000" w:themeColor="text1"/>
          <w:sz w:val="24"/>
        </w:rPr>
        <w:t xml:space="preserve"> </w:t>
      </w:r>
      <w:r>
        <w:rPr>
          <w:rFonts w:hint="eastAsia" w:hAnsi="宋体"/>
          <w:color w:val="000000" w:themeColor="text1"/>
          <w:sz w:val="24"/>
        </w:rPr>
        <w:t>中国残疾人联合会关于促进残疾人就业政府采购政策的通知》（财库〔</w:t>
      </w:r>
      <w:r>
        <w:rPr>
          <w:rFonts w:hAnsi="宋体"/>
          <w:color w:val="000000" w:themeColor="text1"/>
          <w:sz w:val="24"/>
        </w:rPr>
        <w:t>2017</w:t>
      </w:r>
      <w:r>
        <w:rPr>
          <w:rFonts w:hint="eastAsia" w:hAnsi="宋体"/>
          <w:color w:val="000000" w:themeColor="text1"/>
          <w:sz w:val="24"/>
        </w:rPr>
        <w:t>〕</w:t>
      </w:r>
      <w:r>
        <w:rPr>
          <w:rFonts w:hAnsi="宋体"/>
          <w:color w:val="000000" w:themeColor="text1"/>
          <w:sz w:val="24"/>
        </w:rPr>
        <w:t>141</w:t>
      </w:r>
      <w:r>
        <w:rPr>
          <w:rFonts w:hint="eastAsia" w:hAnsi="宋体"/>
          <w:color w:val="000000" w:themeColor="text1"/>
          <w:sz w:val="24"/>
        </w:rPr>
        <w:t>号）的规定，本单位为符合条件的残疾人福利性单位（详见“残疾人福利性单位应当满足的条件”）。</w:t>
      </w:r>
    </w:p>
    <w:p>
      <w:pPr>
        <w:pStyle w:val="9"/>
        <w:spacing w:line="360" w:lineRule="auto"/>
        <w:ind w:firstLine="475" w:firstLineChars="198"/>
        <w:jc w:val="left"/>
        <w:rPr>
          <w:rFonts w:hAnsi="宋体"/>
          <w:color w:val="000000" w:themeColor="text1"/>
          <w:sz w:val="24"/>
        </w:rPr>
      </w:pPr>
      <w:r>
        <w:rPr>
          <w:rFonts w:hAnsi="宋体"/>
          <w:color w:val="000000" w:themeColor="text1"/>
          <w:sz w:val="24"/>
        </w:rPr>
        <w:t>1.</w:t>
      </w:r>
      <w:r>
        <w:rPr>
          <w:rFonts w:hint="eastAsia" w:hAnsi="宋体"/>
          <w:color w:val="000000" w:themeColor="text1"/>
          <w:sz w:val="24"/>
        </w:rPr>
        <w:t>本单位授权</w:t>
      </w:r>
      <w:r>
        <w:rPr>
          <w:rFonts w:hAnsi="宋体"/>
          <w:color w:val="000000" w:themeColor="text1"/>
          <w:sz w:val="24"/>
          <w:u w:val="single"/>
        </w:rPr>
        <w:t xml:space="preserve"> </w:t>
      </w:r>
      <w:r>
        <w:rPr>
          <w:rFonts w:hint="eastAsia" w:hAnsi="宋体"/>
          <w:color w:val="000000" w:themeColor="text1"/>
          <w:sz w:val="24"/>
          <w:u w:val="single"/>
        </w:rPr>
        <w:t>（投标人）</w:t>
      </w:r>
      <w:r>
        <w:rPr>
          <w:rFonts w:hAnsi="宋体"/>
          <w:color w:val="000000" w:themeColor="text1"/>
          <w:sz w:val="24"/>
          <w:u w:val="single"/>
        </w:rPr>
        <w:t xml:space="preserve"> </w:t>
      </w:r>
      <w:r>
        <w:rPr>
          <w:rFonts w:hint="eastAsia" w:hAnsi="宋体"/>
          <w:color w:val="000000" w:themeColor="text1"/>
          <w:sz w:val="24"/>
        </w:rPr>
        <w:t>参加</w:t>
      </w:r>
      <w:r>
        <w:rPr>
          <w:rFonts w:hAnsi="宋体"/>
          <w:color w:val="000000" w:themeColor="text1"/>
          <w:sz w:val="24"/>
        </w:rPr>
        <w:t>_</w:t>
      </w:r>
      <w:r>
        <w:rPr>
          <w:rFonts w:hint="eastAsia" w:hAnsi="宋体"/>
          <w:color w:val="000000" w:themeColor="text1"/>
          <w:sz w:val="24"/>
          <w:u w:val="single"/>
        </w:rPr>
        <w:t>（采购人）</w:t>
      </w:r>
      <w:r>
        <w:rPr>
          <w:rFonts w:hint="eastAsia" w:hAnsi="宋体"/>
          <w:color w:val="000000" w:themeColor="text1"/>
          <w:sz w:val="24"/>
        </w:rPr>
        <w:t>的</w:t>
      </w:r>
      <w:r>
        <w:rPr>
          <w:rFonts w:hAnsi="宋体"/>
          <w:color w:val="000000" w:themeColor="text1"/>
          <w:sz w:val="24"/>
        </w:rPr>
        <w:t>__</w:t>
      </w:r>
      <w:r>
        <w:rPr>
          <w:rFonts w:hAnsi="宋体"/>
          <w:color w:val="000000" w:themeColor="text1"/>
          <w:sz w:val="24"/>
          <w:u w:val="single"/>
        </w:rPr>
        <w:t>_ _</w:t>
      </w:r>
      <w:r>
        <w:rPr>
          <w:rFonts w:hint="eastAsia" w:hAnsi="宋体"/>
          <w:color w:val="000000" w:themeColor="text1"/>
          <w:sz w:val="24"/>
        </w:rPr>
        <w:t>项目第</w:t>
      </w:r>
      <w:r>
        <w:rPr>
          <w:rFonts w:hAnsi="宋体"/>
          <w:color w:val="000000" w:themeColor="text1"/>
          <w:sz w:val="24"/>
          <w:u w:val="single"/>
        </w:rPr>
        <w:t xml:space="preserve">  </w:t>
      </w:r>
      <w:r>
        <w:rPr>
          <w:rFonts w:hint="eastAsia" w:hAnsi="宋体"/>
          <w:color w:val="000000" w:themeColor="text1"/>
          <w:sz w:val="24"/>
        </w:rPr>
        <w:t>包（项目编号：</w:t>
      </w:r>
      <w:r>
        <w:rPr>
          <w:rFonts w:hAnsi="宋体"/>
          <w:color w:val="000000" w:themeColor="text1"/>
          <w:sz w:val="24"/>
        </w:rPr>
        <w:t>_____</w:t>
      </w:r>
      <w:r>
        <w:rPr>
          <w:rFonts w:hint="eastAsia" w:hAnsi="宋体"/>
          <w:color w:val="000000" w:themeColor="text1"/>
          <w:sz w:val="24"/>
        </w:rPr>
        <w:t>）采购活动提供本单位制造的货物。本条所称货物不包括使用非残疾人福利性单位注册商标的货物。</w:t>
      </w:r>
    </w:p>
    <w:p>
      <w:pPr>
        <w:spacing w:line="360" w:lineRule="auto"/>
        <w:ind w:firstLine="480" w:firstLineChars="200"/>
        <w:rPr>
          <w:rFonts w:ascii="宋体"/>
          <w:bCs/>
          <w:color w:val="000000" w:themeColor="text1"/>
          <w:sz w:val="24"/>
        </w:rPr>
      </w:pPr>
      <w:r>
        <w:rPr>
          <w:rFonts w:ascii="宋体" w:hAnsi="宋体"/>
          <w:bCs/>
          <w:color w:val="000000" w:themeColor="text1"/>
          <w:sz w:val="24"/>
          <w:lang w:val="zh-CN"/>
        </w:rPr>
        <w:t>2</w:t>
      </w:r>
      <w:r>
        <w:rPr>
          <w:rFonts w:ascii="宋体"/>
          <w:bCs/>
          <w:color w:val="000000" w:themeColor="text1"/>
          <w:sz w:val="24"/>
        </w:rPr>
        <w:t>.</w:t>
      </w:r>
      <w:r>
        <w:rPr>
          <w:rFonts w:hint="eastAsia" w:ascii="宋体" w:hAnsi="宋体"/>
          <w:bCs/>
          <w:color w:val="000000" w:themeColor="text1"/>
          <w:sz w:val="24"/>
        </w:rPr>
        <w:t>由本单位制造的货物清单见下表：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vAlign w:val="center"/>
          </w:tcPr>
          <w:p>
            <w:pPr>
              <w:spacing w:line="360" w:lineRule="auto"/>
              <w:ind w:left="-23" w:leftChars="-11" w:right="-65" w:rightChars="-31"/>
              <w:jc w:val="center"/>
              <w:rPr>
                <w:rFonts w:ascii="宋体" w:cs="宋体"/>
                <w:color w:val="000000" w:themeColor="text1"/>
                <w:kern w:val="0"/>
                <w:sz w:val="24"/>
              </w:rPr>
            </w:pPr>
            <w:r>
              <w:rPr>
                <w:rFonts w:hint="eastAsia" w:ascii="宋体" w:hAnsi="宋体" w:cs="宋体"/>
                <w:color w:val="000000" w:themeColor="text1"/>
                <w:kern w:val="0"/>
                <w:sz w:val="24"/>
              </w:rPr>
              <w:t>序号</w:t>
            </w:r>
          </w:p>
        </w:tc>
        <w:tc>
          <w:tcPr>
            <w:tcW w:w="2414" w:type="dxa"/>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名称</w:t>
            </w:r>
          </w:p>
        </w:tc>
        <w:tc>
          <w:tcPr>
            <w:tcW w:w="1224" w:type="dxa"/>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品牌规格型号</w:t>
            </w:r>
          </w:p>
        </w:tc>
        <w:tc>
          <w:tcPr>
            <w:tcW w:w="907" w:type="dxa"/>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数量</w:t>
            </w:r>
          </w:p>
        </w:tc>
        <w:tc>
          <w:tcPr>
            <w:tcW w:w="1278" w:type="dxa"/>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w:t>
            </w:r>
            <w:r>
              <w:rPr>
                <w:rFonts w:ascii="宋体" w:hAnsi="宋体" w:cs="宋体"/>
                <w:color w:val="000000" w:themeColor="text1"/>
                <w:kern w:val="0"/>
                <w:sz w:val="24"/>
              </w:rPr>
              <w:t>(</w:t>
            </w:r>
            <w:r>
              <w:rPr>
                <w:rFonts w:hint="eastAsia" w:ascii="宋体" w:hAnsi="宋体" w:cs="宋体"/>
                <w:color w:val="000000" w:themeColor="text1"/>
                <w:kern w:val="0"/>
                <w:sz w:val="24"/>
              </w:rPr>
              <w:t>元</w:t>
            </w:r>
            <w:r>
              <w:rPr>
                <w:rFonts w:ascii="宋体" w:hAnsi="宋体" w:cs="宋体"/>
                <w:color w:val="000000" w:themeColor="text1"/>
                <w:kern w:val="0"/>
                <w:sz w:val="24"/>
              </w:rPr>
              <w:t>)</w:t>
            </w:r>
          </w:p>
        </w:tc>
        <w:tc>
          <w:tcPr>
            <w:tcW w:w="1843" w:type="dxa"/>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w:t>
            </w:r>
            <w:r>
              <w:rPr>
                <w:rFonts w:ascii="宋体" w:hAnsi="宋体" w:cs="宋体"/>
                <w:color w:val="000000" w:themeColor="text1"/>
                <w:kern w:val="0"/>
                <w:sz w:val="24"/>
              </w:rPr>
              <w:t>(</w:t>
            </w:r>
            <w:r>
              <w:rPr>
                <w:rFonts w:hint="eastAsia" w:ascii="宋体" w:hAnsi="宋体" w:cs="宋体"/>
                <w:color w:val="000000" w:themeColor="text1"/>
                <w:kern w:val="0"/>
                <w:sz w:val="24"/>
              </w:rPr>
              <w:t>元</w:t>
            </w:r>
            <w:r>
              <w:rPr>
                <w:rFonts w:ascii="宋体" w:hAnsi="宋体" w:cs="宋体"/>
                <w:color w:val="000000" w:themeColor="text1"/>
                <w:kern w:val="0"/>
                <w:sz w:val="24"/>
              </w:rPr>
              <w:t>)</w:t>
            </w:r>
          </w:p>
        </w:tc>
        <w:tc>
          <w:tcPr>
            <w:tcW w:w="1228" w:type="dxa"/>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8"/>
              </w:numPr>
              <w:tabs>
                <w:tab w:val="left" w:pos="82"/>
              </w:tabs>
              <w:adjustRightInd w:val="0"/>
              <w:snapToGrid w:val="0"/>
              <w:jc w:val="center"/>
              <w:rPr>
                <w:rFonts w:ascii="宋体"/>
                <w:color w:val="000000" w:themeColor="text1"/>
                <w:sz w:val="24"/>
              </w:rPr>
            </w:pPr>
          </w:p>
        </w:tc>
        <w:tc>
          <w:tcPr>
            <w:tcW w:w="241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907" w:type="dxa"/>
            <w:vAlign w:val="center"/>
          </w:tcPr>
          <w:p>
            <w:pPr>
              <w:spacing w:line="240" w:lineRule="atLeast"/>
              <w:ind w:left="-48" w:leftChars="-23" w:right="-375" w:rightChars="-179"/>
              <w:jc w:val="center"/>
              <w:rPr>
                <w:rFonts w:ascii="宋体" w:cs="宋体"/>
                <w:color w:val="000000" w:themeColor="text1"/>
                <w:kern w:val="0"/>
                <w:sz w:val="24"/>
                <w:szCs w:val="24"/>
              </w:rPr>
            </w:pPr>
          </w:p>
        </w:tc>
        <w:tc>
          <w:tcPr>
            <w:tcW w:w="1278"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843"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8"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8"/>
              </w:numPr>
              <w:tabs>
                <w:tab w:val="left" w:pos="82"/>
              </w:tabs>
              <w:adjustRightInd w:val="0"/>
              <w:snapToGrid w:val="0"/>
              <w:ind w:left="-2" w:firstLine="2"/>
              <w:jc w:val="center"/>
              <w:rPr>
                <w:rFonts w:ascii="宋体"/>
                <w:color w:val="000000" w:themeColor="text1"/>
                <w:sz w:val="24"/>
              </w:rPr>
            </w:pPr>
          </w:p>
        </w:tc>
        <w:tc>
          <w:tcPr>
            <w:tcW w:w="241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907"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278"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843"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8"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tabs>
                <w:tab w:val="left" w:pos="82"/>
              </w:tabs>
              <w:adjustRightInd w:val="0"/>
              <w:snapToGrid w:val="0"/>
              <w:jc w:val="center"/>
              <w:rPr>
                <w:rFonts w:ascii="宋体"/>
                <w:color w:val="000000" w:themeColor="text1"/>
                <w:sz w:val="24"/>
              </w:rPr>
            </w:pPr>
            <w:r>
              <w:rPr>
                <w:rFonts w:hint="eastAsia" w:ascii="宋体" w:hAnsi="宋体"/>
                <w:color w:val="000000" w:themeColor="text1"/>
                <w:sz w:val="24"/>
              </w:rPr>
              <w:t>…</w:t>
            </w:r>
          </w:p>
        </w:tc>
        <w:tc>
          <w:tcPr>
            <w:tcW w:w="241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907"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278"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843"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228"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475" w:type="dxa"/>
            <w:gridSpan w:val="5"/>
            <w:vAlign w:val="center"/>
          </w:tcPr>
          <w:p>
            <w:pPr>
              <w:spacing w:line="240" w:lineRule="atLeast"/>
              <w:ind w:left="-48" w:leftChars="-23" w:right="-65" w:rightChars="-31"/>
              <w:jc w:val="center"/>
              <w:rPr>
                <w:rFonts w:ascii="宋体" w:cs="宋体"/>
                <w:color w:val="000000" w:themeColor="text1"/>
                <w:kern w:val="0"/>
                <w:sz w:val="24"/>
                <w:szCs w:val="24"/>
              </w:rPr>
            </w:pPr>
            <w:r>
              <w:rPr>
                <w:rFonts w:hint="eastAsia" w:ascii="宋体" w:hAnsi="宋体" w:cs="宋体"/>
                <w:color w:val="000000" w:themeColor="text1"/>
                <w:kern w:val="0"/>
                <w:sz w:val="24"/>
                <w:szCs w:val="24"/>
              </w:rPr>
              <w:t>合计</w:t>
            </w:r>
          </w:p>
        </w:tc>
        <w:tc>
          <w:tcPr>
            <w:tcW w:w="3071" w:type="dxa"/>
            <w:gridSpan w:val="2"/>
            <w:vAlign w:val="center"/>
          </w:tcPr>
          <w:p>
            <w:pPr>
              <w:spacing w:line="240" w:lineRule="atLeast"/>
              <w:ind w:left="-48" w:leftChars="-23" w:right="-65" w:rightChars="-31"/>
              <w:jc w:val="left"/>
              <w:rPr>
                <w:rFonts w:ascii="宋体" w:cs="宋体"/>
                <w:color w:val="000000" w:themeColor="text1"/>
                <w:kern w:val="0"/>
                <w:sz w:val="24"/>
                <w:szCs w:val="24"/>
              </w:rPr>
            </w:pPr>
          </w:p>
        </w:tc>
      </w:tr>
    </w:tbl>
    <w:p>
      <w:pPr>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本单位对上述声明的真实性负责。如有虚假，将依法承担相应责任。</w:t>
      </w:r>
    </w:p>
    <w:p>
      <w:pPr>
        <w:spacing w:line="360" w:lineRule="auto"/>
        <w:rPr>
          <w:rFonts w:ascii="宋体"/>
          <w:bCs/>
          <w:color w:val="000000" w:themeColor="text1"/>
          <w:sz w:val="24"/>
          <w:szCs w:val="24"/>
        </w:rPr>
      </w:pPr>
    </w:p>
    <w:p>
      <w:pPr>
        <w:pStyle w:val="9"/>
        <w:spacing w:line="360" w:lineRule="auto"/>
        <w:jc w:val="left"/>
        <w:rPr>
          <w:rFonts w:hAnsi="宋体" w:cs="Corbel"/>
          <w:color w:val="000000" w:themeColor="text1"/>
          <w:sz w:val="24"/>
        </w:rPr>
      </w:pPr>
      <w:r>
        <w:rPr>
          <w:rFonts w:hint="eastAsia" w:hAnsi="宋体"/>
          <w:bCs/>
          <w:color w:val="000000" w:themeColor="text1"/>
          <w:sz w:val="24"/>
          <w:szCs w:val="24"/>
        </w:rPr>
        <w:t>说明：</w:t>
      </w:r>
      <w:r>
        <w:rPr>
          <w:rFonts w:hAnsi="宋体" w:cs="Corbel"/>
          <w:color w:val="000000" w:themeColor="text1"/>
          <w:sz w:val="24"/>
        </w:rPr>
        <w:t>1</w:t>
      </w:r>
      <w:r>
        <w:rPr>
          <w:rFonts w:hint="eastAsia" w:hAnsi="宋体" w:cs="Corbel"/>
          <w:color w:val="000000" w:themeColor="text1"/>
          <w:sz w:val="24"/>
        </w:rPr>
        <w:t>、投标人所投货物为自己制造的，也应按本声明函格式填写。</w:t>
      </w:r>
    </w:p>
    <w:p>
      <w:pPr>
        <w:pStyle w:val="9"/>
        <w:spacing w:line="360" w:lineRule="auto"/>
        <w:ind w:left="1078" w:leftChars="342" w:hanging="360" w:hangingChars="150"/>
        <w:jc w:val="left"/>
        <w:rPr>
          <w:rFonts w:hAnsi="宋体"/>
          <w:color w:val="000000" w:themeColor="text1"/>
          <w:sz w:val="24"/>
        </w:rPr>
      </w:pPr>
      <w:r>
        <w:rPr>
          <w:rFonts w:hAnsi="宋体"/>
          <w:color w:val="000000" w:themeColor="text1"/>
          <w:sz w:val="24"/>
        </w:rPr>
        <w:t>2</w:t>
      </w:r>
      <w:r>
        <w:rPr>
          <w:rFonts w:hint="eastAsia" w:hAnsi="宋体"/>
          <w:color w:val="000000" w:themeColor="text1"/>
          <w:sz w:val="24"/>
        </w:rPr>
        <w:t>、组成联合体的大中型企业和其他自然人、法人或者其他组织，与残疾人福利性单位之间不得存在投资关系。</w:t>
      </w:r>
    </w:p>
    <w:p>
      <w:pPr>
        <w:pStyle w:val="9"/>
        <w:spacing w:line="360" w:lineRule="auto"/>
        <w:ind w:left="1078" w:leftChars="342" w:hanging="360" w:hangingChars="150"/>
        <w:jc w:val="left"/>
        <w:rPr>
          <w:rFonts w:hAnsi="宋体"/>
          <w:color w:val="000000" w:themeColor="text1"/>
          <w:sz w:val="24"/>
        </w:rPr>
      </w:pPr>
      <w:r>
        <w:rPr>
          <w:rFonts w:hAnsi="宋体"/>
          <w:color w:val="000000" w:themeColor="text1"/>
          <w:sz w:val="24"/>
        </w:rPr>
        <w:t>3</w:t>
      </w:r>
      <w:r>
        <w:rPr>
          <w:rFonts w:hint="eastAsia" w:hAnsi="宋体"/>
          <w:color w:val="000000" w:themeColor="text1"/>
          <w:sz w:val="24"/>
        </w:rPr>
        <w:t>、以联合体方式参与本项目投标的供应商，应由联合体双方签字盖章。</w:t>
      </w:r>
    </w:p>
    <w:p>
      <w:pPr>
        <w:spacing w:line="360" w:lineRule="auto"/>
        <w:rPr>
          <w:rFonts w:ascii="宋体"/>
          <w:color w:val="000000" w:themeColor="text1"/>
          <w:sz w:val="24"/>
        </w:rPr>
      </w:pPr>
    </w:p>
    <w:p>
      <w:pPr>
        <w:spacing w:before="100" w:beforeAutospacing="1" w:after="100" w:afterAutospacing="1" w:line="360" w:lineRule="auto"/>
        <w:ind w:firstLine="3316" w:firstLineChars="1382"/>
        <w:rPr>
          <w:rFonts w:ascii="宋体"/>
          <w:color w:val="000000" w:themeColor="text1"/>
          <w:sz w:val="24"/>
          <w:szCs w:val="21"/>
          <w:lang w:val="zh-CN"/>
        </w:rPr>
      </w:pPr>
      <w:r>
        <w:rPr>
          <w:rFonts w:hint="eastAsia" w:ascii="宋体" w:hAnsi="宋体"/>
          <w:color w:val="000000" w:themeColor="text1"/>
          <w:sz w:val="24"/>
          <w:szCs w:val="21"/>
          <w:lang w:val="zh-CN"/>
        </w:rPr>
        <w:t>制造商（公章）：</w:t>
      </w:r>
    </w:p>
    <w:p>
      <w:pPr>
        <w:spacing w:before="100" w:beforeAutospacing="1" w:after="100" w:afterAutospacing="1" w:line="360" w:lineRule="auto"/>
        <w:ind w:firstLine="3316" w:firstLineChars="1382"/>
        <w:rPr>
          <w:rFonts w:ascii="宋体"/>
          <w:color w:val="000000" w:themeColor="text1"/>
          <w:sz w:val="24"/>
          <w:szCs w:val="21"/>
          <w:lang w:val="zh-CN"/>
        </w:rPr>
      </w:pPr>
      <w:r>
        <w:rPr>
          <w:rFonts w:hint="eastAsia" w:ascii="宋体" w:hAnsi="宋体"/>
          <w:color w:val="000000" w:themeColor="text1"/>
          <w:sz w:val="24"/>
          <w:szCs w:val="21"/>
          <w:lang w:val="zh-CN"/>
        </w:rPr>
        <w:t>制造商法定代表人（签字或盖章）：</w:t>
      </w:r>
    </w:p>
    <w:p>
      <w:pPr>
        <w:spacing w:before="100" w:beforeAutospacing="1" w:after="100" w:afterAutospacing="1" w:line="360" w:lineRule="auto"/>
        <w:ind w:firstLine="3316" w:firstLineChars="1382"/>
        <w:rPr>
          <w:color w:val="000000" w:themeColor="text1"/>
        </w:rPr>
      </w:pPr>
      <w:r>
        <w:rPr>
          <w:rFonts w:hint="eastAsia" w:ascii="Times New Roman" w:hAnsi="宋体"/>
          <w:color w:val="000000" w:themeColor="text1"/>
          <w:sz w:val="24"/>
          <w:szCs w:val="24"/>
        </w:rPr>
        <w:t>日</w:t>
      </w:r>
      <w:r>
        <w:rPr>
          <w:rFonts w:ascii="Times New Roman" w:hAnsi="宋体"/>
          <w:color w:val="000000" w:themeColor="text1"/>
          <w:sz w:val="24"/>
          <w:szCs w:val="24"/>
        </w:rPr>
        <w:t>   </w:t>
      </w:r>
      <w:r>
        <w:rPr>
          <w:rFonts w:hint="eastAsia" w:ascii="Times New Roman" w:hAnsi="宋体"/>
          <w:color w:val="000000" w:themeColor="text1"/>
          <w:sz w:val="24"/>
          <w:szCs w:val="24"/>
        </w:rPr>
        <w:t>期：</w:t>
      </w:r>
    </w:p>
    <w:p>
      <w:pPr>
        <w:rPr>
          <w:color w:val="000000" w:themeColor="text1"/>
        </w:rPr>
      </w:pPr>
      <w:r>
        <w:rPr>
          <w:color w:val="000000" w:themeColor="text1"/>
        </w:rPr>
        <w:br w:type="page"/>
      </w:r>
    </w:p>
    <w:p>
      <w:pPr>
        <w:adjustRightInd w:val="0"/>
        <w:snapToGrid w:val="0"/>
        <w:jc w:val="center"/>
        <w:rPr>
          <w:rFonts w:ascii="宋体"/>
          <w:b/>
          <w:color w:val="000000" w:themeColor="text1"/>
          <w:sz w:val="30"/>
          <w:szCs w:val="30"/>
          <w:lang w:val="zh-CN"/>
        </w:rPr>
      </w:pPr>
    </w:p>
    <w:p>
      <w:pPr>
        <w:adjustRightInd w:val="0"/>
        <w:snapToGrid w:val="0"/>
        <w:spacing w:before="312" w:beforeLines="100"/>
        <w:jc w:val="center"/>
        <w:rPr>
          <w:rFonts w:ascii="宋体"/>
          <w:b/>
          <w:color w:val="000000" w:themeColor="text1"/>
          <w:sz w:val="30"/>
          <w:szCs w:val="30"/>
          <w:lang w:val="zh-CN"/>
        </w:rPr>
      </w:pPr>
      <w:r>
        <w:rPr>
          <w:rFonts w:hint="eastAsia" w:ascii="宋体" w:hAnsi="宋体"/>
          <w:b/>
          <w:color w:val="000000" w:themeColor="text1"/>
          <w:sz w:val="30"/>
          <w:szCs w:val="30"/>
          <w:lang w:val="zh-CN"/>
        </w:rPr>
        <w:t>残疾人福利性单位声明函</w:t>
      </w:r>
    </w:p>
    <w:p>
      <w:pPr>
        <w:adjustRightInd w:val="0"/>
        <w:snapToGrid w:val="0"/>
        <w:spacing w:before="156" w:beforeLines="50" w:after="156" w:afterLines="50"/>
        <w:jc w:val="center"/>
        <w:rPr>
          <w:rFonts w:ascii="宋体" w:hAnsi="Courier New"/>
          <w:color w:val="000000" w:themeColor="text1"/>
          <w:sz w:val="24"/>
          <w:szCs w:val="21"/>
          <w:lang w:val="zh-CN"/>
        </w:rPr>
      </w:pPr>
      <w:r>
        <w:rPr>
          <w:rFonts w:hint="eastAsia" w:ascii="宋体" w:hAnsi="Courier New"/>
          <w:color w:val="000000" w:themeColor="text1"/>
          <w:sz w:val="24"/>
          <w:szCs w:val="21"/>
          <w:lang w:val="zh-CN"/>
        </w:rPr>
        <w:t>（适用于工程类、服务类项目）</w:t>
      </w:r>
    </w:p>
    <w:p>
      <w:pPr>
        <w:spacing w:line="360" w:lineRule="auto"/>
        <w:rPr>
          <w:b/>
          <w:color w:val="000000" w:themeColor="text1"/>
          <w:sz w:val="28"/>
          <w:szCs w:val="28"/>
        </w:rPr>
      </w:pPr>
      <w:r>
        <w:rPr>
          <w:rFonts w:hint="eastAsia"/>
          <w:b/>
          <w:color w:val="000000" w:themeColor="text1"/>
          <w:sz w:val="28"/>
          <w:szCs w:val="28"/>
        </w:rPr>
        <w:t>采购人</w:t>
      </w:r>
      <w:r>
        <w:rPr>
          <w:rFonts w:hint="eastAsia"/>
          <w:bCs/>
          <w:color w:val="000000" w:themeColor="text1"/>
          <w:sz w:val="28"/>
          <w:szCs w:val="28"/>
        </w:rPr>
        <w:t>（或采购代理公司）</w:t>
      </w:r>
      <w:r>
        <w:rPr>
          <w:rFonts w:hint="eastAsia"/>
          <w:b/>
          <w:color w:val="000000" w:themeColor="text1"/>
          <w:sz w:val="28"/>
          <w:szCs w:val="28"/>
        </w:rPr>
        <w:t>：</w:t>
      </w:r>
    </w:p>
    <w:p>
      <w:pPr>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本单位郑重声明，根据《财政部</w:t>
      </w:r>
      <w:r>
        <w:rPr>
          <w:rFonts w:ascii="宋体" w:hAnsi="宋体"/>
          <w:color w:val="000000" w:themeColor="text1"/>
          <w:sz w:val="24"/>
          <w:szCs w:val="24"/>
        </w:rPr>
        <w:t xml:space="preserve"> </w:t>
      </w:r>
      <w:r>
        <w:rPr>
          <w:rFonts w:hint="eastAsia" w:ascii="宋体" w:hAnsi="宋体"/>
          <w:color w:val="000000" w:themeColor="text1"/>
          <w:sz w:val="24"/>
          <w:szCs w:val="24"/>
        </w:rPr>
        <w:t>民政部</w:t>
      </w:r>
      <w:r>
        <w:rPr>
          <w:rFonts w:ascii="宋体" w:hAnsi="宋体"/>
          <w:color w:val="000000" w:themeColor="text1"/>
          <w:sz w:val="24"/>
          <w:szCs w:val="24"/>
        </w:rPr>
        <w:t xml:space="preserve"> </w:t>
      </w:r>
      <w:r>
        <w:rPr>
          <w:rFonts w:hint="eastAsia" w:ascii="宋体" w:hAnsi="宋体"/>
          <w:color w:val="000000" w:themeColor="text1"/>
          <w:sz w:val="24"/>
          <w:szCs w:val="24"/>
        </w:rPr>
        <w:t>中国残疾人联合会关于促进残疾人就业政府采购政策的通知》（财库〔</w:t>
      </w:r>
      <w:r>
        <w:rPr>
          <w:rFonts w:ascii="宋体" w:hAnsi="宋体"/>
          <w:color w:val="000000" w:themeColor="text1"/>
          <w:sz w:val="24"/>
          <w:szCs w:val="24"/>
        </w:rPr>
        <w:t>2017</w:t>
      </w:r>
      <w:r>
        <w:rPr>
          <w:rFonts w:hint="eastAsia" w:ascii="宋体" w:hAnsi="宋体"/>
          <w:color w:val="000000" w:themeColor="text1"/>
          <w:sz w:val="24"/>
          <w:szCs w:val="24"/>
        </w:rPr>
        <w:t>〕</w:t>
      </w:r>
      <w:r>
        <w:rPr>
          <w:rFonts w:ascii="宋体" w:hAnsi="宋体"/>
          <w:color w:val="000000" w:themeColor="text1"/>
          <w:sz w:val="24"/>
          <w:szCs w:val="24"/>
        </w:rPr>
        <w:t>141</w:t>
      </w:r>
      <w:r>
        <w:rPr>
          <w:rFonts w:hint="eastAsia" w:ascii="宋体" w:hAnsi="宋体"/>
          <w:color w:val="000000" w:themeColor="text1"/>
          <w:sz w:val="24"/>
          <w:szCs w:val="24"/>
        </w:rPr>
        <w:t>号）的规定，本单位为符合条件的残疾人福利性单位</w:t>
      </w:r>
      <w:r>
        <w:rPr>
          <w:rFonts w:hint="eastAsia" w:hAnsi="宋体"/>
          <w:color w:val="000000" w:themeColor="text1"/>
          <w:sz w:val="24"/>
        </w:rPr>
        <w:t>（详见“残疾人福利性单位应当满足的条件”）</w:t>
      </w:r>
      <w:r>
        <w:rPr>
          <w:rFonts w:hint="eastAsia" w:ascii="宋体" w:hAnsi="宋体"/>
          <w:color w:val="000000" w:themeColor="text1"/>
          <w:sz w:val="24"/>
          <w:szCs w:val="24"/>
        </w:rPr>
        <w:t>，且本单位参加</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rPr>
        <w:t>（</w:t>
      </w:r>
      <w:r>
        <w:rPr>
          <w:rFonts w:hint="eastAsia" w:ascii="Times New Roman" w:hAnsi="宋体"/>
          <w:color w:val="000000" w:themeColor="text1"/>
          <w:sz w:val="24"/>
          <w:szCs w:val="24"/>
          <w:u w:val="single"/>
        </w:rPr>
        <w:t>采购</w:t>
      </w:r>
      <w:r>
        <w:rPr>
          <w:rFonts w:hint="eastAsia" w:ascii="宋体" w:hAnsi="宋体"/>
          <w:color w:val="000000" w:themeColor="text1"/>
          <w:sz w:val="24"/>
          <w:szCs w:val="24"/>
          <w:u w:val="single"/>
        </w:rPr>
        <w:t>人）</w:t>
      </w:r>
      <w:r>
        <w:rPr>
          <w:rFonts w:hint="eastAsia" w:ascii="Times New Roman" w:hAnsi="宋体"/>
          <w:color w:val="000000" w:themeColor="text1"/>
          <w:sz w:val="24"/>
          <w:szCs w:val="24"/>
        </w:rPr>
        <w:t>的</w:t>
      </w:r>
      <w:r>
        <w:rPr>
          <w:rFonts w:ascii="宋体" w:hAnsi="宋体"/>
          <w:color w:val="000000" w:themeColor="text1"/>
          <w:sz w:val="24"/>
          <w:szCs w:val="24"/>
          <w:u w:val="single"/>
        </w:rPr>
        <w:t>__   _</w:t>
      </w:r>
      <w:r>
        <w:rPr>
          <w:rFonts w:hint="eastAsia" w:ascii="Times New Roman" w:hAnsi="宋体"/>
          <w:color w:val="000000" w:themeColor="text1"/>
          <w:sz w:val="24"/>
          <w:szCs w:val="24"/>
        </w:rPr>
        <w:t>项目</w:t>
      </w:r>
      <w:r>
        <w:rPr>
          <w:rFonts w:hint="eastAsia" w:hAnsi="宋体"/>
          <w:color w:val="000000" w:themeColor="text1"/>
          <w:sz w:val="24"/>
        </w:rPr>
        <w:t>第</w:t>
      </w:r>
      <w:r>
        <w:rPr>
          <w:rFonts w:hAnsi="宋体"/>
          <w:color w:val="000000" w:themeColor="text1"/>
          <w:sz w:val="24"/>
          <w:u w:val="single"/>
        </w:rPr>
        <w:t xml:space="preserve">  </w:t>
      </w:r>
      <w:r>
        <w:rPr>
          <w:rFonts w:hint="eastAsia" w:hAnsi="宋体"/>
          <w:color w:val="000000" w:themeColor="text1"/>
          <w:sz w:val="24"/>
        </w:rPr>
        <w:t>包</w:t>
      </w:r>
      <w:r>
        <w:rPr>
          <w:rFonts w:hint="eastAsia" w:ascii="Times New Roman" w:hAnsi="宋体"/>
          <w:color w:val="000000" w:themeColor="text1"/>
          <w:sz w:val="24"/>
          <w:szCs w:val="24"/>
        </w:rPr>
        <w:t>（项目编号：</w:t>
      </w:r>
      <w:r>
        <w:rPr>
          <w:rFonts w:ascii="Times New Roman" w:hAnsi="宋体"/>
          <w:color w:val="000000" w:themeColor="text1"/>
          <w:sz w:val="24"/>
          <w:szCs w:val="24"/>
        </w:rPr>
        <w:t>______</w:t>
      </w:r>
      <w:r>
        <w:rPr>
          <w:rFonts w:hint="eastAsia" w:ascii="Times New Roman" w:hAnsi="宋体"/>
          <w:color w:val="000000" w:themeColor="text1"/>
          <w:sz w:val="24"/>
          <w:szCs w:val="24"/>
        </w:rPr>
        <w:t>）</w:t>
      </w:r>
      <w:r>
        <w:rPr>
          <w:rFonts w:hint="eastAsia" w:ascii="宋体" w:hAnsi="宋体"/>
          <w:color w:val="000000" w:themeColor="text1"/>
          <w:sz w:val="24"/>
          <w:szCs w:val="24"/>
        </w:rPr>
        <w:t>采购活动由本单位承担工程（或提供服务）。</w:t>
      </w:r>
    </w:p>
    <w:p>
      <w:pPr>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本单位对上述声明的真实性负责。如有虚假，将依法承担相应责任。</w:t>
      </w:r>
    </w:p>
    <w:p>
      <w:pPr>
        <w:spacing w:line="360" w:lineRule="auto"/>
        <w:rPr>
          <w:rFonts w:ascii="宋体"/>
          <w:color w:val="000000" w:themeColor="text1"/>
          <w:sz w:val="24"/>
          <w:szCs w:val="24"/>
        </w:rPr>
      </w:pPr>
    </w:p>
    <w:p>
      <w:pPr>
        <w:spacing w:line="360" w:lineRule="auto"/>
        <w:rPr>
          <w:rFonts w:ascii="宋体"/>
          <w:color w:val="000000" w:themeColor="text1"/>
          <w:sz w:val="24"/>
          <w:szCs w:val="24"/>
        </w:rPr>
      </w:pPr>
    </w:p>
    <w:p>
      <w:pPr>
        <w:spacing w:line="360" w:lineRule="auto"/>
        <w:ind w:left="1080" w:hanging="1080" w:hangingChars="450"/>
        <w:jc w:val="left"/>
        <w:rPr>
          <w:rFonts w:ascii="宋体" w:cs="Courier New"/>
          <w:color w:val="000000" w:themeColor="text1"/>
          <w:sz w:val="24"/>
          <w:szCs w:val="21"/>
        </w:rPr>
      </w:pPr>
      <w:r>
        <w:rPr>
          <w:rFonts w:hint="eastAsia" w:ascii="宋体" w:hAnsi="宋体" w:cs="Courier New"/>
          <w:color w:val="000000" w:themeColor="text1"/>
          <w:sz w:val="24"/>
          <w:szCs w:val="21"/>
        </w:rPr>
        <w:t>说明：</w:t>
      </w:r>
      <w:r>
        <w:rPr>
          <w:rFonts w:ascii="宋体" w:hAnsi="宋体" w:cs="Courier New"/>
          <w:color w:val="000000" w:themeColor="text1"/>
          <w:sz w:val="24"/>
          <w:szCs w:val="21"/>
        </w:rPr>
        <w:t>1</w:t>
      </w:r>
      <w:r>
        <w:rPr>
          <w:rFonts w:hint="eastAsia" w:ascii="宋体" w:hAnsi="宋体" w:cs="Courier New"/>
          <w:color w:val="000000" w:themeColor="text1"/>
          <w:sz w:val="24"/>
          <w:szCs w:val="21"/>
        </w:rPr>
        <w:t>、组成联合体的大中型企业和其他自然人、法人或者其他组织，与残疾人福利性单位之间不得存在投资关系。</w:t>
      </w:r>
    </w:p>
    <w:p>
      <w:pPr>
        <w:spacing w:line="360" w:lineRule="auto"/>
        <w:ind w:left="1078" w:leftChars="342" w:hanging="360" w:hangingChars="150"/>
        <w:jc w:val="left"/>
        <w:rPr>
          <w:rFonts w:ascii="宋体"/>
          <w:color w:val="000000" w:themeColor="text1"/>
          <w:sz w:val="24"/>
          <w:szCs w:val="24"/>
        </w:rPr>
      </w:pPr>
      <w:r>
        <w:rPr>
          <w:rFonts w:ascii="宋体" w:hAnsi="宋体" w:cs="Courier New"/>
          <w:color w:val="000000" w:themeColor="text1"/>
          <w:sz w:val="24"/>
          <w:szCs w:val="21"/>
        </w:rPr>
        <w:t>2</w:t>
      </w:r>
      <w:r>
        <w:rPr>
          <w:rFonts w:hint="eastAsia" w:ascii="宋体" w:hAnsi="宋体" w:cs="Courier New"/>
          <w:color w:val="000000" w:themeColor="text1"/>
          <w:sz w:val="24"/>
          <w:szCs w:val="21"/>
        </w:rPr>
        <w:t>、以联合体方式参与本项目投标的供应商，应由联合体双方签字盖章。</w:t>
      </w:r>
    </w:p>
    <w:p>
      <w:pPr>
        <w:spacing w:line="360" w:lineRule="auto"/>
        <w:rPr>
          <w:rFonts w:ascii="宋体"/>
          <w:color w:val="000000" w:themeColor="text1"/>
          <w:sz w:val="24"/>
          <w:szCs w:val="24"/>
        </w:rPr>
      </w:pPr>
    </w:p>
    <w:p>
      <w:pPr>
        <w:spacing w:line="360" w:lineRule="auto"/>
        <w:rPr>
          <w:rFonts w:ascii="宋体"/>
          <w:color w:val="000000" w:themeColor="text1"/>
          <w:sz w:val="24"/>
          <w:szCs w:val="24"/>
        </w:rPr>
      </w:pPr>
    </w:p>
    <w:p>
      <w:pPr>
        <w:spacing w:before="100" w:beforeAutospacing="1" w:after="100" w:afterAutospacing="1" w:line="360" w:lineRule="auto"/>
        <w:ind w:firstLine="3316" w:firstLineChars="1382"/>
        <w:rPr>
          <w:rFonts w:ascii="宋体"/>
          <w:color w:val="000000" w:themeColor="text1"/>
          <w:sz w:val="24"/>
          <w:szCs w:val="21"/>
          <w:lang w:val="zh-CN"/>
        </w:rPr>
      </w:pPr>
      <w:r>
        <w:rPr>
          <w:rFonts w:hint="eastAsia" w:ascii="宋体" w:hAnsi="宋体"/>
          <w:color w:val="000000" w:themeColor="text1"/>
          <w:sz w:val="24"/>
          <w:szCs w:val="21"/>
          <w:lang w:val="zh-CN"/>
        </w:rPr>
        <w:t>制造商（公章）：</w:t>
      </w:r>
    </w:p>
    <w:p>
      <w:pPr>
        <w:spacing w:before="100" w:beforeAutospacing="1" w:after="100" w:afterAutospacing="1" w:line="360" w:lineRule="auto"/>
        <w:ind w:firstLine="3316" w:firstLineChars="1382"/>
        <w:rPr>
          <w:rFonts w:ascii="宋体"/>
          <w:color w:val="000000" w:themeColor="text1"/>
          <w:sz w:val="24"/>
          <w:szCs w:val="21"/>
          <w:lang w:val="zh-CN"/>
        </w:rPr>
      </w:pPr>
      <w:r>
        <w:rPr>
          <w:rFonts w:hint="eastAsia" w:ascii="宋体" w:hAnsi="宋体"/>
          <w:color w:val="000000" w:themeColor="text1"/>
          <w:sz w:val="24"/>
          <w:szCs w:val="21"/>
          <w:lang w:val="zh-CN"/>
        </w:rPr>
        <w:t>投标人授权代表（签字）：</w:t>
      </w:r>
    </w:p>
    <w:p>
      <w:pPr>
        <w:spacing w:before="100" w:beforeAutospacing="1" w:after="100" w:afterAutospacing="1" w:line="360" w:lineRule="auto"/>
        <w:ind w:firstLine="3316" w:firstLineChars="1382"/>
        <w:rPr>
          <w:rFonts w:ascii="Times New Roman" w:hAnsi="宋体"/>
          <w:color w:val="000000" w:themeColor="text1"/>
          <w:sz w:val="24"/>
          <w:szCs w:val="24"/>
          <w:u w:val="single"/>
        </w:rPr>
      </w:pPr>
      <w:r>
        <w:rPr>
          <w:rFonts w:hint="eastAsia" w:ascii="Times New Roman" w:hAnsi="宋体"/>
          <w:color w:val="000000" w:themeColor="text1"/>
          <w:sz w:val="24"/>
          <w:szCs w:val="24"/>
        </w:rPr>
        <w:t>日</w:t>
      </w:r>
      <w:r>
        <w:rPr>
          <w:rFonts w:ascii="Times New Roman" w:hAnsi="宋体"/>
          <w:color w:val="000000" w:themeColor="text1"/>
          <w:sz w:val="24"/>
          <w:szCs w:val="24"/>
        </w:rPr>
        <w:t>   </w:t>
      </w:r>
      <w:r>
        <w:rPr>
          <w:rFonts w:hint="eastAsia" w:ascii="Times New Roman" w:hAnsi="宋体"/>
          <w:color w:val="000000" w:themeColor="text1"/>
          <w:sz w:val="24"/>
          <w:szCs w:val="24"/>
        </w:rPr>
        <w:t>期：</w:t>
      </w:r>
    </w:p>
    <w:p>
      <w:pPr>
        <w:rPr>
          <w:color w:val="000000" w:themeColor="text1"/>
        </w:rPr>
      </w:pPr>
      <w:r>
        <w:rPr>
          <w:color w:val="000000" w:themeColor="text1"/>
        </w:rPr>
        <w:br w:type="page"/>
      </w:r>
    </w:p>
    <w:p>
      <w:pPr>
        <w:spacing w:line="600" w:lineRule="exact"/>
        <w:rPr>
          <w:rFonts w:ascii="Times New Roman" w:hAnsi="Times New Roman"/>
          <w:b/>
          <w:color w:val="000000" w:themeColor="text1"/>
          <w:sz w:val="24"/>
          <w:szCs w:val="24"/>
        </w:rPr>
      </w:pPr>
      <w:r>
        <w:rPr>
          <w:rFonts w:hint="eastAsia" w:ascii="Times New Roman" w:hAnsi="Times New Roman"/>
          <w:b/>
          <w:color w:val="000000" w:themeColor="text1"/>
          <w:sz w:val="24"/>
          <w:szCs w:val="24"/>
        </w:rPr>
        <w:t>享受政府采购支持政策的残疾人福利性单位应当同时满足以下条件：</w:t>
      </w:r>
    </w:p>
    <w:p>
      <w:pPr>
        <w:spacing w:line="600" w:lineRule="exact"/>
        <w:ind w:firstLine="480" w:firstLineChars="200"/>
        <w:rPr>
          <w:rFonts w:ascii="宋体"/>
          <w:color w:val="000000" w:themeColor="text1"/>
          <w:sz w:val="24"/>
          <w:szCs w:val="24"/>
        </w:rPr>
      </w:pPr>
      <w:r>
        <w:rPr>
          <w:rFonts w:hint="eastAsia" w:ascii="宋体" w:hAnsi="宋体"/>
          <w:color w:val="000000" w:themeColor="text1"/>
          <w:sz w:val="24"/>
          <w:szCs w:val="24"/>
        </w:rPr>
        <w:t>（一）安置的残疾人占本单位在职职工人数的比例不低于</w:t>
      </w:r>
      <w:r>
        <w:rPr>
          <w:rFonts w:ascii="宋体" w:hAnsi="宋体"/>
          <w:color w:val="000000" w:themeColor="text1"/>
          <w:sz w:val="24"/>
          <w:szCs w:val="24"/>
        </w:rPr>
        <w:t>25%</w:t>
      </w:r>
      <w:r>
        <w:rPr>
          <w:rFonts w:hint="eastAsia" w:ascii="宋体" w:hAnsi="宋体"/>
          <w:color w:val="000000" w:themeColor="text1"/>
          <w:sz w:val="24"/>
          <w:szCs w:val="24"/>
        </w:rPr>
        <w:t>（含</w:t>
      </w:r>
      <w:r>
        <w:rPr>
          <w:rFonts w:ascii="宋体" w:hAnsi="宋体"/>
          <w:color w:val="000000" w:themeColor="text1"/>
          <w:sz w:val="24"/>
          <w:szCs w:val="24"/>
        </w:rPr>
        <w:t>25%</w:t>
      </w:r>
      <w:r>
        <w:rPr>
          <w:rFonts w:hint="eastAsia" w:ascii="宋体" w:hAnsi="宋体"/>
          <w:color w:val="000000" w:themeColor="text1"/>
          <w:sz w:val="24"/>
          <w:szCs w:val="24"/>
        </w:rPr>
        <w:t>），并且安置的残疾人人数不少于</w:t>
      </w:r>
      <w:r>
        <w:rPr>
          <w:rFonts w:ascii="宋体" w:hAnsi="宋体"/>
          <w:color w:val="000000" w:themeColor="text1"/>
          <w:sz w:val="24"/>
          <w:szCs w:val="24"/>
        </w:rPr>
        <w:t>10</w:t>
      </w:r>
      <w:r>
        <w:rPr>
          <w:rFonts w:hint="eastAsia" w:ascii="宋体" w:hAnsi="宋体"/>
          <w:color w:val="000000" w:themeColor="text1"/>
          <w:sz w:val="24"/>
          <w:szCs w:val="24"/>
        </w:rPr>
        <w:t>人（含</w:t>
      </w:r>
      <w:r>
        <w:rPr>
          <w:rFonts w:ascii="宋体" w:hAnsi="宋体"/>
          <w:color w:val="000000" w:themeColor="text1"/>
          <w:sz w:val="24"/>
          <w:szCs w:val="24"/>
        </w:rPr>
        <w:t>10</w:t>
      </w:r>
      <w:r>
        <w:rPr>
          <w:rFonts w:hint="eastAsia" w:ascii="宋体" w:hAnsi="宋体"/>
          <w:color w:val="000000" w:themeColor="text1"/>
          <w:sz w:val="24"/>
          <w:szCs w:val="24"/>
        </w:rPr>
        <w:t>人）；</w:t>
      </w:r>
    </w:p>
    <w:p>
      <w:pPr>
        <w:spacing w:line="600" w:lineRule="exact"/>
        <w:ind w:firstLine="480" w:firstLineChars="200"/>
        <w:rPr>
          <w:rFonts w:ascii="宋体"/>
          <w:color w:val="000000" w:themeColor="text1"/>
          <w:sz w:val="24"/>
          <w:szCs w:val="24"/>
        </w:rPr>
      </w:pPr>
      <w:r>
        <w:rPr>
          <w:rFonts w:hint="eastAsia" w:ascii="宋体" w:hAnsi="宋体"/>
          <w:color w:val="000000" w:themeColor="text1"/>
          <w:sz w:val="24"/>
          <w:szCs w:val="24"/>
        </w:rPr>
        <w:t>（二）依法与安置的每位残疾人签订了一年以上（含一年）的劳动合同或服务协议；</w:t>
      </w:r>
    </w:p>
    <w:p>
      <w:pPr>
        <w:spacing w:line="600" w:lineRule="exact"/>
        <w:ind w:firstLine="480" w:firstLineChars="200"/>
        <w:rPr>
          <w:rFonts w:ascii="宋体"/>
          <w:color w:val="000000" w:themeColor="text1"/>
          <w:sz w:val="24"/>
          <w:szCs w:val="24"/>
        </w:rPr>
      </w:pPr>
      <w:r>
        <w:rPr>
          <w:rFonts w:hint="eastAsia" w:ascii="宋体" w:hAnsi="宋体"/>
          <w:color w:val="000000" w:themeColor="text1"/>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color w:val="000000" w:themeColor="text1"/>
          <w:sz w:val="24"/>
          <w:szCs w:val="24"/>
        </w:rPr>
      </w:pPr>
      <w:r>
        <w:rPr>
          <w:rFonts w:hint="eastAsia" w:ascii="宋体" w:hAnsi="宋体"/>
          <w:color w:val="000000" w:themeColor="text1"/>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color w:val="000000" w:themeColor="text1"/>
          <w:sz w:val="24"/>
          <w:szCs w:val="24"/>
        </w:rPr>
      </w:pPr>
      <w:r>
        <w:rPr>
          <w:rFonts w:hint="eastAsia" w:ascii="宋体" w:hAnsi="宋体"/>
          <w:color w:val="000000" w:themeColor="text1"/>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color w:val="000000" w:themeColor="text1"/>
          <w:sz w:val="24"/>
          <w:szCs w:val="24"/>
        </w:rPr>
      </w:pPr>
      <w:r>
        <w:rPr>
          <w:rFonts w:hint="eastAsia" w:ascii="宋体" w:hAnsi="宋体"/>
          <w:color w:val="000000" w:themeColor="text1"/>
          <w:sz w:val="24"/>
          <w:szCs w:val="24"/>
        </w:rPr>
        <w:t>前款所称残疾人是指法定劳动年龄内，持有《中华人民共和国残疾人证》或者《中华人民共和国残疾军人证（</w:t>
      </w:r>
      <w:r>
        <w:rPr>
          <w:rFonts w:ascii="宋体" w:hAnsi="宋体"/>
          <w:color w:val="000000" w:themeColor="text1"/>
          <w:sz w:val="24"/>
          <w:szCs w:val="24"/>
        </w:rPr>
        <w:t>1</w:t>
      </w:r>
      <w:r>
        <w:rPr>
          <w:rFonts w:hint="eastAsia" w:ascii="宋体" w:hAnsi="宋体"/>
          <w:color w:val="000000" w:themeColor="text1"/>
          <w:sz w:val="24"/>
          <w:szCs w:val="24"/>
        </w:rPr>
        <w:t>至</w:t>
      </w:r>
      <w:r>
        <w:rPr>
          <w:rFonts w:ascii="宋体" w:hAnsi="宋体"/>
          <w:color w:val="000000" w:themeColor="text1"/>
          <w:sz w:val="24"/>
          <w:szCs w:val="24"/>
        </w:rPr>
        <w:t>8</w:t>
      </w:r>
      <w:r>
        <w:rPr>
          <w:rFonts w:hint="eastAsia" w:ascii="宋体" w:hAnsi="宋体"/>
          <w:color w:val="000000" w:themeColor="text1"/>
          <w:sz w:val="24"/>
          <w:szCs w:val="24"/>
        </w:rPr>
        <w:t>级）》的自然人，包括具有劳动条件和劳动意愿的精神残疾人。在职职工人数是指与残疾人福利性单位建立劳动关系并依法签订劳动合同或者服务协议的雇员人数。</w:t>
      </w:r>
    </w:p>
    <w:p>
      <w:pPr>
        <w:rPr>
          <w:color w:val="000000" w:themeColor="text1"/>
        </w:rPr>
      </w:pP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288" w:hanging="1288"/>
        <w:rPr>
          <w:rFonts w:ascii="宋体"/>
          <w:color w:val="000000" w:themeColor="text1"/>
        </w:rPr>
      </w:pPr>
      <w:bookmarkStart w:id="155" w:name="_Toc494665558"/>
      <w:bookmarkStart w:id="156" w:name="_Toc494577410"/>
      <w:bookmarkStart w:id="157" w:name="_Toc494702275"/>
      <w:bookmarkStart w:id="158" w:name="_Toc494665005"/>
      <w:bookmarkStart w:id="159" w:name="_Toc494745322"/>
      <w:bookmarkStart w:id="160" w:name="_Toc494665955"/>
      <w:bookmarkStart w:id="161" w:name="_Toc8298"/>
      <w:bookmarkStart w:id="162" w:name="_Toc494721105"/>
      <w:r>
        <w:rPr>
          <w:rFonts w:hint="eastAsia" w:ascii="宋体" w:hAnsi="宋体"/>
          <w:color w:val="000000" w:themeColor="text1"/>
        </w:rPr>
        <w:t>开标一览表</w:t>
      </w:r>
      <w:bookmarkEnd w:id="155"/>
      <w:bookmarkEnd w:id="156"/>
      <w:bookmarkEnd w:id="157"/>
      <w:bookmarkEnd w:id="158"/>
      <w:bookmarkEnd w:id="159"/>
      <w:bookmarkEnd w:id="160"/>
      <w:bookmarkEnd w:id="161"/>
      <w:bookmarkEnd w:id="162"/>
    </w:p>
    <w:p>
      <w:pPr>
        <w:spacing w:line="360" w:lineRule="auto"/>
        <w:jc w:val="left"/>
        <w:rPr>
          <w:rFonts w:ascii="宋体"/>
          <w:b/>
          <w:color w:val="000000" w:themeColor="text1"/>
          <w:sz w:val="24"/>
          <w:szCs w:val="21"/>
          <w:u w:val="single"/>
          <w:lang w:val="zh-CN"/>
        </w:rPr>
      </w:pPr>
      <w:r>
        <w:rPr>
          <w:rFonts w:hint="eastAsia" w:ascii="宋体" w:hAnsi="宋体"/>
          <w:b/>
          <w:color w:val="000000" w:themeColor="text1"/>
          <w:sz w:val="24"/>
          <w:szCs w:val="21"/>
          <w:lang w:val="zh-CN"/>
        </w:rPr>
        <w:t>投</w:t>
      </w:r>
      <w:r>
        <w:rPr>
          <w:rFonts w:ascii="宋体" w:hAnsi="宋体"/>
          <w:b/>
          <w:color w:val="000000" w:themeColor="text1"/>
          <w:sz w:val="24"/>
          <w:szCs w:val="21"/>
          <w:lang w:val="zh-CN"/>
        </w:rPr>
        <w:t xml:space="preserve"> </w:t>
      </w:r>
      <w:r>
        <w:rPr>
          <w:rFonts w:hint="eastAsia" w:ascii="宋体" w:hAnsi="宋体"/>
          <w:b/>
          <w:color w:val="000000" w:themeColor="text1"/>
          <w:sz w:val="24"/>
          <w:szCs w:val="21"/>
          <w:lang w:val="zh-CN"/>
        </w:rPr>
        <w:t>标</w:t>
      </w:r>
      <w:r>
        <w:rPr>
          <w:rFonts w:ascii="宋体" w:hAnsi="宋体"/>
          <w:b/>
          <w:color w:val="000000" w:themeColor="text1"/>
          <w:sz w:val="24"/>
          <w:szCs w:val="21"/>
          <w:lang w:val="zh-CN"/>
        </w:rPr>
        <w:t xml:space="preserve"> </w:t>
      </w:r>
      <w:r>
        <w:rPr>
          <w:rFonts w:hint="eastAsia" w:ascii="宋体" w:hAnsi="宋体"/>
          <w:b/>
          <w:color w:val="000000" w:themeColor="text1"/>
          <w:sz w:val="24"/>
          <w:szCs w:val="21"/>
          <w:lang w:val="zh-CN"/>
        </w:rPr>
        <w:t>人：</w:t>
      </w:r>
    </w:p>
    <w:p>
      <w:pPr>
        <w:spacing w:line="360" w:lineRule="auto"/>
        <w:jc w:val="left"/>
        <w:rPr>
          <w:rFonts w:ascii="宋体"/>
          <w:b/>
          <w:color w:val="000000" w:themeColor="text1"/>
          <w:sz w:val="24"/>
          <w:szCs w:val="21"/>
          <w:lang w:val="zh-CN"/>
        </w:rPr>
      </w:pPr>
      <w:r>
        <w:rPr>
          <w:rFonts w:hint="eastAsia" w:ascii="宋体" w:hAnsi="宋体"/>
          <w:b/>
          <w:color w:val="000000" w:themeColor="text1"/>
          <w:sz w:val="24"/>
          <w:szCs w:val="21"/>
          <w:lang w:val="zh-CN"/>
        </w:rPr>
        <w:t>项目名称：</w:t>
      </w:r>
    </w:p>
    <w:p>
      <w:pPr>
        <w:spacing w:line="360" w:lineRule="auto"/>
        <w:jc w:val="left"/>
        <w:rPr>
          <w:rFonts w:ascii="宋体"/>
          <w:b/>
          <w:bCs/>
          <w:color w:val="000000" w:themeColor="text1"/>
          <w:sz w:val="24"/>
          <w:szCs w:val="21"/>
          <w:u w:val="single"/>
          <w:lang w:val="zh-CN"/>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1" w:type="dxa"/>
            <w:tcBorders>
              <w:top w:val="double" w:color="auto" w:sz="4" w:space="0"/>
            </w:tcBorders>
            <w:shd w:val="clear" w:color="auto" w:fill="EEECE1"/>
            <w:vAlign w:val="center"/>
          </w:tcPr>
          <w:p>
            <w:pPr>
              <w:spacing w:line="360" w:lineRule="auto"/>
              <w:ind w:left="-50" w:leftChars="-24" w:right="-65" w:rightChars="-31"/>
              <w:jc w:val="center"/>
              <w:rPr>
                <w:rFonts w:ascii="宋体" w:cs="宋体"/>
                <w:color w:val="000000" w:themeColor="text1"/>
                <w:kern w:val="0"/>
                <w:sz w:val="24"/>
              </w:rPr>
            </w:pPr>
            <w:r>
              <w:rPr>
                <w:rFonts w:hint="eastAsia" w:ascii="宋体" w:hAnsi="宋体" w:cs="宋体"/>
                <w:color w:val="000000" w:themeColor="text1"/>
                <w:kern w:val="0"/>
                <w:sz w:val="24"/>
              </w:rPr>
              <w:t>序号</w:t>
            </w:r>
          </w:p>
        </w:tc>
        <w:tc>
          <w:tcPr>
            <w:tcW w:w="1981" w:type="dxa"/>
            <w:gridSpan w:val="2"/>
            <w:tcBorders>
              <w:top w:val="double" w:color="auto" w:sz="4" w:space="0"/>
            </w:tcBorders>
            <w:shd w:val="clear" w:color="auto" w:fill="EEECE1"/>
            <w:vAlign w:val="center"/>
          </w:tcPr>
          <w:p>
            <w:pPr>
              <w:spacing w:line="360" w:lineRule="auto"/>
              <w:ind w:left="-50" w:leftChars="-24" w:right="-65" w:rightChars="-31"/>
              <w:jc w:val="center"/>
              <w:rPr>
                <w:rFonts w:ascii="宋体" w:cs="宋体"/>
                <w:color w:val="000000" w:themeColor="text1"/>
                <w:kern w:val="0"/>
                <w:sz w:val="24"/>
              </w:rPr>
            </w:pPr>
            <w:r>
              <w:rPr>
                <w:rFonts w:hint="eastAsia" w:ascii="宋体" w:hAnsi="宋体" w:cs="宋体"/>
                <w:color w:val="000000" w:themeColor="text1"/>
                <w:kern w:val="0"/>
                <w:sz w:val="24"/>
              </w:rPr>
              <w:t>名称</w:t>
            </w:r>
          </w:p>
        </w:tc>
        <w:tc>
          <w:tcPr>
            <w:tcW w:w="2954" w:type="dxa"/>
            <w:tcBorders>
              <w:top w:val="double" w:color="auto" w:sz="4" w:space="0"/>
            </w:tcBorders>
            <w:shd w:val="clear" w:color="auto" w:fill="EEECE1"/>
            <w:vAlign w:val="center"/>
          </w:tcPr>
          <w:p>
            <w:pPr>
              <w:spacing w:line="360" w:lineRule="auto"/>
              <w:ind w:left="-50" w:leftChars="-24" w:right="-65" w:rightChars="-31"/>
              <w:jc w:val="center"/>
              <w:rPr>
                <w:rFonts w:ascii="宋体" w:cs="宋体"/>
                <w:color w:val="000000" w:themeColor="text1"/>
                <w:kern w:val="0"/>
                <w:sz w:val="24"/>
              </w:rPr>
            </w:pPr>
            <w:r>
              <w:rPr>
                <w:rFonts w:hint="eastAsia" w:ascii="宋体" w:hAnsi="宋体" w:cs="宋体"/>
                <w:color w:val="000000" w:themeColor="text1"/>
                <w:kern w:val="0"/>
                <w:sz w:val="24"/>
              </w:rPr>
              <w:t>品牌、型号</w:t>
            </w:r>
          </w:p>
        </w:tc>
        <w:tc>
          <w:tcPr>
            <w:tcW w:w="1119" w:type="dxa"/>
            <w:tcBorders>
              <w:top w:val="double" w:color="auto" w:sz="4" w:space="0"/>
            </w:tcBorders>
            <w:shd w:val="clear" w:color="auto" w:fill="EEECE1"/>
            <w:vAlign w:val="center"/>
          </w:tcPr>
          <w:p>
            <w:pPr>
              <w:spacing w:line="360" w:lineRule="auto"/>
              <w:ind w:left="-50" w:leftChars="-24" w:right="-65" w:rightChars="-31"/>
              <w:jc w:val="center"/>
              <w:rPr>
                <w:rFonts w:ascii="宋体" w:cs="宋体"/>
                <w:color w:val="000000" w:themeColor="text1"/>
                <w:kern w:val="0"/>
                <w:sz w:val="24"/>
              </w:rPr>
            </w:pPr>
            <w:r>
              <w:rPr>
                <w:rFonts w:hint="eastAsia" w:ascii="宋体" w:hAnsi="宋体" w:cs="宋体"/>
                <w:color w:val="000000" w:themeColor="text1"/>
                <w:kern w:val="0"/>
                <w:sz w:val="24"/>
              </w:rPr>
              <w:t>数量</w:t>
            </w:r>
          </w:p>
        </w:tc>
        <w:tc>
          <w:tcPr>
            <w:tcW w:w="1134" w:type="dxa"/>
            <w:tcBorders>
              <w:top w:val="doub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w:t>
            </w:r>
            <w:r>
              <w:rPr>
                <w:rFonts w:ascii="宋体" w:hAnsi="宋体" w:cs="宋体"/>
                <w:color w:val="000000" w:themeColor="text1"/>
                <w:kern w:val="0"/>
                <w:sz w:val="24"/>
              </w:rPr>
              <w:t>(</w:t>
            </w:r>
            <w:r>
              <w:rPr>
                <w:rFonts w:hint="eastAsia" w:ascii="宋体" w:hAnsi="宋体" w:cs="宋体"/>
                <w:color w:val="000000" w:themeColor="text1"/>
                <w:kern w:val="0"/>
                <w:sz w:val="24"/>
              </w:rPr>
              <w:t>元</w:t>
            </w:r>
            <w:r>
              <w:rPr>
                <w:rFonts w:ascii="宋体" w:hAnsi="宋体" w:cs="宋体"/>
                <w:color w:val="000000" w:themeColor="text1"/>
                <w:kern w:val="0"/>
                <w:sz w:val="24"/>
              </w:rPr>
              <w:t>)</w:t>
            </w:r>
          </w:p>
        </w:tc>
        <w:tc>
          <w:tcPr>
            <w:tcW w:w="1708" w:type="dxa"/>
            <w:tcBorders>
              <w:top w:val="doub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w:t>
            </w:r>
            <w:r>
              <w:rPr>
                <w:rFonts w:ascii="宋体" w:hAnsi="宋体" w:cs="宋体"/>
                <w:color w:val="000000" w:themeColor="text1"/>
                <w:kern w:val="0"/>
                <w:sz w:val="24"/>
              </w:rPr>
              <w:t>(</w:t>
            </w:r>
            <w:r>
              <w:rPr>
                <w:rFonts w:hint="eastAsia" w:ascii="宋体" w:hAnsi="宋体" w:cs="宋体"/>
                <w:color w:val="000000" w:themeColor="text1"/>
                <w:kern w:val="0"/>
                <w:sz w:val="24"/>
              </w:rPr>
              <w:t>元</w:t>
            </w:r>
            <w:r>
              <w:rPr>
                <w:rFonts w:ascii="宋体" w:hAnsi="宋体" w:cs="宋体"/>
                <w:color w:val="000000" w:themeColor="text1"/>
                <w:kern w:val="0"/>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651" w:type="dxa"/>
            <w:vAlign w:val="center"/>
          </w:tcPr>
          <w:p>
            <w:pPr>
              <w:spacing w:line="240" w:lineRule="atLeast"/>
              <w:ind w:left="-48" w:leftChars="-23" w:right="-65" w:rightChars="-31"/>
              <w:jc w:val="center"/>
              <w:rPr>
                <w:rFonts w:ascii="宋体" w:cs="宋体"/>
                <w:color w:val="000000" w:themeColor="text1"/>
                <w:kern w:val="0"/>
                <w:sz w:val="24"/>
                <w:szCs w:val="24"/>
              </w:rPr>
            </w:pPr>
            <w:r>
              <w:rPr>
                <w:rFonts w:hint="eastAsia" w:ascii="宋体" w:cs="宋体"/>
                <w:color w:val="000000" w:themeColor="text1"/>
                <w:kern w:val="0"/>
                <w:sz w:val="24"/>
                <w:szCs w:val="24"/>
              </w:rPr>
              <w:t>1</w:t>
            </w:r>
          </w:p>
        </w:tc>
        <w:tc>
          <w:tcPr>
            <w:tcW w:w="1981" w:type="dxa"/>
            <w:gridSpan w:val="2"/>
            <w:vAlign w:val="center"/>
          </w:tcPr>
          <w:p>
            <w:pPr>
              <w:spacing w:line="240" w:lineRule="atLeast"/>
              <w:ind w:left="-48" w:leftChars="-23" w:right="-65" w:rightChars="-31"/>
              <w:jc w:val="center"/>
              <w:rPr>
                <w:rFonts w:ascii="宋体" w:cs="宋体"/>
                <w:color w:val="000000" w:themeColor="text1"/>
                <w:kern w:val="0"/>
                <w:sz w:val="24"/>
                <w:szCs w:val="24"/>
              </w:rPr>
            </w:pPr>
          </w:p>
        </w:tc>
        <w:tc>
          <w:tcPr>
            <w:tcW w:w="2954"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119"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134"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708"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651" w:type="dxa"/>
            <w:vAlign w:val="center"/>
          </w:tcPr>
          <w:p>
            <w:pPr>
              <w:spacing w:line="240" w:lineRule="atLeast"/>
              <w:ind w:left="-48" w:leftChars="-23" w:right="-65" w:rightChars="-31"/>
              <w:jc w:val="center"/>
              <w:rPr>
                <w:rFonts w:ascii="宋体" w:cs="宋体"/>
                <w:color w:val="000000" w:themeColor="text1"/>
                <w:kern w:val="0"/>
                <w:sz w:val="24"/>
                <w:szCs w:val="24"/>
              </w:rPr>
            </w:pPr>
            <w:r>
              <w:rPr>
                <w:rFonts w:hint="eastAsia" w:ascii="宋体" w:cs="宋体"/>
                <w:color w:val="000000" w:themeColor="text1"/>
                <w:kern w:val="0"/>
                <w:sz w:val="24"/>
                <w:szCs w:val="24"/>
              </w:rPr>
              <w:t>2</w:t>
            </w:r>
          </w:p>
        </w:tc>
        <w:tc>
          <w:tcPr>
            <w:tcW w:w="1981" w:type="dxa"/>
            <w:gridSpan w:val="2"/>
            <w:vAlign w:val="center"/>
          </w:tcPr>
          <w:p>
            <w:pPr>
              <w:spacing w:line="240" w:lineRule="atLeast"/>
              <w:ind w:left="-48" w:leftChars="-23" w:right="-65" w:rightChars="-31"/>
              <w:jc w:val="center"/>
              <w:rPr>
                <w:rFonts w:ascii="宋体" w:cs="宋体"/>
                <w:color w:val="000000" w:themeColor="text1"/>
                <w:kern w:val="0"/>
                <w:sz w:val="24"/>
                <w:szCs w:val="24"/>
              </w:rPr>
            </w:pPr>
          </w:p>
        </w:tc>
        <w:tc>
          <w:tcPr>
            <w:tcW w:w="2954"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119"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134"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708"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51" w:type="dxa"/>
            <w:vAlign w:val="center"/>
          </w:tcPr>
          <w:p>
            <w:pPr>
              <w:spacing w:line="240" w:lineRule="atLeast"/>
              <w:ind w:left="-48" w:leftChars="-23" w:right="-65" w:rightChars="-31"/>
              <w:jc w:val="center"/>
              <w:rPr>
                <w:rFonts w:ascii="宋体" w:cs="宋体"/>
                <w:color w:val="000000" w:themeColor="text1"/>
                <w:kern w:val="0"/>
                <w:sz w:val="24"/>
                <w:szCs w:val="24"/>
              </w:rPr>
            </w:pPr>
            <w:r>
              <w:rPr>
                <w:rFonts w:hint="eastAsia" w:ascii="宋体" w:cs="宋体"/>
                <w:color w:val="000000" w:themeColor="text1"/>
                <w:kern w:val="0"/>
                <w:sz w:val="24"/>
                <w:szCs w:val="24"/>
              </w:rPr>
              <w:t>....</w:t>
            </w:r>
          </w:p>
        </w:tc>
        <w:tc>
          <w:tcPr>
            <w:tcW w:w="1981" w:type="dxa"/>
            <w:gridSpan w:val="2"/>
            <w:vAlign w:val="center"/>
          </w:tcPr>
          <w:p>
            <w:pPr>
              <w:spacing w:line="240" w:lineRule="atLeast"/>
              <w:ind w:left="-48" w:leftChars="-23" w:right="-65" w:rightChars="-31"/>
              <w:jc w:val="center"/>
              <w:rPr>
                <w:rFonts w:ascii="宋体" w:cs="宋体"/>
                <w:color w:val="000000" w:themeColor="text1"/>
                <w:kern w:val="0"/>
                <w:sz w:val="24"/>
                <w:szCs w:val="24"/>
              </w:rPr>
            </w:pPr>
          </w:p>
        </w:tc>
        <w:tc>
          <w:tcPr>
            <w:tcW w:w="2954"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119"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134"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708"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708" w:type="dxa"/>
            <w:gridSpan w:val="2"/>
            <w:vAlign w:val="center"/>
          </w:tcPr>
          <w:p>
            <w:pPr>
              <w:spacing w:line="240" w:lineRule="atLeast"/>
              <w:ind w:left="-48" w:leftChars="-23" w:right="-65" w:rightChars="-31"/>
              <w:jc w:val="center"/>
              <w:rPr>
                <w:rFonts w:ascii="宋体" w:cs="宋体"/>
                <w:color w:val="000000" w:themeColor="text1"/>
                <w:kern w:val="0"/>
                <w:sz w:val="24"/>
                <w:szCs w:val="24"/>
              </w:rPr>
            </w:pPr>
            <w:r>
              <w:rPr>
                <w:rFonts w:hint="eastAsia" w:ascii="宋体" w:hAnsi="宋体" w:cs="宋体"/>
                <w:color w:val="000000" w:themeColor="text1"/>
                <w:kern w:val="0"/>
                <w:sz w:val="24"/>
                <w:szCs w:val="24"/>
              </w:rPr>
              <w:t>投标总报价</w:t>
            </w:r>
          </w:p>
        </w:tc>
        <w:tc>
          <w:tcPr>
            <w:tcW w:w="7839" w:type="dxa"/>
            <w:gridSpan w:val="5"/>
            <w:vAlign w:val="center"/>
          </w:tcPr>
          <w:p>
            <w:pPr>
              <w:spacing w:after="120" w:line="400" w:lineRule="atLeast"/>
              <w:ind w:right="-65" w:rightChars="-31"/>
              <w:jc w:val="left"/>
              <w:rPr>
                <w:rFonts w:ascii="宋体" w:cs="宋体"/>
                <w:color w:val="000000" w:themeColor="text1"/>
                <w:kern w:val="0"/>
                <w:sz w:val="24"/>
                <w:szCs w:val="24"/>
              </w:rPr>
            </w:pPr>
            <w:r>
              <w:rPr>
                <w:rFonts w:hint="eastAsia" w:ascii="宋体" w:hAnsi="宋体" w:cs="宋体"/>
                <w:color w:val="000000" w:themeColor="text1"/>
                <w:kern w:val="0"/>
                <w:sz w:val="24"/>
                <w:szCs w:val="24"/>
              </w:rPr>
              <w:t>(大写)：  万 仟 佰 拾 元 整            （</w:t>
            </w:r>
            <w:r>
              <w:rPr>
                <w:rFonts w:ascii="宋体" w:cs="宋体"/>
                <w:color w:val="000000" w:themeColor="text1"/>
                <w:kern w:val="0"/>
                <w:sz w:val="24"/>
                <w:szCs w:val="24"/>
              </w:rPr>
              <w:t>¥</w:t>
            </w:r>
            <w:r>
              <w:rPr>
                <w:rFonts w:hint="eastAsia" w:ascii="宋体" w:cs="宋体"/>
                <w:color w:val="000000" w:themeColor="text1"/>
                <w:kern w:val="0"/>
                <w:sz w:val="24"/>
                <w:szCs w:val="24"/>
                <w:u w:val="single"/>
              </w:rPr>
              <w:t xml:space="preserve">       </w:t>
            </w:r>
            <w:r>
              <w:rPr>
                <w:rFonts w:hint="eastAsia" w:ascii="宋体" w:hAnsi="宋体" w:cs="宋体"/>
                <w:color w:val="000000" w:themeColor="text1"/>
                <w:kern w:val="0"/>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vAlign w:val="center"/>
          </w:tcPr>
          <w:p>
            <w:pPr>
              <w:spacing w:line="240" w:lineRule="atLeast"/>
              <w:ind w:left="-48" w:leftChars="-23" w:right="-65" w:rightChars="-31"/>
              <w:jc w:val="center"/>
              <w:rPr>
                <w:rFonts w:ascii="宋体" w:cs="宋体"/>
                <w:color w:val="000000" w:themeColor="text1"/>
                <w:kern w:val="0"/>
                <w:sz w:val="24"/>
                <w:szCs w:val="24"/>
              </w:rPr>
            </w:pPr>
            <w:r>
              <w:rPr>
                <w:rFonts w:hint="eastAsia" w:ascii="宋体" w:hAnsi="宋体" w:cs="宋体"/>
                <w:color w:val="000000" w:themeColor="text1"/>
                <w:kern w:val="0"/>
                <w:sz w:val="24"/>
                <w:szCs w:val="24"/>
              </w:rPr>
              <w:t>项目工期</w:t>
            </w:r>
          </w:p>
          <w:p>
            <w:pPr>
              <w:spacing w:line="240" w:lineRule="atLeast"/>
              <w:ind w:left="-48" w:leftChars="-23" w:right="-65" w:rightChars="-31"/>
              <w:jc w:val="center"/>
              <w:rPr>
                <w:rFonts w:ascii="宋体" w:cs="宋体"/>
                <w:color w:val="000000" w:themeColor="text1"/>
                <w:kern w:val="0"/>
                <w:sz w:val="24"/>
                <w:szCs w:val="24"/>
              </w:rPr>
            </w:pPr>
            <w:r>
              <w:rPr>
                <w:rFonts w:hint="eastAsia" w:ascii="宋体" w:hAnsi="宋体" w:cs="宋体"/>
                <w:color w:val="000000" w:themeColor="text1"/>
                <w:kern w:val="0"/>
                <w:sz w:val="24"/>
                <w:szCs w:val="24"/>
              </w:rPr>
              <w:t>（服务期限）</w:t>
            </w:r>
          </w:p>
        </w:tc>
        <w:tc>
          <w:tcPr>
            <w:tcW w:w="7839" w:type="dxa"/>
            <w:gridSpan w:val="5"/>
            <w:vAlign w:val="center"/>
          </w:tcPr>
          <w:p>
            <w:pPr>
              <w:spacing w:line="240" w:lineRule="atLeast"/>
              <w:ind w:left="-48" w:leftChars="-23" w:right="-65" w:rightChars="-31"/>
              <w:jc w:val="left"/>
              <w:rPr>
                <w:rFonts w:ascii="宋体" w:cs="宋体"/>
                <w:color w:val="000000" w:themeColor="text1"/>
                <w:kern w:val="0"/>
                <w:sz w:val="24"/>
                <w:szCs w:val="24"/>
              </w:rPr>
            </w:pPr>
            <w:r>
              <w:rPr>
                <w:rFonts w:hint="eastAsia" w:ascii="宋体" w:hAnsi="宋体" w:cs="宋体"/>
                <w:color w:val="000000" w:themeColor="text1"/>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708" w:type="dxa"/>
            <w:gridSpan w:val="2"/>
            <w:vAlign w:val="center"/>
          </w:tcPr>
          <w:p>
            <w:pPr>
              <w:spacing w:line="240" w:lineRule="atLeast"/>
              <w:ind w:left="-48" w:leftChars="-23" w:right="-65" w:rightChars="-31"/>
              <w:jc w:val="center"/>
              <w:rPr>
                <w:rFonts w:ascii="宋体" w:cs="宋体"/>
                <w:color w:val="000000" w:themeColor="text1"/>
                <w:kern w:val="0"/>
                <w:sz w:val="24"/>
                <w:szCs w:val="24"/>
              </w:rPr>
            </w:pPr>
            <w:r>
              <w:rPr>
                <w:rFonts w:hint="eastAsia" w:ascii="宋体" w:hAnsi="宋体" w:cs="宋体"/>
                <w:color w:val="000000" w:themeColor="text1"/>
                <w:kern w:val="0"/>
                <w:sz w:val="24"/>
                <w:szCs w:val="24"/>
              </w:rPr>
              <w:t>质保期</w:t>
            </w:r>
          </w:p>
        </w:tc>
        <w:tc>
          <w:tcPr>
            <w:tcW w:w="7839" w:type="dxa"/>
            <w:gridSpan w:val="5"/>
            <w:vAlign w:val="center"/>
          </w:tcPr>
          <w:p>
            <w:pPr>
              <w:spacing w:line="240" w:lineRule="atLeast"/>
              <w:ind w:left="-48" w:leftChars="-23" w:right="-65" w:rightChars="-31"/>
              <w:jc w:val="left"/>
              <w:rPr>
                <w:rFonts w:ascii="宋体" w:cs="宋体"/>
                <w:color w:val="000000" w:themeColor="text1"/>
                <w:kern w:val="0"/>
                <w:sz w:val="24"/>
                <w:szCs w:val="24"/>
              </w:rPr>
            </w:pPr>
            <w:r>
              <w:rPr>
                <w:rFonts w:hint="eastAsia" w:ascii="宋体" w:hAnsi="宋体" w:cs="宋体"/>
                <w:color w:val="000000" w:themeColor="text1"/>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708" w:type="dxa"/>
            <w:gridSpan w:val="2"/>
            <w:tcBorders>
              <w:bottom w:val="double" w:color="auto" w:sz="4" w:space="0"/>
            </w:tcBorders>
            <w:vAlign w:val="center"/>
          </w:tcPr>
          <w:p>
            <w:pPr>
              <w:spacing w:line="240" w:lineRule="atLeast"/>
              <w:ind w:left="-48" w:leftChars="-23" w:right="-65" w:rightChars="-31"/>
              <w:jc w:val="center"/>
              <w:rPr>
                <w:rFonts w:ascii="宋体" w:cs="宋体"/>
                <w:color w:val="000000" w:themeColor="text1"/>
                <w:kern w:val="0"/>
                <w:sz w:val="24"/>
                <w:szCs w:val="24"/>
              </w:rPr>
            </w:pPr>
            <w:r>
              <w:rPr>
                <w:rFonts w:hint="eastAsia" w:ascii="宋体" w:hAnsi="宋体" w:cs="宋体"/>
                <w:color w:val="000000" w:themeColor="text1"/>
                <w:kern w:val="0"/>
                <w:sz w:val="24"/>
                <w:szCs w:val="24"/>
              </w:rPr>
              <w:t>备注</w:t>
            </w:r>
          </w:p>
        </w:tc>
        <w:tc>
          <w:tcPr>
            <w:tcW w:w="7839" w:type="dxa"/>
            <w:gridSpan w:val="5"/>
            <w:tcBorders>
              <w:bottom w:val="double" w:color="auto" w:sz="4" w:space="0"/>
            </w:tcBorders>
            <w:vAlign w:val="center"/>
          </w:tcPr>
          <w:p>
            <w:pPr>
              <w:spacing w:line="276" w:lineRule="auto"/>
              <w:ind w:left="-48" w:leftChars="-23" w:right="-65" w:rightChars="-31"/>
              <w:jc w:val="left"/>
              <w:rPr>
                <w:rFonts w:ascii="宋体"/>
                <w:color w:val="000000" w:themeColor="text1"/>
                <w:sz w:val="24"/>
              </w:rPr>
            </w:pPr>
            <w:r>
              <w:rPr>
                <w:rFonts w:hint="eastAsia" w:ascii="Times New Roman" w:hAnsi="宋体"/>
                <w:color w:val="000000" w:themeColor="text1"/>
                <w:sz w:val="24"/>
                <w:szCs w:val="24"/>
              </w:rPr>
              <w:t>小型和微型企业、监狱企业、残疾人福利性单位价格扣除</w:t>
            </w:r>
            <w:r>
              <w:rPr>
                <w:rFonts w:hint="eastAsia" w:ascii="宋体" w:hAnsi="宋体"/>
                <w:color w:val="000000" w:themeColor="text1"/>
                <w:sz w:val="24"/>
              </w:rPr>
              <w:t>合计（</w:t>
            </w:r>
            <w:r>
              <w:rPr>
                <w:rFonts w:hint="eastAsia" w:ascii="宋体" w:hAnsi="宋体" w:cs="宋体"/>
                <w:color w:val="000000" w:themeColor="text1"/>
                <w:kern w:val="0"/>
                <w:sz w:val="24"/>
                <w:szCs w:val="24"/>
              </w:rPr>
              <w:t>大写</w:t>
            </w:r>
            <w:r>
              <w:rPr>
                <w:rFonts w:hint="eastAsia" w:ascii="宋体" w:hAnsi="宋体"/>
                <w:color w:val="000000" w:themeColor="text1"/>
                <w:sz w:val="24"/>
              </w:rPr>
              <w:t>）：</w:t>
            </w:r>
          </w:p>
          <w:p>
            <w:pPr>
              <w:spacing w:line="276" w:lineRule="auto"/>
              <w:ind w:left="-48" w:leftChars="-23" w:right="-65" w:rightChars="-31"/>
              <w:jc w:val="left"/>
              <w:rPr>
                <w:rFonts w:ascii="宋体" w:cs="宋体"/>
                <w:color w:val="000000" w:themeColor="text1"/>
                <w:kern w:val="0"/>
                <w:sz w:val="24"/>
                <w:szCs w:val="24"/>
                <w:lang w:val="zh-CN"/>
              </w:rPr>
            </w:pPr>
            <w:r>
              <w:rPr>
                <w:rFonts w:hint="eastAsia" w:ascii="宋体" w:hAnsi="宋体" w:cs="宋体"/>
                <w:color w:val="000000" w:themeColor="text1"/>
                <w:kern w:val="0"/>
                <w:sz w:val="24"/>
                <w:szCs w:val="24"/>
              </w:rPr>
              <w:t>万仟佰拾元整</w:t>
            </w:r>
            <w:r>
              <w:rPr>
                <w:rFonts w:hint="eastAsia" w:ascii="宋体" w:hAnsi="宋体" w:cs="宋体"/>
                <w:color w:val="000000" w:themeColor="text1"/>
                <w:kern w:val="0"/>
                <w:sz w:val="24"/>
              </w:rPr>
              <w:t>（或以联合体投标的，</w:t>
            </w:r>
            <w:r>
              <w:rPr>
                <w:rFonts w:hint="eastAsia" w:ascii="宋体" w:hAnsi="宋体"/>
                <w:bCs/>
                <w:color w:val="000000" w:themeColor="text1"/>
                <w:sz w:val="24"/>
              </w:rPr>
              <w:t>联合协议中约定小型、微型企业的协议合同金额占到联合体协议合同总金额的</w:t>
            </w:r>
            <w:r>
              <w:rPr>
                <w:rFonts w:ascii="宋体" w:hAnsi="宋体"/>
                <w:bCs/>
                <w:color w:val="000000" w:themeColor="text1"/>
                <w:sz w:val="24"/>
              </w:rPr>
              <w:t>%</w:t>
            </w:r>
            <w:r>
              <w:rPr>
                <w:rFonts w:hint="eastAsia" w:ascii="宋体" w:hAnsi="宋体"/>
                <w:bCs/>
                <w:color w:val="000000" w:themeColor="text1"/>
                <w:sz w:val="24"/>
              </w:rPr>
              <w:t>）</w:t>
            </w:r>
          </w:p>
        </w:tc>
      </w:tr>
    </w:tbl>
    <w:p>
      <w:pPr>
        <w:spacing w:line="360" w:lineRule="auto"/>
        <w:ind w:left="1049" w:hanging="1048" w:hangingChars="437"/>
        <w:jc w:val="left"/>
        <w:rPr>
          <w:rFonts w:ascii="宋体"/>
          <w:color w:val="000000" w:themeColor="text1"/>
          <w:sz w:val="24"/>
        </w:rPr>
      </w:pPr>
      <w:r>
        <w:rPr>
          <w:rFonts w:hint="eastAsia" w:ascii="宋体" w:hAnsi="宋体"/>
          <w:color w:val="000000" w:themeColor="text1"/>
          <w:sz w:val="24"/>
        </w:rPr>
        <w:t>说明：</w:t>
      </w:r>
      <w:r>
        <w:rPr>
          <w:rFonts w:ascii="宋体" w:hAnsi="宋体"/>
          <w:color w:val="000000" w:themeColor="text1"/>
          <w:sz w:val="24"/>
        </w:rPr>
        <w:t>1</w:t>
      </w:r>
      <w:r>
        <w:rPr>
          <w:rFonts w:hint="eastAsia" w:ascii="宋体" w:hAnsi="宋体"/>
          <w:color w:val="000000" w:themeColor="text1"/>
          <w:sz w:val="24"/>
        </w:rPr>
        <w:t>．所有价格均用人民币表示，单位为万元。</w:t>
      </w:r>
    </w:p>
    <w:p>
      <w:pPr>
        <w:spacing w:line="360" w:lineRule="auto"/>
        <w:ind w:left="1061" w:leftChars="339" w:hanging="350" w:hangingChars="146"/>
        <w:jc w:val="left"/>
        <w:rPr>
          <w:rFonts w:asci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．价格应按照招标文件第二章“投标人须知”中第</w:t>
      </w:r>
      <w:r>
        <w:rPr>
          <w:rFonts w:ascii="宋体" w:hAnsi="宋体"/>
          <w:color w:val="000000" w:themeColor="text1"/>
          <w:sz w:val="24"/>
          <w:szCs w:val="24"/>
        </w:rPr>
        <w:t>12</w:t>
      </w:r>
      <w:r>
        <w:rPr>
          <w:rFonts w:hint="eastAsia" w:ascii="宋体" w:hAnsi="宋体"/>
          <w:color w:val="000000" w:themeColor="text1"/>
          <w:sz w:val="24"/>
          <w:szCs w:val="24"/>
        </w:rPr>
        <w:t>条的要求进行报价。</w:t>
      </w:r>
    </w:p>
    <w:p>
      <w:pPr>
        <w:spacing w:line="360" w:lineRule="auto"/>
        <w:ind w:left="1061" w:leftChars="339" w:hanging="350" w:hangingChars="146"/>
        <w:jc w:val="left"/>
        <w:rPr>
          <w:rFonts w:ascii="宋体"/>
          <w:b/>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．为方便开标时唱标，投标人应另附《开标一览表》及《交纳投标保证金的银行凭证》（如有交纳保证金要求的）各一份一并</w:t>
      </w:r>
      <w:r>
        <w:rPr>
          <w:rFonts w:hint="eastAsia" w:ascii="宋体" w:hAnsi="宋体"/>
          <w:color w:val="000000" w:themeColor="text1"/>
          <w:spacing w:val="-6"/>
          <w:kern w:val="0"/>
          <w:sz w:val="24"/>
          <w:szCs w:val="24"/>
        </w:rPr>
        <w:t>装入一个信封，单独密封提交</w:t>
      </w:r>
      <w:r>
        <w:rPr>
          <w:rFonts w:hint="eastAsia" w:ascii="宋体" w:hAnsi="宋体"/>
          <w:color w:val="000000" w:themeColor="text1"/>
          <w:sz w:val="24"/>
          <w:szCs w:val="24"/>
        </w:rPr>
        <w:t>，并在信封上标明“开标一览表”字样。未单独提交或单独提交的上述资料未按照招标文件规定的格式填写完整并签字、盖章</w:t>
      </w:r>
      <w:r>
        <w:rPr>
          <w:rFonts w:hint="eastAsia" w:ascii="宋体" w:hAnsi="宋体"/>
          <w:color w:val="000000" w:themeColor="text1"/>
          <w:sz w:val="24"/>
          <w:szCs w:val="20"/>
          <w:lang w:val="zh-CN"/>
        </w:rPr>
        <w:t>的集中采购机构</w:t>
      </w:r>
      <w:r>
        <w:rPr>
          <w:rFonts w:hint="eastAsia" w:ascii="宋体" w:hAnsi="宋体"/>
          <w:bCs/>
          <w:color w:val="000000" w:themeColor="text1"/>
          <w:sz w:val="24"/>
          <w:szCs w:val="20"/>
          <w:lang w:val="zh-CN"/>
        </w:rPr>
        <w:t>拒绝</w:t>
      </w:r>
      <w:r>
        <w:rPr>
          <w:rFonts w:hint="eastAsia" w:ascii="宋体" w:hAnsi="宋体"/>
          <w:color w:val="000000" w:themeColor="text1"/>
          <w:sz w:val="24"/>
          <w:szCs w:val="20"/>
          <w:lang w:val="zh-CN"/>
        </w:rPr>
        <w:t>其投标。</w:t>
      </w:r>
    </w:p>
    <w:p>
      <w:pPr>
        <w:spacing w:line="360" w:lineRule="auto"/>
        <w:ind w:left="1061" w:leftChars="339" w:hanging="350" w:hangingChars="146"/>
        <w:jc w:val="left"/>
        <w:rPr>
          <w:rFonts w:ascii="宋体"/>
          <w:color w:val="000000" w:themeColor="text1"/>
          <w:sz w:val="24"/>
          <w:szCs w:val="24"/>
        </w:rPr>
      </w:pPr>
      <w:r>
        <w:rPr>
          <w:rFonts w:ascii="宋体" w:hAnsi="宋体"/>
          <w:color w:val="000000" w:themeColor="text1"/>
          <w:sz w:val="24"/>
          <w:szCs w:val="24"/>
        </w:rPr>
        <w:t xml:space="preserve">4. </w:t>
      </w:r>
      <w:r>
        <w:rPr>
          <w:rFonts w:hint="eastAsia" w:ascii="宋体" w:hAnsi="宋体"/>
          <w:color w:val="000000" w:themeColor="text1"/>
          <w:sz w:val="24"/>
          <w:szCs w:val="24"/>
        </w:rPr>
        <w:t>本表应按要求由投标人法人授权代表签字，并加盖投标单位公章，否则将被视为非响应性投标，将按照</w:t>
      </w:r>
      <w:r>
        <w:rPr>
          <w:rFonts w:hint="eastAsia" w:ascii="宋体" w:hAnsi="宋体"/>
          <w:b/>
          <w:color w:val="000000" w:themeColor="text1"/>
          <w:sz w:val="24"/>
          <w:szCs w:val="24"/>
        </w:rPr>
        <w:t>无效投标处理</w:t>
      </w:r>
      <w:r>
        <w:rPr>
          <w:rFonts w:hint="eastAsia" w:ascii="宋体" w:hAnsi="宋体"/>
          <w:color w:val="000000" w:themeColor="text1"/>
          <w:sz w:val="24"/>
          <w:szCs w:val="24"/>
        </w:rPr>
        <w:t>。</w:t>
      </w:r>
    </w:p>
    <w:p>
      <w:pPr>
        <w:spacing w:before="100" w:beforeAutospacing="1" w:after="100" w:afterAutospacing="1" w:line="360" w:lineRule="auto"/>
        <w:ind w:firstLine="3316" w:firstLineChars="1382"/>
        <w:rPr>
          <w:rFonts w:ascii="宋体"/>
          <w:color w:val="000000" w:themeColor="text1"/>
          <w:sz w:val="24"/>
          <w:szCs w:val="21"/>
          <w:u w:val="single"/>
          <w:lang w:val="zh-CN"/>
        </w:rPr>
      </w:pPr>
      <w:r>
        <w:rPr>
          <w:rFonts w:hint="eastAsia" w:ascii="宋体" w:hAnsi="宋体"/>
          <w:color w:val="000000" w:themeColor="text1"/>
          <w:sz w:val="24"/>
          <w:szCs w:val="21"/>
          <w:lang w:val="zh-CN"/>
        </w:rPr>
        <w:t>投标人（公章）：</w:t>
      </w:r>
    </w:p>
    <w:p>
      <w:pPr>
        <w:spacing w:before="100" w:beforeAutospacing="1" w:after="100" w:afterAutospacing="1" w:line="360" w:lineRule="auto"/>
        <w:ind w:firstLine="3316" w:firstLineChars="1382"/>
        <w:rPr>
          <w:rFonts w:ascii="宋体"/>
          <w:color w:val="000000" w:themeColor="text1"/>
          <w:sz w:val="24"/>
          <w:szCs w:val="21"/>
          <w:u w:val="single"/>
          <w:lang w:val="zh-CN"/>
        </w:rPr>
      </w:pPr>
      <w:r>
        <w:rPr>
          <w:rFonts w:hint="eastAsia" w:ascii="宋体" w:hAnsi="宋体"/>
          <w:color w:val="000000" w:themeColor="text1"/>
          <w:sz w:val="24"/>
          <w:szCs w:val="21"/>
          <w:lang w:val="zh-CN"/>
        </w:rPr>
        <w:t>投标人授权代表（签字）：</w:t>
      </w:r>
    </w:p>
    <w:p>
      <w:pPr>
        <w:spacing w:before="100" w:beforeAutospacing="1" w:after="100" w:afterAutospacing="1" w:line="360" w:lineRule="auto"/>
        <w:ind w:firstLine="3316" w:firstLineChars="1382"/>
        <w:rPr>
          <w:rFonts w:ascii="宋体"/>
          <w:color w:val="000000" w:themeColor="text1"/>
          <w:sz w:val="24"/>
          <w:szCs w:val="21"/>
          <w:u w:val="single"/>
          <w:lang w:val="zh-CN"/>
        </w:rPr>
      </w:pPr>
      <w:r>
        <w:rPr>
          <w:rFonts w:hint="eastAsia" w:ascii="宋体" w:hAnsi="宋体"/>
          <w:color w:val="000000" w:themeColor="text1"/>
          <w:sz w:val="24"/>
          <w:szCs w:val="21"/>
          <w:lang w:val="zh-CN"/>
        </w:rPr>
        <w:t>投标时间：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288" w:hanging="1288"/>
        <w:rPr>
          <w:rFonts w:ascii="宋体"/>
          <w:color w:val="000000" w:themeColor="text1"/>
        </w:rPr>
      </w:pPr>
      <w:bookmarkStart w:id="163" w:name="_Toc494665559"/>
      <w:bookmarkStart w:id="164" w:name="_Toc494721106"/>
      <w:bookmarkStart w:id="165" w:name="_Toc494745323"/>
      <w:bookmarkStart w:id="166" w:name="_Toc494665956"/>
      <w:bookmarkStart w:id="167" w:name="_Toc8707"/>
      <w:bookmarkStart w:id="168" w:name="_Toc494665006"/>
      <w:bookmarkStart w:id="169" w:name="_Toc494702276"/>
      <w:bookmarkStart w:id="170" w:name="_Toc494577411"/>
      <w:r>
        <w:rPr>
          <w:rFonts w:hint="eastAsia" w:ascii="宋体" w:hAnsi="宋体"/>
          <w:color w:val="000000" w:themeColor="text1"/>
        </w:rPr>
        <w:t>投标报价明细表</w:t>
      </w:r>
      <w:bookmarkEnd w:id="163"/>
      <w:bookmarkEnd w:id="164"/>
      <w:bookmarkEnd w:id="165"/>
      <w:bookmarkEnd w:id="166"/>
      <w:bookmarkEnd w:id="167"/>
      <w:bookmarkEnd w:id="168"/>
      <w:bookmarkEnd w:id="169"/>
      <w:bookmarkEnd w:id="170"/>
    </w:p>
    <w:p>
      <w:pPr>
        <w:spacing w:line="360" w:lineRule="auto"/>
        <w:jc w:val="left"/>
        <w:rPr>
          <w:rFonts w:ascii="宋体"/>
          <w:b/>
          <w:color w:val="000000" w:themeColor="text1"/>
          <w:sz w:val="24"/>
          <w:szCs w:val="21"/>
          <w:u w:val="single"/>
          <w:lang w:val="zh-CN"/>
        </w:rPr>
      </w:pPr>
      <w:r>
        <w:rPr>
          <w:rFonts w:hint="eastAsia" w:ascii="宋体" w:hAnsi="宋体"/>
          <w:b/>
          <w:color w:val="000000" w:themeColor="text1"/>
          <w:sz w:val="24"/>
          <w:szCs w:val="21"/>
          <w:lang w:val="zh-CN"/>
        </w:rPr>
        <w:t>投</w:t>
      </w:r>
      <w:r>
        <w:rPr>
          <w:rFonts w:ascii="宋体" w:hAnsi="宋体"/>
          <w:b/>
          <w:color w:val="000000" w:themeColor="text1"/>
          <w:sz w:val="24"/>
          <w:szCs w:val="21"/>
          <w:lang w:val="zh-CN"/>
        </w:rPr>
        <w:t xml:space="preserve"> </w:t>
      </w:r>
      <w:r>
        <w:rPr>
          <w:rFonts w:hint="eastAsia" w:ascii="宋体" w:hAnsi="宋体"/>
          <w:b/>
          <w:color w:val="000000" w:themeColor="text1"/>
          <w:sz w:val="24"/>
          <w:szCs w:val="21"/>
          <w:lang w:val="zh-CN"/>
        </w:rPr>
        <w:t>标</w:t>
      </w:r>
      <w:r>
        <w:rPr>
          <w:rFonts w:ascii="宋体" w:hAnsi="宋体"/>
          <w:b/>
          <w:color w:val="000000" w:themeColor="text1"/>
          <w:sz w:val="24"/>
          <w:szCs w:val="21"/>
          <w:lang w:val="zh-CN"/>
        </w:rPr>
        <w:t xml:space="preserve"> </w:t>
      </w:r>
      <w:r>
        <w:rPr>
          <w:rFonts w:hint="eastAsia" w:ascii="宋体" w:hAnsi="宋体"/>
          <w:b/>
          <w:color w:val="000000" w:themeColor="text1"/>
          <w:sz w:val="24"/>
          <w:szCs w:val="21"/>
          <w:lang w:val="zh-CN"/>
        </w:rPr>
        <w:t>人：</w:t>
      </w:r>
    </w:p>
    <w:p>
      <w:pPr>
        <w:spacing w:line="360" w:lineRule="auto"/>
        <w:jc w:val="left"/>
        <w:rPr>
          <w:rFonts w:ascii="宋体"/>
          <w:b/>
          <w:color w:val="000000" w:themeColor="text1"/>
          <w:sz w:val="24"/>
          <w:szCs w:val="21"/>
          <w:lang w:val="zh-CN"/>
        </w:rPr>
      </w:pPr>
      <w:r>
        <w:rPr>
          <w:rFonts w:hint="eastAsia" w:ascii="宋体" w:hAnsi="宋体"/>
          <w:b/>
          <w:color w:val="000000" w:themeColor="text1"/>
          <w:sz w:val="24"/>
          <w:szCs w:val="21"/>
          <w:lang w:val="zh-CN"/>
        </w:rPr>
        <w:t>项目名称：</w:t>
      </w:r>
    </w:p>
    <w:p>
      <w:pPr>
        <w:spacing w:line="360" w:lineRule="auto"/>
        <w:jc w:val="left"/>
        <w:rPr>
          <w:rFonts w:ascii="宋体"/>
          <w:b/>
          <w:color w:val="000000" w:themeColor="text1"/>
          <w:sz w:val="24"/>
          <w:szCs w:val="21"/>
          <w:u w:val="single"/>
          <w:lang w:val="zh-CN"/>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D9D9D9"/>
            <w:vAlign w:val="center"/>
          </w:tcPr>
          <w:p>
            <w:pPr>
              <w:spacing w:line="360" w:lineRule="auto"/>
              <w:ind w:left="-23" w:leftChars="-11" w:right="-65" w:rightChars="-31"/>
              <w:jc w:val="center"/>
              <w:rPr>
                <w:rFonts w:ascii="宋体" w:cs="宋体"/>
                <w:color w:val="000000" w:themeColor="text1"/>
                <w:kern w:val="0"/>
                <w:sz w:val="24"/>
              </w:rPr>
            </w:pPr>
            <w:r>
              <w:rPr>
                <w:rFonts w:hint="eastAsia" w:ascii="宋体" w:hAnsi="宋体" w:cs="宋体"/>
                <w:color w:val="000000" w:themeColor="text1"/>
                <w:kern w:val="0"/>
                <w:sz w:val="24"/>
              </w:rPr>
              <w:t>序号</w:t>
            </w:r>
          </w:p>
        </w:tc>
        <w:tc>
          <w:tcPr>
            <w:tcW w:w="2611" w:type="dxa"/>
            <w:shd w:val="clear" w:color="auto" w:fill="D9D9D9"/>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名称</w:t>
            </w:r>
          </w:p>
        </w:tc>
        <w:tc>
          <w:tcPr>
            <w:tcW w:w="1134" w:type="dxa"/>
            <w:shd w:val="clear" w:color="auto" w:fill="D9D9D9"/>
            <w:vAlign w:val="center"/>
          </w:tcPr>
          <w:p>
            <w:pPr>
              <w:ind w:left="-48" w:leftChars="-23" w:right="-65" w:rightChars="-31"/>
              <w:jc w:val="center"/>
              <w:rPr>
                <w:rFonts w:ascii="宋体" w:cs="宋体"/>
                <w:color w:val="000000" w:themeColor="text1"/>
                <w:kern w:val="0"/>
                <w:sz w:val="24"/>
              </w:rPr>
            </w:pPr>
            <w:r>
              <w:rPr>
                <w:rFonts w:hint="eastAsia" w:ascii="宋体" w:hAnsi="宋体"/>
                <w:color w:val="000000" w:themeColor="text1"/>
                <w:sz w:val="24"/>
              </w:rPr>
              <w:t>品牌型号规格</w:t>
            </w:r>
          </w:p>
        </w:tc>
        <w:tc>
          <w:tcPr>
            <w:tcW w:w="800" w:type="dxa"/>
            <w:shd w:val="clear" w:color="auto" w:fill="D9D9D9"/>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数量</w:t>
            </w:r>
          </w:p>
        </w:tc>
        <w:tc>
          <w:tcPr>
            <w:tcW w:w="1676" w:type="dxa"/>
            <w:shd w:val="clear" w:color="auto" w:fill="D9D9D9"/>
            <w:vAlign w:val="center"/>
          </w:tcPr>
          <w:p>
            <w:pPr>
              <w:spacing w:line="360" w:lineRule="auto"/>
              <w:ind w:left="-48" w:leftChars="-23" w:right="-65" w:rightChars="-31"/>
              <w:jc w:val="center"/>
              <w:rPr>
                <w:rFonts w:ascii="宋体" w:cs="宋体"/>
                <w:color w:val="000000" w:themeColor="text1"/>
                <w:kern w:val="0"/>
                <w:sz w:val="24"/>
              </w:rPr>
            </w:pPr>
            <w:r>
              <w:rPr>
                <w:rFonts w:hint="eastAsia" w:ascii="宋体" w:hAnsi="宋体" w:cs="宋体"/>
                <w:color w:val="000000" w:themeColor="text1"/>
                <w:kern w:val="0"/>
                <w:sz w:val="24"/>
              </w:rPr>
              <w:t>制造商名称</w:t>
            </w:r>
          </w:p>
        </w:tc>
        <w:tc>
          <w:tcPr>
            <w:tcW w:w="1316" w:type="dxa"/>
            <w:shd w:val="clear" w:color="auto" w:fill="D9D9D9"/>
            <w:vAlign w:val="center"/>
          </w:tcPr>
          <w:p>
            <w:pPr>
              <w:spacing w:line="360" w:lineRule="auto"/>
              <w:ind w:left="-23" w:leftChars="-11" w:right="-65" w:rightChars="-31"/>
              <w:jc w:val="center"/>
              <w:rPr>
                <w:rFonts w:ascii="宋体" w:cs="宋体"/>
                <w:color w:val="000000" w:themeColor="text1"/>
                <w:kern w:val="0"/>
                <w:sz w:val="24"/>
              </w:rPr>
            </w:pPr>
            <w:r>
              <w:rPr>
                <w:rFonts w:hint="eastAsia" w:ascii="宋体" w:hAnsi="宋体" w:cs="宋体"/>
                <w:color w:val="000000" w:themeColor="text1"/>
                <w:kern w:val="0"/>
                <w:sz w:val="24"/>
              </w:rPr>
              <w:t>单价</w:t>
            </w:r>
          </w:p>
        </w:tc>
        <w:tc>
          <w:tcPr>
            <w:tcW w:w="1357" w:type="dxa"/>
            <w:shd w:val="clear" w:color="auto" w:fill="D9D9D9"/>
            <w:vAlign w:val="center"/>
          </w:tcPr>
          <w:p>
            <w:pPr>
              <w:spacing w:line="360" w:lineRule="auto"/>
              <w:ind w:left="-23" w:leftChars="-11" w:right="-65" w:rightChars="-31"/>
              <w:jc w:val="center"/>
              <w:rPr>
                <w:rFonts w:ascii="宋体" w:cs="宋体"/>
                <w:color w:val="000000" w:themeColor="text1"/>
                <w:kern w:val="0"/>
                <w:sz w:val="24"/>
              </w:rPr>
            </w:pPr>
            <w:r>
              <w:rPr>
                <w:rFonts w:hint="eastAsia" w:ascii="宋体" w:hAnsi="宋体" w:cs="宋体"/>
                <w:color w:val="000000" w:themeColor="text1"/>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9"/>
              </w:numPr>
              <w:tabs>
                <w:tab w:val="left" w:pos="82"/>
              </w:tabs>
              <w:adjustRightInd w:val="0"/>
              <w:snapToGrid w:val="0"/>
              <w:jc w:val="center"/>
              <w:rPr>
                <w:rFonts w:ascii="宋体"/>
                <w:color w:val="000000" w:themeColor="text1"/>
                <w:sz w:val="24"/>
              </w:rPr>
            </w:pPr>
          </w:p>
        </w:tc>
        <w:tc>
          <w:tcPr>
            <w:tcW w:w="2611" w:type="dxa"/>
            <w:vAlign w:val="center"/>
          </w:tcPr>
          <w:p>
            <w:pPr>
              <w:tabs>
                <w:tab w:val="left" w:pos="0"/>
                <w:tab w:val="left" w:pos="56"/>
              </w:tabs>
              <w:adjustRightInd w:val="0"/>
              <w:snapToGrid w:val="0"/>
              <w:ind w:left="547" w:hanging="547" w:hangingChars="228"/>
              <w:jc w:val="center"/>
              <w:rPr>
                <w:rFonts w:ascii="宋体"/>
                <w:color w:val="000000" w:themeColor="text1"/>
                <w:sz w:val="24"/>
              </w:rPr>
            </w:pPr>
            <w:r>
              <w:rPr>
                <w:rFonts w:hint="eastAsia" w:ascii="宋体" w:hAnsi="宋体"/>
                <w:color w:val="000000" w:themeColor="text1"/>
                <w:sz w:val="24"/>
              </w:rPr>
              <w:t>货物</w:t>
            </w:r>
            <w:r>
              <w:rPr>
                <w:rFonts w:ascii="宋体" w:hAnsi="宋体"/>
                <w:color w:val="000000" w:themeColor="text1"/>
                <w:sz w:val="24"/>
              </w:rPr>
              <w:t>1</w:t>
            </w:r>
            <w:r>
              <w:rPr>
                <w:rFonts w:hint="eastAsia" w:ascii="宋体" w:hAnsi="宋体"/>
                <w:color w:val="000000" w:themeColor="text1"/>
                <w:sz w:val="24"/>
              </w:rPr>
              <w:t>（工程或服务）</w:t>
            </w:r>
          </w:p>
        </w:tc>
        <w:tc>
          <w:tcPr>
            <w:tcW w:w="113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800" w:type="dxa"/>
            <w:vAlign w:val="center"/>
          </w:tcPr>
          <w:p>
            <w:pPr>
              <w:spacing w:line="240" w:lineRule="atLeast"/>
              <w:ind w:left="-48" w:leftChars="-23" w:right="-375" w:rightChars="-179"/>
              <w:jc w:val="center"/>
              <w:rPr>
                <w:rFonts w:ascii="宋体" w:cs="宋体"/>
                <w:color w:val="000000" w:themeColor="text1"/>
                <w:kern w:val="0"/>
                <w:sz w:val="24"/>
                <w:szCs w:val="24"/>
              </w:rPr>
            </w:pPr>
          </w:p>
        </w:tc>
        <w:tc>
          <w:tcPr>
            <w:tcW w:w="1676"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316"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357"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9"/>
              </w:numPr>
              <w:tabs>
                <w:tab w:val="left" w:pos="82"/>
              </w:tabs>
              <w:adjustRightInd w:val="0"/>
              <w:snapToGrid w:val="0"/>
              <w:jc w:val="center"/>
              <w:rPr>
                <w:rFonts w:ascii="宋体"/>
                <w:color w:val="000000" w:themeColor="text1"/>
                <w:sz w:val="24"/>
              </w:rPr>
            </w:pPr>
          </w:p>
        </w:tc>
        <w:tc>
          <w:tcPr>
            <w:tcW w:w="2611" w:type="dxa"/>
            <w:vAlign w:val="center"/>
          </w:tcPr>
          <w:p>
            <w:pPr>
              <w:tabs>
                <w:tab w:val="left" w:pos="0"/>
                <w:tab w:val="left" w:pos="56"/>
              </w:tabs>
              <w:adjustRightInd w:val="0"/>
              <w:snapToGrid w:val="0"/>
              <w:jc w:val="center"/>
              <w:rPr>
                <w:rFonts w:ascii="宋体"/>
                <w:color w:val="000000" w:themeColor="text1"/>
                <w:sz w:val="24"/>
              </w:rPr>
            </w:pPr>
            <w:r>
              <w:rPr>
                <w:rFonts w:hint="eastAsia" w:ascii="宋体" w:hAnsi="宋体"/>
                <w:color w:val="000000" w:themeColor="text1"/>
                <w:sz w:val="24"/>
              </w:rPr>
              <w:t>货物</w:t>
            </w:r>
            <w:r>
              <w:rPr>
                <w:rFonts w:ascii="宋体" w:hAnsi="宋体"/>
                <w:color w:val="000000" w:themeColor="text1"/>
                <w:sz w:val="24"/>
              </w:rPr>
              <w:t>2</w:t>
            </w:r>
            <w:r>
              <w:rPr>
                <w:rFonts w:hint="eastAsia" w:ascii="宋体" w:hAnsi="宋体"/>
                <w:color w:val="000000" w:themeColor="text1"/>
                <w:sz w:val="24"/>
              </w:rPr>
              <w:t>（工程或服务）</w:t>
            </w:r>
          </w:p>
        </w:tc>
        <w:tc>
          <w:tcPr>
            <w:tcW w:w="113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800"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676"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316"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357"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9"/>
              </w:numPr>
              <w:tabs>
                <w:tab w:val="left" w:pos="82"/>
              </w:tabs>
              <w:adjustRightInd w:val="0"/>
              <w:snapToGrid w:val="0"/>
              <w:jc w:val="center"/>
              <w:rPr>
                <w:rFonts w:ascii="宋体"/>
                <w:color w:val="000000" w:themeColor="text1"/>
                <w:sz w:val="24"/>
              </w:rPr>
            </w:pPr>
          </w:p>
        </w:tc>
        <w:tc>
          <w:tcPr>
            <w:tcW w:w="2611" w:type="dxa"/>
            <w:vAlign w:val="center"/>
          </w:tcPr>
          <w:p>
            <w:pPr>
              <w:tabs>
                <w:tab w:val="left" w:pos="0"/>
                <w:tab w:val="left" w:pos="56"/>
              </w:tabs>
              <w:adjustRightInd w:val="0"/>
              <w:snapToGrid w:val="0"/>
              <w:jc w:val="center"/>
              <w:rPr>
                <w:rFonts w:ascii="宋体"/>
                <w:color w:val="000000" w:themeColor="text1"/>
                <w:sz w:val="24"/>
              </w:rPr>
            </w:pPr>
            <w:r>
              <w:rPr>
                <w:rFonts w:hint="eastAsia" w:ascii="宋体" w:hAnsi="宋体"/>
                <w:color w:val="000000" w:themeColor="text1"/>
                <w:sz w:val="24"/>
              </w:rPr>
              <w:t>货物</w:t>
            </w:r>
            <w:r>
              <w:rPr>
                <w:rFonts w:ascii="宋体" w:hAnsi="宋体"/>
                <w:color w:val="000000" w:themeColor="text1"/>
                <w:sz w:val="24"/>
              </w:rPr>
              <w:t>3</w:t>
            </w:r>
            <w:r>
              <w:rPr>
                <w:rFonts w:hint="eastAsia" w:ascii="宋体" w:hAnsi="宋体"/>
                <w:color w:val="000000" w:themeColor="text1"/>
                <w:sz w:val="24"/>
              </w:rPr>
              <w:t>（工程或服务）</w:t>
            </w:r>
          </w:p>
        </w:tc>
        <w:tc>
          <w:tcPr>
            <w:tcW w:w="113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800"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676"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316"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357"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9"/>
              </w:numPr>
              <w:tabs>
                <w:tab w:val="left" w:pos="82"/>
              </w:tabs>
              <w:adjustRightInd w:val="0"/>
              <w:snapToGrid w:val="0"/>
              <w:jc w:val="center"/>
              <w:rPr>
                <w:rFonts w:ascii="宋体"/>
                <w:color w:val="000000" w:themeColor="text1"/>
                <w:sz w:val="24"/>
              </w:rPr>
            </w:pPr>
          </w:p>
        </w:tc>
        <w:tc>
          <w:tcPr>
            <w:tcW w:w="2611" w:type="dxa"/>
            <w:vAlign w:val="center"/>
          </w:tcPr>
          <w:p>
            <w:pPr>
              <w:tabs>
                <w:tab w:val="left" w:pos="0"/>
                <w:tab w:val="left" w:pos="56"/>
              </w:tabs>
              <w:adjustRightInd w:val="0"/>
              <w:snapToGrid w:val="0"/>
              <w:jc w:val="center"/>
              <w:rPr>
                <w:rFonts w:ascii="宋体"/>
                <w:color w:val="000000" w:themeColor="text1"/>
                <w:sz w:val="24"/>
              </w:rPr>
            </w:pPr>
            <w:r>
              <w:rPr>
                <w:rFonts w:hint="eastAsia" w:ascii="宋体" w:hAnsi="宋体"/>
                <w:color w:val="000000" w:themeColor="text1"/>
                <w:sz w:val="24"/>
              </w:rPr>
              <w:t>货物</w:t>
            </w:r>
            <w:r>
              <w:rPr>
                <w:rFonts w:ascii="宋体" w:hAnsi="宋体"/>
                <w:color w:val="000000" w:themeColor="text1"/>
                <w:sz w:val="24"/>
              </w:rPr>
              <w:t>4</w:t>
            </w:r>
            <w:r>
              <w:rPr>
                <w:rFonts w:hint="eastAsia" w:ascii="宋体" w:hAnsi="宋体"/>
                <w:color w:val="000000" w:themeColor="text1"/>
                <w:sz w:val="24"/>
              </w:rPr>
              <w:t>（工程或服务）</w:t>
            </w:r>
          </w:p>
        </w:tc>
        <w:tc>
          <w:tcPr>
            <w:tcW w:w="113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800"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676"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316"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357"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9"/>
              </w:numPr>
              <w:tabs>
                <w:tab w:val="left" w:pos="82"/>
              </w:tabs>
              <w:adjustRightInd w:val="0"/>
              <w:snapToGrid w:val="0"/>
              <w:jc w:val="center"/>
              <w:rPr>
                <w:rFonts w:ascii="宋体"/>
                <w:color w:val="000000" w:themeColor="text1"/>
                <w:sz w:val="24"/>
              </w:rPr>
            </w:pPr>
          </w:p>
        </w:tc>
        <w:tc>
          <w:tcPr>
            <w:tcW w:w="2611" w:type="dxa"/>
            <w:vAlign w:val="center"/>
          </w:tcPr>
          <w:p>
            <w:pPr>
              <w:tabs>
                <w:tab w:val="left" w:pos="0"/>
                <w:tab w:val="left" w:pos="56"/>
              </w:tabs>
              <w:adjustRightInd w:val="0"/>
              <w:snapToGrid w:val="0"/>
              <w:jc w:val="center"/>
              <w:rPr>
                <w:rFonts w:ascii="宋体"/>
                <w:color w:val="000000" w:themeColor="text1"/>
                <w:sz w:val="24"/>
              </w:rPr>
            </w:pPr>
            <w:r>
              <w:rPr>
                <w:rFonts w:hint="eastAsia" w:ascii="宋体" w:hAnsi="宋体"/>
                <w:color w:val="000000" w:themeColor="text1"/>
                <w:sz w:val="24"/>
              </w:rPr>
              <w:t>货物</w:t>
            </w:r>
            <w:r>
              <w:rPr>
                <w:rFonts w:ascii="宋体" w:hAnsi="宋体"/>
                <w:color w:val="000000" w:themeColor="text1"/>
                <w:sz w:val="24"/>
              </w:rPr>
              <w:t>5</w:t>
            </w:r>
            <w:r>
              <w:rPr>
                <w:rFonts w:hint="eastAsia" w:ascii="宋体" w:hAnsi="宋体"/>
                <w:color w:val="000000" w:themeColor="text1"/>
                <w:sz w:val="24"/>
              </w:rPr>
              <w:t>（工程或服务）</w:t>
            </w:r>
          </w:p>
        </w:tc>
        <w:tc>
          <w:tcPr>
            <w:tcW w:w="113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800"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676"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316"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357"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9"/>
              </w:numPr>
              <w:tabs>
                <w:tab w:val="left" w:pos="82"/>
              </w:tabs>
              <w:adjustRightInd w:val="0"/>
              <w:snapToGrid w:val="0"/>
              <w:jc w:val="center"/>
              <w:rPr>
                <w:rFonts w:ascii="宋体"/>
                <w:color w:val="000000" w:themeColor="text1"/>
                <w:sz w:val="24"/>
              </w:rPr>
            </w:pPr>
          </w:p>
        </w:tc>
        <w:tc>
          <w:tcPr>
            <w:tcW w:w="2611" w:type="dxa"/>
            <w:vAlign w:val="center"/>
          </w:tcPr>
          <w:p>
            <w:pPr>
              <w:tabs>
                <w:tab w:val="left" w:pos="0"/>
                <w:tab w:val="left" w:pos="56"/>
              </w:tabs>
              <w:adjustRightInd w:val="0"/>
              <w:snapToGrid w:val="0"/>
              <w:jc w:val="center"/>
              <w:rPr>
                <w:rFonts w:ascii="宋体"/>
                <w:color w:val="000000" w:themeColor="text1"/>
                <w:sz w:val="24"/>
              </w:rPr>
            </w:pPr>
            <w:r>
              <w:rPr>
                <w:rFonts w:hint="eastAsia" w:ascii="宋体" w:hAnsi="宋体"/>
                <w:color w:val="000000" w:themeColor="text1"/>
                <w:sz w:val="24"/>
              </w:rPr>
              <w:t>货物</w:t>
            </w:r>
            <w:r>
              <w:rPr>
                <w:rFonts w:ascii="宋体" w:hAnsi="宋体"/>
                <w:color w:val="000000" w:themeColor="text1"/>
                <w:sz w:val="24"/>
              </w:rPr>
              <w:t>6</w:t>
            </w:r>
            <w:r>
              <w:rPr>
                <w:rFonts w:hint="eastAsia" w:ascii="宋体" w:hAnsi="宋体"/>
                <w:color w:val="000000" w:themeColor="text1"/>
                <w:sz w:val="24"/>
              </w:rPr>
              <w:t>（工程或服务）</w:t>
            </w:r>
          </w:p>
        </w:tc>
        <w:tc>
          <w:tcPr>
            <w:tcW w:w="113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800"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676"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316"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357"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numPr>
                <w:ilvl w:val="0"/>
                <w:numId w:val="69"/>
              </w:numPr>
              <w:tabs>
                <w:tab w:val="left" w:pos="82"/>
              </w:tabs>
              <w:adjustRightInd w:val="0"/>
              <w:snapToGrid w:val="0"/>
              <w:jc w:val="center"/>
              <w:rPr>
                <w:rFonts w:ascii="宋体"/>
                <w:color w:val="000000" w:themeColor="text1"/>
                <w:sz w:val="24"/>
              </w:rPr>
            </w:pPr>
          </w:p>
        </w:tc>
        <w:tc>
          <w:tcPr>
            <w:tcW w:w="2611" w:type="dxa"/>
            <w:vAlign w:val="center"/>
          </w:tcPr>
          <w:p>
            <w:pPr>
              <w:tabs>
                <w:tab w:val="left" w:pos="0"/>
                <w:tab w:val="left" w:pos="56"/>
              </w:tabs>
              <w:adjustRightInd w:val="0"/>
              <w:snapToGrid w:val="0"/>
              <w:jc w:val="center"/>
              <w:rPr>
                <w:rFonts w:ascii="宋体"/>
                <w:color w:val="000000" w:themeColor="text1"/>
                <w:sz w:val="24"/>
              </w:rPr>
            </w:pPr>
            <w:r>
              <w:rPr>
                <w:rFonts w:hint="eastAsia" w:ascii="宋体" w:hAnsi="宋体"/>
                <w:color w:val="000000" w:themeColor="text1"/>
                <w:sz w:val="24"/>
              </w:rPr>
              <w:t>货物</w:t>
            </w:r>
            <w:r>
              <w:rPr>
                <w:rFonts w:ascii="宋体" w:hAnsi="宋体"/>
                <w:color w:val="000000" w:themeColor="text1"/>
                <w:sz w:val="24"/>
              </w:rPr>
              <w:t>7</w:t>
            </w:r>
            <w:r>
              <w:rPr>
                <w:rFonts w:hint="eastAsia" w:ascii="宋体" w:hAnsi="宋体"/>
                <w:color w:val="000000" w:themeColor="text1"/>
                <w:sz w:val="24"/>
              </w:rPr>
              <w:t>（工程或服务）</w:t>
            </w:r>
          </w:p>
        </w:tc>
        <w:tc>
          <w:tcPr>
            <w:tcW w:w="113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800"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676"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316"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357"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vAlign w:val="center"/>
          </w:tcPr>
          <w:p>
            <w:pPr>
              <w:tabs>
                <w:tab w:val="left" w:pos="82"/>
              </w:tabs>
              <w:adjustRightInd w:val="0"/>
              <w:snapToGrid w:val="0"/>
              <w:jc w:val="center"/>
              <w:rPr>
                <w:rFonts w:ascii="宋体"/>
                <w:color w:val="000000" w:themeColor="text1"/>
                <w:sz w:val="24"/>
              </w:rPr>
            </w:pPr>
            <w:r>
              <w:rPr>
                <w:rFonts w:hint="eastAsia" w:ascii="宋体" w:hAnsi="宋体"/>
                <w:color w:val="000000" w:themeColor="text1"/>
                <w:sz w:val="24"/>
              </w:rPr>
              <w:t>…</w:t>
            </w:r>
          </w:p>
        </w:tc>
        <w:tc>
          <w:tcPr>
            <w:tcW w:w="2611"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134"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800"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676" w:type="dxa"/>
            <w:vAlign w:val="center"/>
          </w:tcPr>
          <w:p>
            <w:pPr>
              <w:spacing w:line="240" w:lineRule="atLeast"/>
              <w:ind w:left="-48" w:leftChars="-23" w:right="-65" w:rightChars="-31"/>
              <w:jc w:val="center"/>
              <w:rPr>
                <w:rFonts w:ascii="宋体" w:cs="宋体"/>
                <w:color w:val="000000" w:themeColor="text1"/>
                <w:kern w:val="0"/>
                <w:sz w:val="24"/>
                <w:szCs w:val="24"/>
              </w:rPr>
            </w:pPr>
          </w:p>
        </w:tc>
        <w:tc>
          <w:tcPr>
            <w:tcW w:w="1316" w:type="dxa"/>
            <w:vAlign w:val="center"/>
          </w:tcPr>
          <w:p>
            <w:pPr>
              <w:spacing w:line="240" w:lineRule="atLeast"/>
              <w:ind w:left="-48" w:leftChars="-23" w:right="-65" w:rightChars="-31"/>
              <w:jc w:val="left"/>
              <w:rPr>
                <w:rFonts w:ascii="宋体" w:cs="宋体"/>
                <w:color w:val="000000" w:themeColor="text1"/>
                <w:kern w:val="0"/>
                <w:sz w:val="24"/>
                <w:szCs w:val="24"/>
              </w:rPr>
            </w:pPr>
          </w:p>
        </w:tc>
        <w:tc>
          <w:tcPr>
            <w:tcW w:w="1357" w:type="dxa"/>
            <w:vAlign w:val="center"/>
          </w:tcPr>
          <w:p>
            <w:pPr>
              <w:spacing w:line="240" w:lineRule="atLeast"/>
              <w:ind w:left="-48" w:leftChars="-23" w:right="-65" w:rightChars="-31"/>
              <w:jc w:val="center"/>
              <w:rPr>
                <w:rFonts w:asci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73" w:type="dxa"/>
            <w:gridSpan w:val="5"/>
            <w:vAlign w:val="center"/>
          </w:tcPr>
          <w:p>
            <w:pPr>
              <w:spacing w:line="240" w:lineRule="atLeast"/>
              <w:ind w:left="-48" w:leftChars="-23" w:right="-65" w:rightChars="-31"/>
              <w:jc w:val="center"/>
              <w:rPr>
                <w:rFonts w:ascii="宋体" w:cs="宋体"/>
                <w:color w:val="000000" w:themeColor="text1"/>
                <w:kern w:val="0"/>
                <w:sz w:val="24"/>
                <w:szCs w:val="24"/>
              </w:rPr>
            </w:pPr>
            <w:r>
              <w:rPr>
                <w:rFonts w:hint="eastAsia" w:ascii="宋体" w:hAnsi="宋体" w:cs="宋体"/>
                <w:color w:val="000000" w:themeColor="text1"/>
                <w:kern w:val="0"/>
                <w:sz w:val="24"/>
                <w:szCs w:val="24"/>
              </w:rPr>
              <w:t>合计</w:t>
            </w:r>
          </w:p>
        </w:tc>
        <w:tc>
          <w:tcPr>
            <w:tcW w:w="2673" w:type="dxa"/>
            <w:gridSpan w:val="2"/>
            <w:vAlign w:val="center"/>
          </w:tcPr>
          <w:p>
            <w:pPr>
              <w:spacing w:line="240" w:lineRule="atLeast"/>
              <w:ind w:left="-48" w:leftChars="-23" w:right="-65" w:rightChars="-31"/>
              <w:jc w:val="left"/>
              <w:rPr>
                <w:rFonts w:ascii="宋体" w:cs="宋体"/>
                <w:color w:val="000000" w:themeColor="text1"/>
                <w:kern w:val="0"/>
                <w:sz w:val="24"/>
                <w:szCs w:val="24"/>
              </w:rPr>
            </w:pPr>
          </w:p>
        </w:tc>
      </w:tr>
    </w:tbl>
    <w:p>
      <w:pPr>
        <w:spacing w:line="360" w:lineRule="auto"/>
        <w:ind w:left="1049" w:hanging="1048" w:hangingChars="437"/>
        <w:jc w:val="left"/>
        <w:rPr>
          <w:rFonts w:ascii="宋体"/>
          <w:color w:val="000000" w:themeColor="text1"/>
          <w:sz w:val="24"/>
        </w:rPr>
      </w:pPr>
      <w:r>
        <w:rPr>
          <w:rFonts w:hint="eastAsia" w:ascii="宋体" w:hAnsi="宋体"/>
          <w:color w:val="000000" w:themeColor="text1"/>
          <w:sz w:val="24"/>
        </w:rPr>
        <w:t>说明：</w:t>
      </w:r>
      <w:r>
        <w:rPr>
          <w:rFonts w:ascii="宋体" w:hAnsi="宋体"/>
          <w:color w:val="000000" w:themeColor="text1"/>
          <w:sz w:val="24"/>
        </w:rPr>
        <w:t>1</w:t>
      </w:r>
      <w:r>
        <w:rPr>
          <w:rFonts w:hint="eastAsia" w:ascii="宋体" w:hAnsi="宋体"/>
          <w:color w:val="000000" w:themeColor="text1"/>
          <w:sz w:val="24"/>
        </w:rPr>
        <w:t>．所有价格均用人民币表示，单位为元。</w:t>
      </w:r>
    </w:p>
    <w:p>
      <w:pPr>
        <w:spacing w:line="360" w:lineRule="auto"/>
        <w:ind w:left="1061" w:leftChars="339" w:hanging="350" w:hangingChars="146"/>
        <w:jc w:val="left"/>
        <w:rPr>
          <w:rFonts w:ascii="宋体"/>
          <w:color w:val="000000" w:themeColor="text1"/>
          <w:sz w:val="24"/>
        </w:rPr>
      </w:pPr>
      <w:r>
        <w:rPr>
          <w:rFonts w:ascii="宋体" w:hAnsi="宋体"/>
          <w:color w:val="000000" w:themeColor="text1"/>
          <w:sz w:val="24"/>
        </w:rPr>
        <w:t>2</w:t>
      </w:r>
      <w:r>
        <w:rPr>
          <w:rFonts w:hint="eastAsia" w:ascii="宋体" w:hAnsi="宋体"/>
          <w:color w:val="000000" w:themeColor="text1"/>
          <w:sz w:val="24"/>
        </w:rPr>
        <w:t>．报价明细表合计应与《开标一览表》中的投标总报价一致。</w:t>
      </w:r>
    </w:p>
    <w:p>
      <w:pPr>
        <w:spacing w:line="360" w:lineRule="auto"/>
        <w:ind w:left="1061" w:leftChars="339" w:hanging="350" w:hangingChars="146"/>
        <w:jc w:val="left"/>
        <w:rPr>
          <w:rFonts w:ascii="宋体"/>
          <w:color w:val="000000" w:themeColor="text1"/>
          <w:sz w:val="24"/>
        </w:rPr>
      </w:pPr>
      <w:r>
        <w:rPr>
          <w:rFonts w:ascii="宋体" w:hAnsi="宋体"/>
          <w:color w:val="000000" w:themeColor="text1"/>
          <w:sz w:val="24"/>
        </w:rPr>
        <w:t>3</w:t>
      </w:r>
      <w:r>
        <w:rPr>
          <w:rFonts w:hint="eastAsia" w:ascii="宋体" w:hAnsi="宋体"/>
          <w:color w:val="000000" w:themeColor="text1"/>
          <w:sz w:val="24"/>
        </w:rPr>
        <w:t>．未提供详细的货物（工程或服务）报价明细</w:t>
      </w:r>
      <w:r>
        <w:rPr>
          <w:rFonts w:hint="eastAsia" w:ascii="宋体" w:hAnsi="宋体" w:cs="Corbel"/>
          <w:color w:val="000000" w:themeColor="text1"/>
          <w:sz w:val="24"/>
        </w:rPr>
        <w:t>，</w:t>
      </w:r>
      <w:r>
        <w:rPr>
          <w:rFonts w:hint="eastAsia" w:ascii="宋体" w:hAnsi="宋体"/>
          <w:color w:val="000000" w:themeColor="text1"/>
          <w:sz w:val="24"/>
        </w:rPr>
        <w:t>导致的后果由投标人自行承担。</w:t>
      </w:r>
    </w:p>
    <w:p>
      <w:pPr>
        <w:spacing w:line="360" w:lineRule="auto"/>
        <w:ind w:left="950" w:hanging="950" w:hangingChars="396"/>
        <w:jc w:val="left"/>
        <w:rPr>
          <w:rFonts w:ascii="宋体"/>
          <w:color w:val="000000" w:themeColor="text1"/>
          <w:sz w:val="24"/>
          <w:szCs w:val="24"/>
        </w:rPr>
      </w:pPr>
    </w:p>
    <w:p>
      <w:pPr>
        <w:spacing w:line="360" w:lineRule="auto"/>
        <w:ind w:left="950" w:hanging="950" w:hangingChars="396"/>
        <w:jc w:val="left"/>
        <w:rPr>
          <w:rFonts w:ascii="宋体"/>
          <w:color w:val="000000" w:themeColor="text1"/>
          <w:sz w:val="24"/>
          <w:szCs w:val="24"/>
        </w:rPr>
      </w:pPr>
    </w:p>
    <w:p>
      <w:pPr>
        <w:spacing w:line="360" w:lineRule="auto"/>
        <w:ind w:left="950" w:hanging="950" w:hangingChars="396"/>
        <w:jc w:val="left"/>
        <w:rPr>
          <w:rFonts w:ascii="宋体"/>
          <w:color w:val="000000" w:themeColor="text1"/>
          <w:sz w:val="24"/>
          <w:szCs w:val="24"/>
        </w:rPr>
      </w:pP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288" w:hanging="1288"/>
        <w:rPr>
          <w:rFonts w:ascii="宋体"/>
          <w:color w:val="000000" w:themeColor="text1"/>
          <w:sz w:val="31"/>
          <w:szCs w:val="31"/>
        </w:rPr>
      </w:pPr>
      <w:bookmarkStart w:id="171" w:name="_Toc494745324"/>
      <w:bookmarkStart w:id="172" w:name="_Toc494665957"/>
      <w:bookmarkStart w:id="173" w:name="_Toc494665560"/>
      <w:bookmarkStart w:id="174" w:name="_Toc494577412"/>
      <w:bookmarkStart w:id="175" w:name="_Toc494665007"/>
      <w:bookmarkStart w:id="176" w:name="_Toc494702277"/>
      <w:bookmarkStart w:id="177" w:name="_Toc494721107"/>
      <w:bookmarkStart w:id="178" w:name="_Toc10655"/>
      <w:r>
        <w:rPr>
          <w:rFonts w:hint="eastAsia" w:ascii="宋体" w:hAnsi="宋体"/>
          <w:color w:val="000000" w:themeColor="text1"/>
          <w:sz w:val="31"/>
          <w:szCs w:val="31"/>
        </w:rPr>
        <w:t>小型和微型企业、监狱企业、残疾人福利性单位货物汇总表</w:t>
      </w:r>
      <w:bookmarkEnd w:id="171"/>
      <w:bookmarkEnd w:id="172"/>
      <w:bookmarkEnd w:id="173"/>
      <w:bookmarkEnd w:id="174"/>
      <w:bookmarkEnd w:id="175"/>
      <w:bookmarkEnd w:id="176"/>
      <w:bookmarkEnd w:id="177"/>
      <w:bookmarkEnd w:id="178"/>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F2F2F2"/>
            <w:vAlign w:val="center"/>
          </w:tcPr>
          <w:p>
            <w:pPr>
              <w:adjustRightInd w:val="0"/>
              <w:snapToGrid w:val="0"/>
              <w:ind w:left="-88" w:leftChars="-42"/>
              <w:jc w:val="center"/>
              <w:rPr>
                <w:rFonts w:ascii="宋体"/>
                <w:color w:val="000000" w:themeColor="text1"/>
                <w:sz w:val="24"/>
              </w:rPr>
            </w:pPr>
            <w:r>
              <w:rPr>
                <w:rFonts w:hint="eastAsia" w:ascii="宋体" w:hAnsi="宋体"/>
                <w:color w:val="000000" w:themeColor="text1"/>
                <w:sz w:val="24"/>
              </w:rPr>
              <w:t>序号</w:t>
            </w:r>
          </w:p>
        </w:tc>
        <w:tc>
          <w:tcPr>
            <w:tcW w:w="1552" w:type="dxa"/>
            <w:shd w:val="clear" w:color="auto" w:fill="F2F2F2"/>
            <w:vAlign w:val="center"/>
          </w:tcPr>
          <w:p>
            <w:pPr>
              <w:adjustRightInd w:val="0"/>
              <w:snapToGrid w:val="0"/>
              <w:ind w:left="-88" w:leftChars="-42"/>
              <w:jc w:val="center"/>
              <w:rPr>
                <w:rFonts w:ascii="宋体"/>
                <w:color w:val="000000" w:themeColor="text1"/>
                <w:sz w:val="24"/>
              </w:rPr>
            </w:pPr>
            <w:r>
              <w:rPr>
                <w:rFonts w:hint="eastAsia" w:ascii="宋体" w:hAnsi="宋体"/>
                <w:color w:val="000000" w:themeColor="text1"/>
                <w:sz w:val="24"/>
              </w:rPr>
              <w:t>制造商名称</w:t>
            </w:r>
          </w:p>
        </w:tc>
        <w:tc>
          <w:tcPr>
            <w:tcW w:w="1560" w:type="dxa"/>
            <w:shd w:val="clear" w:color="auto" w:fill="F2F2F2"/>
            <w:vAlign w:val="center"/>
          </w:tcPr>
          <w:p>
            <w:pPr>
              <w:adjustRightInd w:val="0"/>
              <w:snapToGrid w:val="0"/>
              <w:ind w:left="-88" w:leftChars="-42"/>
              <w:jc w:val="center"/>
              <w:rPr>
                <w:rFonts w:ascii="宋体"/>
                <w:color w:val="000000" w:themeColor="text1"/>
                <w:sz w:val="24"/>
              </w:rPr>
            </w:pPr>
            <w:r>
              <w:rPr>
                <w:rFonts w:hint="eastAsia" w:ascii="宋体" w:hAnsi="宋体"/>
                <w:color w:val="000000" w:themeColor="text1"/>
                <w:sz w:val="24"/>
              </w:rPr>
              <w:t>货物名称</w:t>
            </w:r>
          </w:p>
        </w:tc>
        <w:tc>
          <w:tcPr>
            <w:tcW w:w="1133" w:type="dxa"/>
            <w:shd w:val="clear" w:color="auto" w:fill="F2F2F2"/>
            <w:vAlign w:val="center"/>
          </w:tcPr>
          <w:p>
            <w:pPr>
              <w:adjustRightInd w:val="0"/>
              <w:snapToGrid w:val="0"/>
              <w:ind w:left="-88" w:leftChars="-42"/>
              <w:jc w:val="center"/>
              <w:rPr>
                <w:rFonts w:ascii="宋体"/>
                <w:color w:val="000000" w:themeColor="text1"/>
                <w:sz w:val="24"/>
              </w:rPr>
            </w:pPr>
            <w:r>
              <w:rPr>
                <w:rFonts w:hint="eastAsia" w:ascii="宋体" w:hAnsi="宋体"/>
                <w:color w:val="000000" w:themeColor="text1"/>
                <w:sz w:val="24"/>
              </w:rPr>
              <w:t>规格型号</w:t>
            </w:r>
          </w:p>
        </w:tc>
        <w:tc>
          <w:tcPr>
            <w:tcW w:w="848" w:type="dxa"/>
            <w:shd w:val="clear" w:color="auto" w:fill="F2F2F2"/>
            <w:vAlign w:val="center"/>
          </w:tcPr>
          <w:p>
            <w:pPr>
              <w:adjustRightInd w:val="0"/>
              <w:snapToGrid w:val="0"/>
              <w:ind w:left="-88" w:leftChars="-42"/>
              <w:jc w:val="center"/>
              <w:rPr>
                <w:rFonts w:ascii="宋体"/>
                <w:color w:val="000000" w:themeColor="text1"/>
                <w:sz w:val="24"/>
              </w:rPr>
            </w:pPr>
            <w:r>
              <w:rPr>
                <w:rFonts w:hint="eastAsia" w:ascii="宋体" w:hAnsi="宋体"/>
                <w:color w:val="000000" w:themeColor="text1"/>
                <w:sz w:val="24"/>
              </w:rPr>
              <w:t>数量</w:t>
            </w:r>
          </w:p>
        </w:tc>
        <w:tc>
          <w:tcPr>
            <w:tcW w:w="1100" w:type="dxa"/>
            <w:shd w:val="clear" w:color="auto" w:fill="F2F2F2"/>
            <w:vAlign w:val="center"/>
          </w:tcPr>
          <w:p>
            <w:pPr>
              <w:adjustRightInd w:val="0"/>
              <w:snapToGrid w:val="0"/>
              <w:ind w:left="-88" w:leftChars="-42"/>
              <w:jc w:val="center"/>
              <w:rPr>
                <w:rFonts w:ascii="宋体"/>
                <w:color w:val="000000" w:themeColor="text1"/>
                <w:sz w:val="24"/>
              </w:rPr>
            </w:pPr>
            <w:r>
              <w:rPr>
                <w:rFonts w:hint="eastAsia" w:ascii="宋体" w:hAnsi="宋体"/>
                <w:color w:val="000000" w:themeColor="text1"/>
                <w:sz w:val="24"/>
              </w:rPr>
              <w:t>单价</w:t>
            </w:r>
          </w:p>
        </w:tc>
        <w:tc>
          <w:tcPr>
            <w:tcW w:w="1134" w:type="dxa"/>
            <w:shd w:val="clear" w:color="auto" w:fill="F2F2F2"/>
            <w:vAlign w:val="center"/>
          </w:tcPr>
          <w:p>
            <w:pPr>
              <w:adjustRightInd w:val="0"/>
              <w:snapToGrid w:val="0"/>
              <w:ind w:left="-88" w:leftChars="-42"/>
              <w:jc w:val="center"/>
              <w:rPr>
                <w:rFonts w:ascii="宋体"/>
                <w:color w:val="000000" w:themeColor="text1"/>
                <w:sz w:val="24"/>
              </w:rPr>
            </w:pPr>
            <w:r>
              <w:rPr>
                <w:rFonts w:hint="eastAsia" w:ascii="宋体" w:hAnsi="宋体"/>
                <w:color w:val="000000" w:themeColor="text1"/>
                <w:sz w:val="24"/>
              </w:rPr>
              <w:t>分项</w:t>
            </w:r>
          </w:p>
          <w:p>
            <w:pPr>
              <w:adjustRightInd w:val="0"/>
              <w:snapToGrid w:val="0"/>
              <w:ind w:left="-88" w:leftChars="-42"/>
              <w:jc w:val="center"/>
              <w:rPr>
                <w:rFonts w:ascii="宋体"/>
                <w:color w:val="000000" w:themeColor="text1"/>
                <w:sz w:val="24"/>
              </w:rPr>
            </w:pPr>
            <w:r>
              <w:rPr>
                <w:rFonts w:hint="eastAsia" w:ascii="宋体" w:hAnsi="宋体"/>
                <w:color w:val="000000" w:themeColor="text1"/>
                <w:sz w:val="24"/>
              </w:rPr>
              <w:t>合计</w:t>
            </w:r>
          </w:p>
        </w:tc>
        <w:tc>
          <w:tcPr>
            <w:tcW w:w="1468" w:type="dxa"/>
            <w:shd w:val="clear" w:color="auto" w:fill="F2F2F2"/>
            <w:vAlign w:val="center"/>
          </w:tcPr>
          <w:p>
            <w:pPr>
              <w:adjustRightInd w:val="0"/>
              <w:snapToGrid w:val="0"/>
              <w:ind w:left="-88" w:leftChars="-42"/>
              <w:jc w:val="center"/>
              <w:rPr>
                <w:rFonts w:ascii="宋体"/>
                <w:color w:val="000000" w:themeColor="text1"/>
                <w:sz w:val="24"/>
              </w:rPr>
            </w:pPr>
            <w:r>
              <w:rPr>
                <w:rFonts w:hint="eastAsia" w:ascii="宋体" w:hAnsi="宋体"/>
                <w:color w:val="000000" w:themeColor="text1"/>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color w:val="000000" w:themeColor="text1"/>
                <w:kern w:val="0"/>
                <w:sz w:val="24"/>
              </w:rPr>
              <w:t>1</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color w:val="000000" w:themeColor="text1"/>
                <w:kern w:val="0"/>
                <w:sz w:val="24"/>
              </w:rPr>
              <w:t>2</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color w:val="000000" w:themeColor="text1"/>
                <w:kern w:val="0"/>
                <w:sz w:val="24"/>
              </w:rPr>
              <w:t>3</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color w:val="000000" w:themeColor="text1"/>
                <w:kern w:val="0"/>
                <w:sz w:val="24"/>
              </w:rPr>
              <w:t>4</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color w:val="000000" w:themeColor="text1"/>
                <w:kern w:val="0"/>
                <w:sz w:val="24"/>
              </w:rPr>
              <w:t>5</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color w:val="000000" w:themeColor="text1"/>
                <w:kern w:val="0"/>
                <w:sz w:val="24"/>
              </w:rPr>
              <w:t>6</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color w:val="000000" w:themeColor="text1"/>
                <w:kern w:val="0"/>
                <w:sz w:val="24"/>
              </w:rPr>
              <w:t>7</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cs="宋体"/>
                <w:color w:val="000000" w:themeColor="text1"/>
                <w:kern w:val="0"/>
                <w:sz w:val="24"/>
              </w:rPr>
            </w:pPr>
            <w:r>
              <w:rPr>
                <w:rFonts w:hint="eastAsia" w:ascii="宋体" w:hAnsi="宋体" w:cs="宋体"/>
                <w:color w:val="000000" w:themeColor="text1"/>
                <w:kern w:val="0"/>
                <w:sz w:val="24"/>
              </w:rPr>
              <w:t>…</w:t>
            </w:r>
          </w:p>
        </w:tc>
        <w:tc>
          <w:tcPr>
            <w:tcW w:w="1552" w:type="dxa"/>
          </w:tcPr>
          <w:p>
            <w:pPr>
              <w:tabs>
                <w:tab w:val="left" w:pos="0"/>
                <w:tab w:val="left" w:pos="56"/>
              </w:tabs>
              <w:adjustRightInd w:val="0"/>
              <w:snapToGrid w:val="0"/>
              <w:jc w:val="center"/>
              <w:rPr>
                <w:rFonts w:ascii="宋体" w:cs="宋体"/>
                <w:color w:val="000000" w:themeColor="text1"/>
                <w:kern w:val="0"/>
                <w:sz w:val="24"/>
              </w:rPr>
            </w:pPr>
          </w:p>
        </w:tc>
        <w:tc>
          <w:tcPr>
            <w:tcW w:w="1560" w:type="dxa"/>
            <w:vAlign w:val="center"/>
          </w:tcPr>
          <w:p>
            <w:pPr>
              <w:tabs>
                <w:tab w:val="left" w:pos="0"/>
                <w:tab w:val="left" w:pos="56"/>
              </w:tabs>
              <w:adjustRightInd w:val="0"/>
              <w:snapToGrid w:val="0"/>
              <w:jc w:val="center"/>
              <w:rPr>
                <w:rFonts w:ascii="宋体" w:cs="宋体"/>
                <w:color w:val="000000" w:themeColor="text1"/>
                <w:kern w:val="0"/>
                <w:sz w:val="24"/>
              </w:rPr>
            </w:pPr>
          </w:p>
        </w:tc>
        <w:tc>
          <w:tcPr>
            <w:tcW w:w="1133" w:type="dxa"/>
            <w:vAlign w:val="center"/>
          </w:tcPr>
          <w:p>
            <w:pPr>
              <w:tabs>
                <w:tab w:val="left" w:pos="0"/>
                <w:tab w:val="left" w:pos="56"/>
              </w:tabs>
              <w:adjustRightInd w:val="0"/>
              <w:snapToGrid w:val="0"/>
              <w:jc w:val="center"/>
              <w:rPr>
                <w:rFonts w:ascii="宋体" w:cs="宋体"/>
                <w:color w:val="000000" w:themeColor="text1"/>
                <w:kern w:val="0"/>
                <w:sz w:val="24"/>
              </w:rPr>
            </w:pPr>
          </w:p>
        </w:tc>
        <w:tc>
          <w:tcPr>
            <w:tcW w:w="848" w:type="dxa"/>
            <w:vAlign w:val="center"/>
          </w:tcPr>
          <w:p>
            <w:pPr>
              <w:tabs>
                <w:tab w:val="left" w:pos="0"/>
                <w:tab w:val="left" w:pos="56"/>
              </w:tabs>
              <w:adjustRightInd w:val="0"/>
              <w:snapToGrid w:val="0"/>
              <w:jc w:val="center"/>
              <w:rPr>
                <w:rFonts w:ascii="宋体" w:cs="宋体"/>
                <w:color w:val="000000" w:themeColor="text1"/>
                <w:kern w:val="0"/>
                <w:sz w:val="24"/>
              </w:rPr>
            </w:pPr>
          </w:p>
        </w:tc>
        <w:tc>
          <w:tcPr>
            <w:tcW w:w="1100" w:type="dxa"/>
            <w:vAlign w:val="center"/>
          </w:tcPr>
          <w:p>
            <w:pPr>
              <w:tabs>
                <w:tab w:val="left" w:pos="0"/>
                <w:tab w:val="left" w:pos="56"/>
              </w:tabs>
              <w:adjustRightInd w:val="0"/>
              <w:snapToGrid w:val="0"/>
              <w:jc w:val="center"/>
              <w:rPr>
                <w:rFonts w:ascii="宋体" w:cs="宋体"/>
                <w:color w:val="000000" w:themeColor="text1"/>
                <w:kern w:val="0"/>
                <w:sz w:val="24"/>
              </w:rPr>
            </w:pPr>
          </w:p>
        </w:tc>
        <w:tc>
          <w:tcPr>
            <w:tcW w:w="1134" w:type="dxa"/>
            <w:vAlign w:val="center"/>
          </w:tcPr>
          <w:p>
            <w:pPr>
              <w:tabs>
                <w:tab w:val="left" w:pos="0"/>
                <w:tab w:val="left" w:pos="56"/>
              </w:tabs>
              <w:adjustRightInd w:val="0"/>
              <w:snapToGrid w:val="0"/>
              <w:jc w:val="center"/>
              <w:rPr>
                <w:rFonts w:ascii="宋体" w:cs="宋体"/>
                <w:color w:val="000000" w:themeColor="text1"/>
                <w:kern w:val="0"/>
                <w:sz w:val="24"/>
              </w:rPr>
            </w:pPr>
          </w:p>
        </w:tc>
        <w:tc>
          <w:tcPr>
            <w:tcW w:w="1468" w:type="dxa"/>
            <w:vAlign w:val="center"/>
          </w:tcPr>
          <w:p>
            <w:pPr>
              <w:tabs>
                <w:tab w:val="left" w:pos="0"/>
                <w:tab w:val="left" w:pos="56"/>
              </w:tabs>
              <w:adjustRightInd w:val="0"/>
              <w:snapToGrid w:val="0"/>
              <w:jc w:val="center"/>
              <w:rPr>
                <w:rFonts w:asci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bCs/>
                <w:color w:val="000000" w:themeColor="text1"/>
                <w:sz w:val="24"/>
              </w:rPr>
            </w:pPr>
            <w:r>
              <w:rPr>
                <w:rFonts w:hint="eastAsia" w:ascii="宋体" w:hAnsi="宋体"/>
                <w:bCs/>
                <w:color w:val="000000" w:themeColor="text1"/>
                <w:sz w:val="24"/>
              </w:rPr>
              <w:t>合计</w:t>
            </w:r>
          </w:p>
        </w:tc>
        <w:tc>
          <w:tcPr>
            <w:tcW w:w="2602" w:type="dxa"/>
            <w:gridSpan w:val="2"/>
            <w:vAlign w:val="center"/>
          </w:tcPr>
          <w:p>
            <w:pPr>
              <w:spacing w:line="360" w:lineRule="auto"/>
              <w:jc w:val="left"/>
              <w:rPr>
                <w:rFonts w:ascii="宋体"/>
                <w:bCs/>
                <w:color w:val="000000" w:themeColor="text1"/>
                <w:sz w:val="24"/>
              </w:rPr>
            </w:pPr>
          </w:p>
        </w:tc>
      </w:tr>
    </w:tbl>
    <w:p>
      <w:pPr>
        <w:spacing w:line="360" w:lineRule="auto"/>
        <w:ind w:left="1049" w:hanging="1048" w:hangingChars="437"/>
        <w:jc w:val="left"/>
        <w:rPr>
          <w:rFonts w:ascii="宋体"/>
          <w:color w:val="000000" w:themeColor="text1"/>
          <w:sz w:val="24"/>
        </w:rPr>
      </w:pPr>
      <w:r>
        <w:rPr>
          <w:rFonts w:hint="eastAsia" w:ascii="宋体" w:hAnsi="宋体"/>
          <w:color w:val="000000" w:themeColor="text1"/>
          <w:sz w:val="24"/>
        </w:rPr>
        <w:t>说明：</w:t>
      </w:r>
      <w:r>
        <w:rPr>
          <w:rFonts w:ascii="宋体" w:hAnsi="宋体"/>
          <w:color w:val="000000" w:themeColor="text1"/>
          <w:sz w:val="24"/>
        </w:rPr>
        <w:t>1</w:t>
      </w:r>
      <w:r>
        <w:rPr>
          <w:rFonts w:hint="eastAsia" w:ascii="宋体" w:hAnsi="宋体"/>
          <w:color w:val="000000" w:themeColor="text1"/>
          <w:sz w:val="24"/>
          <w:szCs w:val="24"/>
        </w:rPr>
        <w:t>．</w:t>
      </w:r>
      <w:r>
        <w:rPr>
          <w:rFonts w:hint="eastAsia" w:ascii="宋体" w:hAnsi="宋体"/>
          <w:color w:val="000000" w:themeColor="text1"/>
          <w:sz w:val="24"/>
        </w:rPr>
        <w:t>所有价格均用人民币表示，单位为元。</w:t>
      </w:r>
    </w:p>
    <w:p>
      <w:pPr>
        <w:spacing w:line="360" w:lineRule="auto"/>
        <w:ind w:left="1061" w:leftChars="339" w:hanging="350" w:hangingChars="146"/>
        <w:jc w:val="left"/>
        <w:rPr>
          <w:rFonts w:ascii="宋体"/>
          <w:color w:val="000000" w:themeColor="text1"/>
          <w:sz w:val="24"/>
        </w:rPr>
      </w:pPr>
      <w:r>
        <w:rPr>
          <w:rFonts w:ascii="宋体" w:hAnsi="宋体"/>
          <w:color w:val="000000" w:themeColor="text1"/>
          <w:sz w:val="24"/>
        </w:rPr>
        <w:t>2</w:t>
      </w:r>
      <w:r>
        <w:rPr>
          <w:rFonts w:hint="eastAsia" w:ascii="宋体" w:hAnsi="宋体"/>
          <w:color w:val="000000" w:themeColor="text1"/>
          <w:sz w:val="24"/>
          <w:szCs w:val="24"/>
        </w:rPr>
        <w:t>．</w:t>
      </w:r>
      <w:r>
        <w:rPr>
          <w:rFonts w:hint="eastAsia" w:ascii="宋体" w:hAnsi="宋体"/>
          <w:color w:val="000000" w:themeColor="text1"/>
          <w:sz w:val="24"/>
        </w:rPr>
        <w:t>投标人提供的相关证明文件对应页码填写到上表“投标文件对应的页码”中。</w:t>
      </w:r>
      <w:r>
        <w:rPr>
          <w:rFonts w:hint="eastAsia" w:ascii="宋体" w:hAnsi="宋体" w:cs="Corbel"/>
          <w:color w:val="000000" w:themeColor="text1"/>
          <w:sz w:val="24"/>
        </w:rPr>
        <w:t>如未提供页码或内容页码完全不一致的，</w:t>
      </w:r>
      <w:r>
        <w:rPr>
          <w:rFonts w:hint="eastAsia" w:ascii="宋体" w:hAnsi="宋体"/>
          <w:color w:val="000000" w:themeColor="text1"/>
          <w:sz w:val="24"/>
        </w:rPr>
        <w:t>导致的后果由投标人自行承担。</w:t>
      </w:r>
    </w:p>
    <w:p>
      <w:pPr>
        <w:adjustRightInd w:val="0"/>
        <w:snapToGrid w:val="0"/>
        <w:spacing w:line="360" w:lineRule="auto"/>
        <w:ind w:left="767" w:leftChars="194" w:hanging="360" w:hangingChars="150"/>
        <w:rPr>
          <w:rFonts w:ascii="宋体"/>
          <w:color w:val="000000" w:themeColor="text1"/>
          <w:sz w:val="24"/>
        </w:rPr>
      </w:pPr>
    </w:p>
    <w:p>
      <w:pPr>
        <w:adjustRightInd w:val="0"/>
        <w:snapToGrid w:val="0"/>
        <w:spacing w:line="360" w:lineRule="auto"/>
        <w:ind w:left="767" w:leftChars="194" w:hanging="360" w:hangingChars="150"/>
        <w:rPr>
          <w:rFonts w:ascii="宋体"/>
          <w:color w:val="000000" w:themeColor="text1"/>
          <w:sz w:val="24"/>
        </w:rPr>
      </w:pPr>
    </w:p>
    <w:p>
      <w:pPr>
        <w:adjustRightInd w:val="0"/>
        <w:snapToGrid w:val="0"/>
        <w:spacing w:line="360" w:lineRule="auto"/>
        <w:ind w:left="767" w:leftChars="194" w:hanging="360" w:hangingChars="150"/>
        <w:rPr>
          <w:rFonts w:ascii="宋体"/>
          <w:color w:val="000000" w:themeColor="text1"/>
          <w:sz w:val="24"/>
        </w:rPr>
      </w:pPr>
    </w:p>
    <w:p>
      <w:pPr>
        <w:adjustRightInd w:val="0"/>
        <w:snapToGrid w:val="0"/>
        <w:spacing w:line="360" w:lineRule="auto"/>
        <w:ind w:left="767" w:leftChars="194" w:hanging="360" w:hangingChars="150"/>
        <w:rPr>
          <w:rFonts w:ascii="宋体"/>
          <w:color w:val="000000" w:themeColor="text1"/>
          <w:sz w:val="24"/>
        </w:rPr>
      </w:pPr>
    </w:p>
    <w:p>
      <w:pPr>
        <w:adjustRightInd w:val="0"/>
        <w:snapToGrid w:val="0"/>
        <w:spacing w:line="360" w:lineRule="auto"/>
        <w:ind w:left="767" w:leftChars="194" w:hanging="360" w:hangingChars="150"/>
        <w:rPr>
          <w:rFonts w:ascii="宋体"/>
          <w:color w:val="000000" w:themeColor="text1"/>
          <w:sz w:val="24"/>
        </w:rPr>
      </w:pP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288" w:hanging="1288"/>
        <w:rPr>
          <w:rFonts w:ascii="宋体"/>
          <w:color w:val="000000" w:themeColor="text1"/>
        </w:rPr>
      </w:pPr>
      <w:bookmarkStart w:id="179" w:name="_Toc494665958"/>
      <w:bookmarkStart w:id="180" w:name="_Toc494665008"/>
      <w:bookmarkStart w:id="181" w:name="_Toc494745325"/>
      <w:bookmarkStart w:id="182" w:name="_Toc494721108"/>
      <w:bookmarkStart w:id="183" w:name="_Toc494702278"/>
      <w:bookmarkStart w:id="184" w:name="_Toc28224"/>
      <w:bookmarkStart w:id="185" w:name="_Toc494665561"/>
      <w:r>
        <w:rPr>
          <w:rFonts w:hint="eastAsia" w:ascii="宋体" w:hAnsi="宋体"/>
          <w:color w:val="000000" w:themeColor="text1"/>
        </w:rPr>
        <w:t>投标货物（工程或服务）清单</w:t>
      </w:r>
      <w:bookmarkEnd w:id="179"/>
      <w:bookmarkEnd w:id="180"/>
      <w:bookmarkEnd w:id="181"/>
      <w:bookmarkEnd w:id="182"/>
      <w:bookmarkEnd w:id="183"/>
      <w:bookmarkEnd w:id="184"/>
      <w:bookmarkEnd w:id="185"/>
    </w:p>
    <w:p>
      <w:pPr>
        <w:adjustRightInd w:val="0"/>
        <w:snapToGrid w:val="0"/>
        <w:spacing w:line="360" w:lineRule="auto"/>
        <w:rPr>
          <w:rFonts w:ascii="宋体"/>
          <w:b/>
          <w:color w:val="000000" w:themeColor="text1"/>
          <w:sz w:val="24"/>
        </w:rPr>
      </w:pPr>
      <w:r>
        <w:rPr>
          <w:rFonts w:hint="eastAsia" w:ascii="宋体" w:hAnsi="宋体"/>
          <w:b/>
          <w:color w:val="000000" w:themeColor="text1"/>
          <w:sz w:val="24"/>
        </w:rPr>
        <w:t>投</w:t>
      </w:r>
      <w:r>
        <w:rPr>
          <w:rFonts w:ascii="宋体" w:hAnsi="宋体"/>
          <w:b/>
          <w:color w:val="000000" w:themeColor="text1"/>
          <w:sz w:val="24"/>
        </w:rPr>
        <w:t xml:space="preserve"> </w:t>
      </w:r>
      <w:r>
        <w:rPr>
          <w:rFonts w:hint="eastAsia" w:ascii="宋体" w:hAnsi="宋体"/>
          <w:b/>
          <w:color w:val="000000" w:themeColor="text1"/>
          <w:sz w:val="24"/>
        </w:rPr>
        <w:t>标</w:t>
      </w:r>
      <w:r>
        <w:rPr>
          <w:rFonts w:ascii="宋体" w:hAnsi="宋体"/>
          <w:b/>
          <w:color w:val="000000" w:themeColor="text1"/>
          <w:sz w:val="24"/>
        </w:rPr>
        <w:t xml:space="preserve"> </w:t>
      </w:r>
      <w:r>
        <w:rPr>
          <w:rFonts w:hint="eastAsia" w:ascii="宋体" w:hAnsi="宋体"/>
          <w:b/>
          <w:color w:val="000000" w:themeColor="text1"/>
          <w:sz w:val="24"/>
        </w:rPr>
        <w:t>人：</w:t>
      </w:r>
    </w:p>
    <w:p>
      <w:pPr>
        <w:adjustRightInd w:val="0"/>
        <w:snapToGrid w:val="0"/>
        <w:spacing w:line="360" w:lineRule="auto"/>
        <w:rPr>
          <w:rFonts w:asci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37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2F2F2"/>
            <w:vAlign w:val="center"/>
          </w:tcPr>
          <w:p>
            <w:pPr>
              <w:spacing w:line="360" w:lineRule="auto"/>
              <w:ind w:left="-23" w:leftChars="-11" w:right="-84" w:rightChars="-40"/>
              <w:jc w:val="center"/>
              <w:rPr>
                <w:rFonts w:ascii="宋体" w:cs="宋体"/>
                <w:color w:val="000000" w:themeColor="text1"/>
                <w:kern w:val="0"/>
                <w:sz w:val="24"/>
              </w:rPr>
            </w:pPr>
            <w:r>
              <w:rPr>
                <w:rFonts w:hint="eastAsia" w:ascii="宋体" w:hAnsi="宋体" w:cs="宋体"/>
                <w:color w:val="000000" w:themeColor="text1"/>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宋体"/>
                <w:color w:val="000000" w:themeColor="text1"/>
                <w:kern w:val="0"/>
                <w:sz w:val="24"/>
              </w:rPr>
            </w:pPr>
            <w:r>
              <w:rPr>
                <w:rFonts w:hint="eastAsia" w:ascii="宋体" w:hAnsi="宋体" w:cs="宋体"/>
                <w:color w:val="000000" w:themeColor="text1"/>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宋体"/>
                <w:color w:val="000000" w:themeColor="text1"/>
                <w:kern w:val="0"/>
                <w:sz w:val="24"/>
              </w:rPr>
            </w:pPr>
            <w:r>
              <w:rPr>
                <w:rFonts w:hint="eastAsia" w:ascii="宋体" w:hAnsi="宋体" w:cs="宋体"/>
                <w:color w:val="000000" w:themeColor="text1"/>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宋体"/>
                <w:color w:val="000000" w:themeColor="text1"/>
                <w:kern w:val="0"/>
                <w:sz w:val="24"/>
              </w:rPr>
            </w:pPr>
            <w:r>
              <w:rPr>
                <w:rFonts w:hint="eastAsia" w:ascii="宋体" w:hAnsi="宋体" w:cs="宋体"/>
                <w:color w:val="000000" w:themeColor="text1"/>
                <w:kern w:val="0"/>
                <w:sz w:val="24"/>
              </w:rPr>
              <w:t>数量</w:t>
            </w:r>
          </w:p>
        </w:tc>
        <w:tc>
          <w:tcPr>
            <w:tcW w:w="2593" w:type="dxa"/>
            <w:tcBorders>
              <w:top w:val="single" w:color="auto" w:sz="4" w:space="0"/>
              <w:left w:val="single" w:color="auto" w:sz="4" w:space="0"/>
              <w:bottom w:val="single" w:color="auto" w:sz="4" w:space="0"/>
            </w:tcBorders>
            <w:shd w:val="clear" w:color="auto" w:fill="F2F2F2"/>
            <w:vAlign w:val="center"/>
          </w:tcPr>
          <w:p>
            <w:pPr>
              <w:spacing w:line="360" w:lineRule="auto"/>
              <w:ind w:left="-23" w:leftChars="-11" w:right="-65" w:rightChars="-31"/>
              <w:jc w:val="center"/>
              <w:rPr>
                <w:rFonts w:ascii="宋体" w:cs="宋体"/>
                <w:color w:val="000000" w:themeColor="text1"/>
                <w:kern w:val="0"/>
                <w:sz w:val="24"/>
              </w:rPr>
            </w:pPr>
            <w:r>
              <w:rPr>
                <w:rFonts w:hint="eastAsia" w:ascii="宋体" w:hAnsi="宋体" w:cs="宋体"/>
                <w:color w:val="000000" w:themeColor="text1"/>
                <w:kern w:val="0"/>
                <w:sz w:val="24"/>
              </w:rPr>
              <w:t>制造厂家</w:t>
            </w:r>
            <w:r>
              <w:rPr>
                <w:rFonts w:ascii="宋体" w:hAnsi="宋体" w:cs="宋体"/>
                <w:color w:val="000000" w:themeColor="text1"/>
                <w:kern w:val="0"/>
                <w:sz w:val="24"/>
              </w:rPr>
              <w:t>/</w:t>
            </w:r>
            <w:r>
              <w:rPr>
                <w:rFonts w:hint="eastAsia" w:ascii="宋体" w:hAnsi="宋体" w:cs="宋体"/>
                <w:color w:val="000000" w:themeColor="text1"/>
                <w:kern w:val="0"/>
                <w:sz w:val="24"/>
              </w:rPr>
              <w:t>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color w:val="000000" w:themeColor="text1"/>
                <w:sz w:val="24"/>
              </w:rPr>
            </w:pPr>
            <w:r>
              <w:rPr>
                <w:rFonts w:ascii="宋体" w:hAnsi="宋体"/>
                <w:color w:val="000000" w:themeColor="text1"/>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color w:val="000000" w:themeColor="text1"/>
                <w:sz w:val="24"/>
              </w:rPr>
            </w:pPr>
          </w:p>
        </w:tc>
        <w:tc>
          <w:tcPr>
            <w:tcW w:w="2459" w:type="dxa"/>
            <w:tcBorders>
              <w:top w:val="single" w:color="auto" w:sz="4" w:space="0"/>
            </w:tcBorders>
            <w:vAlign w:val="center"/>
          </w:tcPr>
          <w:p>
            <w:pPr>
              <w:adjustRightInd w:val="0"/>
              <w:snapToGrid w:val="0"/>
              <w:jc w:val="center"/>
              <w:rPr>
                <w:rFonts w:ascii="宋体"/>
                <w:color w:val="000000" w:themeColor="text1"/>
                <w:sz w:val="24"/>
              </w:rPr>
            </w:pPr>
          </w:p>
        </w:tc>
        <w:tc>
          <w:tcPr>
            <w:tcW w:w="851" w:type="dxa"/>
            <w:tcBorders>
              <w:top w:val="single" w:color="auto" w:sz="4" w:space="0"/>
            </w:tcBorders>
            <w:vAlign w:val="center"/>
          </w:tcPr>
          <w:p>
            <w:pPr>
              <w:adjustRightInd w:val="0"/>
              <w:snapToGrid w:val="0"/>
              <w:jc w:val="center"/>
              <w:rPr>
                <w:rFonts w:ascii="宋体"/>
                <w:color w:val="000000" w:themeColor="text1"/>
                <w:sz w:val="24"/>
              </w:rPr>
            </w:pPr>
          </w:p>
        </w:tc>
        <w:tc>
          <w:tcPr>
            <w:tcW w:w="2593" w:type="dxa"/>
            <w:tcBorders>
              <w:top w:val="single" w:color="auto" w:sz="4" w:space="0"/>
            </w:tcBorders>
            <w:vAlign w:val="center"/>
          </w:tcPr>
          <w:p>
            <w:pPr>
              <w:adjustRightInd w:val="0"/>
              <w:snapToGrid w:val="0"/>
              <w:jc w:val="center"/>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ascii="宋体" w:hAnsi="宋体"/>
                <w:color w:val="000000" w:themeColor="text1"/>
                <w:sz w:val="24"/>
              </w:rPr>
              <w:t>2</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color w:val="000000" w:themeColor="text1"/>
                <w:sz w:val="24"/>
              </w:rPr>
            </w:pPr>
          </w:p>
        </w:tc>
        <w:tc>
          <w:tcPr>
            <w:tcW w:w="851" w:type="dxa"/>
            <w:vAlign w:val="center"/>
          </w:tcPr>
          <w:p>
            <w:pPr>
              <w:adjustRightInd w:val="0"/>
              <w:snapToGrid w:val="0"/>
              <w:jc w:val="center"/>
              <w:rPr>
                <w:rFonts w:ascii="宋体"/>
                <w:color w:val="000000" w:themeColor="text1"/>
                <w:sz w:val="24"/>
              </w:rPr>
            </w:pPr>
          </w:p>
        </w:tc>
        <w:tc>
          <w:tcPr>
            <w:tcW w:w="2593" w:type="dxa"/>
            <w:vAlign w:val="center"/>
          </w:tcPr>
          <w:p>
            <w:pPr>
              <w:adjustRightInd w:val="0"/>
              <w:snapToGrid w:val="0"/>
              <w:jc w:val="center"/>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ascii="宋体" w:hAnsi="宋体"/>
                <w:color w:val="000000" w:themeColor="text1"/>
                <w:sz w:val="24"/>
              </w:rPr>
              <w:t>3</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ind w:left="-88" w:leftChars="-42"/>
              <w:jc w:val="center"/>
              <w:rPr>
                <w:rFonts w:ascii="宋体" w:hAnsi="宋体"/>
                <w:color w:val="000000" w:themeColor="text1"/>
                <w:sz w:val="24"/>
              </w:rPr>
            </w:pPr>
          </w:p>
        </w:tc>
        <w:tc>
          <w:tcPr>
            <w:tcW w:w="851" w:type="dxa"/>
            <w:vAlign w:val="center"/>
          </w:tcPr>
          <w:p>
            <w:pPr>
              <w:adjustRightInd w:val="0"/>
              <w:snapToGrid w:val="0"/>
              <w:ind w:left="-88" w:leftChars="-42"/>
              <w:jc w:val="center"/>
              <w:rPr>
                <w:rFonts w:ascii="宋体" w:hAnsi="宋体"/>
                <w:color w:val="000000" w:themeColor="text1"/>
                <w:sz w:val="24"/>
              </w:rPr>
            </w:pPr>
          </w:p>
        </w:tc>
        <w:tc>
          <w:tcPr>
            <w:tcW w:w="2593" w:type="dxa"/>
            <w:vAlign w:val="center"/>
          </w:tcPr>
          <w:p>
            <w:pPr>
              <w:adjustRightInd w:val="0"/>
              <w:snapToGrid w:val="0"/>
              <w:ind w:left="-88" w:leftChars="-42"/>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ascii="宋体" w:hAnsi="宋体"/>
                <w:color w:val="000000" w:themeColor="text1"/>
                <w:sz w:val="24"/>
              </w:rPr>
              <w:t>4</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color w:val="000000" w:themeColor="text1"/>
                <w:sz w:val="24"/>
              </w:rPr>
            </w:pPr>
          </w:p>
        </w:tc>
        <w:tc>
          <w:tcPr>
            <w:tcW w:w="851" w:type="dxa"/>
            <w:vAlign w:val="center"/>
          </w:tcPr>
          <w:p>
            <w:pPr>
              <w:adjustRightInd w:val="0"/>
              <w:snapToGrid w:val="0"/>
              <w:jc w:val="center"/>
              <w:rPr>
                <w:rFonts w:ascii="宋体"/>
                <w:color w:val="000000" w:themeColor="text1"/>
                <w:sz w:val="24"/>
              </w:rPr>
            </w:pPr>
          </w:p>
        </w:tc>
        <w:tc>
          <w:tcPr>
            <w:tcW w:w="2593" w:type="dxa"/>
            <w:vAlign w:val="center"/>
          </w:tcPr>
          <w:p>
            <w:pPr>
              <w:adjustRightInd w:val="0"/>
              <w:snapToGrid w:val="0"/>
              <w:jc w:val="center"/>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ascii="宋体" w:hAnsi="宋体"/>
                <w:color w:val="000000" w:themeColor="text1"/>
                <w:sz w:val="24"/>
              </w:rPr>
              <w:t>5</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color w:val="000000" w:themeColor="text1"/>
                <w:sz w:val="24"/>
              </w:rPr>
            </w:pPr>
          </w:p>
        </w:tc>
        <w:tc>
          <w:tcPr>
            <w:tcW w:w="851" w:type="dxa"/>
            <w:vAlign w:val="center"/>
          </w:tcPr>
          <w:p>
            <w:pPr>
              <w:adjustRightInd w:val="0"/>
              <w:snapToGrid w:val="0"/>
              <w:jc w:val="center"/>
              <w:rPr>
                <w:rFonts w:ascii="宋体"/>
                <w:color w:val="000000" w:themeColor="text1"/>
                <w:sz w:val="24"/>
              </w:rPr>
            </w:pPr>
          </w:p>
        </w:tc>
        <w:tc>
          <w:tcPr>
            <w:tcW w:w="2593" w:type="dxa"/>
            <w:vAlign w:val="center"/>
          </w:tcPr>
          <w:p>
            <w:pPr>
              <w:adjustRightInd w:val="0"/>
              <w:snapToGrid w:val="0"/>
              <w:jc w:val="center"/>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ascii="宋体" w:hAnsi="宋体"/>
                <w:color w:val="000000" w:themeColor="text1"/>
                <w:sz w:val="24"/>
              </w:rPr>
              <w:t>6</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color w:val="000000" w:themeColor="text1"/>
                <w:sz w:val="24"/>
              </w:rPr>
            </w:pPr>
          </w:p>
        </w:tc>
        <w:tc>
          <w:tcPr>
            <w:tcW w:w="851" w:type="dxa"/>
            <w:vAlign w:val="center"/>
          </w:tcPr>
          <w:p>
            <w:pPr>
              <w:adjustRightInd w:val="0"/>
              <w:snapToGrid w:val="0"/>
              <w:jc w:val="center"/>
              <w:rPr>
                <w:rFonts w:ascii="宋体"/>
                <w:color w:val="000000" w:themeColor="text1"/>
                <w:sz w:val="24"/>
              </w:rPr>
            </w:pPr>
          </w:p>
        </w:tc>
        <w:tc>
          <w:tcPr>
            <w:tcW w:w="2593" w:type="dxa"/>
            <w:vAlign w:val="center"/>
          </w:tcPr>
          <w:p>
            <w:pPr>
              <w:adjustRightInd w:val="0"/>
              <w:snapToGrid w:val="0"/>
              <w:jc w:val="center"/>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ascii="宋体" w:hAnsi="宋体"/>
                <w:color w:val="000000" w:themeColor="text1"/>
                <w:sz w:val="24"/>
              </w:rPr>
              <w:t>7</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color w:val="000000" w:themeColor="text1"/>
                <w:sz w:val="24"/>
              </w:rPr>
            </w:pPr>
          </w:p>
        </w:tc>
        <w:tc>
          <w:tcPr>
            <w:tcW w:w="851" w:type="dxa"/>
            <w:vAlign w:val="center"/>
          </w:tcPr>
          <w:p>
            <w:pPr>
              <w:adjustRightInd w:val="0"/>
              <w:snapToGrid w:val="0"/>
              <w:jc w:val="center"/>
              <w:rPr>
                <w:rFonts w:ascii="宋体"/>
                <w:color w:val="000000" w:themeColor="text1"/>
                <w:sz w:val="24"/>
              </w:rPr>
            </w:pPr>
          </w:p>
        </w:tc>
        <w:tc>
          <w:tcPr>
            <w:tcW w:w="2593" w:type="dxa"/>
            <w:vAlign w:val="center"/>
          </w:tcPr>
          <w:p>
            <w:pPr>
              <w:adjustRightInd w:val="0"/>
              <w:snapToGrid w:val="0"/>
              <w:jc w:val="center"/>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tcBorders>
              <w:bottom w:val="single" w:color="auto" w:sz="4" w:space="0"/>
            </w:tcBorders>
            <w:vAlign w:val="center"/>
          </w:tcPr>
          <w:p>
            <w:pPr>
              <w:adjustRightInd w:val="0"/>
              <w:snapToGrid w:val="0"/>
              <w:ind w:left="-88" w:leftChars="-42"/>
              <w:jc w:val="center"/>
              <w:rPr>
                <w:rFonts w:ascii="宋体"/>
                <w:color w:val="000000" w:themeColor="text1"/>
                <w:sz w:val="24"/>
              </w:rPr>
            </w:pPr>
            <w:r>
              <w:rPr>
                <w:rFonts w:hint="eastAsia" w:ascii="宋体" w:hAnsi="宋体"/>
                <w:color w:val="000000" w:themeColor="text1"/>
                <w:sz w:val="24"/>
              </w:rPr>
              <w:t>…</w:t>
            </w:r>
          </w:p>
        </w:tc>
        <w:tc>
          <w:tcPr>
            <w:tcW w:w="2722" w:type="dxa"/>
            <w:tcBorders>
              <w:bottom w:val="single" w:color="auto" w:sz="4" w:space="0"/>
            </w:tcBorders>
            <w:vAlign w:val="center"/>
          </w:tcPr>
          <w:p>
            <w:pPr>
              <w:adjustRightInd w:val="0"/>
              <w:snapToGrid w:val="0"/>
              <w:ind w:left="-88" w:leftChars="-42"/>
              <w:jc w:val="center"/>
              <w:rPr>
                <w:rFonts w:ascii="宋体"/>
                <w:color w:val="000000" w:themeColor="text1"/>
                <w:sz w:val="24"/>
              </w:rPr>
            </w:pPr>
          </w:p>
        </w:tc>
        <w:tc>
          <w:tcPr>
            <w:tcW w:w="2459" w:type="dxa"/>
            <w:tcBorders>
              <w:bottom w:val="single" w:color="auto" w:sz="4" w:space="0"/>
            </w:tcBorders>
            <w:vAlign w:val="center"/>
          </w:tcPr>
          <w:p>
            <w:pPr>
              <w:adjustRightInd w:val="0"/>
              <w:snapToGrid w:val="0"/>
              <w:jc w:val="center"/>
              <w:rPr>
                <w:rFonts w:ascii="宋体"/>
                <w:color w:val="000000" w:themeColor="text1"/>
                <w:sz w:val="24"/>
              </w:rPr>
            </w:pPr>
          </w:p>
        </w:tc>
        <w:tc>
          <w:tcPr>
            <w:tcW w:w="851" w:type="dxa"/>
            <w:tcBorders>
              <w:bottom w:val="single" w:color="auto" w:sz="4" w:space="0"/>
            </w:tcBorders>
            <w:vAlign w:val="center"/>
          </w:tcPr>
          <w:p>
            <w:pPr>
              <w:adjustRightInd w:val="0"/>
              <w:snapToGrid w:val="0"/>
              <w:jc w:val="center"/>
              <w:rPr>
                <w:rFonts w:ascii="宋体"/>
                <w:color w:val="000000" w:themeColor="text1"/>
                <w:sz w:val="24"/>
              </w:rPr>
            </w:pPr>
          </w:p>
        </w:tc>
        <w:tc>
          <w:tcPr>
            <w:tcW w:w="2593" w:type="dxa"/>
            <w:tcBorders>
              <w:bottom w:val="single" w:color="auto" w:sz="4" w:space="0"/>
            </w:tcBorders>
            <w:vAlign w:val="center"/>
          </w:tcPr>
          <w:p>
            <w:pPr>
              <w:adjustRightInd w:val="0"/>
              <w:snapToGrid w:val="0"/>
              <w:jc w:val="center"/>
              <w:rPr>
                <w:rFonts w:ascii="宋体"/>
                <w:color w:val="000000" w:themeColor="text1"/>
                <w:sz w:val="24"/>
              </w:rPr>
            </w:pPr>
          </w:p>
        </w:tc>
      </w:tr>
    </w:tbl>
    <w:p>
      <w:pPr>
        <w:spacing w:line="360" w:lineRule="auto"/>
        <w:ind w:left="1078" w:hanging="1077" w:hangingChars="449"/>
        <w:jc w:val="left"/>
        <w:rPr>
          <w:rFonts w:ascii="宋体"/>
          <w:color w:val="000000" w:themeColor="text1"/>
          <w:sz w:val="24"/>
        </w:rPr>
      </w:pPr>
      <w:r>
        <w:rPr>
          <w:rFonts w:hint="eastAsia" w:ascii="宋体" w:hAnsi="宋体"/>
          <w:color w:val="000000" w:themeColor="text1"/>
          <w:sz w:val="24"/>
        </w:rPr>
        <w:t>说明：</w:t>
      </w:r>
      <w:r>
        <w:rPr>
          <w:rFonts w:ascii="宋体" w:hAnsi="宋体"/>
          <w:color w:val="000000" w:themeColor="text1"/>
          <w:sz w:val="24"/>
        </w:rPr>
        <w:t>1</w:t>
      </w:r>
      <w:r>
        <w:rPr>
          <w:rFonts w:hint="eastAsia" w:ascii="宋体" w:hAnsi="宋体"/>
          <w:color w:val="000000" w:themeColor="text1"/>
          <w:sz w:val="24"/>
        </w:rPr>
        <w:t>．此表为货物（工程或服务）清单，投标人应提供所投货物（工程或服务）详细的供货（工程或服务）范围，包括主要配件及生产厂家、备品备件等。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color w:val="000000" w:themeColor="text1"/>
          <w:sz w:val="24"/>
        </w:rPr>
      </w:pPr>
      <w:r>
        <w:rPr>
          <w:rFonts w:ascii="宋体" w:hAnsi="宋体"/>
          <w:color w:val="000000" w:themeColor="text1"/>
          <w:sz w:val="24"/>
        </w:rPr>
        <w:t>2</w:t>
      </w:r>
      <w:r>
        <w:rPr>
          <w:rFonts w:hint="eastAsia" w:ascii="宋体" w:hAnsi="宋体"/>
          <w:color w:val="000000" w:themeColor="text1"/>
          <w:sz w:val="24"/>
        </w:rPr>
        <w:t>．各项货物（工程或服务）详细技术规格、参数及要求性能，应另页描述。</w:t>
      </w:r>
    </w:p>
    <w:p>
      <w:pPr>
        <w:adjustRightInd w:val="0"/>
        <w:snapToGrid w:val="0"/>
        <w:spacing w:line="360" w:lineRule="auto"/>
        <w:ind w:left="767" w:leftChars="194" w:hanging="360" w:hangingChars="150"/>
        <w:rPr>
          <w:rFonts w:ascii="宋体"/>
          <w:color w:val="000000" w:themeColor="text1"/>
          <w:sz w:val="24"/>
        </w:rPr>
      </w:pPr>
    </w:p>
    <w:p>
      <w:pPr>
        <w:adjustRightInd w:val="0"/>
        <w:snapToGrid w:val="0"/>
        <w:spacing w:line="360" w:lineRule="auto"/>
        <w:ind w:left="767" w:leftChars="194" w:hanging="360" w:hangingChars="150"/>
        <w:rPr>
          <w:rFonts w:ascii="宋体"/>
          <w:color w:val="000000" w:themeColor="text1"/>
          <w:sz w:val="24"/>
        </w:rPr>
      </w:pPr>
    </w:p>
    <w:p>
      <w:pPr>
        <w:adjustRightInd w:val="0"/>
        <w:snapToGrid w:val="0"/>
        <w:spacing w:line="360" w:lineRule="auto"/>
        <w:ind w:left="767" w:leftChars="194" w:hanging="360" w:hangingChars="150"/>
        <w:rPr>
          <w:rFonts w:ascii="宋体"/>
          <w:color w:val="000000" w:themeColor="text1"/>
          <w:sz w:val="24"/>
        </w:rPr>
      </w:pPr>
    </w:p>
    <w:p>
      <w:pPr>
        <w:adjustRightInd w:val="0"/>
        <w:snapToGrid w:val="0"/>
        <w:spacing w:line="360" w:lineRule="auto"/>
        <w:ind w:left="767" w:leftChars="194" w:hanging="360" w:hangingChars="150"/>
        <w:rPr>
          <w:rFonts w:ascii="宋体"/>
          <w:color w:val="000000" w:themeColor="text1"/>
          <w:sz w:val="24"/>
        </w:rPr>
      </w:pP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288" w:hanging="1288"/>
        <w:rPr>
          <w:rFonts w:ascii="宋体"/>
          <w:color w:val="000000" w:themeColor="text1"/>
        </w:rPr>
      </w:pPr>
      <w:bookmarkStart w:id="186" w:name="_Toc494721109"/>
      <w:bookmarkStart w:id="187" w:name="_Toc494702279"/>
      <w:bookmarkStart w:id="188" w:name="_Toc494665562"/>
      <w:bookmarkStart w:id="189" w:name="_Toc19433"/>
      <w:bookmarkStart w:id="190" w:name="_Toc494665009"/>
      <w:bookmarkStart w:id="191" w:name="_Toc494665959"/>
      <w:bookmarkStart w:id="192" w:name="_Toc494745326"/>
      <w:r>
        <w:rPr>
          <w:rFonts w:hint="eastAsia" w:ascii="宋体" w:hAnsi="宋体"/>
          <w:color w:val="000000" w:themeColor="text1"/>
        </w:rPr>
        <w:t>交纳投标保证金的银行凭证</w:t>
      </w:r>
      <w:bookmarkEnd w:id="186"/>
      <w:bookmarkEnd w:id="187"/>
      <w:bookmarkEnd w:id="188"/>
      <w:bookmarkEnd w:id="189"/>
      <w:bookmarkEnd w:id="190"/>
      <w:bookmarkEnd w:id="191"/>
      <w:bookmarkEnd w:id="192"/>
    </w:p>
    <w:p>
      <w:pPr>
        <w:spacing w:line="480" w:lineRule="auto"/>
        <w:rPr>
          <w:rFonts w:ascii="宋体" w:cs="Courier New"/>
          <w:b/>
          <w:color w:val="000000" w:themeColor="text1"/>
          <w:sz w:val="28"/>
          <w:szCs w:val="28"/>
        </w:rPr>
      </w:pPr>
      <w:r>
        <w:rPr>
          <w:rFonts w:hint="eastAsia"/>
          <w:b/>
          <w:color w:val="000000" w:themeColor="text1"/>
          <w:sz w:val="28"/>
          <w:szCs w:val="28"/>
        </w:rPr>
        <w:t>采购人（或代理公司）</w:t>
      </w:r>
      <w:r>
        <w:rPr>
          <w:rFonts w:hint="eastAsia" w:ascii="宋体" w:hAnsi="宋体" w:cs="Courier New"/>
          <w:b/>
          <w:color w:val="000000" w:themeColor="text1"/>
          <w:sz w:val="28"/>
          <w:szCs w:val="28"/>
        </w:rPr>
        <w:t>：</w:t>
      </w:r>
    </w:p>
    <w:p>
      <w:pPr>
        <w:spacing w:line="360" w:lineRule="auto"/>
        <w:ind w:firstLine="489" w:firstLineChars="204"/>
        <w:jc w:val="left"/>
        <w:rPr>
          <w:rFonts w:ascii="宋体"/>
          <w:color w:val="000000" w:themeColor="text1"/>
          <w:sz w:val="24"/>
          <w:szCs w:val="21"/>
          <w:lang w:val="zh-CN"/>
        </w:rPr>
      </w:pPr>
      <w:r>
        <w:rPr>
          <w:rFonts w:ascii="宋体" w:hAnsi="宋体"/>
          <w:color w:val="000000" w:themeColor="text1"/>
          <w:sz w:val="24"/>
          <w:szCs w:val="21"/>
          <w:u w:val="single"/>
          <w:lang w:val="zh-CN"/>
        </w:rPr>
        <w:t xml:space="preserve">  </w:t>
      </w:r>
      <w:r>
        <w:rPr>
          <w:rFonts w:hint="eastAsia" w:ascii="宋体" w:hAnsi="宋体"/>
          <w:color w:val="000000" w:themeColor="text1"/>
          <w:sz w:val="24"/>
          <w:szCs w:val="21"/>
          <w:u w:val="single"/>
          <w:lang w:val="zh-CN"/>
        </w:rPr>
        <w:t>（投标人全称）</w:t>
      </w:r>
      <w:r>
        <w:rPr>
          <w:rFonts w:ascii="宋体" w:hAnsi="宋体"/>
          <w:color w:val="000000" w:themeColor="text1"/>
          <w:sz w:val="24"/>
          <w:szCs w:val="21"/>
          <w:u w:val="single"/>
          <w:lang w:val="zh-CN"/>
        </w:rPr>
        <w:t xml:space="preserve">  </w:t>
      </w:r>
      <w:r>
        <w:rPr>
          <w:rFonts w:hint="eastAsia" w:ascii="宋体" w:hAnsi="宋体"/>
          <w:color w:val="000000" w:themeColor="text1"/>
          <w:sz w:val="24"/>
          <w:szCs w:val="21"/>
          <w:lang w:val="zh-CN"/>
        </w:rPr>
        <w:t>参加贵方组织的</w:t>
      </w:r>
      <w:r>
        <w:rPr>
          <w:rFonts w:hint="eastAsia" w:ascii="宋体" w:hAnsi="宋体"/>
          <w:color w:val="000000" w:themeColor="text1"/>
          <w:sz w:val="24"/>
          <w:szCs w:val="21"/>
        </w:rPr>
        <w:t xml:space="preserve"> </w:t>
      </w:r>
      <w:r>
        <w:rPr>
          <w:rFonts w:hint="eastAsia" w:ascii="宋体" w:hAnsi="宋体"/>
          <w:color w:val="000000" w:themeColor="text1"/>
          <w:sz w:val="24"/>
          <w:szCs w:val="21"/>
          <w:u w:val="single"/>
        </w:rPr>
        <w:t xml:space="preserve">      </w:t>
      </w:r>
      <w:r>
        <w:rPr>
          <w:rFonts w:hint="eastAsia" w:ascii="宋体" w:hAnsi="宋体"/>
          <w:color w:val="000000" w:themeColor="text1"/>
          <w:sz w:val="24"/>
          <w:szCs w:val="21"/>
          <w:lang w:val="zh-CN"/>
        </w:rPr>
        <w:t>项目笫</w:t>
      </w:r>
      <w:r>
        <w:rPr>
          <w:rFonts w:ascii="宋体" w:hAnsi="宋体"/>
          <w:color w:val="000000" w:themeColor="text1"/>
          <w:sz w:val="24"/>
          <w:szCs w:val="21"/>
          <w:u w:val="single"/>
          <w:lang w:val="zh-CN"/>
        </w:rPr>
        <w:t xml:space="preserve">  </w:t>
      </w:r>
      <w:r>
        <w:rPr>
          <w:rFonts w:hint="eastAsia" w:ascii="宋体" w:hAnsi="宋体"/>
          <w:color w:val="000000" w:themeColor="text1"/>
          <w:sz w:val="24"/>
          <w:szCs w:val="21"/>
          <w:lang w:val="zh-CN"/>
        </w:rPr>
        <w:t>包（项目编号：</w:t>
      </w:r>
      <w:r>
        <w:rPr>
          <w:rFonts w:ascii="宋体" w:hAnsi="宋体"/>
          <w:color w:val="000000" w:themeColor="text1"/>
          <w:sz w:val="24"/>
          <w:szCs w:val="21"/>
          <w:lang w:val="zh-CN"/>
        </w:rPr>
        <w:t>______</w:t>
      </w:r>
      <w:r>
        <w:rPr>
          <w:rFonts w:hint="eastAsia" w:ascii="宋体" w:hAnsi="宋体"/>
          <w:color w:val="000000" w:themeColor="text1"/>
          <w:sz w:val="24"/>
          <w:szCs w:val="21"/>
          <w:lang w:val="zh-CN"/>
        </w:rPr>
        <w:t>）的政府采购活动。按招标文件的规定，已递交人民币（大写）</w:t>
      </w:r>
      <w:r>
        <w:rPr>
          <w:rFonts w:hint="eastAsia" w:ascii="宋体" w:hAnsi="宋体"/>
          <w:color w:val="000000" w:themeColor="text1"/>
          <w:sz w:val="24"/>
          <w:szCs w:val="21"/>
          <w:u w:val="single"/>
        </w:rPr>
        <w:t xml:space="preserve">    </w:t>
      </w:r>
      <w:r>
        <w:rPr>
          <w:rFonts w:hint="eastAsia" w:ascii="宋体" w:hAnsi="宋体"/>
          <w:color w:val="000000" w:themeColor="text1"/>
          <w:sz w:val="24"/>
          <w:szCs w:val="21"/>
          <w:lang w:val="zh-CN"/>
        </w:rPr>
        <w:t>万元的投标保证金。</w:t>
      </w:r>
    </w:p>
    <w:tbl>
      <w:tblPr>
        <w:tblStyle w:val="21"/>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cs="宋体"/>
                <w:color w:val="000000" w:themeColor="text1"/>
                <w:kern w:val="0"/>
                <w:sz w:val="24"/>
                <w:szCs w:val="21"/>
              </w:rPr>
            </w:pPr>
            <w:r>
              <w:rPr>
                <w:rFonts w:hint="eastAsia" w:ascii="宋体" w:hAnsi="宋体" w:cs="宋体"/>
                <w:color w:val="000000" w:themeColor="text1"/>
                <w:kern w:val="0"/>
                <w:sz w:val="24"/>
                <w:szCs w:val="21"/>
              </w:rPr>
              <w:t>投标人</w:t>
            </w:r>
          </w:p>
        </w:tc>
        <w:tc>
          <w:tcPr>
            <w:tcW w:w="1885" w:type="dxa"/>
            <w:vAlign w:val="center"/>
          </w:tcPr>
          <w:p>
            <w:pPr>
              <w:widowControl/>
              <w:spacing w:line="360" w:lineRule="auto"/>
              <w:jc w:val="center"/>
              <w:rPr>
                <w:rFonts w:ascii="宋体" w:cs="宋体"/>
                <w:color w:val="000000" w:themeColor="text1"/>
                <w:kern w:val="0"/>
                <w:sz w:val="24"/>
                <w:szCs w:val="21"/>
              </w:rPr>
            </w:pPr>
            <w:r>
              <w:rPr>
                <w:rFonts w:hint="eastAsia" w:ascii="宋体" w:hAnsi="宋体" w:cs="宋体"/>
                <w:color w:val="000000" w:themeColor="text1"/>
                <w:kern w:val="0"/>
                <w:sz w:val="24"/>
                <w:szCs w:val="21"/>
              </w:rPr>
              <w:t>全</w:t>
            </w:r>
            <w:r>
              <w:rPr>
                <w:rFonts w:ascii="宋体" w:hAnsi="宋体" w:cs="宋体"/>
                <w:color w:val="000000" w:themeColor="text1"/>
                <w:kern w:val="0"/>
                <w:sz w:val="24"/>
                <w:szCs w:val="21"/>
              </w:rPr>
              <w:t xml:space="preserve">  </w:t>
            </w:r>
            <w:r>
              <w:rPr>
                <w:rFonts w:hint="eastAsia" w:ascii="宋体" w:hAnsi="宋体" w:cs="宋体"/>
                <w:color w:val="000000" w:themeColor="text1"/>
                <w:kern w:val="0"/>
                <w:sz w:val="24"/>
                <w:szCs w:val="21"/>
              </w:rPr>
              <w:t>称</w:t>
            </w:r>
          </w:p>
        </w:tc>
        <w:tc>
          <w:tcPr>
            <w:tcW w:w="7123" w:type="dxa"/>
            <w:gridSpan w:val="3"/>
            <w:vAlign w:val="center"/>
          </w:tcPr>
          <w:p>
            <w:pPr>
              <w:widowControl/>
              <w:spacing w:line="360" w:lineRule="auto"/>
              <w:jc w:val="left"/>
              <w:rPr>
                <w:rFonts w:ascii="宋体" w:cs="宋体"/>
                <w:color w:val="000000" w:themeColor="text1"/>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宋体"/>
                <w:color w:val="000000" w:themeColor="text1"/>
                <w:kern w:val="0"/>
                <w:sz w:val="24"/>
                <w:szCs w:val="21"/>
              </w:rPr>
            </w:pPr>
          </w:p>
        </w:tc>
        <w:tc>
          <w:tcPr>
            <w:tcW w:w="1885" w:type="dxa"/>
            <w:vAlign w:val="center"/>
          </w:tcPr>
          <w:p>
            <w:pPr>
              <w:widowControl/>
              <w:spacing w:line="360" w:lineRule="auto"/>
              <w:jc w:val="center"/>
              <w:rPr>
                <w:rFonts w:ascii="宋体" w:cs="宋体"/>
                <w:color w:val="000000" w:themeColor="text1"/>
                <w:kern w:val="0"/>
                <w:sz w:val="24"/>
                <w:szCs w:val="21"/>
              </w:rPr>
            </w:pPr>
            <w:r>
              <w:rPr>
                <w:rFonts w:hint="eastAsia" w:ascii="宋体" w:hAnsi="宋体" w:cs="宋体"/>
                <w:color w:val="000000" w:themeColor="text1"/>
                <w:kern w:val="0"/>
                <w:sz w:val="24"/>
                <w:szCs w:val="21"/>
              </w:rPr>
              <w:t>地</w:t>
            </w:r>
            <w:r>
              <w:rPr>
                <w:rFonts w:ascii="宋体" w:hAnsi="宋体" w:cs="宋体"/>
                <w:color w:val="000000" w:themeColor="text1"/>
                <w:kern w:val="0"/>
                <w:sz w:val="24"/>
                <w:szCs w:val="21"/>
              </w:rPr>
              <w:t xml:space="preserve">  </w:t>
            </w:r>
            <w:r>
              <w:rPr>
                <w:rFonts w:hint="eastAsia" w:ascii="宋体" w:hAnsi="宋体" w:cs="宋体"/>
                <w:color w:val="000000" w:themeColor="text1"/>
                <w:kern w:val="0"/>
                <w:sz w:val="24"/>
                <w:szCs w:val="21"/>
              </w:rPr>
              <w:t>址</w:t>
            </w:r>
          </w:p>
        </w:tc>
        <w:tc>
          <w:tcPr>
            <w:tcW w:w="7123" w:type="dxa"/>
            <w:gridSpan w:val="3"/>
            <w:vAlign w:val="center"/>
          </w:tcPr>
          <w:p>
            <w:pPr>
              <w:widowControl/>
              <w:spacing w:line="360" w:lineRule="auto"/>
              <w:jc w:val="left"/>
              <w:rPr>
                <w:rFonts w:ascii="宋体" w:cs="宋体"/>
                <w:color w:val="000000" w:themeColor="text1"/>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宋体"/>
                <w:color w:val="000000" w:themeColor="text1"/>
                <w:kern w:val="0"/>
                <w:sz w:val="24"/>
                <w:szCs w:val="21"/>
              </w:rPr>
            </w:pPr>
          </w:p>
        </w:tc>
        <w:tc>
          <w:tcPr>
            <w:tcW w:w="1885" w:type="dxa"/>
            <w:vAlign w:val="center"/>
          </w:tcPr>
          <w:p>
            <w:pPr>
              <w:widowControl/>
              <w:spacing w:line="360" w:lineRule="auto"/>
              <w:jc w:val="center"/>
              <w:rPr>
                <w:rFonts w:ascii="宋体" w:cs="宋体"/>
                <w:color w:val="000000" w:themeColor="text1"/>
                <w:kern w:val="0"/>
                <w:sz w:val="24"/>
                <w:szCs w:val="21"/>
              </w:rPr>
            </w:pPr>
            <w:r>
              <w:rPr>
                <w:rFonts w:hint="eastAsia" w:ascii="宋体" w:hAnsi="宋体" w:cs="宋体"/>
                <w:color w:val="000000" w:themeColor="text1"/>
                <w:kern w:val="0"/>
                <w:sz w:val="24"/>
                <w:szCs w:val="21"/>
              </w:rPr>
              <w:t>邮</w:t>
            </w:r>
            <w:r>
              <w:rPr>
                <w:rFonts w:ascii="宋体" w:hAnsi="宋体" w:cs="宋体"/>
                <w:color w:val="000000" w:themeColor="text1"/>
                <w:kern w:val="0"/>
                <w:sz w:val="24"/>
                <w:szCs w:val="21"/>
              </w:rPr>
              <w:t xml:space="preserve">  </w:t>
            </w:r>
            <w:r>
              <w:rPr>
                <w:rFonts w:hint="eastAsia" w:ascii="宋体" w:hAnsi="宋体" w:cs="宋体"/>
                <w:color w:val="000000" w:themeColor="text1"/>
                <w:kern w:val="0"/>
                <w:sz w:val="24"/>
                <w:szCs w:val="21"/>
              </w:rPr>
              <w:t>编</w:t>
            </w:r>
          </w:p>
        </w:tc>
        <w:tc>
          <w:tcPr>
            <w:tcW w:w="7123" w:type="dxa"/>
            <w:gridSpan w:val="3"/>
            <w:vAlign w:val="center"/>
          </w:tcPr>
          <w:p>
            <w:pPr>
              <w:widowControl/>
              <w:spacing w:line="360" w:lineRule="auto"/>
              <w:jc w:val="left"/>
              <w:rPr>
                <w:rFonts w:ascii="宋体" w:cs="宋体"/>
                <w:color w:val="000000" w:themeColor="text1"/>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宋体"/>
                <w:color w:val="000000" w:themeColor="text1"/>
                <w:kern w:val="0"/>
                <w:sz w:val="24"/>
                <w:szCs w:val="21"/>
              </w:rPr>
            </w:pPr>
          </w:p>
        </w:tc>
        <w:tc>
          <w:tcPr>
            <w:tcW w:w="1885" w:type="dxa"/>
            <w:vAlign w:val="center"/>
          </w:tcPr>
          <w:p>
            <w:pPr>
              <w:widowControl/>
              <w:spacing w:line="360" w:lineRule="auto"/>
              <w:jc w:val="center"/>
              <w:rPr>
                <w:rFonts w:ascii="宋体" w:cs="宋体"/>
                <w:color w:val="000000" w:themeColor="text1"/>
                <w:kern w:val="0"/>
                <w:sz w:val="24"/>
                <w:szCs w:val="21"/>
              </w:rPr>
            </w:pPr>
            <w:r>
              <w:rPr>
                <w:rFonts w:hint="eastAsia" w:ascii="宋体" w:hAnsi="宋体" w:cs="宋体"/>
                <w:color w:val="000000" w:themeColor="text1"/>
                <w:kern w:val="0"/>
                <w:sz w:val="24"/>
                <w:szCs w:val="21"/>
              </w:rPr>
              <w:t>联</w:t>
            </w:r>
            <w:r>
              <w:rPr>
                <w:rFonts w:ascii="宋体" w:hAnsi="宋体" w:cs="宋体"/>
                <w:color w:val="000000" w:themeColor="text1"/>
                <w:kern w:val="0"/>
                <w:sz w:val="24"/>
                <w:szCs w:val="21"/>
              </w:rPr>
              <w:t xml:space="preserve"> </w:t>
            </w:r>
            <w:r>
              <w:rPr>
                <w:rFonts w:hint="eastAsia" w:ascii="宋体" w:hAnsi="宋体" w:cs="宋体"/>
                <w:color w:val="000000" w:themeColor="text1"/>
                <w:kern w:val="0"/>
                <w:sz w:val="24"/>
                <w:szCs w:val="21"/>
              </w:rPr>
              <w:t>系</w:t>
            </w:r>
            <w:r>
              <w:rPr>
                <w:rFonts w:ascii="宋体" w:hAnsi="宋体" w:cs="宋体"/>
                <w:color w:val="000000" w:themeColor="text1"/>
                <w:kern w:val="0"/>
                <w:sz w:val="24"/>
                <w:szCs w:val="21"/>
              </w:rPr>
              <w:t xml:space="preserve"> </w:t>
            </w:r>
            <w:r>
              <w:rPr>
                <w:rFonts w:hint="eastAsia" w:ascii="宋体" w:hAnsi="宋体" w:cs="宋体"/>
                <w:color w:val="000000" w:themeColor="text1"/>
                <w:kern w:val="0"/>
                <w:sz w:val="24"/>
                <w:szCs w:val="21"/>
              </w:rPr>
              <w:t>人</w:t>
            </w:r>
          </w:p>
        </w:tc>
        <w:tc>
          <w:tcPr>
            <w:tcW w:w="2160" w:type="dxa"/>
            <w:vAlign w:val="center"/>
          </w:tcPr>
          <w:p>
            <w:pPr>
              <w:widowControl/>
              <w:spacing w:line="360" w:lineRule="auto"/>
              <w:jc w:val="left"/>
              <w:rPr>
                <w:rFonts w:ascii="宋体" w:cs="宋体"/>
                <w:color w:val="000000" w:themeColor="text1"/>
                <w:kern w:val="0"/>
                <w:sz w:val="24"/>
                <w:szCs w:val="21"/>
              </w:rPr>
            </w:pPr>
          </w:p>
        </w:tc>
        <w:tc>
          <w:tcPr>
            <w:tcW w:w="1440" w:type="dxa"/>
            <w:vAlign w:val="center"/>
          </w:tcPr>
          <w:p>
            <w:pPr>
              <w:widowControl/>
              <w:spacing w:line="360" w:lineRule="auto"/>
              <w:jc w:val="center"/>
              <w:rPr>
                <w:rFonts w:ascii="宋体" w:cs="宋体"/>
                <w:color w:val="000000" w:themeColor="text1"/>
                <w:kern w:val="0"/>
                <w:sz w:val="24"/>
                <w:szCs w:val="21"/>
              </w:rPr>
            </w:pPr>
            <w:r>
              <w:rPr>
                <w:rFonts w:hint="eastAsia" w:ascii="宋体" w:hAnsi="宋体" w:cs="宋体"/>
                <w:color w:val="000000" w:themeColor="text1"/>
                <w:kern w:val="0"/>
                <w:sz w:val="24"/>
                <w:szCs w:val="21"/>
              </w:rPr>
              <w:t>联系电话</w:t>
            </w:r>
          </w:p>
        </w:tc>
        <w:tc>
          <w:tcPr>
            <w:tcW w:w="3523" w:type="dxa"/>
            <w:vAlign w:val="center"/>
          </w:tcPr>
          <w:p>
            <w:pPr>
              <w:widowControl/>
              <w:spacing w:line="360" w:lineRule="auto"/>
              <w:jc w:val="left"/>
              <w:rPr>
                <w:rFonts w:ascii="宋体" w:cs="宋体"/>
                <w:color w:val="000000" w:themeColor="text1"/>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宋体"/>
                <w:color w:val="000000" w:themeColor="text1"/>
                <w:kern w:val="0"/>
                <w:sz w:val="24"/>
                <w:szCs w:val="21"/>
              </w:rPr>
            </w:pPr>
          </w:p>
        </w:tc>
        <w:tc>
          <w:tcPr>
            <w:tcW w:w="1885" w:type="dxa"/>
            <w:vAlign w:val="center"/>
          </w:tcPr>
          <w:p>
            <w:pPr>
              <w:widowControl/>
              <w:spacing w:line="360" w:lineRule="auto"/>
              <w:jc w:val="center"/>
              <w:rPr>
                <w:rFonts w:ascii="宋体" w:cs="宋体"/>
                <w:color w:val="000000" w:themeColor="text1"/>
                <w:kern w:val="0"/>
                <w:sz w:val="24"/>
                <w:szCs w:val="21"/>
              </w:rPr>
            </w:pPr>
            <w:r>
              <w:rPr>
                <w:rFonts w:hint="eastAsia" w:ascii="宋体" w:hAnsi="宋体" w:cs="宋体"/>
                <w:color w:val="000000" w:themeColor="text1"/>
                <w:kern w:val="0"/>
                <w:sz w:val="24"/>
                <w:szCs w:val="21"/>
              </w:rPr>
              <w:t>开</w:t>
            </w:r>
            <w:r>
              <w:rPr>
                <w:rFonts w:ascii="宋体" w:hAnsi="宋体" w:cs="宋体"/>
                <w:color w:val="000000" w:themeColor="text1"/>
                <w:kern w:val="0"/>
                <w:sz w:val="24"/>
                <w:szCs w:val="21"/>
              </w:rPr>
              <w:t xml:space="preserve"> </w:t>
            </w:r>
            <w:r>
              <w:rPr>
                <w:rFonts w:hint="eastAsia" w:ascii="宋体" w:hAnsi="宋体" w:cs="宋体"/>
                <w:color w:val="000000" w:themeColor="text1"/>
                <w:kern w:val="0"/>
                <w:sz w:val="24"/>
                <w:szCs w:val="21"/>
              </w:rPr>
              <w:t>户</w:t>
            </w:r>
            <w:r>
              <w:rPr>
                <w:rFonts w:ascii="宋体" w:hAnsi="宋体" w:cs="宋体"/>
                <w:color w:val="000000" w:themeColor="text1"/>
                <w:kern w:val="0"/>
                <w:sz w:val="24"/>
                <w:szCs w:val="21"/>
              </w:rPr>
              <w:t xml:space="preserve"> </w:t>
            </w:r>
            <w:r>
              <w:rPr>
                <w:rFonts w:hint="eastAsia" w:ascii="宋体" w:hAnsi="宋体" w:cs="宋体"/>
                <w:color w:val="000000" w:themeColor="text1"/>
                <w:kern w:val="0"/>
                <w:sz w:val="24"/>
                <w:szCs w:val="21"/>
              </w:rPr>
              <w:t>银</w:t>
            </w:r>
            <w:r>
              <w:rPr>
                <w:rFonts w:ascii="宋体" w:hAnsi="宋体" w:cs="宋体"/>
                <w:color w:val="000000" w:themeColor="text1"/>
                <w:kern w:val="0"/>
                <w:sz w:val="24"/>
                <w:szCs w:val="21"/>
              </w:rPr>
              <w:t xml:space="preserve"> </w:t>
            </w:r>
            <w:r>
              <w:rPr>
                <w:rFonts w:hint="eastAsia" w:ascii="宋体" w:hAnsi="宋体" w:cs="宋体"/>
                <w:color w:val="000000" w:themeColor="text1"/>
                <w:kern w:val="0"/>
                <w:sz w:val="24"/>
                <w:szCs w:val="21"/>
              </w:rPr>
              <w:t>行</w:t>
            </w:r>
          </w:p>
        </w:tc>
        <w:tc>
          <w:tcPr>
            <w:tcW w:w="7123" w:type="dxa"/>
            <w:gridSpan w:val="3"/>
            <w:vAlign w:val="center"/>
          </w:tcPr>
          <w:p>
            <w:pPr>
              <w:widowControl/>
              <w:spacing w:line="360" w:lineRule="auto"/>
              <w:jc w:val="left"/>
              <w:rPr>
                <w:rFonts w:ascii="宋体" w:cs="Arial"/>
                <w:color w:val="000000" w:themeColor="text1"/>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宋体"/>
                <w:color w:val="000000" w:themeColor="text1"/>
                <w:kern w:val="0"/>
                <w:sz w:val="24"/>
                <w:szCs w:val="21"/>
              </w:rPr>
            </w:pPr>
          </w:p>
        </w:tc>
        <w:tc>
          <w:tcPr>
            <w:tcW w:w="1885" w:type="dxa"/>
            <w:vAlign w:val="center"/>
          </w:tcPr>
          <w:p>
            <w:pPr>
              <w:widowControl/>
              <w:spacing w:line="360" w:lineRule="auto"/>
              <w:jc w:val="center"/>
              <w:rPr>
                <w:rFonts w:ascii="宋体" w:cs="宋体"/>
                <w:color w:val="000000" w:themeColor="text1"/>
                <w:kern w:val="0"/>
                <w:sz w:val="24"/>
                <w:szCs w:val="21"/>
              </w:rPr>
            </w:pPr>
            <w:r>
              <w:rPr>
                <w:rFonts w:hint="eastAsia" w:ascii="宋体" w:hAnsi="宋体" w:cs="宋体"/>
                <w:color w:val="000000" w:themeColor="text1"/>
                <w:kern w:val="0"/>
                <w:sz w:val="24"/>
                <w:szCs w:val="21"/>
              </w:rPr>
              <w:t>帐</w:t>
            </w:r>
            <w:r>
              <w:rPr>
                <w:rFonts w:ascii="宋体" w:hAnsi="宋体" w:cs="宋体"/>
                <w:color w:val="000000" w:themeColor="text1"/>
                <w:kern w:val="0"/>
                <w:sz w:val="24"/>
                <w:szCs w:val="21"/>
              </w:rPr>
              <w:t xml:space="preserve">  </w:t>
            </w:r>
            <w:r>
              <w:rPr>
                <w:rFonts w:hint="eastAsia" w:ascii="宋体" w:hAnsi="宋体" w:cs="宋体"/>
                <w:color w:val="000000" w:themeColor="text1"/>
                <w:kern w:val="0"/>
                <w:sz w:val="24"/>
                <w:szCs w:val="21"/>
              </w:rPr>
              <w:t>号</w:t>
            </w:r>
          </w:p>
        </w:tc>
        <w:tc>
          <w:tcPr>
            <w:tcW w:w="7123" w:type="dxa"/>
            <w:gridSpan w:val="3"/>
            <w:vAlign w:val="center"/>
          </w:tcPr>
          <w:p>
            <w:pPr>
              <w:widowControl/>
              <w:spacing w:line="360" w:lineRule="auto"/>
              <w:jc w:val="left"/>
              <w:rPr>
                <w:rFonts w:ascii="宋体" w:cs="Arial"/>
                <w:color w:val="000000" w:themeColor="text1"/>
                <w:kern w:val="0"/>
                <w:sz w:val="24"/>
                <w:szCs w:val="21"/>
              </w:rPr>
            </w:pPr>
          </w:p>
        </w:tc>
      </w:tr>
    </w:tbl>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w:t>
      </w:r>
      <w:r>
        <w:rPr>
          <w:rFonts w:hint="eastAsia" w:hAnsi="宋体"/>
          <w:color w:val="000000" w:themeColor="text1"/>
          <w:sz w:val="24"/>
        </w:rPr>
        <w:t>时间：</w:t>
      </w:r>
    </w:p>
    <w:tbl>
      <w:tblPr>
        <w:tblStyle w:val="21"/>
        <w:tblW w:w="873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exact"/>
        </w:trPr>
        <w:tc>
          <w:tcPr>
            <w:tcW w:w="8730" w:type="dxa"/>
          </w:tcPr>
          <w:p>
            <w:pPr>
              <w:spacing w:line="360" w:lineRule="auto"/>
              <w:ind w:firstLine="960" w:firstLineChars="400"/>
              <w:rPr>
                <w:rFonts w:ascii="宋体" w:hAnsi="宋体"/>
                <w:color w:val="000000" w:themeColor="text1"/>
                <w:sz w:val="24"/>
                <w:szCs w:val="24"/>
              </w:rPr>
            </w:pPr>
          </w:p>
          <w:p>
            <w:pPr>
              <w:spacing w:line="360" w:lineRule="auto"/>
              <w:ind w:firstLine="960" w:firstLineChars="400"/>
              <w:rPr>
                <w:rFonts w:ascii="宋体" w:hAnsi="宋体"/>
                <w:color w:val="000000" w:themeColor="text1"/>
                <w:sz w:val="24"/>
                <w:szCs w:val="24"/>
              </w:rPr>
            </w:pPr>
          </w:p>
          <w:p>
            <w:pPr>
              <w:spacing w:line="360" w:lineRule="auto"/>
              <w:ind w:firstLine="960" w:firstLineChars="400"/>
              <w:rPr>
                <w:rFonts w:ascii="宋体" w:hAnsi="宋体"/>
                <w:color w:val="000000" w:themeColor="text1"/>
                <w:sz w:val="24"/>
                <w:szCs w:val="24"/>
              </w:rPr>
            </w:pPr>
          </w:p>
          <w:p>
            <w:pPr>
              <w:spacing w:line="360" w:lineRule="auto"/>
              <w:ind w:firstLine="1680" w:firstLineChars="700"/>
              <w:rPr>
                <w:rFonts w:ascii="宋体" w:hAnsi="宋体"/>
                <w:b/>
                <w:bCs/>
                <w:color w:val="000000" w:themeColor="text1"/>
                <w:sz w:val="24"/>
                <w:szCs w:val="24"/>
              </w:rPr>
            </w:pPr>
            <w:r>
              <w:rPr>
                <w:rFonts w:hint="eastAsia" w:ascii="宋体" w:hAnsi="宋体"/>
                <w:b/>
                <w:bCs/>
                <w:color w:val="000000" w:themeColor="text1"/>
                <w:sz w:val="24"/>
                <w:szCs w:val="24"/>
              </w:rPr>
              <w:t>粘贴转帐、电汇或网上银行凭证（清晰影印件）</w:t>
            </w:r>
          </w:p>
          <w:p>
            <w:pPr>
              <w:spacing w:line="360" w:lineRule="auto"/>
              <w:rPr>
                <w:rFonts w:ascii="宋体"/>
                <w:color w:val="000000" w:themeColor="text1"/>
                <w:sz w:val="24"/>
                <w:szCs w:val="24"/>
              </w:rPr>
            </w:pPr>
          </w:p>
          <w:p>
            <w:pPr>
              <w:spacing w:line="360" w:lineRule="auto"/>
              <w:ind w:left="319" w:leftChars="152" w:firstLine="1401" w:firstLineChars="584"/>
              <w:rPr>
                <w:rFonts w:ascii="宋体"/>
                <w:b/>
                <w:color w:val="000000" w:themeColor="text1"/>
                <w:sz w:val="24"/>
                <w:szCs w:val="20"/>
                <w:lang w:val="zh-CN"/>
              </w:rPr>
            </w:pPr>
            <w:r>
              <w:rPr>
                <w:rFonts w:hint="eastAsia" w:ascii="宋体" w:hAnsi="宋体"/>
                <w:color w:val="000000" w:themeColor="text1"/>
                <w:sz w:val="24"/>
                <w:szCs w:val="20"/>
                <w:lang w:val="zh-CN"/>
              </w:rPr>
              <w:t>注：在交款凭证备注中说明项目编号及开标时间</w:t>
            </w:r>
          </w:p>
        </w:tc>
      </w:tr>
    </w:tbl>
    <w:p>
      <w:pPr>
        <w:spacing w:line="360" w:lineRule="auto"/>
        <w:ind w:left="720" w:hanging="720" w:hangingChars="300"/>
        <w:jc w:val="left"/>
        <w:rPr>
          <w:rFonts w:ascii="宋体" w:hAnsi="宋体"/>
          <w:color w:val="000000" w:themeColor="text1"/>
          <w:sz w:val="24"/>
          <w:szCs w:val="24"/>
        </w:rPr>
      </w:pPr>
    </w:p>
    <w:p>
      <w:pPr>
        <w:spacing w:line="360" w:lineRule="auto"/>
        <w:ind w:left="720" w:hanging="720" w:hangingChars="300"/>
        <w:jc w:val="left"/>
        <w:rPr>
          <w:rFonts w:ascii="宋体"/>
          <w:color w:val="000000" w:themeColor="text1"/>
          <w:sz w:val="24"/>
          <w:szCs w:val="24"/>
        </w:rPr>
      </w:pPr>
      <w:r>
        <w:rPr>
          <w:rFonts w:hint="eastAsia" w:ascii="宋体" w:hAnsi="宋体"/>
          <w:color w:val="000000" w:themeColor="text1"/>
          <w:sz w:val="24"/>
          <w:szCs w:val="24"/>
        </w:rPr>
        <w:t>说明：投标人应认真填写银行信息，与转帐或电汇银行凭证的相关信息一致，集中采购机构将依据此凭证信息查退投标保证金。</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288" w:hanging="1288"/>
        <w:rPr>
          <w:rFonts w:ascii="宋体"/>
          <w:color w:val="000000" w:themeColor="text1"/>
        </w:rPr>
      </w:pPr>
      <w:bookmarkStart w:id="193" w:name="_Toc13947"/>
      <w:bookmarkStart w:id="194" w:name="_Toc494665010"/>
      <w:bookmarkStart w:id="195" w:name="_Toc236473303"/>
      <w:bookmarkStart w:id="196" w:name="_Toc494721110"/>
      <w:bookmarkStart w:id="197" w:name="_Toc494665960"/>
      <w:bookmarkStart w:id="198" w:name="_Toc494665563"/>
      <w:bookmarkStart w:id="199" w:name="_Toc238276247"/>
      <w:bookmarkStart w:id="200" w:name="_Toc494702280"/>
      <w:bookmarkStart w:id="201" w:name="_Toc494745327"/>
      <w:r>
        <w:rPr>
          <w:rFonts w:hint="eastAsia" w:ascii="宋体" w:hAnsi="宋体"/>
          <w:color w:val="000000" w:themeColor="text1"/>
        </w:rPr>
        <w:t>法定代表人授权书</w:t>
      </w:r>
      <w:bookmarkEnd w:id="193"/>
      <w:bookmarkEnd w:id="194"/>
      <w:bookmarkEnd w:id="195"/>
      <w:bookmarkEnd w:id="196"/>
      <w:bookmarkEnd w:id="197"/>
      <w:bookmarkEnd w:id="198"/>
      <w:bookmarkEnd w:id="199"/>
      <w:bookmarkEnd w:id="200"/>
      <w:bookmarkEnd w:id="201"/>
    </w:p>
    <w:p>
      <w:pPr>
        <w:spacing w:line="480" w:lineRule="auto"/>
        <w:rPr>
          <w:rFonts w:ascii="宋体"/>
          <w:b/>
          <w:color w:val="000000" w:themeColor="text1"/>
          <w:sz w:val="24"/>
          <w:szCs w:val="24"/>
        </w:rPr>
      </w:pPr>
      <w:r>
        <w:rPr>
          <w:rFonts w:hint="eastAsia"/>
          <w:b/>
          <w:color w:val="000000" w:themeColor="text1"/>
          <w:sz w:val="28"/>
          <w:szCs w:val="28"/>
        </w:rPr>
        <w:t>采购人（或代理公司）</w:t>
      </w:r>
      <w:r>
        <w:rPr>
          <w:rFonts w:hint="eastAsia" w:ascii="宋体" w:hAnsi="宋体" w:cs="Courier New"/>
          <w:b/>
          <w:color w:val="000000" w:themeColor="text1"/>
          <w:sz w:val="28"/>
          <w:szCs w:val="28"/>
        </w:rPr>
        <w:t>：</w:t>
      </w:r>
    </w:p>
    <w:p>
      <w:pPr>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兹授权</w:t>
      </w:r>
      <w:r>
        <w:rPr>
          <w:rFonts w:ascii="Times New Roman" w:hAnsi="宋体"/>
          <w:color w:val="000000" w:themeColor="text1"/>
          <w:sz w:val="24"/>
          <w:szCs w:val="24"/>
        </w:rPr>
        <w:t>____</w:t>
      </w:r>
      <w:r>
        <w:rPr>
          <w:rFonts w:hint="eastAsia" w:ascii="宋体" w:hAnsi="宋体"/>
          <w:color w:val="000000" w:themeColor="text1"/>
          <w:sz w:val="24"/>
          <w:szCs w:val="24"/>
        </w:rPr>
        <w:t>同志为我单位参加贵方组织的</w:t>
      </w:r>
      <w:r>
        <w:rPr>
          <w:rFonts w:ascii="Times New Roman" w:hAnsi="宋体"/>
          <w:color w:val="000000" w:themeColor="text1"/>
          <w:sz w:val="24"/>
          <w:szCs w:val="24"/>
        </w:rPr>
        <w:t>____</w:t>
      </w:r>
      <w:r>
        <w:rPr>
          <w:rFonts w:hint="eastAsia" w:ascii="Times New Roman" w:hAnsi="宋体"/>
          <w:color w:val="000000" w:themeColor="text1"/>
          <w:sz w:val="24"/>
          <w:szCs w:val="24"/>
        </w:rPr>
        <w:t>项目第</w:t>
      </w:r>
      <w:r>
        <w:rPr>
          <w:rFonts w:ascii="Times New Roman" w:hAnsi="宋体"/>
          <w:color w:val="000000" w:themeColor="text1"/>
          <w:sz w:val="24"/>
          <w:szCs w:val="24"/>
          <w:u w:val="single"/>
        </w:rPr>
        <w:t xml:space="preserve">  </w:t>
      </w:r>
      <w:r>
        <w:rPr>
          <w:rFonts w:hint="eastAsia" w:ascii="Times New Roman" w:hAnsi="宋体"/>
          <w:color w:val="000000" w:themeColor="text1"/>
          <w:sz w:val="24"/>
          <w:szCs w:val="24"/>
        </w:rPr>
        <w:t>包（项目编号：</w:t>
      </w:r>
      <w:r>
        <w:rPr>
          <w:rFonts w:ascii="Times New Roman" w:hAnsi="宋体"/>
          <w:color w:val="000000" w:themeColor="text1"/>
          <w:sz w:val="24"/>
          <w:szCs w:val="24"/>
        </w:rPr>
        <w:t>______</w:t>
      </w:r>
      <w:r>
        <w:rPr>
          <w:rFonts w:hint="eastAsia" w:ascii="Times New Roman" w:hAnsi="宋体"/>
          <w:color w:val="000000" w:themeColor="text1"/>
          <w:sz w:val="24"/>
          <w:szCs w:val="24"/>
        </w:rPr>
        <w:t>）</w:t>
      </w:r>
      <w:r>
        <w:rPr>
          <w:rFonts w:hint="eastAsia" w:ascii="宋体" w:hAnsi="宋体"/>
          <w:color w:val="000000" w:themeColor="text1"/>
          <w:sz w:val="24"/>
          <w:szCs w:val="24"/>
        </w:rPr>
        <w:t>采购活动的投标人授权代表，全权代表我公司处理在</w:t>
      </w:r>
      <w:r>
        <w:rPr>
          <w:rFonts w:ascii="Times New Roman" w:hAnsi="宋体"/>
          <w:color w:val="000000" w:themeColor="text1"/>
          <w:sz w:val="24"/>
          <w:szCs w:val="24"/>
        </w:rPr>
        <w:t>____</w:t>
      </w:r>
      <w:r>
        <w:rPr>
          <w:rFonts w:hint="eastAsia" w:ascii="宋体" w:hAnsi="宋体"/>
          <w:color w:val="000000" w:themeColor="text1"/>
          <w:sz w:val="24"/>
          <w:szCs w:val="24"/>
        </w:rPr>
        <w:t>项目采购活动中的一切事宜。代理期限从</w:t>
      </w:r>
      <w:r>
        <w:rPr>
          <w:rFonts w:ascii="Times New Roman" w:hAnsi="宋体"/>
          <w:color w:val="000000" w:themeColor="text1"/>
          <w:sz w:val="24"/>
          <w:szCs w:val="24"/>
        </w:rPr>
        <w:t>__</w:t>
      </w:r>
      <w:r>
        <w:rPr>
          <w:rFonts w:hint="eastAsia" w:ascii="宋体" w:hAnsi="宋体"/>
          <w:color w:val="000000" w:themeColor="text1"/>
          <w:sz w:val="24"/>
          <w:szCs w:val="24"/>
        </w:rPr>
        <w:t>年</w:t>
      </w:r>
      <w:r>
        <w:rPr>
          <w:rFonts w:ascii="Times New Roman" w:hAnsi="宋体"/>
          <w:color w:val="000000" w:themeColor="text1"/>
          <w:sz w:val="24"/>
          <w:szCs w:val="24"/>
        </w:rPr>
        <w:t>__</w:t>
      </w:r>
      <w:r>
        <w:rPr>
          <w:rFonts w:hint="eastAsia" w:ascii="宋体" w:hAnsi="宋体"/>
          <w:color w:val="000000" w:themeColor="text1"/>
          <w:sz w:val="24"/>
          <w:szCs w:val="24"/>
        </w:rPr>
        <w:t>月</w:t>
      </w:r>
      <w:r>
        <w:rPr>
          <w:rFonts w:ascii="Times New Roman" w:hAnsi="宋体"/>
          <w:color w:val="000000" w:themeColor="text1"/>
          <w:sz w:val="24"/>
          <w:szCs w:val="24"/>
        </w:rPr>
        <w:t>__</w:t>
      </w:r>
      <w:r>
        <w:rPr>
          <w:rFonts w:hint="eastAsia" w:ascii="宋体" w:hAnsi="宋体"/>
          <w:color w:val="000000" w:themeColor="text1"/>
          <w:sz w:val="24"/>
          <w:szCs w:val="24"/>
        </w:rPr>
        <w:t>日起至</w:t>
      </w:r>
      <w:r>
        <w:rPr>
          <w:rFonts w:ascii="Times New Roman" w:hAnsi="宋体"/>
          <w:color w:val="000000" w:themeColor="text1"/>
          <w:sz w:val="24"/>
          <w:szCs w:val="24"/>
        </w:rPr>
        <w:t>____</w:t>
      </w:r>
      <w:r>
        <w:rPr>
          <w:rFonts w:hint="eastAsia" w:ascii="宋体" w:hAnsi="宋体"/>
          <w:color w:val="000000" w:themeColor="text1"/>
          <w:sz w:val="24"/>
          <w:szCs w:val="24"/>
        </w:rPr>
        <w:t>年</w:t>
      </w:r>
      <w:r>
        <w:rPr>
          <w:rFonts w:ascii="Times New Roman" w:hAnsi="宋体"/>
          <w:color w:val="000000" w:themeColor="text1"/>
          <w:sz w:val="24"/>
          <w:szCs w:val="24"/>
        </w:rPr>
        <w:t>____</w:t>
      </w:r>
      <w:r>
        <w:rPr>
          <w:rFonts w:hint="eastAsia" w:ascii="宋体" w:hAnsi="宋体"/>
          <w:color w:val="000000" w:themeColor="text1"/>
          <w:sz w:val="24"/>
          <w:szCs w:val="24"/>
        </w:rPr>
        <w:t>月</w:t>
      </w:r>
      <w:r>
        <w:rPr>
          <w:rFonts w:ascii="Times New Roman" w:hAnsi="宋体"/>
          <w:color w:val="000000" w:themeColor="text1"/>
          <w:sz w:val="24"/>
          <w:szCs w:val="24"/>
        </w:rPr>
        <w:t>____</w:t>
      </w:r>
      <w:r>
        <w:rPr>
          <w:rFonts w:hint="eastAsia" w:ascii="宋体" w:hAnsi="宋体"/>
          <w:color w:val="000000" w:themeColor="text1"/>
          <w:sz w:val="24"/>
          <w:szCs w:val="24"/>
        </w:rPr>
        <w:t>日止。</w:t>
      </w:r>
      <w:r>
        <w:rPr>
          <w:rFonts w:ascii="宋体" w:hAnsi="宋体"/>
          <w:color w:val="000000" w:themeColor="text1"/>
          <w:sz w:val="24"/>
          <w:szCs w:val="24"/>
        </w:rPr>
        <w:t xml:space="preserve"> </w:t>
      </w:r>
    </w:p>
    <w:p>
      <w:pPr>
        <w:spacing w:line="360" w:lineRule="auto"/>
        <w:ind w:firstLine="540" w:firstLineChars="225"/>
        <w:rPr>
          <w:rFonts w:ascii="宋体"/>
          <w:color w:val="000000" w:themeColor="text1"/>
          <w:sz w:val="24"/>
          <w:szCs w:val="24"/>
        </w:rPr>
      </w:pPr>
      <w:r>
        <w:rPr>
          <w:rFonts w:hint="eastAsia" w:ascii="宋体" w:hAnsi="宋体"/>
          <w:color w:val="000000" w:themeColor="text1"/>
          <w:sz w:val="24"/>
          <w:szCs w:val="24"/>
        </w:rPr>
        <w:t>被授权代表无转委托权。</w:t>
      </w:r>
    </w:p>
    <w:p>
      <w:pPr>
        <w:spacing w:line="360" w:lineRule="auto"/>
        <w:ind w:firstLine="540" w:firstLineChars="225"/>
        <w:rPr>
          <w:rFonts w:ascii="宋体"/>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授权单位（公章）：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b/>
          <w:bCs/>
          <w:color w:val="000000" w:themeColor="text1"/>
          <w:sz w:val="24"/>
          <w:szCs w:val="21"/>
          <w:lang w:val="zh-CN"/>
        </w:rPr>
        <w:t>法定代表人（签字或盖章）</w:t>
      </w:r>
      <w:r>
        <w:rPr>
          <w:rFonts w:hint="eastAsia" w:hAnsi="宋体"/>
          <w:b/>
          <w:bCs/>
          <w:color w:val="000000" w:themeColor="text1"/>
          <w:sz w:val="24"/>
        </w:rPr>
        <w:t>：</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b/>
          <w:color w:val="000000" w:themeColor="text1"/>
          <w:sz w:val="24"/>
          <w:szCs w:val="21"/>
          <w:lang w:val="zh-CN"/>
        </w:rPr>
        <w:t>签发日期：</w:t>
      </w:r>
      <w:r>
        <w:rPr>
          <w:rFonts w:ascii="Times New Roman" w:hAnsi="宋体"/>
          <w:color w:val="000000" w:themeColor="text1"/>
          <w:sz w:val="24"/>
          <w:szCs w:val="24"/>
        </w:rPr>
        <w:t>____</w:t>
      </w:r>
      <w:r>
        <w:rPr>
          <w:rFonts w:hint="eastAsia" w:ascii="宋体" w:hAnsi="宋体"/>
          <w:b/>
          <w:color w:val="000000" w:themeColor="text1"/>
          <w:sz w:val="24"/>
          <w:szCs w:val="21"/>
          <w:lang w:val="zh-CN"/>
        </w:rPr>
        <w:t>年</w:t>
      </w:r>
      <w:r>
        <w:rPr>
          <w:rFonts w:ascii="Times New Roman" w:hAnsi="宋体"/>
          <w:color w:val="000000" w:themeColor="text1"/>
          <w:sz w:val="24"/>
          <w:szCs w:val="24"/>
        </w:rPr>
        <w:t>____</w:t>
      </w:r>
      <w:r>
        <w:rPr>
          <w:rFonts w:hint="eastAsia" w:ascii="宋体" w:hAnsi="宋体"/>
          <w:b/>
          <w:color w:val="000000" w:themeColor="text1"/>
          <w:sz w:val="24"/>
          <w:szCs w:val="21"/>
          <w:lang w:val="zh-CN"/>
        </w:rPr>
        <w:t>月</w:t>
      </w:r>
      <w:r>
        <w:rPr>
          <w:rFonts w:ascii="Times New Roman" w:hAnsi="宋体"/>
          <w:color w:val="000000" w:themeColor="text1"/>
          <w:sz w:val="24"/>
          <w:szCs w:val="24"/>
        </w:rPr>
        <w:t>____</w:t>
      </w:r>
      <w:r>
        <w:rPr>
          <w:rFonts w:hint="eastAsia" w:ascii="宋体" w:hAnsi="宋体"/>
          <w:b/>
          <w:color w:val="000000" w:themeColor="text1"/>
          <w:sz w:val="24"/>
          <w:szCs w:val="21"/>
          <w:lang w:val="zh-CN"/>
        </w:rPr>
        <w:t>日</w:t>
      </w:r>
    </w:p>
    <w:p>
      <w:pPr>
        <w:spacing w:line="360" w:lineRule="auto"/>
        <w:rPr>
          <w:rFonts w:ascii="宋体"/>
          <w:color w:val="000000" w:themeColor="text1"/>
          <w:sz w:val="24"/>
          <w:szCs w:val="24"/>
        </w:rPr>
      </w:pPr>
      <w:r>
        <w:rPr>
          <w:rFonts w:hint="eastAsia" w:ascii="宋体" w:hAnsi="宋体"/>
          <w:color w:val="000000" w:themeColor="text1"/>
          <w:sz w:val="24"/>
          <w:szCs w:val="24"/>
        </w:rPr>
        <w:t>附：</w:t>
      </w:r>
    </w:p>
    <w:p>
      <w:pPr>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投标人授权代表单位名称：</w:t>
      </w:r>
    </w:p>
    <w:p>
      <w:pPr>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职务：</w:t>
      </w:r>
      <w:r>
        <w:rPr>
          <w:rFonts w:ascii="宋体" w:hAnsi="宋体"/>
          <w:color w:val="000000" w:themeColor="text1"/>
          <w:sz w:val="24"/>
          <w:szCs w:val="24"/>
        </w:rPr>
        <w:t xml:space="preserve"> </w:t>
      </w:r>
      <w:r>
        <w:rPr>
          <w:rFonts w:hint="eastAsia" w:ascii="宋体" w:hAnsi="宋体"/>
          <w:color w:val="000000" w:themeColor="text1"/>
          <w:sz w:val="24"/>
          <w:szCs w:val="24"/>
        </w:rPr>
        <w:t>性别：</w:t>
      </w:r>
    </w:p>
    <w:p>
      <w:pPr>
        <w:spacing w:line="360" w:lineRule="auto"/>
        <w:ind w:firstLine="480" w:firstLineChars="200"/>
        <w:rPr>
          <w:rFonts w:ascii="宋体"/>
          <w:color w:val="000000" w:themeColor="text1"/>
          <w:sz w:val="24"/>
          <w:szCs w:val="24"/>
          <w:u w:val="single"/>
        </w:rPr>
      </w:pPr>
      <w:r>
        <w:rPr>
          <w:rFonts w:hint="eastAsia" w:ascii="宋体" w:hAnsi="宋体"/>
          <w:color w:val="000000" w:themeColor="text1"/>
          <w:sz w:val="24"/>
          <w:szCs w:val="24"/>
        </w:rPr>
        <w:t>身份证号码：</w:t>
      </w:r>
    </w:p>
    <w:p>
      <w:pPr>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电话：</w:t>
      </w:r>
    </w:p>
    <w:tbl>
      <w:tblPr>
        <w:tblStyle w:val="21"/>
        <w:tblW w:w="8771" w:type="dxa"/>
        <w:jc w:val="center"/>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jc w:val="center"/>
        </w:trPr>
        <w:tc>
          <w:tcPr>
            <w:tcW w:w="8771" w:type="dxa"/>
          </w:tcPr>
          <w:p>
            <w:pPr>
              <w:spacing w:line="300" w:lineRule="auto"/>
              <w:rPr>
                <w:rFonts w:ascii="宋体"/>
                <w:color w:val="000000" w:themeColor="text1"/>
                <w:sz w:val="24"/>
                <w:szCs w:val="24"/>
              </w:rPr>
            </w:pPr>
            <w:r>
              <w:rPr>
                <w:rFonts w:hint="eastAsia" w:ascii="宋体" w:hAnsi="宋体"/>
                <w:color w:val="000000" w:themeColor="text1"/>
                <w:sz w:val="24"/>
                <w:szCs w:val="24"/>
              </w:rPr>
              <w:t>粘贴被授权人身份证（清晰影印件）</w:t>
            </w:r>
          </w:p>
        </w:tc>
      </w:tr>
    </w:tbl>
    <w:p>
      <w:pPr>
        <w:rPr>
          <w:color w:val="000000" w:themeColor="text1"/>
        </w:rPr>
      </w:pPr>
    </w:p>
    <w:p>
      <w:pPr>
        <w:pStyle w:val="3"/>
        <w:numPr>
          <w:ilvl w:val="0"/>
          <w:numId w:val="66"/>
        </w:numPr>
        <w:spacing w:before="100" w:beforeAutospacing="1" w:after="156" w:afterLines="50" w:line="360" w:lineRule="auto"/>
        <w:ind w:left="1610" w:hanging="1610"/>
        <w:rPr>
          <w:rFonts w:ascii="宋体"/>
          <w:color w:val="000000" w:themeColor="text1"/>
        </w:rPr>
      </w:pPr>
      <w:bookmarkStart w:id="202" w:name="_Toc6544"/>
      <w:bookmarkStart w:id="203" w:name="_Toc494702281"/>
      <w:bookmarkStart w:id="204" w:name="_Toc494745328"/>
      <w:bookmarkStart w:id="205" w:name="_Toc236473304"/>
      <w:bookmarkStart w:id="206" w:name="_Toc238276248"/>
      <w:bookmarkStart w:id="207" w:name="_Toc494665564"/>
      <w:bookmarkStart w:id="208" w:name="_Toc494665011"/>
      <w:bookmarkStart w:id="209" w:name="_Toc494665961"/>
      <w:bookmarkStart w:id="210" w:name="_Toc494721111"/>
      <w:r>
        <w:rPr>
          <w:rFonts w:hint="eastAsia" w:ascii="宋体" w:hAnsi="宋体"/>
          <w:color w:val="000000" w:themeColor="text1"/>
        </w:rPr>
        <w:t>投标人的资格声明</w:t>
      </w:r>
      <w:bookmarkEnd w:id="202"/>
      <w:bookmarkEnd w:id="203"/>
      <w:bookmarkEnd w:id="204"/>
      <w:bookmarkEnd w:id="205"/>
      <w:bookmarkEnd w:id="206"/>
      <w:bookmarkEnd w:id="207"/>
      <w:bookmarkEnd w:id="208"/>
      <w:bookmarkEnd w:id="209"/>
      <w:bookmarkEnd w:id="210"/>
    </w:p>
    <w:p>
      <w:pPr>
        <w:spacing w:line="360" w:lineRule="auto"/>
        <w:ind w:left="1078" w:hanging="1077" w:hangingChars="449"/>
        <w:jc w:val="left"/>
        <w:rPr>
          <w:rFonts w:asci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．名称及基本情况：</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1</w:t>
      </w:r>
      <w:r>
        <w:rPr>
          <w:rFonts w:hint="eastAsia" w:ascii="宋体" w:hAnsi="宋体"/>
          <w:color w:val="000000" w:themeColor="text1"/>
          <w:sz w:val="24"/>
          <w:szCs w:val="24"/>
        </w:rPr>
        <w:t>）投标人：</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2</w:t>
      </w:r>
      <w:r>
        <w:rPr>
          <w:rFonts w:hint="eastAsia" w:ascii="宋体" w:hAnsi="宋体"/>
          <w:color w:val="000000" w:themeColor="text1"/>
          <w:sz w:val="24"/>
          <w:szCs w:val="24"/>
        </w:rPr>
        <w:t>）地址：</w:t>
      </w:r>
      <w:r>
        <w:rPr>
          <w:rFonts w:ascii="宋体" w:hAnsi="宋体"/>
          <w:color w:val="000000" w:themeColor="text1"/>
          <w:sz w:val="24"/>
          <w:szCs w:val="24"/>
        </w:rPr>
        <w:t xml:space="preserve">     </w:t>
      </w:r>
      <w:r>
        <w:rPr>
          <w:rFonts w:hint="eastAsia" w:ascii="宋体" w:hAnsi="宋体"/>
          <w:color w:val="000000" w:themeColor="text1"/>
          <w:sz w:val="24"/>
          <w:szCs w:val="24"/>
        </w:rPr>
        <w:t>邮编：</w:t>
      </w:r>
    </w:p>
    <w:p>
      <w:pPr>
        <w:spacing w:line="360" w:lineRule="exact"/>
        <w:ind w:firstLine="840" w:firstLineChars="350"/>
        <w:rPr>
          <w:rFonts w:ascii="宋体"/>
          <w:color w:val="000000" w:themeColor="text1"/>
          <w:sz w:val="24"/>
          <w:szCs w:val="24"/>
          <w:u w:val="single"/>
        </w:rPr>
      </w:pPr>
      <w:r>
        <w:rPr>
          <w:rFonts w:hint="eastAsia" w:ascii="宋体" w:hAnsi="宋体"/>
          <w:color w:val="000000" w:themeColor="text1"/>
          <w:sz w:val="24"/>
          <w:szCs w:val="24"/>
        </w:rPr>
        <w:t>电话：</w:t>
      </w:r>
      <w:r>
        <w:rPr>
          <w:rFonts w:ascii="宋体" w:hAnsi="宋体"/>
          <w:color w:val="000000" w:themeColor="text1"/>
          <w:sz w:val="24"/>
          <w:szCs w:val="24"/>
        </w:rPr>
        <w:t xml:space="preserve">     </w:t>
      </w:r>
      <w:r>
        <w:rPr>
          <w:rFonts w:hint="eastAsia" w:ascii="宋体" w:hAnsi="宋体"/>
          <w:color w:val="000000" w:themeColor="text1"/>
          <w:sz w:val="24"/>
          <w:szCs w:val="24"/>
        </w:rPr>
        <w:t>传真：</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3</w:t>
      </w:r>
      <w:r>
        <w:rPr>
          <w:rFonts w:hint="eastAsia" w:ascii="宋体" w:hAnsi="宋体"/>
          <w:color w:val="000000" w:themeColor="text1"/>
          <w:sz w:val="24"/>
          <w:szCs w:val="24"/>
        </w:rPr>
        <w:t>）成立或注册日期：</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4</w:t>
      </w:r>
      <w:r>
        <w:rPr>
          <w:rFonts w:hint="eastAsia" w:ascii="宋体" w:hAnsi="宋体"/>
          <w:color w:val="000000" w:themeColor="text1"/>
          <w:sz w:val="24"/>
          <w:szCs w:val="24"/>
        </w:rPr>
        <w:t>）单位性质：</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5</w:t>
      </w:r>
      <w:r>
        <w:rPr>
          <w:rFonts w:hint="eastAsia" w:ascii="宋体" w:hAnsi="宋体"/>
          <w:color w:val="000000" w:themeColor="text1"/>
          <w:sz w:val="24"/>
          <w:szCs w:val="24"/>
        </w:rPr>
        <w:t>）法定代表人或主要负责人：</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6</w:t>
      </w:r>
      <w:r>
        <w:rPr>
          <w:rFonts w:hint="eastAsia" w:ascii="宋体" w:hAnsi="宋体"/>
          <w:color w:val="000000" w:themeColor="text1"/>
          <w:sz w:val="24"/>
          <w:szCs w:val="24"/>
        </w:rPr>
        <w:t>）员工人数：</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7</w:t>
      </w:r>
      <w:r>
        <w:rPr>
          <w:rFonts w:hint="eastAsia" w:ascii="宋体" w:hAnsi="宋体"/>
          <w:color w:val="000000" w:themeColor="text1"/>
          <w:sz w:val="24"/>
          <w:szCs w:val="24"/>
        </w:rPr>
        <w:t>）注册资本：</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8</w:t>
      </w:r>
      <w:r>
        <w:rPr>
          <w:rFonts w:hint="eastAsia" w:ascii="宋体" w:hAnsi="宋体"/>
          <w:color w:val="000000" w:themeColor="text1"/>
          <w:sz w:val="24"/>
          <w:szCs w:val="24"/>
        </w:rPr>
        <w:t>）实收资本：</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9</w:t>
      </w:r>
      <w:r>
        <w:rPr>
          <w:rFonts w:hint="eastAsia" w:ascii="宋体" w:hAnsi="宋体"/>
          <w:color w:val="000000" w:themeColor="text1"/>
          <w:sz w:val="24"/>
          <w:szCs w:val="24"/>
        </w:rPr>
        <w:t>）上年末资产负债表：</w:t>
      </w:r>
    </w:p>
    <w:p>
      <w:pPr>
        <w:spacing w:line="360" w:lineRule="exact"/>
        <w:ind w:firstLine="727" w:firstLineChars="303"/>
        <w:rPr>
          <w:rFonts w:asci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）固定资产</w:t>
      </w:r>
    </w:p>
    <w:p>
      <w:pPr>
        <w:spacing w:line="360" w:lineRule="exact"/>
        <w:ind w:firstLine="727" w:firstLineChars="303"/>
        <w:rPr>
          <w:rFonts w:ascii="宋体"/>
          <w:color w:val="000000" w:themeColor="text1"/>
          <w:sz w:val="24"/>
          <w:szCs w:val="24"/>
        </w:rPr>
      </w:pPr>
      <w:r>
        <w:rPr>
          <w:rFonts w:hint="eastAsia" w:ascii="宋体" w:hAnsi="宋体"/>
          <w:color w:val="000000" w:themeColor="text1"/>
          <w:sz w:val="24"/>
          <w:szCs w:val="24"/>
        </w:rPr>
        <w:t>原</w:t>
      </w:r>
      <w:r>
        <w:rPr>
          <w:rFonts w:ascii="宋体" w:hAnsi="宋体"/>
          <w:color w:val="000000" w:themeColor="text1"/>
          <w:sz w:val="24"/>
          <w:szCs w:val="24"/>
        </w:rPr>
        <w:t xml:space="preserve">   </w:t>
      </w:r>
      <w:r>
        <w:rPr>
          <w:rFonts w:hint="eastAsia" w:ascii="宋体" w:hAnsi="宋体"/>
          <w:color w:val="000000" w:themeColor="text1"/>
          <w:sz w:val="24"/>
          <w:szCs w:val="24"/>
        </w:rPr>
        <w:t>值：</w:t>
      </w:r>
      <w:r>
        <w:rPr>
          <w:rFonts w:ascii="宋体" w:hAnsi="宋体"/>
          <w:color w:val="000000" w:themeColor="text1"/>
          <w:sz w:val="24"/>
          <w:szCs w:val="24"/>
        </w:rPr>
        <w:t xml:space="preserve">    </w:t>
      </w:r>
      <w:r>
        <w:rPr>
          <w:rFonts w:hint="eastAsia" w:ascii="宋体" w:hAnsi="宋体"/>
          <w:color w:val="000000" w:themeColor="text1"/>
          <w:sz w:val="24"/>
          <w:szCs w:val="24"/>
        </w:rPr>
        <w:t>净</w:t>
      </w:r>
      <w:r>
        <w:rPr>
          <w:rFonts w:ascii="宋体" w:hAnsi="宋体"/>
          <w:color w:val="000000" w:themeColor="text1"/>
          <w:sz w:val="24"/>
          <w:szCs w:val="24"/>
        </w:rPr>
        <w:t xml:space="preserve">   </w:t>
      </w:r>
      <w:r>
        <w:rPr>
          <w:rFonts w:hint="eastAsia" w:ascii="宋体" w:hAnsi="宋体"/>
          <w:color w:val="000000" w:themeColor="text1"/>
          <w:sz w:val="24"/>
          <w:szCs w:val="24"/>
        </w:rPr>
        <w:t>值：</w:t>
      </w:r>
      <w:r>
        <w:rPr>
          <w:rFonts w:ascii="宋体" w:hAnsi="宋体"/>
          <w:color w:val="000000" w:themeColor="text1"/>
          <w:sz w:val="24"/>
          <w:szCs w:val="24"/>
        </w:rPr>
        <w:t xml:space="preserve"> </w:t>
      </w:r>
    </w:p>
    <w:p>
      <w:pPr>
        <w:spacing w:line="360" w:lineRule="exact"/>
        <w:ind w:firstLine="727" w:firstLineChars="303"/>
        <w:rPr>
          <w:rFonts w:asci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）流动资金：</w:t>
      </w:r>
    </w:p>
    <w:p>
      <w:pPr>
        <w:spacing w:line="360" w:lineRule="exact"/>
        <w:ind w:firstLine="727" w:firstLineChars="303"/>
        <w:rPr>
          <w:rFonts w:asci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）长期负债：</w:t>
      </w:r>
    </w:p>
    <w:p>
      <w:pPr>
        <w:spacing w:line="360" w:lineRule="exact"/>
        <w:ind w:firstLine="727" w:firstLineChars="303"/>
        <w:rPr>
          <w:rFonts w:ascii="宋体"/>
          <w:color w:val="000000" w:themeColor="text1"/>
          <w:sz w:val="24"/>
          <w:szCs w:val="24"/>
        </w:rPr>
      </w:pPr>
      <w:r>
        <w:rPr>
          <w:rFonts w:ascii="宋体" w:hAnsi="宋体"/>
          <w:color w:val="000000" w:themeColor="text1"/>
          <w:sz w:val="24"/>
          <w:szCs w:val="24"/>
        </w:rPr>
        <w:t>4</w:t>
      </w:r>
      <w:r>
        <w:rPr>
          <w:rFonts w:hint="eastAsia" w:ascii="宋体" w:hAnsi="宋体"/>
          <w:color w:val="000000" w:themeColor="text1"/>
          <w:sz w:val="24"/>
          <w:szCs w:val="24"/>
        </w:rPr>
        <w:t>）短期负债：</w:t>
      </w:r>
    </w:p>
    <w:p>
      <w:pPr>
        <w:spacing w:line="360" w:lineRule="exact"/>
        <w:rPr>
          <w:rFonts w:asci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．与投标货物的生产、销售和服务有关的情况：</w:t>
      </w:r>
      <w:r>
        <w:rPr>
          <w:rFonts w:ascii="宋体" w:hAnsi="宋体"/>
          <w:color w:val="000000" w:themeColor="text1"/>
          <w:sz w:val="24"/>
          <w:szCs w:val="24"/>
        </w:rPr>
        <w:t xml:space="preserve"> </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1</w:t>
      </w:r>
      <w:r>
        <w:rPr>
          <w:rFonts w:hint="eastAsia" w:ascii="宋体" w:hAnsi="宋体"/>
          <w:color w:val="000000" w:themeColor="text1"/>
          <w:sz w:val="24"/>
          <w:szCs w:val="24"/>
        </w:rPr>
        <w:t>）关于制造投标货物的设施及其它情况：</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color w:val="000000" w:themeColor="text1"/>
                <w:sz w:val="24"/>
                <w:szCs w:val="24"/>
              </w:rPr>
            </w:pPr>
            <w:r>
              <w:rPr>
                <w:rFonts w:hint="eastAsia" w:ascii="宋体" w:hAnsi="宋体"/>
                <w:color w:val="000000" w:themeColor="text1"/>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color w:val="000000" w:themeColor="text1"/>
                <w:sz w:val="24"/>
                <w:szCs w:val="24"/>
              </w:rPr>
            </w:pPr>
            <w:r>
              <w:rPr>
                <w:rFonts w:hint="eastAsia" w:ascii="宋体" w:hAnsi="宋体"/>
                <w:color w:val="000000" w:themeColor="text1"/>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color w:val="000000" w:themeColor="text1"/>
                <w:sz w:val="24"/>
                <w:szCs w:val="24"/>
              </w:rPr>
            </w:pPr>
            <w:r>
              <w:rPr>
                <w:rFonts w:hint="eastAsia" w:ascii="宋体" w:hAnsi="宋体"/>
                <w:color w:val="000000" w:themeColor="text1"/>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color w:val="000000" w:themeColor="text1"/>
                <w:sz w:val="24"/>
                <w:szCs w:val="24"/>
              </w:rPr>
            </w:pPr>
            <w:r>
              <w:rPr>
                <w:rFonts w:hint="eastAsia" w:ascii="宋体" w:hAnsi="宋体"/>
                <w:color w:val="000000" w:themeColor="text1"/>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2383"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2383"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r>
    </w:tbl>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2</w:t>
      </w:r>
      <w:r>
        <w:rPr>
          <w:rFonts w:hint="eastAsia" w:ascii="宋体" w:hAnsi="宋体"/>
          <w:color w:val="000000" w:themeColor="text1"/>
          <w:sz w:val="24"/>
          <w:szCs w:val="24"/>
        </w:rPr>
        <w:t>）投标人生产此投标货物的经验（包括年限、项目业主、额定能力、商业运营的起始日期等）：</w:t>
      </w:r>
    </w:p>
    <w:p>
      <w:pPr>
        <w:spacing w:line="360" w:lineRule="exact"/>
        <w:ind w:firstLine="240" w:firstLineChars="100"/>
        <w:rPr>
          <w:rFonts w:asci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3</w:t>
      </w:r>
      <w:r>
        <w:rPr>
          <w:rFonts w:hint="eastAsia" w:ascii="宋体" w:hAnsi="宋体"/>
          <w:color w:val="000000" w:themeColor="text1"/>
          <w:sz w:val="24"/>
          <w:szCs w:val="24"/>
        </w:rPr>
        <w:t>）销售、服务网点分布（可另行附表）：</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color w:val="000000" w:themeColor="text1"/>
                <w:sz w:val="24"/>
                <w:szCs w:val="24"/>
              </w:rPr>
            </w:pPr>
            <w:r>
              <w:rPr>
                <w:rFonts w:hint="eastAsia" w:ascii="宋体" w:hAnsi="宋体"/>
                <w:color w:val="000000" w:themeColor="text1"/>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color w:val="000000" w:themeColor="text1"/>
                <w:sz w:val="24"/>
                <w:szCs w:val="24"/>
              </w:rPr>
            </w:pPr>
            <w:r>
              <w:rPr>
                <w:rFonts w:hint="eastAsia" w:ascii="宋体" w:hAnsi="宋体"/>
                <w:color w:val="000000" w:themeColor="text1"/>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color w:val="000000" w:themeColor="text1"/>
                <w:sz w:val="24"/>
                <w:szCs w:val="24"/>
              </w:rPr>
            </w:pPr>
            <w:r>
              <w:rPr>
                <w:rFonts w:hint="eastAsia" w:ascii="宋体" w:hAnsi="宋体"/>
                <w:color w:val="000000" w:themeColor="text1"/>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color w:val="000000" w:themeColor="text1"/>
                <w:sz w:val="24"/>
                <w:szCs w:val="24"/>
              </w:rPr>
            </w:pPr>
            <w:r>
              <w:rPr>
                <w:rFonts w:hint="eastAsia" w:ascii="宋体" w:hAnsi="宋体"/>
                <w:color w:val="000000" w:themeColor="text1"/>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3647"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color w:val="000000" w:themeColor="text1"/>
                <w:sz w:val="24"/>
                <w:szCs w:val="24"/>
              </w:rPr>
            </w:pPr>
          </w:p>
        </w:tc>
      </w:tr>
    </w:tbl>
    <w:p>
      <w:pPr>
        <w:spacing w:line="360" w:lineRule="exact"/>
        <w:rPr>
          <w:rFonts w:asci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．投标人认为需要声明的其它情况：</w:t>
      </w:r>
      <w:r>
        <w:rPr>
          <w:rFonts w:ascii="宋体" w:hAnsi="宋体"/>
          <w:color w:val="000000" w:themeColor="text1"/>
          <w:sz w:val="24"/>
          <w:szCs w:val="24"/>
        </w:rPr>
        <w:t xml:space="preserve">                         </w:t>
      </w:r>
    </w:p>
    <w:p>
      <w:pPr>
        <w:spacing w:line="360" w:lineRule="exact"/>
        <w:ind w:firstLine="475" w:firstLineChars="198"/>
        <w:rPr>
          <w:rFonts w:ascii="宋体"/>
          <w:color w:val="000000" w:themeColor="text1"/>
          <w:sz w:val="24"/>
          <w:szCs w:val="24"/>
        </w:rPr>
      </w:pPr>
      <w:r>
        <w:rPr>
          <w:rFonts w:hint="eastAsia" w:ascii="宋体" w:hAnsi="宋体"/>
          <w:color w:val="000000" w:themeColor="text1"/>
          <w:sz w:val="24"/>
          <w:szCs w:val="24"/>
        </w:rPr>
        <w:t>兹证明上述声明是真实的、正确，并提供了全部能提供的资料和数据，同意按照集中采购机构要求出示有关证明文件。</w:t>
      </w:r>
      <w:r>
        <w:rPr>
          <w:rFonts w:ascii="宋体" w:hAnsi="宋体"/>
          <w:color w:val="000000" w:themeColor="text1"/>
          <w:sz w:val="24"/>
          <w:szCs w:val="24"/>
        </w:rPr>
        <w:t xml:space="preserve">                      </w:t>
      </w:r>
    </w:p>
    <w:p>
      <w:pPr>
        <w:ind w:left="504" w:leftChars="240"/>
        <w:rPr>
          <w:rFonts w:ascii="宋体"/>
          <w:bCs/>
          <w:color w:val="000000" w:themeColor="text1"/>
          <w:sz w:val="24"/>
          <w:szCs w:val="24"/>
        </w:rPr>
      </w:pPr>
      <w:r>
        <w:rPr>
          <w:rFonts w:hint="eastAsia" w:ascii="宋体" w:hAnsi="宋体"/>
          <w:bCs/>
          <w:color w:val="000000" w:themeColor="text1"/>
          <w:sz w:val="24"/>
          <w:szCs w:val="24"/>
        </w:rPr>
        <w:t>投标人</w:t>
      </w:r>
      <w:r>
        <w:rPr>
          <w:rFonts w:hint="eastAsia" w:ascii="Times New Roman" w:hAnsi="宋体"/>
          <w:bCs/>
          <w:color w:val="000000" w:themeColor="text1"/>
          <w:sz w:val="24"/>
          <w:szCs w:val="24"/>
        </w:rPr>
        <w:t>（公章）</w:t>
      </w:r>
      <w:r>
        <w:rPr>
          <w:rFonts w:hint="eastAsia" w:ascii="宋体" w:hAnsi="宋体"/>
          <w:bCs/>
          <w:color w:val="000000" w:themeColor="text1"/>
          <w:sz w:val="24"/>
          <w:szCs w:val="24"/>
        </w:rPr>
        <w:t>：</w:t>
      </w:r>
    </w:p>
    <w:p>
      <w:pPr>
        <w:ind w:left="504" w:leftChars="240"/>
        <w:rPr>
          <w:rFonts w:ascii="宋体"/>
          <w:bCs/>
          <w:color w:val="000000" w:themeColor="text1"/>
          <w:sz w:val="24"/>
          <w:szCs w:val="24"/>
        </w:rPr>
      </w:pPr>
      <w:r>
        <w:rPr>
          <w:rFonts w:hint="eastAsia" w:ascii="Times New Roman" w:hAnsi="宋体"/>
          <w:bCs/>
          <w:color w:val="000000" w:themeColor="text1"/>
          <w:sz w:val="24"/>
          <w:szCs w:val="24"/>
        </w:rPr>
        <w:t>法定代表人（签字或盖章）</w:t>
      </w:r>
      <w:r>
        <w:rPr>
          <w:rFonts w:hint="eastAsia" w:ascii="宋体" w:hAnsi="宋体"/>
          <w:bCs/>
          <w:color w:val="000000" w:themeColor="text1"/>
          <w:sz w:val="24"/>
          <w:szCs w:val="24"/>
        </w:rPr>
        <w:t>：</w:t>
      </w:r>
    </w:p>
    <w:p>
      <w:pPr>
        <w:ind w:left="504" w:leftChars="240"/>
        <w:rPr>
          <w:rFonts w:ascii="宋体"/>
          <w:bCs/>
          <w:color w:val="000000" w:themeColor="text1"/>
          <w:sz w:val="24"/>
          <w:szCs w:val="24"/>
        </w:rPr>
      </w:pPr>
      <w:r>
        <w:rPr>
          <w:rFonts w:hint="eastAsia" w:ascii="宋体" w:hAnsi="宋体"/>
          <w:bCs/>
          <w:color w:val="000000" w:themeColor="text1"/>
          <w:sz w:val="24"/>
          <w:szCs w:val="24"/>
        </w:rPr>
        <w:t>电</w:t>
      </w:r>
      <w:r>
        <w:rPr>
          <w:rFonts w:ascii="宋体" w:hAnsi="宋体"/>
          <w:bCs/>
          <w:color w:val="000000" w:themeColor="text1"/>
          <w:sz w:val="24"/>
          <w:szCs w:val="24"/>
        </w:rPr>
        <w:t xml:space="preserve">    </w:t>
      </w:r>
      <w:r>
        <w:rPr>
          <w:rFonts w:hint="eastAsia" w:ascii="宋体" w:hAnsi="宋体"/>
          <w:bCs/>
          <w:color w:val="000000" w:themeColor="text1"/>
          <w:sz w:val="24"/>
          <w:szCs w:val="24"/>
        </w:rPr>
        <w:t>话：</w:t>
      </w:r>
    </w:p>
    <w:p>
      <w:pPr>
        <w:spacing w:line="360" w:lineRule="auto"/>
        <w:ind w:left="504" w:leftChars="240"/>
        <w:rPr>
          <w:rFonts w:ascii="宋体"/>
          <w:bCs/>
          <w:color w:val="000000" w:themeColor="text1"/>
          <w:sz w:val="24"/>
          <w:szCs w:val="24"/>
          <w:u w:val="single"/>
        </w:rPr>
      </w:pPr>
      <w:r>
        <w:rPr>
          <w:rFonts w:hint="eastAsia" w:ascii="宋体" w:hAnsi="宋体"/>
          <w:bCs/>
          <w:color w:val="000000" w:themeColor="text1"/>
          <w:sz w:val="24"/>
          <w:szCs w:val="24"/>
        </w:rPr>
        <w:t>传</w:t>
      </w:r>
      <w:r>
        <w:rPr>
          <w:rFonts w:ascii="宋体" w:hAnsi="宋体"/>
          <w:bCs/>
          <w:color w:val="000000" w:themeColor="text1"/>
          <w:sz w:val="24"/>
          <w:szCs w:val="24"/>
        </w:rPr>
        <w:t xml:space="preserve">    </w:t>
      </w:r>
      <w:r>
        <w:rPr>
          <w:rFonts w:hint="eastAsia" w:ascii="宋体" w:hAnsi="宋体"/>
          <w:bCs/>
          <w:color w:val="000000" w:themeColor="text1"/>
          <w:sz w:val="24"/>
          <w:szCs w:val="24"/>
        </w:rPr>
        <w:t>真：</w:t>
      </w:r>
    </w:p>
    <w:p>
      <w:pPr>
        <w:spacing w:line="360" w:lineRule="auto"/>
        <w:ind w:left="504" w:leftChars="240"/>
        <w:rPr>
          <w:rFonts w:ascii="宋体"/>
          <w:bCs/>
          <w:color w:val="000000" w:themeColor="text1"/>
          <w:sz w:val="24"/>
          <w:szCs w:val="24"/>
        </w:rPr>
      </w:pPr>
      <w:r>
        <w:rPr>
          <w:rFonts w:hint="eastAsia" w:ascii="宋体" w:hAnsi="宋体"/>
          <w:bCs/>
          <w:color w:val="000000" w:themeColor="text1"/>
          <w:sz w:val="24"/>
          <w:szCs w:val="24"/>
        </w:rPr>
        <w:t>日</w:t>
      </w:r>
      <w:r>
        <w:rPr>
          <w:rFonts w:ascii="宋体" w:hAnsi="宋体"/>
          <w:bCs/>
          <w:color w:val="000000" w:themeColor="text1"/>
          <w:sz w:val="24"/>
          <w:szCs w:val="24"/>
        </w:rPr>
        <w:t xml:space="preserve">    </w:t>
      </w:r>
      <w:r>
        <w:rPr>
          <w:rFonts w:hint="eastAsia" w:ascii="宋体" w:hAnsi="宋体"/>
          <w:bCs/>
          <w:color w:val="000000" w:themeColor="text1"/>
          <w:sz w:val="24"/>
          <w:szCs w:val="24"/>
        </w:rPr>
        <w:t>期：  年</w:t>
      </w:r>
      <w:r>
        <w:rPr>
          <w:rFonts w:ascii="宋体" w:hAnsi="宋体"/>
          <w:bCs/>
          <w:color w:val="000000" w:themeColor="text1"/>
          <w:sz w:val="24"/>
          <w:szCs w:val="24"/>
        </w:rPr>
        <w:t xml:space="preserve"> </w:t>
      </w:r>
      <w:r>
        <w:rPr>
          <w:rFonts w:hint="eastAsia" w:ascii="宋体" w:hAnsi="宋体"/>
          <w:bCs/>
          <w:color w:val="000000" w:themeColor="text1"/>
          <w:sz w:val="24"/>
          <w:szCs w:val="24"/>
        </w:rPr>
        <w:t xml:space="preserve"> </w:t>
      </w:r>
      <w:r>
        <w:rPr>
          <w:rFonts w:ascii="宋体" w:hAnsi="宋体"/>
          <w:bCs/>
          <w:color w:val="000000" w:themeColor="text1"/>
          <w:sz w:val="24"/>
          <w:szCs w:val="24"/>
        </w:rPr>
        <w:t xml:space="preserve"> </w:t>
      </w:r>
      <w:r>
        <w:rPr>
          <w:rFonts w:hint="eastAsia" w:ascii="宋体" w:hAnsi="宋体"/>
          <w:bCs/>
          <w:color w:val="000000" w:themeColor="text1"/>
          <w:sz w:val="24"/>
          <w:szCs w:val="24"/>
        </w:rPr>
        <w:t>月</w:t>
      </w:r>
      <w:r>
        <w:rPr>
          <w:rFonts w:ascii="宋体" w:hAnsi="宋体"/>
          <w:bCs/>
          <w:color w:val="000000" w:themeColor="text1"/>
          <w:sz w:val="24"/>
          <w:szCs w:val="24"/>
        </w:rPr>
        <w:t xml:space="preserve"> </w:t>
      </w:r>
      <w:r>
        <w:rPr>
          <w:rFonts w:hint="eastAsia" w:ascii="宋体" w:hAnsi="宋体"/>
          <w:bCs/>
          <w:color w:val="000000" w:themeColor="text1"/>
          <w:sz w:val="24"/>
          <w:szCs w:val="24"/>
        </w:rPr>
        <w:t xml:space="preserve"> </w:t>
      </w:r>
      <w:r>
        <w:rPr>
          <w:rFonts w:ascii="宋体" w:hAnsi="宋体"/>
          <w:bCs/>
          <w:color w:val="000000" w:themeColor="text1"/>
          <w:sz w:val="24"/>
          <w:szCs w:val="24"/>
        </w:rPr>
        <w:t xml:space="preserve"> </w:t>
      </w:r>
      <w:r>
        <w:rPr>
          <w:rFonts w:hint="eastAsia" w:ascii="宋体" w:hAnsi="宋体"/>
          <w:bCs/>
          <w:color w:val="000000" w:themeColor="text1"/>
          <w:sz w:val="24"/>
          <w:szCs w:val="24"/>
        </w:rPr>
        <w:t>日</w:t>
      </w:r>
    </w:p>
    <w:p>
      <w:pPr>
        <w:pStyle w:val="3"/>
        <w:numPr>
          <w:ilvl w:val="0"/>
          <w:numId w:val="66"/>
        </w:numPr>
        <w:spacing w:before="100" w:beforeAutospacing="1" w:after="156" w:afterLines="50" w:line="360" w:lineRule="auto"/>
        <w:ind w:left="1610" w:hanging="1610"/>
        <w:rPr>
          <w:rFonts w:ascii="宋体"/>
          <w:color w:val="000000" w:themeColor="text1"/>
        </w:rPr>
      </w:pPr>
      <w:bookmarkStart w:id="211" w:name="_Toc494702282"/>
      <w:bookmarkStart w:id="212" w:name="_Toc494665962"/>
      <w:bookmarkStart w:id="213" w:name="_Toc494721112"/>
      <w:bookmarkStart w:id="214" w:name="_Toc494745329"/>
      <w:bookmarkStart w:id="215" w:name="_Toc494665565"/>
      <w:bookmarkStart w:id="216" w:name="_Toc494665012"/>
      <w:bookmarkStart w:id="217" w:name="_Toc16292"/>
      <w:r>
        <w:rPr>
          <w:rFonts w:hint="eastAsia" w:ascii="宋体" w:hAnsi="宋体"/>
          <w:color w:val="000000" w:themeColor="text1"/>
        </w:rPr>
        <w:t>项目负责人、技术负责人简历表</w:t>
      </w:r>
      <w:bookmarkEnd w:id="211"/>
      <w:bookmarkEnd w:id="212"/>
      <w:bookmarkEnd w:id="213"/>
      <w:bookmarkEnd w:id="214"/>
      <w:bookmarkEnd w:id="215"/>
      <w:bookmarkEnd w:id="216"/>
      <w:bookmarkEnd w:id="217"/>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352" w:type="dxa"/>
        <w:jc w:val="center"/>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color w:val="000000" w:themeColor="text1"/>
                <w:kern w:val="0"/>
                <w:sz w:val="24"/>
                <w:szCs w:val="28"/>
              </w:rPr>
            </w:pPr>
            <w:r>
              <w:rPr>
                <w:rFonts w:hint="eastAsia" w:ascii="宋体" w:hAnsi="宋体"/>
                <w:color w:val="000000" w:themeColor="text1"/>
                <w:kern w:val="0"/>
                <w:sz w:val="24"/>
                <w:szCs w:val="28"/>
              </w:rPr>
              <w:t>姓</w:t>
            </w:r>
            <w:r>
              <w:rPr>
                <w:rFonts w:ascii="宋体" w:hAnsi="宋体"/>
                <w:color w:val="000000" w:themeColor="text1"/>
                <w:kern w:val="0"/>
                <w:sz w:val="24"/>
                <w:szCs w:val="28"/>
              </w:rPr>
              <w:t xml:space="preserve">    </w:t>
            </w:r>
            <w:r>
              <w:rPr>
                <w:rFonts w:hint="eastAsia" w:ascii="宋体" w:hAnsi="宋体"/>
                <w:color w:val="000000" w:themeColor="text1"/>
                <w:kern w:val="0"/>
                <w:sz w:val="24"/>
                <w:szCs w:val="28"/>
              </w:rPr>
              <w:t>名</w:t>
            </w:r>
          </w:p>
        </w:tc>
        <w:tc>
          <w:tcPr>
            <w:tcW w:w="1530" w:type="dxa"/>
            <w:gridSpan w:val="2"/>
            <w:vAlign w:val="center"/>
          </w:tcPr>
          <w:p>
            <w:pPr>
              <w:autoSpaceDE w:val="0"/>
              <w:autoSpaceDN w:val="0"/>
              <w:adjustRightInd w:val="0"/>
              <w:spacing w:line="360" w:lineRule="auto"/>
              <w:ind w:right="285" w:rightChars="136"/>
              <w:jc w:val="center"/>
              <w:rPr>
                <w:rFonts w:ascii="宋体"/>
                <w:color w:val="000000" w:themeColor="text1"/>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color w:val="000000" w:themeColor="text1"/>
                <w:kern w:val="0"/>
                <w:sz w:val="24"/>
                <w:szCs w:val="28"/>
              </w:rPr>
            </w:pPr>
            <w:r>
              <w:rPr>
                <w:rFonts w:hint="eastAsia" w:ascii="宋体" w:hAnsi="宋体"/>
                <w:color w:val="000000" w:themeColor="text1"/>
                <w:kern w:val="0"/>
                <w:sz w:val="24"/>
                <w:szCs w:val="28"/>
              </w:rPr>
              <w:t>性</w:t>
            </w:r>
            <w:r>
              <w:rPr>
                <w:rFonts w:ascii="宋体" w:hAnsi="宋体"/>
                <w:color w:val="000000" w:themeColor="text1"/>
                <w:kern w:val="0"/>
                <w:sz w:val="24"/>
                <w:szCs w:val="28"/>
              </w:rPr>
              <w:t xml:space="preserve">    </w:t>
            </w:r>
            <w:r>
              <w:rPr>
                <w:rFonts w:hint="eastAsia" w:ascii="宋体" w:hAnsi="宋体"/>
                <w:color w:val="000000" w:themeColor="text1"/>
                <w:kern w:val="0"/>
                <w:sz w:val="24"/>
                <w:szCs w:val="28"/>
              </w:rPr>
              <w:t>别</w:t>
            </w:r>
          </w:p>
        </w:tc>
        <w:tc>
          <w:tcPr>
            <w:tcW w:w="1530" w:type="dxa"/>
            <w:gridSpan w:val="2"/>
            <w:vAlign w:val="center"/>
          </w:tcPr>
          <w:p>
            <w:pPr>
              <w:autoSpaceDE w:val="0"/>
              <w:autoSpaceDN w:val="0"/>
              <w:adjustRightInd w:val="0"/>
              <w:spacing w:line="360" w:lineRule="auto"/>
              <w:ind w:right="285" w:rightChars="136"/>
              <w:jc w:val="center"/>
              <w:rPr>
                <w:rFonts w:ascii="宋体"/>
                <w:color w:val="000000" w:themeColor="text1"/>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color w:val="000000" w:themeColor="text1"/>
                <w:kern w:val="0"/>
                <w:sz w:val="24"/>
                <w:szCs w:val="28"/>
              </w:rPr>
            </w:pPr>
            <w:r>
              <w:rPr>
                <w:rFonts w:hint="eastAsia" w:ascii="宋体" w:hAnsi="宋体"/>
                <w:color w:val="000000" w:themeColor="text1"/>
                <w:kern w:val="0"/>
                <w:sz w:val="24"/>
                <w:szCs w:val="28"/>
              </w:rPr>
              <w:t>年</w:t>
            </w:r>
            <w:r>
              <w:rPr>
                <w:rFonts w:ascii="宋体" w:hAnsi="宋体"/>
                <w:color w:val="000000" w:themeColor="text1"/>
                <w:kern w:val="0"/>
                <w:sz w:val="24"/>
                <w:szCs w:val="28"/>
              </w:rPr>
              <w:t xml:space="preserve">    </w:t>
            </w:r>
            <w:r>
              <w:rPr>
                <w:rFonts w:hint="eastAsia" w:ascii="宋体" w:hAnsi="宋体"/>
                <w:color w:val="000000" w:themeColor="text1"/>
                <w:kern w:val="0"/>
                <w:sz w:val="24"/>
                <w:szCs w:val="28"/>
              </w:rPr>
              <w:t>龄</w:t>
            </w:r>
          </w:p>
        </w:tc>
        <w:tc>
          <w:tcPr>
            <w:tcW w:w="1530" w:type="dxa"/>
            <w:vAlign w:val="center"/>
          </w:tcPr>
          <w:p>
            <w:pPr>
              <w:autoSpaceDE w:val="0"/>
              <w:autoSpaceDN w:val="0"/>
              <w:adjustRightInd w:val="0"/>
              <w:spacing w:line="360" w:lineRule="auto"/>
              <w:ind w:right="285" w:rightChars="136"/>
              <w:jc w:val="center"/>
              <w:rPr>
                <w:rFonts w:ascii="宋体"/>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color w:val="000000" w:themeColor="text1"/>
                <w:kern w:val="0"/>
                <w:sz w:val="24"/>
                <w:szCs w:val="28"/>
              </w:rPr>
            </w:pPr>
            <w:r>
              <w:rPr>
                <w:rFonts w:hint="eastAsia" w:ascii="宋体" w:hAnsi="宋体"/>
                <w:color w:val="000000" w:themeColor="text1"/>
                <w:kern w:val="0"/>
                <w:sz w:val="24"/>
                <w:szCs w:val="28"/>
              </w:rPr>
              <w:t>职</w:t>
            </w:r>
            <w:r>
              <w:rPr>
                <w:rFonts w:ascii="宋体" w:hAnsi="宋体"/>
                <w:color w:val="000000" w:themeColor="text1"/>
                <w:kern w:val="0"/>
                <w:sz w:val="24"/>
                <w:szCs w:val="28"/>
              </w:rPr>
              <w:t xml:space="preserve">    </w:t>
            </w:r>
            <w:r>
              <w:rPr>
                <w:rFonts w:hint="eastAsia" w:ascii="宋体" w:hAnsi="宋体"/>
                <w:color w:val="000000" w:themeColor="text1"/>
                <w:kern w:val="0"/>
                <w:sz w:val="24"/>
                <w:szCs w:val="28"/>
              </w:rPr>
              <w:t>务</w:t>
            </w:r>
          </w:p>
        </w:tc>
        <w:tc>
          <w:tcPr>
            <w:tcW w:w="1530" w:type="dxa"/>
            <w:gridSpan w:val="2"/>
            <w:vAlign w:val="center"/>
          </w:tcPr>
          <w:p>
            <w:pPr>
              <w:autoSpaceDE w:val="0"/>
              <w:autoSpaceDN w:val="0"/>
              <w:adjustRightInd w:val="0"/>
              <w:spacing w:line="360" w:lineRule="auto"/>
              <w:ind w:right="285" w:rightChars="136"/>
              <w:jc w:val="center"/>
              <w:rPr>
                <w:rFonts w:ascii="宋体"/>
                <w:color w:val="000000" w:themeColor="text1"/>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color w:val="000000" w:themeColor="text1"/>
                <w:kern w:val="0"/>
                <w:sz w:val="24"/>
                <w:szCs w:val="28"/>
              </w:rPr>
            </w:pPr>
            <w:r>
              <w:rPr>
                <w:rFonts w:hint="eastAsia" w:ascii="宋体" w:hAnsi="宋体"/>
                <w:color w:val="000000" w:themeColor="text1"/>
                <w:kern w:val="0"/>
                <w:sz w:val="24"/>
                <w:szCs w:val="28"/>
              </w:rPr>
              <w:t>职</w:t>
            </w:r>
            <w:r>
              <w:rPr>
                <w:rFonts w:ascii="宋体" w:hAnsi="宋体"/>
                <w:color w:val="000000" w:themeColor="text1"/>
                <w:kern w:val="0"/>
                <w:sz w:val="24"/>
                <w:szCs w:val="28"/>
              </w:rPr>
              <w:t xml:space="preserve">    </w:t>
            </w:r>
            <w:r>
              <w:rPr>
                <w:rFonts w:hint="eastAsia" w:ascii="宋体" w:hAnsi="宋体"/>
                <w:color w:val="000000" w:themeColor="text1"/>
                <w:kern w:val="0"/>
                <w:sz w:val="24"/>
                <w:szCs w:val="28"/>
              </w:rPr>
              <w:t>称</w:t>
            </w:r>
          </w:p>
        </w:tc>
        <w:tc>
          <w:tcPr>
            <w:tcW w:w="1530" w:type="dxa"/>
            <w:gridSpan w:val="2"/>
            <w:vAlign w:val="center"/>
          </w:tcPr>
          <w:p>
            <w:pPr>
              <w:autoSpaceDE w:val="0"/>
              <w:autoSpaceDN w:val="0"/>
              <w:adjustRightInd w:val="0"/>
              <w:spacing w:line="360" w:lineRule="auto"/>
              <w:ind w:right="285" w:rightChars="136"/>
              <w:jc w:val="center"/>
              <w:rPr>
                <w:rFonts w:ascii="宋体"/>
                <w:color w:val="000000" w:themeColor="text1"/>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color w:val="000000" w:themeColor="text1"/>
                <w:kern w:val="0"/>
                <w:sz w:val="24"/>
                <w:szCs w:val="28"/>
              </w:rPr>
            </w:pPr>
            <w:r>
              <w:rPr>
                <w:rFonts w:hint="eastAsia" w:ascii="宋体" w:hAnsi="宋体"/>
                <w:color w:val="000000" w:themeColor="text1"/>
                <w:kern w:val="0"/>
                <w:sz w:val="24"/>
                <w:szCs w:val="28"/>
              </w:rPr>
              <w:t>学</w:t>
            </w:r>
            <w:r>
              <w:rPr>
                <w:rFonts w:ascii="宋体" w:hAnsi="宋体"/>
                <w:color w:val="000000" w:themeColor="text1"/>
                <w:kern w:val="0"/>
                <w:sz w:val="24"/>
                <w:szCs w:val="28"/>
              </w:rPr>
              <w:t xml:space="preserve">    </w:t>
            </w:r>
            <w:r>
              <w:rPr>
                <w:rFonts w:hint="eastAsia" w:ascii="宋体" w:hAnsi="宋体"/>
                <w:color w:val="000000" w:themeColor="text1"/>
                <w:kern w:val="0"/>
                <w:sz w:val="24"/>
                <w:szCs w:val="28"/>
              </w:rPr>
              <w:t>历</w:t>
            </w:r>
          </w:p>
        </w:tc>
        <w:tc>
          <w:tcPr>
            <w:tcW w:w="1530" w:type="dxa"/>
            <w:vAlign w:val="center"/>
          </w:tcPr>
          <w:p>
            <w:pPr>
              <w:autoSpaceDE w:val="0"/>
              <w:autoSpaceDN w:val="0"/>
              <w:adjustRightInd w:val="0"/>
              <w:spacing w:line="360" w:lineRule="auto"/>
              <w:ind w:right="2" w:rightChars="1"/>
              <w:jc w:val="center"/>
              <w:rPr>
                <w:rFonts w:ascii="宋体"/>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color w:val="000000" w:themeColor="text1"/>
                <w:kern w:val="0"/>
                <w:sz w:val="24"/>
                <w:szCs w:val="28"/>
              </w:rPr>
            </w:pPr>
            <w:r>
              <w:rPr>
                <w:rFonts w:hint="eastAsia" w:ascii="宋体" w:hAnsi="宋体"/>
                <w:color w:val="000000" w:themeColor="text1"/>
                <w:kern w:val="0"/>
                <w:sz w:val="24"/>
                <w:szCs w:val="28"/>
              </w:rPr>
              <w:t>参加工作</w:t>
            </w:r>
          </w:p>
          <w:p>
            <w:pPr>
              <w:autoSpaceDE w:val="0"/>
              <w:autoSpaceDN w:val="0"/>
              <w:adjustRightInd w:val="0"/>
              <w:spacing w:line="360" w:lineRule="auto"/>
              <w:jc w:val="center"/>
              <w:rPr>
                <w:rFonts w:ascii="宋体"/>
                <w:color w:val="000000" w:themeColor="text1"/>
                <w:kern w:val="0"/>
                <w:sz w:val="24"/>
                <w:szCs w:val="28"/>
              </w:rPr>
            </w:pPr>
            <w:r>
              <w:rPr>
                <w:rFonts w:hint="eastAsia" w:ascii="宋体" w:hAnsi="宋体"/>
                <w:color w:val="000000" w:themeColor="text1"/>
                <w:kern w:val="0"/>
                <w:sz w:val="24"/>
                <w:szCs w:val="28"/>
              </w:rPr>
              <w:t>时间</w:t>
            </w:r>
          </w:p>
        </w:tc>
        <w:tc>
          <w:tcPr>
            <w:tcW w:w="1530" w:type="dxa"/>
            <w:gridSpan w:val="2"/>
            <w:vAlign w:val="center"/>
          </w:tcPr>
          <w:p>
            <w:pPr>
              <w:autoSpaceDE w:val="0"/>
              <w:autoSpaceDN w:val="0"/>
              <w:adjustRightInd w:val="0"/>
              <w:spacing w:line="360" w:lineRule="auto"/>
              <w:jc w:val="center"/>
              <w:rPr>
                <w:rFonts w:ascii="宋体"/>
                <w:color w:val="000000" w:themeColor="text1"/>
                <w:kern w:val="0"/>
                <w:sz w:val="24"/>
                <w:szCs w:val="28"/>
              </w:rPr>
            </w:pPr>
          </w:p>
        </w:tc>
        <w:tc>
          <w:tcPr>
            <w:tcW w:w="1530" w:type="dxa"/>
            <w:gridSpan w:val="2"/>
            <w:vAlign w:val="center"/>
          </w:tcPr>
          <w:p>
            <w:pPr>
              <w:autoSpaceDE w:val="0"/>
              <w:autoSpaceDN w:val="0"/>
              <w:adjustRightInd w:val="0"/>
              <w:spacing w:line="360" w:lineRule="auto"/>
              <w:jc w:val="center"/>
              <w:rPr>
                <w:rFonts w:ascii="宋体"/>
                <w:color w:val="000000" w:themeColor="text1"/>
                <w:kern w:val="0"/>
                <w:sz w:val="24"/>
                <w:szCs w:val="28"/>
              </w:rPr>
            </w:pPr>
            <w:r>
              <w:rPr>
                <w:rFonts w:hint="eastAsia" w:ascii="宋体" w:hAnsi="宋体"/>
                <w:color w:val="000000" w:themeColor="text1"/>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color w:val="000000" w:themeColor="text1"/>
                <w:kern w:val="0"/>
                <w:sz w:val="24"/>
                <w:szCs w:val="28"/>
              </w:rPr>
            </w:pPr>
          </w:p>
        </w:tc>
        <w:tc>
          <w:tcPr>
            <w:tcW w:w="1530" w:type="dxa"/>
            <w:gridSpan w:val="2"/>
            <w:vAlign w:val="center"/>
          </w:tcPr>
          <w:p>
            <w:pPr>
              <w:autoSpaceDE w:val="0"/>
              <w:autoSpaceDN w:val="0"/>
              <w:adjustRightInd w:val="0"/>
              <w:spacing w:line="360" w:lineRule="auto"/>
              <w:jc w:val="center"/>
              <w:rPr>
                <w:rFonts w:ascii="宋体"/>
                <w:color w:val="000000" w:themeColor="text1"/>
                <w:kern w:val="0"/>
                <w:sz w:val="24"/>
                <w:szCs w:val="28"/>
              </w:rPr>
            </w:pPr>
            <w:r>
              <w:rPr>
                <w:rFonts w:hint="eastAsia" w:ascii="宋体" w:hAnsi="宋体"/>
                <w:color w:val="000000" w:themeColor="text1"/>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color w:val="000000" w:themeColor="text1"/>
                <w:kern w:val="0"/>
                <w:sz w:val="24"/>
                <w:szCs w:val="28"/>
              </w:rPr>
            </w:pPr>
            <w:r>
              <w:rPr>
                <w:rFonts w:hint="eastAsia" w:ascii="宋体" w:hAnsi="宋体"/>
                <w:color w:val="000000" w:themeColor="text1"/>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color w:val="000000" w:themeColor="text1"/>
                <w:kern w:val="0"/>
                <w:sz w:val="24"/>
                <w:szCs w:val="28"/>
              </w:rPr>
            </w:pPr>
            <w:r>
              <w:rPr>
                <w:rFonts w:hint="eastAsia" w:ascii="宋体" w:hAnsi="宋体"/>
                <w:color w:val="000000" w:themeColor="text1"/>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r>
              <w:rPr>
                <w:rFonts w:hint="eastAsia" w:ascii="宋体" w:hAnsi="宋体"/>
                <w:color w:val="000000" w:themeColor="text1"/>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r>
              <w:rPr>
                <w:rFonts w:hint="eastAsia" w:ascii="宋体" w:hAnsi="宋体"/>
                <w:color w:val="000000" w:themeColor="text1"/>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r>
              <w:rPr>
                <w:rFonts w:hint="eastAsia" w:ascii="宋体" w:hAnsi="宋体"/>
                <w:color w:val="000000" w:themeColor="text1"/>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r>
              <w:rPr>
                <w:rFonts w:hint="eastAsia" w:ascii="宋体" w:hAnsi="宋体"/>
                <w:color w:val="000000" w:themeColor="text1"/>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r>
              <w:rPr>
                <w:rFonts w:hint="eastAsia" w:ascii="宋体" w:hAnsi="宋体"/>
                <w:color w:val="000000" w:themeColor="text1"/>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color w:val="000000" w:themeColor="text1"/>
                <w:kern w:val="0"/>
                <w:sz w:val="24"/>
                <w:szCs w:val="28"/>
              </w:rPr>
            </w:pPr>
          </w:p>
        </w:tc>
      </w:tr>
    </w:tbl>
    <w:p>
      <w:pPr>
        <w:spacing w:line="360" w:lineRule="auto"/>
        <w:ind w:left="720" w:hanging="720" w:hangingChars="300"/>
        <w:jc w:val="left"/>
        <w:rPr>
          <w:rFonts w:ascii="宋体"/>
          <w:color w:val="000000" w:themeColor="text1"/>
          <w:sz w:val="24"/>
          <w:szCs w:val="24"/>
          <w:lang w:val="zh-CN"/>
        </w:rPr>
      </w:pPr>
      <w:r>
        <w:rPr>
          <w:rFonts w:hint="eastAsia" w:ascii="宋体" w:hAnsi="宋体"/>
          <w:color w:val="000000" w:themeColor="text1"/>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color w:val="000000" w:themeColor="text1"/>
          <w:sz w:val="24"/>
          <w:szCs w:val="24"/>
          <w:lang w:val="zh-CN"/>
        </w:rPr>
      </w:pP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610" w:hanging="1610"/>
        <w:rPr>
          <w:rFonts w:ascii="宋体"/>
          <w:color w:val="000000" w:themeColor="text1"/>
        </w:rPr>
      </w:pPr>
      <w:bookmarkStart w:id="218" w:name="_Toc236473307"/>
      <w:bookmarkStart w:id="219" w:name="_Toc494665566"/>
      <w:bookmarkStart w:id="220" w:name="_Toc494721113"/>
      <w:bookmarkStart w:id="221" w:name="_Toc494702283"/>
      <w:bookmarkStart w:id="222" w:name="_Toc494665963"/>
      <w:bookmarkStart w:id="223" w:name="_Toc238276251"/>
      <w:bookmarkStart w:id="224" w:name="_Toc494665013"/>
      <w:bookmarkStart w:id="225" w:name="_Toc30818"/>
      <w:bookmarkStart w:id="226" w:name="_Toc494745330"/>
      <w:r>
        <w:rPr>
          <w:rFonts w:hint="eastAsia" w:ascii="宋体" w:hAnsi="宋体"/>
          <w:color w:val="000000" w:themeColor="text1"/>
        </w:rPr>
        <w:t>项目班子成员情况表</w:t>
      </w:r>
      <w:bookmarkEnd w:id="218"/>
      <w:bookmarkEnd w:id="219"/>
      <w:bookmarkEnd w:id="220"/>
      <w:bookmarkEnd w:id="221"/>
      <w:bookmarkEnd w:id="222"/>
      <w:bookmarkEnd w:id="223"/>
      <w:bookmarkEnd w:id="224"/>
      <w:bookmarkEnd w:id="225"/>
      <w:bookmarkEnd w:id="226"/>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F2F2F2"/>
            <w:vAlign w:val="center"/>
          </w:tcPr>
          <w:p>
            <w:pPr>
              <w:jc w:val="center"/>
              <w:rPr>
                <w:rFonts w:ascii="宋体"/>
                <w:color w:val="000000" w:themeColor="text1"/>
                <w:sz w:val="24"/>
                <w:szCs w:val="24"/>
              </w:rPr>
            </w:pPr>
            <w:r>
              <w:rPr>
                <w:rFonts w:hint="eastAsia" w:ascii="宋体" w:hAnsi="宋体"/>
                <w:color w:val="000000" w:themeColor="text1"/>
                <w:sz w:val="24"/>
                <w:szCs w:val="24"/>
              </w:rPr>
              <w:t>序号</w:t>
            </w:r>
          </w:p>
        </w:tc>
        <w:tc>
          <w:tcPr>
            <w:tcW w:w="992" w:type="dxa"/>
            <w:shd w:val="clear" w:color="auto" w:fill="F2F2F2"/>
            <w:vAlign w:val="center"/>
          </w:tcPr>
          <w:p>
            <w:pPr>
              <w:jc w:val="center"/>
              <w:rPr>
                <w:rFonts w:ascii="宋体"/>
                <w:color w:val="000000" w:themeColor="text1"/>
                <w:sz w:val="24"/>
                <w:szCs w:val="24"/>
              </w:rPr>
            </w:pPr>
            <w:r>
              <w:rPr>
                <w:rFonts w:hint="eastAsia" w:ascii="宋体" w:hAnsi="宋体"/>
                <w:color w:val="000000" w:themeColor="text1"/>
                <w:sz w:val="24"/>
                <w:szCs w:val="24"/>
              </w:rPr>
              <w:t>姓</w:t>
            </w:r>
            <w:r>
              <w:rPr>
                <w:rFonts w:ascii="宋体" w:hAnsi="宋体"/>
                <w:color w:val="000000" w:themeColor="text1"/>
                <w:sz w:val="24"/>
                <w:szCs w:val="24"/>
              </w:rPr>
              <w:t xml:space="preserve"> </w:t>
            </w:r>
            <w:r>
              <w:rPr>
                <w:rFonts w:hint="eastAsia" w:ascii="宋体" w:hAnsi="宋体"/>
                <w:color w:val="000000" w:themeColor="text1"/>
                <w:sz w:val="24"/>
                <w:szCs w:val="24"/>
              </w:rPr>
              <w:t>名</w:t>
            </w:r>
          </w:p>
        </w:tc>
        <w:tc>
          <w:tcPr>
            <w:tcW w:w="1134" w:type="dxa"/>
            <w:shd w:val="clear" w:color="auto" w:fill="F2F2F2"/>
            <w:vAlign w:val="center"/>
          </w:tcPr>
          <w:p>
            <w:pPr>
              <w:jc w:val="center"/>
              <w:rPr>
                <w:rFonts w:ascii="宋体"/>
                <w:color w:val="000000" w:themeColor="text1"/>
                <w:sz w:val="24"/>
                <w:szCs w:val="24"/>
              </w:rPr>
            </w:pPr>
            <w:r>
              <w:rPr>
                <w:rFonts w:hint="eastAsia" w:ascii="宋体" w:hAnsi="宋体"/>
                <w:color w:val="000000" w:themeColor="text1"/>
                <w:sz w:val="24"/>
                <w:szCs w:val="24"/>
              </w:rPr>
              <w:t>专</w:t>
            </w:r>
            <w:r>
              <w:rPr>
                <w:rFonts w:ascii="宋体" w:hAnsi="宋体"/>
                <w:color w:val="000000" w:themeColor="text1"/>
                <w:sz w:val="24"/>
                <w:szCs w:val="24"/>
              </w:rPr>
              <w:t xml:space="preserve"> </w:t>
            </w:r>
            <w:r>
              <w:rPr>
                <w:rFonts w:hint="eastAsia" w:ascii="宋体" w:hAnsi="宋体"/>
                <w:color w:val="000000" w:themeColor="text1"/>
                <w:sz w:val="24"/>
                <w:szCs w:val="24"/>
              </w:rPr>
              <w:t>业</w:t>
            </w:r>
          </w:p>
        </w:tc>
        <w:tc>
          <w:tcPr>
            <w:tcW w:w="1134" w:type="dxa"/>
            <w:shd w:val="clear" w:color="auto" w:fill="F2F2F2"/>
            <w:vAlign w:val="center"/>
          </w:tcPr>
          <w:p>
            <w:pPr>
              <w:jc w:val="center"/>
              <w:rPr>
                <w:rFonts w:ascii="宋体"/>
                <w:color w:val="000000" w:themeColor="text1"/>
                <w:sz w:val="24"/>
                <w:szCs w:val="24"/>
              </w:rPr>
            </w:pPr>
            <w:r>
              <w:rPr>
                <w:rFonts w:hint="eastAsia" w:ascii="宋体" w:hAnsi="宋体"/>
                <w:color w:val="000000" w:themeColor="text1"/>
                <w:sz w:val="24"/>
                <w:szCs w:val="24"/>
              </w:rPr>
              <w:t>年</w:t>
            </w:r>
            <w:r>
              <w:rPr>
                <w:rFonts w:ascii="宋体" w:hAnsi="宋体"/>
                <w:color w:val="000000" w:themeColor="text1"/>
                <w:sz w:val="24"/>
                <w:szCs w:val="24"/>
              </w:rPr>
              <w:t xml:space="preserve"> </w:t>
            </w:r>
            <w:r>
              <w:rPr>
                <w:rFonts w:hint="eastAsia" w:ascii="宋体" w:hAnsi="宋体"/>
                <w:color w:val="000000" w:themeColor="text1"/>
                <w:sz w:val="24"/>
                <w:szCs w:val="24"/>
              </w:rPr>
              <w:t>龄</w:t>
            </w:r>
          </w:p>
        </w:tc>
        <w:tc>
          <w:tcPr>
            <w:tcW w:w="1418" w:type="dxa"/>
            <w:shd w:val="clear" w:color="auto" w:fill="F2F2F2"/>
            <w:vAlign w:val="center"/>
          </w:tcPr>
          <w:p>
            <w:pPr>
              <w:jc w:val="center"/>
              <w:rPr>
                <w:rFonts w:ascii="宋体"/>
                <w:color w:val="000000" w:themeColor="text1"/>
                <w:sz w:val="24"/>
                <w:szCs w:val="24"/>
              </w:rPr>
            </w:pPr>
            <w:r>
              <w:rPr>
                <w:rFonts w:hint="eastAsia" w:ascii="宋体" w:hAnsi="宋体"/>
                <w:color w:val="000000" w:themeColor="text1"/>
                <w:kern w:val="0"/>
                <w:sz w:val="24"/>
                <w:szCs w:val="28"/>
              </w:rPr>
              <w:t>从事本行业工作年限</w:t>
            </w:r>
          </w:p>
        </w:tc>
        <w:tc>
          <w:tcPr>
            <w:tcW w:w="1843" w:type="dxa"/>
            <w:shd w:val="clear" w:color="auto" w:fill="F2F2F2"/>
            <w:vAlign w:val="center"/>
          </w:tcPr>
          <w:p>
            <w:pPr>
              <w:jc w:val="center"/>
              <w:rPr>
                <w:rFonts w:ascii="宋体"/>
                <w:color w:val="000000" w:themeColor="text1"/>
                <w:sz w:val="24"/>
                <w:szCs w:val="24"/>
              </w:rPr>
            </w:pPr>
            <w:r>
              <w:rPr>
                <w:rFonts w:hint="eastAsia" w:ascii="宋体" w:hAnsi="宋体"/>
                <w:color w:val="000000" w:themeColor="text1"/>
                <w:sz w:val="24"/>
                <w:szCs w:val="24"/>
              </w:rPr>
              <w:t>在本项目中承担的工作</w:t>
            </w:r>
          </w:p>
        </w:tc>
        <w:tc>
          <w:tcPr>
            <w:tcW w:w="1842" w:type="dxa"/>
            <w:shd w:val="clear" w:color="auto" w:fill="F2F2F2"/>
            <w:vAlign w:val="center"/>
          </w:tcPr>
          <w:p>
            <w:pPr>
              <w:jc w:val="center"/>
              <w:rPr>
                <w:rFonts w:ascii="宋体"/>
                <w:color w:val="000000" w:themeColor="text1"/>
                <w:sz w:val="24"/>
                <w:szCs w:val="24"/>
              </w:rPr>
            </w:pPr>
            <w:r>
              <w:rPr>
                <w:rFonts w:hint="eastAsia" w:ascii="宋体" w:hAnsi="宋体"/>
                <w:color w:val="000000" w:themeColor="text1"/>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themeColor="text1"/>
                <w:sz w:val="24"/>
                <w:szCs w:val="24"/>
              </w:rPr>
            </w:pPr>
            <w:r>
              <w:rPr>
                <w:rFonts w:ascii="宋体" w:hAnsi="宋体"/>
                <w:color w:val="000000" w:themeColor="text1"/>
                <w:sz w:val="24"/>
                <w:szCs w:val="24"/>
              </w:rPr>
              <w:t>1</w:t>
            </w:r>
          </w:p>
        </w:tc>
        <w:tc>
          <w:tcPr>
            <w:tcW w:w="992" w:type="dxa"/>
            <w:vAlign w:val="center"/>
          </w:tcPr>
          <w:p>
            <w:pPr>
              <w:jc w:val="center"/>
              <w:rPr>
                <w:rFonts w:ascii="宋体"/>
                <w:color w:val="000000" w:themeColor="text1"/>
                <w:sz w:val="24"/>
                <w:szCs w:val="24"/>
              </w:rPr>
            </w:pPr>
          </w:p>
        </w:tc>
        <w:tc>
          <w:tcPr>
            <w:tcW w:w="1134" w:type="dxa"/>
            <w:vAlign w:val="center"/>
          </w:tcPr>
          <w:p>
            <w:pPr>
              <w:rPr>
                <w:rFonts w:ascii="宋体"/>
                <w:color w:val="000000" w:themeColor="text1"/>
                <w:sz w:val="24"/>
                <w:szCs w:val="24"/>
              </w:rPr>
            </w:pPr>
          </w:p>
        </w:tc>
        <w:tc>
          <w:tcPr>
            <w:tcW w:w="1134" w:type="dxa"/>
            <w:vAlign w:val="center"/>
          </w:tcPr>
          <w:p>
            <w:pPr>
              <w:rPr>
                <w:rFonts w:ascii="宋体"/>
                <w:color w:val="000000" w:themeColor="text1"/>
                <w:sz w:val="24"/>
                <w:szCs w:val="24"/>
              </w:rPr>
            </w:pPr>
          </w:p>
        </w:tc>
        <w:tc>
          <w:tcPr>
            <w:tcW w:w="1418" w:type="dxa"/>
            <w:vAlign w:val="center"/>
          </w:tcPr>
          <w:p>
            <w:pPr>
              <w:rPr>
                <w:rFonts w:ascii="宋体"/>
                <w:color w:val="000000" w:themeColor="text1"/>
                <w:sz w:val="24"/>
                <w:szCs w:val="24"/>
              </w:rPr>
            </w:pPr>
          </w:p>
        </w:tc>
        <w:tc>
          <w:tcPr>
            <w:tcW w:w="1843" w:type="dxa"/>
            <w:vAlign w:val="center"/>
          </w:tcPr>
          <w:p>
            <w:pPr>
              <w:rPr>
                <w:rFonts w:ascii="宋体"/>
                <w:color w:val="000000" w:themeColor="text1"/>
                <w:sz w:val="24"/>
                <w:szCs w:val="24"/>
              </w:rPr>
            </w:pPr>
          </w:p>
        </w:tc>
        <w:tc>
          <w:tcPr>
            <w:tcW w:w="1842" w:type="dxa"/>
            <w:vAlign w:val="center"/>
          </w:tcPr>
          <w:p>
            <w:pP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themeColor="text1"/>
                <w:sz w:val="24"/>
                <w:szCs w:val="24"/>
              </w:rPr>
            </w:pPr>
            <w:r>
              <w:rPr>
                <w:rFonts w:ascii="宋体" w:hAnsi="宋体"/>
                <w:color w:val="000000" w:themeColor="text1"/>
                <w:sz w:val="24"/>
                <w:szCs w:val="24"/>
              </w:rPr>
              <w:t>2</w:t>
            </w:r>
          </w:p>
        </w:tc>
        <w:tc>
          <w:tcPr>
            <w:tcW w:w="992"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418" w:type="dxa"/>
            <w:vAlign w:val="center"/>
          </w:tcPr>
          <w:p>
            <w:pPr>
              <w:jc w:val="center"/>
              <w:rPr>
                <w:rFonts w:ascii="宋体"/>
                <w:color w:val="000000" w:themeColor="text1"/>
                <w:sz w:val="24"/>
                <w:szCs w:val="24"/>
              </w:rPr>
            </w:pPr>
          </w:p>
        </w:tc>
        <w:tc>
          <w:tcPr>
            <w:tcW w:w="1843" w:type="dxa"/>
            <w:vAlign w:val="center"/>
          </w:tcPr>
          <w:p>
            <w:pPr>
              <w:jc w:val="center"/>
              <w:rPr>
                <w:rFonts w:ascii="宋体"/>
                <w:color w:val="000000" w:themeColor="text1"/>
                <w:sz w:val="24"/>
                <w:szCs w:val="24"/>
              </w:rPr>
            </w:pPr>
          </w:p>
        </w:tc>
        <w:tc>
          <w:tcPr>
            <w:tcW w:w="1842" w:type="dxa"/>
            <w:vAlign w:val="center"/>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themeColor="text1"/>
                <w:sz w:val="24"/>
                <w:szCs w:val="24"/>
              </w:rPr>
            </w:pPr>
            <w:r>
              <w:rPr>
                <w:rFonts w:ascii="宋体" w:hAnsi="宋体"/>
                <w:color w:val="000000" w:themeColor="text1"/>
                <w:sz w:val="24"/>
                <w:szCs w:val="24"/>
              </w:rPr>
              <w:t>3</w:t>
            </w:r>
          </w:p>
        </w:tc>
        <w:tc>
          <w:tcPr>
            <w:tcW w:w="992"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418" w:type="dxa"/>
            <w:vAlign w:val="center"/>
          </w:tcPr>
          <w:p>
            <w:pPr>
              <w:jc w:val="center"/>
              <w:rPr>
                <w:rFonts w:ascii="宋体"/>
                <w:color w:val="000000" w:themeColor="text1"/>
                <w:sz w:val="24"/>
                <w:szCs w:val="24"/>
              </w:rPr>
            </w:pPr>
          </w:p>
        </w:tc>
        <w:tc>
          <w:tcPr>
            <w:tcW w:w="1843" w:type="dxa"/>
            <w:vAlign w:val="center"/>
          </w:tcPr>
          <w:p>
            <w:pPr>
              <w:jc w:val="center"/>
              <w:rPr>
                <w:rFonts w:ascii="宋体"/>
                <w:color w:val="000000" w:themeColor="text1"/>
                <w:sz w:val="24"/>
                <w:szCs w:val="24"/>
              </w:rPr>
            </w:pPr>
          </w:p>
        </w:tc>
        <w:tc>
          <w:tcPr>
            <w:tcW w:w="1842" w:type="dxa"/>
            <w:vAlign w:val="center"/>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themeColor="text1"/>
                <w:sz w:val="24"/>
                <w:szCs w:val="24"/>
              </w:rPr>
            </w:pPr>
            <w:r>
              <w:rPr>
                <w:rFonts w:ascii="宋体" w:hAnsi="宋体"/>
                <w:color w:val="000000" w:themeColor="text1"/>
                <w:sz w:val="24"/>
                <w:szCs w:val="24"/>
              </w:rPr>
              <w:t>4</w:t>
            </w:r>
          </w:p>
        </w:tc>
        <w:tc>
          <w:tcPr>
            <w:tcW w:w="992"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418" w:type="dxa"/>
            <w:vAlign w:val="center"/>
          </w:tcPr>
          <w:p>
            <w:pPr>
              <w:jc w:val="center"/>
              <w:rPr>
                <w:rFonts w:ascii="宋体"/>
                <w:color w:val="000000" w:themeColor="text1"/>
                <w:sz w:val="24"/>
                <w:szCs w:val="24"/>
              </w:rPr>
            </w:pPr>
          </w:p>
        </w:tc>
        <w:tc>
          <w:tcPr>
            <w:tcW w:w="1843" w:type="dxa"/>
            <w:vAlign w:val="center"/>
          </w:tcPr>
          <w:p>
            <w:pPr>
              <w:jc w:val="center"/>
              <w:rPr>
                <w:rFonts w:ascii="宋体"/>
                <w:color w:val="000000" w:themeColor="text1"/>
                <w:sz w:val="24"/>
                <w:szCs w:val="24"/>
              </w:rPr>
            </w:pPr>
          </w:p>
        </w:tc>
        <w:tc>
          <w:tcPr>
            <w:tcW w:w="1842" w:type="dxa"/>
            <w:vAlign w:val="center"/>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themeColor="text1"/>
                <w:sz w:val="24"/>
                <w:szCs w:val="24"/>
              </w:rPr>
            </w:pPr>
            <w:r>
              <w:rPr>
                <w:rFonts w:ascii="宋体" w:hAnsi="宋体"/>
                <w:color w:val="000000" w:themeColor="text1"/>
                <w:sz w:val="24"/>
                <w:szCs w:val="24"/>
              </w:rPr>
              <w:t>5</w:t>
            </w:r>
          </w:p>
        </w:tc>
        <w:tc>
          <w:tcPr>
            <w:tcW w:w="992"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418" w:type="dxa"/>
            <w:vAlign w:val="center"/>
          </w:tcPr>
          <w:p>
            <w:pPr>
              <w:jc w:val="center"/>
              <w:rPr>
                <w:rFonts w:ascii="宋体"/>
                <w:color w:val="000000" w:themeColor="text1"/>
                <w:sz w:val="24"/>
                <w:szCs w:val="24"/>
              </w:rPr>
            </w:pPr>
          </w:p>
        </w:tc>
        <w:tc>
          <w:tcPr>
            <w:tcW w:w="1843" w:type="dxa"/>
            <w:vAlign w:val="center"/>
          </w:tcPr>
          <w:p>
            <w:pPr>
              <w:jc w:val="center"/>
              <w:rPr>
                <w:rFonts w:ascii="宋体"/>
                <w:color w:val="000000" w:themeColor="text1"/>
                <w:sz w:val="24"/>
                <w:szCs w:val="24"/>
              </w:rPr>
            </w:pPr>
          </w:p>
        </w:tc>
        <w:tc>
          <w:tcPr>
            <w:tcW w:w="1842" w:type="dxa"/>
            <w:vAlign w:val="center"/>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themeColor="text1"/>
                <w:sz w:val="24"/>
                <w:szCs w:val="24"/>
              </w:rPr>
            </w:pPr>
            <w:r>
              <w:rPr>
                <w:rFonts w:ascii="宋体" w:hAnsi="宋体"/>
                <w:color w:val="000000" w:themeColor="text1"/>
                <w:sz w:val="24"/>
                <w:szCs w:val="24"/>
              </w:rPr>
              <w:t>6</w:t>
            </w:r>
          </w:p>
        </w:tc>
        <w:tc>
          <w:tcPr>
            <w:tcW w:w="992"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418" w:type="dxa"/>
            <w:vAlign w:val="center"/>
          </w:tcPr>
          <w:p>
            <w:pPr>
              <w:jc w:val="center"/>
              <w:rPr>
                <w:rFonts w:ascii="宋体"/>
                <w:color w:val="000000" w:themeColor="text1"/>
                <w:sz w:val="24"/>
                <w:szCs w:val="24"/>
              </w:rPr>
            </w:pPr>
          </w:p>
        </w:tc>
        <w:tc>
          <w:tcPr>
            <w:tcW w:w="1843" w:type="dxa"/>
            <w:vAlign w:val="center"/>
          </w:tcPr>
          <w:p>
            <w:pPr>
              <w:jc w:val="center"/>
              <w:rPr>
                <w:rFonts w:ascii="宋体"/>
                <w:color w:val="000000" w:themeColor="text1"/>
                <w:sz w:val="24"/>
                <w:szCs w:val="24"/>
              </w:rPr>
            </w:pPr>
          </w:p>
        </w:tc>
        <w:tc>
          <w:tcPr>
            <w:tcW w:w="1842" w:type="dxa"/>
            <w:vAlign w:val="center"/>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color w:val="000000" w:themeColor="text1"/>
                <w:sz w:val="24"/>
                <w:szCs w:val="24"/>
              </w:rPr>
            </w:pPr>
            <w:r>
              <w:rPr>
                <w:rFonts w:ascii="宋体" w:hAnsi="宋体"/>
                <w:color w:val="000000" w:themeColor="text1"/>
                <w:sz w:val="24"/>
                <w:szCs w:val="24"/>
              </w:rPr>
              <w:t>7</w:t>
            </w:r>
          </w:p>
        </w:tc>
        <w:tc>
          <w:tcPr>
            <w:tcW w:w="992"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418" w:type="dxa"/>
            <w:vAlign w:val="center"/>
          </w:tcPr>
          <w:p>
            <w:pPr>
              <w:jc w:val="center"/>
              <w:rPr>
                <w:rFonts w:ascii="宋体"/>
                <w:color w:val="000000" w:themeColor="text1"/>
                <w:sz w:val="24"/>
                <w:szCs w:val="24"/>
              </w:rPr>
            </w:pPr>
          </w:p>
        </w:tc>
        <w:tc>
          <w:tcPr>
            <w:tcW w:w="1843" w:type="dxa"/>
            <w:vAlign w:val="center"/>
          </w:tcPr>
          <w:p>
            <w:pPr>
              <w:jc w:val="center"/>
              <w:rPr>
                <w:rFonts w:ascii="宋体"/>
                <w:color w:val="000000" w:themeColor="text1"/>
                <w:sz w:val="24"/>
                <w:szCs w:val="24"/>
              </w:rPr>
            </w:pPr>
          </w:p>
        </w:tc>
        <w:tc>
          <w:tcPr>
            <w:tcW w:w="1842" w:type="dxa"/>
            <w:vAlign w:val="center"/>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b/>
                <w:color w:val="000000" w:themeColor="text1"/>
                <w:sz w:val="24"/>
                <w:szCs w:val="24"/>
              </w:rPr>
            </w:pPr>
            <w:r>
              <w:rPr>
                <w:rFonts w:hint="eastAsia" w:ascii="宋体"/>
                <w:b/>
                <w:color w:val="000000" w:themeColor="text1"/>
                <w:sz w:val="24"/>
                <w:szCs w:val="24"/>
              </w:rPr>
              <w:t>…</w:t>
            </w:r>
          </w:p>
        </w:tc>
        <w:tc>
          <w:tcPr>
            <w:tcW w:w="992"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134" w:type="dxa"/>
            <w:vAlign w:val="center"/>
          </w:tcPr>
          <w:p>
            <w:pPr>
              <w:jc w:val="center"/>
              <w:rPr>
                <w:rFonts w:ascii="宋体"/>
                <w:color w:val="000000" w:themeColor="text1"/>
                <w:sz w:val="24"/>
                <w:szCs w:val="24"/>
              </w:rPr>
            </w:pPr>
          </w:p>
        </w:tc>
        <w:tc>
          <w:tcPr>
            <w:tcW w:w="1418" w:type="dxa"/>
            <w:vAlign w:val="center"/>
          </w:tcPr>
          <w:p>
            <w:pPr>
              <w:jc w:val="center"/>
              <w:rPr>
                <w:rFonts w:ascii="宋体"/>
                <w:color w:val="000000" w:themeColor="text1"/>
                <w:sz w:val="24"/>
                <w:szCs w:val="24"/>
              </w:rPr>
            </w:pPr>
          </w:p>
        </w:tc>
        <w:tc>
          <w:tcPr>
            <w:tcW w:w="1843" w:type="dxa"/>
            <w:vAlign w:val="center"/>
          </w:tcPr>
          <w:p>
            <w:pPr>
              <w:jc w:val="center"/>
              <w:rPr>
                <w:rFonts w:ascii="宋体"/>
                <w:color w:val="000000" w:themeColor="text1"/>
                <w:sz w:val="24"/>
                <w:szCs w:val="24"/>
              </w:rPr>
            </w:pPr>
          </w:p>
        </w:tc>
        <w:tc>
          <w:tcPr>
            <w:tcW w:w="1842" w:type="dxa"/>
            <w:vAlign w:val="center"/>
          </w:tcPr>
          <w:p>
            <w:pPr>
              <w:jc w:val="center"/>
              <w:rPr>
                <w:rFonts w:ascii="宋体"/>
                <w:color w:val="000000" w:themeColor="text1"/>
                <w:sz w:val="24"/>
                <w:szCs w:val="24"/>
              </w:rPr>
            </w:pPr>
          </w:p>
        </w:tc>
      </w:tr>
    </w:tbl>
    <w:p>
      <w:pPr>
        <w:spacing w:line="360" w:lineRule="auto"/>
        <w:ind w:left="720" w:hanging="720" w:hangingChars="300"/>
        <w:jc w:val="left"/>
        <w:rPr>
          <w:rFonts w:ascii="宋体"/>
          <w:color w:val="000000" w:themeColor="text1"/>
          <w:sz w:val="24"/>
          <w:szCs w:val="24"/>
          <w:lang w:val="zh-CN"/>
        </w:rPr>
      </w:pPr>
      <w:r>
        <w:rPr>
          <w:rFonts w:hint="eastAsia" w:ascii="宋体" w:hAnsi="宋体"/>
          <w:color w:val="000000" w:themeColor="text1"/>
          <w:sz w:val="24"/>
          <w:szCs w:val="24"/>
          <w:lang w:val="zh-CN"/>
        </w:rPr>
        <w:t>说明：投标文件正本应附完整的相关证明材料清晰影印件，</w:t>
      </w:r>
      <w:r>
        <w:rPr>
          <w:rFonts w:hint="eastAsia" w:ascii="宋体" w:hAnsi="宋体" w:cs="Corbel"/>
          <w:color w:val="000000" w:themeColor="text1"/>
          <w:sz w:val="24"/>
          <w:szCs w:val="21"/>
          <w:lang w:val="zh-CN"/>
        </w:rPr>
        <w:t>未按照要求详细完整填写此表，</w:t>
      </w:r>
      <w:r>
        <w:rPr>
          <w:rFonts w:hint="eastAsia" w:ascii="宋体" w:hAnsi="宋体"/>
          <w:color w:val="000000" w:themeColor="text1"/>
          <w:sz w:val="24"/>
          <w:szCs w:val="21"/>
          <w:lang w:val="zh-CN"/>
        </w:rPr>
        <w:t>导致的后果由投标人自行承担。</w:t>
      </w:r>
    </w:p>
    <w:p>
      <w:pPr>
        <w:spacing w:line="360" w:lineRule="auto"/>
        <w:jc w:val="left"/>
        <w:rPr>
          <w:rFonts w:ascii="宋体"/>
          <w:color w:val="000000" w:themeColor="text1"/>
          <w:sz w:val="24"/>
          <w:szCs w:val="24"/>
          <w:lang w:val="zh-CN"/>
        </w:rPr>
      </w:pPr>
    </w:p>
    <w:p>
      <w:pPr>
        <w:spacing w:line="360" w:lineRule="auto"/>
        <w:jc w:val="left"/>
        <w:rPr>
          <w:rFonts w:ascii="宋体"/>
          <w:color w:val="000000" w:themeColor="text1"/>
          <w:sz w:val="24"/>
          <w:szCs w:val="24"/>
          <w:lang w:val="zh-CN"/>
        </w:rPr>
      </w:pPr>
    </w:p>
    <w:p>
      <w:pPr>
        <w:spacing w:line="360" w:lineRule="auto"/>
        <w:jc w:val="left"/>
        <w:rPr>
          <w:rFonts w:ascii="宋体"/>
          <w:color w:val="000000" w:themeColor="text1"/>
          <w:sz w:val="24"/>
          <w:szCs w:val="24"/>
          <w:lang w:val="zh-CN"/>
        </w:rPr>
      </w:pPr>
    </w:p>
    <w:p>
      <w:pPr>
        <w:spacing w:line="360" w:lineRule="auto"/>
        <w:jc w:val="left"/>
        <w:rPr>
          <w:rFonts w:ascii="宋体"/>
          <w:color w:val="000000" w:themeColor="text1"/>
          <w:sz w:val="24"/>
          <w:szCs w:val="24"/>
          <w:lang w:val="zh-CN"/>
        </w:rPr>
      </w:pP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610" w:hanging="1610"/>
        <w:rPr>
          <w:rFonts w:ascii="宋体"/>
          <w:color w:val="000000" w:themeColor="text1"/>
        </w:rPr>
      </w:pPr>
      <w:bookmarkStart w:id="227" w:name="_Toc494721114"/>
      <w:bookmarkStart w:id="228" w:name="_Toc238276256"/>
      <w:bookmarkStart w:id="229" w:name="_Toc16998"/>
      <w:bookmarkStart w:id="230" w:name="_Toc236473312"/>
      <w:bookmarkStart w:id="231" w:name="_Toc494665964"/>
      <w:bookmarkStart w:id="232" w:name="_Toc494665567"/>
      <w:bookmarkStart w:id="233" w:name="_Toc494665014"/>
      <w:bookmarkStart w:id="234" w:name="_Toc494745331"/>
      <w:bookmarkStart w:id="235" w:name="_Toc494702284"/>
      <w:r>
        <w:rPr>
          <w:rFonts w:hint="eastAsia" w:ascii="宋体" w:hAnsi="宋体"/>
          <w:color w:val="000000" w:themeColor="text1"/>
        </w:rPr>
        <w:t>投标人类似项目业绩表</w:t>
      </w:r>
      <w:bookmarkEnd w:id="227"/>
      <w:bookmarkEnd w:id="228"/>
      <w:bookmarkEnd w:id="229"/>
      <w:bookmarkEnd w:id="230"/>
      <w:bookmarkEnd w:id="231"/>
      <w:bookmarkEnd w:id="232"/>
      <w:bookmarkEnd w:id="233"/>
      <w:bookmarkEnd w:id="234"/>
      <w:bookmarkEnd w:id="235"/>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420" w:type="dxa"/>
        <w:jc w:val="center"/>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2220" w:type="dxa"/>
            <w:vAlign w:val="center"/>
          </w:tcPr>
          <w:p>
            <w:pPr>
              <w:jc w:val="center"/>
              <w:rPr>
                <w:rFonts w:ascii="宋体" w:cs="Courier New"/>
                <w:color w:val="000000" w:themeColor="text1"/>
                <w:sz w:val="24"/>
                <w:szCs w:val="24"/>
              </w:rPr>
            </w:pPr>
            <w:r>
              <w:rPr>
                <w:rFonts w:hint="eastAsia" w:ascii="宋体" w:hAnsi="宋体" w:cs="Courier New"/>
                <w:color w:val="000000" w:themeColor="text1"/>
                <w:sz w:val="24"/>
                <w:szCs w:val="24"/>
              </w:rPr>
              <w:t>项目单位名称</w:t>
            </w:r>
          </w:p>
        </w:tc>
        <w:tc>
          <w:tcPr>
            <w:tcW w:w="7200" w:type="dxa"/>
          </w:tcPr>
          <w:p>
            <w:pPr>
              <w:rPr>
                <w:rFonts w:ascii="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cs="Courier New"/>
                <w:color w:val="000000" w:themeColor="text1"/>
                <w:sz w:val="24"/>
                <w:szCs w:val="24"/>
              </w:rPr>
            </w:pPr>
            <w:r>
              <w:rPr>
                <w:rFonts w:hint="eastAsia" w:ascii="宋体" w:hAnsi="宋体" w:cs="Courier New"/>
                <w:color w:val="000000" w:themeColor="text1"/>
                <w:sz w:val="24"/>
                <w:szCs w:val="24"/>
              </w:rPr>
              <w:t>项目名称</w:t>
            </w:r>
          </w:p>
        </w:tc>
        <w:tc>
          <w:tcPr>
            <w:tcW w:w="7200" w:type="dxa"/>
          </w:tcPr>
          <w:p>
            <w:pPr>
              <w:rPr>
                <w:rFonts w:ascii="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cs="Courier New"/>
                <w:color w:val="000000" w:themeColor="text1"/>
                <w:sz w:val="24"/>
                <w:szCs w:val="24"/>
              </w:rPr>
            </w:pPr>
            <w:r>
              <w:rPr>
                <w:rFonts w:hint="eastAsia" w:ascii="宋体" w:hAnsi="宋体" w:cs="Courier New"/>
                <w:color w:val="000000" w:themeColor="text1"/>
                <w:sz w:val="24"/>
                <w:szCs w:val="24"/>
              </w:rPr>
              <w:t>项目单位联系人姓名及联系方式</w:t>
            </w:r>
          </w:p>
        </w:tc>
        <w:tc>
          <w:tcPr>
            <w:tcW w:w="7200" w:type="dxa"/>
          </w:tcPr>
          <w:p>
            <w:pPr>
              <w:rPr>
                <w:rFonts w:ascii="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220" w:type="dxa"/>
            <w:vAlign w:val="center"/>
          </w:tcPr>
          <w:p>
            <w:pPr>
              <w:jc w:val="center"/>
              <w:rPr>
                <w:rFonts w:ascii="宋体" w:cs="Courier New"/>
                <w:color w:val="000000" w:themeColor="text1"/>
                <w:sz w:val="24"/>
                <w:szCs w:val="24"/>
              </w:rPr>
            </w:pPr>
            <w:r>
              <w:rPr>
                <w:rFonts w:hint="eastAsia" w:ascii="宋体" w:hAnsi="宋体" w:cs="Courier New"/>
                <w:color w:val="000000" w:themeColor="text1"/>
                <w:sz w:val="24"/>
                <w:szCs w:val="24"/>
              </w:rPr>
              <w:t>项目金额</w:t>
            </w:r>
          </w:p>
        </w:tc>
        <w:tc>
          <w:tcPr>
            <w:tcW w:w="7200" w:type="dxa"/>
          </w:tcPr>
          <w:p>
            <w:pPr>
              <w:rPr>
                <w:rFonts w:ascii="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cs="Courier New"/>
                <w:color w:val="000000" w:themeColor="text1"/>
                <w:sz w:val="24"/>
                <w:szCs w:val="24"/>
              </w:rPr>
            </w:pPr>
            <w:r>
              <w:rPr>
                <w:rFonts w:hint="eastAsia" w:ascii="宋体" w:hAnsi="宋体" w:cs="Courier New"/>
                <w:color w:val="000000" w:themeColor="text1"/>
                <w:sz w:val="24"/>
                <w:szCs w:val="24"/>
              </w:rPr>
              <w:t>项目负责人姓名</w:t>
            </w:r>
          </w:p>
        </w:tc>
        <w:tc>
          <w:tcPr>
            <w:tcW w:w="7200" w:type="dxa"/>
          </w:tcPr>
          <w:p>
            <w:pPr>
              <w:rPr>
                <w:rFonts w:ascii="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20" w:type="dxa"/>
            <w:vAlign w:val="center"/>
          </w:tcPr>
          <w:p>
            <w:pPr>
              <w:jc w:val="center"/>
              <w:rPr>
                <w:rFonts w:ascii="宋体" w:cs="Courier New"/>
                <w:color w:val="000000" w:themeColor="text1"/>
                <w:sz w:val="24"/>
                <w:szCs w:val="24"/>
              </w:rPr>
            </w:pPr>
            <w:r>
              <w:rPr>
                <w:rFonts w:hint="eastAsia" w:ascii="宋体" w:hAnsi="宋体" w:cs="Courier New"/>
                <w:color w:val="000000" w:themeColor="text1"/>
                <w:sz w:val="24"/>
                <w:szCs w:val="24"/>
              </w:rPr>
              <w:t>项目时间</w:t>
            </w:r>
          </w:p>
        </w:tc>
        <w:tc>
          <w:tcPr>
            <w:tcW w:w="7200" w:type="dxa"/>
          </w:tcPr>
          <w:p>
            <w:pPr>
              <w:rPr>
                <w:rFonts w:ascii="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cs="Courier New"/>
                <w:color w:val="000000" w:themeColor="text1"/>
                <w:sz w:val="24"/>
                <w:szCs w:val="24"/>
              </w:rPr>
            </w:pPr>
            <w:r>
              <w:rPr>
                <w:rFonts w:hint="eastAsia" w:ascii="宋体" w:hAnsi="宋体" w:cs="Courier New"/>
                <w:color w:val="000000" w:themeColor="text1"/>
                <w:sz w:val="24"/>
                <w:szCs w:val="24"/>
              </w:rPr>
              <w:t>项目内容</w:t>
            </w:r>
          </w:p>
        </w:tc>
        <w:tc>
          <w:tcPr>
            <w:tcW w:w="7200" w:type="dxa"/>
          </w:tcPr>
          <w:p>
            <w:pPr>
              <w:rPr>
                <w:rFonts w:ascii="宋体" w:cs="Courier New"/>
                <w:color w:val="000000" w:themeColor="text1"/>
                <w:sz w:val="24"/>
                <w:szCs w:val="24"/>
              </w:rPr>
            </w:pPr>
          </w:p>
        </w:tc>
      </w:tr>
    </w:tbl>
    <w:p>
      <w:pPr>
        <w:spacing w:line="360" w:lineRule="auto"/>
        <w:ind w:left="1092" w:hanging="1092" w:hangingChars="455"/>
        <w:jc w:val="left"/>
        <w:rPr>
          <w:rFonts w:ascii="宋体"/>
          <w:color w:val="000000" w:themeColor="text1"/>
          <w:sz w:val="24"/>
          <w:szCs w:val="24"/>
        </w:rPr>
      </w:pPr>
      <w:r>
        <w:rPr>
          <w:rFonts w:hint="eastAsia" w:ascii="宋体" w:hAnsi="宋体"/>
          <w:color w:val="000000" w:themeColor="text1"/>
          <w:sz w:val="24"/>
          <w:szCs w:val="24"/>
        </w:rPr>
        <w:t>说明：</w:t>
      </w:r>
      <w:r>
        <w:rPr>
          <w:rFonts w:ascii="宋体" w:hAnsi="宋体"/>
          <w:color w:val="000000" w:themeColor="text1"/>
          <w:sz w:val="24"/>
          <w:szCs w:val="24"/>
        </w:rPr>
        <w:t>1</w:t>
      </w:r>
      <w:r>
        <w:rPr>
          <w:rFonts w:hint="eastAsia" w:ascii="宋体" w:hAnsi="宋体"/>
          <w:color w:val="000000" w:themeColor="text1"/>
          <w:sz w:val="24"/>
          <w:szCs w:val="24"/>
        </w:rPr>
        <w:t>．每个合同应单独附表，并附上相关证明材料，</w:t>
      </w:r>
      <w:r>
        <w:rPr>
          <w:rFonts w:hint="eastAsia" w:ascii="宋体" w:hAnsi="宋体" w:cs="Corbel"/>
          <w:color w:val="000000" w:themeColor="text1"/>
          <w:sz w:val="24"/>
          <w:szCs w:val="24"/>
        </w:rPr>
        <w:t>未按照要求详细完整填写此表，</w:t>
      </w:r>
      <w:r>
        <w:rPr>
          <w:rFonts w:hint="eastAsia" w:ascii="宋体" w:hAnsi="宋体"/>
          <w:color w:val="000000" w:themeColor="text1"/>
          <w:sz w:val="24"/>
          <w:szCs w:val="24"/>
        </w:rPr>
        <w:t>导致的后果由投标人自行承担。</w:t>
      </w:r>
    </w:p>
    <w:p>
      <w:pPr>
        <w:spacing w:line="360" w:lineRule="auto"/>
        <w:ind w:left="1061" w:leftChars="339" w:hanging="350" w:hangingChars="146"/>
        <w:jc w:val="left"/>
        <w:rPr>
          <w:rFonts w:asci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．项目内容请详细说明所承担的具体工作内容等。</w:t>
      </w:r>
    </w:p>
    <w:p>
      <w:pPr>
        <w:spacing w:line="360" w:lineRule="auto"/>
        <w:ind w:firstLine="720" w:firstLineChars="300"/>
        <w:rPr>
          <w:rFonts w:ascii="宋体"/>
          <w:color w:val="000000" w:themeColor="text1"/>
          <w:sz w:val="24"/>
          <w:szCs w:val="24"/>
        </w:rPr>
      </w:pPr>
    </w:p>
    <w:p>
      <w:pPr>
        <w:spacing w:line="360" w:lineRule="auto"/>
        <w:ind w:firstLine="720" w:firstLineChars="300"/>
        <w:rPr>
          <w:rFonts w:ascii="宋体"/>
          <w:color w:val="000000" w:themeColor="text1"/>
          <w:sz w:val="24"/>
          <w:szCs w:val="24"/>
        </w:rPr>
      </w:pP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610" w:hanging="1610"/>
        <w:rPr>
          <w:rFonts w:ascii="宋体"/>
          <w:color w:val="000000" w:themeColor="text1"/>
        </w:rPr>
      </w:pPr>
      <w:bookmarkStart w:id="236" w:name="_Toc26642"/>
      <w:bookmarkStart w:id="237" w:name="_Toc494665965"/>
      <w:bookmarkStart w:id="238" w:name="_Toc494721115"/>
      <w:bookmarkStart w:id="239" w:name="_Toc494665568"/>
      <w:bookmarkStart w:id="240" w:name="_Toc494665015"/>
      <w:bookmarkStart w:id="241" w:name="_Toc494702285"/>
      <w:bookmarkStart w:id="242" w:name="_Toc494745332"/>
      <w:r>
        <w:rPr>
          <w:rFonts w:hint="eastAsia" w:ascii="宋体" w:hAnsi="宋体"/>
          <w:color w:val="000000" w:themeColor="text1"/>
        </w:rPr>
        <w:t>符合性审查对照表</w:t>
      </w:r>
      <w:bookmarkEnd w:id="236"/>
      <w:bookmarkEnd w:id="237"/>
      <w:bookmarkEnd w:id="238"/>
      <w:bookmarkEnd w:id="239"/>
      <w:bookmarkEnd w:id="240"/>
      <w:bookmarkEnd w:id="241"/>
      <w:bookmarkEnd w:id="242"/>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53"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序号</w:t>
            </w:r>
          </w:p>
        </w:tc>
        <w:tc>
          <w:tcPr>
            <w:tcW w:w="3032"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招标文件</w:t>
            </w:r>
            <w:r>
              <w:rPr>
                <w:rFonts w:hint="eastAsia" w:ascii="宋体" w:hAnsi="宋体" w:cs="Corbel"/>
                <w:color w:val="000000" w:themeColor="text1"/>
                <w:sz w:val="24"/>
                <w:szCs w:val="24"/>
              </w:rPr>
              <w:t>符合性审查条款</w:t>
            </w:r>
          </w:p>
        </w:tc>
        <w:tc>
          <w:tcPr>
            <w:tcW w:w="2754"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投标响应内容对应简述</w:t>
            </w:r>
          </w:p>
        </w:tc>
        <w:tc>
          <w:tcPr>
            <w:tcW w:w="1363"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偏离说明</w:t>
            </w:r>
          </w:p>
        </w:tc>
        <w:tc>
          <w:tcPr>
            <w:tcW w:w="1602" w:type="dxa"/>
            <w:shd w:val="clear" w:color="auto" w:fill="F2F2F2"/>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1</w:t>
            </w:r>
          </w:p>
        </w:tc>
        <w:tc>
          <w:tcPr>
            <w:tcW w:w="3032" w:type="dxa"/>
            <w:vAlign w:val="center"/>
          </w:tcPr>
          <w:p>
            <w:pPr>
              <w:jc w:val="center"/>
              <w:rPr>
                <w:rFonts w:ascii="宋体" w:cs="仿宋_GB2312"/>
                <w:color w:val="000000" w:themeColor="text1"/>
                <w:sz w:val="24"/>
                <w:szCs w:val="24"/>
              </w:rPr>
            </w:pPr>
          </w:p>
        </w:tc>
        <w:tc>
          <w:tcPr>
            <w:tcW w:w="2754" w:type="dxa"/>
            <w:vAlign w:val="center"/>
          </w:tcPr>
          <w:p>
            <w:pPr>
              <w:jc w:val="center"/>
              <w:rPr>
                <w:rFonts w:ascii="宋体" w:cs="仿宋_GB2312"/>
                <w:color w:val="000000" w:themeColor="text1"/>
                <w:sz w:val="24"/>
                <w:szCs w:val="24"/>
              </w:rPr>
            </w:pPr>
          </w:p>
        </w:tc>
        <w:tc>
          <w:tcPr>
            <w:tcW w:w="1363" w:type="dxa"/>
            <w:vAlign w:val="center"/>
          </w:tcPr>
          <w:p>
            <w:pPr>
              <w:jc w:val="center"/>
              <w:rPr>
                <w:rFonts w:ascii="宋体" w:cs="仿宋_GB2312"/>
                <w:color w:val="000000" w:themeColor="text1"/>
                <w:sz w:val="24"/>
                <w:szCs w:val="24"/>
              </w:rPr>
            </w:pPr>
          </w:p>
        </w:tc>
        <w:tc>
          <w:tcPr>
            <w:tcW w:w="1602"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2</w:t>
            </w:r>
          </w:p>
        </w:tc>
        <w:tc>
          <w:tcPr>
            <w:tcW w:w="3032" w:type="dxa"/>
            <w:vAlign w:val="center"/>
          </w:tcPr>
          <w:p>
            <w:pPr>
              <w:jc w:val="center"/>
              <w:rPr>
                <w:rFonts w:ascii="宋体" w:cs="仿宋_GB2312"/>
                <w:color w:val="000000" w:themeColor="text1"/>
                <w:sz w:val="24"/>
                <w:szCs w:val="24"/>
              </w:rPr>
            </w:pPr>
          </w:p>
        </w:tc>
        <w:tc>
          <w:tcPr>
            <w:tcW w:w="2754" w:type="dxa"/>
            <w:vAlign w:val="center"/>
          </w:tcPr>
          <w:p>
            <w:pPr>
              <w:jc w:val="center"/>
              <w:rPr>
                <w:rFonts w:ascii="宋体" w:cs="仿宋_GB2312"/>
                <w:color w:val="000000" w:themeColor="text1"/>
                <w:sz w:val="24"/>
                <w:szCs w:val="24"/>
              </w:rPr>
            </w:pPr>
          </w:p>
        </w:tc>
        <w:tc>
          <w:tcPr>
            <w:tcW w:w="1363" w:type="dxa"/>
            <w:vAlign w:val="center"/>
          </w:tcPr>
          <w:p>
            <w:pPr>
              <w:jc w:val="center"/>
              <w:rPr>
                <w:rFonts w:ascii="宋体" w:cs="仿宋_GB2312"/>
                <w:color w:val="000000" w:themeColor="text1"/>
                <w:sz w:val="24"/>
                <w:szCs w:val="24"/>
              </w:rPr>
            </w:pPr>
          </w:p>
        </w:tc>
        <w:tc>
          <w:tcPr>
            <w:tcW w:w="1602"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3</w:t>
            </w:r>
          </w:p>
        </w:tc>
        <w:tc>
          <w:tcPr>
            <w:tcW w:w="3032" w:type="dxa"/>
            <w:vAlign w:val="center"/>
          </w:tcPr>
          <w:p>
            <w:pPr>
              <w:jc w:val="center"/>
              <w:rPr>
                <w:rFonts w:ascii="宋体" w:cs="仿宋_GB2312"/>
                <w:color w:val="000000" w:themeColor="text1"/>
                <w:sz w:val="24"/>
                <w:szCs w:val="24"/>
              </w:rPr>
            </w:pPr>
          </w:p>
        </w:tc>
        <w:tc>
          <w:tcPr>
            <w:tcW w:w="2754" w:type="dxa"/>
            <w:vAlign w:val="center"/>
          </w:tcPr>
          <w:p>
            <w:pPr>
              <w:jc w:val="center"/>
              <w:rPr>
                <w:rFonts w:ascii="宋体" w:cs="仿宋_GB2312"/>
                <w:color w:val="000000" w:themeColor="text1"/>
                <w:sz w:val="24"/>
                <w:szCs w:val="24"/>
              </w:rPr>
            </w:pPr>
          </w:p>
        </w:tc>
        <w:tc>
          <w:tcPr>
            <w:tcW w:w="1363" w:type="dxa"/>
            <w:vAlign w:val="center"/>
          </w:tcPr>
          <w:p>
            <w:pPr>
              <w:jc w:val="center"/>
              <w:rPr>
                <w:rFonts w:ascii="宋体" w:cs="仿宋_GB2312"/>
                <w:color w:val="000000" w:themeColor="text1"/>
                <w:sz w:val="24"/>
                <w:szCs w:val="24"/>
              </w:rPr>
            </w:pPr>
          </w:p>
        </w:tc>
        <w:tc>
          <w:tcPr>
            <w:tcW w:w="1602"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4</w:t>
            </w:r>
          </w:p>
        </w:tc>
        <w:tc>
          <w:tcPr>
            <w:tcW w:w="3032" w:type="dxa"/>
            <w:vAlign w:val="center"/>
          </w:tcPr>
          <w:p>
            <w:pPr>
              <w:jc w:val="center"/>
              <w:rPr>
                <w:rFonts w:ascii="宋体" w:cs="仿宋_GB2312"/>
                <w:color w:val="000000" w:themeColor="text1"/>
                <w:sz w:val="24"/>
                <w:szCs w:val="24"/>
              </w:rPr>
            </w:pPr>
          </w:p>
        </w:tc>
        <w:tc>
          <w:tcPr>
            <w:tcW w:w="2754" w:type="dxa"/>
            <w:vAlign w:val="center"/>
          </w:tcPr>
          <w:p>
            <w:pPr>
              <w:jc w:val="center"/>
              <w:rPr>
                <w:rFonts w:ascii="宋体" w:cs="仿宋_GB2312"/>
                <w:color w:val="000000" w:themeColor="text1"/>
                <w:sz w:val="24"/>
                <w:szCs w:val="24"/>
              </w:rPr>
            </w:pPr>
          </w:p>
        </w:tc>
        <w:tc>
          <w:tcPr>
            <w:tcW w:w="1363" w:type="dxa"/>
            <w:vAlign w:val="center"/>
          </w:tcPr>
          <w:p>
            <w:pPr>
              <w:jc w:val="center"/>
              <w:rPr>
                <w:rFonts w:ascii="宋体" w:cs="仿宋_GB2312"/>
                <w:color w:val="000000" w:themeColor="text1"/>
                <w:sz w:val="24"/>
                <w:szCs w:val="24"/>
              </w:rPr>
            </w:pPr>
          </w:p>
        </w:tc>
        <w:tc>
          <w:tcPr>
            <w:tcW w:w="1602"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5</w:t>
            </w:r>
          </w:p>
        </w:tc>
        <w:tc>
          <w:tcPr>
            <w:tcW w:w="3032" w:type="dxa"/>
            <w:vAlign w:val="center"/>
          </w:tcPr>
          <w:p>
            <w:pPr>
              <w:jc w:val="center"/>
              <w:rPr>
                <w:rFonts w:ascii="宋体" w:cs="仿宋_GB2312"/>
                <w:color w:val="000000" w:themeColor="text1"/>
                <w:sz w:val="24"/>
                <w:szCs w:val="24"/>
              </w:rPr>
            </w:pPr>
          </w:p>
        </w:tc>
        <w:tc>
          <w:tcPr>
            <w:tcW w:w="2754" w:type="dxa"/>
            <w:vAlign w:val="center"/>
          </w:tcPr>
          <w:p>
            <w:pPr>
              <w:jc w:val="center"/>
              <w:rPr>
                <w:rFonts w:ascii="宋体" w:cs="仿宋_GB2312"/>
                <w:color w:val="000000" w:themeColor="text1"/>
                <w:sz w:val="24"/>
                <w:szCs w:val="24"/>
              </w:rPr>
            </w:pPr>
          </w:p>
        </w:tc>
        <w:tc>
          <w:tcPr>
            <w:tcW w:w="1363" w:type="dxa"/>
            <w:vAlign w:val="center"/>
          </w:tcPr>
          <w:p>
            <w:pPr>
              <w:jc w:val="center"/>
              <w:rPr>
                <w:rFonts w:ascii="宋体" w:cs="仿宋_GB2312"/>
                <w:color w:val="000000" w:themeColor="text1"/>
                <w:sz w:val="24"/>
                <w:szCs w:val="24"/>
              </w:rPr>
            </w:pPr>
          </w:p>
        </w:tc>
        <w:tc>
          <w:tcPr>
            <w:tcW w:w="1602"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6</w:t>
            </w:r>
          </w:p>
        </w:tc>
        <w:tc>
          <w:tcPr>
            <w:tcW w:w="3032" w:type="dxa"/>
            <w:vAlign w:val="center"/>
          </w:tcPr>
          <w:p>
            <w:pPr>
              <w:jc w:val="center"/>
              <w:rPr>
                <w:rFonts w:ascii="宋体" w:cs="仿宋_GB2312"/>
                <w:color w:val="000000" w:themeColor="text1"/>
                <w:sz w:val="24"/>
                <w:szCs w:val="24"/>
              </w:rPr>
            </w:pPr>
          </w:p>
        </w:tc>
        <w:tc>
          <w:tcPr>
            <w:tcW w:w="2754" w:type="dxa"/>
            <w:vAlign w:val="center"/>
          </w:tcPr>
          <w:p>
            <w:pPr>
              <w:jc w:val="center"/>
              <w:rPr>
                <w:rFonts w:ascii="宋体" w:cs="仿宋_GB2312"/>
                <w:color w:val="000000" w:themeColor="text1"/>
                <w:sz w:val="24"/>
                <w:szCs w:val="24"/>
              </w:rPr>
            </w:pPr>
          </w:p>
        </w:tc>
        <w:tc>
          <w:tcPr>
            <w:tcW w:w="1363" w:type="dxa"/>
            <w:vAlign w:val="center"/>
          </w:tcPr>
          <w:p>
            <w:pPr>
              <w:jc w:val="center"/>
              <w:rPr>
                <w:rFonts w:ascii="宋体" w:cs="仿宋_GB2312"/>
                <w:color w:val="000000" w:themeColor="text1"/>
                <w:sz w:val="24"/>
                <w:szCs w:val="24"/>
              </w:rPr>
            </w:pPr>
          </w:p>
        </w:tc>
        <w:tc>
          <w:tcPr>
            <w:tcW w:w="1602"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7</w:t>
            </w:r>
          </w:p>
        </w:tc>
        <w:tc>
          <w:tcPr>
            <w:tcW w:w="3032" w:type="dxa"/>
            <w:vAlign w:val="center"/>
          </w:tcPr>
          <w:p>
            <w:pPr>
              <w:jc w:val="center"/>
              <w:rPr>
                <w:rFonts w:ascii="宋体" w:cs="仿宋_GB2312"/>
                <w:color w:val="000000" w:themeColor="text1"/>
                <w:sz w:val="24"/>
                <w:szCs w:val="24"/>
              </w:rPr>
            </w:pPr>
          </w:p>
        </w:tc>
        <w:tc>
          <w:tcPr>
            <w:tcW w:w="2754" w:type="dxa"/>
            <w:vAlign w:val="center"/>
          </w:tcPr>
          <w:p>
            <w:pPr>
              <w:jc w:val="center"/>
              <w:rPr>
                <w:rFonts w:ascii="宋体" w:cs="仿宋_GB2312"/>
                <w:color w:val="000000" w:themeColor="text1"/>
                <w:sz w:val="24"/>
                <w:szCs w:val="24"/>
              </w:rPr>
            </w:pPr>
          </w:p>
        </w:tc>
        <w:tc>
          <w:tcPr>
            <w:tcW w:w="1363" w:type="dxa"/>
            <w:vAlign w:val="center"/>
          </w:tcPr>
          <w:p>
            <w:pPr>
              <w:jc w:val="center"/>
              <w:rPr>
                <w:rFonts w:ascii="宋体" w:cs="仿宋_GB2312"/>
                <w:color w:val="000000" w:themeColor="text1"/>
                <w:sz w:val="24"/>
                <w:szCs w:val="24"/>
              </w:rPr>
            </w:pPr>
          </w:p>
        </w:tc>
        <w:tc>
          <w:tcPr>
            <w:tcW w:w="1602"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w:t>
            </w:r>
          </w:p>
        </w:tc>
        <w:tc>
          <w:tcPr>
            <w:tcW w:w="3032" w:type="dxa"/>
            <w:vAlign w:val="center"/>
          </w:tcPr>
          <w:p>
            <w:pPr>
              <w:jc w:val="center"/>
              <w:rPr>
                <w:rFonts w:ascii="宋体" w:cs="仿宋_GB2312"/>
                <w:color w:val="000000" w:themeColor="text1"/>
                <w:sz w:val="24"/>
                <w:szCs w:val="24"/>
              </w:rPr>
            </w:pPr>
          </w:p>
        </w:tc>
        <w:tc>
          <w:tcPr>
            <w:tcW w:w="2754" w:type="dxa"/>
            <w:vAlign w:val="center"/>
          </w:tcPr>
          <w:p>
            <w:pPr>
              <w:jc w:val="center"/>
              <w:rPr>
                <w:rFonts w:ascii="宋体" w:cs="仿宋_GB2312"/>
                <w:color w:val="000000" w:themeColor="text1"/>
                <w:sz w:val="24"/>
                <w:szCs w:val="24"/>
              </w:rPr>
            </w:pPr>
          </w:p>
        </w:tc>
        <w:tc>
          <w:tcPr>
            <w:tcW w:w="1363" w:type="dxa"/>
            <w:vAlign w:val="center"/>
          </w:tcPr>
          <w:p>
            <w:pPr>
              <w:jc w:val="center"/>
              <w:rPr>
                <w:rFonts w:ascii="宋体" w:cs="仿宋_GB2312"/>
                <w:color w:val="000000" w:themeColor="text1"/>
                <w:sz w:val="24"/>
                <w:szCs w:val="24"/>
              </w:rPr>
            </w:pPr>
          </w:p>
        </w:tc>
        <w:tc>
          <w:tcPr>
            <w:tcW w:w="1602" w:type="dxa"/>
            <w:vAlign w:val="center"/>
          </w:tcPr>
          <w:p>
            <w:pPr>
              <w:jc w:val="center"/>
              <w:rPr>
                <w:rFonts w:ascii="宋体" w:cs="仿宋_GB2312"/>
                <w:color w:val="000000" w:themeColor="text1"/>
                <w:sz w:val="24"/>
                <w:szCs w:val="24"/>
              </w:rPr>
            </w:pPr>
          </w:p>
        </w:tc>
      </w:tr>
    </w:tbl>
    <w:p>
      <w:pPr>
        <w:spacing w:line="360" w:lineRule="auto"/>
        <w:ind w:left="1092" w:hanging="1092" w:hangingChars="455"/>
        <w:jc w:val="left"/>
        <w:rPr>
          <w:rFonts w:ascii="宋体"/>
          <w:b/>
          <w:color w:val="000000" w:themeColor="text1"/>
          <w:sz w:val="24"/>
          <w:szCs w:val="24"/>
        </w:rPr>
      </w:pPr>
      <w:r>
        <w:rPr>
          <w:rFonts w:hint="eastAsia" w:ascii="宋体" w:hAnsi="宋体"/>
          <w:color w:val="000000" w:themeColor="text1"/>
          <w:sz w:val="24"/>
          <w:szCs w:val="24"/>
        </w:rPr>
        <w:t>说明</w:t>
      </w:r>
      <w:r>
        <w:rPr>
          <w:rFonts w:hint="eastAsia" w:ascii="宋体" w:hAnsi="宋体" w:cs="Corbel"/>
          <w:color w:val="000000" w:themeColor="text1"/>
          <w:sz w:val="24"/>
          <w:szCs w:val="24"/>
        </w:rPr>
        <w:t>：</w:t>
      </w:r>
      <w:r>
        <w:rPr>
          <w:rFonts w:ascii="宋体" w:hAnsi="宋体" w:cs="Corbel"/>
          <w:color w:val="000000" w:themeColor="text1"/>
          <w:sz w:val="24"/>
          <w:szCs w:val="24"/>
        </w:rPr>
        <w:t>1</w:t>
      </w:r>
      <w:r>
        <w:rPr>
          <w:rFonts w:hint="eastAsia" w:ascii="宋体" w:hAnsi="宋体"/>
          <w:color w:val="000000" w:themeColor="text1"/>
          <w:sz w:val="24"/>
          <w:szCs w:val="24"/>
        </w:rPr>
        <w:t>．</w:t>
      </w:r>
      <w:r>
        <w:rPr>
          <w:rFonts w:hint="eastAsia" w:ascii="宋体" w:hAnsi="宋体" w:cs="Corbel"/>
          <w:color w:val="000000" w:themeColor="text1"/>
          <w:sz w:val="24"/>
          <w:szCs w:val="24"/>
        </w:rPr>
        <w:t>投标人应按招标文件第五章“评标方法、程序及标准”中“符合性审查”的条款逐项说明是否满足要求，如有偏离</w:t>
      </w:r>
      <w:r>
        <w:rPr>
          <w:rFonts w:ascii="宋体" w:cs="Corbel"/>
          <w:color w:val="000000" w:themeColor="text1"/>
          <w:sz w:val="24"/>
          <w:szCs w:val="24"/>
        </w:rPr>
        <w:t>,</w:t>
      </w:r>
      <w:r>
        <w:rPr>
          <w:rFonts w:hint="eastAsia" w:ascii="宋体" w:hAnsi="宋体" w:cs="Corbel"/>
          <w:color w:val="000000" w:themeColor="text1"/>
          <w:sz w:val="24"/>
          <w:szCs w:val="24"/>
        </w:rPr>
        <w:t>投标人应详细说明。未按照要求详细完整填写此表或仅注明“符合”、“满足”的，</w:t>
      </w:r>
      <w:r>
        <w:rPr>
          <w:rFonts w:hint="eastAsia" w:ascii="宋体" w:hAnsi="宋体"/>
          <w:color w:val="000000" w:themeColor="text1"/>
          <w:sz w:val="24"/>
          <w:szCs w:val="24"/>
        </w:rPr>
        <w:t>导致的后果由投标人自行承担。</w:t>
      </w:r>
    </w:p>
    <w:p>
      <w:pPr>
        <w:spacing w:line="360" w:lineRule="auto"/>
        <w:ind w:left="1061" w:leftChars="339" w:hanging="350" w:hangingChars="146"/>
        <w:jc w:val="left"/>
        <w:rPr>
          <w:rFonts w:ascii="宋体"/>
          <w:b/>
          <w:color w:val="000000" w:themeColor="text1"/>
          <w:sz w:val="24"/>
          <w:szCs w:val="24"/>
        </w:rPr>
      </w:pPr>
      <w:r>
        <w:rPr>
          <w:rFonts w:ascii="宋体" w:hAnsi="宋体" w:cs="Corbel"/>
          <w:color w:val="000000" w:themeColor="text1"/>
          <w:sz w:val="24"/>
          <w:szCs w:val="24"/>
        </w:rPr>
        <w:t>2</w:t>
      </w:r>
      <w:r>
        <w:rPr>
          <w:rFonts w:hint="eastAsia" w:ascii="宋体" w:hAnsi="宋体" w:cs="Corbel"/>
          <w:color w:val="000000" w:themeColor="text1"/>
          <w:sz w:val="24"/>
          <w:szCs w:val="24"/>
        </w:rPr>
        <w:t>．</w:t>
      </w:r>
      <w:r>
        <w:rPr>
          <w:rFonts w:hint="eastAsia" w:ascii="宋体" w:hAnsi="宋体"/>
          <w:color w:val="000000" w:themeColor="text1"/>
          <w:sz w:val="24"/>
          <w:szCs w:val="24"/>
        </w:rPr>
        <w:t>投标人</w:t>
      </w:r>
      <w:r>
        <w:rPr>
          <w:rFonts w:hint="eastAsia" w:ascii="宋体" w:hAnsi="宋体" w:cs="Corbel"/>
          <w:color w:val="000000" w:themeColor="text1"/>
          <w:sz w:val="24"/>
          <w:szCs w:val="24"/>
        </w:rPr>
        <w:t>提供的相关证明文件对应的页码填写到上表“投标文件对应的页码”中。如未提供页码或内容页码完全不一致的，</w:t>
      </w:r>
      <w:r>
        <w:rPr>
          <w:rFonts w:hint="eastAsia" w:ascii="宋体" w:hAnsi="宋体"/>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610" w:hanging="1610"/>
        <w:rPr>
          <w:rFonts w:ascii="宋体"/>
          <w:color w:val="000000" w:themeColor="text1"/>
        </w:rPr>
      </w:pPr>
      <w:bookmarkStart w:id="243" w:name="_Toc494665966"/>
      <w:bookmarkStart w:id="244" w:name="_Toc494665569"/>
      <w:bookmarkStart w:id="245" w:name="_Toc494702286"/>
      <w:bookmarkStart w:id="246" w:name="_Toc494721116"/>
      <w:bookmarkStart w:id="247" w:name="_Toc494745333"/>
      <w:bookmarkStart w:id="248" w:name="_Toc2709"/>
      <w:bookmarkStart w:id="249" w:name="_Toc494665016"/>
      <w:r>
        <w:rPr>
          <w:rFonts w:hint="eastAsia" w:ascii="宋体" w:hAnsi="宋体"/>
          <w:color w:val="000000" w:themeColor="text1"/>
        </w:rPr>
        <w:t>商务要求响应、偏离说明表</w:t>
      </w:r>
      <w:bookmarkEnd w:id="243"/>
      <w:bookmarkEnd w:id="244"/>
      <w:bookmarkEnd w:id="245"/>
      <w:bookmarkEnd w:id="246"/>
      <w:bookmarkEnd w:id="247"/>
      <w:bookmarkEnd w:id="248"/>
      <w:bookmarkEnd w:id="249"/>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序号</w:t>
            </w:r>
          </w:p>
        </w:tc>
        <w:tc>
          <w:tcPr>
            <w:tcW w:w="2767"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招标文件商务要求条款</w:t>
            </w:r>
          </w:p>
        </w:tc>
        <w:tc>
          <w:tcPr>
            <w:tcW w:w="2767"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投标响应内容对应简述</w:t>
            </w:r>
          </w:p>
        </w:tc>
        <w:tc>
          <w:tcPr>
            <w:tcW w:w="1619"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偏离说明</w:t>
            </w:r>
          </w:p>
        </w:tc>
        <w:tc>
          <w:tcPr>
            <w:tcW w:w="1619" w:type="dxa"/>
            <w:shd w:val="clear" w:color="auto" w:fill="F2F2F2"/>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1</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2</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3</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4</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5</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6</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7</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bl>
    <w:p>
      <w:pPr>
        <w:spacing w:line="360" w:lineRule="auto"/>
        <w:ind w:left="1092" w:hanging="1092" w:hangingChars="455"/>
        <w:jc w:val="left"/>
        <w:rPr>
          <w:rFonts w:ascii="宋体"/>
          <w:color w:val="000000" w:themeColor="text1"/>
          <w:sz w:val="24"/>
          <w:szCs w:val="24"/>
        </w:rPr>
      </w:pPr>
      <w:r>
        <w:rPr>
          <w:rFonts w:hint="eastAsia" w:ascii="宋体" w:hAnsi="宋体"/>
          <w:color w:val="000000" w:themeColor="text1"/>
          <w:sz w:val="24"/>
          <w:szCs w:val="24"/>
        </w:rPr>
        <w:t>说明</w:t>
      </w:r>
      <w:r>
        <w:rPr>
          <w:rFonts w:hint="eastAsia" w:ascii="宋体" w:hAnsi="宋体" w:cs="Corbel"/>
          <w:color w:val="000000" w:themeColor="text1"/>
          <w:sz w:val="24"/>
          <w:szCs w:val="24"/>
        </w:rPr>
        <w:t>：</w:t>
      </w:r>
      <w:r>
        <w:rPr>
          <w:rFonts w:ascii="宋体" w:hAnsi="宋体" w:cs="Corbel"/>
          <w:color w:val="000000" w:themeColor="text1"/>
          <w:sz w:val="24"/>
          <w:szCs w:val="24"/>
        </w:rPr>
        <w:t>1</w:t>
      </w:r>
      <w:r>
        <w:rPr>
          <w:rFonts w:hint="eastAsia" w:ascii="宋体" w:hAnsi="宋体" w:cs="Corbel"/>
          <w:color w:val="000000" w:themeColor="text1"/>
          <w:sz w:val="24"/>
          <w:szCs w:val="24"/>
        </w:rPr>
        <w:t>．投标人应按招标文件第三章“项目技术、服务及商务要求”中“商务要求”条款逐项说明是否满足要求，如有偏离</w:t>
      </w:r>
      <w:r>
        <w:rPr>
          <w:rFonts w:ascii="宋体" w:cs="Corbel"/>
          <w:color w:val="000000" w:themeColor="text1"/>
          <w:sz w:val="24"/>
          <w:szCs w:val="24"/>
        </w:rPr>
        <w:t>,</w:t>
      </w:r>
      <w:r>
        <w:rPr>
          <w:rFonts w:hint="eastAsia" w:ascii="宋体" w:hAnsi="宋体" w:cs="Corbel"/>
          <w:color w:val="000000" w:themeColor="text1"/>
          <w:sz w:val="24"/>
          <w:szCs w:val="24"/>
        </w:rPr>
        <w:t>投标人应详细说明。未按照要求填写此表或仅注明“符合”、“满足”的，</w:t>
      </w:r>
      <w:r>
        <w:rPr>
          <w:rFonts w:hint="eastAsia" w:ascii="宋体" w:hAnsi="宋体"/>
          <w:color w:val="000000" w:themeColor="text1"/>
          <w:sz w:val="24"/>
          <w:szCs w:val="24"/>
        </w:rPr>
        <w:t>导致的后果由投标人自行承担。</w:t>
      </w:r>
    </w:p>
    <w:p>
      <w:pPr>
        <w:spacing w:line="360" w:lineRule="auto"/>
        <w:ind w:left="1061" w:leftChars="339" w:hanging="350" w:hangingChars="146"/>
        <w:jc w:val="left"/>
        <w:rPr>
          <w:rFonts w:ascii="宋体"/>
          <w:color w:val="000000" w:themeColor="text1"/>
          <w:sz w:val="24"/>
          <w:szCs w:val="24"/>
        </w:rPr>
      </w:pPr>
      <w:r>
        <w:rPr>
          <w:rFonts w:ascii="宋体" w:hAnsi="宋体" w:cs="Corbel"/>
          <w:color w:val="000000" w:themeColor="text1"/>
          <w:sz w:val="24"/>
          <w:szCs w:val="24"/>
        </w:rPr>
        <w:t>2</w:t>
      </w:r>
      <w:r>
        <w:rPr>
          <w:rFonts w:hint="eastAsia" w:ascii="宋体" w:hAnsi="宋体" w:cs="Corbel"/>
          <w:color w:val="000000" w:themeColor="text1"/>
          <w:sz w:val="24"/>
          <w:szCs w:val="24"/>
        </w:rPr>
        <w:t>．投标人</w:t>
      </w:r>
      <w:r>
        <w:rPr>
          <w:rFonts w:hint="eastAsia" w:ascii="宋体" w:hAnsi="宋体"/>
          <w:color w:val="000000" w:themeColor="text1"/>
          <w:sz w:val="24"/>
          <w:szCs w:val="24"/>
        </w:rPr>
        <w:t>提供</w:t>
      </w:r>
      <w:r>
        <w:rPr>
          <w:rFonts w:hint="eastAsia" w:ascii="宋体" w:hAnsi="宋体" w:cs="Corbel"/>
          <w:color w:val="000000" w:themeColor="text1"/>
          <w:sz w:val="24"/>
          <w:szCs w:val="24"/>
        </w:rPr>
        <w:t>的相关证明文件对应的页码填写到上表“投标文件对应的页码”中。如未提供页码或内容页码完全不一致的，</w:t>
      </w:r>
      <w:r>
        <w:rPr>
          <w:rFonts w:hint="eastAsia" w:ascii="宋体" w:hAnsi="宋体"/>
          <w:color w:val="000000" w:themeColor="text1"/>
          <w:sz w:val="24"/>
          <w:szCs w:val="24"/>
        </w:rPr>
        <w:t>导致的后果由投标人自行承担。</w:t>
      </w:r>
    </w:p>
    <w:p>
      <w:pPr>
        <w:adjustRightInd w:val="0"/>
        <w:snapToGrid w:val="0"/>
        <w:spacing w:line="360" w:lineRule="auto"/>
        <w:ind w:left="781" w:leftChars="258" w:hanging="240" w:hangingChars="100"/>
        <w:rPr>
          <w:rFonts w:ascii="宋体" w:cs="Corbel"/>
          <w:color w:val="000000" w:themeColor="text1"/>
          <w:sz w:val="24"/>
          <w:szCs w:val="24"/>
        </w:rPr>
      </w:pP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610" w:hanging="1610"/>
        <w:rPr>
          <w:rFonts w:ascii="宋体"/>
          <w:color w:val="000000" w:themeColor="text1"/>
        </w:rPr>
      </w:pPr>
      <w:bookmarkStart w:id="250" w:name="_Toc494665570"/>
      <w:bookmarkStart w:id="251" w:name="_Toc19556"/>
      <w:bookmarkStart w:id="252" w:name="_Toc494721117"/>
      <w:bookmarkStart w:id="253" w:name="_Toc494745334"/>
      <w:bookmarkStart w:id="254" w:name="_Toc494665017"/>
      <w:bookmarkStart w:id="255" w:name="_Toc494702287"/>
      <w:bookmarkStart w:id="256" w:name="_Toc494665967"/>
      <w:r>
        <w:rPr>
          <w:rFonts w:hint="eastAsia" w:ascii="宋体" w:hAnsi="宋体"/>
          <w:color w:val="000000" w:themeColor="text1"/>
        </w:rPr>
        <w:t>商务要求“★”号条款响应、偏离说明表</w:t>
      </w:r>
      <w:bookmarkEnd w:id="250"/>
      <w:bookmarkEnd w:id="251"/>
      <w:bookmarkEnd w:id="252"/>
      <w:bookmarkEnd w:id="253"/>
      <w:bookmarkEnd w:id="254"/>
      <w:bookmarkEnd w:id="255"/>
      <w:bookmarkEnd w:id="256"/>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序号</w:t>
            </w:r>
          </w:p>
        </w:tc>
        <w:tc>
          <w:tcPr>
            <w:tcW w:w="2767"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招标文件</w:t>
            </w:r>
            <w:r>
              <w:rPr>
                <w:rFonts w:hint="eastAsia" w:ascii="宋体" w:hAnsi="宋体" w:cs="Corbel"/>
                <w:color w:val="000000" w:themeColor="text1"/>
                <w:sz w:val="24"/>
                <w:szCs w:val="24"/>
              </w:rPr>
              <w:t>商务要求“★”号条款</w:t>
            </w:r>
          </w:p>
        </w:tc>
        <w:tc>
          <w:tcPr>
            <w:tcW w:w="2767"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投标响应内容对应简述</w:t>
            </w:r>
          </w:p>
        </w:tc>
        <w:tc>
          <w:tcPr>
            <w:tcW w:w="1619"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偏离说明</w:t>
            </w:r>
          </w:p>
        </w:tc>
        <w:tc>
          <w:tcPr>
            <w:tcW w:w="1619" w:type="dxa"/>
            <w:shd w:val="clear" w:color="auto" w:fill="F2F2F2"/>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1</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2</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3</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4</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5</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6</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7</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w:t>
            </w:r>
          </w:p>
        </w:tc>
        <w:tc>
          <w:tcPr>
            <w:tcW w:w="2767"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bl>
    <w:p>
      <w:pPr>
        <w:spacing w:line="360" w:lineRule="auto"/>
        <w:ind w:left="1092" w:hanging="1092" w:hangingChars="455"/>
        <w:jc w:val="left"/>
        <w:rPr>
          <w:rFonts w:ascii="宋体" w:cs="Corbel"/>
          <w:color w:val="000000" w:themeColor="text1"/>
          <w:sz w:val="24"/>
          <w:szCs w:val="24"/>
        </w:rPr>
      </w:pPr>
      <w:r>
        <w:rPr>
          <w:rFonts w:hint="eastAsia" w:ascii="宋体" w:hAnsi="宋体" w:cs="Corbel"/>
          <w:color w:val="000000" w:themeColor="text1"/>
          <w:sz w:val="24"/>
          <w:szCs w:val="24"/>
        </w:rPr>
        <w:t>说明：</w:t>
      </w:r>
      <w:r>
        <w:rPr>
          <w:rFonts w:ascii="宋体" w:hAnsi="宋体" w:cs="Corbel"/>
          <w:color w:val="000000" w:themeColor="text1"/>
          <w:sz w:val="24"/>
          <w:szCs w:val="24"/>
        </w:rPr>
        <w:t>1</w:t>
      </w:r>
      <w:r>
        <w:rPr>
          <w:rFonts w:hint="eastAsia" w:ascii="宋体" w:hAnsi="宋体" w:cs="Corbel"/>
          <w:color w:val="000000" w:themeColor="text1"/>
          <w:sz w:val="24"/>
          <w:szCs w:val="24"/>
        </w:rPr>
        <w:t>．投标人应按招标文件第三章“项目技术、服务及商务要求”中商务要求“★”号条款进行逐项说明是否满足要求，如有偏离</w:t>
      </w:r>
      <w:r>
        <w:rPr>
          <w:rFonts w:ascii="宋体" w:cs="Corbel"/>
          <w:color w:val="000000" w:themeColor="text1"/>
          <w:sz w:val="24"/>
          <w:szCs w:val="24"/>
        </w:rPr>
        <w:t>,</w:t>
      </w:r>
      <w:r>
        <w:rPr>
          <w:rFonts w:hint="eastAsia" w:ascii="宋体" w:hAnsi="宋体" w:cs="Corbel"/>
          <w:color w:val="000000" w:themeColor="text1"/>
          <w:sz w:val="24"/>
          <w:szCs w:val="24"/>
        </w:rPr>
        <w:t>投标人应详细说明。未按照要求填写此表或仅注明“符合”、“满足”的，导致的后果由投标人自行承担。</w:t>
      </w:r>
    </w:p>
    <w:p>
      <w:pPr>
        <w:spacing w:line="360" w:lineRule="auto"/>
        <w:ind w:left="1061" w:leftChars="339" w:hanging="350" w:hangingChars="146"/>
        <w:jc w:val="left"/>
        <w:rPr>
          <w:rFonts w:ascii="宋体" w:cs="Corbel"/>
          <w:color w:val="000000" w:themeColor="text1"/>
          <w:sz w:val="24"/>
          <w:szCs w:val="24"/>
        </w:rPr>
      </w:pPr>
      <w:r>
        <w:rPr>
          <w:rFonts w:ascii="宋体" w:hAnsi="宋体" w:cs="Corbel"/>
          <w:color w:val="000000" w:themeColor="text1"/>
          <w:sz w:val="24"/>
          <w:szCs w:val="24"/>
        </w:rPr>
        <w:t>2</w:t>
      </w:r>
      <w:r>
        <w:rPr>
          <w:rFonts w:hint="eastAsia" w:ascii="宋体" w:hAnsi="宋体" w:cs="Corbel"/>
          <w:color w:val="000000" w:themeColor="text1"/>
          <w:sz w:val="24"/>
          <w:szCs w:val="24"/>
        </w:rPr>
        <w:t>．投标人提供的相关证明文件对应的页码填写到上表“投标文件对应的页码”中。如未提供页码或内容页码完全不一致的，</w:t>
      </w:r>
      <w:r>
        <w:rPr>
          <w:rFonts w:hint="eastAsia" w:ascii="宋体" w:hAnsi="宋体"/>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610" w:hanging="1610"/>
        <w:rPr>
          <w:rFonts w:ascii="宋体"/>
          <w:color w:val="000000" w:themeColor="text1"/>
        </w:rPr>
      </w:pPr>
      <w:bookmarkStart w:id="257" w:name="_Toc494702288"/>
      <w:bookmarkStart w:id="258" w:name="_Toc494665018"/>
      <w:bookmarkStart w:id="259" w:name="_Toc494665571"/>
      <w:bookmarkStart w:id="260" w:name="_Toc494745335"/>
      <w:bookmarkStart w:id="261" w:name="_Toc7970"/>
      <w:bookmarkStart w:id="262" w:name="_Toc494721118"/>
      <w:bookmarkStart w:id="263" w:name="_Toc494665968"/>
      <w:r>
        <w:rPr>
          <w:rFonts w:hint="eastAsia" w:ascii="宋体" w:hAnsi="宋体"/>
          <w:color w:val="000000" w:themeColor="text1"/>
        </w:rPr>
        <w:t>商务评议对照表</w:t>
      </w:r>
      <w:bookmarkEnd w:id="257"/>
      <w:bookmarkEnd w:id="258"/>
      <w:bookmarkEnd w:id="259"/>
      <w:bookmarkEnd w:id="260"/>
      <w:bookmarkEnd w:id="261"/>
      <w:bookmarkEnd w:id="262"/>
      <w:bookmarkEnd w:id="263"/>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61" w:type="dxa"/>
            <w:shd w:val="clear" w:color="auto" w:fill="F2F2F2"/>
            <w:vAlign w:val="center"/>
          </w:tcPr>
          <w:p>
            <w:pPr>
              <w:ind w:left="-37" w:leftChars="-18" w:right="-48" w:rightChars="-23"/>
              <w:jc w:val="center"/>
              <w:rPr>
                <w:rFonts w:ascii="宋体" w:cs="仿宋_GB2312"/>
                <w:color w:val="000000" w:themeColor="text1"/>
                <w:sz w:val="24"/>
                <w:szCs w:val="24"/>
              </w:rPr>
            </w:pPr>
            <w:r>
              <w:rPr>
                <w:rFonts w:hint="eastAsia" w:ascii="宋体" w:hAnsi="宋体" w:cs="仿宋_GB2312"/>
                <w:color w:val="000000" w:themeColor="text1"/>
                <w:sz w:val="24"/>
                <w:szCs w:val="24"/>
              </w:rPr>
              <w:t>序号</w:t>
            </w:r>
          </w:p>
        </w:tc>
        <w:tc>
          <w:tcPr>
            <w:tcW w:w="2848"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招标文件商务评分标准</w:t>
            </w:r>
          </w:p>
        </w:tc>
        <w:tc>
          <w:tcPr>
            <w:tcW w:w="2767"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投标响应内容对应简述</w:t>
            </w:r>
          </w:p>
        </w:tc>
        <w:tc>
          <w:tcPr>
            <w:tcW w:w="1619"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偏离说明</w:t>
            </w:r>
          </w:p>
        </w:tc>
        <w:tc>
          <w:tcPr>
            <w:tcW w:w="1619" w:type="dxa"/>
            <w:shd w:val="clear" w:color="auto" w:fill="F2F2F2"/>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cs="仿宋_GB2312"/>
                <w:color w:val="000000" w:themeColor="text1"/>
                <w:sz w:val="24"/>
                <w:szCs w:val="24"/>
              </w:rPr>
            </w:pPr>
          </w:p>
        </w:tc>
        <w:tc>
          <w:tcPr>
            <w:tcW w:w="2848"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cs="仿宋_GB2312"/>
                <w:color w:val="000000" w:themeColor="text1"/>
                <w:sz w:val="24"/>
                <w:szCs w:val="24"/>
              </w:rPr>
            </w:pPr>
          </w:p>
        </w:tc>
        <w:tc>
          <w:tcPr>
            <w:tcW w:w="2848"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cs="仿宋_GB2312"/>
                <w:color w:val="000000" w:themeColor="text1"/>
                <w:sz w:val="24"/>
                <w:szCs w:val="24"/>
              </w:rPr>
            </w:pPr>
          </w:p>
        </w:tc>
        <w:tc>
          <w:tcPr>
            <w:tcW w:w="2848"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cs="仿宋_GB2312"/>
                <w:color w:val="000000" w:themeColor="text1"/>
                <w:sz w:val="24"/>
                <w:szCs w:val="24"/>
              </w:rPr>
            </w:pPr>
          </w:p>
        </w:tc>
        <w:tc>
          <w:tcPr>
            <w:tcW w:w="2848"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cs="仿宋_GB2312"/>
                <w:color w:val="000000" w:themeColor="text1"/>
                <w:sz w:val="24"/>
                <w:szCs w:val="24"/>
              </w:rPr>
            </w:pPr>
          </w:p>
        </w:tc>
        <w:tc>
          <w:tcPr>
            <w:tcW w:w="2848"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cs="仿宋_GB2312"/>
                <w:color w:val="000000" w:themeColor="text1"/>
                <w:sz w:val="24"/>
                <w:szCs w:val="24"/>
              </w:rPr>
            </w:pPr>
          </w:p>
        </w:tc>
        <w:tc>
          <w:tcPr>
            <w:tcW w:w="2848"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w:t>
            </w:r>
          </w:p>
        </w:tc>
        <w:tc>
          <w:tcPr>
            <w:tcW w:w="2848" w:type="dxa"/>
            <w:vAlign w:val="center"/>
          </w:tcPr>
          <w:p>
            <w:pPr>
              <w:jc w:val="center"/>
              <w:rPr>
                <w:rFonts w:ascii="宋体" w:cs="仿宋_GB2312"/>
                <w:color w:val="000000" w:themeColor="text1"/>
                <w:sz w:val="24"/>
                <w:szCs w:val="24"/>
              </w:rPr>
            </w:pPr>
          </w:p>
        </w:tc>
        <w:tc>
          <w:tcPr>
            <w:tcW w:w="2767"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bl>
    <w:p>
      <w:pPr>
        <w:spacing w:line="360" w:lineRule="auto"/>
        <w:ind w:left="1092" w:hanging="1092" w:hangingChars="455"/>
        <w:jc w:val="left"/>
        <w:rPr>
          <w:rFonts w:ascii="宋体" w:cs="Corbel"/>
          <w:color w:val="000000" w:themeColor="text1"/>
          <w:sz w:val="24"/>
          <w:szCs w:val="24"/>
        </w:rPr>
      </w:pPr>
      <w:r>
        <w:rPr>
          <w:rFonts w:hint="eastAsia" w:ascii="宋体" w:hAnsi="宋体" w:cs="Corbel"/>
          <w:color w:val="000000" w:themeColor="text1"/>
          <w:sz w:val="24"/>
          <w:szCs w:val="24"/>
        </w:rPr>
        <w:t>说明：</w:t>
      </w:r>
      <w:r>
        <w:rPr>
          <w:rFonts w:ascii="宋体" w:hAnsi="宋体" w:cs="Corbel"/>
          <w:color w:val="000000" w:themeColor="text1"/>
          <w:sz w:val="24"/>
          <w:szCs w:val="24"/>
        </w:rPr>
        <w:t>1</w:t>
      </w:r>
      <w:r>
        <w:rPr>
          <w:rFonts w:hint="eastAsia" w:ascii="宋体" w:hAnsi="宋体" w:cs="Corbel"/>
          <w:color w:val="000000" w:themeColor="text1"/>
          <w:sz w:val="24"/>
          <w:szCs w:val="24"/>
        </w:rPr>
        <w:t>．投标人应按招标文件第五章“评标方法、程序及标准”中“商务评议”的评分标准逐项说明是否满足要求，如有偏离</w:t>
      </w:r>
      <w:r>
        <w:rPr>
          <w:rFonts w:ascii="宋体" w:cs="Corbel"/>
          <w:color w:val="000000" w:themeColor="text1"/>
          <w:sz w:val="24"/>
          <w:szCs w:val="24"/>
        </w:rPr>
        <w:t>,</w:t>
      </w:r>
      <w:r>
        <w:rPr>
          <w:rFonts w:hint="eastAsia" w:ascii="宋体" w:hAnsi="宋体" w:cs="Corbel"/>
          <w:color w:val="000000" w:themeColor="text1"/>
          <w:sz w:val="24"/>
          <w:szCs w:val="24"/>
        </w:rPr>
        <w:t>投标人应详细说明。未按照要求填写此表或仅注明“符合”、“满足”的，</w:t>
      </w:r>
      <w:r>
        <w:rPr>
          <w:rFonts w:hint="eastAsia" w:ascii="宋体" w:hAnsi="宋体"/>
          <w:color w:val="000000" w:themeColor="text1"/>
          <w:sz w:val="24"/>
          <w:szCs w:val="24"/>
        </w:rPr>
        <w:t>导致的后果由投标人自行承担。</w:t>
      </w:r>
    </w:p>
    <w:p>
      <w:pPr>
        <w:spacing w:line="360" w:lineRule="auto"/>
        <w:ind w:left="1061" w:leftChars="339" w:hanging="350" w:hangingChars="146"/>
        <w:jc w:val="left"/>
        <w:rPr>
          <w:rFonts w:ascii="宋体" w:cs="Corbel"/>
          <w:color w:val="000000" w:themeColor="text1"/>
          <w:sz w:val="24"/>
          <w:szCs w:val="24"/>
        </w:rPr>
      </w:pPr>
      <w:r>
        <w:rPr>
          <w:rFonts w:ascii="宋体" w:hAnsi="宋体" w:cs="Corbel"/>
          <w:color w:val="000000" w:themeColor="text1"/>
          <w:sz w:val="24"/>
          <w:szCs w:val="24"/>
        </w:rPr>
        <w:t>2</w:t>
      </w:r>
      <w:r>
        <w:rPr>
          <w:rFonts w:hint="eastAsia" w:ascii="宋体" w:hAnsi="宋体" w:cs="Corbel"/>
          <w:color w:val="000000" w:themeColor="text1"/>
          <w:sz w:val="24"/>
          <w:szCs w:val="24"/>
        </w:rPr>
        <w:t>．投标人提供的相关证明文件对应的页码填写到上表“投标文件对应的页码”中。如未提供页码或内容页码完全不一致的，</w:t>
      </w:r>
      <w:r>
        <w:rPr>
          <w:rFonts w:hint="eastAsia" w:ascii="宋体" w:hAnsi="宋体"/>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610" w:hanging="1610"/>
        <w:rPr>
          <w:rFonts w:ascii="宋体"/>
          <w:color w:val="000000" w:themeColor="text1"/>
        </w:rPr>
      </w:pPr>
      <w:bookmarkStart w:id="264" w:name="_Toc25048"/>
      <w:bookmarkStart w:id="265" w:name="_Toc494665572"/>
      <w:bookmarkStart w:id="266" w:name="_Toc494745336"/>
      <w:bookmarkStart w:id="267" w:name="_Toc494665969"/>
      <w:bookmarkStart w:id="268" w:name="_Toc494665019"/>
      <w:bookmarkStart w:id="269" w:name="_Toc494702289"/>
      <w:bookmarkStart w:id="270" w:name="_Toc494721119"/>
      <w:r>
        <w:rPr>
          <w:rFonts w:hint="eastAsia" w:ascii="宋体" w:hAnsi="宋体"/>
          <w:color w:val="000000" w:themeColor="text1"/>
        </w:rPr>
        <w:t>技术、服务要求响应、偏离说明表</w:t>
      </w:r>
      <w:bookmarkEnd w:id="264"/>
      <w:bookmarkEnd w:id="265"/>
      <w:bookmarkEnd w:id="266"/>
      <w:bookmarkEnd w:id="267"/>
      <w:bookmarkEnd w:id="268"/>
      <w:bookmarkEnd w:id="269"/>
      <w:bookmarkEnd w:id="270"/>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5"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序号</w:t>
            </w:r>
          </w:p>
        </w:tc>
        <w:tc>
          <w:tcPr>
            <w:tcW w:w="3031"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招标文件技术、服务要求条款</w:t>
            </w:r>
          </w:p>
        </w:tc>
        <w:tc>
          <w:tcPr>
            <w:tcW w:w="2755"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投标响应内容对应简述</w:t>
            </w:r>
          </w:p>
        </w:tc>
        <w:tc>
          <w:tcPr>
            <w:tcW w:w="1364"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偏离说明</w:t>
            </w:r>
          </w:p>
        </w:tc>
        <w:tc>
          <w:tcPr>
            <w:tcW w:w="1619" w:type="dxa"/>
            <w:shd w:val="clear" w:color="auto" w:fill="F2F2F2"/>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1</w:t>
            </w:r>
          </w:p>
        </w:tc>
        <w:tc>
          <w:tcPr>
            <w:tcW w:w="3031" w:type="dxa"/>
            <w:vAlign w:val="center"/>
          </w:tcPr>
          <w:p>
            <w:pPr>
              <w:jc w:val="center"/>
              <w:rPr>
                <w:rFonts w:ascii="宋体" w:cs="仿宋_GB2312"/>
                <w:color w:val="000000" w:themeColor="text1"/>
                <w:sz w:val="24"/>
                <w:szCs w:val="24"/>
              </w:rPr>
            </w:pPr>
          </w:p>
        </w:tc>
        <w:tc>
          <w:tcPr>
            <w:tcW w:w="2755" w:type="dxa"/>
            <w:vAlign w:val="center"/>
          </w:tcPr>
          <w:p>
            <w:pPr>
              <w:jc w:val="center"/>
              <w:rPr>
                <w:rFonts w:ascii="宋体" w:cs="仿宋_GB2312"/>
                <w:color w:val="000000" w:themeColor="text1"/>
                <w:sz w:val="24"/>
                <w:szCs w:val="24"/>
              </w:rPr>
            </w:pPr>
          </w:p>
        </w:tc>
        <w:tc>
          <w:tcPr>
            <w:tcW w:w="1364"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2</w:t>
            </w:r>
          </w:p>
        </w:tc>
        <w:tc>
          <w:tcPr>
            <w:tcW w:w="3031" w:type="dxa"/>
            <w:vAlign w:val="center"/>
          </w:tcPr>
          <w:p>
            <w:pPr>
              <w:jc w:val="center"/>
              <w:rPr>
                <w:rFonts w:ascii="宋体" w:cs="仿宋_GB2312"/>
                <w:color w:val="000000" w:themeColor="text1"/>
                <w:sz w:val="24"/>
                <w:szCs w:val="24"/>
              </w:rPr>
            </w:pPr>
          </w:p>
        </w:tc>
        <w:tc>
          <w:tcPr>
            <w:tcW w:w="2755" w:type="dxa"/>
            <w:vAlign w:val="center"/>
          </w:tcPr>
          <w:p>
            <w:pPr>
              <w:jc w:val="center"/>
              <w:rPr>
                <w:rFonts w:ascii="宋体" w:cs="仿宋_GB2312"/>
                <w:color w:val="000000" w:themeColor="text1"/>
                <w:sz w:val="24"/>
                <w:szCs w:val="24"/>
              </w:rPr>
            </w:pPr>
          </w:p>
        </w:tc>
        <w:tc>
          <w:tcPr>
            <w:tcW w:w="1364"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3</w:t>
            </w:r>
          </w:p>
        </w:tc>
        <w:tc>
          <w:tcPr>
            <w:tcW w:w="3031" w:type="dxa"/>
            <w:vAlign w:val="center"/>
          </w:tcPr>
          <w:p>
            <w:pPr>
              <w:jc w:val="center"/>
              <w:rPr>
                <w:rFonts w:ascii="宋体" w:cs="仿宋_GB2312"/>
                <w:color w:val="000000" w:themeColor="text1"/>
                <w:sz w:val="24"/>
                <w:szCs w:val="24"/>
              </w:rPr>
            </w:pPr>
          </w:p>
        </w:tc>
        <w:tc>
          <w:tcPr>
            <w:tcW w:w="2755" w:type="dxa"/>
            <w:vAlign w:val="center"/>
          </w:tcPr>
          <w:p>
            <w:pPr>
              <w:jc w:val="center"/>
              <w:rPr>
                <w:rFonts w:ascii="宋体" w:cs="仿宋_GB2312"/>
                <w:color w:val="000000" w:themeColor="text1"/>
                <w:sz w:val="24"/>
                <w:szCs w:val="24"/>
              </w:rPr>
            </w:pPr>
          </w:p>
        </w:tc>
        <w:tc>
          <w:tcPr>
            <w:tcW w:w="1364"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4</w:t>
            </w:r>
          </w:p>
        </w:tc>
        <w:tc>
          <w:tcPr>
            <w:tcW w:w="3031" w:type="dxa"/>
            <w:vAlign w:val="center"/>
          </w:tcPr>
          <w:p>
            <w:pPr>
              <w:jc w:val="center"/>
              <w:rPr>
                <w:rFonts w:ascii="宋体" w:cs="仿宋_GB2312"/>
                <w:color w:val="000000" w:themeColor="text1"/>
                <w:sz w:val="24"/>
                <w:szCs w:val="24"/>
              </w:rPr>
            </w:pPr>
          </w:p>
        </w:tc>
        <w:tc>
          <w:tcPr>
            <w:tcW w:w="2755" w:type="dxa"/>
            <w:vAlign w:val="center"/>
          </w:tcPr>
          <w:p>
            <w:pPr>
              <w:jc w:val="center"/>
              <w:rPr>
                <w:rFonts w:ascii="宋体" w:cs="仿宋_GB2312"/>
                <w:color w:val="000000" w:themeColor="text1"/>
                <w:sz w:val="24"/>
                <w:szCs w:val="24"/>
              </w:rPr>
            </w:pPr>
          </w:p>
        </w:tc>
        <w:tc>
          <w:tcPr>
            <w:tcW w:w="1364"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5</w:t>
            </w:r>
          </w:p>
        </w:tc>
        <w:tc>
          <w:tcPr>
            <w:tcW w:w="3031" w:type="dxa"/>
            <w:vAlign w:val="center"/>
          </w:tcPr>
          <w:p>
            <w:pPr>
              <w:jc w:val="center"/>
              <w:rPr>
                <w:rFonts w:ascii="宋体" w:cs="仿宋_GB2312"/>
                <w:color w:val="000000" w:themeColor="text1"/>
                <w:sz w:val="24"/>
                <w:szCs w:val="24"/>
              </w:rPr>
            </w:pPr>
          </w:p>
        </w:tc>
        <w:tc>
          <w:tcPr>
            <w:tcW w:w="2755" w:type="dxa"/>
            <w:vAlign w:val="center"/>
          </w:tcPr>
          <w:p>
            <w:pPr>
              <w:jc w:val="center"/>
              <w:rPr>
                <w:rFonts w:ascii="宋体" w:cs="仿宋_GB2312"/>
                <w:color w:val="000000" w:themeColor="text1"/>
                <w:sz w:val="24"/>
                <w:szCs w:val="24"/>
              </w:rPr>
            </w:pPr>
          </w:p>
        </w:tc>
        <w:tc>
          <w:tcPr>
            <w:tcW w:w="1364"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6</w:t>
            </w:r>
          </w:p>
        </w:tc>
        <w:tc>
          <w:tcPr>
            <w:tcW w:w="3031" w:type="dxa"/>
            <w:vAlign w:val="center"/>
          </w:tcPr>
          <w:p>
            <w:pPr>
              <w:jc w:val="center"/>
              <w:rPr>
                <w:rFonts w:ascii="宋体" w:cs="仿宋_GB2312"/>
                <w:color w:val="000000" w:themeColor="text1"/>
                <w:sz w:val="24"/>
                <w:szCs w:val="24"/>
              </w:rPr>
            </w:pPr>
          </w:p>
        </w:tc>
        <w:tc>
          <w:tcPr>
            <w:tcW w:w="2755" w:type="dxa"/>
            <w:vAlign w:val="center"/>
          </w:tcPr>
          <w:p>
            <w:pPr>
              <w:jc w:val="center"/>
              <w:rPr>
                <w:rFonts w:ascii="宋体" w:cs="仿宋_GB2312"/>
                <w:color w:val="000000" w:themeColor="text1"/>
                <w:sz w:val="24"/>
                <w:szCs w:val="24"/>
              </w:rPr>
            </w:pPr>
          </w:p>
        </w:tc>
        <w:tc>
          <w:tcPr>
            <w:tcW w:w="1364"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7</w:t>
            </w:r>
          </w:p>
        </w:tc>
        <w:tc>
          <w:tcPr>
            <w:tcW w:w="3031" w:type="dxa"/>
            <w:vAlign w:val="center"/>
          </w:tcPr>
          <w:p>
            <w:pPr>
              <w:jc w:val="center"/>
              <w:rPr>
                <w:rFonts w:ascii="宋体" w:cs="仿宋_GB2312"/>
                <w:color w:val="000000" w:themeColor="text1"/>
                <w:sz w:val="24"/>
                <w:szCs w:val="24"/>
              </w:rPr>
            </w:pPr>
          </w:p>
        </w:tc>
        <w:tc>
          <w:tcPr>
            <w:tcW w:w="2755" w:type="dxa"/>
            <w:vAlign w:val="center"/>
          </w:tcPr>
          <w:p>
            <w:pPr>
              <w:jc w:val="center"/>
              <w:rPr>
                <w:rFonts w:ascii="宋体" w:cs="仿宋_GB2312"/>
                <w:color w:val="000000" w:themeColor="text1"/>
                <w:sz w:val="24"/>
                <w:szCs w:val="24"/>
              </w:rPr>
            </w:pPr>
          </w:p>
        </w:tc>
        <w:tc>
          <w:tcPr>
            <w:tcW w:w="1364"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w:t>
            </w:r>
          </w:p>
        </w:tc>
        <w:tc>
          <w:tcPr>
            <w:tcW w:w="3031" w:type="dxa"/>
            <w:vAlign w:val="center"/>
          </w:tcPr>
          <w:p>
            <w:pPr>
              <w:jc w:val="center"/>
              <w:rPr>
                <w:rFonts w:ascii="宋体" w:cs="仿宋_GB2312"/>
                <w:color w:val="000000" w:themeColor="text1"/>
                <w:sz w:val="24"/>
                <w:szCs w:val="24"/>
              </w:rPr>
            </w:pPr>
          </w:p>
        </w:tc>
        <w:tc>
          <w:tcPr>
            <w:tcW w:w="2755" w:type="dxa"/>
            <w:vAlign w:val="center"/>
          </w:tcPr>
          <w:p>
            <w:pPr>
              <w:jc w:val="center"/>
              <w:rPr>
                <w:rFonts w:ascii="宋体" w:cs="仿宋_GB2312"/>
                <w:color w:val="000000" w:themeColor="text1"/>
                <w:sz w:val="24"/>
                <w:szCs w:val="24"/>
              </w:rPr>
            </w:pPr>
          </w:p>
        </w:tc>
        <w:tc>
          <w:tcPr>
            <w:tcW w:w="1364"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bl>
    <w:p>
      <w:pPr>
        <w:spacing w:line="360" w:lineRule="auto"/>
        <w:ind w:left="1092" w:hanging="1092" w:hangingChars="455"/>
        <w:jc w:val="left"/>
        <w:rPr>
          <w:rFonts w:ascii="宋体"/>
          <w:color w:val="000000" w:themeColor="text1"/>
          <w:sz w:val="24"/>
          <w:szCs w:val="24"/>
        </w:rPr>
      </w:pPr>
      <w:r>
        <w:rPr>
          <w:rFonts w:hint="eastAsia" w:ascii="宋体" w:hAnsi="宋体" w:cs="Corbel"/>
          <w:color w:val="000000" w:themeColor="text1"/>
          <w:sz w:val="24"/>
          <w:szCs w:val="24"/>
        </w:rPr>
        <w:t>说明：</w:t>
      </w:r>
      <w:r>
        <w:rPr>
          <w:rFonts w:ascii="宋体" w:hAnsi="宋体" w:cs="Corbel"/>
          <w:color w:val="000000" w:themeColor="text1"/>
          <w:sz w:val="24"/>
          <w:szCs w:val="24"/>
        </w:rPr>
        <w:t>1</w:t>
      </w:r>
      <w:r>
        <w:rPr>
          <w:rFonts w:hint="eastAsia" w:ascii="宋体" w:hAnsi="宋体" w:cs="Corbel"/>
          <w:color w:val="000000" w:themeColor="text1"/>
          <w:sz w:val="24"/>
          <w:szCs w:val="24"/>
        </w:rPr>
        <w:t>．投标人应按招标文件第三章“项目技术、服务及商务要求”中“技术、服务要求”条款逐项说明是否满足要求，如有偏离</w:t>
      </w:r>
      <w:r>
        <w:rPr>
          <w:rFonts w:ascii="宋体" w:cs="Corbel"/>
          <w:color w:val="000000" w:themeColor="text1"/>
          <w:sz w:val="24"/>
          <w:szCs w:val="24"/>
        </w:rPr>
        <w:t>,</w:t>
      </w:r>
      <w:r>
        <w:rPr>
          <w:rFonts w:hint="eastAsia" w:ascii="宋体" w:hAnsi="宋体" w:cs="Corbel"/>
          <w:color w:val="000000" w:themeColor="text1"/>
          <w:sz w:val="24"/>
          <w:szCs w:val="24"/>
        </w:rPr>
        <w:t>投标人应详细说明。未按照要求填写此表或仅注明“符合”、“满足”的，</w:t>
      </w:r>
      <w:r>
        <w:rPr>
          <w:rFonts w:hint="eastAsia" w:ascii="宋体" w:hAnsi="宋体"/>
          <w:color w:val="000000" w:themeColor="text1"/>
          <w:sz w:val="24"/>
          <w:szCs w:val="24"/>
        </w:rPr>
        <w:t>导致的后果由投标人自行承担。</w:t>
      </w:r>
    </w:p>
    <w:p>
      <w:pPr>
        <w:spacing w:line="360" w:lineRule="auto"/>
        <w:ind w:left="1061" w:leftChars="339" w:hanging="350" w:hangingChars="146"/>
        <w:jc w:val="left"/>
        <w:rPr>
          <w:rFonts w:ascii="宋体" w:cs="Corbel"/>
          <w:color w:val="000000" w:themeColor="text1"/>
          <w:sz w:val="24"/>
          <w:szCs w:val="24"/>
        </w:rPr>
      </w:pPr>
      <w:r>
        <w:rPr>
          <w:rFonts w:ascii="宋体" w:hAnsi="宋体" w:cs="Corbel"/>
          <w:color w:val="000000" w:themeColor="text1"/>
          <w:sz w:val="24"/>
          <w:szCs w:val="24"/>
        </w:rPr>
        <w:t>2</w:t>
      </w:r>
      <w:r>
        <w:rPr>
          <w:rFonts w:hint="eastAsia" w:ascii="宋体" w:hAnsi="宋体" w:cs="Corbel"/>
          <w:color w:val="000000" w:themeColor="text1"/>
          <w:sz w:val="24"/>
          <w:szCs w:val="24"/>
        </w:rPr>
        <w:t>．投标人提供的相关证明文件对应的页码填写到上表“投标文件对应的页码”中。如未提供页码或内容页码完全不一致的，</w:t>
      </w:r>
      <w:r>
        <w:rPr>
          <w:rFonts w:hint="eastAsia" w:ascii="宋体" w:hAnsi="宋体"/>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610" w:hanging="1610"/>
        <w:rPr>
          <w:rFonts w:ascii="宋体"/>
          <w:color w:val="000000" w:themeColor="text1"/>
        </w:rPr>
      </w:pPr>
      <w:bookmarkStart w:id="271" w:name="_Toc494665573"/>
      <w:bookmarkStart w:id="272" w:name="_Toc7827"/>
      <w:bookmarkStart w:id="273" w:name="_Toc494702290"/>
      <w:bookmarkStart w:id="274" w:name="_Toc494665970"/>
      <w:bookmarkStart w:id="275" w:name="_Toc494721120"/>
      <w:bookmarkStart w:id="276" w:name="_Toc494745337"/>
      <w:bookmarkStart w:id="277" w:name="_Toc494665020"/>
      <w:bookmarkStart w:id="278" w:name="_Toc329859066"/>
      <w:r>
        <w:rPr>
          <w:rFonts w:hint="eastAsia" w:ascii="宋体" w:hAnsi="宋体"/>
          <w:color w:val="000000" w:themeColor="text1"/>
        </w:rPr>
        <w:t>技术、服务要求“★”号条款响应、偏离说明表</w:t>
      </w:r>
      <w:bookmarkEnd w:id="271"/>
      <w:bookmarkEnd w:id="272"/>
      <w:bookmarkEnd w:id="273"/>
      <w:bookmarkEnd w:id="274"/>
      <w:bookmarkEnd w:id="275"/>
      <w:bookmarkEnd w:id="276"/>
      <w:bookmarkEnd w:id="277"/>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序号</w:t>
            </w:r>
          </w:p>
        </w:tc>
        <w:tc>
          <w:tcPr>
            <w:tcW w:w="2767"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招标文件</w:t>
            </w:r>
            <w:r>
              <w:rPr>
                <w:rFonts w:hint="eastAsia" w:ascii="宋体" w:hAnsi="宋体" w:cs="Corbel"/>
                <w:color w:val="000000" w:themeColor="text1"/>
                <w:sz w:val="24"/>
                <w:szCs w:val="24"/>
              </w:rPr>
              <w:t>技术、服务要求“★”号条款</w:t>
            </w:r>
          </w:p>
        </w:tc>
        <w:tc>
          <w:tcPr>
            <w:tcW w:w="2877"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投标响应内容对应简述</w:t>
            </w:r>
          </w:p>
        </w:tc>
        <w:tc>
          <w:tcPr>
            <w:tcW w:w="1509"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偏离说明</w:t>
            </w:r>
          </w:p>
        </w:tc>
        <w:tc>
          <w:tcPr>
            <w:tcW w:w="1619" w:type="dxa"/>
            <w:shd w:val="clear" w:color="auto" w:fill="F2F2F2"/>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1</w:t>
            </w:r>
          </w:p>
        </w:tc>
        <w:tc>
          <w:tcPr>
            <w:tcW w:w="2767" w:type="dxa"/>
            <w:vAlign w:val="center"/>
          </w:tcPr>
          <w:p>
            <w:pPr>
              <w:jc w:val="center"/>
              <w:rPr>
                <w:rFonts w:ascii="宋体" w:cs="仿宋_GB2312"/>
                <w:color w:val="000000" w:themeColor="text1"/>
                <w:sz w:val="24"/>
                <w:szCs w:val="24"/>
              </w:rPr>
            </w:pPr>
          </w:p>
        </w:tc>
        <w:tc>
          <w:tcPr>
            <w:tcW w:w="2877" w:type="dxa"/>
            <w:vAlign w:val="center"/>
          </w:tcPr>
          <w:p>
            <w:pPr>
              <w:jc w:val="center"/>
              <w:rPr>
                <w:rFonts w:ascii="宋体" w:cs="仿宋_GB2312"/>
                <w:color w:val="000000" w:themeColor="text1"/>
                <w:sz w:val="24"/>
                <w:szCs w:val="24"/>
              </w:rPr>
            </w:pPr>
          </w:p>
        </w:tc>
        <w:tc>
          <w:tcPr>
            <w:tcW w:w="150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2</w:t>
            </w:r>
          </w:p>
        </w:tc>
        <w:tc>
          <w:tcPr>
            <w:tcW w:w="2767" w:type="dxa"/>
            <w:vAlign w:val="center"/>
          </w:tcPr>
          <w:p>
            <w:pPr>
              <w:jc w:val="center"/>
              <w:rPr>
                <w:rFonts w:ascii="宋体" w:cs="仿宋_GB2312"/>
                <w:color w:val="000000" w:themeColor="text1"/>
                <w:sz w:val="24"/>
                <w:szCs w:val="24"/>
              </w:rPr>
            </w:pPr>
          </w:p>
        </w:tc>
        <w:tc>
          <w:tcPr>
            <w:tcW w:w="2877" w:type="dxa"/>
            <w:vAlign w:val="center"/>
          </w:tcPr>
          <w:p>
            <w:pPr>
              <w:jc w:val="center"/>
              <w:rPr>
                <w:rFonts w:ascii="宋体" w:cs="仿宋_GB2312"/>
                <w:color w:val="000000" w:themeColor="text1"/>
                <w:sz w:val="24"/>
                <w:szCs w:val="24"/>
              </w:rPr>
            </w:pPr>
          </w:p>
        </w:tc>
        <w:tc>
          <w:tcPr>
            <w:tcW w:w="150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3</w:t>
            </w:r>
          </w:p>
        </w:tc>
        <w:tc>
          <w:tcPr>
            <w:tcW w:w="2767" w:type="dxa"/>
            <w:vAlign w:val="center"/>
          </w:tcPr>
          <w:p>
            <w:pPr>
              <w:jc w:val="center"/>
              <w:rPr>
                <w:rFonts w:ascii="宋体" w:cs="仿宋_GB2312"/>
                <w:color w:val="000000" w:themeColor="text1"/>
                <w:sz w:val="24"/>
                <w:szCs w:val="24"/>
              </w:rPr>
            </w:pPr>
          </w:p>
        </w:tc>
        <w:tc>
          <w:tcPr>
            <w:tcW w:w="2877" w:type="dxa"/>
            <w:vAlign w:val="center"/>
          </w:tcPr>
          <w:p>
            <w:pPr>
              <w:jc w:val="center"/>
              <w:rPr>
                <w:rFonts w:ascii="宋体" w:cs="仿宋_GB2312"/>
                <w:color w:val="000000" w:themeColor="text1"/>
                <w:sz w:val="24"/>
                <w:szCs w:val="24"/>
              </w:rPr>
            </w:pPr>
          </w:p>
        </w:tc>
        <w:tc>
          <w:tcPr>
            <w:tcW w:w="150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4</w:t>
            </w:r>
          </w:p>
        </w:tc>
        <w:tc>
          <w:tcPr>
            <w:tcW w:w="2767" w:type="dxa"/>
            <w:vAlign w:val="center"/>
          </w:tcPr>
          <w:p>
            <w:pPr>
              <w:jc w:val="center"/>
              <w:rPr>
                <w:rFonts w:ascii="宋体" w:cs="仿宋_GB2312"/>
                <w:color w:val="000000" w:themeColor="text1"/>
                <w:sz w:val="24"/>
                <w:szCs w:val="24"/>
              </w:rPr>
            </w:pPr>
          </w:p>
        </w:tc>
        <w:tc>
          <w:tcPr>
            <w:tcW w:w="2877" w:type="dxa"/>
            <w:vAlign w:val="center"/>
          </w:tcPr>
          <w:p>
            <w:pPr>
              <w:jc w:val="center"/>
              <w:rPr>
                <w:rFonts w:ascii="宋体" w:cs="仿宋_GB2312"/>
                <w:color w:val="000000" w:themeColor="text1"/>
                <w:sz w:val="24"/>
                <w:szCs w:val="24"/>
              </w:rPr>
            </w:pPr>
          </w:p>
        </w:tc>
        <w:tc>
          <w:tcPr>
            <w:tcW w:w="150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5</w:t>
            </w:r>
          </w:p>
        </w:tc>
        <w:tc>
          <w:tcPr>
            <w:tcW w:w="2767" w:type="dxa"/>
            <w:vAlign w:val="center"/>
          </w:tcPr>
          <w:p>
            <w:pPr>
              <w:jc w:val="center"/>
              <w:rPr>
                <w:rFonts w:ascii="宋体" w:cs="仿宋_GB2312"/>
                <w:color w:val="000000" w:themeColor="text1"/>
                <w:sz w:val="24"/>
                <w:szCs w:val="24"/>
              </w:rPr>
            </w:pPr>
          </w:p>
        </w:tc>
        <w:tc>
          <w:tcPr>
            <w:tcW w:w="2877" w:type="dxa"/>
            <w:vAlign w:val="center"/>
          </w:tcPr>
          <w:p>
            <w:pPr>
              <w:jc w:val="center"/>
              <w:rPr>
                <w:rFonts w:ascii="宋体" w:cs="仿宋_GB2312"/>
                <w:color w:val="000000" w:themeColor="text1"/>
                <w:sz w:val="24"/>
                <w:szCs w:val="24"/>
              </w:rPr>
            </w:pPr>
          </w:p>
        </w:tc>
        <w:tc>
          <w:tcPr>
            <w:tcW w:w="150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ascii="宋体" w:hAnsi="宋体" w:cs="仿宋_GB2312"/>
                <w:color w:val="000000" w:themeColor="text1"/>
                <w:sz w:val="24"/>
                <w:szCs w:val="24"/>
              </w:rPr>
              <w:t>6</w:t>
            </w:r>
          </w:p>
        </w:tc>
        <w:tc>
          <w:tcPr>
            <w:tcW w:w="2767" w:type="dxa"/>
            <w:vAlign w:val="center"/>
          </w:tcPr>
          <w:p>
            <w:pPr>
              <w:jc w:val="center"/>
              <w:rPr>
                <w:rFonts w:ascii="宋体" w:cs="仿宋_GB2312"/>
                <w:color w:val="000000" w:themeColor="text1"/>
                <w:sz w:val="24"/>
                <w:szCs w:val="24"/>
              </w:rPr>
            </w:pPr>
          </w:p>
        </w:tc>
        <w:tc>
          <w:tcPr>
            <w:tcW w:w="2877" w:type="dxa"/>
            <w:vAlign w:val="center"/>
          </w:tcPr>
          <w:p>
            <w:pPr>
              <w:jc w:val="center"/>
              <w:rPr>
                <w:rFonts w:ascii="宋体" w:cs="仿宋_GB2312"/>
                <w:color w:val="000000" w:themeColor="text1"/>
                <w:sz w:val="24"/>
                <w:szCs w:val="24"/>
              </w:rPr>
            </w:pPr>
          </w:p>
        </w:tc>
        <w:tc>
          <w:tcPr>
            <w:tcW w:w="150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w:t>
            </w:r>
          </w:p>
        </w:tc>
        <w:tc>
          <w:tcPr>
            <w:tcW w:w="2767" w:type="dxa"/>
            <w:vAlign w:val="center"/>
          </w:tcPr>
          <w:p>
            <w:pPr>
              <w:jc w:val="center"/>
              <w:rPr>
                <w:rFonts w:ascii="宋体" w:cs="仿宋_GB2312"/>
                <w:color w:val="000000" w:themeColor="text1"/>
                <w:sz w:val="24"/>
                <w:szCs w:val="24"/>
              </w:rPr>
            </w:pPr>
          </w:p>
        </w:tc>
        <w:tc>
          <w:tcPr>
            <w:tcW w:w="2877" w:type="dxa"/>
            <w:vAlign w:val="center"/>
          </w:tcPr>
          <w:p>
            <w:pPr>
              <w:jc w:val="center"/>
              <w:rPr>
                <w:rFonts w:ascii="宋体" w:cs="仿宋_GB2312"/>
                <w:color w:val="000000" w:themeColor="text1"/>
                <w:sz w:val="24"/>
                <w:szCs w:val="24"/>
              </w:rPr>
            </w:pPr>
          </w:p>
        </w:tc>
        <w:tc>
          <w:tcPr>
            <w:tcW w:w="1509" w:type="dxa"/>
            <w:vAlign w:val="center"/>
          </w:tcPr>
          <w:p>
            <w:pPr>
              <w:jc w:val="center"/>
              <w:rPr>
                <w:rFonts w:ascii="宋体" w:cs="仿宋_GB2312"/>
                <w:color w:val="000000" w:themeColor="text1"/>
                <w:sz w:val="24"/>
                <w:szCs w:val="24"/>
              </w:rPr>
            </w:pPr>
          </w:p>
        </w:tc>
        <w:tc>
          <w:tcPr>
            <w:tcW w:w="1619" w:type="dxa"/>
            <w:vAlign w:val="center"/>
          </w:tcPr>
          <w:p>
            <w:pPr>
              <w:jc w:val="center"/>
              <w:rPr>
                <w:rFonts w:ascii="宋体" w:cs="仿宋_GB2312"/>
                <w:color w:val="000000" w:themeColor="text1"/>
                <w:sz w:val="24"/>
                <w:szCs w:val="24"/>
              </w:rPr>
            </w:pPr>
          </w:p>
        </w:tc>
      </w:tr>
    </w:tbl>
    <w:p>
      <w:pPr>
        <w:spacing w:line="360" w:lineRule="auto"/>
        <w:ind w:left="936" w:hanging="936" w:hangingChars="390"/>
        <w:jc w:val="left"/>
        <w:rPr>
          <w:rFonts w:ascii="宋体" w:cs="Corbel"/>
          <w:color w:val="000000" w:themeColor="text1"/>
          <w:sz w:val="24"/>
          <w:szCs w:val="24"/>
        </w:rPr>
      </w:pPr>
      <w:r>
        <w:rPr>
          <w:rFonts w:hint="eastAsia" w:ascii="宋体" w:hAnsi="宋体" w:cs="Corbel"/>
          <w:color w:val="000000" w:themeColor="text1"/>
          <w:sz w:val="24"/>
          <w:szCs w:val="24"/>
        </w:rPr>
        <w:t>说明：</w:t>
      </w:r>
      <w:r>
        <w:rPr>
          <w:rFonts w:ascii="宋体" w:hAnsi="宋体" w:cs="Corbel"/>
          <w:color w:val="000000" w:themeColor="text1"/>
          <w:sz w:val="24"/>
          <w:szCs w:val="24"/>
        </w:rPr>
        <w:t>1</w:t>
      </w:r>
      <w:r>
        <w:rPr>
          <w:rFonts w:hint="eastAsia" w:ascii="宋体" w:hAnsi="宋体" w:cs="Corbel"/>
          <w:color w:val="000000" w:themeColor="text1"/>
          <w:sz w:val="24"/>
          <w:szCs w:val="24"/>
        </w:rPr>
        <w:t>．投标人应按招标文件第三章“项目技术、服务及商务要求”中技术、服务要求</w:t>
      </w:r>
      <w:r>
        <w:rPr>
          <w:rFonts w:hint="eastAsia" w:ascii="Times New Roman" w:hAnsi="宋体"/>
          <w:color w:val="000000" w:themeColor="text1"/>
          <w:sz w:val="24"/>
          <w:szCs w:val="24"/>
        </w:rPr>
        <w:t>“★”号</w:t>
      </w:r>
      <w:r>
        <w:rPr>
          <w:rFonts w:hint="eastAsia" w:ascii="宋体" w:hAnsi="宋体" w:cs="Corbel"/>
          <w:color w:val="000000" w:themeColor="text1"/>
          <w:sz w:val="24"/>
          <w:szCs w:val="24"/>
        </w:rPr>
        <w:t>条款进行逐项说明是否满足要求，如有偏离</w:t>
      </w:r>
      <w:r>
        <w:rPr>
          <w:rFonts w:ascii="宋体" w:cs="Corbel"/>
          <w:color w:val="000000" w:themeColor="text1"/>
          <w:sz w:val="24"/>
          <w:szCs w:val="24"/>
        </w:rPr>
        <w:t>,</w:t>
      </w:r>
      <w:r>
        <w:rPr>
          <w:rFonts w:hint="eastAsia" w:ascii="宋体" w:hAnsi="宋体" w:cs="Corbel"/>
          <w:color w:val="000000" w:themeColor="text1"/>
          <w:sz w:val="24"/>
          <w:szCs w:val="24"/>
        </w:rPr>
        <w:t>投标人应详细说明。未按照要求填写此表或仅注明“符合”、“满足”的，</w:t>
      </w:r>
      <w:r>
        <w:rPr>
          <w:rFonts w:hint="eastAsia" w:ascii="宋体" w:hAnsi="宋体"/>
          <w:color w:val="000000" w:themeColor="text1"/>
          <w:sz w:val="24"/>
          <w:szCs w:val="24"/>
        </w:rPr>
        <w:t>导致的后果由投标人自行承担。</w:t>
      </w:r>
    </w:p>
    <w:p>
      <w:pPr>
        <w:spacing w:line="360" w:lineRule="auto"/>
        <w:ind w:left="1006" w:leftChars="306" w:hanging="364" w:hangingChars="152"/>
        <w:jc w:val="left"/>
        <w:rPr>
          <w:rFonts w:ascii="宋体" w:cs="Corbel"/>
          <w:color w:val="000000" w:themeColor="text1"/>
          <w:sz w:val="24"/>
          <w:szCs w:val="24"/>
        </w:rPr>
      </w:pPr>
      <w:r>
        <w:rPr>
          <w:rFonts w:ascii="宋体" w:hAnsi="宋体" w:cs="Corbel"/>
          <w:color w:val="000000" w:themeColor="text1"/>
          <w:sz w:val="24"/>
          <w:szCs w:val="24"/>
        </w:rPr>
        <w:t>2</w:t>
      </w:r>
      <w:r>
        <w:rPr>
          <w:rFonts w:hint="eastAsia" w:ascii="宋体" w:hAnsi="宋体" w:cs="Corbel"/>
          <w:color w:val="000000" w:themeColor="text1"/>
          <w:sz w:val="24"/>
          <w:szCs w:val="24"/>
        </w:rPr>
        <w:t>．投标人提供的相关证明文件对应的页码填写到上表“投标文件对应的页码”中。如未提供页码或内容页码完全不一致的，</w:t>
      </w:r>
      <w:r>
        <w:rPr>
          <w:rFonts w:hint="eastAsia" w:ascii="宋体" w:hAnsi="宋体"/>
          <w:color w:val="000000" w:themeColor="text1"/>
          <w:sz w:val="24"/>
          <w:szCs w:val="24"/>
        </w:rPr>
        <w:t>导致的后果由投标人自行承担。</w:t>
      </w:r>
    </w:p>
    <w:bookmarkEnd w:id="278"/>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r>
        <w:rPr>
          <w:color w:val="000000" w:themeColor="text1"/>
        </w:rPr>
        <w:br w:type="page"/>
      </w:r>
    </w:p>
    <w:p>
      <w:pPr>
        <w:pStyle w:val="3"/>
        <w:numPr>
          <w:ilvl w:val="0"/>
          <w:numId w:val="66"/>
        </w:numPr>
        <w:spacing w:before="100" w:beforeAutospacing="1" w:after="156" w:afterLines="50" w:line="360" w:lineRule="auto"/>
        <w:ind w:left="1610" w:hanging="1610"/>
        <w:rPr>
          <w:rFonts w:ascii="宋体"/>
          <w:color w:val="000000" w:themeColor="text1"/>
        </w:rPr>
      </w:pPr>
      <w:bookmarkStart w:id="279" w:name="_Toc494702291"/>
      <w:bookmarkStart w:id="280" w:name="_Toc494721121"/>
      <w:bookmarkStart w:id="281" w:name="_Toc494665971"/>
      <w:bookmarkStart w:id="282" w:name="_Toc494665021"/>
      <w:bookmarkStart w:id="283" w:name="_Toc494745338"/>
      <w:bookmarkStart w:id="284" w:name="_Toc494665574"/>
      <w:bookmarkStart w:id="285" w:name="_Toc30912"/>
      <w:r>
        <w:rPr>
          <w:rFonts w:hint="eastAsia" w:ascii="宋体" w:hAnsi="宋体"/>
          <w:color w:val="000000" w:themeColor="text1"/>
        </w:rPr>
        <w:t>技术、服务评议对照表</w:t>
      </w:r>
      <w:bookmarkEnd w:id="279"/>
      <w:bookmarkEnd w:id="280"/>
      <w:bookmarkEnd w:id="281"/>
      <w:bookmarkEnd w:id="282"/>
      <w:bookmarkEnd w:id="283"/>
      <w:bookmarkEnd w:id="284"/>
      <w:bookmarkEnd w:id="285"/>
    </w:p>
    <w:p>
      <w:pPr>
        <w:spacing w:line="360" w:lineRule="auto"/>
        <w:jc w:val="left"/>
        <w:rPr>
          <w:rFonts w:hAnsi="宋体"/>
          <w:b/>
          <w:color w:val="000000" w:themeColor="text1"/>
          <w:sz w:val="24"/>
        </w:rPr>
      </w:pPr>
      <w:r>
        <w:rPr>
          <w:rFonts w:hint="eastAsia" w:hAnsi="宋体"/>
          <w:b/>
          <w:color w:val="000000" w:themeColor="text1"/>
          <w:sz w:val="24"/>
        </w:rPr>
        <w:t>投</w:t>
      </w:r>
      <w:r>
        <w:rPr>
          <w:rFonts w:hAnsi="宋体"/>
          <w:b/>
          <w:color w:val="000000" w:themeColor="text1"/>
          <w:sz w:val="24"/>
        </w:rPr>
        <w:t xml:space="preserve"> </w:t>
      </w:r>
      <w:r>
        <w:rPr>
          <w:rFonts w:hint="eastAsia" w:hAnsi="宋体"/>
          <w:b/>
          <w:color w:val="000000" w:themeColor="text1"/>
          <w:sz w:val="24"/>
        </w:rPr>
        <w:t>标</w:t>
      </w:r>
      <w:r>
        <w:rPr>
          <w:rFonts w:hAnsi="宋体"/>
          <w:b/>
          <w:color w:val="000000" w:themeColor="text1"/>
          <w:sz w:val="24"/>
        </w:rPr>
        <w:t xml:space="preserve"> </w:t>
      </w:r>
      <w:r>
        <w:rPr>
          <w:rFonts w:hint="eastAsia" w:hAnsi="宋体"/>
          <w:b/>
          <w:color w:val="000000" w:themeColor="text1"/>
          <w:sz w:val="24"/>
        </w:rPr>
        <w:t>人：</w:t>
      </w:r>
    </w:p>
    <w:p>
      <w:pPr>
        <w:spacing w:line="360" w:lineRule="auto"/>
        <w:jc w:val="left"/>
        <w:rPr>
          <w:rFonts w:hAnsi="宋体"/>
          <w:b/>
          <w:color w:val="000000" w:themeColor="text1"/>
          <w:sz w:val="24"/>
        </w:rPr>
      </w:pPr>
      <w:r>
        <w:rPr>
          <w:rFonts w:hint="eastAsia" w:ascii="宋体" w:hAnsi="宋体"/>
          <w:b/>
          <w:color w:val="000000" w:themeColor="text1"/>
          <w:sz w:val="24"/>
          <w:szCs w:val="21"/>
          <w:lang w:val="zh-CN"/>
        </w:rPr>
        <w:t>项目编号：</w:t>
      </w:r>
      <w:r>
        <w:rPr>
          <w:rFonts w:ascii="宋体" w:hAnsi="宋体"/>
          <w:b/>
          <w:bCs/>
          <w:color w:val="000000" w:themeColor="text1"/>
          <w:sz w:val="24"/>
          <w:szCs w:val="21"/>
          <w:lang w:val="zh-CN"/>
        </w:rPr>
        <w:t xml:space="preserve">                </w:t>
      </w:r>
      <w:r>
        <w:rPr>
          <w:rFonts w:hint="eastAsia" w:ascii="宋体" w:hAnsi="宋体"/>
          <w:b/>
          <w:bCs/>
          <w:color w:val="000000" w:themeColor="text1"/>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9" w:type="dxa"/>
            <w:shd w:val="clear" w:color="auto" w:fill="F2F2F2"/>
            <w:vAlign w:val="center"/>
          </w:tcPr>
          <w:p>
            <w:pPr>
              <w:ind w:left="-37" w:leftChars="-18" w:right="-48" w:rightChars="-23"/>
              <w:jc w:val="center"/>
              <w:rPr>
                <w:rFonts w:ascii="宋体" w:cs="仿宋_GB2312"/>
                <w:color w:val="000000" w:themeColor="text1"/>
                <w:sz w:val="24"/>
                <w:szCs w:val="24"/>
              </w:rPr>
            </w:pPr>
            <w:r>
              <w:rPr>
                <w:rFonts w:hint="eastAsia" w:ascii="宋体" w:hAnsi="宋体" w:cs="仿宋_GB2312"/>
                <w:color w:val="000000" w:themeColor="text1"/>
                <w:sz w:val="24"/>
                <w:szCs w:val="24"/>
              </w:rPr>
              <w:t>序号</w:t>
            </w:r>
          </w:p>
        </w:tc>
        <w:tc>
          <w:tcPr>
            <w:tcW w:w="2389"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招标文件技术、服务评分标准</w:t>
            </w:r>
          </w:p>
        </w:tc>
        <w:tc>
          <w:tcPr>
            <w:tcW w:w="3227"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投标响应内容对应简述</w:t>
            </w:r>
          </w:p>
        </w:tc>
        <w:tc>
          <w:tcPr>
            <w:tcW w:w="1256" w:type="dxa"/>
            <w:shd w:val="clear" w:color="auto" w:fill="F2F2F2"/>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偏离说明</w:t>
            </w:r>
          </w:p>
        </w:tc>
        <w:tc>
          <w:tcPr>
            <w:tcW w:w="1983" w:type="dxa"/>
            <w:shd w:val="clear" w:color="auto" w:fill="F2F2F2"/>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cs="仿宋_GB2312"/>
                <w:color w:val="000000" w:themeColor="text1"/>
                <w:sz w:val="24"/>
                <w:szCs w:val="24"/>
              </w:rPr>
            </w:pPr>
          </w:p>
        </w:tc>
        <w:tc>
          <w:tcPr>
            <w:tcW w:w="2389" w:type="dxa"/>
            <w:vAlign w:val="center"/>
          </w:tcPr>
          <w:p>
            <w:pPr>
              <w:jc w:val="center"/>
              <w:rPr>
                <w:rFonts w:ascii="宋体" w:cs="仿宋_GB2312"/>
                <w:color w:val="000000" w:themeColor="text1"/>
                <w:sz w:val="24"/>
                <w:szCs w:val="24"/>
              </w:rPr>
            </w:pPr>
          </w:p>
        </w:tc>
        <w:tc>
          <w:tcPr>
            <w:tcW w:w="3227" w:type="dxa"/>
            <w:vAlign w:val="center"/>
          </w:tcPr>
          <w:p>
            <w:pPr>
              <w:jc w:val="center"/>
              <w:rPr>
                <w:rFonts w:ascii="宋体" w:cs="仿宋_GB2312"/>
                <w:color w:val="000000" w:themeColor="text1"/>
                <w:sz w:val="24"/>
                <w:szCs w:val="24"/>
              </w:rPr>
            </w:pPr>
          </w:p>
        </w:tc>
        <w:tc>
          <w:tcPr>
            <w:tcW w:w="1256" w:type="dxa"/>
            <w:vAlign w:val="center"/>
          </w:tcPr>
          <w:p>
            <w:pPr>
              <w:jc w:val="center"/>
              <w:rPr>
                <w:rFonts w:ascii="宋体" w:cs="仿宋_GB2312"/>
                <w:color w:val="000000" w:themeColor="text1"/>
                <w:sz w:val="24"/>
                <w:szCs w:val="24"/>
              </w:rPr>
            </w:pPr>
          </w:p>
        </w:tc>
        <w:tc>
          <w:tcPr>
            <w:tcW w:w="1983"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cs="仿宋_GB2312"/>
                <w:color w:val="000000" w:themeColor="text1"/>
                <w:sz w:val="24"/>
                <w:szCs w:val="24"/>
              </w:rPr>
            </w:pPr>
          </w:p>
        </w:tc>
        <w:tc>
          <w:tcPr>
            <w:tcW w:w="2389" w:type="dxa"/>
            <w:vAlign w:val="center"/>
          </w:tcPr>
          <w:p>
            <w:pPr>
              <w:jc w:val="center"/>
              <w:rPr>
                <w:rFonts w:ascii="宋体" w:cs="仿宋_GB2312"/>
                <w:color w:val="000000" w:themeColor="text1"/>
                <w:sz w:val="24"/>
                <w:szCs w:val="24"/>
              </w:rPr>
            </w:pPr>
          </w:p>
        </w:tc>
        <w:tc>
          <w:tcPr>
            <w:tcW w:w="3227" w:type="dxa"/>
            <w:vAlign w:val="center"/>
          </w:tcPr>
          <w:p>
            <w:pPr>
              <w:jc w:val="center"/>
              <w:rPr>
                <w:rFonts w:ascii="宋体" w:cs="仿宋_GB2312"/>
                <w:color w:val="000000" w:themeColor="text1"/>
                <w:sz w:val="24"/>
                <w:szCs w:val="24"/>
              </w:rPr>
            </w:pPr>
          </w:p>
        </w:tc>
        <w:tc>
          <w:tcPr>
            <w:tcW w:w="1256" w:type="dxa"/>
            <w:vAlign w:val="center"/>
          </w:tcPr>
          <w:p>
            <w:pPr>
              <w:jc w:val="center"/>
              <w:rPr>
                <w:rFonts w:ascii="宋体" w:cs="仿宋_GB2312"/>
                <w:color w:val="000000" w:themeColor="text1"/>
                <w:sz w:val="24"/>
                <w:szCs w:val="24"/>
              </w:rPr>
            </w:pPr>
          </w:p>
        </w:tc>
        <w:tc>
          <w:tcPr>
            <w:tcW w:w="1983"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cs="仿宋_GB2312"/>
                <w:color w:val="000000" w:themeColor="text1"/>
                <w:sz w:val="24"/>
                <w:szCs w:val="24"/>
              </w:rPr>
            </w:pPr>
          </w:p>
        </w:tc>
        <w:tc>
          <w:tcPr>
            <w:tcW w:w="2389" w:type="dxa"/>
            <w:vAlign w:val="center"/>
          </w:tcPr>
          <w:p>
            <w:pPr>
              <w:jc w:val="center"/>
              <w:rPr>
                <w:rFonts w:ascii="宋体" w:cs="仿宋_GB2312"/>
                <w:color w:val="000000" w:themeColor="text1"/>
                <w:sz w:val="24"/>
                <w:szCs w:val="24"/>
              </w:rPr>
            </w:pPr>
          </w:p>
        </w:tc>
        <w:tc>
          <w:tcPr>
            <w:tcW w:w="3227" w:type="dxa"/>
            <w:vAlign w:val="center"/>
          </w:tcPr>
          <w:p>
            <w:pPr>
              <w:jc w:val="center"/>
              <w:rPr>
                <w:rFonts w:ascii="宋体" w:cs="仿宋_GB2312"/>
                <w:color w:val="000000" w:themeColor="text1"/>
                <w:sz w:val="24"/>
                <w:szCs w:val="24"/>
              </w:rPr>
            </w:pPr>
          </w:p>
        </w:tc>
        <w:tc>
          <w:tcPr>
            <w:tcW w:w="1256" w:type="dxa"/>
            <w:vAlign w:val="center"/>
          </w:tcPr>
          <w:p>
            <w:pPr>
              <w:jc w:val="center"/>
              <w:rPr>
                <w:rFonts w:ascii="宋体" w:cs="仿宋_GB2312"/>
                <w:color w:val="000000" w:themeColor="text1"/>
                <w:sz w:val="24"/>
                <w:szCs w:val="24"/>
              </w:rPr>
            </w:pPr>
          </w:p>
        </w:tc>
        <w:tc>
          <w:tcPr>
            <w:tcW w:w="1983"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cs="仿宋_GB2312"/>
                <w:color w:val="000000" w:themeColor="text1"/>
                <w:sz w:val="24"/>
                <w:szCs w:val="24"/>
              </w:rPr>
            </w:pPr>
          </w:p>
        </w:tc>
        <w:tc>
          <w:tcPr>
            <w:tcW w:w="2389" w:type="dxa"/>
            <w:vAlign w:val="center"/>
          </w:tcPr>
          <w:p>
            <w:pPr>
              <w:jc w:val="center"/>
              <w:rPr>
                <w:rFonts w:ascii="宋体" w:cs="仿宋_GB2312"/>
                <w:color w:val="000000" w:themeColor="text1"/>
                <w:sz w:val="24"/>
                <w:szCs w:val="24"/>
              </w:rPr>
            </w:pPr>
          </w:p>
        </w:tc>
        <w:tc>
          <w:tcPr>
            <w:tcW w:w="3227" w:type="dxa"/>
            <w:vAlign w:val="center"/>
          </w:tcPr>
          <w:p>
            <w:pPr>
              <w:jc w:val="center"/>
              <w:rPr>
                <w:rFonts w:ascii="宋体" w:cs="仿宋_GB2312"/>
                <w:color w:val="000000" w:themeColor="text1"/>
                <w:sz w:val="24"/>
                <w:szCs w:val="24"/>
              </w:rPr>
            </w:pPr>
          </w:p>
        </w:tc>
        <w:tc>
          <w:tcPr>
            <w:tcW w:w="1256" w:type="dxa"/>
            <w:vAlign w:val="center"/>
          </w:tcPr>
          <w:p>
            <w:pPr>
              <w:jc w:val="center"/>
              <w:rPr>
                <w:rFonts w:ascii="宋体" w:cs="仿宋_GB2312"/>
                <w:color w:val="000000" w:themeColor="text1"/>
                <w:sz w:val="24"/>
                <w:szCs w:val="24"/>
              </w:rPr>
            </w:pPr>
          </w:p>
        </w:tc>
        <w:tc>
          <w:tcPr>
            <w:tcW w:w="1983"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cs="仿宋_GB2312"/>
                <w:color w:val="000000" w:themeColor="text1"/>
                <w:sz w:val="24"/>
                <w:szCs w:val="24"/>
              </w:rPr>
            </w:pPr>
          </w:p>
        </w:tc>
        <w:tc>
          <w:tcPr>
            <w:tcW w:w="2389" w:type="dxa"/>
            <w:vAlign w:val="center"/>
          </w:tcPr>
          <w:p>
            <w:pPr>
              <w:jc w:val="center"/>
              <w:rPr>
                <w:rFonts w:ascii="宋体" w:cs="仿宋_GB2312"/>
                <w:color w:val="000000" w:themeColor="text1"/>
                <w:sz w:val="24"/>
                <w:szCs w:val="24"/>
              </w:rPr>
            </w:pPr>
          </w:p>
        </w:tc>
        <w:tc>
          <w:tcPr>
            <w:tcW w:w="3227" w:type="dxa"/>
            <w:vAlign w:val="center"/>
          </w:tcPr>
          <w:p>
            <w:pPr>
              <w:jc w:val="center"/>
              <w:rPr>
                <w:rFonts w:ascii="宋体" w:cs="仿宋_GB2312"/>
                <w:color w:val="000000" w:themeColor="text1"/>
                <w:sz w:val="24"/>
                <w:szCs w:val="24"/>
              </w:rPr>
            </w:pPr>
          </w:p>
        </w:tc>
        <w:tc>
          <w:tcPr>
            <w:tcW w:w="1256" w:type="dxa"/>
            <w:vAlign w:val="center"/>
          </w:tcPr>
          <w:p>
            <w:pPr>
              <w:jc w:val="center"/>
              <w:rPr>
                <w:rFonts w:ascii="宋体" w:cs="仿宋_GB2312"/>
                <w:color w:val="000000" w:themeColor="text1"/>
                <w:sz w:val="24"/>
                <w:szCs w:val="24"/>
              </w:rPr>
            </w:pPr>
          </w:p>
        </w:tc>
        <w:tc>
          <w:tcPr>
            <w:tcW w:w="1983"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cs="仿宋_GB2312"/>
                <w:color w:val="000000" w:themeColor="text1"/>
                <w:sz w:val="24"/>
                <w:szCs w:val="24"/>
              </w:rPr>
            </w:pPr>
          </w:p>
        </w:tc>
        <w:tc>
          <w:tcPr>
            <w:tcW w:w="2389" w:type="dxa"/>
            <w:vAlign w:val="center"/>
          </w:tcPr>
          <w:p>
            <w:pPr>
              <w:jc w:val="center"/>
              <w:rPr>
                <w:rFonts w:ascii="宋体" w:cs="仿宋_GB2312"/>
                <w:color w:val="000000" w:themeColor="text1"/>
                <w:sz w:val="24"/>
                <w:szCs w:val="24"/>
              </w:rPr>
            </w:pPr>
          </w:p>
        </w:tc>
        <w:tc>
          <w:tcPr>
            <w:tcW w:w="3227" w:type="dxa"/>
            <w:vAlign w:val="center"/>
          </w:tcPr>
          <w:p>
            <w:pPr>
              <w:jc w:val="center"/>
              <w:rPr>
                <w:rFonts w:ascii="宋体" w:cs="仿宋_GB2312"/>
                <w:color w:val="000000" w:themeColor="text1"/>
                <w:sz w:val="24"/>
                <w:szCs w:val="24"/>
              </w:rPr>
            </w:pPr>
          </w:p>
        </w:tc>
        <w:tc>
          <w:tcPr>
            <w:tcW w:w="1256" w:type="dxa"/>
            <w:vAlign w:val="center"/>
          </w:tcPr>
          <w:p>
            <w:pPr>
              <w:jc w:val="center"/>
              <w:rPr>
                <w:rFonts w:ascii="宋体" w:cs="仿宋_GB2312"/>
                <w:color w:val="000000" w:themeColor="text1"/>
                <w:sz w:val="24"/>
                <w:szCs w:val="24"/>
              </w:rPr>
            </w:pPr>
          </w:p>
        </w:tc>
        <w:tc>
          <w:tcPr>
            <w:tcW w:w="1983" w:type="dxa"/>
            <w:vAlign w:val="center"/>
          </w:tcPr>
          <w:p>
            <w:pPr>
              <w:jc w:val="center"/>
              <w:rPr>
                <w:rFonts w:ascii="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jc w:val="center"/>
              <w:rPr>
                <w:rFonts w:ascii="宋体" w:cs="仿宋_GB2312"/>
                <w:color w:val="000000" w:themeColor="text1"/>
                <w:sz w:val="24"/>
                <w:szCs w:val="24"/>
              </w:rPr>
            </w:pPr>
            <w:r>
              <w:rPr>
                <w:rFonts w:hint="eastAsia" w:ascii="宋体" w:hAnsi="宋体" w:cs="仿宋_GB2312"/>
                <w:color w:val="000000" w:themeColor="text1"/>
                <w:sz w:val="24"/>
                <w:szCs w:val="24"/>
              </w:rPr>
              <w:t>…</w:t>
            </w:r>
          </w:p>
        </w:tc>
        <w:tc>
          <w:tcPr>
            <w:tcW w:w="2389" w:type="dxa"/>
            <w:vAlign w:val="center"/>
          </w:tcPr>
          <w:p>
            <w:pPr>
              <w:jc w:val="center"/>
              <w:rPr>
                <w:rFonts w:ascii="宋体" w:cs="仿宋_GB2312"/>
                <w:color w:val="000000" w:themeColor="text1"/>
                <w:sz w:val="24"/>
                <w:szCs w:val="24"/>
              </w:rPr>
            </w:pPr>
          </w:p>
        </w:tc>
        <w:tc>
          <w:tcPr>
            <w:tcW w:w="3227" w:type="dxa"/>
            <w:vAlign w:val="center"/>
          </w:tcPr>
          <w:p>
            <w:pPr>
              <w:jc w:val="center"/>
              <w:rPr>
                <w:rFonts w:ascii="宋体" w:cs="仿宋_GB2312"/>
                <w:color w:val="000000" w:themeColor="text1"/>
                <w:sz w:val="24"/>
                <w:szCs w:val="24"/>
              </w:rPr>
            </w:pPr>
          </w:p>
        </w:tc>
        <w:tc>
          <w:tcPr>
            <w:tcW w:w="1256" w:type="dxa"/>
            <w:vAlign w:val="center"/>
          </w:tcPr>
          <w:p>
            <w:pPr>
              <w:jc w:val="center"/>
              <w:rPr>
                <w:rFonts w:ascii="宋体" w:cs="仿宋_GB2312"/>
                <w:color w:val="000000" w:themeColor="text1"/>
                <w:sz w:val="24"/>
                <w:szCs w:val="24"/>
              </w:rPr>
            </w:pPr>
          </w:p>
        </w:tc>
        <w:tc>
          <w:tcPr>
            <w:tcW w:w="1983" w:type="dxa"/>
            <w:vAlign w:val="center"/>
          </w:tcPr>
          <w:p>
            <w:pPr>
              <w:jc w:val="center"/>
              <w:rPr>
                <w:rFonts w:ascii="宋体" w:cs="仿宋_GB2312"/>
                <w:color w:val="000000" w:themeColor="text1"/>
                <w:sz w:val="24"/>
                <w:szCs w:val="24"/>
              </w:rPr>
            </w:pPr>
          </w:p>
        </w:tc>
      </w:tr>
    </w:tbl>
    <w:p>
      <w:pPr>
        <w:spacing w:line="360" w:lineRule="auto"/>
        <w:ind w:left="1092" w:hanging="1092" w:hangingChars="455"/>
        <w:jc w:val="left"/>
        <w:rPr>
          <w:rFonts w:ascii="宋体" w:cs="Corbel"/>
          <w:color w:val="000000" w:themeColor="text1"/>
          <w:sz w:val="24"/>
          <w:szCs w:val="24"/>
        </w:rPr>
      </w:pPr>
      <w:r>
        <w:rPr>
          <w:rFonts w:hint="eastAsia" w:ascii="宋体" w:hAnsi="宋体" w:cs="Corbel"/>
          <w:color w:val="000000" w:themeColor="text1"/>
          <w:sz w:val="24"/>
          <w:szCs w:val="24"/>
        </w:rPr>
        <w:t>说明：</w:t>
      </w:r>
      <w:r>
        <w:rPr>
          <w:rFonts w:ascii="宋体" w:hAnsi="宋体" w:cs="Corbel"/>
          <w:color w:val="000000" w:themeColor="text1"/>
          <w:sz w:val="24"/>
          <w:szCs w:val="24"/>
        </w:rPr>
        <w:t>1</w:t>
      </w:r>
      <w:r>
        <w:rPr>
          <w:rFonts w:hint="eastAsia" w:ascii="宋体" w:hAnsi="宋体" w:cs="Corbel"/>
          <w:color w:val="000000" w:themeColor="text1"/>
          <w:sz w:val="24"/>
          <w:szCs w:val="24"/>
        </w:rPr>
        <w:t>．投标人应按招标文件第五章“评标方法、程序及标准”中“技术、服务评议”的评分标准逐项说明是否满足要求，如有偏离</w:t>
      </w:r>
      <w:r>
        <w:rPr>
          <w:rFonts w:ascii="宋体" w:cs="Corbel"/>
          <w:color w:val="000000" w:themeColor="text1"/>
          <w:sz w:val="24"/>
          <w:szCs w:val="24"/>
        </w:rPr>
        <w:t>,</w:t>
      </w:r>
      <w:r>
        <w:rPr>
          <w:rFonts w:hint="eastAsia" w:ascii="宋体" w:hAnsi="宋体" w:cs="Corbel"/>
          <w:color w:val="000000" w:themeColor="text1"/>
          <w:sz w:val="24"/>
          <w:szCs w:val="24"/>
        </w:rPr>
        <w:t>投标人应详细说明。未按照要求填写此表或仅注明“符合”、“满足”的，</w:t>
      </w:r>
      <w:r>
        <w:rPr>
          <w:rFonts w:hint="eastAsia" w:ascii="宋体" w:hAnsi="宋体"/>
          <w:color w:val="000000" w:themeColor="text1"/>
          <w:sz w:val="24"/>
          <w:szCs w:val="24"/>
        </w:rPr>
        <w:t>导致的后果由投标人自行承担。</w:t>
      </w:r>
    </w:p>
    <w:p>
      <w:pPr>
        <w:spacing w:line="360" w:lineRule="auto"/>
        <w:ind w:left="1006" w:leftChars="306" w:hanging="364" w:hangingChars="152"/>
        <w:jc w:val="left"/>
        <w:rPr>
          <w:rFonts w:ascii="宋体" w:cs="Corbel"/>
          <w:color w:val="000000" w:themeColor="text1"/>
          <w:sz w:val="24"/>
          <w:szCs w:val="24"/>
        </w:rPr>
      </w:pPr>
      <w:r>
        <w:rPr>
          <w:rFonts w:ascii="宋体" w:hAnsi="宋体" w:cs="Corbel"/>
          <w:color w:val="000000" w:themeColor="text1"/>
          <w:sz w:val="24"/>
          <w:szCs w:val="24"/>
        </w:rPr>
        <w:t>2</w:t>
      </w:r>
      <w:r>
        <w:rPr>
          <w:rFonts w:hint="eastAsia" w:ascii="宋体" w:hAnsi="宋体" w:cs="Corbel"/>
          <w:color w:val="000000" w:themeColor="text1"/>
          <w:sz w:val="24"/>
          <w:szCs w:val="24"/>
        </w:rPr>
        <w:t>．投标人提供的相关证明文件对应的页码填写到上表“投标文件对应的页码”中。如未提供页码或内容页码完全不一致的，</w:t>
      </w:r>
      <w:r>
        <w:rPr>
          <w:rFonts w:hint="eastAsia" w:ascii="宋体" w:hAnsi="宋体"/>
          <w:color w:val="000000" w:themeColor="text1"/>
          <w:sz w:val="24"/>
          <w:szCs w:val="24"/>
        </w:rPr>
        <w:t>导致的后果由投标人自行承担。</w:t>
      </w:r>
    </w:p>
    <w:p>
      <w:pPr>
        <w:adjustRightInd w:val="0"/>
        <w:snapToGrid w:val="0"/>
        <w:spacing w:line="300" w:lineRule="auto"/>
        <w:ind w:left="720" w:hanging="720" w:hangingChars="300"/>
        <w:rPr>
          <w:rFonts w:ascii="宋体" w:cs="Corbel"/>
          <w:color w:val="000000" w:themeColor="text1"/>
          <w:sz w:val="24"/>
          <w:szCs w:val="24"/>
        </w:rPr>
      </w:pPr>
    </w:p>
    <w:p>
      <w:pPr>
        <w:spacing w:before="100" w:beforeAutospacing="1" w:after="100" w:afterAutospacing="1" w:line="360" w:lineRule="auto"/>
        <w:ind w:firstLine="3316" w:firstLineChars="1382"/>
        <w:rPr>
          <w:rFonts w:hAnsi="宋体"/>
          <w:color w:val="000000" w:themeColor="text1"/>
          <w:sz w:val="24"/>
          <w:u w:val="single"/>
        </w:rPr>
      </w:pPr>
      <w:r>
        <w:rPr>
          <w:rFonts w:hint="eastAsia" w:hAnsi="宋体"/>
          <w:color w:val="000000" w:themeColor="text1"/>
          <w:sz w:val="24"/>
        </w:rPr>
        <w:t>投标人（公章）：</w:t>
      </w:r>
    </w:p>
    <w:p>
      <w:pPr>
        <w:spacing w:before="100" w:beforeAutospacing="1" w:after="100" w:afterAutospacing="1" w:line="360" w:lineRule="auto"/>
        <w:ind w:firstLine="3316" w:firstLineChars="1382"/>
        <w:rPr>
          <w:rFonts w:hAnsi="宋体"/>
          <w:color w:val="000000" w:themeColor="text1"/>
          <w:sz w:val="24"/>
          <w:u w:val="single"/>
        </w:rPr>
      </w:pPr>
      <w:r>
        <w:rPr>
          <w:rFonts w:hint="eastAsia" w:ascii="宋体" w:hAnsi="宋体"/>
          <w:color w:val="000000" w:themeColor="text1"/>
          <w:sz w:val="24"/>
          <w:szCs w:val="21"/>
          <w:lang w:val="zh-CN"/>
        </w:rPr>
        <w:t>投标人</w:t>
      </w:r>
      <w:r>
        <w:rPr>
          <w:rFonts w:hint="eastAsia" w:hAnsi="宋体"/>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color w:val="000000" w:themeColor="text1"/>
          <w:sz w:val="24"/>
          <w:szCs w:val="21"/>
          <w:lang w:val="zh-CN"/>
        </w:rPr>
        <w:t>投标</w:t>
      </w:r>
      <w:r>
        <w:rPr>
          <w:rFonts w:hint="eastAsia" w:hAnsi="宋体"/>
          <w:color w:val="000000" w:themeColor="text1"/>
          <w:sz w:val="24"/>
        </w:rPr>
        <w:t>时间：</w:t>
      </w:r>
    </w:p>
    <w:p>
      <w:pPr>
        <w:rPr>
          <w:color w:val="000000" w:themeColor="text1"/>
        </w:rPr>
      </w:pPr>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长城仿宋">
    <w:altName w:val="黑体"/>
    <w:panose1 w:val="00000000000000000000"/>
    <w:charset w:val="86"/>
    <w:family w:val="decorative"/>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rPr>
        <w:rFonts w:ascii="宋体"/>
        <w:b/>
        <w:bCs/>
      </w:rPr>
    </w:pPr>
    <w:r>
      <w:rPr>
        <w:rFonts w:hint="eastAsia" w:ascii="宋体" w:hAnsi="宋体"/>
        <w:bCs/>
      </w:rPr>
      <w:t>湖北省政府采购中心编制</w:t>
    </w:r>
    <w:r>
      <w:rPr>
        <w:rFonts w:ascii="宋体" w:hAnsi="宋体"/>
        <w:bCs/>
      </w:rPr>
      <w:t>V3.0.2017.0930</w:t>
    </w:r>
  </w:p>
  <w:p>
    <w:pPr>
      <w:pStyle w:val="12"/>
      <w:tabs>
        <w:tab w:val="clear" w:pos="4153"/>
        <w:tab w:val="clear" w:pos="8306"/>
      </w:tabs>
      <w:jc w:val="center"/>
      <w:rPr>
        <w:rFonts w:ascii="宋体"/>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22</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61</w:t>
    </w:r>
    <w:r>
      <w:rPr>
        <w:rFonts w:ascii="宋体" w:hAnsi="宋体"/>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000000" w:sz="4" w:space="1"/>
      </w:pBdr>
      <w:tabs>
        <w:tab w:val="clear" w:pos="4153"/>
        <w:tab w:val="clear" w:pos="8306"/>
      </w:tabs>
      <w:ind w:right="-9" w:firstLine="360" w:firstLineChars="200"/>
      <w:jc w:val="both"/>
    </w:pPr>
    <w:r>
      <w:rPr>
        <w:rFonts w:ascii="宋体" w:hAnsi="宋体"/>
      </w:rPr>
      <w:t xml:space="preserve">                                                                 </w:t>
    </w:r>
    <w:r>
      <w:rPr>
        <w:rFonts w:hint="eastAsia" w:ascii="宋体" w:hAnsi="宋体"/>
      </w:rPr>
      <w:t>正大鹏安建设项目管理有限公司 制</w:t>
    </w:r>
  </w:p>
  <w:p>
    <w:pPr>
      <w:pStyle w:val="12"/>
      <w:pBdr>
        <w:top w:val="single" w:color="000000" w:sz="4" w:space="1"/>
      </w:pBdr>
      <w:tabs>
        <w:tab w:val="clear" w:pos="4153"/>
        <w:tab w:val="clear" w:pos="8306"/>
      </w:tabs>
      <w:ind w:right="-9"/>
      <w:jc w:val="center"/>
      <w:rPr>
        <w:rFonts w:ascii="宋体"/>
        <w:b/>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101</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145</w:t>
    </w:r>
    <w:r>
      <w:rPr>
        <w:rFonts w:ascii="宋体" w:hAnsi="宋体"/>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675"/>
        <w:tab w:val="center" w:pos="4762"/>
      </w:tabs>
      <w:jc w:val="left"/>
      <w:rPr>
        <w:b/>
      </w:rPr>
    </w:pPr>
  </w:p>
  <w:p>
    <w:pPr>
      <w:pStyle w:val="13"/>
      <w:pBdr>
        <w:bottom w:val="single" w:color="000000" w:sz="4" w:space="0"/>
      </w:pBdr>
      <w:tabs>
        <w:tab w:val="clear" w:pos="4153"/>
      </w:tabs>
      <w:jc w:val="left"/>
      <w:rPr>
        <w:rFonts w:ascii="黑体" w:hAnsi="黑体" w:eastAsia="黑体" w:cs="黑体"/>
        <w:b/>
        <w:bCs/>
      </w:rPr>
    </w:pPr>
    <w:r>
      <w:rPr>
        <w:rFonts w:hint="eastAsia" w:ascii="黑体" w:hAnsi="黑体" w:eastAsia="黑体" w:cs="黑体"/>
        <w:b/>
        <w:bCs/>
      </w:rPr>
      <w:t>项目名称：</w:t>
    </w:r>
    <w:r>
      <w:rPr>
        <w:rFonts w:hint="eastAsia" w:ascii="黑体" w:hAnsi="黑体" w:eastAsia="黑体" w:cs="黑体"/>
        <w:b/>
        <w:color w:val="000000"/>
      </w:rPr>
      <w:t>阳新县第一中学老校区理化生实验室设备、会议系统设备采购及安装项目</w:t>
    </w:r>
  </w:p>
  <w:p>
    <w:pPr>
      <w:adjustRightInd w:val="0"/>
      <w:snapToGrid w:val="0"/>
      <w:spacing w:line="360" w:lineRule="auto"/>
      <w:ind w:firstLine="3150" w:firstLineChars="1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left"/>
      <w:rPr>
        <w:rFonts w:ascii="宋体"/>
        <w:b/>
      </w:rPr>
    </w:pPr>
    <w:r>
      <w:rPr>
        <w:rFonts w:hint="eastAsia" w:ascii="宋体" w:hAnsi="宋体"/>
        <w:b/>
      </w:rPr>
      <w:t>项目名称：</w:t>
    </w:r>
    <w:r>
      <w:rPr>
        <w:rFonts w:ascii="宋体" w:hAnsi="宋体"/>
        <w:b/>
      </w:rPr>
      <w:t>XXXXXXXXXXXX</w:t>
    </w:r>
    <w:r>
      <w:rPr>
        <w:rFonts w:hint="eastAsia" w:ascii="宋体" w:hAnsi="宋体"/>
        <w:b/>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s>
      <w:jc w:val="left"/>
      <w:rPr>
        <w:b/>
      </w:rPr>
    </w:pPr>
  </w:p>
  <w:p>
    <w:pPr>
      <w:pStyle w:val="13"/>
      <w:pBdr>
        <w:bottom w:val="none" w:color="auto" w:sz="0" w:space="0"/>
      </w:pBdr>
      <w:tabs>
        <w:tab w:val="clear" w:pos="4153"/>
      </w:tabs>
      <w:jc w:val="left"/>
      <w:rPr>
        <w:b/>
      </w:rPr>
    </w:pPr>
  </w:p>
  <w:p>
    <w:pPr>
      <w:pStyle w:val="13"/>
      <w:pBdr>
        <w:bottom w:val="single" w:color="000000" w:sz="4" w:space="0"/>
      </w:pBdr>
      <w:tabs>
        <w:tab w:val="clear" w:pos="4153"/>
      </w:tabs>
      <w:jc w:val="left"/>
      <w:rPr>
        <w:rFonts w:ascii="黑体" w:hAnsi="黑体" w:eastAsia="黑体" w:cs="黑体"/>
        <w:b/>
        <w:bCs/>
      </w:rPr>
    </w:pPr>
    <w:r>
      <w:rPr>
        <w:rFonts w:hint="eastAsia" w:ascii="黑体" w:hAnsi="黑体" w:eastAsia="黑体" w:cs="黑体"/>
        <w:b/>
        <w:bCs/>
      </w:rPr>
      <w:t>项目名称：</w:t>
    </w:r>
    <w:r>
      <w:rPr>
        <w:rFonts w:hint="eastAsia" w:ascii="黑体" w:hAnsi="黑体" w:eastAsia="黑体" w:cs="黑体"/>
        <w:b/>
        <w:color w:val="000000"/>
      </w:rPr>
      <w:t>阳新县第一中学老校区理化生实验室设备、会议系统设备采购及安装项目</w:t>
    </w:r>
  </w:p>
  <w:p>
    <w:pPr>
      <w:pStyle w:val="13"/>
      <w:pBdr>
        <w:bottom w:val="none" w:color="auto" w:sz="0" w:space="0"/>
      </w:pBdr>
      <w:tabs>
        <w:tab w:val="clear" w:pos="4153"/>
      </w:tabs>
      <w:jc w:val="lef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1BC443A"/>
    <w:multiLevelType w:val="multilevel"/>
    <w:tmpl w:val="01BC443A"/>
    <w:lvl w:ilvl="0" w:tentative="0">
      <w:start w:val="1"/>
      <w:numFmt w:val="chineseCountingThousand"/>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38000C8"/>
    <w:multiLevelType w:val="multilevel"/>
    <w:tmpl w:val="038000C8"/>
    <w:lvl w:ilvl="0" w:tentative="0">
      <w:start w:val="1"/>
      <w:numFmt w:val="decimal"/>
      <w:lvlText w:val="%1"/>
      <w:lvlJc w:val="center"/>
      <w:pPr>
        <w:ind w:left="420" w:hanging="420"/>
      </w:pPr>
      <w:rPr>
        <w:rFonts w:hint="eastAsia" w:cs="Times New Roman"/>
        <w:b w:val="0"/>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8112400"/>
    <w:multiLevelType w:val="multilevel"/>
    <w:tmpl w:val="08112400"/>
    <w:lvl w:ilvl="0" w:tentative="0">
      <w:start w:val="1"/>
      <w:numFmt w:val="decimal"/>
      <w:lvlText w:val="8.%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6">
    <w:nsid w:val="092D2B91"/>
    <w:multiLevelType w:val="multilevel"/>
    <w:tmpl w:val="092D2B91"/>
    <w:lvl w:ilvl="0" w:tentative="0">
      <w:start w:val="1"/>
      <w:numFmt w:val="decimal"/>
      <w:lvlText w:val="3.%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EB600DC"/>
    <w:multiLevelType w:val="multilevel"/>
    <w:tmpl w:val="0EB600DC"/>
    <w:lvl w:ilvl="0" w:tentative="0">
      <w:start w:val="1"/>
      <w:numFmt w:val="decimal"/>
      <w:lvlText w:val="2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0F196355"/>
    <w:multiLevelType w:val="multilevel"/>
    <w:tmpl w:val="0F196355"/>
    <w:lvl w:ilvl="0" w:tentative="0">
      <w:start w:val="1"/>
      <w:numFmt w:val="decimal"/>
      <w:lvlText w:val="15.%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100F5420"/>
    <w:multiLevelType w:val="multilevel"/>
    <w:tmpl w:val="100F5420"/>
    <w:lvl w:ilvl="0" w:tentative="0">
      <w:start w:val="1"/>
      <w:numFmt w:val="decimal"/>
      <w:lvlText w:val="12.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10">
    <w:nsid w:val="12F3169F"/>
    <w:multiLevelType w:val="multilevel"/>
    <w:tmpl w:val="12F3169F"/>
    <w:lvl w:ilvl="0" w:tentative="0">
      <w:start w:val="1"/>
      <w:numFmt w:val="decimal"/>
      <w:lvlText w:val="1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13F1CE00"/>
    <w:multiLevelType w:val="singleLevel"/>
    <w:tmpl w:val="13F1CE00"/>
    <w:lvl w:ilvl="0" w:tentative="0">
      <w:start w:val="5"/>
      <w:numFmt w:val="decimal"/>
      <w:suff w:val="nothing"/>
      <w:lvlText w:val="%1、"/>
      <w:lvlJc w:val="left"/>
    </w:lvl>
  </w:abstractNum>
  <w:abstractNum w:abstractNumId="12">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cs="Times New Roman"/>
        <w:b/>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15DE1A41"/>
    <w:multiLevelType w:val="multilevel"/>
    <w:tmpl w:val="15DE1A41"/>
    <w:lvl w:ilvl="0" w:tentative="0">
      <w:start w:val="1"/>
      <w:numFmt w:val="decimal"/>
      <w:lvlText w:val="4.6.%1 "/>
      <w:lvlJc w:val="left"/>
      <w:pPr>
        <w:ind w:left="1271" w:hanging="420"/>
      </w:pPr>
      <w:rPr>
        <w:rFonts w:hint="default" w:ascii="楷体" w:hAnsi="楷体" w:eastAsia="楷体" w:cs="Times New Roman"/>
        <w:b w:val="0"/>
        <w:strike w:val="0"/>
        <w:color w:val="auto"/>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4">
    <w:nsid w:val="15F76080"/>
    <w:multiLevelType w:val="multilevel"/>
    <w:tmpl w:val="15F76080"/>
    <w:lvl w:ilvl="0" w:tentative="0">
      <w:start w:val="1"/>
      <w:numFmt w:val="decimal"/>
      <w:lvlText w:val="4.%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5">
    <w:nsid w:val="1636573F"/>
    <w:multiLevelType w:val="multilevel"/>
    <w:tmpl w:val="1636573F"/>
    <w:lvl w:ilvl="0" w:tentative="0">
      <w:start w:val="1"/>
      <w:numFmt w:val="decimal"/>
      <w:lvlText w:val="1.%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16962145"/>
    <w:multiLevelType w:val="multilevel"/>
    <w:tmpl w:val="16962145"/>
    <w:lvl w:ilvl="0" w:tentative="0">
      <w:start w:val="1"/>
      <w:numFmt w:val="decimal"/>
      <w:lvlText w:val="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17A96B63"/>
    <w:multiLevelType w:val="multilevel"/>
    <w:tmpl w:val="17A96B63"/>
    <w:lvl w:ilvl="0" w:tentative="0">
      <w:start w:val="1"/>
      <w:numFmt w:val="decimal"/>
      <w:lvlText w:val="%1、"/>
      <w:lvlJc w:val="left"/>
      <w:pPr>
        <w:ind w:left="502"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25015415"/>
    <w:multiLevelType w:val="multilevel"/>
    <w:tmpl w:val="25015415"/>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19">
    <w:nsid w:val="251B2B6C"/>
    <w:multiLevelType w:val="multilevel"/>
    <w:tmpl w:val="251B2B6C"/>
    <w:lvl w:ilvl="0" w:tentative="0">
      <w:start w:val="1"/>
      <w:numFmt w:val="chineseCountingThousand"/>
      <w:lvlText w:val="（%1） "/>
      <w:lvlJc w:val="left"/>
      <w:pPr>
        <w:ind w:left="902" w:hanging="420"/>
      </w:pPr>
      <w:rPr>
        <w:rFonts w:hint="eastAsia" w:cs="Times New Roman"/>
        <w:b/>
        <w:strike w:val="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20">
    <w:nsid w:val="251F49FC"/>
    <w:multiLevelType w:val="multilevel"/>
    <w:tmpl w:val="251F49F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1">
    <w:nsid w:val="279A794F"/>
    <w:multiLevelType w:val="multilevel"/>
    <w:tmpl w:val="279A794F"/>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22">
    <w:nsid w:val="27FE7BA7"/>
    <w:multiLevelType w:val="multilevel"/>
    <w:tmpl w:val="27FE7BA7"/>
    <w:lvl w:ilvl="0" w:tentative="0">
      <w:start w:val="1"/>
      <w:numFmt w:val="decimal"/>
      <w:lvlText w:val="27.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23">
    <w:nsid w:val="28394228"/>
    <w:multiLevelType w:val="multilevel"/>
    <w:tmpl w:val="28394228"/>
    <w:lvl w:ilvl="0" w:tentative="0">
      <w:start w:val="1"/>
      <w:numFmt w:val="decimal"/>
      <w:lvlText w:val="%1"/>
      <w:lvlJc w:val="center"/>
      <w:pPr>
        <w:ind w:left="420" w:hanging="420"/>
      </w:pPr>
      <w:rPr>
        <w:rFonts w:hint="eastAsia" w:cs="Times New Roman"/>
        <w:b w:val="0"/>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28AA4AF5"/>
    <w:multiLevelType w:val="multilevel"/>
    <w:tmpl w:val="28AA4AF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25">
    <w:nsid w:val="29735AF9"/>
    <w:multiLevelType w:val="multilevel"/>
    <w:tmpl w:val="29735AF9"/>
    <w:lvl w:ilvl="0" w:tentative="0">
      <w:start w:val="1"/>
      <w:numFmt w:val="decimal"/>
      <w:lvlText w:val="11.%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2ABF2833"/>
    <w:multiLevelType w:val="multilevel"/>
    <w:tmpl w:val="2ABF2833"/>
    <w:lvl w:ilvl="0" w:tentative="0">
      <w:start w:val="1"/>
      <w:numFmt w:val="decimal"/>
      <w:lvlText w:val="1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2CC65A04"/>
    <w:multiLevelType w:val="multilevel"/>
    <w:tmpl w:val="2CC65A04"/>
    <w:lvl w:ilvl="0" w:tentative="0">
      <w:start w:val="1"/>
      <w:numFmt w:val="decimal"/>
      <w:lvlText w:val="3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2D665F38"/>
    <w:multiLevelType w:val="multilevel"/>
    <w:tmpl w:val="2D665F38"/>
    <w:lvl w:ilvl="0" w:tentative="0">
      <w:start w:val="1"/>
      <w:numFmt w:val="decimal"/>
      <w:lvlText w:val="5.%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29">
    <w:nsid w:val="2D850054"/>
    <w:multiLevelType w:val="multilevel"/>
    <w:tmpl w:val="2D850054"/>
    <w:lvl w:ilvl="0" w:tentative="0">
      <w:start w:val="1"/>
      <w:numFmt w:val="decimal"/>
      <w:lvlText w:val="%1. "/>
      <w:lvlJc w:val="left"/>
      <w:pPr>
        <w:ind w:left="840" w:hanging="420"/>
      </w:pPr>
      <w:rPr>
        <w:rFonts w:hint="default" w:ascii="宋体" w:hAnsi="宋体" w:eastAsia="宋体" w:cs="Times New Roman"/>
        <w:b/>
        <w:strike w:val="0"/>
        <w:color w:val="auto"/>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0">
    <w:nsid w:val="2E825AFA"/>
    <w:multiLevelType w:val="multilevel"/>
    <w:tmpl w:val="2E825AFA"/>
    <w:lvl w:ilvl="0" w:tentative="0">
      <w:start w:val="1"/>
      <w:numFmt w:val="decimal"/>
      <w:lvlText w:val="2.%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1">
    <w:nsid w:val="311832AE"/>
    <w:multiLevelType w:val="multilevel"/>
    <w:tmpl w:val="311832AE"/>
    <w:lvl w:ilvl="0" w:tentative="0">
      <w:start w:val="1"/>
      <w:numFmt w:val="decimal"/>
      <w:lvlText w:val="1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315F4B3A"/>
    <w:multiLevelType w:val="multilevel"/>
    <w:tmpl w:val="315F4B3A"/>
    <w:lvl w:ilvl="0" w:tentative="0">
      <w:start w:val="1"/>
      <w:numFmt w:val="decimal"/>
      <w:lvlText w:val="7.%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33">
    <w:nsid w:val="33020AE6"/>
    <w:multiLevelType w:val="multilevel"/>
    <w:tmpl w:val="33020AE6"/>
    <w:lvl w:ilvl="0" w:tentative="0">
      <w:start w:val="1"/>
      <w:numFmt w:val="decimal"/>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35442C9F"/>
    <w:multiLevelType w:val="multilevel"/>
    <w:tmpl w:val="35442C9F"/>
    <w:lvl w:ilvl="0" w:tentative="0">
      <w:start w:val="1"/>
      <w:numFmt w:val="decimal"/>
      <w:lvlText w:val="（%1）"/>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5">
    <w:nsid w:val="37C132BF"/>
    <w:multiLevelType w:val="multilevel"/>
    <w:tmpl w:val="37C132BF"/>
    <w:lvl w:ilvl="0" w:tentative="0">
      <w:start w:val="1"/>
      <w:numFmt w:val="decimal"/>
      <w:lvlText w:val="4.%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38F606C2"/>
    <w:multiLevelType w:val="multilevel"/>
    <w:tmpl w:val="38F606C2"/>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7">
    <w:nsid w:val="3DE06FC6"/>
    <w:multiLevelType w:val="multilevel"/>
    <w:tmpl w:val="3DE06FC6"/>
    <w:lvl w:ilvl="0" w:tentative="0">
      <w:start w:val="1"/>
      <w:numFmt w:val="decimal"/>
      <w:lvlText w:val="20.%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8">
    <w:nsid w:val="3FF72387"/>
    <w:multiLevelType w:val="multilevel"/>
    <w:tmpl w:val="3FF72387"/>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39">
    <w:nsid w:val="40E6015E"/>
    <w:multiLevelType w:val="multilevel"/>
    <w:tmpl w:val="40E6015E"/>
    <w:lvl w:ilvl="0" w:tentative="0">
      <w:start w:val="1"/>
      <w:numFmt w:val="decimal"/>
      <w:lvlText w:val="29.2.%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40">
    <w:nsid w:val="41730A17"/>
    <w:multiLevelType w:val="multilevel"/>
    <w:tmpl w:val="41730A17"/>
    <w:lvl w:ilvl="0" w:tentative="0">
      <w:start w:val="1"/>
      <w:numFmt w:val="decimal"/>
      <w:lvlText w:val="21.%1"/>
      <w:lvlJc w:val="left"/>
      <w:pPr>
        <w:ind w:left="562" w:hanging="420"/>
      </w:pPr>
      <w:rPr>
        <w:rFonts w:hint="default" w:ascii="仿宋" w:hAnsi="仿宋" w:eastAsia="仿宋" w:cs="Times New Roman"/>
        <w:b w:val="0"/>
        <w:strike w:val="0"/>
        <w:color w:val="auto"/>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41">
    <w:nsid w:val="440821F5"/>
    <w:multiLevelType w:val="multilevel"/>
    <w:tmpl w:val="440821F5"/>
    <w:lvl w:ilvl="0" w:tentative="0">
      <w:start w:val="1"/>
      <w:numFmt w:val="decimal"/>
      <w:lvlText w:val="%1."/>
      <w:lvlJc w:val="left"/>
      <w:pPr>
        <w:ind w:left="42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445F2796"/>
    <w:multiLevelType w:val="multilevel"/>
    <w:tmpl w:val="445F2796"/>
    <w:lvl w:ilvl="0" w:tentative="0">
      <w:start w:val="1"/>
      <w:numFmt w:val="decimal"/>
      <w:lvlText w:val="2.%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3">
    <w:nsid w:val="4D575265"/>
    <w:multiLevelType w:val="multilevel"/>
    <w:tmpl w:val="4D575265"/>
    <w:lvl w:ilvl="0" w:tentative="0">
      <w:start w:val="1"/>
      <w:numFmt w:val="decimal"/>
      <w:lvlText w:val="4.%1  "/>
      <w:lvlJc w:val="left"/>
      <w:pPr>
        <w:ind w:left="846"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44">
    <w:nsid w:val="4EAF5455"/>
    <w:multiLevelType w:val="multilevel"/>
    <w:tmpl w:val="4EAF5455"/>
    <w:lvl w:ilvl="0" w:tentative="0">
      <w:start w:val="1"/>
      <w:numFmt w:val="chineseCountingThousand"/>
      <w:lvlText w:val="第%1章  "/>
      <w:lvlJc w:val="left"/>
      <w:pPr>
        <w:ind w:left="147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5">
    <w:nsid w:val="505F200A"/>
    <w:multiLevelType w:val="multilevel"/>
    <w:tmpl w:val="505F200A"/>
    <w:lvl w:ilvl="0" w:tentative="0">
      <w:start w:val="1"/>
      <w:numFmt w:val="decimal"/>
      <w:lvlText w:val="1.%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6">
    <w:nsid w:val="54AC2495"/>
    <w:multiLevelType w:val="multilevel"/>
    <w:tmpl w:val="54AC2495"/>
    <w:lvl w:ilvl="0" w:tentative="0">
      <w:start w:val="1"/>
      <w:numFmt w:val="decimal"/>
      <w:lvlText w:val="26.%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570117E4"/>
    <w:multiLevelType w:val="multilevel"/>
    <w:tmpl w:val="570117E4"/>
    <w:lvl w:ilvl="0" w:tentative="0">
      <w:start w:val="1"/>
      <w:numFmt w:val="decimal"/>
      <w:lvlText w:val="23.%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577C0B87"/>
    <w:multiLevelType w:val="multilevel"/>
    <w:tmpl w:val="577C0B87"/>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9">
    <w:nsid w:val="59A852BA"/>
    <w:multiLevelType w:val="multilevel"/>
    <w:tmpl w:val="59A852BA"/>
    <w:lvl w:ilvl="0" w:tentative="0">
      <w:start w:val="1"/>
      <w:numFmt w:val="decimal"/>
      <w:lvlText w:val="6.%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50">
    <w:nsid w:val="5A02CE94"/>
    <w:multiLevelType w:val="multilevel"/>
    <w:tmpl w:val="5A02CE94"/>
    <w:lvl w:ilvl="0" w:tentative="0">
      <w:start w:val="1"/>
      <w:numFmt w:val="decimal"/>
      <w:lvlText w:val="3.2.%1"/>
      <w:lvlJc w:val="left"/>
      <w:pPr>
        <w:ind w:left="987" w:hanging="420"/>
      </w:pPr>
      <w:rPr>
        <w:rFonts w:ascii="楷体" w:hAnsi="楷体" w:eastAsia="楷体" w:cs="Times New Roman"/>
        <w:strike w:val="0"/>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51">
    <w:nsid w:val="5A0B11B2"/>
    <w:multiLevelType w:val="multilevel"/>
    <w:tmpl w:val="5A0B11B2"/>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52">
    <w:nsid w:val="61F95093"/>
    <w:multiLevelType w:val="multilevel"/>
    <w:tmpl w:val="61F95093"/>
    <w:lvl w:ilvl="0" w:tentative="0">
      <w:start w:val="1"/>
      <w:numFmt w:val="decimal"/>
      <w:lvlText w:val="31.%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643B08CA"/>
    <w:multiLevelType w:val="multilevel"/>
    <w:tmpl w:val="643B08CA"/>
    <w:lvl w:ilvl="0" w:tentative="0">
      <w:start w:val="1"/>
      <w:numFmt w:val="decimal"/>
      <w:lvlText w:val="3.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54">
    <w:nsid w:val="64C07D5D"/>
    <w:multiLevelType w:val="singleLevel"/>
    <w:tmpl w:val="64C07D5D"/>
    <w:lvl w:ilvl="0" w:tentative="0">
      <w:start w:val="1"/>
      <w:numFmt w:val="decimal"/>
      <w:suff w:val="nothing"/>
      <w:lvlText w:val="%1．"/>
      <w:lvlJc w:val="left"/>
      <w:pPr>
        <w:ind w:left="0" w:firstLine="0"/>
      </w:pPr>
      <w:rPr>
        <w:rFonts w:hint="default"/>
      </w:rPr>
    </w:lvl>
  </w:abstractNum>
  <w:abstractNum w:abstractNumId="55">
    <w:nsid w:val="64E31E93"/>
    <w:multiLevelType w:val="multilevel"/>
    <w:tmpl w:val="64E31E93"/>
    <w:lvl w:ilvl="0" w:tentative="0">
      <w:start w:val="1"/>
      <w:numFmt w:val="decimal"/>
      <w:lvlText w:val="2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6">
    <w:nsid w:val="651B87AD"/>
    <w:multiLevelType w:val="singleLevel"/>
    <w:tmpl w:val="651B87AD"/>
    <w:lvl w:ilvl="0" w:tentative="0">
      <w:start w:val="1"/>
      <w:numFmt w:val="decimal"/>
      <w:suff w:val="nothing"/>
      <w:lvlText w:val="%1．"/>
      <w:lvlJc w:val="left"/>
      <w:pPr>
        <w:ind w:left="0" w:firstLine="0"/>
      </w:pPr>
      <w:rPr>
        <w:rFonts w:hint="default"/>
      </w:rPr>
    </w:lvl>
  </w:abstractNum>
  <w:abstractNum w:abstractNumId="57">
    <w:nsid w:val="65550937"/>
    <w:multiLevelType w:val="singleLevel"/>
    <w:tmpl w:val="65550937"/>
    <w:lvl w:ilvl="0" w:tentative="0">
      <w:start w:val="1"/>
      <w:numFmt w:val="decimal"/>
      <w:suff w:val="nothing"/>
      <w:lvlText w:val="%1、"/>
      <w:lvlJc w:val="left"/>
    </w:lvl>
  </w:abstractNum>
  <w:abstractNum w:abstractNumId="58">
    <w:nsid w:val="69647823"/>
    <w:multiLevelType w:val="multilevel"/>
    <w:tmpl w:val="69647823"/>
    <w:lvl w:ilvl="0" w:tentative="0">
      <w:start w:val="1"/>
      <w:numFmt w:val="decimal"/>
      <w:lvlText w:val="3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9">
    <w:nsid w:val="6B887DF2"/>
    <w:multiLevelType w:val="multilevel"/>
    <w:tmpl w:val="6B887DF2"/>
    <w:lvl w:ilvl="0" w:tentative="0">
      <w:start w:val="1"/>
      <w:numFmt w:val="decimal"/>
      <w:lvlText w:val="%1"/>
      <w:lvlJc w:val="center"/>
      <w:pPr>
        <w:ind w:left="420" w:hanging="420"/>
      </w:pPr>
      <w:rPr>
        <w:rFonts w:hint="eastAsia" w:cs="Times New Roman"/>
        <w:b w:val="0"/>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0">
    <w:nsid w:val="70DD1B88"/>
    <w:multiLevelType w:val="multilevel"/>
    <w:tmpl w:val="70DD1B88"/>
    <w:lvl w:ilvl="0" w:tentative="0">
      <w:start w:val="1"/>
      <w:numFmt w:val="decimal"/>
      <w:lvlText w:val="%1. "/>
      <w:lvlJc w:val="left"/>
      <w:pPr>
        <w:ind w:left="1117" w:hanging="420"/>
      </w:pPr>
      <w:rPr>
        <w:rFonts w:hint="default" w:ascii="仿宋" w:hAnsi="仿宋" w:eastAsia="仿宋" w:cs="Times New Roman"/>
        <w:b w:val="0"/>
        <w:strike w:val="0"/>
        <w:color w:val="auto"/>
      </w:rPr>
    </w:lvl>
    <w:lvl w:ilvl="1" w:tentative="0">
      <w:start w:val="1"/>
      <w:numFmt w:val="lowerLetter"/>
      <w:lvlText w:val="%2)"/>
      <w:lvlJc w:val="left"/>
      <w:pPr>
        <w:ind w:left="1537" w:hanging="420"/>
      </w:pPr>
      <w:rPr>
        <w:rFonts w:cs="Times New Roman"/>
      </w:rPr>
    </w:lvl>
    <w:lvl w:ilvl="2" w:tentative="0">
      <w:start w:val="1"/>
      <w:numFmt w:val="lowerRoman"/>
      <w:lvlText w:val="%3."/>
      <w:lvlJc w:val="right"/>
      <w:pPr>
        <w:ind w:left="1957" w:hanging="420"/>
      </w:pPr>
      <w:rPr>
        <w:rFonts w:cs="Times New Roman"/>
      </w:rPr>
    </w:lvl>
    <w:lvl w:ilvl="3" w:tentative="0">
      <w:start w:val="1"/>
      <w:numFmt w:val="decimal"/>
      <w:lvlText w:val="%4. "/>
      <w:lvlJc w:val="left"/>
      <w:pPr>
        <w:ind w:left="704" w:hanging="420"/>
      </w:pPr>
      <w:rPr>
        <w:rFonts w:hint="eastAsia" w:cs="Times New Roman"/>
        <w:b/>
      </w:rPr>
    </w:lvl>
    <w:lvl w:ilvl="4" w:tentative="0">
      <w:start w:val="1"/>
      <w:numFmt w:val="lowerLetter"/>
      <w:lvlText w:val="%5)"/>
      <w:lvlJc w:val="left"/>
      <w:pPr>
        <w:ind w:left="2797" w:hanging="420"/>
      </w:pPr>
      <w:rPr>
        <w:rFonts w:cs="Times New Roman"/>
      </w:rPr>
    </w:lvl>
    <w:lvl w:ilvl="5" w:tentative="0">
      <w:start w:val="1"/>
      <w:numFmt w:val="lowerRoman"/>
      <w:lvlText w:val="%6."/>
      <w:lvlJc w:val="right"/>
      <w:pPr>
        <w:ind w:left="3217" w:hanging="420"/>
      </w:pPr>
      <w:rPr>
        <w:rFonts w:cs="Times New Roman"/>
      </w:rPr>
    </w:lvl>
    <w:lvl w:ilvl="6" w:tentative="0">
      <w:start w:val="1"/>
      <w:numFmt w:val="decimal"/>
      <w:lvlText w:val="%7."/>
      <w:lvlJc w:val="left"/>
      <w:pPr>
        <w:ind w:left="3637" w:hanging="420"/>
      </w:pPr>
      <w:rPr>
        <w:rFonts w:cs="Times New Roman"/>
      </w:rPr>
    </w:lvl>
    <w:lvl w:ilvl="7" w:tentative="0">
      <w:start w:val="1"/>
      <w:numFmt w:val="lowerLetter"/>
      <w:lvlText w:val="%8)"/>
      <w:lvlJc w:val="left"/>
      <w:pPr>
        <w:ind w:left="4057" w:hanging="420"/>
      </w:pPr>
      <w:rPr>
        <w:rFonts w:cs="Times New Roman"/>
      </w:rPr>
    </w:lvl>
    <w:lvl w:ilvl="8" w:tentative="0">
      <w:start w:val="1"/>
      <w:numFmt w:val="lowerRoman"/>
      <w:lvlText w:val="%9."/>
      <w:lvlJc w:val="right"/>
      <w:pPr>
        <w:ind w:left="4477" w:hanging="420"/>
      </w:pPr>
      <w:rPr>
        <w:rFonts w:cs="Times New Roman"/>
      </w:rPr>
    </w:lvl>
  </w:abstractNum>
  <w:abstractNum w:abstractNumId="61">
    <w:nsid w:val="71581402"/>
    <w:multiLevelType w:val="multilevel"/>
    <w:tmpl w:val="71581402"/>
    <w:lvl w:ilvl="0" w:tentative="0">
      <w:start w:val="1"/>
      <w:numFmt w:val="decimal"/>
      <w:lvlText w:val="2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2">
    <w:nsid w:val="71731B18"/>
    <w:multiLevelType w:val="multilevel"/>
    <w:tmpl w:val="71731B18"/>
    <w:lvl w:ilvl="0" w:tentative="0">
      <w:start w:val="1"/>
      <w:numFmt w:val="decimal"/>
      <w:lvlText w:val="2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3">
    <w:nsid w:val="730B37A3"/>
    <w:multiLevelType w:val="multilevel"/>
    <w:tmpl w:val="730B37A3"/>
    <w:lvl w:ilvl="0" w:tentative="0">
      <w:start w:val="1"/>
      <w:numFmt w:val="decimal"/>
      <w:lvlText w:val="2.%1"/>
      <w:lvlJc w:val="left"/>
      <w:pPr>
        <w:ind w:left="372" w:hanging="420"/>
      </w:pPr>
      <w:rPr>
        <w:rFonts w:hint="default" w:ascii="仿宋" w:hAnsi="仿宋" w:eastAsia="仿宋" w:cs="Times New Roman"/>
        <w:b w:val="0"/>
        <w:color w:val="auto"/>
      </w:rPr>
    </w:lvl>
    <w:lvl w:ilvl="1" w:tentative="0">
      <w:start w:val="1"/>
      <w:numFmt w:val="lowerLetter"/>
      <w:lvlText w:val="%2)"/>
      <w:lvlJc w:val="left"/>
      <w:pPr>
        <w:ind w:left="792" w:hanging="420"/>
      </w:pPr>
      <w:rPr>
        <w:rFonts w:cs="Times New Roman"/>
      </w:rPr>
    </w:lvl>
    <w:lvl w:ilvl="2" w:tentative="0">
      <w:start w:val="1"/>
      <w:numFmt w:val="lowerRoman"/>
      <w:lvlText w:val="%3."/>
      <w:lvlJc w:val="right"/>
      <w:pPr>
        <w:ind w:left="1212" w:hanging="420"/>
      </w:pPr>
      <w:rPr>
        <w:rFonts w:cs="Times New Roman"/>
      </w:rPr>
    </w:lvl>
    <w:lvl w:ilvl="3" w:tentative="0">
      <w:start w:val="1"/>
      <w:numFmt w:val="decimal"/>
      <w:lvlText w:val="%4."/>
      <w:lvlJc w:val="left"/>
      <w:pPr>
        <w:ind w:left="1632" w:hanging="420"/>
      </w:pPr>
      <w:rPr>
        <w:rFonts w:cs="Times New Roman"/>
      </w:rPr>
    </w:lvl>
    <w:lvl w:ilvl="4" w:tentative="0">
      <w:start w:val="1"/>
      <w:numFmt w:val="lowerLetter"/>
      <w:lvlText w:val="%5)"/>
      <w:lvlJc w:val="left"/>
      <w:pPr>
        <w:ind w:left="2052" w:hanging="420"/>
      </w:pPr>
      <w:rPr>
        <w:rFonts w:cs="Times New Roman"/>
      </w:rPr>
    </w:lvl>
    <w:lvl w:ilvl="5" w:tentative="0">
      <w:start w:val="1"/>
      <w:numFmt w:val="lowerRoman"/>
      <w:lvlText w:val="%6."/>
      <w:lvlJc w:val="right"/>
      <w:pPr>
        <w:ind w:left="2472" w:hanging="420"/>
      </w:pPr>
      <w:rPr>
        <w:rFonts w:cs="Times New Roman"/>
      </w:rPr>
    </w:lvl>
    <w:lvl w:ilvl="6" w:tentative="0">
      <w:start w:val="1"/>
      <w:numFmt w:val="decimal"/>
      <w:lvlText w:val="%7."/>
      <w:lvlJc w:val="left"/>
      <w:pPr>
        <w:ind w:left="2892" w:hanging="420"/>
      </w:pPr>
      <w:rPr>
        <w:rFonts w:cs="Times New Roman"/>
      </w:rPr>
    </w:lvl>
    <w:lvl w:ilvl="7" w:tentative="0">
      <w:start w:val="1"/>
      <w:numFmt w:val="lowerLetter"/>
      <w:lvlText w:val="%8)"/>
      <w:lvlJc w:val="left"/>
      <w:pPr>
        <w:ind w:left="3312" w:hanging="420"/>
      </w:pPr>
      <w:rPr>
        <w:rFonts w:cs="Times New Roman"/>
      </w:rPr>
    </w:lvl>
    <w:lvl w:ilvl="8" w:tentative="0">
      <w:start w:val="1"/>
      <w:numFmt w:val="lowerRoman"/>
      <w:lvlText w:val="%9."/>
      <w:lvlJc w:val="right"/>
      <w:pPr>
        <w:ind w:left="3732" w:hanging="420"/>
      </w:pPr>
      <w:rPr>
        <w:rFonts w:cs="Times New Roman"/>
      </w:rPr>
    </w:lvl>
  </w:abstractNum>
  <w:abstractNum w:abstractNumId="64">
    <w:nsid w:val="768933D5"/>
    <w:multiLevelType w:val="multilevel"/>
    <w:tmpl w:val="768933D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65">
    <w:nsid w:val="774C7C21"/>
    <w:multiLevelType w:val="multilevel"/>
    <w:tmpl w:val="774C7C21"/>
    <w:lvl w:ilvl="0" w:tentative="0">
      <w:start w:val="1"/>
      <w:numFmt w:val="decimal"/>
      <w:lvlText w:val="16.%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6">
    <w:nsid w:val="777EBBB9"/>
    <w:multiLevelType w:val="singleLevel"/>
    <w:tmpl w:val="777EBBB9"/>
    <w:lvl w:ilvl="0" w:tentative="0">
      <w:start w:val="1"/>
      <w:numFmt w:val="decimal"/>
      <w:suff w:val="nothing"/>
      <w:lvlText w:val="%1．"/>
      <w:lvlJc w:val="left"/>
      <w:pPr>
        <w:ind w:left="0" w:firstLine="0"/>
      </w:pPr>
      <w:rPr>
        <w:rFonts w:hint="default"/>
      </w:rPr>
    </w:lvl>
  </w:abstractNum>
  <w:abstractNum w:abstractNumId="67">
    <w:nsid w:val="786B7301"/>
    <w:multiLevelType w:val="multilevel"/>
    <w:tmpl w:val="786B7301"/>
    <w:lvl w:ilvl="0" w:tentative="0">
      <w:start w:val="1"/>
      <w:numFmt w:val="decimal"/>
      <w:lvlText w:val="2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8">
    <w:nsid w:val="797F553B"/>
    <w:multiLevelType w:val="multilevel"/>
    <w:tmpl w:val="797F553B"/>
    <w:lvl w:ilvl="0" w:tentative="0">
      <w:start w:val="1"/>
      <w:numFmt w:val="decimal"/>
      <w:lvlText w:val="%1. "/>
      <w:lvlJc w:val="left"/>
      <w:pPr>
        <w:ind w:left="988"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69">
    <w:nsid w:val="7A0C6CFB"/>
    <w:multiLevelType w:val="multilevel"/>
    <w:tmpl w:val="7A0C6CFB"/>
    <w:lvl w:ilvl="0" w:tentative="0">
      <w:start w:val="1"/>
      <w:numFmt w:val="decimal"/>
      <w:lvlText w:val="2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0">
    <w:nsid w:val="7ECB03B9"/>
    <w:multiLevelType w:val="multilevel"/>
    <w:tmpl w:val="7ECB03B9"/>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num w:numId="1">
    <w:abstractNumId w:val="44"/>
  </w:num>
  <w:num w:numId="2">
    <w:abstractNumId w:val="2"/>
  </w:num>
  <w:num w:numId="3">
    <w:abstractNumId w:val="20"/>
  </w:num>
  <w:num w:numId="4">
    <w:abstractNumId w:val="33"/>
  </w:num>
  <w:num w:numId="5">
    <w:abstractNumId w:val="3"/>
  </w:num>
  <w:num w:numId="6">
    <w:abstractNumId w:val="41"/>
  </w:num>
  <w:num w:numId="7">
    <w:abstractNumId w:val="16"/>
  </w:num>
  <w:num w:numId="8">
    <w:abstractNumId w:val="6"/>
  </w:num>
  <w:num w:numId="9">
    <w:abstractNumId w:val="53"/>
  </w:num>
  <w:num w:numId="10">
    <w:abstractNumId w:val="35"/>
  </w:num>
  <w:num w:numId="11">
    <w:abstractNumId w:val="49"/>
  </w:num>
  <w:num w:numId="12">
    <w:abstractNumId w:val="32"/>
  </w:num>
  <w:num w:numId="13">
    <w:abstractNumId w:val="5"/>
  </w:num>
  <w:num w:numId="14">
    <w:abstractNumId w:val="25"/>
  </w:num>
  <w:num w:numId="15">
    <w:abstractNumId w:val="26"/>
  </w:num>
  <w:num w:numId="16">
    <w:abstractNumId w:val="9"/>
  </w:num>
  <w:num w:numId="17">
    <w:abstractNumId w:val="8"/>
  </w:num>
  <w:num w:numId="18">
    <w:abstractNumId w:val="65"/>
  </w:num>
  <w:num w:numId="19">
    <w:abstractNumId w:val="10"/>
  </w:num>
  <w:num w:numId="20">
    <w:abstractNumId w:val="31"/>
  </w:num>
  <w:num w:numId="21">
    <w:abstractNumId w:val="37"/>
  </w:num>
  <w:num w:numId="22">
    <w:abstractNumId w:val="40"/>
  </w:num>
  <w:num w:numId="23">
    <w:abstractNumId w:val="69"/>
  </w:num>
  <w:num w:numId="24">
    <w:abstractNumId w:val="47"/>
  </w:num>
  <w:num w:numId="25">
    <w:abstractNumId w:val="61"/>
  </w:num>
  <w:num w:numId="26">
    <w:abstractNumId w:val="67"/>
  </w:num>
  <w:num w:numId="27">
    <w:abstractNumId w:val="46"/>
  </w:num>
  <w:num w:numId="28">
    <w:abstractNumId w:val="7"/>
  </w:num>
  <w:num w:numId="29">
    <w:abstractNumId w:val="22"/>
  </w:num>
  <w:num w:numId="30">
    <w:abstractNumId w:val="62"/>
  </w:num>
  <w:num w:numId="31">
    <w:abstractNumId w:val="55"/>
  </w:num>
  <w:num w:numId="32">
    <w:abstractNumId w:val="39"/>
  </w:num>
  <w:num w:numId="33">
    <w:abstractNumId w:val="52"/>
  </w:num>
  <w:num w:numId="34">
    <w:abstractNumId w:val="27"/>
  </w:num>
  <w:num w:numId="35">
    <w:abstractNumId w:val="58"/>
  </w:num>
  <w:num w:numId="36">
    <w:abstractNumId w:val="1"/>
  </w:num>
  <w:num w:numId="37">
    <w:abstractNumId w:val="17"/>
  </w:num>
  <w:num w:numId="38">
    <w:abstractNumId w:val="48"/>
  </w:num>
  <w:num w:numId="39">
    <w:abstractNumId w:val="29"/>
  </w:num>
  <w:num w:numId="40">
    <w:abstractNumId w:val="45"/>
  </w:num>
  <w:num w:numId="41">
    <w:abstractNumId w:val="34"/>
  </w:num>
  <w:num w:numId="42">
    <w:abstractNumId w:val="42"/>
  </w:num>
  <w:num w:numId="43">
    <w:abstractNumId w:val="36"/>
  </w:num>
  <w:num w:numId="44">
    <w:abstractNumId w:val="19"/>
  </w:num>
  <w:num w:numId="45">
    <w:abstractNumId w:val="51"/>
  </w:num>
  <w:num w:numId="46">
    <w:abstractNumId w:val="70"/>
  </w:num>
  <w:num w:numId="47">
    <w:abstractNumId w:val="21"/>
  </w:num>
  <w:num w:numId="48">
    <w:abstractNumId w:val="18"/>
  </w:num>
  <w:num w:numId="49">
    <w:abstractNumId w:val="0"/>
  </w:num>
  <w:num w:numId="50">
    <w:abstractNumId w:val="50"/>
    <w:lvlOverride w:ilvl="0">
      <w:startOverride w:val="1"/>
    </w:lvlOverride>
  </w:num>
  <w:num w:numId="51">
    <w:abstractNumId w:val="14"/>
  </w:num>
  <w:num w:numId="52">
    <w:abstractNumId w:val="28"/>
  </w:num>
  <w:num w:numId="53">
    <w:abstractNumId w:val="68"/>
  </w:num>
  <w:num w:numId="54">
    <w:abstractNumId w:val="56"/>
  </w:num>
  <w:num w:numId="55">
    <w:abstractNumId w:val="66"/>
  </w:num>
  <w:num w:numId="56">
    <w:abstractNumId w:val="57"/>
  </w:num>
  <w:num w:numId="57">
    <w:abstractNumId w:val="11"/>
  </w:num>
  <w:num w:numId="58">
    <w:abstractNumId w:val="54"/>
  </w:num>
  <w:num w:numId="59">
    <w:abstractNumId w:val="60"/>
  </w:num>
  <w:num w:numId="60">
    <w:abstractNumId w:val="43"/>
  </w:num>
  <w:num w:numId="61">
    <w:abstractNumId w:val="13"/>
  </w:num>
  <w:num w:numId="62">
    <w:abstractNumId w:val="24"/>
  </w:num>
  <w:num w:numId="63">
    <w:abstractNumId w:val="63"/>
  </w:num>
  <w:num w:numId="64">
    <w:abstractNumId w:val="38"/>
  </w:num>
  <w:num w:numId="65">
    <w:abstractNumId w:val="64"/>
  </w:num>
  <w:num w:numId="66">
    <w:abstractNumId w:val="12"/>
  </w:num>
  <w:num w:numId="67">
    <w:abstractNumId w:val="59"/>
  </w:num>
  <w:num w:numId="68">
    <w:abstractNumId w:val="23"/>
  </w:num>
  <w:num w:numId="69">
    <w:abstractNumId w:val="4"/>
  </w:num>
  <w:num w:numId="70">
    <w:abstractNumId w:val="15"/>
  </w:num>
  <w:num w:numId="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95415"/>
    <w:rsid w:val="000029DB"/>
    <w:rsid w:val="00003E42"/>
    <w:rsid w:val="00016562"/>
    <w:rsid w:val="00017BE8"/>
    <w:rsid w:val="0002031A"/>
    <w:rsid w:val="00020344"/>
    <w:rsid w:val="00022219"/>
    <w:rsid w:val="0002674A"/>
    <w:rsid w:val="00040B72"/>
    <w:rsid w:val="00046CAA"/>
    <w:rsid w:val="00053408"/>
    <w:rsid w:val="000658A4"/>
    <w:rsid w:val="00075213"/>
    <w:rsid w:val="00077E85"/>
    <w:rsid w:val="000812D6"/>
    <w:rsid w:val="00081EFC"/>
    <w:rsid w:val="000855FE"/>
    <w:rsid w:val="00092450"/>
    <w:rsid w:val="0009440B"/>
    <w:rsid w:val="0009529B"/>
    <w:rsid w:val="00095415"/>
    <w:rsid w:val="00097A94"/>
    <w:rsid w:val="000B1EA5"/>
    <w:rsid w:val="000B3053"/>
    <w:rsid w:val="000B42CE"/>
    <w:rsid w:val="000C1DBB"/>
    <w:rsid w:val="000C2224"/>
    <w:rsid w:val="000C40AB"/>
    <w:rsid w:val="000C46E9"/>
    <w:rsid w:val="000D274B"/>
    <w:rsid w:val="000E0271"/>
    <w:rsid w:val="000E36E2"/>
    <w:rsid w:val="000E4686"/>
    <w:rsid w:val="000F1D95"/>
    <w:rsid w:val="000F64E0"/>
    <w:rsid w:val="00100585"/>
    <w:rsid w:val="00105BC5"/>
    <w:rsid w:val="00115EB8"/>
    <w:rsid w:val="00122C84"/>
    <w:rsid w:val="00131405"/>
    <w:rsid w:val="00133220"/>
    <w:rsid w:val="001338E8"/>
    <w:rsid w:val="00141727"/>
    <w:rsid w:val="00152F76"/>
    <w:rsid w:val="00156EA3"/>
    <w:rsid w:val="001641C9"/>
    <w:rsid w:val="001663A0"/>
    <w:rsid w:val="00166F64"/>
    <w:rsid w:val="00177C62"/>
    <w:rsid w:val="00185E9A"/>
    <w:rsid w:val="00187C9B"/>
    <w:rsid w:val="001A0AB1"/>
    <w:rsid w:val="001A1335"/>
    <w:rsid w:val="001A2B2A"/>
    <w:rsid w:val="001A54E8"/>
    <w:rsid w:val="001B03BB"/>
    <w:rsid w:val="001B38CD"/>
    <w:rsid w:val="001B4CDD"/>
    <w:rsid w:val="001C7B23"/>
    <w:rsid w:val="001D2460"/>
    <w:rsid w:val="001D3EE7"/>
    <w:rsid w:val="001D7598"/>
    <w:rsid w:val="001E157C"/>
    <w:rsid w:val="001E5D69"/>
    <w:rsid w:val="001E7CEA"/>
    <w:rsid w:val="001F002C"/>
    <w:rsid w:val="001F419C"/>
    <w:rsid w:val="00202128"/>
    <w:rsid w:val="0020220A"/>
    <w:rsid w:val="002047E8"/>
    <w:rsid w:val="00210EC5"/>
    <w:rsid w:val="00220470"/>
    <w:rsid w:val="00222AC8"/>
    <w:rsid w:val="00222B0D"/>
    <w:rsid w:val="00223408"/>
    <w:rsid w:val="00223661"/>
    <w:rsid w:val="002254A3"/>
    <w:rsid w:val="002277DD"/>
    <w:rsid w:val="002334D5"/>
    <w:rsid w:val="00235607"/>
    <w:rsid w:val="00236772"/>
    <w:rsid w:val="002426EA"/>
    <w:rsid w:val="002446C6"/>
    <w:rsid w:val="0026342E"/>
    <w:rsid w:val="00267DD4"/>
    <w:rsid w:val="00276CFD"/>
    <w:rsid w:val="00277541"/>
    <w:rsid w:val="00282DD0"/>
    <w:rsid w:val="00287286"/>
    <w:rsid w:val="00293211"/>
    <w:rsid w:val="00295F64"/>
    <w:rsid w:val="0029692C"/>
    <w:rsid w:val="002B7581"/>
    <w:rsid w:val="002C38E4"/>
    <w:rsid w:val="002C7FA6"/>
    <w:rsid w:val="002D07BB"/>
    <w:rsid w:val="002D412B"/>
    <w:rsid w:val="002E0C3E"/>
    <w:rsid w:val="002E7AF7"/>
    <w:rsid w:val="002F27CE"/>
    <w:rsid w:val="00310B7E"/>
    <w:rsid w:val="00310F98"/>
    <w:rsid w:val="0031376C"/>
    <w:rsid w:val="00314B08"/>
    <w:rsid w:val="00316026"/>
    <w:rsid w:val="00320ACF"/>
    <w:rsid w:val="003216EA"/>
    <w:rsid w:val="00323F1C"/>
    <w:rsid w:val="00333225"/>
    <w:rsid w:val="0033323B"/>
    <w:rsid w:val="00344E95"/>
    <w:rsid w:val="003451DA"/>
    <w:rsid w:val="00352AE1"/>
    <w:rsid w:val="00353542"/>
    <w:rsid w:val="003540BC"/>
    <w:rsid w:val="00360712"/>
    <w:rsid w:val="0036309F"/>
    <w:rsid w:val="00363CE4"/>
    <w:rsid w:val="0036474B"/>
    <w:rsid w:val="003661C8"/>
    <w:rsid w:val="00366E30"/>
    <w:rsid w:val="003755B7"/>
    <w:rsid w:val="0037712D"/>
    <w:rsid w:val="00377B5F"/>
    <w:rsid w:val="0038299C"/>
    <w:rsid w:val="00383221"/>
    <w:rsid w:val="0039326C"/>
    <w:rsid w:val="00393E94"/>
    <w:rsid w:val="00394011"/>
    <w:rsid w:val="003B0D5A"/>
    <w:rsid w:val="003B4F8E"/>
    <w:rsid w:val="003B5683"/>
    <w:rsid w:val="003B718F"/>
    <w:rsid w:val="003B7A0D"/>
    <w:rsid w:val="003C2008"/>
    <w:rsid w:val="003C2241"/>
    <w:rsid w:val="003C3746"/>
    <w:rsid w:val="003C6083"/>
    <w:rsid w:val="003D1759"/>
    <w:rsid w:val="003D5E80"/>
    <w:rsid w:val="003F2B92"/>
    <w:rsid w:val="003F3007"/>
    <w:rsid w:val="0040329E"/>
    <w:rsid w:val="0040679C"/>
    <w:rsid w:val="00406BC4"/>
    <w:rsid w:val="004110F8"/>
    <w:rsid w:val="00414A80"/>
    <w:rsid w:val="004161BA"/>
    <w:rsid w:val="00430558"/>
    <w:rsid w:val="004349F3"/>
    <w:rsid w:val="0043503C"/>
    <w:rsid w:val="00436CC2"/>
    <w:rsid w:val="004475F1"/>
    <w:rsid w:val="00457308"/>
    <w:rsid w:val="004605F3"/>
    <w:rsid w:val="00461DFE"/>
    <w:rsid w:val="00470AF1"/>
    <w:rsid w:val="00474419"/>
    <w:rsid w:val="00476E59"/>
    <w:rsid w:val="00480D52"/>
    <w:rsid w:val="00481D0A"/>
    <w:rsid w:val="004871A8"/>
    <w:rsid w:val="00493FBC"/>
    <w:rsid w:val="00494186"/>
    <w:rsid w:val="004A051C"/>
    <w:rsid w:val="004A4F81"/>
    <w:rsid w:val="004B0CC2"/>
    <w:rsid w:val="004B118F"/>
    <w:rsid w:val="004B4BED"/>
    <w:rsid w:val="004C1027"/>
    <w:rsid w:val="004C62F7"/>
    <w:rsid w:val="004C6BA6"/>
    <w:rsid w:val="004C750B"/>
    <w:rsid w:val="004D454A"/>
    <w:rsid w:val="004D548F"/>
    <w:rsid w:val="004E00F2"/>
    <w:rsid w:val="004E40B4"/>
    <w:rsid w:val="004E48AF"/>
    <w:rsid w:val="004E5A44"/>
    <w:rsid w:val="004F21F4"/>
    <w:rsid w:val="004F43AD"/>
    <w:rsid w:val="005025B6"/>
    <w:rsid w:val="00511E96"/>
    <w:rsid w:val="005130B9"/>
    <w:rsid w:val="0051486C"/>
    <w:rsid w:val="0051786A"/>
    <w:rsid w:val="00522A02"/>
    <w:rsid w:val="00522D80"/>
    <w:rsid w:val="00523F02"/>
    <w:rsid w:val="00525A93"/>
    <w:rsid w:val="00533FBB"/>
    <w:rsid w:val="005437D7"/>
    <w:rsid w:val="005445A9"/>
    <w:rsid w:val="00545B0F"/>
    <w:rsid w:val="00545EDA"/>
    <w:rsid w:val="00552BFE"/>
    <w:rsid w:val="00554316"/>
    <w:rsid w:val="00554A7D"/>
    <w:rsid w:val="00556850"/>
    <w:rsid w:val="00560FA5"/>
    <w:rsid w:val="00561DDC"/>
    <w:rsid w:val="00573437"/>
    <w:rsid w:val="0057573F"/>
    <w:rsid w:val="00580FFF"/>
    <w:rsid w:val="005813AA"/>
    <w:rsid w:val="005967BA"/>
    <w:rsid w:val="005A58A0"/>
    <w:rsid w:val="005A6849"/>
    <w:rsid w:val="005B12FC"/>
    <w:rsid w:val="005B5992"/>
    <w:rsid w:val="005B6D3E"/>
    <w:rsid w:val="005B713A"/>
    <w:rsid w:val="005B7226"/>
    <w:rsid w:val="005C31D8"/>
    <w:rsid w:val="005D6632"/>
    <w:rsid w:val="005D6D24"/>
    <w:rsid w:val="005E3CD4"/>
    <w:rsid w:val="005F1588"/>
    <w:rsid w:val="005F2449"/>
    <w:rsid w:val="00601112"/>
    <w:rsid w:val="00601990"/>
    <w:rsid w:val="00605C0D"/>
    <w:rsid w:val="00623CBB"/>
    <w:rsid w:val="006267B0"/>
    <w:rsid w:val="006302AC"/>
    <w:rsid w:val="00630ADC"/>
    <w:rsid w:val="00632C63"/>
    <w:rsid w:val="006440C5"/>
    <w:rsid w:val="00651541"/>
    <w:rsid w:val="00663B35"/>
    <w:rsid w:val="00666B23"/>
    <w:rsid w:val="0067386D"/>
    <w:rsid w:val="0067786F"/>
    <w:rsid w:val="00680A96"/>
    <w:rsid w:val="00690659"/>
    <w:rsid w:val="006A0547"/>
    <w:rsid w:val="006A6C1D"/>
    <w:rsid w:val="006A6C51"/>
    <w:rsid w:val="006A7A3D"/>
    <w:rsid w:val="006C0B5F"/>
    <w:rsid w:val="006C0B7B"/>
    <w:rsid w:val="006C1AF1"/>
    <w:rsid w:val="006C6FDC"/>
    <w:rsid w:val="006D1D6E"/>
    <w:rsid w:val="006D4EFF"/>
    <w:rsid w:val="006E08D0"/>
    <w:rsid w:val="006F0D07"/>
    <w:rsid w:val="00706D89"/>
    <w:rsid w:val="0071447C"/>
    <w:rsid w:val="00715E44"/>
    <w:rsid w:val="00717866"/>
    <w:rsid w:val="00722075"/>
    <w:rsid w:val="00723103"/>
    <w:rsid w:val="00725899"/>
    <w:rsid w:val="00725F67"/>
    <w:rsid w:val="007308BA"/>
    <w:rsid w:val="007318D6"/>
    <w:rsid w:val="00732E91"/>
    <w:rsid w:val="00737211"/>
    <w:rsid w:val="0074723B"/>
    <w:rsid w:val="00752EB0"/>
    <w:rsid w:val="00762077"/>
    <w:rsid w:val="0076758A"/>
    <w:rsid w:val="0077270B"/>
    <w:rsid w:val="00773A2C"/>
    <w:rsid w:val="00774EB7"/>
    <w:rsid w:val="00775072"/>
    <w:rsid w:val="00775A96"/>
    <w:rsid w:val="00780DBA"/>
    <w:rsid w:val="00782541"/>
    <w:rsid w:val="00784AEB"/>
    <w:rsid w:val="00784ED7"/>
    <w:rsid w:val="00786E84"/>
    <w:rsid w:val="00790B57"/>
    <w:rsid w:val="0079483A"/>
    <w:rsid w:val="007A27DA"/>
    <w:rsid w:val="007A2D91"/>
    <w:rsid w:val="007A427D"/>
    <w:rsid w:val="007A6F5F"/>
    <w:rsid w:val="007C0DA7"/>
    <w:rsid w:val="007C132C"/>
    <w:rsid w:val="007C1D03"/>
    <w:rsid w:val="007C45F9"/>
    <w:rsid w:val="007D053D"/>
    <w:rsid w:val="007D7152"/>
    <w:rsid w:val="007D72CF"/>
    <w:rsid w:val="007E3D3C"/>
    <w:rsid w:val="007F4836"/>
    <w:rsid w:val="007F504A"/>
    <w:rsid w:val="007F6863"/>
    <w:rsid w:val="007F6BC4"/>
    <w:rsid w:val="007F6F97"/>
    <w:rsid w:val="00802536"/>
    <w:rsid w:val="00804419"/>
    <w:rsid w:val="00804DF3"/>
    <w:rsid w:val="0081114F"/>
    <w:rsid w:val="00816910"/>
    <w:rsid w:val="00820E08"/>
    <w:rsid w:val="0082390C"/>
    <w:rsid w:val="0082486D"/>
    <w:rsid w:val="0083036D"/>
    <w:rsid w:val="0083410F"/>
    <w:rsid w:val="00836BA6"/>
    <w:rsid w:val="008456E3"/>
    <w:rsid w:val="00863EDD"/>
    <w:rsid w:val="00876E59"/>
    <w:rsid w:val="00877211"/>
    <w:rsid w:val="0088586B"/>
    <w:rsid w:val="008879F9"/>
    <w:rsid w:val="008966BE"/>
    <w:rsid w:val="008A30BA"/>
    <w:rsid w:val="008B4F32"/>
    <w:rsid w:val="008B5601"/>
    <w:rsid w:val="008B6529"/>
    <w:rsid w:val="008D35F1"/>
    <w:rsid w:val="008D3612"/>
    <w:rsid w:val="008D5777"/>
    <w:rsid w:val="008D7D59"/>
    <w:rsid w:val="008E02BC"/>
    <w:rsid w:val="008E2203"/>
    <w:rsid w:val="008E541F"/>
    <w:rsid w:val="008F1B81"/>
    <w:rsid w:val="008F3383"/>
    <w:rsid w:val="008F6079"/>
    <w:rsid w:val="009020C7"/>
    <w:rsid w:val="0090240A"/>
    <w:rsid w:val="00903A2D"/>
    <w:rsid w:val="00907388"/>
    <w:rsid w:val="00914426"/>
    <w:rsid w:val="00914F14"/>
    <w:rsid w:val="0092340D"/>
    <w:rsid w:val="009255B0"/>
    <w:rsid w:val="00933750"/>
    <w:rsid w:val="00935E05"/>
    <w:rsid w:val="00936C08"/>
    <w:rsid w:val="0093723A"/>
    <w:rsid w:val="009402E6"/>
    <w:rsid w:val="0094243A"/>
    <w:rsid w:val="00943F98"/>
    <w:rsid w:val="00947542"/>
    <w:rsid w:val="00954A2F"/>
    <w:rsid w:val="00956AAC"/>
    <w:rsid w:val="00956AFC"/>
    <w:rsid w:val="00967D22"/>
    <w:rsid w:val="0097080D"/>
    <w:rsid w:val="009714FE"/>
    <w:rsid w:val="00973398"/>
    <w:rsid w:val="00982AD3"/>
    <w:rsid w:val="009849C0"/>
    <w:rsid w:val="0098774A"/>
    <w:rsid w:val="0099066B"/>
    <w:rsid w:val="009924C6"/>
    <w:rsid w:val="009944A9"/>
    <w:rsid w:val="009964A4"/>
    <w:rsid w:val="00996DEE"/>
    <w:rsid w:val="009B11C0"/>
    <w:rsid w:val="009B3048"/>
    <w:rsid w:val="009B3424"/>
    <w:rsid w:val="009B58C4"/>
    <w:rsid w:val="009D36C0"/>
    <w:rsid w:val="009D6C7F"/>
    <w:rsid w:val="009E04AF"/>
    <w:rsid w:val="009E0ED5"/>
    <w:rsid w:val="009E6FB8"/>
    <w:rsid w:val="009F522E"/>
    <w:rsid w:val="00A033C6"/>
    <w:rsid w:val="00A05AF5"/>
    <w:rsid w:val="00A0777C"/>
    <w:rsid w:val="00A127BF"/>
    <w:rsid w:val="00A30AE5"/>
    <w:rsid w:val="00A30C9C"/>
    <w:rsid w:val="00A30DFD"/>
    <w:rsid w:val="00A33A80"/>
    <w:rsid w:val="00A3568F"/>
    <w:rsid w:val="00A36FFA"/>
    <w:rsid w:val="00A40BC9"/>
    <w:rsid w:val="00A46DEF"/>
    <w:rsid w:val="00A51D8F"/>
    <w:rsid w:val="00A52A2B"/>
    <w:rsid w:val="00A55CAF"/>
    <w:rsid w:val="00A62860"/>
    <w:rsid w:val="00A678FB"/>
    <w:rsid w:val="00A813D2"/>
    <w:rsid w:val="00A82ABF"/>
    <w:rsid w:val="00A879DB"/>
    <w:rsid w:val="00A92802"/>
    <w:rsid w:val="00AB2B17"/>
    <w:rsid w:val="00AB3343"/>
    <w:rsid w:val="00AC399F"/>
    <w:rsid w:val="00AC584B"/>
    <w:rsid w:val="00AC69C8"/>
    <w:rsid w:val="00AD029C"/>
    <w:rsid w:val="00AD18FC"/>
    <w:rsid w:val="00AD52A3"/>
    <w:rsid w:val="00AD634F"/>
    <w:rsid w:val="00AE02A5"/>
    <w:rsid w:val="00AE33A8"/>
    <w:rsid w:val="00AF18BF"/>
    <w:rsid w:val="00AF70F4"/>
    <w:rsid w:val="00B002B6"/>
    <w:rsid w:val="00B0070A"/>
    <w:rsid w:val="00B161F2"/>
    <w:rsid w:val="00B20FD9"/>
    <w:rsid w:val="00B33982"/>
    <w:rsid w:val="00B36D9B"/>
    <w:rsid w:val="00B411FD"/>
    <w:rsid w:val="00B45775"/>
    <w:rsid w:val="00B47A4C"/>
    <w:rsid w:val="00B52520"/>
    <w:rsid w:val="00B60C6B"/>
    <w:rsid w:val="00B67CCB"/>
    <w:rsid w:val="00B73233"/>
    <w:rsid w:val="00B755CC"/>
    <w:rsid w:val="00B84A3B"/>
    <w:rsid w:val="00B90632"/>
    <w:rsid w:val="00B92C52"/>
    <w:rsid w:val="00B93408"/>
    <w:rsid w:val="00B956F2"/>
    <w:rsid w:val="00BA438A"/>
    <w:rsid w:val="00BA4681"/>
    <w:rsid w:val="00BB78CC"/>
    <w:rsid w:val="00BC386C"/>
    <w:rsid w:val="00BC3AA1"/>
    <w:rsid w:val="00BC784B"/>
    <w:rsid w:val="00BD0C54"/>
    <w:rsid w:val="00BD2144"/>
    <w:rsid w:val="00BD2958"/>
    <w:rsid w:val="00BD62C1"/>
    <w:rsid w:val="00BD681B"/>
    <w:rsid w:val="00BE3563"/>
    <w:rsid w:val="00BF5732"/>
    <w:rsid w:val="00C0017D"/>
    <w:rsid w:val="00C0257A"/>
    <w:rsid w:val="00C040D1"/>
    <w:rsid w:val="00C11EC5"/>
    <w:rsid w:val="00C139A6"/>
    <w:rsid w:val="00C1592E"/>
    <w:rsid w:val="00C24FAA"/>
    <w:rsid w:val="00C3522A"/>
    <w:rsid w:val="00C37FEA"/>
    <w:rsid w:val="00C4038F"/>
    <w:rsid w:val="00C469B0"/>
    <w:rsid w:val="00C50DA9"/>
    <w:rsid w:val="00C52140"/>
    <w:rsid w:val="00C64D3E"/>
    <w:rsid w:val="00C6643D"/>
    <w:rsid w:val="00C6680F"/>
    <w:rsid w:val="00C66ACC"/>
    <w:rsid w:val="00C72415"/>
    <w:rsid w:val="00C77E82"/>
    <w:rsid w:val="00C80D83"/>
    <w:rsid w:val="00C8468C"/>
    <w:rsid w:val="00C91E03"/>
    <w:rsid w:val="00C9289E"/>
    <w:rsid w:val="00C92F51"/>
    <w:rsid w:val="00C96E16"/>
    <w:rsid w:val="00CA0EE5"/>
    <w:rsid w:val="00CA0F95"/>
    <w:rsid w:val="00CB10F9"/>
    <w:rsid w:val="00CB2CFE"/>
    <w:rsid w:val="00CB38E7"/>
    <w:rsid w:val="00CB3DF8"/>
    <w:rsid w:val="00CB413B"/>
    <w:rsid w:val="00CC0FA4"/>
    <w:rsid w:val="00CE26A1"/>
    <w:rsid w:val="00CE6150"/>
    <w:rsid w:val="00CF0013"/>
    <w:rsid w:val="00CF76A5"/>
    <w:rsid w:val="00D0597C"/>
    <w:rsid w:val="00D123DC"/>
    <w:rsid w:val="00D14987"/>
    <w:rsid w:val="00D14E3A"/>
    <w:rsid w:val="00D204F5"/>
    <w:rsid w:val="00D22168"/>
    <w:rsid w:val="00D271EE"/>
    <w:rsid w:val="00D32F66"/>
    <w:rsid w:val="00D5042D"/>
    <w:rsid w:val="00D50673"/>
    <w:rsid w:val="00D50E7A"/>
    <w:rsid w:val="00D64AB9"/>
    <w:rsid w:val="00D7177A"/>
    <w:rsid w:val="00D81FFF"/>
    <w:rsid w:val="00D90694"/>
    <w:rsid w:val="00D9318A"/>
    <w:rsid w:val="00D94CD4"/>
    <w:rsid w:val="00DA4143"/>
    <w:rsid w:val="00DB00B6"/>
    <w:rsid w:val="00DB3C8A"/>
    <w:rsid w:val="00DC16F5"/>
    <w:rsid w:val="00DC4938"/>
    <w:rsid w:val="00DC77AE"/>
    <w:rsid w:val="00DD6657"/>
    <w:rsid w:val="00DE4A9E"/>
    <w:rsid w:val="00DF7255"/>
    <w:rsid w:val="00E02B75"/>
    <w:rsid w:val="00E03F97"/>
    <w:rsid w:val="00E05B42"/>
    <w:rsid w:val="00E14D3C"/>
    <w:rsid w:val="00E15A50"/>
    <w:rsid w:val="00E22388"/>
    <w:rsid w:val="00E2369D"/>
    <w:rsid w:val="00E25FD3"/>
    <w:rsid w:val="00E278A2"/>
    <w:rsid w:val="00E32C21"/>
    <w:rsid w:val="00E34D2C"/>
    <w:rsid w:val="00E3763E"/>
    <w:rsid w:val="00E41743"/>
    <w:rsid w:val="00E46441"/>
    <w:rsid w:val="00E54453"/>
    <w:rsid w:val="00E54494"/>
    <w:rsid w:val="00E54FFA"/>
    <w:rsid w:val="00E6680F"/>
    <w:rsid w:val="00E71EB0"/>
    <w:rsid w:val="00E81340"/>
    <w:rsid w:val="00E84AC0"/>
    <w:rsid w:val="00E971BC"/>
    <w:rsid w:val="00EA0C6D"/>
    <w:rsid w:val="00EA45B2"/>
    <w:rsid w:val="00EB1E3A"/>
    <w:rsid w:val="00EB4033"/>
    <w:rsid w:val="00EB4E4C"/>
    <w:rsid w:val="00ED0545"/>
    <w:rsid w:val="00ED1E0C"/>
    <w:rsid w:val="00EE3C83"/>
    <w:rsid w:val="00EE3E19"/>
    <w:rsid w:val="00EE715C"/>
    <w:rsid w:val="00F04B4C"/>
    <w:rsid w:val="00F05FC4"/>
    <w:rsid w:val="00F152FA"/>
    <w:rsid w:val="00F17360"/>
    <w:rsid w:val="00F173F0"/>
    <w:rsid w:val="00F20006"/>
    <w:rsid w:val="00F242DA"/>
    <w:rsid w:val="00F24BF3"/>
    <w:rsid w:val="00F274A2"/>
    <w:rsid w:val="00F30B5D"/>
    <w:rsid w:val="00F42684"/>
    <w:rsid w:val="00F44F94"/>
    <w:rsid w:val="00F45985"/>
    <w:rsid w:val="00F47226"/>
    <w:rsid w:val="00F51E5B"/>
    <w:rsid w:val="00F5567D"/>
    <w:rsid w:val="00F63420"/>
    <w:rsid w:val="00F65340"/>
    <w:rsid w:val="00F71D83"/>
    <w:rsid w:val="00F73F5D"/>
    <w:rsid w:val="00F91C76"/>
    <w:rsid w:val="00FA4DD0"/>
    <w:rsid w:val="00FB2B31"/>
    <w:rsid w:val="00FB2D6D"/>
    <w:rsid w:val="00FC138D"/>
    <w:rsid w:val="00FC1B2C"/>
    <w:rsid w:val="00FC2E73"/>
    <w:rsid w:val="00FD44A8"/>
    <w:rsid w:val="00FE2024"/>
    <w:rsid w:val="00FE28DD"/>
    <w:rsid w:val="00FE51C1"/>
    <w:rsid w:val="00FF05BC"/>
    <w:rsid w:val="00FF2CE6"/>
    <w:rsid w:val="00FF4FBA"/>
    <w:rsid w:val="00FF6E00"/>
    <w:rsid w:val="017A5905"/>
    <w:rsid w:val="02366130"/>
    <w:rsid w:val="046E23EE"/>
    <w:rsid w:val="05EC63AA"/>
    <w:rsid w:val="0DFD117F"/>
    <w:rsid w:val="0F440B62"/>
    <w:rsid w:val="0FB5415F"/>
    <w:rsid w:val="108F26B5"/>
    <w:rsid w:val="11923040"/>
    <w:rsid w:val="159A33B0"/>
    <w:rsid w:val="16331F2B"/>
    <w:rsid w:val="1B440594"/>
    <w:rsid w:val="1C191F7F"/>
    <w:rsid w:val="1D343AE4"/>
    <w:rsid w:val="1F5A5FAC"/>
    <w:rsid w:val="26F855C1"/>
    <w:rsid w:val="297431C2"/>
    <w:rsid w:val="2A95016F"/>
    <w:rsid w:val="2CBD708C"/>
    <w:rsid w:val="2DE04797"/>
    <w:rsid w:val="30946879"/>
    <w:rsid w:val="31614F93"/>
    <w:rsid w:val="32052C5F"/>
    <w:rsid w:val="33004AE4"/>
    <w:rsid w:val="34497E97"/>
    <w:rsid w:val="368C7B09"/>
    <w:rsid w:val="390241B5"/>
    <w:rsid w:val="3ADF2C82"/>
    <w:rsid w:val="3B965AA1"/>
    <w:rsid w:val="3B9E6CFF"/>
    <w:rsid w:val="3C4970DC"/>
    <w:rsid w:val="41C32F69"/>
    <w:rsid w:val="42BE65D6"/>
    <w:rsid w:val="43087A19"/>
    <w:rsid w:val="43425D7A"/>
    <w:rsid w:val="452A6BBD"/>
    <w:rsid w:val="45BB2482"/>
    <w:rsid w:val="472C466D"/>
    <w:rsid w:val="47D64A22"/>
    <w:rsid w:val="47FD5C6F"/>
    <w:rsid w:val="483E2AE7"/>
    <w:rsid w:val="496A12A1"/>
    <w:rsid w:val="49CC536E"/>
    <w:rsid w:val="513045BA"/>
    <w:rsid w:val="53F34695"/>
    <w:rsid w:val="58D97193"/>
    <w:rsid w:val="59252A6D"/>
    <w:rsid w:val="59D14242"/>
    <w:rsid w:val="5A9F63A9"/>
    <w:rsid w:val="5B2D4144"/>
    <w:rsid w:val="5BCC3006"/>
    <w:rsid w:val="5D21012B"/>
    <w:rsid w:val="5D627F86"/>
    <w:rsid w:val="5D9F7FE7"/>
    <w:rsid w:val="5F01496B"/>
    <w:rsid w:val="6220092C"/>
    <w:rsid w:val="64560A8D"/>
    <w:rsid w:val="647304B1"/>
    <w:rsid w:val="6505366F"/>
    <w:rsid w:val="671924A9"/>
    <w:rsid w:val="6B547D33"/>
    <w:rsid w:val="6BCA141D"/>
    <w:rsid w:val="6C52259B"/>
    <w:rsid w:val="6CD94033"/>
    <w:rsid w:val="6D1E19C3"/>
    <w:rsid w:val="6FC87E15"/>
    <w:rsid w:val="6FDB52C6"/>
    <w:rsid w:val="70690675"/>
    <w:rsid w:val="71442616"/>
    <w:rsid w:val="777B3179"/>
    <w:rsid w:val="78280C33"/>
    <w:rsid w:val="791732C9"/>
    <w:rsid w:val="7954794F"/>
    <w:rsid w:val="7A3247F5"/>
    <w:rsid w:val="7D875CB2"/>
    <w:rsid w:val="7D883202"/>
    <w:rsid w:val="7DE34C07"/>
    <w:rsid w:val="7E4F0B97"/>
    <w:rsid w:val="7F0A23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0" w:semiHidden="0" w:name="Body Text" w:locked="1"/>
    <w:lsdException w:qFormat="1" w:uiPriority="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0" w:semiHidden="0"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9"/>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0"/>
    <w:qFormat/>
    <w:uiPriority w:val="99"/>
    <w:pPr>
      <w:keepNext/>
      <w:keepLines/>
      <w:spacing w:before="260" w:after="260" w:line="416" w:lineRule="auto"/>
      <w:outlineLvl w:val="1"/>
    </w:pPr>
    <w:rPr>
      <w:rFonts w:ascii="Cambria" w:hAnsi="Cambria"/>
      <w:b/>
      <w:bCs/>
      <w:kern w:val="0"/>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link w:val="42"/>
    <w:qFormat/>
    <w:uiPriority w:val="99"/>
    <w:pPr>
      <w:ind w:firstLine="420"/>
    </w:pPr>
  </w:style>
  <w:style w:type="paragraph" w:styleId="5">
    <w:name w:val="annotation text"/>
    <w:basedOn w:val="1"/>
    <w:link w:val="31"/>
    <w:qFormat/>
    <w:uiPriority w:val="99"/>
    <w:pPr>
      <w:jc w:val="left"/>
    </w:pPr>
    <w:rPr>
      <w:rFonts w:ascii="Times New Roman" w:hAnsi="Times New Roman"/>
      <w:kern w:val="0"/>
      <w:sz w:val="20"/>
      <w:szCs w:val="20"/>
    </w:rPr>
  </w:style>
  <w:style w:type="paragraph" w:styleId="6">
    <w:name w:val="Body Text"/>
    <w:basedOn w:val="1"/>
    <w:qFormat/>
    <w:locked/>
    <w:uiPriority w:val="0"/>
    <w:rPr>
      <w:sz w:val="24"/>
    </w:rPr>
  </w:style>
  <w:style w:type="paragraph" w:styleId="7">
    <w:name w:val="Body Text Indent"/>
    <w:basedOn w:val="1"/>
    <w:semiHidden/>
    <w:unhideWhenUsed/>
    <w:qFormat/>
    <w:locked/>
    <w:uiPriority w:val="0"/>
    <w:pPr>
      <w:spacing w:after="120"/>
      <w:ind w:left="420" w:leftChars="200"/>
    </w:pPr>
  </w:style>
  <w:style w:type="paragraph" w:styleId="8">
    <w:name w:val="toc 3"/>
    <w:basedOn w:val="1"/>
    <w:next w:val="1"/>
    <w:qFormat/>
    <w:uiPriority w:val="99"/>
    <w:pPr>
      <w:widowControl/>
      <w:spacing w:after="100" w:line="276" w:lineRule="auto"/>
      <w:ind w:left="440"/>
      <w:jc w:val="left"/>
    </w:pPr>
    <w:rPr>
      <w:kern w:val="0"/>
      <w:sz w:val="22"/>
    </w:rPr>
  </w:style>
  <w:style w:type="paragraph" w:styleId="9">
    <w:name w:val="Plain Text"/>
    <w:basedOn w:val="1"/>
    <w:link w:val="33"/>
    <w:qFormat/>
    <w:uiPriority w:val="0"/>
    <w:rPr>
      <w:rFonts w:ascii="宋体" w:hAnsi="Courier New"/>
      <w:kern w:val="0"/>
      <w:szCs w:val="20"/>
    </w:rPr>
  </w:style>
  <w:style w:type="paragraph" w:styleId="10">
    <w:name w:val="endnote text"/>
    <w:basedOn w:val="1"/>
    <w:link w:val="34"/>
    <w:qFormat/>
    <w:uiPriority w:val="99"/>
    <w:pPr>
      <w:snapToGrid w:val="0"/>
      <w:jc w:val="left"/>
    </w:pPr>
    <w:rPr>
      <w:rFonts w:ascii="Times New Roman" w:hAnsi="Times New Roman"/>
      <w:kern w:val="0"/>
      <w:sz w:val="20"/>
      <w:szCs w:val="20"/>
    </w:rPr>
  </w:style>
  <w:style w:type="paragraph" w:styleId="11">
    <w:name w:val="Balloon Text"/>
    <w:basedOn w:val="1"/>
    <w:link w:val="35"/>
    <w:qFormat/>
    <w:uiPriority w:val="99"/>
    <w:rPr>
      <w:rFonts w:ascii="Times New Roman" w:hAnsi="Times New Roman"/>
      <w:kern w:val="0"/>
      <w:sz w:val="18"/>
      <w:szCs w:val="18"/>
    </w:rPr>
  </w:style>
  <w:style w:type="paragraph" w:styleId="12">
    <w:name w:val="footer"/>
    <w:basedOn w:val="1"/>
    <w:link w:val="36"/>
    <w:qFormat/>
    <w:uiPriority w:val="99"/>
    <w:pPr>
      <w:tabs>
        <w:tab w:val="center" w:pos="4153"/>
        <w:tab w:val="right" w:pos="8306"/>
      </w:tabs>
      <w:snapToGrid w:val="0"/>
      <w:jc w:val="left"/>
    </w:pPr>
    <w:rPr>
      <w:rFonts w:ascii="Times New Roman" w:hAnsi="Times New Roman"/>
      <w:kern w:val="0"/>
      <w:sz w:val="18"/>
      <w:szCs w:val="18"/>
    </w:rPr>
  </w:style>
  <w:style w:type="paragraph" w:styleId="13">
    <w:name w:val="header"/>
    <w:basedOn w:val="1"/>
    <w:link w:val="37"/>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toc 1"/>
    <w:basedOn w:val="15"/>
    <w:next w:val="2"/>
    <w:qFormat/>
    <w:uiPriority w:val="99"/>
    <w:pPr>
      <w:widowControl/>
      <w:spacing w:line="440" w:lineRule="exact"/>
      <w:jc w:val="left"/>
    </w:pPr>
    <w:rPr>
      <w:rFonts w:eastAsia="黑体"/>
      <w:b/>
      <w:i w:val="0"/>
      <w:sz w:val="28"/>
    </w:rPr>
  </w:style>
  <w:style w:type="paragraph" w:customStyle="1" w:styleId="15">
    <w:name w:val="引用1"/>
    <w:basedOn w:val="1"/>
    <w:next w:val="1"/>
    <w:link w:val="41"/>
    <w:qFormat/>
    <w:uiPriority w:val="99"/>
    <w:rPr>
      <w:rFonts w:ascii="Times New Roman" w:hAnsi="Times New Roman"/>
      <w:i/>
      <w:iCs/>
      <w:color w:val="000000"/>
      <w:kern w:val="0"/>
      <w:sz w:val="20"/>
      <w:szCs w:val="20"/>
    </w:rPr>
  </w:style>
  <w:style w:type="paragraph" w:styleId="16">
    <w:name w:val="Body Text Indent 3"/>
    <w:basedOn w:val="1"/>
    <w:qFormat/>
    <w:locked/>
    <w:uiPriority w:val="0"/>
    <w:pPr>
      <w:spacing w:after="120"/>
      <w:ind w:left="420" w:leftChars="200"/>
    </w:pPr>
    <w:rPr>
      <w:kern w:val="0"/>
      <w:sz w:val="16"/>
      <w:szCs w:val="16"/>
    </w:rPr>
  </w:style>
  <w:style w:type="paragraph" w:styleId="17">
    <w:name w:val="toc 2"/>
    <w:basedOn w:val="15"/>
    <w:next w:val="3"/>
    <w:qFormat/>
    <w:uiPriority w:val="99"/>
    <w:pPr>
      <w:widowControl/>
      <w:tabs>
        <w:tab w:val="left" w:pos="756"/>
        <w:tab w:val="left" w:pos="966"/>
        <w:tab w:val="left" w:pos="1204"/>
        <w:tab w:val="left" w:pos="1442"/>
        <w:tab w:val="right" w:leader="dot" w:pos="9514"/>
      </w:tabs>
      <w:spacing w:line="276" w:lineRule="auto"/>
      <w:ind w:left="220"/>
      <w:jc w:val="left"/>
    </w:pPr>
    <w:rPr>
      <w:rFonts w:ascii="宋体" w:hAnsi="宋体"/>
      <w:i w:val="0"/>
      <w:sz w:val="24"/>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5"/>
    <w:next w:val="5"/>
    <w:link w:val="32"/>
    <w:qFormat/>
    <w:uiPriority w:val="99"/>
    <w:rPr>
      <w:b/>
      <w:bCs/>
    </w:rPr>
  </w:style>
  <w:style w:type="paragraph" w:styleId="20">
    <w:name w:val="Body Text First Indent 2"/>
    <w:basedOn w:val="7"/>
    <w:qFormat/>
    <w:locked/>
    <w:uiPriority w:val="0"/>
    <w:pPr>
      <w:ind w:firstLine="420"/>
    </w:pPr>
  </w:style>
  <w:style w:type="table" w:styleId="22">
    <w:name w:val="Table Grid"/>
    <w:basedOn w:val="21"/>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Strong"/>
    <w:qFormat/>
    <w:uiPriority w:val="99"/>
    <w:rPr>
      <w:rFonts w:cs="Times New Roman"/>
      <w:b/>
    </w:rPr>
  </w:style>
  <w:style w:type="character" w:styleId="25">
    <w:name w:val="endnote reference"/>
    <w:qFormat/>
    <w:uiPriority w:val="99"/>
    <w:rPr>
      <w:rFonts w:cs="Times New Roman"/>
      <w:vertAlign w:val="superscript"/>
    </w:rPr>
  </w:style>
  <w:style w:type="character" w:styleId="26">
    <w:name w:val="Hyperlink"/>
    <w:qFormat/>
    <w:uiPriority w:val="99"/>
    <w:rPr>
      <w:rFonts w:cs="Times New Roman"/>
      <w:color w:val="0000FF"/>
      <w:u w:val="single"/>
    </w:rPr>
  </w:style>
  <w:style w:type="character" w:styleId="27">
    <w:name w:val="annotation reference"/>
    <w:qFormat/>
    <w:uiPriority w:val="99"/>
    <w:rPr>
      <w:rFonts w:cs="Times New Roman"/>
      <w:sz w:val="21"/>
    </w:rPr>
  </w:style>
  <w:style w:type="paragraph" w:customStyle="1" w:styleId="28">
    <w:name w:val="文档正文"/>
    <w:basedOn w:val="4"/>
    <w:qFormat/>
    <w:uiPriority w:val="0"/>
    <w:pPr>
      <w:adjustRightInd w:val="0"/>
      <w:spacing w:line="312" w:lineRule="atLeast"/>
      <w:ind w:firstLine="567"/>
      <w:textAlignment w:val="baseline"/>
    </w:pPr>
    <w:rPr>
      <w:rFonts w:ascii="长城仿宋" w:eastAsia="长城仿宋"/>
      <w:kern w:val="0"/>
      <w:sz w:val="28"/>
    </w:rPr>
  </w:style>
  <w:style w:type="character" w:customStyle="1" w:styleId="29">
    <w:name w:val="标题 1 Char"/>
    <w:link w:val="2"/>
    <w:qFormat/>
    <w:locked/>
    <w:uiPriority w:val="99"/>
    <w:rPr>
      <w:rFonts w:cs="Times New Roman"/>
      <w:b/>
      <w:bCs/>
      <w:kern w:val="44"/>
      <w:sz w:val="44"/>
      <w:szCs w:val="44"/>
    </w:rPr>
  </w:style>
  <w:style w:type="character" w:customStyle="1" w:styleId="30">
    <w:name w:val="标题 2 Char"/>
    <w:link w:val="3"/>
    <w:qFormat/>
    <w:locked/>
    <w:uiPriority w:val="99"/>
    <w:rPr>
      <w:rFonts w:ascii="Cambria" w:hAnsi="Cambria" w:eastAsia="宋体" w:cs="Times New Roman"/>
      <w:b/>
      <w:bCs/>
      <w:sz w:val="32"/>
      <w:szCs w:val="32"/>
    </w:rPr>
  </w:style>
  <w:style w:type="character" w:customStyle="1" w:styleId="31">
    <w:name w:val="批注文字 Char"/>
    <w:link w:val="5"/>
    <w:qFormat/>
    <w:locked/>
    <w:uiPriority w:val="99"/>
    <w:rPr>
      <w:rFonts w:cs="Times New Roman"/>
    </w:rPr>
  </w:style>
  <w:style w:type="character" w:customStyle="1" w:styleId="32">
    <w:name w:val="批注主题 Char"/>
    <w:link w:val="19"/>
    <w:semiHidden/>
    <w:qFormat/>
    <w:locked/>
    <w:uiPriority w:val="99"/>
    <w:rPr>
      <w:rFonts w:cs="Times New Roman"/>
      <w:b/>
      <w:bCs/>
    </w:rPr>
  </w:style>
  <w:style w:type="character" w:customStyle="1" w:styleId="33">
    <w:name w:val="纯文本 Char"/>
    <w:link w:val="9"/>
    <w:qFormat/>
    <w:locked/>
    <w:uiPriority w:val="99"/>
    <w:rPr>
      <w:rFonts w:ascii="宋体" w:hAnsi="Courier New" w:cs="Times New Roman"/>
      <w:sz w:val="21"/>
    </w:rPr>
  </w:style>
  <w:style w:type="character" w:customStyle="1" w:styleId="34">
    <w:name w:val="尾注文本 Char"/>
    <w:link w:val="10"/>
    <w:semiHidden/>
    <w:qFormat/>
    <w:locked/>
    <w:uiPriority w:val="99"/>
    <w:rPr>
      <w:rFonts w:cs="Times New Roman"/>
    </w:rPr>
  </w:style>
  <w:style w:type="character" w:customStyle="1" w:styleId="35">
    <w:name w:val="批注框文本 Char"/>
    <w:link w:val="11"/>
    <w:semiHidden/>
    <w:qFormat/>
    <w:locked/>
    <w:uiPriority w:val="99"/>
    <w:rPr>
      <w:rFonts w:cs="Times New Roman"/>
      <w:sz w:val="18"/>
      <w:szCs w:val="18"/>
    </w:rPr>
  </w:style>
  <w:style w:type="character" w:customStyle="1" w:styleId="36">
    <w:name w:val="页脚 Char"/>
    <w:link w:val="12"/>
    <w:qFormat/>
    <w:locked/>
    <w:uiPriority w:val="99"/>
    <w:rPr>
      <w:rFonts w:cs="Times New Roman"/>
      <w:sz w:val="18"/>
      <w:szCs w:val="18"/>
    </w:rPr>
  </w:style>
  <w:style w:type="character" w:customStyle="1" w:styleId="37">
    <w:name w:val="页眉 Char"/>
    <w:link w:val="13"/>
    <w:qFormat/>
    <w:locked/>
    <w:uiPriority w:val="99"/>
    <w:rPr>
      <w:rFonts w:cs="Times New Roman"/>
      <w:sz w:val="18"/>
      <w:szCs w:val="18"/>
    </w:rPr>
  </w:style>
  <w:style w:type="paragraph" w:customStyle="1" w:styleId="38">
    <w:name w:val="列出段落1"/>
    <w:basedOn w:val="1"/>
    <w:qFormat/>
    <w:uiPriority w:val="99"/>
    <w:pPr>
      <w:ind w:firstLine="420" w:firstLineChars="200"/>
    </w:pPr>
  </w:style>
  <w:style w:type="paragraph" w:customStyle="1" w:styleId="3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0">
    <w:name w:val="纯文本 Char1"/>
    <w:semiHidden/>
    <w:qFormat/>
    <w:uiPriority w:val="99"/>
    <w:rPr>
      <w:rFonts w:ascii="宋体" w:hAnsi="Courier New" w:eastAsia="宋体" w:cs="Courier New"/>
      <w:sz w:val="21"/>
      <w:szCs w:val="21"/>
    </w:rPr>
  </w:style>
  <w:style w:type="character" w:customStyle="1" w:styleId="41">
    <w:name w:val="引用 Char"/>
    <w:link w:val="15"/>
    <w:qFormat/>
    <w:locked/>
    <w:uiPriority w:val="99"/>
    <w:rPr>
      <w:rFonts w:cs="Times New Roman"/>
      <w:i/>
      <w:iCs/>
      <w:color w:val="000000"/>
    </w:rPr>
  </w:style>
  <w:style w:type="character" w:customStyle="1" w:styleId="42">
    <w:name w:val="正文缩进 Char"/>
    <w:link w:val="4"/>
    <w:qFormat/>
    <w:locked/>
    <w:uiPriority w:val="99"/>
  </w:style>
  <w:style w:type="paragraph" w:styleId="43">
    <w:name w:val="List Paragraph"/>
    <w:basedOn w:val="1"/>
    <w:qFormat/>
    <w:uiPriority w:val="99"/>
    <w:pPr>
      <w:ind w:firstLine="420" w:firstLineChars="200"/>
    </w:pPr>
  </w:style>
  <w:style w:type="paragraph" w:customStyle="1" w:styleId="44">
    <w:name w:val="pa-3"/>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2"/>
    <w:basedOn w:val="1"/>
    <w:qFormat/>
    <w:uiPriority w:val="99"/>
    <w:pPr>
      <w:ind w:firstLine="420" w:firstLineChars="200"/>
    </w:pPr>
  </w:style>
  <w:style w:type="character" w:customStyle="1" w:styleId="46">
    <w:name w:val="正文文本缩进 Char"/>
    <w:qFormat/>
    <w:uiPriority w:val="99"/>
    <w:rPr>
      <w:kern w:val="2"/>
      <w:sz w:val="24"/>
    </w:rPr>
  </w:style>
  <w:style w:type="character" w:customStyle="1" w:styleId="47">
    <w:name w:val="font31"/>
    <w:basedOn w:val="23"/>
    <w:qFormat/>
    <w:uiPriority w:val="0"/>
    <w:rPr>
      <w:rFonts w:hint="eastAsia" w:ascii="宋体" w:hAnsi="宋体" w:eastAsia="宋体" w:cs="宋体"/>
      <w:color w:val="000000"/>
      <w:sz w:val="24"/>
      <w:szCs w:val="24"/>
      <w:u w:val="none"/>
    </w:rPr>
  </w:style>
  <w:style w:type="paragraph" w:customStyle="1" w:styleId="48">
    <w:name w:val="无间隔1"/>
    <w:basedOn w:val="1"/>
    <w:qFormat/>
    <w:uiPriority w:val="1"/>
  </w:style>
  <w:style w:type="character" w:customStyle="1" w:styleId="49">
    <w:name w:val="font21"/>
    <w:basedOn w:val="23"/>
    <w:qFormat/>
    <w:uiPriority w:val="0"/>
    <w:rPr>
      <w:rFonts w:hint="default" w:ascii="Times New Roman" w:hAnsi="Times New Roman" w:cs="Times New Roman"/>
      <w:color w:val="000000"/>
      <w:sz w:val="18"/>
      <w:szCs w:val="18"/>
      <w:u w:val="none"/>
    </w:rPr>
  </w:style>
  <w:style w:type="character" w:customStyle="1" w:styleId="50">
    <w:name w:val="font91"/>
    <w:basedOn w:val="23"/>
    <w:qFormat/>
    <w:uiPriority w:val="0"/>
    <w:rPr>
      <w:rFonts w:hint="eastAsia" w:ascii="宋体" w:hAnsi="宋体" w:eastAsia="宋体" w:cs="宋体"/>
      <w:color w:val="000000"/>
      <w:sz w:val="18"/>
      <w:szCs w:val="18"/>
      <w:u w:val="none"/>
    </w:rPr>
  </w:style>
  <w:style w:type="character" w:customStyle="1" w:styleId="51">
    <w:name w:val="font41"/>
    <w:basedOn w:val="23"/>
    <w:qFormat/>
    <w:uiPriority w:val="0"/>
    <w:rPr>
      <w:rFonts w:hint="eastAsia" w:ascii="宋体" w:hAnsi="宋体" w:eastAsia="宋体" w:cs="宋体"/>
      <w:color w:val="000000"/>
      <w:sz w:val="20"/>
      <w:szCs w:val="20"/>
      <w:u w:val="none"/>
    </w:rPr>
  </w:style>
  <w:style w:type="character" w:customStyle="1" w:styleId="52">
    <w:name w:val="font81"/>
    <w:basedOn w:val="23"/>
    <w:qFormat/>
    <w:uiPriority w:val="0"/>
    <w:rPr>
      <w:rFonts w:hint="eastAsia" w:ascii="宋体" w:hAnsi="宋体" w:eastAsia="宋体" w:cs="宋体"/>
      <w:color w:val="FF0000"/>
      <w:sz w:val="20"/>
      <w:szCs w:val="20"/>
      <w:u w:val="none"/>
    </w:rPr>
  </w:style>
  <w:style w:type="character" w:customStyle="1" w:styleId="53">
    <w:name w:val="font12"/>
    <w:basedOn w:val="23"/>
    <w:qFormat/>
    <w:uiPriority w:val="0"/>
    <w:rPr>
      <w:rFonts w:hint="eastAsia" w:ascii="宋体" w:hAnsi="宋体" w:eastAsia="宋体" w:cs="宋体"/>
      <w:color w:val="C00000"/>
      <w:sz w:val="20"/>
      <w:szCs w:val="20"/>
      <w:u w:val="none"/>
    </w:rPr>
  </w:style>
  <w:style w:type="character" w:customStyle="1" w:styleId="54">
    <w:name w:val="font71"/>
    <w:basedOn w:val="23"/>
    <w:qFormat/>
    <w:uiPriority w:val="0"/>
    <w:rPr>
      <w:rFonts w:ascii="Arial" w:hAnsi="Arial" w:cs="Arial"/>
      <w:color w:val="000000"/>
      <w:sz w:val="18"/>
      <w:szCs w:val="18"/>
      <w:u w:val="none"/>
    </w:rPr>
  </w:style>
  <w:style w:type="character" w:customStyle="1" w:styleId="55">
    <w:name w:val="font11"/>
    <w:basedOn w:val="23"/>
    <w:qFormat/>
    <w:uiPriority w:val="0"/>
    <w:rPr>
      <w:rFonts w:ascii="Arial" w:hAnsi="Arial" w:cs="Arial"/>
      <w:color w:val="000000"/>
      <w:sz w:val="22"/>
      <w:szCs w:val="22"/>
      <w:u w:val="none"/>
    </w:rPr>
  </w:style>
  <w:style w:type="character" w:customStyle="1" w:styleId="56">
    <w:name w:val="无"/>
    <w:qFormat/>
    <w:uiPriority w:val="0"/>
  </w:style>
  <w:style w:type="character" w:customStyle="1" w:styleId="57">
    <w:name w:val="font51"/>
    <w:basedOn w:val="23"/>
    <w:qFormat/>
    <w:uiPriority w:val="0"/>
    <w:rPr>
      <w:rFonts w:hint="eastAsia" w:ascii="黑体" w:hAnsi="宋体" w:eastAsia="黑体" w:cs="黑体"/>
      <w:color w:val="000000"/>
      <w:sz w:val="21"/>
      <w:szCs w:val="21"/>
      <w:u w:val="none"/>
    </w:rPr>
  </w:style>
  <w:style w:type="character" w:customStyle="1" w:styleId="58">
    <w:name w:val="font101"/>
    <w:basedOn w:val="23"/>
    <w:qFormat/>
    <w:uiPriority w:val="0"/>
    <w:rPr>
      <w:rFonts w:hint="eastAsia" w:ascii="黑体" w:hAnsi="宋体" w:eastAsia="黑体" w:cs="黑体"/>
      <w:color w:val="000000"/>
      <w:sz w:val="21"/>
      <w:szCs w:val="21"/>
      <w:u w:val="none"/>
      <w:vertAlign w:val="superscript"/>
    </w:rPr>
  </w:style>
  <w:style w:type="character" w:customStyle="1" w:styleId="59">
    <w:name w:val="font112"/>
    <w:basedOn w:val="23"/>
    <w:qFormat/>
    <w:uiPriority w:val="0"/>
    <w:rPr>
      <w:rFonts w:hint="eastAsia" w:ascii="黑体" w:hAnsi="宋体" w:eastAsia="黑体" w:cs="黑体"/>
      <w:color w:val="000000"/>
      <w:sz w:val="21"/>
      <w:szCs w:val="21"/>
      <w:u w:val="none"/>
      <w:vertAlign w:val="subscript"/>
    </w:rPr>
  </w:style>
  <w:style w:type="character" w:customStyle="1" w:styleId="60">
    <w:name w:val="font61"/>
    <w:basedOn w:val="23"/>
    <w:qFormat/>
    <w:uiPriority w:val="0"/>
    <w:rPr>
      <w:rFonts w:hint="eastAsia" w:ascii="宋体" w:hAnsi="宋体" w:eastAsia="宋体" w:cs="宋体"/>
      <w:color w:val="000000"/>
      <w:sz w:val="21"/>
      <w:szCs w:val="21"/>
      <w:u w:val="none"/>
    </w:rPr>
  </w:style>
  <w:style w:type="paragraph" w:customStyle="1" w:styleId="61">
    <w:name w:val="样式 宋体 首行缩进:  0.87 厘米"/>
    <w:basedOn w:val="1"/>
    <w:qFormat/>
    <w:uiPriority w:val="0"/>
    <w:pPr>
      <w:spacing w:line="480" w:lineRule="exact"/>
      <w:ind w:firstLine="493"/>
    </w:pPr>
    <w:rPr>
      <w:rFonts w:ascii="宋体" w:hAnsi="宋体" w:cs="宋体"/>
      <w:spacing w:val="6"/>
      <w:sz w:val="24"/>
    </w:rPr>
  </w:style>
  <w:style w:type="paragraph" w:styleId="62">
    <w:name w:val="No Spacing"/>
    <w:qFormat/>
    <w:uiPriority w:val="1"/>
    <w:pPr>
      <w:widowControl w:val="0"/>
      <w:jc w:val="both"/>
    </w:pPr>
    <w:rPr>
      <w:rFonts w:ascii="Times New Roman" w:hAnsi="Times New Roman" w:eastAsia="宋体" w:cs="Times New Roman"/>
      <w:kern w:val="2"/>
      <w:sz w:val="36"/>
      <w:szCs w:val="24"/>
      <w:lang w:val="en-US" w:eastAsia="zh-CN" w:bidi="ar-SA"/>
    </w:rPr>
  </w:style>
  <w:style w:type="character" w:customStyle="1" w:styleId="63">
    <w:name w:val="font121"/>
    <w:basedOn w:val="23"/>
    <w:qFormat/>
    <w:uiPriority w:val="0"/>
    <w:rPr>
      <w:rFonts w:hint="eastAsia" w:ascii="黑体" w:hAnsi="宋体" w:eastAsia="黑体" w:cs="黑体"/>
      <w:color w:val="000000"/>
      <w:sz w:val="21"/>
      <w:szCs w:val="21"/>
      <w:u w:val="none"/>
    </w:rPr>
  </w:style>
  <w:style w:type="character" w:customStyle="1" w:styleId="64">
    <w:name w:val="纯文本 字符"/>
    <w:qFormat/>
    <w:uiPriority w:val="0"/>
    <w:rPr>
      <w:rFonts w:ascii="宋体" w:hAnsi="Courier New" w:eastAsia="仿宋_GB2312"/>
      <w:b/>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4585F-3C63-4519-92E5-08FBB75AB17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145</Pages>
  <Words>15162</Words>
  <Characters>86426</Characters>
  <Lines>720</Lines>
  <Paragraphs>202</Paragraphs>
  <TotalTime>1</TotalTime>
  <ScaleCrop>false</ScaleCrop>
  <LinksUpToDate>false</LinksUpToDate>
  <CharactersWithSpaces>101386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2019-08-08T03:21:00Z</dcterms:created>
  <dc:creator>502-2</dc:creator>
  <cp:lastModifiedBy>Administrator</cp:lastModifiedBy>
  <cp:lastPrinted>2019-08-07T01:02:00Z</cp:lastPrinted>
  <dcterms:modified xsi:type="dcterms:W3CDTF">2019-08-08T08:41:29Z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