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25"/>
        <w:jc w:val="left"/>
        <w:rPr>
          <w:rFonts w:ascii="宋体" w:hAnsi="宋体" w:eastAsia="宋体"/>
          <w:b/>
          <w:bCs/>
          <w:sz w:val="32"/>
        </w:rPr>
      </w:pPr>
      <w:r>
        <w:rPr>
          <w:rFonts w:hint="eastAsia" w:ascii="宋体" w:hAnsi="宋体" w:eastAsia="宋体"/>
          <w:b/>
          <w:bCs/>
          <w:sz w:val="32"/>
        </w:rPr>
        <w:t>附件1：</w:t>
      </w:r>
      <w:r>
        <w:rPr>
          <w:rFonts w:hint="eastAsia" w:ascii="宋体" w:hAnsi="宋体"/>
          <w:b/>
          <w:bCs/>
          <w:sz w:val="32"/>
        </w:rPr>
        <w:t xml:space="preserve"> </w:t>
      </w:r>
      <w:r>
        <w:rPr>
          <w:rFonts w:hint="eastAsia" w:ascii="宋体" w:hAnsi="宋体" w:eastAsia="宋体"/>
          <w:b/>
          <w:bCs/>
          <w:sz w:val="32"/>
        </w:rPr>
        <w:t xml:space="preserve"> </w:t>
      </w:r>
    </w:p>
    <w:p>
      <w:pPr>
        <w:spacing w:beforeLines="50" w:afterLines="25"/>
        <w:jc w:val="center"/>
        <w:rPr>
          <w:rFonts w:ascii="宋体" w:hAnsi="宋体" w:eastAsia="宋体"/>
          <w:b/>
          <w:bCs/>
          <w:sz w:val="32"/>
        </w:rPr>
      </w:pPr>
      <w:r>
        <w:rPr>
          <w:rFonts w:hint="eastAsia" w:ascii="宋体" w:hAnsi="宋体" w:eastAsia="宋体"/>
          <w:b/>
          <w:bCs/>
          <w:sz w:val="32"/>
        </w:rPr>
        <w:t xml:space="preserve"> 技术参数要求</w:t>
      </w:r>
    </w:p>
    <w:p>
      <w:pPr>
        <w:spacing w:line="340" w:lineRule="exact"/>
        <w:jc w:val="left"/>
        <w:rPr>
          <w:rFonts w:ascii="宋体" w:hAnsi="宋体" w:eastAsia="宋体"/>
          <w:b/>
          <w:bCs/>
          <w:sz w:val="32"/>
          <w:szCs w:val="32"/>
        </w:rPr>
      </w:pPr>
      <w:bookmarkStart w:id="0" w:name="_Toc49019228"/>
      <w:bookmarkStart w:id="1" w:name="_Toc47416189"/>
      <w:bookmarkStart w:id="2" w:name="_Toc195327473"/>
      <w:bookmarkStart w:id="3" w:name="_Toc222590251"/>
      <w:r>
        <w:rPr>
          <w:rFonts w:hint="eastAsia" w:ascii="宋体" w:hAnsi="宋体" w:eastAsia="宋体"/>
          <w:b/>
          <w:bCs/>
          <w:sz w:val="32"/>
          <w:szCs w:val="32"/>
        </w:rPr>
        <w:t>（1）船型参数</w:t>
      </w:r>
    </w:p>
    <w:p>
      <w:pPr>
        <w:spacing w:line="340" w:lineRule="exact"/>
        <w:ind w:firstLine="422" w:firstLineChars="200"/>
        <w:rPr>
          <w:rFonts w:ascii="宋体" w:hAnsi="宋体" w:eastAsia="宋体"/>
          <w:b/>
          <w:bCs/>
        </w:rPr>
      </w:pPr>
    </w:p>
    <w:tbl>
      <w:tblPr>
        <w:tblStyle w:val="2"/>
        <w:tblpPr w:leftFromText="180" w:rightFromText="180" w:vertAnchor="text" w:horzAnchor="page" w:tblpXSpec="center" w:tblpY="142"/>
        <w:tblOverlap w:val="never"/>
        <w:tblW w:w="9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639"/>
        <w:gridCol w:w="1640"/>
        <w:gridCol w:w="1640"/>
        <w:gridCol w:w="164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40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船 长</w:t>
            </w:r>
          </w:p>
        </w:tc>
        <w:tc>
          <w:tcPr>
            <w:tcW w:w="1639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船宽</w:t>
            </w:r>
          </w:p>
        </w:tc>
        <w:tc>
          <w:tcPr>
            <w:tcW w:w="1640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型深</w:t>
            </w:r>
          </w:p>
        </w:tc>
        <w:tc>
          <w:tcPr>
            <w:tcW w:w="1640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吃水</w:t>
            </w:r>
          </w:p>
        </w:tc>
        <w:tc>
          <w:tcPr>
            <w:tcW w:w="1640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航速</w:t>
            </w:r>
          </w:p>
        </w:tc>
        <w:tc>
          <w:tcPr>
            <w:tcW w:w="1641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4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9.6m</w:t>
            </w:r>
          </w:p>
        </w:tc>
        <w:tc>
          <w:tcPr>
            <w:tcW w:w="163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</w:rPr>
              <w:t>★</w:t>
            </w:r>
            <w:r>
              <w:rPr>
                <w:rFonts w:hint="eastAsia"/>
                <w:b/>
                <w:bCs/>
                <w:sz w:val="28"/>
                <w:szCs w:val="28"/>
              </w:rPr>
              <w:t>2.7m</w:t>
            </w:r>
          </w:p>
        </w:tc>
        <w:tc>
          <w:tcPr>
            <w:tcW w:w="164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1.2m</w:t>
            </w:r>
          </w:p>
        </w:tc>
        <w:tc>
          <w:tcPr>
            <w:tcW w:w="164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0.5m</w:t>
            </w:r>
          </w:p>
        </w:tc>
        <w:tc>
          <w:tcPr>
            <w:tcW w:w="164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8-10km/h</w:t>
            </w:r>
          </w:p>
        </w:tc>
        <w:tc>
          <w:tcPr>
            <w:tcW w:w="164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12人</w:t>
            </w:r>
          </w:p>
        </w:tc>
      </w:tr>
    </w:tbl>
    <w:p>
      <w:pPr>
        <w:widowControl/>
        <w:textAlignment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Tahoma"/>
        </w:rPr>
        <w:t xml:space="preserve">★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投标人需提供中国船级社检验证书。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总布置图</w:t>
      </w:r>
    </w:p>
    <w:p>
      <w:pPr>
        <w:widowControl/>
        <w:jc w:val="left"/>
        <w:textAlignment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jc w:val="center"/>
        <w:textAlignment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drawing>
          <wp:inline distT="0" distB="0" distL="114300" distR="114300">
            <wp:extent cx="5753100" cy="3966845"/>
            <wp:effectExtent l="0" t="0" r="0" b="14605"/>
            <wp:docPr id="1" name="图片 1" descr="微信图片_20190713154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71315480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textAlignment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jc w:val="left"/>
        <w:textAlignment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widowControl/>
        <w:textAlignment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（3）配置要求</w:t>
      </w:r>
    </w:p>
    <w:p>
      <w:pPr>
        <w:tabs>
          <w:tab w:val="left" w:pos="8316"/>
        </w:tabs>
        <w:rPr>
          <w:rFonts w:ascii="宋体" w:hAnsi="宋体" w:eastAsia="宋体" w:cs="楷体_GB2312"/>
          <w:b/>
          <w:kern w:val="0"/>
        </w:rPr>
      </w:pPr>
      <w:r>
        <w:rPr>
          <w:rFonts w:ascii="宋体" w:hAnsi="宋体" w:eastAsia="宋体" w:cs="楷体_GB2312"/>
          <w:b/>
          <w:kern w:val="0"/>
        </w:rPr>
        <w:t>主要材料及设备清单</w:t>
      </w:r>
      <w:r>
        <w:rPr>
          <w:rFonts w:hint="eastAsia" w:ascii="宋体" w:hAnsi="宋体" w:eastAsia="宋体" w:cs="楷体_GB2312"/>
          <w:b/>
          <w:kern w:val="0"/>
        </w:rPr>
        <w:t xml:space="preserve">     </w:t>
      </w:r>
    </w:p>
    <w:tbl>
      <w:tblPr>
        <w:tblStyle w:val="2"/>
        <w:tblW w:w="9301" w:type="dxa"/>
        <w:jc w:val="center"/>
        <w:tblInd w:w="2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2901"/>
        <w:gridCol w:w="3998"/>
        <w:gridCol w:w="855"/>
        <w:gridCol w:w="8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9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316"/>
              </w:tabs>
              <w:jc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游览船主要材料及设备清单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规格、品牌、型号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一</w:t>
            </w:r>
          </w:p>
        </w:tc>
        <w:tc>
          <w:tcPr>
            <w:tcW w:w="8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船体工程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船用胶衣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船用树脂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船用树脂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玻璃纤维布、毡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船用产品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1980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kg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固化剂、颜料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结构泡沫芯材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</w:t>
            </w:r>
            <w:r>
              <w:rPr>
                <w:rStyle w:val="4"/>
                <w:rFonts w:hint="default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普通木材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0.5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</w:t>
            </w:r>
            <w:r>
              <w:rPr>
                <w:rStyle w:val="4"/>
                <w:rFonts w:hint="default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普通合板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辅助材料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胶水、毛刷、螺丝等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二</w:t>
            </w:r>
          </w:p>
        </w:tc>
        <w:tc>
          <w:tcPr>
            <w:tcW w:w="8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轮机部分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主机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直流电机5KW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皮带轮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与主机配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轴系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304不锈钢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舵系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304不锈钢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舵机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螺旋桨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CU1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风冷汽油发电机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220v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空调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挂式1.5匹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电动舱底泵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带浮子开关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管路、阀件、加工件等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按图纸设计要求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三</w:t>
            </w:r>
          </w:p>
        </w:tc>
        <w:tc>
          <w:tcPr>
            <w:tcW w:w="8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电器部分(含部分电子设备)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蓄电池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200AH/12V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岸电插座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50A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开关板、铭牌板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按设计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舱室舱顶灯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12V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航行信号灯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满足规范要求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船用电缆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按图纸设计要求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警笛、磁罗经、开关插座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避雷装置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满足规范要求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警灯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按厂家配置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冲洗设备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按厂家配置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四</w:t>
            </w:r>
          </w:p>
        </w:tc>
        <w:tc>
          <w:tcPr>
            <w:tcW w:w="8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舾装部分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舱室内装潢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玻璃钢侧壁+防滑地板+铝塑板顶棚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玻璃窗</w:t>
            </w:r>
          </w:p>
        </w:tc>
        <w:tc>
          <w:tcPr>
            <w:tcW w:w="3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按设计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座椅+坐垫</w:t>
            </w:r>
          </w:p>
        </w:tc>
        <w:tc>
          <w:tcPr>
            <w:tcW w:w="3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按设计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驾驶台</w:t>
            </w:r>
          </w:p>
        </w:tc>
        <w:tc>
          <w:tcPr>
            <w:tcW w:w="3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驾驶椅</w:t>
            </w:r>
          </w:p>
        </w:tc>
        <w:tc>
          <w:tcPr>
            <w:tcW w:w="3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挡风玻璃</w:t>
            </w:r>
          </w:p>
        </w:tc>
        <w:tc>
          <w:tcPr>
            <w:tcW w:w="3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8mm钢化玻璃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橡胶护舷</w:t>
            </w:r>
          </w:p>
        </w:tc>
        <w:tc>
          <w:tcPr>
            <w:tcW w:w="3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不锈钢栏杆+扶手</w:t>
            </w:r>
          </w:p>
        </w:tc>
        <w:tc>
          <w:tcPr>
            <w:tcW w:w="3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不锈钢单十字缆桩</w:t>
            </w:r>
          </w:p>
        </w:tc>
        <w:tc>
          <w:tcPr>
            <w:tcW w:w="3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304梯子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锚+锚索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满足规范要求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其他船用小配件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缆绳、吊环、锁扣、开关等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五</w:t>
            </w:r>
          </w:p>
        </w:tc>
        <w:tc>
          <w:tcPr>
            <w:tcW w:w="8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消防救生设备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手提式干粉灭火器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二氧化碳+干粉，2kg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消防桶等配件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消防桶、消防斧、降落伞信号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救生圈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XT555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救生衣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船检证书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件</w:t>
            </w:r>
          </w:p>
        </w:tc>
      </w:tr>
    </w:tbl>
    <w:p>
      <w:pPr>
        <w:tabs>
          <w:tab w:val="left" w:pos="8316"/>
        </w:tabs>
        <w:rPr>
          <w:rFonts w:ascii="宋体" w:hAnsi="宋体" w:eastAsia="宋体"/>
        </w:rPr>
      </w:pPr>
      <w:r>
        <w:rPr>
          <w:rFonts w:hint="eastAsia" w:ascii="宋体" w:hAnsi="宋体" w:eastAsia="宋体" w:cs="楷体_GB2312"/>
          <w:b/>
          <w:kern w:val="0"/>
        </w:rPr>
        <w:t xml:space="preserve">                 </w:t>
      </w:r>
      <w:r>
        <w:rPr>
          <w:rFonts w:ascii="宋体" w:hAnsi="宋体" w:eastAsia="宋体" w:cs="楷体_GB2312"/>
          <w:b/>
          <w:kern w:val="0"/>
        </w:rPr>
        <w:tab/>
      </w:r>
    </w:p>
    <w:bookmarkEnd w:id="0"/>
    <w:bookmarkEnd w:id="1"/>
    <w:bookmarkEnd w:id="2"/>
    <w:bookmarkEnd w:id="3"/>
    <w:p>
      <w:pPr>
        <w:spacing w:line="400" w:lineRule="exact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4"/>
        </w:rPr>
        <w:t>说明：投标人在投标文件《技术响应、偏离说明表》中应对以上技术逐条进行响应描述或偏离说明。不满足以上要求的，其投标按照</w:t>
      </w:r>
      <w:r>
        <w:rPr>
          <w:rFonts w:hint="eastAsia" w:ascii="宋体" w:hAnsi="宋体" w:cs="宋体"/>
          <w:b/>
          <w:color w:val="000000"/>
          <w:sz w:val="24"/>
        </w:rPr>
        <w:t>无效投标处理。</w:t>
      </w:r>
    </w:p>
    <w:p>
      <w:pPr>
        <w:spacing w:line="400" w:lineRule="exact"/>
        <w:rPr>
          <w:rFonts w:ascii="仿宋_GB2312" w:hAnsi="仿宋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ascii="仿宋_GB2312" w:hAnsi="仿宋" w:eastAsia="仿宋_GB2312"/>
          <w:color w:val="0000FF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）</w:t>
      </w:r>
      <w:r>
        <w:rPr>
          <w:rFonts w:hint="eastAsia" w:ascii="仿宋_GB2312" w:hAnsi="仿宋" w:eastAsia="仿宋_GB2312"/>
          <w:b/>
          <w:bCs/>
          <w:color w:val="000000"/>
          <w:sz w:val="28"/>
          <w:szCs w:val="28"/>
        </w:rPr>
        <w:t>、</w:t>
      </w:r>
      <w:r>
        <w:rPr>
          <w:rFonts w:hint="eastAsia" w:ascii="仿宋_GB2312" w:hAnsi="仿宋" w:eastAsia="仿宋_GB2312"/>
          <w:b/>
          <w:bCs/>
          <w:color w:val="0000FF"/>
          <w:sz w:val="28"/>
          <w:szCs w:val="28"/>
        </w:rPr>
        <w:t>合同草案</w:t>
      </w:r>
    </w:p>
    <w:p>
      <w:pPr>
        <w:numPr>
          <w:ilvl w:val="0"/>
          <w:numId w:val="2"/>
        </w:numPr>
        <w:spacing w:line="400" w:lineRule="exact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供货期：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>25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个日历天。</w:t>
      </w:r>
    </w:p>
    <w:p>
      <w:pPr>
        <w:numPr>
          <w:ilvl w:val="0"/>
          <w:numId w:val="2"/>
        </w:numPr>
        <w:spacing w:line="400" w:lineRule="exact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交货地点：黄石市网湖湿地自然保护区管理局。</w:t>
      </w:r>
    </w:p>
    <w:p>
      <w:pPr>
        <w:numPr>
          <w:ilvl w:val="0"/>
          <w:numId w:val="2"/>
        </w:numPr>
        <w:spacing w:line="400" w:lineRule="exact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售后服务及质保要求：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>一年质保期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。</w:t>
      </w:r>
    </w:p>
    <w:p>
      <w:pPr>
        <w:numPr>
          <w:ilvl w:val="0"/>
          <w:numId w:val="2"/>
        </w:numPr>
        <w:spacing w:line="400" w:lineRule="exact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验收标准：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按技术参数要求验收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 。</w:t>
      </w:r>
    </w:p>
    <w:p>
      <w:pPr>
        <w:spacing w:line="400" w:lineRule="exact"/>
        <w:rPr>
          <w:rFonts w:ascii="仿宋_GB2312" w:hAnsi="仿宋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5、付款方式: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合同签订后，预付30%，货物送达采购人指定地点到并通过验收后，付款65%，余款作为质保金，在船只正常使用1年内支付完毕。 </w:t>
      </w:r>
    </w:p>
    <w:p>
      <w:pPr>
        <w:spacing w:line="360" w:lineRule="auto"/>
        <w:rPr>
          <w:rFonts w:ascii="仿宋_GB2312" w:hAnsi="仿宋" w:eastAsia="仿宋_GB2312"/>
          <w:color w:val="000000"/>
          <w:sz w:val="28"/>
          <w:szCs w:val="28"/>
        </w:rPr>
      </w:pPr>
    </w:p>
    <w:p>
      <w:p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附件2：</w:t>
      </w:r>
    </w:p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供应商报名表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宋体" w:hAnsi="宋体" w:eastAsia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131-Zcg.2019-105 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项目名称：黄石市网湖湿地自然保护区管理局巡护船只采购项目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供应商名称（盖章）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联系人电话（办公电话和手机）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联系人邮箱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供应商提供的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报名资料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5.未被列入 “信用中国”网站（www.creditchina.gov.cn）失信被执行人、重大税收违法案件当事人名单、政府采购严重违法失信行为记录名单的网页打印件。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6、特定条件：</w:t>
            </w:r>
          </w:p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1、供应商的经营范围必须含有船舶或游艇生产（制造）的企业，并具有中国船级社颁发的检验证书；</w:t>
            </w:r>
          </w:p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2、2019年任意3个月的社保缴纳记录证明原价或真彩扫描件；</w:t>
            </w:r>
          </w:p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3、必须合同签订起25个日历天内把货物送至采购单位指定地点；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供应商意见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注意事项：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1.供应商必须严格按照公告的内容和要求，完整递交有关资料，逾期递交的将予以拒收。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.★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 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3.须在邮件附件文件名注明公司全称、项目名称及项目编号（不注明我单位将拒收报名邮件）。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33B1D2"/>
    <w:multiLevelType w:val="singleLevel"/>
    <w:tmpl w:val="8F33B1D2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AEBAE10"/>
    <w:multiLevelType w:val="singleLevel"/>
    <w:tmpl w:val="5AEBAE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A14F3"/>
    <w:rsid w:val="51CA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2019-08-09T05:52:00Z</dcterms:created>
  <dc:creator>Admin</dc:creator>
  <cp:lastModifiedBy>Admin</cp:lastModifiedBy>
  <dcterms:modified xsi:type="dcterms:W3CDTF">2019-08-09T05:53:00Z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