
<file path=[Content_Types].xml><?xml version="1.0" encoding="utf-8"?>
<Types xmlns="http://schemas.openxmlformats.org/package/2006/content-types">
  <Default Extension="xml" ContentType="application/xml"/>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6"/>
          <w:szCs w:val="36"/>
          <w:lang w:val="hr-HR" w:bidi="ar-EG"/>
        </w:rPr>
      </w:pPr>
      <w:r>
        <w:rPr>
          <w:rFonts w:hint="eastAsia"/>
        </w:rPr>
        <w:t>附件一：</w:t>
      </w:r>
      <w:r>
        <w:rPr>
          <w:rFonts w:hint="eastAsia"/>
          <w:sz w:val="36"/>
          <w:szCs w:val="36"/>
          <w:lang w:val="hr-HR" w:bidi="ar-EG"/>
        </w:rPr>
        <w:t>采购货物</w:t>
      </w:r>
      <w:r>
        <w:rPr>
          <w:sz w:val="36"/>
          <w:szCs w:val="36"/>
          <w:lang w:val="hr-HR" w:bidi="ar-EG"/>
        </w:rPr>
        <w:t>技术规格、参数及要求</w:t>
      </w:r>
    </w:p>
    <w:p>
      <w:pPr>
        <w:numPr>
          <w:ilvl w:val="0"/>
          <w:numId w:val="1"/>
        </w:numPr>
        <w:spacing w:line="440" w:lineRule="exact"/>
        <w:jc w:val="left"/>
        <w:rPr>
          <w:color w:val="000000"/>
          <w:sz w:val="28"/>
          <w:szCs w:val="28"/>
          <w:lang w:bidi="ar-EG"/>
        </w:rPr>
      </w:pPr>
      <w:r>
        <w:rPr>
          <w:rFonts w:hint="eastAsia"/>
          <w:color w:val="000000"/>
          <w:sz w:val="28"/>
          <w:szCs w:val="28"/>
          <w:lang w:bidi="ar-EG"/>
        </w:rPr>
        <w:t>技术要求：</w:t>
      </w:r>
    </w:p>
    <w:p>
      <w:pPr>
        <w:jc w:val="center"/>
        <w:rPr>
          <w:b/>
          <w:bCs/>
          <w:sz w:val="30"/>
          <w:szCs w:val="30"/>
        </w:rPr>
      </w:pPr>
      <w:r>
        <w:rPr>
          <w:rFonts w:hint="eastAsia"/>
          <w:b/>
          <w:bCs/>
          <w:sz w:val="30"/>
          <w:szCs w:val="30"/>
        </w:rPr>
        <w:t>配备清单</w:t>
      </w:r>
    </w:p>
    <w:tbl>
      <w:tblPr>
        <w:tblStyle w:val="4"/>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4528"/>
        <w:gridCol w:w="724"/>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Pr>
          <w:p>
            <w:pPr>
              <w:jc w:val="center"/>
              <w:rPr>
                <w:b/>
                <w:bCs/>
                <w:szCs w:val="21"/>
              </w:rPr>
            </w:pPr>
            <w:r>
              <w:rPr>
                <w:rFonts w:hint="eastAsia"/>
                <w:b/>
                <w:bCs/>
                <w:szCs w:val="21"/>
              </w:rPr>
              <w:t>产品名称</w:t>
            </w:r>
          </w:p>
        </w:tc>
        <w:tc>
          <w:tcPr>
            <w:tcW w:w="45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kern w:val="0"/>
                <w:szCs w:val="21"/>
              </w:rPr>
            </w:pPr>
            <w:r>
              <w:rPr>
                <w:rFonts w:hint="eastAsia"/>
                <w:b/>
                <w:bCs/>
                <w:szCs w:val="21"/>
              </w:rPr>
              <w:t>技术参数</w:t>
            </w:r>
          </w:p>
        </w:tc>
        <w:tc>
          <w:tcPr>
            <w:tcW w:w="724" w:type="dxa"/>
            <w:tcBorders>
              <w:top w:val="single" w:color="auto" w:sz="4" w:space="0"/>
              <w:left w:val="single" w:color="auto" w:sz="4" w:space="0"/>
              <w:bottom w:val="single" w:color="auto" w:sz="4" w:space="0"/>
              <w:right w:val="single" w:color="auto" w:sz="4" w:space="0"/>
            </w:tcBorders>
            <w:shd w:val="clear" w:color="auto" w:fill="auto"/>
          </w:tcPr>
          <w:p>
            <w:pPr>
              <w:jc w:val="center"/>
              <w:rPr>
                <w:b/>
                <w:bCs/>
                <w:szCs w:val="21"/>
              </w:rPr>
            </w:pPr>
            <w:r>
              <w:rPr>
                <w:rFonts w:hint="eastAsia"/>
                <w:b/>
                <w:bCs/>
                <w:szCs w:val="21"/>
              </w:rPr>
              <w:t>数量</w:t>
            </w:r>
          </w:p>
        </w:tc>
        <w:tc>
          <w:tcPr>
            <w:tcW w:w="2964" w:type="dxa"/>
            <w:tcBorders>
              <w:top w:val="single" w:color="auto" w:sz="4" w:space="0"/>
              <w:left w:val="single" w:color="auto" w:sz="4" w:space="0"/>
              <w:bottom w:val="single" w:color="auto" w:sz="4" w:space="0"/>
              <w:right w:val="single" w:color="auto" w:sz="4" w:space="0"/>
            </w:tcBorders>
            <w:shd w:val="clear" w:color="auto" w:fill="auto"/>
          </w:tcPr>
          <w:p>
            <w:pPr>
              <w:jc w:val="center"/>
              <w:rPr>
                <w:b/>
                <w:bCs/>
                <w:szCs w:val="21"/>
              </w:rPr>
            </w:pPr>
            <w:r>
              <w:rPr>
                <w:rFonts w:hint="eastAsia"/>
                <w:b/>
                <w:bCs/>
                <w:szCs w:val="21"/>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3"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三位扭腰器</w:t>
            </w:r>
          </w:p>
        </w:tc>
        <w:tc>
          <w:tcPr>
            <w:tcW w:w="452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kern w:val="0"/>
                <w:szCs w:val="21"/>
              </w:rPr>
            </w:pPr>
            <w:r>
              <w:rPr>
                <w:rFonts w:hint="eastAsia" w:ascii="宋体" w:hAnsi="宋体" w:cs="宋体"/>
                <w:kern w:val="0"/>
                <w:szCs w:val="21"/>
              </w:rPr>
              <w:t>1、外形尺寸（长×宽×高）：1220mm×1280mm×1123mm</w:t>
            </w:r>
          </w:p>
          <w:p>
            <w:pPr>
              <w:rPr>
                <w:rFonts w:ascii="宋体" w:hAnsi="宋体" w:cs="宋体"/>
                <w:kern w:val="0"/>
                <w:szCs w:val="21"/>
              </w:rPr>
            </w:pPr>
            <w:r>
              <w:rPr>
                <w:rFonts w:hint="eastAsia" w:ascii="宋体" w:hAnsi="宋体" w:cs="宋体"/>
                <w:kern w:val="0"/>
                <w:szCs w:val="21"/>
              </w:rPr>
              <w:t>2、主要材料：钢管</w:t>
            </w:r>
          </w:p>
          <w:p>
            <w:pPr>
              <w:rPr>
                <w:rFonts w:ascii="宋体" w:hAnsi="宋体" w:cs="宋体"/>
                <w:kern w:val="0"/>
                <w:szCs w:val="21"/>
              </w:rPr>
            </w:pPr>
            <w:r>
              <w:rPr>
                <w:rFonts w:hint="eastAsia" w:ascii="宋体" w:hAnsi="宋体" w:cs="宋体"/>
                <w:kern w:val="0"/>
                <w:szCs w:val="21"/>
              </w:rPr>
              <w:t>3.立柱规格为Φ114X3mm焊管，把手规格为φ32X2.5mm菱形花纹管，扭腰盘支撑管为φ60X2.5mm焊管，扭腰盘为δ4mm钢板一次冲压成型，并且表面边缘为6mm的圆弧过渡；</w:t>
            </w:r>
          </w:p>
          <w:p>
            <w:pPr>
              <w:rPr>
                <w:rFonts w:ascii="宋体" w:hAnsi="宋体" w:cs="宋体"/>
                <w:kern w:val="0"/>
                <w:szCs w:val="21"/>
              </w:rPr>
            </w:pPr>
            <w:r>
              <w:rPr>
                <w:rFonts w:hint="eastAsia" w:ascii="宋体" w:hAnsi="宋体" w:cs="宋体"/>
                <w:kern w:val="0"/>
                <w:szCs w:val="21"/>
              </w:rPr>
              <w:t>4.座椅下部、靠背后侧棱边圆弧半径为R2mm。轴承采用6205轴承，外侧装有唇形密封圈。内置阻尼装置，紧固件为不锈钢材质，所有螺栓为防盗螺栓。</w:t>
            </w:r>
          </w:p>
          <w:p>
            <w:pPr>
              <w:rPr>
                <w:rFonts w:ascii="宋体" w:hAnsi="宋体" w:cs="宋体"/>
                <w:kern w:val="0"/>
                <w:szCs w:val="21"/>
              </w:rPr>
            </w:pPr>
            <w:r>
              <w:rPr>
                <w:rFonts w:hint="eastAsia" w:ascii="宋体" w:hAnsi="宋体" w:cs="宋体"/>
                <w:kern w:val="0"/>
                <w:szCs w:val="21"/>
              </w:rPr>
              <w:t>5.所有钢制件表面均经机械打沙除锈、平整打磨等初级处理后在专业喷涂线上采用纯聚脂粉末喷涂完成最后表面处理.</w:t>
            </w:r>
          </w:p>
          <w:p>
            <w:pPr>
              <w:rPr>
                <w:rFonts w:ascii="宋体" w:hAnsi="宋体" w:cs="宋体"/>
                <w:kern w:val="0"/>
                <w:szCs w:val="21"/>
              </w:rPr>
            </w:pPr>
            <w:r>
              <w:rPr>
                <w:rFonts w:hint="eastAsia" w:ascii="宋体" w:hAnsi="宋体" w:cs="宋体"/>
                <w:kern w:val="0"/>
                <w:szCs w:val="21"/>
              </w:rPr>
              <w:t>6.产品具有耐酸碱、耐湿热、抗老化、外观美观等优点，能适合潮湿和酸雨环境，适用于室外使用，且产品涂料配方不含有毒元素，避免损害使用者的健康。</w:t>
            </w:r>
          </w:p>
        </w:tc>
        <w:tc>
          <w:tcPr>
            <w:tcW w:w="72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35件</w:t>
            </w:r>
          </w:p>
        </w:tc>
        <w:tc>
          <w:tcPr>
            <w:tcW w:w="296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ascii="宋体" w:hAnsi="宋体"/>
                <w:kern w:val="0"/>
                <w:sz w:val="24"/>
              </w:rPr>
              <w:drawing>
                <wp:inline distT="0" distB="0" distL="114300" distR="114300">
                  <wp:extent cx="1186180" cy="1238250"/>
                  <wp:effectExtent l="0" t="0" r="13970" b="0"/>
                  <wp:docPr id="1" name="图片 1" descr="1542207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2207884(1)"/>
                          <pic:cNvPicPr>
                            <a:picLocks noChangeAspect="1"/>
                          </pic:cNvPicPr>
                        </pic:nvPicPr>
                        <pic:blipFill>
                          <a:blip r:embed="rId4" cstate="print"/>
                          <a:stretch>
                            <a:fillRect/>
                          </a:stretch>
                        </pic:blipFill>
                        <pic:spPr>
                          <a:xfrm>
                            <a:off x="0" y="0"/>
                            <a:ext cx="1186180" cy="12382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2"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背部手掌按摩器</w:t>
            </w:r>
          </w:p>
        </w:tc>
        <w:tc>
          <w:tcPr>
            <w:tcW w:w="452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kern w:val="0"/>
                <w:szCs w:val="21"/>
              </w:rPr>
            </w:pPr>
            <w:r>
              <w:rPr>
                <w:rFonts w:hint="eastAsia" w:ascii="宋体" w:hAnsi="宋体" w:cs="宋体"/>
                <w:kern w:val="0"/>
                <w:szCs w:val="21"/>
              </w:rPr>
              <w:t>器材规格为：803X783X1400mm。</w:t>
            </w:r>
          </w:p>
          <w:p>
            <w:pPr>
              <w:rPr>
                <w:rFonts w:ascii="宋体" w:hAnsi="宋体" w:cs="宋体"/>
                <w:kern w:val="0"/>
                <w:szCs w:val="21"/>
              </w:rPr>
            </w:pPr>
            <w:r>
              <w:rPr>
                <w:rFonts w:hint="eastAsia" w:ascii="宋体" w:hAnsi="宋体" w:cs="宋体"/>
                <w:kern w:val="0"/>
                <w:szCs w:val="21"/>
              </w:rPr>
              <w:t>立柱规格为Φ114X3mm焊管，背部按摩支撑横梁规格为40X80X3椭圆管，扶手规格为φ38X3mm菱形花纹管。手部按摩支撑为60X2.5焊管。按摩棒材质为黑色橡胶。紧固件为不锈钢材质，所有螺栓为防盗螺栓。器材符合新国标GB19272-2011标准。所有钢制件表面均经机械打沙除锈、平整打磨等初级处理后在专业喷涂线上采用纯聚脂粉末喷涂完成最后表面处理，涂层厚度70—80um，铅笔硬度达3H+，试品经GB1771-91 36小时盐雾试验，涂膜无变化，划格处单面腐蚀＜2mm，产品具有耐酸碱、耐湿热、抗老化、外观美观等优点，能适合潮湿和酸雨环境，适用于室外使用，且产品涂料配方不含有毒元素，避免损害使用者的健康。</w:t>
            </w:r>
          </w:p>
        </w:tc>
        <w:tc>
          <w:tcPr>
            <w:tcW w:w="72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35件</w:t>
            </w:r>
          </w:p>
        </w:tc>
        <w:tc>
          <w:tcPr>
            <w:tcW w:w="296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szCs w:val="21"/>
              </w:rPr>
              <w:drawing>
                <wp:inline distT="0" distB="0" distL="114300" distR="114300">
                  <wp:extent cx="1162050" cy="21240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1162050" cy="212407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0"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ascii="宋体" w:hAnsi="宋体"/>
                <w:sz w:val="24"/>
              </w:rPr>
              <w:t>三联压腿架</w:t>
            </w:r>
          </w:p>
        </w:tc>
        <w:tc>
          <w:tcPr>
            <w:tcW w:w="452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kern w:val="0"/>
                <w:szCs w:val="21"/>
              </w:rPr>
            </w:pPr>
            <w:r>
              <w:rPr>
                <w:rFonts w:hint="eastAsia" w:ascii="宋体" w:hAnsi="宋体" w:cs="宋体"/>
                <w:kern w:val="0"/>
                <w:szCs w:val="21"/>
              </w:rPr>
              <w:t>1、外形尺寸（长×宽×高）：2200mm×114mm×970mm</w:t>
            </w:r>
          </w:p>
          <w:p>
            <w:pPr>
              <w:rPr>
                <w:rFonts w:ascii="宋体" w:hAnsi="宋体" w:cs="宋体"/>
                <w:kern w:val="0"/>
                <w:szCs w:val="21"/>
              </w:rPr>
            </w:pPr>
            <w:r>
              <w:rPr>
                <w:rFonts w:hint="eastAsia" w:ascii="宋体" w:hAnsi="宋体" w:cs="宋体"/>
                <w:kern w:val="0"/>
                <w:szCs w:val="21"/>
              </w:rPr>
              <w:t>2、主要材料：钢管</w:t>
            </w:r>
          </w:p>
          <w:p>
            <w:pPr>
              <w:rPr>
                <w:rFonts w:ascii="宋体" w:hAnsi="宋体" w:cs="宋体"/>
                <w:kern w:val="0"/>
                <w:szCs w:val="21"/>
                <w:lang w:val="zh-CN"/>
              </w:rPr>
            </w:pPr>
            <w:r>
              <w:rPr>
                <w:rFonts w:hint="eastAsia" w:ascii="宋体" w:hAnsi="宋体" w:cs="宋体"/>
                <w:kern w:val="0"/>
                <w:szCs w:val="21"/>
              </w:rPr>
              <w:t>3.</w:t>
            </w:r>
            <w:r>
              <w:rPr>
                <w:rFonts w:hint="eastAsia" w:ascii="宋体" w:hAnsi="宋体" w:cs="宋体"/>
                <w:kern w:val="0"/>
                <w:szCs w:val="21"/>
                <w:lang w:val="zh-CN"/>
              </w:rPr>
              <w:t>器材主立柱采用不小于114×3.0mm的优质焊管制成。</w:t>
            </w:r>
          </w:p>
          <w:p>
            <w:pPr>
              <w:rPr>
                <w:rFonts w:ascii="宋体" w:hAnsi="宋体" w:cs="宋体"/>
                <w:kern w:val="0"/>
                <w:szCs w:val="21"/>
                <w:lang w:val="zh-CN"/>
              </w:rPr>
            </w:pPr>
            <w:r>
              <w:rPr>
                <w:rFonts w:hint="eastAsia" w:ascii="宋体" w:hAnsi="宋体" w:cs="宋体"/>
                <w:kern w:val="0"/>
                <w:szCs w:val="21"/>
              </w:rPr>
              <w:t>4</w:t>
            </w:r>
            <w:r>
              <w:rPr>
                <w:rFonts w:hint="eastAsia" w:ascii="宋体" w:hAnsi="宋体" w:cs="宋体"/>
                <w:kern w:val="0"/>
                <w:szCs w:val="21"/>
                <w:lang w:val="zh-CN"/>
              </w:rPr>
              <w:t>、 器材表面经磷化（抛丸）处理后，进行静电粉末喷涂，保证户外情况下至少</w:t>
            </w:r>
            <w:r>
              <w:rPr>
                <w:rFonts w:hint="eastAsia" w:ascii="宋体" w:hAnsi="宋体" w:cs="宋体"/>
                <w:kern w:val="0"/>
                <w:szCs w:val="21"/>
              </w:rPr>
              <w:t>5</w:t>
            </w:r>
            <w:r>
              <w:rPr>
                <w:rFonts w:hint="eastAsia" w:ascii="宋体" w:hAnsi="宋体" w:cs="宋体"/>
                <w:kern w:val="0"/>
                <w:szCs w:val="21"/>
                <w:lang w:val="zh-CN"/>
              </w:rPr>
              <w:t>年内不会出现褪色、老化现象。</w:t>
            </w:r>
          </w:p>
          <w:p>
            <w:pPr>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zh-CN"/>
              </w:rPr>
              <w:t>、可供三人同时使用。</w:t>
            </w:r>
          </w:p>
        </w:tc>
        <w:tc>
          <w:tcPr>
            <w:tcW w:w="72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35件</w:t>
            </w:r>
          </w:p>
        </w:tc>
        <w:tc>
          <w:tcPr>
            <w:tcW w:w="296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ascii="宋体" w:hAnsi="宋体" w:cs="仿宋_GB2312"/>
                <w:sz w:val="24"/>
              </w:rPr>
              <w:drawing>
                <wp:inline distT="0" distB="0" distL="114300" distR="114300">
                  <wp:extent cx="1303020" cy="1143635"/>
                  <wp:effectExtent l="0" t="0" r="11430" b="18415"/>
                  <wp:docPr id="5" name="图片 3" descr="HK-3007三联压腿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HK-3007三联压腿器"/>
                          <pic:cNvPicPr>
                            <a:picLocks noChangeAspect="1"/>
                          </pic:cNvPicPr>
                        </pic:nvPicPr>
                        <pic:blipFill>
                          <a:blip r:embed="rId6" cstate="print"/>
                          <a:stretch>
                            <a:fillRect/>
                          </a:stretch>
                        </pic:blipFill>
                        <pic:spPr>
                          <a:xfrm>
                            <a:off x="0" y="0"/>
                            <a:ext cx="1303020" cy="114363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9"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椭圆机</w:t>
            </w:r>
          </w:p>
          <w:p>
            <w:pPr>
              <w:rPr>
                <w:szCs w:val="21"/>
              </w:rPr>
            </w:pPr>
            <w:r>
              <w:rPr>
                <w:rFonts w:hint="eastAsia"/>
                <w:szCs w:val="21"/>
              </w:rPr>
              <w:t>（单联）</w:t>
            </w:r>
          </w:p>
        </w:tc>
        <w:tc>
          <w:tcPr>
            <w:tcW w:w="452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kern w:val="0"/>
                <w:szCs w:val="21"/>
                <w:lang w:val="zh-CN"/>
              </w:rPr>
            </w:pPr>
            <w:r>
              <w:rPr>
                <w:rFonts w:hint="eastAsia" w:ascii="宋体" w:hAnsi="宋体" w:cs="宋体"/>
                <w:kern w:val="0"/>
                <w:szCs w:val="21"/>
                <w:lang w:val="zh-CN"/>
              </w:rPr>
              <w:t>器材规格为：954X522X1722mm。</w:t>
            </w:r>
          </w:p>
          <w:p>
            <w:pPr>
              <w:rPr>
                <w:rFonts w:ascii="宋体" w:hAnsi="宋体" w:cs="宋体"/>
                <w:kern w:val="0"/>
                <w:szCs w:val="21"/>
              </w:rPr>
            </w:pPr>
            <w:r>
              <w:rPr>
                <w:rFonts w:hint="eastAsia" w:ascii="宋体" w:hAnsi="宋体" w:cs="宋体"/>
                <w:kern w:val="0"/>
                <w:szCs w:val="21"/>
                <w:lang w:val="zh-CN"/>
              </w:rPr>
              <w:t>立柱规格为Φ114X3mm焊管，支撑横梁规格为50X50X3mm焊管，扶手规格为φ38X2.5mm菱形花纹管。轴承采用6206轴承，轴直径为30mm。外侧装有唇形密封圈。紧固件为不锈钢材质，所有螺栓为防盗螺栓。器材符合新国标GB19272-2011标准。所有钢制件表面均经机械打沙除锈、平整打磨等初级处理后在专业喷涂线上采用纯聚脂粉末喷涂完成最后表面处理，涂层厚度70—80um，铅笔硬度达3H+，试品经GB1771-91 36小时盐雾试验，涂膜无变化，划格处单面腐蚀＜2mm，产品具有耐酸碱、耐湿热、抗老化、外观美观等优点，能适合潮湿和酸雨环境，适用于室外使用，且产品涂料配方不含有毒元素，避免损害使用者的健康。</w:t>
            </w:r>
          </w:p>
        </w:tc>
        <w:tc>
          <w:tcPr>
            <w:tcW w:w="72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35件</w:t>
            </w:r>
          </w:p>
        </w:tc>
        <w:tc>
          <w:tcPr>
            <w:tcW w:w="296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drawing>
                <wp:inline distT="0" distB="0" distL="114300" distR="114300">
                  <wp:extent cx="1943100" cy="2106295"/>
                  <wp:effectExtent l="0" t="0" r="0" b="8255"/>
                  <wp:docPr id="6" name="图片 4" descr="15655866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1565586653(1)"/>
                          <pic:cNvPicPr>
                            <a:picLocks noChangeAspect="1"/>
                          </pic:cNvPicPr>
                        </pic:nvPicPr>
                        <pic:blipFill>
                          <a:blip r:embed="rId7" cstate="print"/>
                          <a:stretch>
                            <a:fillRect/>
                          </a:stretch>
                        </pic:blipFill>
                        <pic:spPr>
                          <a:xfrm>
                            <a:off x="0" y="0"/>
                            <a:ext cx="1943100" cy="21062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2"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臂力训练器</w:t>
            </w:r>
          </w:p>
        </w:tc>
        <w:tc>
          <w:tcPr>
            <w:tcW w:w="452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kern w:val="0"/>
                <w:szCs w:val="21"/>
              </w:rPr>
            </w:pPr>
            <w:r>
              <w:rPr>
                <w:rFonts w:hint="eastAsia" w:ascii="宋体" w:hAnsi="宋体" w:cs="宋体"/>
                <w:kern w:val="0"/>
                <w:szCs w:val="21"/>
              </w:rPr>
              <w:t>器材规格为：456X432X1516mm。</w:t>
            </w:r>
          </w:p>
          <w:p>
            <w:pPr>
              <w:rPr>
                <w:rFonts w:ascii="宋体" w:hAnsi="宋体" w:cs="宋体"/>
                <w:kern w:val="0"/>
                <w:szCs w:val="21"/>
              </w:rPr>
            </w:pPr>
            <w:r>
              <w:rPr>
                <w:rFonts w:hint="eastAsia" w:ascii="宋体" w:hAnsi="宋体" w:cs="宋体"/>
                <w:kern w:val="0"/>
                <w:szCs w:val="21"/>
              </w:rPr>
              <w:t>立柱规格为Φ114X3mm焊管，支撑横梁规格为Φ76X10mm无缝管，转盘管为φ32X2.5mm，轴承采用6206轴承，外侧装有唇形密封圈。内置阻尼装置，紧固件为不锈钢材质，所有螺栓为防盗螺栓。器材符合新国标GB19272-2011标准。所有钢制件表面均经机械打沙除锈、平整打磨等初级处理后在专业喷涂线上采用纯聚脂粉末喷涂完成最后表面处理，涂层厚度70—80um，铅笔硬度达3H+，试品经GB1771-91 36小时盐雾试验，涂膜无变化，划格处单面腐蚀＜2mm，产品具有耐酸碱、耐湿热、抗老化、外观美观等优点，能适合潮湿和酸雨环境，适用于室外使用，且产品涂料配方不含有毒元素，避免损害使用者的健康。</w:t>
            </w:r>
          </w:p>
        </w:tc>
        <w:tc>
          <w:tcPr>
            <w:tcW w:w="72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35件</w:t>
            </w:r>
          </w:p>
        </w:tc>
        <w:tc>
          <w:tcPr>
            <w:tcW w:w="296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szCs w:val="21"/>
              </w:rPr>
              <w:drawing>
                <wp:inline distT="0" distB="0" distL="114300" distR="114300">
                  <wp:extent cx="836930" cy="2047240"/>
                  <wp:effectExtent l="0" t="0" r="1270" b="1016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8" cstate="print"/>
                          <a:stretch>
                            <a:fillRect/>
                          </a:stretch>
                        </pic:blipFill>
                        <pic:spPr>
                          <a:xfrm>
                            <a:off x="0" y="0"/>
                            <a:ext cx="836930" cy="204724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8"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腹肌板</w:t>
            </w:r>
          </w:p>
        </w:tc>
        <w:tc>
          <w:tcPr>
            <w:tcW w:w="452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kern w:val="0"/>
                <w:szCs w:val="21"/>
              </w:rPr>
            </w:pPr>
            <w:r>
              <w:rPr>
                <w:rFonts w:hint="eastAsia" w:ascii="宋体" w:hAnsi="宋体" w:cs="宋体"/>
                <w:kern w:val="0"/>
                <w:szCs w:val="21"/>
              </w:rPr>
              <w:t>1、外形尺寸（长×宽×高）：1560mm×480mm×</w:t>
            </w:r>
            <w:r>
              <w:rPr>
                <w:rFonts w:ascii="宋体" w:hAnsi="宋体" w:cs="宋体"/>
                <w:kern w:val="0"/>
                <w:szCs w:val="21"/>
              </w:rPr>
              <w:t>57</w:t>
            </w:r>
            <w:r>
              <w:rPr>
                <w:rFonts w:hint="eastAsia" w:ascii="宋体" w:hAnsi="宋体" w:cs="宋体"/>
                <w:kern w:val="0"/>
                <w:szCs w:val="21"/>
              </w:rPr>
              <w:t>0mm</w:t>
            </w:r>
          </w:p>
          <w:p>
            <w:pPr>
              <w:rPr>
                <w:rFonts w:ascii="宋体" w:hAnsi="宋体" w:cs="宋体"/>
                <w:kern w:val="0"/>
                <w:szCs w:val="21"/>
              </w:rPr>
            </w:pPr>
            <w:r>
              <w:rPr>
                <w:rFonts w:hint="eastAsia" w:ascii="宋体" w:hAnsi="宋体" w:cs="宋体"/>
                <w:kern w:val="0"/>
                <w:szCs w:val="21"/>
              </w:rPr>
              <w:t>2、主要材料：钢管</w:t>
            </w:r>
          </w:p>
          <w:p>
            <w:pPr>
              <w:rPr>
                <w:rFonts w:ascii="宋体" w:hAnsi="宋体" w:cs="宋体"/>
                <w:kern w:val="0"/>
                <w:szCs w:val="21"/>
              </w:rPr>
            </w:pPr>
            <w:r>
              <w:rPr>
                <w:rFonts w:hint="eastAsia" w:ascii="宋体" w:hAnsi="宋体" w:cs="宋体"/>
                <w:kern w:val="0"/>
                <w:szCs w:val="21"/>
              </w:rPr>
              <w:t>3、主要承载立柱尺寸：φ60mm×3mm</w:t>
            </w:r>
          </w:p>
          <w:p>
            <w:pPr>
              <w:rPr>
                <w:rFonts w:ascii="宋体" w:hAnsi="宋体" w:cs="宋体"/>
                <w:kern w:val="0"/>
                <w:szCs w:val="21"/>
              </w:rPr>
            </w:pPr>
            <w:r>
              <w:rPr>
                <w:rFonts w:hint="eastAsia" w:ascii="宋体" w:hAnsi="宋体" w:cs="宋体"/>
                <w:kern w:val="0"/>
                <w:szCs w:val="21"/>
              </w:rPr>
              <w:t xml:space="preserve">4、主要承载横梁尺寸：φ42mm×2.5mm </w:t>
            </w:r>
          </w:p>
          <w:p>
            <w:pPr>
              <w:rPr>
                <w:rFonts w:ascii="宋体" w:hAnsi="宋体" w:cs="宋体"/>
                <w:kern w:val="0"/>
                <w:szCs w:val="21"/>
              </w:rPr>
            </w:pPr>
            <w:r>
              <w:rPr>
                <w:rFonts w:hint="eastAsia" w:ascii="宋体" w:hAnsi="宋体" w:cs="宋体"/>
                <w:kern w:val="0"/>
                <w:szCs w:val="21"/>
              </w:rPr>
              <w:t>所有钢制件表面均经机械打沙除锈、平整打磨等初级处理后在专业喷涂线上采用纯聚脂粉末喷涂完成最后表面处理。</w:t>
            </w:r>
          </w:p>
          <w:p>
            <w:pPr>
              <w:rPr>
                <w:rFonts w:ascii="宋体" w:hAnsi="宋体" w:cs="宋体"/>
                <w:kern w:val="0"/>
                <w:szCs w:val="21"/>
              </w:rPr>
            </w:pPr>
            <w:r>
              <w:rPr>
                <w:rFonts w:hint="eastAsia" w:ascii="宋体" w:hAnsi="宋体" w:cs="宋体"/>
                <w:kern w:val="0"/>
                <w:szCs w:val="21"/>
              </w:rPr>
              <w:t>耐湿热、抗老化、外观美观等优点，能适合潮湿和酸雨环境，适用于室外使用，且产品涂料配方不含有毒元素，避免损害使用者的健康。</w:t>
            </w:r>
          </w:p>
        </w:tc>
        <w:tc>
          <w:tcPr>
            <w:tcW w:w="72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35件</w:t>
            </w:r>
          </w:p>
        </w:tc>
        <w:tc>
          <w:tcPr>
            <w:tcW w:w="2964"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ascii="宋体" w:hAnsi="宋体"/>
                <w:kern w:val="0"/>
                <w:sz w:val="24"/>
              </w:rPr>
              <w:drawing>
                <wp:inline distT="0" distB="0" distL="114300" distR="114300">
                  <wp:extent cx="1186180" cy="1447165"/>
                  <wp:effectExtent l="0" t="0" r="13970" b="635"/>
                  <wp:docPr id="8" name="图片 6" descr="154220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1542207755(1)"/>
                          <pic:cNvPicPr>
                            <a:picLocks noChangeAspect="1"/>
                          </pic:cNvPicPr>
                        </pic:nvPicPr>
                        <pic:blipFill>
                          <a:blip r:embed="rId9" cstate="print"/>
                          <a:stretch>
                            <a:fillRect/>
                          </a:stretch>
                        </pic:blipFill>
                        <pic:spPr>
                          <a:xfrm>
                            <a:off x="0" y="0"/>
                            <a:ext cx="1186180" cy="1447165"/>
                          </a:xfrm>
                          <a:prstGeom prst="rect">
                            <a:avLst/>
                          </a:prstGeom>
                          <a:noFill/>
                          <a:ln>
                            <a:noFill/>
                          </a:ln>
                        </pic:spPr>
                      </pic:pic>
                    </a:graphicData>
                  </a:graphic>
                </wp:inline>
              </w:drawing>
            </w:r>
          </w:p>
        </w:tc>
      </w:tr>
    </w:tbl>
    <w:p>
      <w:pPr>
        <w:sectPr>
          <w:pgSz w:w="11906" w:h="16838"/>
          <w:pgMar w:top="1440" w:right="1800" w:bottom="1440" w:left="1800" w:header="851" w:footer="992" w:gutter="0"/>
          <w:cols w:space="720" w:num="1"/>
          <w:docGrid w:type="lines" w:linePitch="312" w:charSpace="0"/>
        </w:sectPr>
      </w:pPr>
    </w:p>
    <w:p>
      <w:pPr>
        <w:jc w:val="center"/>
        <w:rPr>
          <w:b/>
          <w:bCs/>
          <w:sz w:val="30"/>
          <w:szCs w:val="30"/>
        </w:rPr>
      </w:pPr>
      <w:r>
        <w:rPr>
          <w:rFonts w:hint="eastAsia"/>
          <w:b/>
          <w:bCs/>
          <w:sz w:val="30"/>
          <w:szCs w:val="30"/>
        </w:rPr>
        <w:t>配备清单</w:t>
      </w:r>
    </w:p>
    <w:tbl>
      <w:tblPr>
        <w:tblStyle w:val="4"/>
        <w:tblW w:w="9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4230"/>
        <w:gridCol w:w="795"/>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产品名称</w:t>
            </w:r>
          </w:p>
        </w:tc>
        <w:tc>
          <w:tcPr>
            <w:tcW w:w="4230"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技术参数</w:t>
            </w:r>
          </w:p>
        </w:tc>
        <w:tc>
          <w:tcPr>
            <w:tcW w:w="795"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数量</w:t>
            </w:r>
          </w:p>
        </w:tc>
        <w:tc>
          <w:tcPr>
            <w:tcW w:w="3079"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2"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室外乒乓球台</w:t>
            </w:r>
          </w:p>
        </w:tc>
        <w:tc>
          <w:tcPr>
            <w:tcW w:w="4230"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jc w:val="left"/>
              <w:rPr>
                <w:rFonts w:ascii="宋体" w:hAnsi="宋体"/>
                <w:kern w:val="0"/>
                <w:sz w:val="24"/>
              </w:rPr>
            </w:pPr>
            <w:r>
              <w:rPr>
                <w:rFonts w:hint="eastAsia" w:ascii="宋体" w:hAnsi="宋体"/>
                <w:kern w:val="0"/>
                <w:sz w:val="24"/>
              </w:rPr>
              <w:t>1、台面尺寸：台长2740+5㎜、台宽1525±3㎜</w:t>
            </w:r>
          </w:p>
          <w:p>
            <w:pPr>
              <w:autoSpaceDE w:val="0"/>
              <w:autoSpaceDN w:val="0"/>
              <w:adjustRightInd w:val="0"/>
              <w:snapToGrid w:val="0"/>
              <w:jc w:val="left"/>
              <w:rPr>
                <w:rFonts w:ascii="宋体" w:hAnsi="宋体"/>
                <w:kern w:val="0"/>
                <w:sz w:val="24"/>
              </w:rPr>
            </w:pPr>
            <w:r>
              <w:rPr>
                <w:rFonts w:hint="eastAsia" w:ascii="宋体" w:hAnsi="宋体"/>
                <w:kern w:val="0"/>
                <w:sz w:val="24"/>
              </w:rPr>
              <w:t>（蓝色或者墨黑色）</w:t>
            </w:r>
          </w:p>
          <w:p>
            <w:pPr>
              <w:autoSpaceDE w:val="0"/>
              <w:autoSpaceDN w:val="0"/>
              <w:adjustRightInd w:val="0"/>
              <w:snapToGrid w:val="0"/>
              <w:jc w:val="left"/>
              <w:rPr>
                <w:rFonts w:ascii="宋体" w:hAnsi="宋体"/>
                <w:kern w:val="0"/>
                <w:sz w:val="24"/>
              </w:rPr>
            </w:pPr>
            <w:r>
              <w:rPr>
                <w:rFonts w:hint="eastAsia" w:ascii="宋体" w:hAnsi="宋体"/>
                <w:kern w:val="0"/>
                <w:sz w:val="24"/>
              </w:rPr>
              <w:t>2、台高：760±3㎜</w:t>
            </w:r>
          </w:p>
          <w:p>
            <w:pPr>
              <w:autoSpaceDE w:val="0"/>
              <w:autoSpaceDN w:val="0"/>
              <w:adjustRightInd w:val="0"/>
              <w:snapToGrid w:val="0"/>
              <w:jc w:val="left"/>
              <w:rPr>
                <w:rFonts w:ascii="宋体" w:hAnsi="宋体"/>
                <w:kern w:val="0"/>
                <w:sz w:val="24"/>
              </w:rPr>
            </w:pPr>
            <w:r>
              <w:rPr>
                <w:rFonts w:hint="eastAsia" w:ascii="宋体" w:hAnsi="宋体"/>
                <w:kern w:val="0"/>
                <w:sz w:val="24"/>
              </w:rPr>
              <w:t>3、台腿尺寸：圆管外径60±0.6㎜；壁厚不小于2.75㎜</w:t>
            </w:r>
          </w:p>
          <w:p>
            <w:pPr>
              <w:rPr>
                <w:szCs w:val="21"/>
              </w:rPr>
            </w:pPr>
            <w:r>
              <w:rPr>
                <w:rFonts w:hint="eastAsia" w:ascii="宋体" w:hAnsi="宋体"/>
                <w:kern w:val="0"/>
                <w:sz w:val="24"/>
              </w:rPr>
              <w:t>4、台面材料：采用SMC材料整体高温压膜一次成型，台面翻边高度不小于50㎜。台板材料厚度不小于4.5㎜，翻边厚度不小于7㎜；台板背面采用井字型的加强筋来增强台面的强度和耐撞击性，加强筋厚度不小于5㎜，加强筋高度不小于8㎜。台板背面必须有钢托架，钢托架采用不小于20㎜×30㎜×2.0㎜的优质方钢管制成，每半块板面支撑框架应不少于4横4纵支撑管连接，球台与嘴唇框架安装位置应符合尺寸要求，台板能承受走的静载荷、稳定性好。</w:t>
            </w:r>
          </w:p>
        </w:tc>
        <w:tc>
          <w:tcPr>
            <w:tcW w:w="795"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70台</w:t>
            </w:r>
          </w:p>
        </w:tc>
        <w:tc>
          <w:tcPr>
            <w:tcW w:w="3079"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ascii="宋体" w:hAnsi="宋体"/>
                <w:b/>
                <w:kern w:val="0"/>
                <w:sz w:val="24"/>
              </w:rPr>
              <w:drawing>
                <wp:inline distT="0" distB="0" distL="114300" distR="114300">
                  <wp:extent cx="1216025" cy="1000125"/>
                  <wp:effectExtent l="0" t="0" r="3175" b="9525"/>
                  <wp:docPr id="9" name="图片 7" descr="1404444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1404444178[1]"/>
                          <pic:cNvPicPr>
                            <a:picLocks noChangeAspect="1"/>
                          </pic:cNvPicPr>
                        </pic:nvPicPr>
                        <pic:blipFill>
                          <a:blip r:embed="rId10" cstate="print"/>
                          <a:stretch>
                            <a:fillRect/>
                          </a:stretch>
                        </pic:blipFill>
                        <pic:spPr>
                          <a:xfrm>
                            <a:off x="0" y="0"/>
                            <a:ext cx="1216025" cy="1000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4" w:hRule="atLeast"/>
          <w:jc w:val="center"/>
        </w:trPr>
        <w:tc>
          <w:tcPr>
            <w:tcW w:w="1056"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地埋式篮球架</w:t>
            </w:r>
          </w:p>
        </w:tc>
        <w:tc>
          <w:tcPr>
            <w:tcW w:w="42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left"/>
              <w:rPr>
                <w:rFonts w:ascii="宋体" w:hAnsi="宋体"/>
                <w:kern w:val="0"/>
                <w:sz w:val="24"/>
              </w:rPr>
            </w:pPr>
            <w:r>
              <w:rPr>
                <w:rFonts w:hint="eastAsia" w:ascii="宋体" w:hAnsi="宋体"/>
                <w:kern w:val="0"/>
                <w:sz w:val="24"/>
              </w:rPr>
              <w:t>1、离地高度：3050±6㎜</w:t>
            </w:r>
          </w:p>
          <w:p>
            <w:pPr>
              <w:autoSpaceDE w:val="0"/>
              <w:autoSpaceDN w:val="0"/>
              <w:adjustRightInd w:val="0"/>
              <w:snapToGrid w:val="0"/>
              <w:jc w:val="left"/>
              <w:rPr>
                <w:rFonts w:ascii="宋体" w:hAnsi="宋体"/>
                <w:kern w:val="0"/>
                <w:sz w:val="24"/>
              </w:rPr>
            </w:pPr>
            <w:r>
              <w:rPr>
                <w:rFonts w:hint="eastAsia" w:ascii="宋体" w:hAnsi="宋体"/>
                <w:kern w:val="0"/>
                <w:sz w:val="24"/>
              </w:rPr>
              <w:t>2、立柱规格：直径￠165±1.65㎜、壁厚不小于4.0㎜</w:t>
            </w:r>
          </w:p>
          <w:p>
            <w:pPr>
              <w:autoSpaceDE w:val="0"/>
              <w:autoSpaceDN w:val="0"/>
              <w:adjustRightInd w:val="0"/>
              <w:snapToGrid w:val="0"/>
              <w:jc w:val="left"/>
              <w:rPr>
                <w:rFonts w:ascii="宋体" w:hAnsi="宋体"/>
                <w:kern w:val="0"/>
                <w:sz w:val="24"/>
              </w:rPr>
            </w:pPr>
            <w:r>
              <w:rPr>
                <w:rFonts w:hint="eastAsia" w:ascii="宋体" w:hAnsi="宋体"/>
                <w:kern w:val="0"/>
                <w:sz w:val="24"/>
              </w:rPr>
              <w:t>3、伸臂长度：立柱中心至篮板背部距离≥1800㎜</w:t>
            </w:r>
          </w:p>
          <w:p>
            <w:pPr>
              <w:autoSpaceDE w:val="0"/>
              <w:autoSpaceDN w:val="0"/>
              <w:adjustRightInd w:val="0"/>
              <w:snapToGrid w:val="0"/>
              <w:jc w:val="left"/>
              <w:rPr>
                <w:rFonts w:ascii="宋体" w:hAnsi="宋体"/>
                <w:kern w:val="0"/>
                <w:sz w:val="24"/>
              </w:rPr>
            </w:pPr>
            <w:r>
              <w:rPr>
                <w:rFonts w:hint="eastAsia" w:ascii="宋体" w:hAnsi="宋体"/>
                <w:kern w:val="0"/>
                <w:sz w:val="24"/>
              </w:rPr>
              <w:t>4、篮板材料：采用SMC篮板，由SMC片状模糊料整体高温模压一次成型。篮球板尺寸：宽1800+30㎜、高1050+20㎜，篮球板SMC面板厚度不小于4.5㎜，翻边宽度不小于50㎜；背部加强筋采用∨字型与井字型相结合结构，加强筋中部厚度不小于5㎜。篮架支点与篮架结合处设有不小于500㎜×150㎜×2.5㎜的优质钢板加固，篮圈、篮球板、加强钢板相互连接。篮板预埋螺母及开孔处应采取防水处理，连接部分均用镀铬或不锈钢栓；篮板板面要保证平整光滑（配篮网）。</w:t>
            </w:r>
          </w:p>
          <w:p>
            <w:pPr>
              <w:autoSpaceDE w:val="0"/>
              <w:autoSpaceDN w:val="0"/>
              <w:adjustRightInd w:val="0"/>
              <w:snapToGrid w:val="0"/>
              <w:jc w:val="left"/>
              <w:rPr>
                <w:szCs w:val="21"/>
              </w:rPr>
            </w:pPr>
            <w:r>
              <w:rPr>
                <w:rFonts w:hint="eastAsia" w:ascii="宋体" w:hAnsi="宋体"/>
                <w:kern w:val="0"/>
                <w:sz w:val="24"/>
              </w:rPr>
              <w:t>5、金属管材表面处理：架体用喷塑或其他工艺涂饰，涂饰层附着力应达到一级，硬度应达到2Η。</w:t>
            </w:r>
          </w:p>
        </w:tc>
        <w:tc>
          <w:tcPr>
            <w:tcW w:w="795"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hint="eastAsia"/>
                <w:szCs w:val="21"/>
              </w:rPr>
              <w:t>35副</w:t>
            </w:r>
          </w:p>
        </w:tc>
        <w:tc>
          <w:tcPr>
            <w:tcW w:w="3079"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ascii="宋体" w:hAnsi="宋体"/>
                <w:b/>
                <w:kern w:val="0"/>
                <w:sz w:val="24"/>
              </w:rPr>
              <w:drawing>
                <wp:inline distT="0" distB="0" distL="114300" distR="114300">
                  <wp:extent cx="1419225" cy="1471930"/>
                  <wp:effectExtent l="0" t="0" r="9525" b="13970"/>
                  <wp:docPr id="4" name="图片 8" descr="7591410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7591410_1[1]"/>
                          <pic:cNvPicPr>
                            <a:picLocks noChangeAspect="1"/>
                          </pic:cNvPicPr>
                        </pic:nvPicPr>
                        <pic:blipFill>
                          <a:blip r:embed="rId11" cstate="print"/>
                          <a:stretch>
                            <a:fillRect/>
                          </a:stretch>
                        </pic:blipFill>
                        <pic:spPr>
                          <a:xfrm>
                            <a:off x="0" y="0"/>
                            <a:ext cx="1419225" cy="1471930"/>
                          </a:xfrm>
                          <a:prstGeom prst="rect">
                            <a:avLst/>
                          </a:prstGeom>
                          <a:noFill/>
                          <a:ln>
                            <a:noFill/>
                          </a:ln>
                        </pic:spPr>
                      </pic:pic>
                    </a:graphicData>
                  </a:graphic>
                </wp:inline>
              </w:drawing>
            </w:r>
          </w:p>
        </w:tc>
      </w:tr>
    </w:tbl>
    <w:p>
      <w:pPr>
        <w:ind w:left="210" w:leftChars="100" w:firstLine="420" w:firstLineChars="200"/>
        <w:rPr>
          <w:rFonts w:ascii="宋体" w:hAnsi="宋体" w:cs="宋体"/>
          <w:color w:val="666666"/>
          <w:kern w:val="0"/>
          <w:szCs w:val="21"/>
        </w:rPr>
      </w:pPr>
      <w:r>
        <w:rPr>
          <w:rFonts w:hint="eastAsia" w:ascii="宋体" w:hAnsi="宋体" w:cs="宋体"/>
          <w:color w:val="666666"/>
          <w:kern w:val="0"/>
          <w:szCs w:val="21"/>
        </w:rPr>
        <w:t>1、以上所有器材均要求有“中国体育彩票标识</w:t>
      </w:r>
      <w:r>
        <w:rPr>
          <w:rFonts w:ascii="宋体" w:hAnsi="宋体"/>
          <w:bCs/>
          <w:kern w:val="0"/>
          <w:szCs w:val="21"/>
        </w:rPr>
        <w:drawing>
          <wp:inline distT="0" distB="0" distL="114300" distR="114300">
            <wp:extent cx="549910" cy="435610"/>
            <wp:effectExtent l="0" t="0" r="2540" b="2540"/>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12" cstate="print"/>
                    <a:stretch>
                      <a:fillRect/>
                    </a:stretch>
                  </pic:blipFill>
                  <pic:spPr>
                    <a:xfrm>
                      <a:off x="0" y="0"/>
                      <a:ext cx="549910" cy="435610"/>
                    </a:xfrm>
                    <a:prstGeom prst="rect">
                      <a:avLst/>
                    </a:prstGeom>
                    <a:noFill/>
                    <a:ln>
                      <a:noFill/>
                    </a:ln>
                  </pic:spPr>
                </pic:pic>
              </a:graphicData>
            </a:graphic>
          </wp:inline>
        </w:drawing>
      </w:r>
      <w:r>
        <w:rPr>
          <w:rFonts w:hint="eastAsia" w:ascii="宋体" w:hAnsi="宋体" w:cs="宋体"/>
          <w:color w:val="666666"/>
          <w:kern w:val="0"/>
          <w:szCs w:val="21"/>
        </w:rPr>
        <w:t>阳新县文化和旅游局捐赠 ”标识</w:t>
      </w:r>
    </w:p>
    <w:p>
      <w:pPr>
        <w:ind w:left="210" w:leftChars="100" w:firstLine="420" w:firstLineChars="200"/>
        <w:rPr>
          <w:rFonts w:ascii="宋体" w:hAnsi="宋体" w:cs="宋体"/>
          <w:color w:val="666666"/>
          <w:kern w:val="0"/>
          <w:szCs w:val="21"/>
        </w:rPr>
      </w:pPr>
      <w:r>
        <w:rPr>
          <w:rFonts w:hint="eastAsia" w:ascii="宋体" w:hAnsi="宋体" w:cs="宋体"/>
          <w:color w:val="666666"/>
          <w:kern w:val="0"/>
          <w:szCs w:val="21"/>
        </w:rPr>
        <w:t>2、以上所有器材均要求达到符合国体NSCC认证和GB19272-2011室外健身器材的安全通用要求并在每件器材上印制明显的标识牌。提供认证证书及确认函（需公告发布之日前获得）。为保证售后服务，所投器材需为同一品牌；</w:t>
      </w:r>
    </w:p>
    <w:p>
      <w:pPr>
        <w:ind w:left="210" w:leftChars="100" w:firstLine="420" w:firstLineChars="200"/>
        <w:rPr>
          <w:rFonts w:ascii="宋体" w:hAnsi="宋体" w:cs="宋体"/>
          <w:color w:val="666666"/>
          <w:kern w:val="0"/>
          <w:szCs w:val="21"/>
        </w:rPr>
      </w:pPr>
      <w:r>
        <w:rPr>
          <w:rFonts w:hint="eastAsia" w:ascii="宋体" w:hAnsi="宋体" w:cs="宋体"/>
          <w:color w:val="666666"/>
          <w:kern w:val="0"/>
          <w:szCs w:val="21"/>
        </w:rPr>
        <w:t>3、所投产品必须符合GB19272—2011《室外健身器材的安全通用要求》新国标要求，提供国家体育总局质量监督检验中心出具的符合GB19272—2011《室外健身器材的安全通用要求》检验报告和认证证书（官方网址查询真伪，且需提供有效证明材料，证明材料须提供真彩扫描打印件。）</w:t>
      </w:r>
    </w:p>
    <w:p>
      <w:pPr>
        <w:ind w:left="210" w:leftChars="100" w:firstLine="420" w:firstLineChars="200"/>
        <w:rPr>
          <w:rFonts w:ascii="宋体" w:hAnsi="宋体" w:cs="宋体"/>
          <w:color w:val="666666"/>
          <w:kern w:val="0"/>
          <w:szCs w:val="21"/>
        </w:rPr>
      </w:pPr>
      <w:r>
        <w:rPr>
          <w:rFonts w:hint="eastAsia" w:ascii="宋体" w:hAnsi="宋体" w:cs="宋体"/>
          <w:color w:val="666666"/>
          <w:kern w:val="0"/>
          <w:szCs w:val="21"/>
        </w:rPr>
        <w:t>4、数量：户外健身路径35套、农民体育健身器材35套、共计70套。</w:t>
      </w:r>
    </w:p>
    <w:p>
      <w:pPr>
        <w:ind w:left="210" w:leftChars="100" w:firstLine="420" w:firstLineChars="200"/>
        <w:rPr>
          <w:rFonts w:ascii="宋体" w:hAnsi="宋体" w:cs="宋体"/>
          <w:color w:val="666666"/>
          <w:kern w:val="0"/>
          <w:szCs w:val="21"/>
        </w:rPr>
      </w:pPr>
      <w:r>
        <w:rPr>
          <w:rFonts w:hint="eastAsia" w:ascii="宋体" w:hAnsi="宋体" w:cs="宋体"/>
          <w:color w:val="666666"/>
          <w:kern w:val="0"/>
          <w:szCs w:val="21"/>
        </w:rPr>
        <w:t>二、商务要求：</w:t>
      </w:r>
    </w:p>
    <w:p>
      <w:pPr>
        <w:ind w:left="210" w:leftChars="100" w:firstLine="420" w:firstLineChars="200"/>
        <w:rPr>
          <w:rFonts w:ascii="宋体" w:hAnsi="宋体" w:cs="宋体"/>
          <w:color w:val="666666"/>
          <w:kern w:val="0"/>
          <w:szCs w:val="21"/>
        </w:rPr>
      </w:pPr>
      <w:r>
        <w:rPr>
          <w:rFonts w:hint="eastAsia" w:ascii="宋体" w:hAnsi="宋体" w:cs="宋体"/>
          <w:color w:val="666666"/>
          <w:kern w:val="0"/>
          <w:szCs w:val="21"/>
        </w:rPr>
        <w:t xml:space="preserve">1）供货时间：签订合同之日起10个日历天； </w:t>
      </w:r>
    </w:p>
    <w:p>
      <w:pPr>
        <w:ind w:left="210" w:leftChars="100" w:firstLine="420" w:firstLineChars="200"/>
        <w:rPr>
          <w:rFonts w:ascii="宋体" w:hAnsi="宋体" w:cs="宋体"/>
          <w:color w:val="666666"/>
          <w:kern w:val="0"/>
          <w:szCs w:val="21"/>
        </w:rPr>
      </w:pPr>
      <w:r>
        <w:rPr>
          <w:rFonts w:hint="eastAsia" w:ascii="宋体" w:hAnsi="宋体" w:cs="宋体"/>
          <w:color w:val="666666"/>
          <w:kern w:val="0"/>
          <w:szCs w:val="21"/>
        </w:rPr>
        <w:t xml:space="preserve">2）供货地点：阳新县文化和旅游局指定地点； </w:t>
      </w:r>
    </w:p>
    <w:p>
      <w:pPr>
        <w:ind w:left="210" w:leftChars="100" w:firstLine="420" w:firstLineChars="200"/>
        <w:rPr>
          <w:rFonts w:ascii="宋体" w:hAnsi="宋体" w:cs="宋体"/>
          <w:color w:val="666666"/>
          <w:kern w:val="0"/>
          <w:szCs w:val="21"/>
        </w:rPr>
      </w:pPr>
      <w:r>
        <w:rPr>
          <w:rFonts w:hint="eastAsia" w:ascii="宋体" w:hAnsi="宋体" w:cs="宋体"/>
          <w:color w:val="666666"/>
          <w:kern w:val="0"/>
          <w:szCs w:val="21"/>
        </w:rPr>
        <w:t>3）质保期：无人为破坏下，产品确保完好正常使用质保期为2年，并要有产品质量保险和公众责任险。</w:t>
      </w:r>
    </w:p>
    <w:p>
      <w:pPr>
        <w:ind w:left="210" w:leftChars="100" w:firstLine="420" w:firstLineChars="200"/>
        <w:rPr>
          <w:rFonts w:ascii="宋体" w:hAnsi="宋体" w:cs="宋体"/>
          <w:color w:val="666666"/>
          <w:kern w:val="0"/>
          <w:szCs w:val="21"/>
        </w:rPr>
      </w:pPr>
      <w:r>
        <w:rPr>
          <w:rFonts w:hint="eastAsia" w:ascii="宋体" w:hAnsi="宋体" w:cs="宋体"/>
          <w:color w:val="666666"/>
          <w:kern w:val="0"/>
          <w:szCs w:val="21"/>
        </w:rPr>
        <w:t>4）付款方式：所有货物送达阳新县文体局指定地点后，并由中标单位负责安装、调试完毕并通过文体局验收（领取验收单）后，7个工作日之内，一次性全额付清。</w:t>
      </w:r>
    </w:p>
    <w:p>
      <w:pPr>
        <w:ind w:left="210" w:leftChars="100" w:firstLine="420" w:firstLineChars="200"/>
        <w:rPr>
          <w:rFonts w:cs="宋体" w:asciiTheme="minorEastAsia" w:hAnsiTheme="minorEastAsia"/>
          <w:color w:val="666666"/>
          <w:kern w:val="0"/>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rPr>
          <w:rFonts w:cs="宋体" w:asciiTheme="minorEastAsia" w:hAnsiTheme="minorEastAsia"/>
          <w:color w:val="666666"/>
          <w:kern w:val="0"/>
          <w:sz w:val="21"/>
          <w:szCs w:val="21"/>
        </w:rPr>
      </w:pPr>
    </w:p>
    <w:p>
      <w:pPr>
        <w:pStyle w:val="2"/>
        <w:jc w:val="center"/>
        <w:rPr>
          <w:rFonts w:cs="宋体" w:asciiTheme="minorEastAsia" w:hAnsiTheme="minorEastAsia"/>
          <w:color w:val="666666"/>
          <w:kern w:val="0"/>
          <w:sz w:val="22"/>
          <w:szCs w:val="22"/>
        </w:rPr>
      </w:pPr>
      <w:r>
        <w:rPr>
          <w:rFonts w:hint="eastAsia" w:ascii="微软雅黑" w:hAnsi="微软雅黑" w:eastAsia="微软雅黑" w:cs="微软雅黑"/>
          <w:b/>
          <w:bCs/>
          <w:sz w:val="20"/>
          <w:shd w:val="clear" w:color="auto" w:fill="FFFFFF"/>
        </w:rPr>
        <w:t>阳新县农民体育健身工程体育器材采购清单</w:t>
      </w:r>
    </w:p>
    <w:tbl>
      <w:tblPr>
        <w:tblStyle w:val="5"/>
        <w:tblpPr w:leftFromText="180" w:rightFromText="180" w:vertAnchor="text" w:tblpX="265" w:tblpY="76"/>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241"/>
        <w:gridCol w:w="2145"/>
        <w:gridCol w:w="1350"/>
        <w:gridCol w:w="921"/>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857" w:type="dxa"/>
            <w:gridSpan w:val="2"/>
            <w:vAlign w:val="center"/>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序号</w:t>
            </w:r>
          </w:p>
        </w:tc>
        <w:tc>
          <w:tcPr>
            <w:tcW w:w="2145" w:type="dxa"/>
            <w:vAlign w:val="center"/>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货物名称</w:t>
            </w:r>
          </w:p>
        </w:tc>
        <w:tc>
          <w:tcPr>
            <w:tcW w:w="1350" w:type="dxa"/>
            <w:vAlign w:val="center"/>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数量（台）</w:t>
            </w:r>
          </w:p>
        </w:tc>
        <w:tc>
          <w:tcPr>
            <w:tcW w:w="921" w:type="dxa"/>
            <w:vAlign w:val="center"/>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单价</w:t>
            </w:r>
          </w:p>
        </w:tc>
        <w:tc>
          <w:tcPr>
            <w:tcW w:w="1767" w:type="dxa"/>
            <w:vAlign w:val="center"/>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616" w:type="dxa"/>
            <w:vAlign w:val="center"/>
          </w:tcPr>
          <w:p>
            <w:pPr>
              <w:pStyle w:val="3"/>
              <w:widowControl/>
              <w:spacing w:before="0" w:after="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1</w:t>
            </w:r>
          </w:p>
        </w:tc>
        <w:tc>
          <w:tcPr>
            <w:tcW w:w="2241" w:type="dxa"/>
            <w:vMerge w:val="restart"/>
          </w:tcPr>
          <w:p>
            <w:pPr>
              <w:pStyle w:val="3"/>
              <w:widowControl/>
              <w:spacing w:before="0" w:after="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户外健身路径35套</w:t>
            </w:r>
          </w:p>
          <w:p>
            <w:pPr>
              <w:pStyle w:val="3"/>
              <w:widowControl/>
              <w:spacing w:before="0" w:after="0"/>
              <w:ind w:left="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所投器材必须为同一品牌</w:t>
            </w:r>
          </w:p>
        </w:tc>
        <w:tc>
          <w:tcPr>
            <w:tcW w:w="2145"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三位扭腰器</w:t>
            </w:r>
          </w:p>
        </w:tc>
        <w:tc>
          <w:tcPr>
            <w:tcW w:w="1350"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35</w:t>
            </w:r>
          </w:p>
        </w:tc>
        <w:tc>
          <w:tcPr>
            <w:tcW w:w="921" w:type="dxa"/>
          </w:tcPr>
          <w:p>
            <w:pPr>
              <w:pStyle w:val="3"/>
              <w:widowControl/>
              <w:spacing w:before="0" w:after="0"/>
              <w:jc w:val="center"/>
              <w:rPr>
                <w:rFonts w:ascii="微软雅黑" w:hAnsi="微软雅黑" w:eastAsia="微软雅黑" w:cs="微软雅黑"/>
                <w:sz w:val="18"/>
                <w:szCs w:val="18"/>
                <w:shd w:val="clear" w:color="auto" w:fill="FFFFFF"/>
              </w:rPr>
            </w:pPr>
          </w:p>
        </w:tc>
        <w:tc>
          <w:tcPr>
            <w:tcW w:w="1767" w:type="dxa"/>
          </w:tcPr>
          <w:p>
            <w:pPr>
              <w:pStyle w:val="3"/>
              <w:widowControl/>
              <w:spacing w:before="0" w:after="0"/>
              <w:jc w:val="both"/>
              <w:rPr>
                <w:rFonts w:ascii="微软雅黑" w:hAnsi="微软雅黑" w:eastAsia="微软雅黑" w:cs="微软雅黑"/>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616" w:type="dxa"/>
            <w:vAlign w:val="center"/>
          </w:tcPr>
          <w:p>
            <w:pPr>
              <w:pStyle w:val="3"/>
              <w:widowControl/>
              <w:spacing w:before="0" w:after="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2</w:t>
            </w:r>
          </w:p>
        </w:tc>
        <w:tc>
          <w:tcPr>
            <w:tcW w:w="2241" w:type="dxa"/>
            <w:vMerge w:val="continue"/>
          </w:tcPr>
          <w:p>
            <w:pPr>
              <w:pStyle w:val="3"/>
              <w:widowControl/>
              <w:spacing w:before="0" w:after="0"/>
              <w:jc w:val="center"/>
              <w:rPr>
                <w:rFonts w:ascii="微软雅黑" w:hAnsi="微软雅黑" w:eastAsia="微软雅黑" w:cs="微软雅黑"/>
                <w:sz w:val="18"/>
                <w:szCs w:val="18"/>
                <w:shd w:val="clear" w:color="auto" w:fill="FFFFFF"/>
              </w:rPr>
            </w:pPr>
          </w:p>
        </w:tc>
        <w:tc>
          <w:tcPr>
            <w:tcW w:w="2145"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背部手掌按摩器</w:t>
            </w:r>
          </w:p>
        </w:tc>
        <w:tc>
          <w:tcPr>
            <w:tcW w:w="1350" w:type="dxa"/>
          </w:tcPr>
          <w:p>
            <w:pPr>
              <w:widowControl/>
              <w:ind w:left="15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35</w:t>
            </w:r>
          </w:p>
        </w:tc>
        <w:tc>
          <w:tcPr>
            <w:tcW w:w="921" w:type="dxa"/>
          </w:tcPr>
          <w:p>
            <w:pPr>
              <w:pStyle w:val="3"/>
              <w:widowControl/>
              <w:spacing w:before="0" w:after="0"/>
              <w:jc w:val="center"/>
              <w:rPr>
                <w:rFonts w:ascii="微软雅黑" w:hAnsi="微软雅黑" w:eastAsia="微软雅黑" w:cs="微软雅黑"/>
                <w:sz w:val="18"/>
                <w:szCs w:val="18"/>
                <w:shd w:val="clear" w:color="auto" w:fill="FFFFFF"/>
              </w:rPr>
            </w:pPr>
          </w:p>
        </w:tc>
        <w:tc>
          <w:tcPr>
            <w:tcW w:w="1767" w:type="dxa"/>
          </w:tcPr>
          <w:p>
            <w:pPr>
              <w:pStyle w:val="3"/>
              <w:widowControl/>
              <w:spacing w:before="0" w:after="0"/>
              <w:jc w:val="center"/>
              <w:rPr>
                <w:rFonts w:ascii="微软雅黑" w:hAnsi="微软雅黑" w:eastAsia="微软雅黑" w:cs="微软雅黑"/>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616" w:type="dxa"/>
            <w:vAlign w:val="center"/>
          </w:tcPr>
          <w:p>
            <w:pPr>
              <w:pStyle w:val="3"/>
              <w:widowControl/>
              <w:spacing w:before="0" w:after="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3</w:t>
            </w:r>
          </w:p>
        </w:tc>
        <w:tc>
          <w:tcPr>
            <w:tcW w:w="2241" w:type="dxa"/>
            <w:vMerge w:val="continue"/>
          </w:tcPr>
          <w:p>
            <w:pPr>
              <w:pStyle w:val="3"/>
              <w:widowControl/>
              <w:spacing w:before="0" w:after="0"/>
              <w:jc w:val="center"/>
              <w:rPr>
                <w:rFonts w:ascii="微软雅黑" w:hAnsi="微软雅黑" w:eastAsia="微软雅黑" w:cs="微软雅黑"/>
                <w:sz w:val="18"/>
                <w:szCs w:val="18"/>
                <w:shd w:val="clear" w:color="auto" w:fill="FFFFFF"/>
              </w:rPr>
            </w:pPr>
          </w:p>
        </w:tc>
        <w:tc>
          <w:tcPr>
            <w:tcW w:w="2145"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压腿架</w:t>
            </w:r>
          </w:p>
        </w:tc>
        <w:tc>
          <w:tcPr>
            <w:tcW w:w="1350" w:type="dxa"/>
          </w:tcPr>
          <w:p>
            <w:pPr>
              <w:widowControl/>
              <w:ind w:left="15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35</w:t>
            </w:r>
          </w:p>
        </w:tc>
        <w:tc>
          <w:tcPr>
            <w:tcW w:w="921" w:type="dxa"/>
          </w:tcPr>
          <w:p>
            <w:pPr>
              <w:pStyle w:val="3"/>
              <w:widowControl/>
              <w:spacing w:before="0" w:after="0"/>
              <w:jc w:val="center"/>
              <w:rPr>
                <w:rFonts w:ascii="微软雅黑" w:hAnsi="微软雅黑" w:eastAsia="微软雅黑" w:cs="微软雅黑"/>
                <w:sz w:val="18"/>
                <w:szCs w:val="18"/>
                <w:shd w:val="clear" w:color="auto" w:fill="FFFFFF"/>
              </w:rPr>
            </w:pPr>
          </w:p>
        </w:tc>
        <w:tc>
          <w:tcPr>
            <w:tcW w:w="1767" w:type="dxa"/>
          </w:tcPr>
          <w:p>
            <w:pPr>
              <w:pStyle w:val="3"/>
              <w:widowControl/>
              <w:spacing w:before="0" w:after="0"/>
              <w:jc w:val="center"/>
              <w:rPr>
                <w:rFonts w:ascii="微软雅黑" w:hAnsi="微软雅黑" w:eastAsia="微软雅黑" w:cs="微软雅黑"/>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616" w:type="dxa"/>
            <w:vAlign w:val="center"/>
          </w:tcPr>
          <w:p>
            <w:pPr>
              <w:pStyle w:val="3"/>
              <w:widowControl/>
              <w:spacing w:before="0" w:after="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4</w:t>
            </w:r>
          </w:p>
        </w:tc>
        <w:tc>
          <w:tcPr>
            <w:tcW w:w="2241" w:type="dxa"/>
            <w:vMerge w:val="continue"/>
          </w:tcPr>
          <w:p>
            <w:pPr>
              <w:pStyle w:val="3"/>
              <w:widowControl/>
              <w:spacing w:before="0" w:after="0"/>
              <w:jc w:val="center"/>
              <w:rPr>
                <w:rFonts w:ascii="微软雅黑" w:hAnsi="微软雅黑" w:eastAsia="微软雅黑" w:cs="微软雅黑"/>
                <w:sz w:val="18"/>
                <w:szCs w:val="18"/>
                <w:shd w:val="clear" w:color="auto" w:fill="FFFFFF"/>
              </w:rPr>
            </w:pPr>
          </w:p>
        </w:tc>
        <w:tc>
          <w:tcPr>
            <w:tcW w:w="2145"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太空漫步机（两联）</w:t>
            </w:r>
          </w:p>
        </w:tc>
        <w:tc>
          <w:tcPr>
            <w:tcW w:w="1350" w:type="dxa"/>
          </w:tcPr>
          <w:p>
            <w:pPr>
              <w:widowControl/>
              <w:ind w:left="15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35</w:t>
            </w:r>
          </w:p>
        </w:tc>
        <w:tc>
          <w:tcPr>
            <w:tcW w:w="921" w:type="dxa"/>
          </w:tcPr>
          <w:p>
            <w:pPr>
              <w:pStyle w:val="3"/>
              <w:widowControl/>
              <w:spacing w:before="0" w:after="0"/>
              <w:jc w:val="center"/>
              <w:rPr>
                <w:rFonts w:ascii="微软雅黑" w:hAnsi="微软雅黑" w:eastAsia="微软雅黑" w:cs="微软雅黑"/>
                <w:sz w:val="18"/>
                <w:szCs w:val="18"/>
                <w:shd w:val="clear" w:color="auto" w:fill="FFFFFF"/>
              </w:rPr>
            </w:pPr>
          </w:p>
        </w:tc>
        <w:tc>
          <w:tcPr>
            <w:tcW w:w="1767" w:type="dxa"/>
          </w:tcPr>
          <w:p>
            <w:pPr>
              <w:pStyle w:val="3"/>
              <w:widowControl/>
              <w:spacing w:before="0" w:after="0"/>
              <w:jc w:val="center"/>
              <w:rPr>
                <w:rFonts w:ascii="微软雅黑" w:hAnsi="微软雅黑" w:eastAsia="微软雅黑" w:cs="微软雅黑"/>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616" w:type="dxa"/>
            <w:vAlign w:val="center"/>
          </w:tcPr>
          <w:p>
            <w:pPr>
              <w:pStyle w:val="3"/>
              <w:widowControl/>
              <w:spacing w:before="0" w:after="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5</w:t>
            </w:r>
          </w:p>
        </w:tc>
        <w:tc>
          <w:tcPr>
            <w:tcW w:w="2241" w:type="dxa"/>
            <w:vMerge w:val="continue"/>
          </w:tcPr>
          <w:p>
            <w:pPr>
              <w:pStyle w:val="3"/>
              <w:widowControl/>
              <w:spacing w:before="0" w:after="0"/>
              <w:jc w:val="center"/>
              <w:rPr>
                <w:rFonts w:ascii="微软雅黑" w:hAnsi="微软雅黑" w:eastAsia="微软雅黑" w:cs="微软雅黑"/>
                <w:sz w:val="18"/>
                <w:szCs w:val="18"/>
                <w:shd w:val="clear" w:color="auto" w:fill="FFFFFF"/>
              </w:rPr>
            </w:pPr>
          </w:p>
        </w:tc>
        <w:tc>
          <w:tcPr>
            <w:tcW w:w="2145"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臂力训练器</w:t>
            </w:r>
          </w:p>
        </w:tc>
        <w:tc>
          <w:tcPr>
            <w:tcW w:w="1350" w:type="dxa"/>
          </w:tcPr>
          <w:p>
            <w:pPr>
              <w:widowControl/>
              <w:ind w:left="15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35</w:t>
            </w:r>
          </w:p>
        </w:tc>
        <w:tc>
          <w:tcPr>
            <w:tcW w:w="921" w:type="dxa"/>
          </w:tcPr>
          <w:p>
            <w:pPr>
              <w:pStyle w:val="3"/>
              <w:widowControl/>
              <w:spacing w:before="0" w:after="0"/>
              <w:jc w:val="center"/>
              <w:rPr>
                <w:rFonts w:ascii="微软雅黑" w:hAnsi="微软雅黑" w:eastAsia="微软雅黑" w:cs="微软雅黑"/>
                <w:sz w:val="18"/>
                <w:szCs w:val="18"/>
                <w:shd w:val="clear" w:color="auto" w:fill="FFFFFF"/>
              </w:rPr>
            </w:pPr>
          </w:p>
        </w:tc>
        <w:tc>
          <w:tcPr>
            <w:tcW w:w="1767" w:type="dxa"/>
          </w:tcPr>
          <w:p>
            <w:pPr>
              <w:pStyle w:val="3"/>
              <w:widowControl/>
              <w:spacing w:before="0" w:after="0"/>
              <w:jc w:val="center"/>
              <w:rPr>
                <w:rFonts w:ascii="微软雅黑" w:hAnsi="微软雅黑" w:eastAsia="微软雅黑" w:cs="微软雅黑"/>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616" w:type="dxa"/>
            <w:vAlign w:val="center"/>
          </w:tcPr>
          <w:p>
            <w:pPr>
              <w:pStyle w:val="3"/>
              <w:widowControl/>
              <w:spacing w:before="0" w:after="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6</w:t>
            </w:r>
          </w:p>
        </w:tc>
        <w:tc>
          <w:tcPr>
            <w:tcW w:w="2241" w:type="dxa"/>
            <w:vMerge w:val="continue"/>
          </w:tcPr>
          <w:p>
            <w:pPr>
              <w:pStyle w:val="3"/>
              <w:widowControl/>
              <w:spacing w:before="0" w:after="0"/>
              <w:jc w:val="center"/>
              <w:rPr>
                <w:rFonts w:ascii="微软雅黑" w:hAnsi="微软雅黑" w:eastAsia="微软雅黑" w:cs="微软雅黑"/>
                <w:sz w:val="18"/>
                <w:szCs w:val="18"/>
                <w:shd w:val="clear" w:color="auto" w:fill="FFFFFF"/>
              </w:rPr>
            </w:pPr>
          </w:p>
        </w:tc>
        <w:tc>
          <w:tcPr>
            <w:tcW w:w="2145"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腹肌板</w:t>
            </w:r>
          </w:p>
        </w:tc>
        <w:tc>
          <w:tcPr>
            <w:tcW w:w="1350" w:type="dxa"/>
          </w:tcPr>
          <w:p>
            <w:pPr>
              <w:widowControl/>
              <w:ind w:left="15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35</w:t>
            </w:r>
          </w:p>
        </w:tc>
        <w:tc>
          <w:tcPr>
            <w:tcW w:w="921" w:type="dxa"/>
          </w:tcPr>
          <w:p>
            <w:pPr>
              <w:pStyle w:val="3"/>
              <w:widowControl/>
              <w:spacing w:before="0" w:after="0"/>
              <w:jc w:val="center"/>
              <w:rPr>
                <w:rFonts w:ascii="微软雅黑" w:hAnsi="微软雅黑" w:eastAsia="微软雅黑" w:cs="微软雅黑"/>
                <w:sz w:val="18"/>
                <w:szCs w:val="18"/>
                <w:shd w:val="clear" w:color="auto" w:fill="FFFFFF"/>
              </w:rPr>
            </w:pPr>
          </w:p>
        </w:tc>
        <w:tc>
          <w:tcPr>
            <w:tcW w:w="1767" w:type="dxa"/>
          </w:tcPr>
          <w:p>
            <w:pPr>
              <w:pStyle w:val="3"/>
              <w:widowControl/>
              <w:spacing w:before="0" w:after="0"/>
              <w:jc w:val="center"/>
              <w:rPr>
                <w:rFonts w:ascii="微软雅黑" w:hAnsi="微软雅黑" w:eastAsia="微软雅黑" w:cs="微软雅黑"/>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616"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7</w:t>
            </w:r>
          </w:p>
        </w:tc>
        <w:tc>
          <w:tcPr>
            <w:tcW w:w="2241" w:type="dxa"/>
            <w:vMerge w:val="restart"/>
          </w:tcPr>
          <w:p>
            <w:pPr>
              <w:pStyle w:val="3"/>
              <w:widowControl/>
              <w:spacing w:before="0" w:after="0"/>
              <w:ind w:left="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农民体育健身器材35套</w:t>
            </w:r>
          </w:p>
          <w:p>
            <w:pPr>
              <w:pStyle w:val="3"/>
              <w:widowControl/>
              <w:spacing w:before="0" w:after="0"/>
              <w:ind w:left="0"/>
              <w:jc w:val="both"/>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所投器材必须为同一品牌</w:t>
            </w:r>
          </w:p>
        </w:tc>
        <w:tc>
          <w:tcPr>
            <w:tcW w:w="2145"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室外乒乓球台</w:t>
            </w:r>
          </w:p>
        </w:tc>
        <w:tc>
          <w:tcPr>
            <w:tcW w:w="1350"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70</w:t>
            </w:r>
          </w:p>
        </w:tc>
        <w:tc>
          <w:tcPr>
            <w:tcW w:w="921" w:type="dxa"/>
          </w:tcPr>
          <w:p>
            <w:pPr>
              <w:pStyle w:val="3"/>
              <w:widowControl/>
              <w:spacing w:before="0" w:after="0"/>
              <w:jc w:val="center"/>
              <w:rPr>
                <w:rFonts w:ascii="微软雅黑" w:hAnsi="微软雅黑" w:eastAsia="微软雅黑" w:cs="微软雅黑"/>
                <w:sz w:val="18"/>
                <w:szCs w:val="18"/>
                <w:shd w:val="clear" w:color="auto" w:fill="FFFFFF"/>
              </w:rPr>
            </w:pPr>
          </w:p>
        </w:tc>
        <w:tc>
          <w:tcPr>
            <w:tcW w:w="1767" w:type="dxa"/>
          </w:tcPr>
          <w:p>
            <w:pPr>
              <w:pStyle w:val="3"/>
              <w:widowControl/>
              <w:spacing w:before="0" w:after="0"/>
              <w:jc w:val="center"/>
              <w:rPr>
                <w:rFonts w:ascii="微软雅黑" w:hAnsi="微软雅黑" w:eastAsia="微软雅黑" w:cs="微软雅黑"/>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616"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8</w:t>
            </w:r>
          </w:p>
        </w:tc>
        <w:tc>
          <w:tcPr>
            <w:tcW w:w="2241" w:type="dxa"/>
            <w:vMerge w:val="continue"/>
          </w:tcPr>
          <w:p>
            <w:pPr>
              <w:pStyle w:val="3"/>
              <w:widowControl/>
              <w:spacing w:before="0" w:after="0"/>
              <w:jc w:val="center"/>
              <w:rPr>
                <w:rFonts w:ascii="微软雅黑" w:hAnsi="微软雅黑" w:eastAsia="微软雅黑" w:cs="微软雅黑"/>
                <w:sz w:val="18"/>
                <w:szCs w:val="18"/>
                <w:shd w:val="clear" w:color="auto" w:fill="FFFFFF"/>
              </w:rPr>
            </w:pPr>
          </w:p>
        </w:tc>
        <w:tc>
          <w:tcPr>
            <w:tcW w:w="2145" w:type="dxa"/>
          </w:tcPr>
          <w:p>
            <w:pPr>
              <w:pStyle w:val="3"/>
              <w:widowControl/>
              <w:spacing w:before="0" w:after="0"/>
              <w:ind w:left="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地埋式篮球架（副）</w:t>
            </w:r>
          </w:p>
        </w:tc>
        <w:tc>
          <w:tcPr>
            <w:tcW w:w="1350"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35</w:t>
            </w:r>
          </w:p>
        </w:tc>
        <w:tc>
          <w:tcPr>
            <w:tcW w:w="921" w:type="dxa"/>
          </w:tcPr>
          <w:p>
            <w:pPr>
              <w:pStyle w:val="3"/>
              <w:widowControl/>
              <w:spacing w:before="0" w:after="0"/>
              <w:jc w:val="center"/>
              <w:rPr>
                <w:rFonts w:ascii="微软雅黑" w:hAnsi="微软雅黑" w:eastAsia="微软雅黑" w:cs="微软雅黑"/>
                <w:sz w:val="18"/>
                <w:szCs w:val="18"/>
                <w:shd w:val="clear" w:color="auto" w:fill="FFFFFF"/>
              </w:rPr>
            </w:pPr>
            <w:r>
              <w:rPr>
                <w:rFonts w:hint="eastAsia" w:ascii="微软雅黑" w:hAnsi="微软雅黑" w:eastAsia="微软雅黑" w:cs="微软雅黑"/>
                <w:sz w:val="18"/>
                <w:szCs w:val="18"/>
                <w:shd w:val="clear" w:color="auto" w:fill="FFFFFF"/>
              </w:rPr>
              <w:t xml:space="preserve"> </w:t>
            </w:r>
          </w:p>
        </w:tc>
        <w:tc>
          <w:tcPr>
            <w:tcW w:w="1767" w:type="dxa"/>
          </w:tcPr>
          <w:p>
            <w:pPr>
              <w:pStyle w:val="3"/>
              <w:widowControl/>
              <w:spacing w:before="0" w:after="0"/>
              <w:jc w:val="center"/>
              <w:rPr>
                <w:rFonts w:ascii="微软雅黑" w:hAnsi="微软雅黑" w:eastAsia="微软雅黑" w:cs="微软雅黑"/>
                <w:sz w:val="18"/>
                <w:szCs w:val="1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7273" w:type="dxa"/>
            <w:gridSpan w:val="5"/>
          </w:tcPr>
          <w:p>
            <w:pPr>
              <w:pStyle w:val="3"/>
              <w:widowControl/>
              <w:spacing w:before="0" w:after="0"/>
              <w:jc w:val="center"/>
              <w:rPr>
                <w:rFonts w:ascii="微软雅黑" w:hAnsi="微软雅黑" w:eastAsia="微软雅黑" w:cs="微软雅黑"/>
                <w:sz w:val="18"/>
                <w:szCs w:val="18"/>
                <w:shd w:val="clear" w:color="auto" w:fill="FFFFFF"/>
              </w:rPr>
            </w:pPr>
          </w:p>
          <w:p>
            <w:pPr>
              <w:tabs>
                <w:tab w:val="left" w:pos="4039"/>
              </w:tabs>
              <w:jc w:val="left"/>
            </w:pPr>
            <w:r>
              <w:rPr>
                <w:rFonts w:hint="eastAsia" w:ascii="微软雅黑" w:hAnsi="微软雅黑" w:eastAsia="微软雅黑" w:cs="微软雅黑"/>
                <w:sz w:val="18"/>
                <w:szCs w:val="18"/>
                <w:shd w:val="clear" w:color="auto" w:fill="FFFFFF"/>
              </w:rPr>
              <w:tab/>
            </w:r>
            <w:r>
              <w:rPr>
                <w:rFonts w:hint="eastAsia" w:ascii="微软雅黑" w:hAnsi="微软雅黑" w:eastAsia="微软雅黑" w:cs="微软雅黑"/>
                <w:sz w:val="18"/>
                <w:szCs w:val="18"/>
                <w:shd w:val="clear" w:color="auto" w:fill="FFFFFF"/>
              </w:rPr>
              <w:t>总计</w:t>
            </w:r>
          </w:p>
        </w:tc>
        <w:tc>
          <w:tcPr>
            <w:tcW w:w="1767" w:type="dxa"/>
          </w:tcPr>
          <w:p>
            <w:pPr>
              <w:pStyle w:val="3"/>
              <w:widowControl/>
              <w:spacing w:before="0" w:after="0"/>
              <w:jc w:val="center"/>
              <w:rPr>
                <w:rFonts w:ascii="微软雅黑" w:hAnsi="微软雅黑" w:eastAsia="微软雅黑" w:cs="微软雅黑"/>
                <w:sz w:val="18"/>
                <w:szCs w:val="18"/>
                <w:shd w:val="clear" w:color="auto" w:fill="FFFFFF"/>
              </w:rPr>
            </w:pPr>
          </w:p>
        </w:tc>
      </w:tr>
    </w:tbl>
    <w:p>
      <w:pPr>
        <w:pStyle w:val="2"/>
      </w:pPr>
      <w:r>
        <w:rPr>
          <w:rFonts w:hint="eastAsia"/>
        </w:rPr>
        <w:t>注：预算金额60万</w:t>
      </w:r>
    </w:p>
    <w:p>
      <w:pPr>
        <w:pStyle w:val="2"/>
      </w:pPr>
    </w:p>
    <w:p>
      <w:pPr>
        <w:pStyle w:val="2"/>
      </w:pPr>
    </w:p>
    <w:p>
      <w:pPr>
        <w:pStyle w:val="2"/>
      </w:pPr>
    </w:p>
    <w:p>
      <w:pPr>
        <w:pStyle w:val="2"/>
      </w:pPr>
    </w:p>
    <w:p>
      <w:pPr>
        <w:pStyle w:val="2"/>
      </w:pPr>
    </w:p>
    <w:p>
      <w:pPr>
        <w:pStyle w:val="2"/>
      </w:pPr>
    </w:p>
    <w:p>
      <w:pPr>
        <w:pStyle w:val="2"/>
      </w:pPr>
    </w:p>
    <w:p>
      <w:pPr>
        <w:pStyle w:val="2"/>
      </w:pPr>
    </w:p>
    <w:p>
      <w:pPr>
        <w:pStyle w:val="2"/>
      </w:pPr>
      <w:r>
        <w:rPr>
          <w:rFonts w:hint="eastAsia"/>
        </w:rPr>
        <w:t>附件二：报名表</w:t>
      </w:r>
    </w:p>
    <w:p>
      <w:pPr>
        <w:spacing w:line="240" w:lineRule="atLeast"/>
        <w:jc w:val="center"/>
        <w:rPr>
          <w:szCs w:val="21"/>
        </w:rPr>
      </w:pPr>
      <w:r>
        <w:rPr>
          <w:rFonts w:hint="eastAsia" w:ascii="Calibri" w:hAnsi="Calibri" w:eastAsia="宋体" w:cs="宋体"/>
          <w:szCs w:val="21"/>
        </w:rPr>
        <w:t>供应商报名表</w:t>
      </w:r>
    </w:p>
    <w:p>
      <w:pPr>
        <w:spacing w:line="240" w:lineRule="atLeast"/>
        <w:rPr>
          <w:szCs w:val="21"/>
        </w:rPr>
      </w:pPr>
      <w:r>
        <w:rPr>
          <w:rFonts w:hint="eastAsia" w:ascii="Calibri" w:hAnsi="Calibri" w:eastAsia="宋体" w:cs="宋体"/>
          <w:szCs w:val="21"/>
        </w:rPr>
        <w:t>项目编号：</w:t>
      </w:r>
      <w:r>
        <w:rPr>
          <w:rFonts w:ascii="Calibri" w:hAnsi="Calibri" w:eastAsia="宋体" w:cs="黑体"/>
          <w:sz w:val="22"/>
          <w:szCs w:val="22"/>
          <w:u w:val="single"/>
        </w:rPr>
        <w:t>131-Zcg</w:t>
      </w:r>
      <w:r>
        <w:rPr>
          <w:rFonts w:hint="eastAsia" w:ascii="Calibri" w:hAnsi="Calibri" w:eastAsia="宋体" w:cs="宋体"/>
          <w:sz w:val="22"/>
          <w:szCs w:val="22"/>
          <w:u w:val="single"/>
        </w:rPr>
        <w:t>·</w:t>
      </w:r>
      <w:r>
        <w:rPr>
          <w:rFonts w:hint="eastAsia" w:ascii="Calibri" w:hAnsi="Calibri" w:eastAsia="宋体" w:cs="黑体"/>
          <w:sz w:val="22"/>
          <w:szCs w:val="22"/>
          <w:u w:val="single"/>
        </w:rPr>
        <w:t>2019</w:t>
      </w:r>
      <w:r>
        <w:rPr>
          <w:rFonts w:ascii="Calibri" w:hAnsi="Calibri" w:eastAsia="宋体" w:cs="黑体"/>
          <w:sz w:val="22"/>
          <w:szCs w:val="22"/>
          <w:u w:val="single"/>
        </w:rPr>
        <w:t>-</w:t>
      </w:r>
      <w:r>
        <w:rPr>
          <w:rFonts w:hint="eastAsia" w:ascii="Calibri" w:hAnsi="Calibri" w:eastAsia="宋体" w:cs="黑体"/>
          <w:sz w:val="22"/>
          <w:szCs w:val="22"/>
          <w:u w:val="single"/>
        </w:rPr>
        <w:t xml:space="preserve"> 121  </w:t>
      </w:r>
    </w:p>
    <w:p>
      <w:pPr>
        <w:spacing w:line="240" w:lineRule="atLeast"/>
        <w:rPr>
          <w:rFonts w:ascii="Calibri" w:hAnsi="Calibri" w:eastAsia="宋体" w:cs="宋体"/>
          <w:szCs w:val="21"/>
          <w:u w:val="single"/>
        </w:rPr>
      </w:pPr>
      <w:r>
        <w:rPr>
          <w:rFonts w:hint="eastAsia" w:ascii="Calibri" w:hAnsi="Calibri" w:eastAsia="宋体" w:cs="宋体"/>
          <w:szCs w:val="21"/>
        </w:rPr>
        <w:t>项目名称：</w:t>
      </w:r>
      <w:r>
        <w:rPr>
          <w:rFonts w:hint="eastAsia" w:ascii="Calibri" w:hAnsi="Calibri" w:eastAsia="宋体" w:cs="宋体"/>
          <w:szCs w:val="21"/>
          <w:u w:val="single"/>
        </w:rPr>
        <w:t>阳新县农民体育健身工程体育器材采购</w:t>
      </w:r>
    </w:p>
    <w:tbl>
      <w:tblPr>
        <w:tblStyle w:val="4"/>
        <w:tblW w:w="9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1"/>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after="100" w:line="240" w:lineRule="atLeast"/>
              <w:jc w:val="left"/>
              <w:rPr>
                <w:rFonts w:ascii="宋体" w:hAnsi="宋体" w:eastAsia="宋体" w:cs="宋体"/>
                <w:kern w:val="0"/>
                <w:szCs w:val="21"/>
              </w:rPr>
            </w:pPr>
            <w:r>
              <w:rPr>
                <w:rFonts w:hint="eastAsia" w:ascii="宋体" w:hAnsi="宋体" w:eastAsia="宋体" w:cs="宋体"/>
                <w:kern w:val="0"/>
                <w:szCs w:val="21"/>
              </w:rPr>
              <w:t>供应商名称（盖章）</w:t>
            </w:r>
          </w:p>
        </w:tc>
        <w:tc>
          <w:tcPr>
            <w:tcW w:w="6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after="100" w:line="240"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after="100" w:line="240" w:lineRule="atLeast"/>
              <w:jc w:val="left"/>
              <w:rPr>
                <w:rFonts w:ascii="宋体" w:hAnsi="宋体" w:eastAsia="宋体" w:cs="宋体"/>
                <w:kern w:val="0"/>
                <w:szCs w:val="21"/>
              </w:rPr>
            </w:pPr>
            <w:r>
              <w:rPr>
                <w:rFonts w:hint="eastAsia" w:ascii="宋体" w:hAnsi="宋体" w:eastAsia="宋体" w:cs="宋体"/>
                <w:kern w:val="0"/>
                <w:szCs w:val="21"/>
              </w:rPr>
              <w:t>联系人姓名</w:t>
            </w:r>
          </w:p>
        </w:tc>
        <w:tc>
          <w:tcPr>
            <w:tcW w:w="6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after="100" w:line="240"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after="100" w:line="240" w:lineRule="atLeast"/>
              <w:jc w:val="left"/>
              <w:rPr>
                <w:rFonts w:ascii="宋体" w:hAnsi="宋体" w:eastAsia="宋体" w:cs="宋体"/>
                <w:kern w:val="0"/>
                <w:szCs w:val="21"/>
              </w:rPr>
            </w:pPr>
            <w:r>
              <w:rPr>
                <w:rFonts w:hint="eastAsia" w:ascii="宋体" w:hAnsi="宋体" w:eastAsia="宋体" w:cs="宋体"/>
                <w:kern w:val="0"/>
                <w:szCs w:val="21"/>
              </w:rPr>
              <w:t>联系人电话（办公电话和手机）</w:t>
            </w:r>
          </w:p>
        </w:tc>
        <w:tc>
          <w:tcPr>
            <w:tcW w:w="6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after="100" w:line="240"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3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after="100" w:line="240" w:lineRule="atLeast"/>
              <w:jc w:val="left"/>
              <w:rPr>
                <w:rFonts w:ascii="宋体" w:hAnsi="宋体" w:eastAsia="宋体" w:cs="宋体"/>
                <w:kern w:val="0"/>
                <w:szCs w:val="21"/>
              </w:rPr>
            </w:pPr>
            <w:r>
              <w:rPr>
                <w:rFonts w:hint="eastAsia" w:ascii="宋体" w:hAnsi="宋体" w:eastAsia="宋体" w:cs="宋体"/>
                <w:kern w:val="0"/>
                <w:szCs w:val="21"/>
              </w:rPr>
              <w:t>联系人邮箱</w:t>
            </w:r>
          </w:p>
        </w:tc>
        <w:tc>
          <w:tcPr>
            <w:tcW w:w="6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after="100" w:line="240" w:lineRule="atLeast"/>
              <w:jc w:val="left"/>
              <w:rPr>
                <w:rFonts w:ascii="宋体" w:hAnsi="宋体" w:eastAsia="宋体" w:cs="宋体"/>
                <w:kern w:val="0"/>
                <w:szCs w:val="21"/>
              </w:rPr>
            </w:pPr>
            <w:r>
              <w:rPr>
                <w:rFonts w:hint="eastAsia" w:ascii="宋体" w:hAnsi="宋体" w:eastAsia="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after="100" w:line="240" w:lineRule="atLeast"/>
              <w:jc w:val="center"/>
              <w:rPr>
                <w:rFonts w:ascii="宋体" w:hAnsi="宋体" w:eastAsia="宋体" w:cs="宋体"/>
                <w:kern w:val="0"/>
                <w:szCs w:val="21"/>
              </w:rPr>
            </w:pPr>
            <w:r>
              <w:rPr>
                <w:rFonts w:hint="eastAsia" w:ascii="宋体" w:hAnsi="宋体" w:eastAsia="宋体" w:cs="宋体"/>
                <w:kern w:val="0"/>
                <w:szCs w:val="21"/>
              </w:rPr>
              <w:t>供应商提供的</w:t>
            </w:r>
          </w:p>
          <w:p>
            <w:pPr>
              <w:widowControl/>
              <w:spacing w:before="100" w:after="100" w:line="240" w:lineRule="atLeast"/>
              <w:jc w:val="center"/>
              <w:rPr>
                <w:rFonts w:ascii="宋体" w:hAnsi="宋体" w:eastAsia="宋体" w:cs="宋体"/>
                <w:kern w:val="0"/>
                <w:szCs w:val="21"/>
              </w:rPr>
            </w:pPr>
            <w:r>
              <w:rPr>
                <w:rFonts w:hint="eastAsia" w:ascii="宋体" w:hAnsi="宋体" w:eastAsia="宋体" w:cs="宋体"/>
                <w:kern w:val="0"/>
                <w:szCs w:val="21"/>
              </w:rPr>
              <w:t>报名资料</w:t>
            </w:r>
          </w:p>
        </w:tc>
        <w:tc>
          <w:tcPr>
            <w:tcW w:w="6000"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宋体" w:cs="宋体"/>
                <w:szCs w:val="21"/>
              </w:rPr>
            </w:pPr>
            <w:r>
              <w:rPr>
                <w:rFonts w:hint="eastAsia" w:ascii="Calibri" w:hAnsi="Calibri" w:eastAsia="宋体" w:cs="宋体"/>
                <w:szCs w:val="21"/>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3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6000"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宋体" w:cs="宋体"/>
                <w:szCs w:val="21"/>
              </w:rPr>
            </w:pPr>
            <w:r>
              <w:rPr>
                <w:rFonts w:hint="eastAsia" w:ascii="Calibri" w:hAnsi="Calibri" w:eastAsia="宋体" w:cs="宋体"/>
                <w:szCs w:val="21"/>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6000"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宋体" w:cs="宋体"/>
                <w:szCs w:val="21"/>
              </w:rPr>
            </w:pPr>
            <w:r>
              <w:rPr>
                <w:rFonts w:ascii="Calibri" w:hAnsi="Calibri" w:eastAsia="宋体" w:cs="宋体"/>
                <w:szCs w:val="21"/>
              </w:rPr>
              <w:t>3.</w:t>
            </w:r>
            <w:r>
              <w:rPr>
                <w:rFonts w:hint="eastAsia" w:ascii="Calibri" w:hAnsi="Calibri" w:eastAsia="宋体" w:cs="宋体"/>
                <w:szCs w:val="21"/>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6000" w:type="dxa"/>
            <w:tcBorders>
              <w:top w:val="single" w:color="auto" w:sz="4" w:space="0"/>
              <w:left w:val="single" w:color="auto" w:sz="4" w:space="0"/>
              <w:bottom w:val="single" w:color="auto" w:sz="4" w:space="0"/>
              <w:right w:val="single" w:color="auto" w:sz="4" w:space="0"/>
            </w:tcBorders>
            <w:shd w:val="clear" w:color="auto" w:fill="auto"/>
          </w:tcPr>
          <w:p>
            <w:pPr>
              <w:rPr>
                <w:rFonts w:ascii="Calibri" w:hAnsi="Calibri" w:eastAsia="宋体" w:cs="宋体"/>
                <w:szCs w:val="21"/>
              </w:rPr>
            </w:pPr>
            <w:r>
              <w:rPr>
                <w:rFonts w:ascii="Calibri" w:hAnsi="Calibri" w:eastAsia="宋体" w:cs="宋体"/>
                <w:szCs w:val="21"/>
              </w:rPr>
              <w:t>4.</w:t>
            </w:r>
            <w:r>
              <w:rPr>
                <w:rFonts w:hint="eastAsia" w:ascii="Calibri" w:hAnsi="Calibri" w:eastAsia="宋体" w:cs="宋体"/>
                <w:szCs w:val="21"/>
              </w:rPr>
              <w:t>参加政府采购活动前</w:t>
            </w:r>
            <w:r>
              <w:rPr>
                <w:rFonts w:ascii="Calibri" w:hAnsi="Calibri" w:eastAsia="宋体" w:cs="宋体"/>
                <w:szCs w:val="21"/>
              </w:rPr>
              <w:t>3</w:t>
            </w:r>
            <w:r>
              <w:rPr>
                <w:rFonts w:hint="eastAsia" w:ascii="Calibri" w:hAnsi="Calibri" w:eastAsia="宋体" w:cs="宋体"/>
                <w:szCs w:val="21"/>
              </w:rPr>
              <w:t>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6000"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ascii="Calibri" w:hAnsi="Calibri" w:eastAsia="宋体" w:cs="黑体"/>
                <w:szCs w:val="21"/>
              </w:rPr>
              <w:t>5.</w:t>
            </w:r>
            <w:r>
              <w:rPr>
                <w:rFonts w:hint="eastAsia" w:ascii="Calibri" w:hAnsi="Calibri" w:eastAsia="宋体" w:cs="宋体"/>
                <w:szCs w:val="21"/>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6000" w:type="dxa"/>
            <w:tcBorders>
              <w:top w:val="single" w:color="auto" w:sz="4" w:space="0"/>
              <w:left w:val="single" w:color="auto" w:sz="4" w:space="0"/>
              <w:bottom w:val="single" w:color="auto" w:sz="4" w:space="0"/>
              <w:right w:val="single" w:color="auto" w:sz="4" w:space="0"/>
            </w:tcBorders>
            <w:shd w:val="clear" w:color="auto" w:fill="auto"/>
          </w:tcPr>
          <w:p>
            <w:pPr>
              <w:rPr>
                <w:szCs w:val="21"/>
              </w:rPr>
            </w:pPr>
            <w:r>
              <w:rPr>
                <w:rFonts w:ascii="Calibri" w:hAnsi="Calibri" w:eastAsia="宋体" w:cs="黑体"/>
                <w:szCs w:val="21"/>
              </w:rPr>
              <w:t>6.</w:t>
            </w:r>
            <w:r>
              <w:rPr>
                <w:rFonts w:hint="eastAsia" w:ascii="Calibri" w:hAnsi="Calibri" w:eastAsia="宋体" w:cs="宋体"/>
                <w:szCs w:val="21"/>
              </w:rPr>
              <w:t>未被列入</w:t>
            </w:r>
            <w:r>
              <w:rPr>
                <w:rFonts w:ascii="Calibri" w:hAnsi="Calibri" w:eastAsia="宋体" w:cs="黑体"/>
                <w:szCs w:val="21"/>
              </w:rPr>
              <w:t xml:space="preserve"> </w:t>
            </w:r>
            <w:r>
              <w:rPr>
                <w:rFonts w:hint="eastAsia" w:ascii="Calibri" w:hAnsi="Calibri" w:eastAsia="宋体" w:cs="宋体"/>
                <w:szCs w:val="21"/>
              </w:rPr>
              <w:t>“信用中国”网站（</w:t>
            </w:r>
            <w:r>
              <w:rPr>
                <w:rFonts w:ascii="Calibri" w:hAnsi="Calibri" w:eastAsia="宋体" w:cs="黑体"/>
                <w:szCs w:val="21"/>
              </w:rPr>
              <w:t>www.creditchina.gov.cn</w:t>
            </w:r>
            <w:r>
              <w:rPr>
                <w:rFonts w:hint="eastAsia" w:ascii="Calibri" w:hAnsi="Calibri" w:eastAsia="宋体" w:cs="宋体"/>
                <w:szCs w:val="21"/>
              </w:rPr>
              <w:t>）失信被执行人、重大税收违法案件当事人名单、政府采购严重违法失信行为记录名单的网页打印件。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2" w:hRule="atLeast"/>
        </w:trPr>
        <w:tc>
          <w:tcPr>
            <w:tcW w:w="3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Cs w:val="22"/>
              </w:rPr>
            </w:pPr>
          </w:p>
        </w:tc>
        <w:tc>
          <w:tcPr>
            <w:tcW w:w="6000" w:type="dxa"/>
            <w:tcBorders>
              <w:top w:val="single" w:color="auto" w:sz="4" w:space="0"/>
              <w:left w:val="single" w:color="auto" w:sz="4" w:space="0"/>
              <w:bottom w:val="single" w:color="auto" w:sz="4" w:space="0"/>
              <w:right w:val="single" w:color="auto" w:sz="4" w:space="0"/>
            </w:tcBorders>
            <w:shd w:val="clear" w:color="auto" w:fill="auto"/>
          </w:tcPr>
          <w:p>
            <w:pPr>
              <w:pStyle w:val="3"/>
              <w:widowControl/>
              <w:spacing w:before="0" w:after="0"/>
              <w:ind w:left="0" w:firstLine="420" w:firstLineChars="200"/>
              <w:rPr>
                <w:rFonts w:ascii="Calibri" w:hAnsi="Calibri" w:eastAsia="宋体" w:cs="黑体"/>
                <w:kern w:val="2"/>
                <w:sz w:val="21"/>
                <w:szCs w:val="21"/>
              </w:rPr>
            </w:pPr>
            <w:r>
              <w:rPr>
                <w:rFonts w:hint="eastAsia" w:ascii="Calibri" w:hAnsi="Calibri" w:eastAsia="宋体" w:cs="黑体"/>
                <w:kern w:val="2"/>
                <w:sz w:val="21"/>
                <w:szCs w:val="21"/>
              </w:rPr>
              <w:t>（三）特定条件:</w:t>
            </w:r>
          </w:p>
          <w:p>
            <w:pPr>
              <w:pStyle w:val="3"/>
              <w:widowControl/>
              <w:spacing w:before="0" w:after="0"/>
              <w:ind w:firstLine="420" w:firstLineChars="200"/>
              <w:rPr>
                <w:rFonts w:ascii="Calibri" w:hAnsi="Calibri" w:eastAsia="宋体" w:cs="黑体"/>
                <w:kern w:val="2"/>
                <w:sz w:val="21"/>
                <w:szCs w:val="21"/>
              </w:rPr>
            </w:pPr>
            <w:r>
              <w:rPr>
                <w:rFonts w:hint="eastAsia" w:ascii="Calibri" w:hAnsi="Calibri" w:eastAsia="宋体" w:cs="黑体"/>
                <w:kern w:val="2"/>
                <w:sz w:val="21"/>
                <w:szCs w:val="21"/>
              </w:rPr>
              <w:t>1.供应商的营业执照经营范围须含体育器材等类似内容。</w:t>
            </w:r>
          </w:p>
          <w:p>
            <w:pPr>
              <w:pStyle w:val="3"/>
              <w:widowControl/>
              <w:spacing w:before="0" w:after="0"/>
              <w:ind w:left="0" w:firstLine="630" w:firstLineChars="300"/>
              <w:rPr>
                <w:rFonts w:ascii="Calibri" w:hAnsi="Calibri" w:eastAsia="宋体" w:cs="黑体"/>
                <w:kern w:val="2"/>
                <w:sz w:val="21"/>
                <w:szCs w:val="21"/>
              </w:rPr>
            </w:pPr>
            <w:r>
              <w:rPr>
                <w:rFonts w:hint="eastAsia" w:ascii="Calibri" w:hAnsi="Calibri" w:eastAsia="宋体" w:cs="黑体"/>
                <w:kern w:val="2"/>
                <w:sz w:val="21"/>
                <w:szCs w:val="21"/>
              </w:rPr>
              <w:t>2.为方便售后服务投标人所投器材必须为同一品牌。</w:t>
            </w:r>
          </w:p>
          <w:p>
            <w:pPr>
              <w:pStyle w:val="3"/>
              <w:widowControl/>
              <w:spacing w:before="0" w:after="0"/>
              <w:ind w:firstLine="420" w:firstLineChars="200"/>
              <w:rPr>
                <w:rFonts w:ascii="Calibri" w:hAnsi="Calibri" w:eastAsia="宋体" w:cs="黑体"/>
                <w:kern w:val="2"/>
                <w:sz w:val="21"/>
                <w:szCs w:val="21"/>
              </w:rPr>
            </w:pPr>
            <w:r>
              <w:rPr>
                <w:rFonts w:hint="eastAsia" w:ascii="Calibri" w:hAnsi="Calibri" w:eastAsia="宋体" w:cs="黑体"/>
                <w:kern w:val="2"/>
                <w:sz w:val="21"/>
                <w:szCs w:val="21"/>
              </w:rPr>
              <w:t>3.供应商报名时所投器材使用功能符合招标文件要求并与器材技术参数要求功能一致，且必须提供本项目采购器材的质检报告、国体NSCC认证证书及确认函。</w:t>
            </w:r>
          </w:p>
          <w:p>
            <w:pPr>
              <w:pStyle w:val="3"/>
              <w:widowControl/>
              <w:spacing w:before="0" w:after="0"/>
              <w:ind w:firstLine="420" w:firstLineChars="200"/>
            </w:pPr>
            <w:r>
              <w:rPr>
                <w:rFonts w:hint="eastAsia" w:ascii="Calibri" w:hAnsi="Calibri" w:eastAsia="宋体" w:cs="黑体"/>
                <w:kern w:val="2"/>
                <w:sz w:val="21"/>
                <w:szCs w:val="21"/>
              </w:rPr>
              <w:t>（四）本项目不接受联合体形式参加</w:t>
            </w:r>
          </w:p>
        </w:tc>
      </w:tr>
    </w:tbl>
    <w:p>
      <w:pPr>
        <w:pStyle w:val="3"/>
        <w:shd w:val="clear" w:color="auto" w:fill="FFFFFF"/>
        <w:spacing w:line="360" w:lineRule="atLeast"/>
        <w:ind w:left="0"/>
        <w:rPr>
          <w:rStyle w:val="7"/>
          <w:b w:val="0"/>
          <w:color w:val="000000" w:themeColor="text1"/>
          <w14:textFill>
            <w14:solidFill>
              <w14:schemeClr w14:val="tx1"/>
            </w14:solidFill>
          </w14:textFill>
        </w:rPr>
      </w:pPr>
      <w:r>
        <w:rPr>
          <w:rStyle w:val="7"/>
          <w:rFonts w:hint="eastAsia"/>
          <w:b w:val="0"/>
          <w:color w:val="000000" w:themeColor="text1"/>
          <w14:textFill>
            <w14:solidFill>
              <w14:schemeClr w14:val="tx1"/>
            </w14:solidFill>
          </w14:textFill>
        </w:rPr>
        <w:t>注意事项：</w:t>
      </w:r>
    </w:p>
    <w:p>
      <w:pPr>
        <w:pStyle w:val="3"/>
        <w:shd w:val="clear" w:color="auto" w:fill="FFFFFF"/>
        <w:spacing w:line="360" w:lineRule="atLeast"/>
        <w:ind w:firstLine="480" w:firstLineChars="200"/>
        <w:rPr>
          <w:rStyle w:val="7"/>
          <w:b w:val="0"/>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供应商必须严格按照公告的内容和要求，完整递交有关资料，</w:t>
      </w:r>
      <w:r>
        <w:rPr>
          <w:rStyle w:val="7"/>
          <w:rFonts w:hint="eastAsia"/>
          <w:b w:val="0"/>
          <w:color w:val="000000" w:themeColor="text1"/>
          <w14:textFill>
            <w14:solidFill>
              <w14:schemeClr w14:val="tx1"/>
            </w14:solidFill>
          </w14:textFill>
        </w:rPr>
        <w:t>逾期递交的将予以拒收。</w:t>
      </w:r>
    </w:p>
    <w:p>
      <w:pPr>
        <w:pStyle w:val="3"/>
        <w:shd w:val="clear" w:color="auto" w:fill="FFFFFF"/>
        <w:spacing w:line="360" w:lineRule="atLeast"/>
        <w:ind w:firstLine="480" w:firstLineChars="200"/>
        <w:rPr>
          <w:rFonts w:ascii="微软雅黑" w:hAnsi="微软雅黑" w:eastAsia="微软雅黑"/>
          <w:color w:val="000000" w:themeColor="text1"/>
          <w:sz w:val="18"/>
          <w:szCs w:val="18"/>
          <w14:textFill>
            <w14:solidFill>
              <w14:schemeClr w14:val="tx1"/>
            </w14:solidFill>
          </w14:textFill>
        </w:rPr>
      </w:pPr>
      <w:r>
        <w:rPr>
          <w:rFonts w:ascii="宋体" w:hAnsi="宋体" w:cs="宋体"/>
          <w:color w:val="000000" w:themeColor="text1"/>
          <w14:textFill>
            <w14:solidFill>
              <w14:schemeClr w14:val="tx1"/>
            </w14:solidFill>
          </w14:textFill>
        </w:rPr>
        <w:t>2.</w:t>
      </w:r>
      <w:r>
        <w:rPr>
          <w:rFonts w:hint="eastAsia" w:ascii="宋体" w:hAnsi="宋体" w:cs="宋体"/>
          <w:bCs/>
          <w:color w:val="000000" w:themeColor="text1"/>
          <w14:textFill>
            <w14:solidFill>
              <w14:schemeClr w14:val="tx1"/>
            </w14:solidFill>
          </w14:textFill>
        </w:rPr>
        <w:t>供应商所递交的资料（全部盖有单位公章）必须为一般常用电脑办公软件能够读取的清晰、易于辨识的彩色电子扫描件、照片（相关证书和证明材料的原件）</w:t>
      </w:r>
      <w:r>
        <w:rPr>
          <w:rFonts w:ascii="宋体" w:cs="宋体"/>
          <w:bCs/>
          <w:color w:val="000000" w:themeColor="text1"/>
          <w14:textFill>
            <w14:solidFill>
              <w14:schemeClr w14:val="tx1"/>
            </w14:solidFill>
          </w14:textFill>
        </w:rPr>
        <w:t>,</w:t>
      </w:r>
      <w:r>
        <w:rPr>
          <w:rFonts w:hint="eastAsia" w:ascii="宋体" w:hAnsi="宋体" w:cs="宋体"/>
          <w:bCs/>
          <w:color w:val="000000" w:themeColor="text1"/>
          <w14:textFill>
            <w14:solidFill>
              <w14:schemeClr w14:val="tx1"/>
            </w14:solidFill>
          </w14:textFill>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themeColor="text1"/>
          <w14:textFill>
            <w14:solidFill>
              <w14:schemeClr w14:val="tx1"/>
            </w14:solidFill>
          </w14:textFill>
        </w:rPr>
        <w:t xml:space="preserve"> </w:t>
      </w:r>
    </w:p>
    <w:p>
      <w:pPr>
        <w:pStyle w:val="3"/>
        <w:shd w:val="clear" w:color="auto" w:fill="FFFFFF"/>
        <w:spacing w:line="360" w:lineRule="atLeast"/>
        <w:ind w:firstLine="480" w:firstLineChars="200"/>
        <w:rPr>
          <w:color w:val="000000" w:themeColor="text1"/>
          <w:sz w:val="28"/>
          <w:szCs w:val="28"/>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须在邮件（附件文件名注明公司全称）注明公司全称、项目名称及项目编号（不注明我单位将拒收报名邮件）。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30054"/>
    <w:rsid w:val="63D3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rFonts w:ascii="宋体" w:hAnsi="宋体"/>
      <w:color w:val="000000"/>
      <w:sz w:val="24"/>
      <w:szCs w:val="20"/>
    </w:rPr>
  </w:style>
  <w:style w:type="paragraph" w:styleId="3">
    <w:name w:val="Normal (Web)"/>
    <w:basedOn w:val="1"/>
    <w:qFormat/>
    <w:uiPriority w:val="0"/>
    <w:pPr>
      <w:spacing w:before="150" w:after="150" w:line="315" w:lineRule="atLeast"/>
      <w:ind w:left="150"/>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2019-08-14T07:29:00Z</dcterms:created>
  <dc:creator>Administrator</dc:creator>
  <cp:lastModifiedBy>Administrator</cp:lastModifiedBy>
  <dcterms:modified xsi:type="dcterms:W3CDTF">2019-08-14T07:29:37Z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