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sz w:val="24"/>
          <w:szCs w:val="24"/>
        </w:rPr>
      </w:pPr>
      <w:r>
        <w:rPr>
          <w:sz w:val="24"/>
          <w:szCs w:val="24"/>
        </w:rPr>
        <w:t>附件</w:t>
      </w:r>
      <w:r>
        <w:rPr>
          <w:rFonts w:hint="eastAsia"/>
          <w:sz w:val="24"/>
          <w:szCs w:val="24"/>
        </w:rPr>
        <w:t>一</w:t>
      </w:r>
      <w:r>
        <w:rPr>
          <w:sz w:val="24"/>
          <w:szCs w:val="24"/>
        </w:rPr>
        <w:t>：项目采购需求：</w:t>
      </w:r>
    </w:p>
    <w:p>
      <w:pPr>
        <w:adjustRightInd w:val="0"/>
        <w:snapToGrid w:val="0"/>
        <w:spacing w:line="360" w:lineRule="auto"/>
        <w:jc w:val="left"/>
        <w:rPr>
          <w:sz w:val="24"/>
          <w:szCs w:val="24"/>
        </w:rPr>
      </w:pPr>
    </w:p>
    <w:p>
      <w:pPr>
        <w:pStyle w:val="7"/>
        <w:rPr>
          <w:sz w:val="44"/>
          <w:szCs w:val="44"/>
        </w:rPr>
      </w:pPr>
      <w:r>
        <w:rPr>
          <w:rFonts w:hint="eastAsia"/>
          <w:sz w:val="44"/>
          <w:szCs w:val="44"/>
          <w:lang w:val="en-US" w:eastAsia="zh-CN"/>
        </w:rPr>
        <w:t xml:space="preserve">     </w:t>
      </w:r>
      <w:r>
        <w:rPr>
          <w:rFonts w:hint="eastAsia"/>
          <w:sz w:val="44"/>
          <w:szCs w:val="44"/>
        </w:rPr>
        <w:t>2019阳新县富河流域化肥零增长采购项目采购需求</w:t>
      </w:r>
    </w:p>
    <w:p>
      <w:pPr>
        <w:shd w:val="clear" w:color="auto" w:fill="FFFFFF"/>
        <w:spacing w:after="321" w:afterLines="100"/>
        <w:ind w:left="1134" w:leftChars="540"/>
        <w:rPr>
          <w:rFonts w:ascii="黑体" w:eastAsia="黑体"/>
          <w:szCs w:val="32"/>
        </w:rPr>
      </w:pPr>
    </w:p>
    <w:p>
      <w:pPr>
        <w:shd w:val="clear" w:color="auto" w:fill="FFFFFF"/>
        <w:spacing w:after="321" w:afterLines="100"/>
        <w:ind w:left="1134" w:leftChars="540"/>
        <w:rPr>
          <w:rFonts w:ascii="黑体" w:eastAsia="黑体"/>
          <w:sz w:val="44"/>
          <w:szCs w:val="44"/>
        </w:rPr>
      </w:pPr>
    </w:p>
    <w:p>
      <w:pPr>
        <w:shd w:val="clear" w:color="auto" w:fill="FFFFFF"/>
        <w:spacing w:line="560" w:lineRule="exact"/>
        <w:ind w:left="1134" w:leftChars="540"/>
        <w:rPr>
          <w:rFonts w:hint="eastAsia" w:ascii="黑体" w:eastAsia="仿宋_GB2312"/>
          <w:sz w:val="28"/>
          <w:szCs w:val="28"/>
          <w:lang w:eastAsia="zh-CN"/>
        </w:rPr>
      </w:pPr>
      <w:r>
        <w:rPr>
          <w:rFonts w:hint="eastAsia" w:ascii="黑体" w:eastAsia="黑体"/>
          <w:sz w:val="28"/>
          <w:szCs w:val="28"/>
        </w:rPr>
        <w:t>采购单位：</w:t>
      </w:r>
      <w:r>
        <w:rPr>
          <w:rFonts w:hint="eastAsia" w:ascii="仿宋_GB2312" w:eastAsia="仿宋_GB2312"/>
          <w:sz w:val="28"/>
          <w:szCs w:val="28"/>
        </w:rPr>
        <w:t>阳新县</w:t>
      </w:r>
      <w:r>
        <w:rPr>
          <w:rFonts w:hint="eastAsia" w:ascii="仿宋_GB2312" w:eastAsia="仿宋_GB2312"/>
          <w:sz w:val="28"/>
          <w:szCs w:val="28"/>
          <w:lang w:eastAsia="zh-CN"/>
        </w:rPr>
        <w:t>农业农村局</w:t>
      </w:r>
    </w:p>
    <w:p>
      <w:pPr>
        <w:shd w:val="clear" w:color="auto" w:fill="FFFFFF"/>
        <w:spacing w:line="560" w:lineRule="exact"/>
        <w:ind w:left="1134" w:leftChars="540"/>
        <w:rPr>
          <w:rFonts w:hint="eastAsia" w:ascii="仿宋_GB2312" w:eastAsia="仿宋_GB2312"/>
          <w:sz w:val="28"/>
          <w:szCs w:val="28"/>
          <w:lang w:eastAsia="zh-CN"/>
        </w:rPr>
      </w:pPr>
      <w:r>
        <w:rPr>
          <w:rFonts w:hint="eastAsia" w:ascii="黑体" w:eastAsia="黑体"/>
          <w:sz w:val="28"/>
          <w:szCs w:val="28"/>
        </w:rPr>
        <w:t>联 系 人</w:t>
      </w:r>
      <w:r>
        <w:rPr>
          <w:rFonts w:hint="eastAsia" w:ascii="仿宋_GB2312" w:eastAsia="仿宋_GB2312"/>
          <w:sz w:val="28"/>
          <w:szCs w:val="28"/>
        </w:rPr>
        <w:t>：</w:t>
      </w:r>
      <w:r>
        <w:rPr>
          <w:rFonts w:hint="eastAsia" w:ascii="仿宋_GB2312" w:eastAsia="仿宋_GB2312"/>
          <w:sz w:val="28"/>
          <w:szCs w:val="28"/>
          <w:lang w:eastAsia="zh-CN"/>
        </w:rPr>
        <w:t>毛创业</w:t>
      </w:r>
    </w:p>
    <w:p>
      <w:pPr>
        <w:shd w:val="clear" w:color="auto" w:fill="FFFFFF"/>
        <w:spacing w:line="560" w:lineRule="exact"/>
        <w:ind w:left="1134" w:leftChars="540"/>
        <w:rPr>
          <w:rFonts w:ascii="仿宋_GB2312" w:eastAsia="仿宋_GB2312"/>
          <w:sz w:val="28"/>
          <w:szCs w:val="28"/>
        </w:rPr>
      </w:pPr>
      <w:r>
        <w:rPr>
          <w:rFonts w:hint="eastAsia" w:ascii="黑体" w:eastAsia="黑体"/>
          <w:sz w:val="28"/>
          <w:szCs w:val="28"/>
        </w:rPr>
        <w:t>联系电话：15997114766</w:t>
      </w:r>
    </w:p>
    <w:p>
      <w:pPr>
        <w:shd w:val="clear" w:color="auto" w:fill="FFFFFF"/>
        <w:spacing w:line="560" w:lineRule="exact"/>
        <w:ind w:left="1134" w:leftChars="540"/>
        <w:rPr>
          <w:rFonts w:ascii="黑体" w:eastAsia="黑体"/>
          <w:sz w:val="28"/>
          <w:szCs w:val="28"/>
        </w:rPr>
      </w:pPr>
      <w:r>
        <w:rPr>
          <w:rFonts w:hint="eastAsia" w:ascii="黑体" w:eastAsia="黑体"/>
          <w:sz w:val="28"/>
          <w:szCs w:val="28"/>
        </w:rPr>
        <w:t>采购</w:t>
      </w:r>
      <w:r>
        <w:rPr>
          <w:rFonts w:ascii="黑体" w:eastAsia="黑体"/>
          <w:sz w:val="28"/>
          <w:szCs w:val="28"/>
        </w:rPr>
        <w:t>方式：</w:t>
      </w:r>
      <w:r>
        <w:rPr>
          <w:rFonts w:hint="eastAsia" w:ascii="仿宋_GB2312" w:eastAsia="仿宋_GB2312"/>
          <w:sz w:val="28"/>
          <w:szCs w:val="28"/>
        </w:rPr>
        <w:t>询价采购</w:t>
      </w:r>
    </w:p>
    <w:p>
      <w:pPr>
        <w:keepNext/>
        <w:keepLines/>
        <w:adjustRightInd w:val="0"/>
        <w:snapToGrid w:val="0"/>
        <w:jc w:val="center"/>
        <w:outlineLvl w:val="1"/>
        <w:rPr>
          <w:rFonts w:ascii="宋体" w:hAnsi="宋体"/>
          <w:b/>
          <w:bCs/>
          <w:sz w:val="32"/>
          <w:szCs w:val="32"/>
        </w:rPr>
        <w:sectPr>
          <w:footerReference r:id="rId3" w:type="default"/>
          <w:pgSz w:w="11906" w:h="16838"/>
          <w:pgMar w:top="1134" w:right="1134" w:bottom="1134" w:left="1134" w:header="851" w:footer="992" w:gutter="0"/>
          <w:cols w:space="0" w:num="1"/>
          <w:docGrid w:type="lines" w:linePitch="321" w:charSpace="0"/>
        </w:sectPr>
      </w:pPr>
    </w:p>
    <w:p>
      <w:pPr>
        <w:ind w:firstLine="3080" w:firstLineChars="700"/>
        <w:rPr>
          <w:sz w:val="44"/>
          <w:szCs w:val="44"/>
        </w:rPr>
      </w:pPr>
      <w:r>
        <w:rPr>
          <w:rFonts w:hint="eastAsia"/>
          <w:sz w:val="44"/>
          <w:szCs w:val="44"/>
        </w:rPr>
        <w:t>采购需求</w:t>
      </w:r>
    </w:p>
    <w:p>
      <w:pPr>
        <w:rPr>
          <w:sz w:val="32"/>
          <w:szCs w:val="32"/>
        </w:rPr>
      </w:pPr>
      <w:r>
        <w:rPr>
          <w:rFonts w:hint="eastAsia"/>
          <w:sz w:val="32"/>
          <w:szCs w:val="32"/>
        </w:rPr>
        <w:t>一、货物名称：有机物料。</w:t>
      </w:r>
    </w:p>
    <w:p>
      <w:pPr>
        <w:rPr>
          <w:sz w:val="32"/>
          <w:szCs w:val="32"/>
        </w:rPr>
      </w:pPr>
      <w:r>
        <w:rPr>
          <w:rFonts w:hint="eastAsia"/>
          <w:sz w:val="32"/>
          <w:szCs w:val="32"/>
        </w:rPr>
        <w:t>二、数量：800吨。</w:t>
      </w:r>
    </w:p>
    <w:p>
      <w:pPr>
        <w:rPr>
          <w:sz w:val="32"/>
          <w:szCs w:val="32"/>
        </w:rPr>
      </w:pPr>
      <w:r>
        <w:rPr>
          <w:rFonts w:hint="eastAsia"/>
          <w:sz w:val="32"/>
          <w:szCs w:val="32"/>
        </w:rPr>
        <w:t>三、采购要求：本次招标产品为动物的排泄物或动植物残体等富含有机质的副产品资源为主要原料，经发酵腐熟后而成的有机物料。外观为褐色或灰褐色颗粒，均匀、无恶臭。</w:t>
      </w:r>
    </w:p>
    <w:p>
      <w:pPr>
        <w:rPr>
          <w:sz w:val="32"/>
          <w:szCs w:val="32"/>
        </w:rPr>
      </w:pPr>
      <w:r>
        <w:rPr>
          <w:rFonts w:hint="eastAsia"/>
          <w:sz w:val="32"/>
          <w:szCs w:val="32"/>
        </w:rPr>
        <w:t>四、主要技术参数</w:t>
      </w:r>
    </w:p>
    <w:p>
      <w:pPr>
        <w:ind w:firstLine="640" w:firstLineChars="200"/>
        <w:rPr>
          <w:sz w:val="32"/>
          <w:szCs w:val="32"/>
        </w:rPr>
      </w:pPr>
      <w:r>
        <w:rPr>
          <w:rFonts w:hint="eastAsia"/>
          <w:sz w:val="32"/>
          <w:szCs w:val="32"/>
        </w:rPr>
        <w:t xml:space="preserve">1.1有机质的质量分数（以烘干基计）%      </w:t>
      </w:r>
      <m:oMath>
        <m:r>
          <m:rPr>
            <m:sty m:val="p"/>
          </m:rPr>
          <w:rPr>
            <w:rFonts w:ascii="Cambria Math" w:hAnsi="Cambria Math"/>
            <w:sz w:val="32"/>
            <w:szCs w:val="32"/>
          </w:rPr>
          <m:t>≥45</m:t>
        </m:r>
      </m:oMath>
    </w:p>
    <w:p>
      <w:pPr>
        <w:ind w:firstLine="640" w:firstLineChars="200"/>
        <w:rPr>
          <w:sz w:val="32"/>
          <w:szCs w:val="32"/>
        </w:rPr>
      </w:pPr>
      <w:r>
        <w:rPr>
          <w:rFonts w:hint="eastAsia"/>
          <w:sz w:val="32"/>
          <w:szCs w:val="32"/>
        </w:rPr>
        <w:t xml:space="preserve">1.2总养分（N+P2O5+K2O）的质量分数（以烘干基计）%   </w:t>
      </w:r>
      <m:oMath>
        <m:r>
          <m:rPr>
            <m:sty m:val="p"/>
          </m:rPr>
          <w:rPr>
            <w:rFonts w:ascii="Cambria Math" w:hAnsi="Cambria Math"/>
            <w:sz w:val="32"/>
            <w:szCs w:val="32"/>
          </w:rPr>
          <m:t>≥5</m:t>
        </m:r>
      </m:oMath>
    </w:p>
    <w:p>
      <w:pPr>
        <w:ind w:firstLine="640" w:firstLineChars="200"/>
        <w:rPr>
          <w:sz w:val="32"/>
          <w:szCs w:val="32"/>
        </w:rPr>
      </w:pPr>
      <w:r>
        <w:rPr>
          <w:rFonts w:hint="eastAsia"/>
          <w:sz w:val="32"/>
          <w:szCs w:val="32"/>
        </w:rPr>
        <w:t>1.3酸碱度（PH值）             5.5-8.5</w:t>
      </w:r>
    </w:p>
    <w:p>
      <w:pPr>
        <w:tabs>
          <w:tab w:val="center" w:pos="4363"/>
        </w:tabs>
        <w:ind w:firstLine="640" w:firstLineChars="200"/>
        <w:rPr>
          <w:sz w:val="32"/>
          <w:szCs w:val="32"/>
        </w:rPr>
      </w:pPr>
      <w:r>
        <w:rPr>
          <w:rFonts w:hint="eastAsia"/>
          <w:sz w:val="32"/>
          <w:szCs w:val="32"/>
        </w:rPr>
        <w:t>1.3水分（鲜样）的质量分数%</w:t>
      </w:r>
      <w:r>
        <w:rPr>
          <w:sz w:val="32"/>
          <w:szCs w:val="32"/>
        </w:rPr>
        <w:tab/>
      </w:r>
      <w:r>
        <w:rPr>
          <w:rFonts w:hint="eastAsia"/>
          <w:sz w:val="32"/>
          <w:szCs w:val="32"/>
        </w:rPr>
        <w:t xml:space="preserve">    </w:t>
      </w:r>
      <m:oMath>
        <m:r>
          <m:rPr>
            <m:sty m:val="p"/>
          </m:rPr>
          <w:rPr>
            <w:rFonts w:ascii="Cambria Math" w:hAnsi="Cambria Math"/>
            <w:sz w:val="32"/>
            <w:szCs w:val="32"/>
          </w:rPr>
          <m:t>≤30</m:t>
        </m:r>
      </m:oMath>
    </w:p>
    <w:p>
      <w:pPr>
        <w:tabs>
          <w:tab w:val="center" w:pos="4363"/>
        </w:tabs>
        <w:ind w:firstLine="640" w:firstLineChars="200"/>
        <w:rPr>
          <w:sz w:val="32"/>
          <w:szCs w:val="32"/>
        </w:rPr>
      </w:pPr>
      <w:r>
        <w:rPr>
          <w:rFonts w:hint="eastAsia"/>
          <w:sz w:val="32"/>
          <w:szCs w:val="32"/>
        </w:rPr>
        <w:t>1.4总砷（AS）（以烘干基计）mg</w:t>
      </w:r>
      <w:r>
        <w:rPr>
          <w:rFonts w:hint="eastAsia" w:ascii="宋体" w:hAnsi="宋体" w:eastAsia="宋体"/>
          <w:sz w:val="32"/>
          <w:szCs w:val="32"/>
        </w:rPr>
        <w:t>/</w:t>
      </w:r>
      <w:r>
        <w:rPr>
          <w:rFonts w:hint="eastAsia"/>
          <w:sz w:val="32"/>
          <w:szCs w:val="32"/>
        </w:rPr>
        <w:t xml:space="preserve">kg        </w:t>
      </w:r>
      <m:oMath>
        <m:r>
          <m:rPr>
            <m:sty m:val="p"/>
          </m:rPr>
          <w:rPr>
            <w:rFonts w:ascii="Cambria Math" w:hAnsi="Cambria Math"/>
            <w:sz w:val="32"/>
            <w:szCs w:val="32"/>
          </w:rPr>
          <m:t>≤</m:t>
        </m:r>
      </m:oMath>
      <w:r>
        <w:rPr>
          <w:rFonts w:hint="eastAsia"/>
          <w:sz w:val="32"/>
          <w:szCs w:val="32"/>
        </w:rPr>
        <w:t xml:space="preserve"> 15</w:t>
      </w:r>
    </w:p>
    <w:p>
      <w:pPr>
        <w:tabs>
          <w:tab w:val="center" w:pos="4363"/>
        </w:tabs>
        <w:ind w:firstLine="640" w:firstLineChars="200"/>
        <w:rPr>
          <w:sz w:val="32"/>
          <w:szCs w:val="32"/>
        </w:rPr>
      </w:pPr>
      <w:r>
        <w:rPr>
          <w:rFonts w:hint="eastAsia"/>
          <w:sz w:val="32"/>
          <w:szCs w:val="32"/>
        </w:rPr>
        <w:t>1.5总汞（HG）（以烘干基计）mg</w:t>
      </w:r>
      <w:r>
        <w:rPr>
          <w:rFonts w:hint="eastAsia" w:ascii="宋体" w:hAnsi="宋体" w:eastAsia="宋体"/>
          <w:sz w:val="32"/>
          <w:szCs w:val="32"/>
        </w:rPr>
        <w:t>/</w:t>
      </w:r>
      <w:r>
        <w:rPr>
          <w:rFonts w:hint="eastAsia"/>
          <w:sz w:val="32"/>
          <w:szCs w:val="32"/>
        </w:rPr>
        <w:t xml:space="preserve">kg        </w:t>
      </w:r>
      <m:oMath>
        <m:r>
          <m:rPr>
            <m:sty m:val="p"/>
          </m:rPr>
          <w:rPr>
            <w:rFonts w:ascii="Cambria Math" w:hAnsi="Cambria Math"/>
            <w:sz w:val="32"/>
            <w:szCs w:val="32"/>
          </w:rPr>
          <m:t>≤</m:t>
        </m:r>
      </m:oMath>
      <w:r>
        <w:rPr>
          <w:rFonts w:hint="eastAsia"/>
          <w:sz w:val="32"/>
          <w:szCs w:val="32"/>
        </w:rPr>
        <w:t>2</w:t>
      </w:r>
    </w:p>
    <w:p>
      <w:pPr>
        <w:tabs>
          <w:tab w:val="center" w:pos="4363"/>
        </w:tabs>
        <w:ind w:firstLine="640" w:firstLineChars="200"/>
        <w:rPr>
          <w:sz w:val="32"/>
          <w:szCs w:val="32"/>
        </w:rPr>
      </w:pPr>
      <w:r>
        <w:rPr>
          <w:rFonts w:hint="eastAsia"/>
          <w:sz w:val="32"/>
          <w:szCs w:val="32"/>
        </w:rPr>
        <w:t>1.6总铅（Pb）（以烘干基计）mg</w:t>
      </w:r>
      <w:r>
        <w:rPr>
          <w:rFonts w:hint="eastAsia" w:ascii="宋体" w:hAnsi="宋体" w:eastAsia="宋体"/>
          <w:sz w:val="32"/>
          <w:szCs w:val="32"/>
        </w:rPr>
        <w:t>/</w:t>
      </w:r>
      <w:r>
        <w:rPr>
          <w:rFonts w:hint="eastAsia"/>
          <w:sz w:val="32"/>
          <w:szCs w:val="32"/>
        </w:rPr>
        <w:t>kg</w:t>
      </w:r>
      <m:oMath>
        <m:r>
          <m:rPr>
            <m:sty m:val="p"/>
          </m:rPr>
          <w:rPr>
            <w:rFonts w:ascii="Cambria Math" w:hAnsi="Cambria Math"/>
            <w:sz w:val="32"/>
            <w:szCs w:val="32"/>
          </w:rPr>
          <m:t xml:space="preserve">                   ≤</m:t>
        </m:r>
      </m:oMath>
      <w:r>
        <w:rPr>
          <w:rFonts w:hint="eastAsia"/>
          <w:sz w:val="32"/>
          <w:szCs w:val="32"/>
        </w:rPr>
        <w:t>50</w:t>
      </w:r>
    </w:p>
    <w:p>
      <w:pPr>
        <w:tabs>
          <w:tab w:val="center" w:pos="4363"/>
        </w:tabs>
        <w:ind w:firstLine="640" w:firstLineChars="200"/>
        <w:rPr>
          <w:sz w:val="32"/>
          <w:szCs w:val="32"/>
        </w:rPr>
      </w:pPr>
      <w:r>
        <w:rPr>
          <w:rFonts w:hint="eastAsia"/>
          <w:sz w:val="32"/>
          <w:szCs w:val="32"/>
        </w:rPr>
        <w:t>1.7总隔（Cd）（以烘干基计）</w:t>
      </w:r>
      <m:oMath>
        <m:r>
          <m:rPr>
            <m:sty m:val="p"/>
          </m:rPr>
          <w:rPr>
            <w:rFonts w:ascii="Cambria Math" w:hAnsi="Cambria Math"/>
            <w:sz w:val="32"/>
            <w:szCs w:val="32"/>
          </w:rPr>
          <m:t xml:space="preserve"> </m:t>
        </m:r>
        <m:r>
          <m:rPr>
            <m:sty m:val="p"/>
          </m:rPr>
          <w:rPr>
            <w:rFonts w:hint="eastAsia" w:ascii="Cambria Math" w:hAnsi="Cambria Math"/>
            <w:sz w:val="32"/>
            <w:szCs w:val="32"/>
          </w:rPr>
          <m:t>mg</m:t>
        </m:r>
        <m:r>
          <m:rPr>
            <m:sty m:val="p"/>
          </m:rPr>
          <w:rPr>
            <w:rFonts w:hint="eastAsia" w:ascii="Cambria Math" w:hAnsi="Cambria Math" w:eastAsia="宋体"/>
            <w:sz w:val="32"/>
            <w:szCs w:val="32"/>
          </w:rPr>
          <m:t>/</m:t>
        </m:r>
        <m:r>
          <m:rPr>
            <m:sty m:val="p"/>
          </m:rPr>
          <w:rPr>
            <w:rFonts w:hint="eastAsia" w:ascii="Cambria Math" w:hAnsi="Cambria Math"/>
            <w:sz w:val="32"/>
            <w:szCs w:val="32"/>
          </w:rPr>
          <m:t>kg</m:t>
        </m:r>
        <m:r>
          <m:rPr>
            <m:sty m:val="p"/>
          </m:rPr>
          <w:rPr>
            <w:rFonts w:ascii="Cambria Math" w:hAnsi="Cambria Math"/>
            <w:sz w:val="32"/>
            <w:szCs w:val="32"/>
          </w:rPr>
          <m:t xml:space="preserve">                ≤3</m:t>
        </m:r>
      </m:oMath>
    </w:p>
    <w:p>
      <w:pPr>
        <w:tabs>
          <w:tab w:val="center" w:pos="4363"/>
        </w:tabs>
        <w:ind w:firstLine="640" w:firstLineChars="200"/>
        <w:rPr>
          <w:sz w:val="32"/>
          <w:szCs w:val="32"/>
        </w:rPr>
      </w:pPr>
      <w:r>
        <w:rPr>
          <w:rFonts w:hint="eastAsia"/>
          <w:sz w:val="32"/>
          <w:szCs w:val="32"/>
        </w:rPr>
        <w:t>1.8总铬（Cr）（以烘干基计）mg</w:t>
      </w:r>
      <w:r>
        <w:rPr>
          <w:rFonts w:hint="eastAsia" w:ascii="宋体" w:hAnsi="宋体" w:eastAsia="宋体"/>
          <w:sz w:val="32"/>
          <w:szCs w:val="32"/>
        </w:rPr>
        <w:t>/</w:t>
      </w:r>
      <w:r>
        <w:rPr>
          <w:rFonts w:hint="eastAsia"/>
          <w:sz w:val="32"/>
          <w:szCs w:val="32"/>
        </w:rPr>
        <w:t xml:space="preserve">kg         </w:t>
      </w:r>
      <m:oMath>
        <m:r>
          <m:rPr>
            <m:sty m:val="p"/>
          </m:rPr>
          <w:rPr>
            <w:rFonts w:ascii="Cambria Math" w:hAnsi="Cambria Math"/>
            <w:sz w:val="32"/>
            <w:szCs w:val="32"/>
          </w:rPr>
          <m:t>≤</m:t>
        </m:r>
      </m:oMath>
      <w:r>
        <w:rPr>
          <w:rFonts w:hint="eastAsia"/>
          <w:sz w:val="32"/>
          <w:szCs w:val="32"/>
        </w:rPr>
        <w:t>150</w:t>
      </w:r>
    </w:p>
    <w:p>
      <w:pPr>
        <w:tabs>
          <w:tab w:val="center" w:pos="4363"/>
        </w:tabs>
        <w:rPr>
          <w:sz w:val="32"/>
          <w:szCs w:val="32"/>
        </w:rPr>
      </w:pPr>
      <w:r>
        <w:rPr>
          <w:rFonts w:hint="eastAsia"/>
          <w:sz w:val="32"/>
          <w:szCs w:val="32"/>
        </w:rPr>
        <w:t>五、交货期：签订合同3个月内</w:t>
      </w:r>
    </w:p>
    <w:p>
      <w:pPr>
        <w:tabs>
          <w:tab w:val="center" w:pos="4363"/>
        </w:tabs>
        <w:ind w:firstLine="405"/>
        <w:rPr>
          <w:rFonts w:hint="eastAsia"/>
          <w:sz w:val="32"/>
          <w:szCs w:val="32"/>
        </w:rPr>
      </w:pPr>
    </w:p>
    <w:p>
      <w:pPr>
        <w:tabs>
          <w:tab w:val="center" w:pos="4363"/>
        </w:tabs>
        <w:ind w:firstLine="405"/>
        <w:rPr>
          <w:rFonts w:hint="eastAsia"/>
          <w:sz w:val="32"/>
          <w:szCs w:val="32"/>
        </w:rPr>
      </w:pPr>
    </w:p>
    <w:p>
      <w:pPr>
        <w:tabs>
          <w:tab w:val="center" w:pos="4363"/>
        </w:tabs>
        <w:ind w:firstLine="405"/>
        <w:rPr>
          <w:rFonts w:hint="eastAsia"/>
          <w:sz w:val="32"/>
          <w:szCs w:val="32"/>
        </w:rPr>
      </w:pPr>
    </w:p>
    <w:p>
      <w:pPr>
        <w:tabs>
          <w:tab w:val="center" w:pos="4363"/>
        </w:tabs>
        <w:ind w:firstLine="405"/>
        <w:rPr>
          <w:rFonts w:hint="eastAsia"/>
          <w:sz w:val="32"/>
          <w:szCs w:val="32"/>
        </w:rPr>
      </w:pPr>
    </w:p>
    <w:p>
      <w:pPr>
        <w:tabs>
          <w:tab w:val="center" w:pos="4363"/>
        </w:tabs>
        <w:ind w:firstLine="405"/>
        <w:rPr>
          <w:sz w:val="32"/>
          <w:szCs w:val="32"/>
          <w:vertAlign w:val="baseline"/>
        </w:rPr>
      </w:pPr>
      <w:r>
        <w:rPr>
          <w:rFonts w:hint="eastAsia"/>
          <w:sz w:val="32"/>
          <w:szCs w:val="32"/>
        </w:rPr>
        <w:t>交货地点：</w:t>
      </w:r>
    </w:p>
    <w:tbl>
      <w:tblPr>
        <w:tblStyle w:val="9"/>
        <w:tblW w:w="5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noWrap w:val="0"/>
            <w:vAlign w:val="top"/>
          </w:tcPr>
          <w:p>
            <w:pPr>
              <w:jc w:val="center"/>
              <w:rPr>
                <w:rFonts w:hint="eastAsia" w:eastAsia="宋体"/>
                <w:sz w:val="32"/>
                <w:szCs w:val="32"/>
                <w:vertAlign w:val="baseline"/>
                <w:lang w:eastAsia="zh-CN"/>
              </w:rPr>
            </w:pPr>
            <w:r>
              <w:rPr>
                <w:rFonts w:hint="eastAsia" w:eastAsia="宋体"/>
                <w:sz w:val="32"/>
                <w:szCs w:val="32"/>
                <w:vertAlign w:val="baseline"/>
                <w:lang w:eastAsia="zh-CN"/>
              </w:rPr>
              <w:t>地点</w:t>
            </w:r>
          </w:p>
        </w:tc>
        <w:tc>
          <w:tcPr>
            <w:tcW w:w="2841" w:type="dxa"/>
            <w:noWrap w:val="0"/>
            <w:vAlign w:val="top"/>
          </w:tcPr>
          <w:p>
            <w:pPr>
              <w:jc w:val="center"/>
              <w:rPr>
                <w:rFonts w:hint="default" w:eastAsia="宋体"/>
                <w:sz w:val="32"/>
                <w:szCs w:val="32"/>
                <w:vertAlign w:val="baseline"/>
                <w:lang w:val="en-US" w:eastAsia="zh-CN"/>
              </w:rPr>
            </w:pPr>
            <w:r>
              <w:rPr>
                <w:rFonts w:hint="eastAsia"/>
                <w:sz w:val="32"/>
                <w:szCs w:val="32"/>
                <w:vertAlign w:val="baseline"/>
                <w:lang w:val="en-US" w:eastAsia="zh-CN"/>
              </w:rPr>
              <w:t>数量</w:t>
            </w:r>
            <w:r>
              <w:rPr>
                <w:rFonts w:hint="eastAsia" w:eastAsia="宋体"/>
                <w:sz w:val="32"/>
                <w:szCs w:val="32"/>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noWrap w:val="0"/>
            <w:vAlign w:val="top"/>
          </w:tcPr>
          <w:p>
            <w:pPr>
              <w:jc w:val="center"/>
              <w:rPr>
                <w:rFonts w:hint="eastAsia" w:eastAsia="宋体"/>
                <w:sz w:val="32"/>
                <w:szCs w:val="32"/>
                <w:vertAlign w:val="baseline"/>
                <w:lang w:eastAsia="zh-CN"/>
              </w:rPr>
            </w:pPr>
            <w:r>
              <w:rPr>
                <w:rFonts w:hint="eastAsia"/>
                <w:sz w:val="32"/>
                <w:szCs w:val="32"/>
                <w:vertAlign w:val="baseline"/>
                <w:lang w:eastAsia="zh-CN"/>
              </w:rPr>
              <w:t>枫林</w:t>
            </w:r>
          </w:p>
        </w:tc>
        <w:tc>
          <w:tcPr>
            <w:tcW w:w="2841" w:type="dxa"/>
            <w:noWrap w:val="0"/>
            <w:vAlign w:val="top"/>
          </w:tcPr>
          <w:p>
            <w:pPr>
              <w:jc w:val="center"/>
              <w:rPr>
                <w:rFonts w:hint="default" w:eastAsia="宋体"/>
                <w:sz w:val="32"/>
                <w:szCs w:val="32"/>
                <w:vertAlign w:val="baseline"/>
                <w:lang w:val="en-US" w:eastAsia="zh-CN"/>
              </w:rPr>
            </w:pPr>
            <w:r>
              <w:rPr>
                <w:rFonts w:hint="eastAsia" w:eastAsia="宋体"/>
                <w:sz w:val="32"/>
                <w:szCs w:val="32"/>
                <w:vertAlign w:val="baseline"/>
                <w:lang w:val="en-US" w:eastAsia="zh-CN"/>
              </w:rPr>
              <w:t>103.5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noWrap w:val="0"/>
            <w:vAlign w:val="top"/>
          </w:tcPr>
          <w:p>
            <w:pPr>
              <w:tabs>
                <w:tab w:val="center" w:pos="4363"/>
              </w:tabs>
              <w:ind w:firstLine="960" w:firstLineChars="300"/>
              <w:jc w:val="both"/>
              <w:rPr>
                <w:rFonts w:hint="eastAsia" w:eastAsia="宋体"/>
                <w:sz w:val="32"/>
                <w:szCs w:val="32"/>
                <w:vertAlign w:val="baseline"/>
                <w:lang w:eastAsia="zh-CN"/>
              </w:rPr>
            </w:pPr>
            <w:r>
              <w:rPr>
                <w:rFonts w:hint="eastAsia" w:eastAsia="宋体"/>
                <w:sz w:val="32"/>
                <w:szCs w:val="32"/>
                <w:vertAlign w:val="baseline"/>
                <w:lang w:eastAsia="zh-CN"/>
              </w:rPr>
              <w:t>浮屠</w:t>
            </w:r>
          </w:p>
        </w:tc>
        <w:tc>
          <w:tcPr>
            <w:tcW w:w="2841" w:type="dxa"/>
            <w:noWrap w:val="0"/>
            <w:vAlign w:val="top"/>
          </w:tcPr>
          <w:p>
            <w:pPr>
              <w:jc w:val="center"/>
              <w:rPr>
                <w:rFonts w:hint="default" w:eastAsia="宋体"/>
                <w:sz w:val="32"/>
                <w:szCs w:val="32"/>
                <w:vertAlign w:val="baseline"/>
                <w:lang w:val="en-US" w:eastAsia="zh-CN"/>
              </w:rPr>
            </w:pPr>
            <w:r>
              <w:rPr>
                <w:rFonts w:hint="eastAsia" w:eastAsia="宋体"/>
                <w:sz w:val="32"/>
                <w:szCs w:val="32"/>
                <w:vertAlign w:val="baseline"/>
                <w:lang w:val="en-US" w:eastAsia="zh-CN"/>
              </w:rPr>
              <w:t>236.5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2841" w:type="dxa"/>
            <w:noWrap w:val="0"/>
            <w:vAlign w:val="top"/>
          </w:tcPr>
          <w:p>
            <w:pPr>
              <w:jc w:val="center"/>
              <w:rPr>
                <w:rFonts w:hint="eastAsia" w:eastAsia="宋体"/>
                <w:sz w:val="32"/>
                <w:szCs w:val="32"/>
                <w:vertAlign w:val="baseline"/>
                <w:lang w:eastAsia="zh-CN"/>
              </w:rPr>
            </w:pPr>
            <w:r>
              <w:rPr>
                <w:rFonts w:hint="eastAsia" w:eastAsia="宋体"/>
                <w:sz w:val="32"/>
                <w:szCs w:val="32"/>
                <w:vertAlign w:val="baseline"/>
                <w:lang w:eastAsia="zh-CN"/>
              </w:rPr>
              <w:t>王英</w:t>
            </w:r>
          </w:p>
        </w:tc>
        <w:tc>
          <w:tcPr>
            <w:tcW w:w="2841" w:type="dxa"/>
            <w:noWrap w:val="0"/>
            <w:vAlign w:val="top"/>
          </w:tcPr>
          <w:p>
            <w:pPr>
              <w:tabs>
                <w:tab w:val="center" w:pos="4363"/>
              </w:tabs>
              <w:jc w:val="center"/>
              <w:rPr>
                <w:rFonts w:hint="default" w:eastAsia="宋体"/>
                <w:sz w:val="32"/>
                <w:szCs w:val="32"/>
                <w:vertAlign w:val="baseline"/>
                <w:lang w:val="en-US" w:eastAsia="zh-CN"/>
              </w:rPr>
            </w:pPr>
            <w:r>
              <w:rPr>
                <w:rFonts w:hint="eastAsia" w:eastAsia="宋体"/>
                <w:sz w:val="32"/>
                <w:szCs w:val="32"/>
                <w:vertAlign w:val="baseline"/>
                <w:lang w:val="en-US" w:eastAsia="zh-CN"/>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noWrap w:val="0"/>
            <w:vAlign w:val="top"/>
          </w:tcPr>
          <w:p>
            <w:pPr>
              <w:jc w:val="center"/>
              <w:rPr>
                <w:rFonts w:hint="default" w:eastAsia="宋体"/>
                <w:sz w:val="32"/>
                <w:szCs w:val="32"/>
                <w:vertAlign w:val="baseline"/>
                <w:lang w:val="en-US" w:eastAsia="zh-CN"/>
              </w:rPr>
            </w:pPr>
            <w:r>
              <w:rPr>
                <w:rFonts w:hint="eastAsia" w:eastAsia="宋体"/>
                <w:sz w:val="32"/>
                <w:szCs w:val="32"/>
                <w:vertAlign w:val="baseline"/>
                <w:lang w:val="en-US" w:eastAsia="zh-CN"/>
              </w:rPr>
              <w:t>军垦</w:t>
            </w:r>
          </w:p>
        </w:tc>
        <w:tc>
          <w:tcPr>
            <w:tcW w:w="2841" w:type="dxa"/>
            <w:noWrap w:val="0"/>
            <w:vAlign w:val="top"/>
          </w:tcPr>
          <w:p>
            <w:pPr>
              <w:tabs>
                <w:tab w:val="center" w:pos="4363"/>
              </w:tabs>
              <w:jc w:val="center"/>
              <w:rPr>
                <w:rFonts w:hint="default" w:eastAsia="宋体"/>
                <w:sz w:val="32"/>
                <w:szCs w:val="32"/>
                <w:vertAlign w:val="baseline"/>
                <w:lang w:val="en-US" w:eastAsia="zh-CN"/>
              </w:rPr>
            </w:pPr>
            <w:r>
              <w:rPr>
                <w:rFonts w:hint="eastAsia" w:eastAsia="宋体"/>
                <w:sz w:val="32"/>
                <w:szCs w:val="32"/>
                <w:vertAlign w:val="baseline"/>
                <w:lang w:val="en-US" w:eastAsia="zh-CN"/>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noWrap w:val="0"/>
            <w:vAlign w:val="top"/>
          </w:tcPr>
          <w:p>
            <w:pPr>
              <w:tabs>
                <w:tab w:val="center" w:pos="4363"/>
              </w:tabs>
              <w:jc w:val="center"/>
              <w:rPr>
                <w:rFonts w:hint="eastAsia" w:eastAsia="宋体"/>
                <w:sz w:val="32"/>
                <w:szCs w:val="32"/>
                <w:vertAlign w:val="baseline"/>
                <w:lang w:eastAsia="zh-CN"/>
              </w:rPr>
            </w:pPr>
            <w:r>
              <w:rPr>
                <w:rFonts w:hint="eastAsia" w:eastAsia="宋体"/>
                <w:sz w:val="32"/>
                <w:szCs w:val="32"/>
                <w:vertAlign w:val="baseline"/>
                <w:lang w:eastAsia="zh-CN"/>
              </w:rPr>
              <w:t>荆头山</w:t>
            </w:r>
          </w:p>
        </w:tc>
        <w:tc>
          <w:tcPr>
            <w:tcW w:w="2841" w:type="dxa"/>
            <w:noWrap w:val="0"/>
            <w:vAlign w:val="top"/>
          </w:tcPr>
          <w:p>
            <w:pPr>
              <w:tabs>
                <w:tab w:val="center" w:pos="4363"/>
              </w:tabs>
              <w:jc w:val="center"/>
              <w:rPr>
                <w:rFonts w:hint="default" w:eastAsia="宋体"/>
                <w:sz w:val="32"/>
                <w:szCs w:val="32"/>
                <w:vertAlign w:val="baseline"/>
                <w:lang w:val="en-US" w:eastAsia="zh-CN"/>
              </w:rPr>
            </w:pPr>
            <w:r>
              <w:rPr>
                <w:rFonts w:hint="eastAsia" w:eastAsia="宋体"/>
                <w:sz w:val="32"/>
                <w:szCs w:val="32"/>
                <w:vertAlign w:val="baseli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noWrap w:val="0"/>
            <w:vAlign w:val="top"/>
          </w:tcPr>
          <w:p>
            <w:pPr>
              <w:tabs>
                <w:tab w:val="center" w:pos="4363"/>
              </w:tabs>
              <w:jc w:val="center"/>
              <w:rPr>
                <w:rFonts w:hint="eastAsia" w:eastAsia="宋体"/>
                <w:sz w:val="32"/>
                <w:szCs w:val="32"/>
                <w:vertAlign w:val="baseline"/>
                <w:lang w:eastAsia="zh-CN"/>
              </w:rPr>
            </w:pPr>
            <w:r>
              <w:rPr>
                <w:rFonts w:hint="eastAsia" w:eastAsia="宋体"/>
                <w:sz w:val="32"/>
                <w:szCs w:val="32"/>
                <w:vertAlign w:val="baseline"/>
                <w:lang w:eastAsia="zh-CN"/>
              </w:rPr>
              <w:t>城东新区</w:t>
            </w:r>
          </w:p>
        </w:tc>
        <w:tc>
          <w:tcPr>
            <w:tcW w:w="2841" w:type="dxa"/>
            <w:noWrap w:val="0"/>
            <w:vAlign w:val="top"/>
          </w:tcPr>
          <w:p>
            <w:pPr>
              <w:tabs>
                <w:tab w:val="center" w:pos="4363"/>
              </w:tabs>
              <w:jc w:val="center"/>
              <w:rPr>
                <w:rFonts w:hint="default" w:eastAsia="宋体"/>
                <w:sz w:val="32"/>
                <w:szCs w:val="32"/>
                <w:vertAlign w:val="baseline"/>
                <w:lang w:val="en-US" w:eastAsia="zh-CN"/>
              </w:rPr>
            </w:pPr>
            <w:r>
              <w:rPr>
                <w:rFonts w:hint="eastAsia" w:eastAsia="宋体"/>
                <w:sz w:val="32"/>
                <w:szCs w:val="32"/>
                <w:vertAlign w:val="baseline"/>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noWrap w:val="0"/>
            <w:vAlign w:val="top"/>
          </w:tcPr>
          <w:p>
            <w:pPr>
              <w:tabs>
                <w:tab w:val="center" w:pos="4363"/>
              </w:tabs>
              <w:jc w:val="center"/>
              <w:rPr>
                <w:rFonts w:hint="eastAsia" w:eastAsia="宋体"/>
                <w:sz w:val="32"/>
                <w:szCs w:val="32"/>
                <w:vertAlign w:val="baseline"/>
                <w:lang w:eastAsia="zh-CN"/>
              </w:rPr>
            </w:pPr>
            <w:r>
              <w:rPr>
                <w:rFonts w:hint="eastAsia" w:eastAsia="宋体"/>
                <w:sz w:val="32"/>
                <w:szCs w:val="32"/>
                <w:vertAlign w:val="baseline"/>
                <w:lang w:eastAsia="zh-CN"/>
              </w:rPr>
              <w:t>龙港</w:t>
            </w:r>
          </w:p>
        </w:tc>
        <w:tc>
          <w:tcPr>
            <w:tcW w:w="2841" w:type="dxa"/>
            <w:noWrap w:val="0"/>
            <w:vAlign w:val="top"/>
          </w:tcPr>
          <w:p>
            <w:pPr>
              <w:tabs>
                <w:tab w:val="center" w:pos="4363"/>
              </w:tabs>
              <w:jc w:val="center"/>
              <w:rPr>
                <w:rFonts w:hint="default" w:eastAsia="宋体"/>
                <w:sz w:val="32"/>
                <w:szCs w:val="32"/>
                <w:vertAlign w:val="baseline"/>
                <w:lang w:val="en-US" w:eastAsia="zh-CN"/>
              </w:rPr>
            </w:pPr>
            <w:r>
              <w:rPr>
                <w:rFonts w:hint="eastAsia" w:eastAsia="宋体"/>
                <w:sz w:val="32"/>
                <w:szCs w:val="32"/>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noWrap w:val="0"/>
            <w:vAlign w:val="top"/>
          </w:tcPr>
          <w:p>
            <w:pPr>
              <w:tabs>
                <w:tab w:val="center" w:pos="4363"/>
              </w:tabs>
              <w:jc w:val="center"/>
              <w:rPr>
                <w:rFonts w:hint="default" w:eastAsia="宋体"/>
                <w:sz w:val="32"/>
                <w:szCs w:val="32"/>
                <w:vertAlign w:val="baseline"/>
                <w:lang w:val="en-US" w:eastAsia="zh-CN"/>
              </w:rPr>
            </w:pPr>
            <w:r>
              <w:rPr>
                <w:rFonts w:hint="eastAsia" w:eastAsia="宋体"/>
                <w:sz w:val="32"/>
                <w:szCs w:val="32"/>
                <w:vertAlign w:val="baseline"/>
                <w:lang w:val="en-US" w:eastAsia="zh-CN"/>
              </w:rPr>
              <w:t>黄双口</w:t>
            </w:r>
          </w:p>
        </w:tc>
        <w:tc>
          <w:tcPr>
            <w:tcW w:w="2841" w:type="dxa"/>
            <w:noWrap w:val="0"/>
            <w:vAlign w:val="top"/>
          </w:tcPr>
          <w:p>
            <w:pPr>
              <w:tabs>
                <w:tab w:val="center" w:pos="4363"/>
              </w:tabs>
              <w:jc w:val="center"/>
              <w:rPr>
                <w:rFonts w:hint="default" w:eastAsia="宋体"/>
                <w:sz w:val="32"/>
                <w:szCs w:val="32"/>
                <w:vertAlign w:val="baseline"/>
                <w:lang w:val="en-US" w:eastAsia="zh-CN"/>
              </w:rPr>
            </w:pPr>
            <w:r>
              <w:rPr>
                <w:rFonts w:hint="eastAsia" w:eastAsia="宋体"/>
                <w:sz w:val="32"/>
                <w:szCs w:val="32"/>
                <w:vertAlign w:val="baseline"/>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noWrap w:val="0"/>
            <w:vAlign w:val="top"/>
          </w:tcPr>
          <w:p>
            <w:pPr>
              <w:tabs>
                <w:tab w:val="center" w:pos="4363"/>
              </w:tabs>
              <w:jc w:val="center"/>
              <w:rPr>
                <w:rFonts w:hint="eastAsia"/>
                <w:sz w:val="32"/>
                <w:szCs w:val="32"/>
                <w:vertAlign w:val="baseline"/>
                <w:lang w:eastAsia="zh-CN"/>
              </w:rPr>
            </w:pPr>
            <w:r>
              <w:rPr>
                <w:rFonts w:hint="eastAsia"/>
                <w:sz w:val="32"/>
                <w:szCs w:val="32"/>
                <w:vertAlign w:val="baseline"/>
                <w:lang w:eastAsia="zh-CN"/>
              </w:rPr>
              <w:t>三溪</w:t>
            </w:r>
          </w:p>
        </w:tc>
        <w:tc>
          <w:tcPr>
            <w:tcW w:w="2841" w:type="dxa"/>
            <w:noWrap w:val="0"/>
            <w:vAlign w:val="top"/>
          </w:tcPr>
          <w:p>
            <w:pPr>
              <w:tabs>
                <w:tab w:val="center" w:pos="4363"/>
              </w:tabs>
              <w:jc w:val="center"/>
              <w:rPr>
                <w:rFonts w:hint="default"/>
                <w:sz w:val="32"/>
                <w:szCs w:val="32"/>
                <w:vertAlign w:val="baseline"/>
                <w:lang w:val="en-US" w:eastAsia="zh-CN"/>
              </w:rPr>
            </w:pPr>
            <w:r>
              <w:rPr>
                <w:rFonts w:hint="eastAsia"/>
                <w:sz w:val="32"/>
                <w:szCs w:val="32"/>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noWrap w:val="0"/>
            <w:vAlign w:val="top"/>
          </w:tcPr>
          <w:p>
            <w:pPr>
              <w:tabs>
                <w:tab w:val="center" w:pos="4363"/>
              </w:tabs>
              <w:jc w:val="center"/>
              <w:rPr>
                <w:rFonts w:hint="eastAsia" w:eastAsia="宋体"/>
                <w:sz w:val="32"/>
                <w:szCs w:val="32"/>
                <w:vertAlign w:val="baseline"/>
                <w:lang w:val="en-US" w:eastAsia="zh-CN"/>
              </w:rPr>
            </w:pPr>
            <w:r>
              <w:rPr>
                <w:rFonts w:hint="eastAsia"/>
                <w:sz w:val="32"/>
                <w:szCs w:val="32"/>
                <w:vertAlign w:val="baseline"/>
                <w:lang w:val="en-US" w:eastAsia="zh-CN"/>
              </w:rPr>
              <w:t>合计</w:t>
            </w:r>
          </w:p>
        </w:tc>
        <w:tc>
          <w:tcPr>
            <w:tcW w:w="2841" w:type="dxa"/>
            <w:noWrap w:val="0"/>
            <w:vAlign w:val="top"/>
          </w:tcPr>
          <w:p>
            <w:pPr>
              <w:tabs>
                <w:tab w:val="center" w:pos="4363"/>
              </w:tabs>
              <w:jc w:val="center"/>
              <w:rPr>
                <w:rFonts w:hint="default"/>
                <w:sz w:val="32"/>
                <w:szCs w:val="32"/>
                <w:vertAlign w:val="baseline"/>
                <w:lang w:val="en-US" w:eastAsia="zh-CN"/>
              </w:rPr>
            </w:pPr>
            <w:r>
              <w:rPr>
                <w:rFonts w:hint="eastAsia"/>
                <w:sz w:val="32"/>
                <w:szCs w:val="32"/>
                <w:vertAlign w:val="baseline"/>
                <w:lang w:val="en-US" w:eastAsia="zh-CN"/>
              </w:rPr>
              <w:t>800</w:t>
            </w:r>
          </w:p>
        </w:tc>
      </w:tr>
    </w:tbl>
    <w:p>
      <w:pPr>
        <w:tabs>
          <w:tab w:val="center" w:pos="4363"/>
        </w:tabs>
        <w:ind w:firstLine="405"/>
        <w:rPr>
          <w:sz w:val="32"/>
          <w:szCs w:val="32"/>
        </w:rPr>
      </w:pPr>
    </w:p>
    <w:p>
      <w:pPr>
        <w:numPr>
          <w:ilvl w:val="0"/>
          <w:numId w:val="1"/>
        </w:numPr>
        <w:tabs>
          <w:tab w:val="center" w:pos="4363"/>
        </w:tabs>
        <w:rPr>
          <w:rFonts w:hint="eastAsia"/>
          <w:sz w:val="32"/>
          <w:szCs w:val="32"/>
        </w:rPr>
      </w:pPr>
      <w:r>
        <w:rPr>
          <w:rFonts w:hint="eastAsia"/>
          <w:sz w:val="32"/>
          <w:szCs w:val="32"/>
        </w:rPr>
        <w:t>付款方式：签订合同后首付40%，余款验收合格后付清。</w:t>
      </w:r>
    </w:p>
    <w:p>
      <w:pPr>
        <w:widowControl w:val="0"/>
        <w:numPr>
          <w:ilvl w:val="0"/>
          <w:numId w:val="0"/>
        </w:numPr>
        <w:tabs>
          <w:tab w:val="center" w:pos="4363"/>
        </w:tabs>
        <w:jc w:val="both"/>
        <w:rPr>
          <w:rFonts w:hint="eastAsia"/>
          <w:sz w:val="32"/>
          <w:szCs w:val="32"/>
        </w:rPr>
      </w:pPr>
    </w:p>
    <w:p>
      <w:pPr>
        <w:widowControl w:val="0"/>
        <w:numPr>
          <w:ilvl w:val="0"/>
          <w:numId w:val="0"/>
        </w:numPr>
        <w:tabs>
          <w:tab w:val="center" w:pos="4363"/>
        </w:tabs>
        <w:jc w:val="both"/>
        <w:rPr>
          <w:rFonts w:hint="eastAsia"/>
          <w:sz w:val="32"/>
          <w:szCs w:val="32"/>
        </w:rPr>
      </w:pPr>
    </w:p>
    <w:p>
      <w:pPr>
        <w:widowControl w:val="0"/>
        <w:numPr>
          <w:ilvl w:val="0"/>
          <w:numId w:val="0"/>
        </w:numPr>
        <w:tabs>
          <w:tab w:val="center" w:pos="4363"/>
        </w:tabs>
        <w:jc w:val="both"/>
        <w:rPr>
          <w:rFonts w:hint="eastAsia"/>
          <w:sz w:val="32"/>
          <w:szCs w:val="32"/>
        </w:rPr>
      </w:pPr>
    </w:p>
    <w:p>
      <w:pPr>
        <w:widowControl w:val="0"/>
        <w:numPr>
          <w:ilvl w:val="0"/>
          <w:numId w:val="0"/>
        </w:numPr>
        <w:tabs>
          <w:tab w:val="center" w:pos="4363"/>
        </w:tabs>
        <w:jc w:val="both"/>
        <w:rPr>
          <w:rFonts w:hint="eastAsia"/>
          <w:sz w:val="32"/>
          <w:szCs w:val="32"/>
        </w:rPr>
      </w:pPr>
    </w:p>
    <w:p>
      <w:pPr>
        <w:widowControl w:val="0"/>
        <w:numPr>
          <w:ilvl w:val="0"/>
          <w:numId w:val="0"/>
        </w:numPr>
        <w:tabs>
          <w:tab w:val="center" w:pos="4363"/>
        </w:tabs>
        <w:jc w:val="both"/>
        <w:rPr>
          <w:rFonts w:hint="eastAsia"/>
          <w:sz w:val="32"/>
          <w:szCs w:val="32"/>
        </w:rPr>
      </w:pPr>
    </w:p>
    <w:p>
      <w:pPr>
        <w:widowControl w:val="0"/>
        <w:numPr>
          <w:ilvl w:val="0"/>
          <w:numId w:val="0"/>
        </w:numPr>
        <w:tabs>
          <w:tab w:val="center" w:pos="4363"/>
        </w:tabs>
        <w:jc w:val="both"/>
        <w:rPr>
          <w:rFonts w:hint="eastAsia"/>
          <w:sz w:val="32"/>
          <w:szCs w:val="32"/>
        </w:rPr>
      </w:pPr>
    </w:p>
    <w:p>
      <w:pPr>
        <w:widowControl w:val="0"/>
        <w:numPr>
          <w:ilvl w:val="0"/>
          <w:numId w:val="0"/>
        </w:numPr>
        <w:tabs>
          <w:tab w:val="center" w:pos="4363"/>
        </w:tabs>
        <w:jc w:val="both"/>
        <w:rPr>
          <w:rFonts w:hint="eastAsia"/>
          <w:sz w:val="32"/>
          <w:szCs w:val="32"/>
        </w:rPr>
      </w:pPr>
    </w:p>
    <w:p>
      <w:pPr>
        <w:widowControl w:val="0"/>
        <w:numPr>
          <w:ilvl w:val="0"/>
          <w:numId w:val="0"/>
        </w:numPr>
        <w:tabs>
          <w:tab w:val="center" w:pos="4363"/>
        </w:tabs>
        <w:jc w:val="both"/>
        <w:rPr>
          <w:rFonts w:hint="eastAsia"/>
          <w:sz w:val="32"/>
          <w:szCs w:val="32"/>
        </w:rPr>
      </w:pPr>
    </w:p>
    <w:p>
      <w:pPr>
        <w:adjustRightInd w:val="0"/>
        <w:snapToGrid w:val="0"/>
        <w:spacing w:line="360" w:lineRule="auto"/>
        <w:rPr>
          <w:rFonts w:hint="eastAsia"/>
          <w:sz w:val="24"/>
          <w:szCs w:val="24"/>
        </w:rPr>
      </w:pPr>
      <w:r>
        <w:rPr>
          <w:rFonts w:hint="eastAsia"/>
          <w:sz w:val="24"/>
          <w:szCs w:val="24"/>
        </w:rPr>
        <w:t>附件2：供应商报名表：</w:t>
      </w:r>
    </w:p>
    <w:p>
      <w:pPr>
        <w:adjustRightInd w:val="0"/>
        <w:snapToGrid w:val="0"/>
        <w:spacing w:line="360" w:lineRule="auto"/>
        <w:rPr>
          <w:rFonts w:hint="eastAsia"/>
          <w:sz w:val="24"/>
          <w:szCs w:val="24"/>
        </w:rPr>
      </w:pPr>
    </w:p>
    <w:p>
      <w:pPr>
        <w:spacing w:line="360" w:lineRule="auto"/>
        <w:jc w:val="center"/>
        <w:rPr>
          <w:sz w:val="32"/>
          <w:szCs w:val="32"/>
        </w:rPr>
      </w:pPr>
      <w:r>
        <w:rPr>
          <w:rFonts w:hint="eastAsia"/>
          <w:sz w:val="32"/>
          <w:szCs w:val="32"/>
        </w:rPr>
        <w:t>供应商报名表</w:t>
      </w:r>
    </w:p>
    <w:p>
      <w:pPr>
        <w:spacing w:line="360" w:lineRule="auto"/>
        <w:rPr>
          <w:sz w:val="24"/>
          <w:szCs w:val="24"/>
        </w:rPr>
      </w:pPr>
      <w:r>
        <w:rPr>
          <w:rFonts w:hint="eastAsia"/>
          <w:sz w:val="24"/>
          <w:szCs w:val="24"/>
        </w:rPr>
        <w:t>项目名称：</w:t>
      </w:r>
      <w:r>
        <w:rPr>
          <w:rFonts w:hint="eastAsia"/>
          <w:sz w:val="24"/>
          <w:szCs w:val="24"/>
          <w:u w:val="single"/>
        </w:rPr>
        <w:t xml:space="preserve">           </w:t>
      </w:r>
      <w:r>
        <w:rPr>
          <w:rFonts w:hint="eastAsia"/>
          <w:sz w:val="24"/>
          <w:szCs w:val="24"/>
        </w:rPr>
        <w:t xml:space="preserve">                      项目编号：</w:t>
      </w:r>
      <w:r>
        <w:rPr>
          <w:rFonts w:hint="eastAsia"/>
          <w:sz w:val="24"/>
          <w:szCs w:val="24"/>
          <w:u w:val="single"/>
        </w:rPr>
        <w:t xml:space="preserve">          </w:t>
      </w:r>
    </w:p>
    <w:tbl>
      <w:tblPr>
        <w:tblStyle w:val="8"/>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供应商名称</w:t>
            </w:r>
          </w:p>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（盖章）</w:t>
            </w:r>
          </w:p>
        </w:tc>
        <w:tc>
          <w:tcPr>
            <w:tcW w:w="67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联系人姓名</w:t>
            </w:r>
          </w:p>
        </w:tc>
        <w:tc>
          <w:tcPr>
            <w:tcW w:w="67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联系人电话（办公电话和手机）</w:t>
            </w:r>
          </w:p>
        </w:tc>
        <w:tc>
          <w:tcPr>
            <w:tcW w:w="67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联系人邮箱</w:t>
            </w:r>
          </w:p>
        </w:tc>
        <w:tc>
          <w:tcPr>
            <w:tcW w:w="67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供应商提供的</w:t>
            </w:r>
          </w:p>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报名资料</w:t>
            </w:r>
          </w:p>
        </w:tc>
        <w:tc>
          <w:tcPr>
            <w:tcW w:w="6741" w:type="dxa"/>
            <w:tcBorders>
              <w:top w:val="single" w:color="auto" w:sz="4" w:space="0"/>
              <w:left w:val="single" w:color="auto" w:sz="4" w:space="0"/>
              <w:bottom w:val="single" w:color="auto" w:sz="4" w:space="0"/>
              <w:right w:val="single" w:color="auto" w:sz="4" w:space="0"/>
            </w:tcBorders>
          </w:tcPr>
          <w:p>
            <w:pPr>
              <w:spacing w:line="360" w:lineRule="auto"/>
              <w:rPr>
                <w:sz w:val="24"/>
                <w:szCs w:val="24"/>
              </w:rPr>
            </w:pPr>
            <w:r>
              <w:rPr>
                <w:rFonts w:hint="eastAsia"/>
                <w:sz w:val="24"/>
                <w:szCs w:val="24"/>
              </w:rPr>
              <w:t>1.法人或者其他组织的营业执照等证明文件，如供应商是自然人的提供身份证明材料。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spacing w:line="360" w:lineRule="auto"/>
              <w:rPr>
                <w:sz w:val="24"/>
                <w:szCs w:val="24"/>
              </w:rPr>
            </w:pPr>
            <w:r>
              <w:rPr>
                <w:rFonts w:hint="eastAsia"/>
                <w:sz w:val="24"/>
                <w:szCs w:val="24"/>
              </w:rPr>
              <w:t>2.财务状况报告，依法缴纳税收和社会保障资金的相关材料。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spacing w:line="360" w:lineRule="auto"/>
              <w:rPr>
                <w:sz w:val="24"/>
                <w:szCs w:val="24"/>
              </w:rPr>
            </w:pPr>
            <w:r>
              <w:rPr>
                <w:rFonts w:hint="eastAsia"/>
                <w:sz w:val="24"/>
                <w:szCs w:val="24"/>
              </w:rPr>
              <w:t>3.具备履行合同所必需的设备和专业技术能力的证明材料。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spacing w:line="360" w:lineRule="auto"/>
              <w:rPr>
                <w:sz w:val="24"/>
                <w:szCs w:val="24"/>
              </w:rPr>
            </w:pPr>
            <w:r>
              <w:rPr>
                <w:rFonts w:hint="eastAsia"/>
                <w:sz w:val="24"/>
                <w:szCs w:val="24"/>
              </w:rPr>
              <w:t>4.参加政府采购活动前3年内在经营活动中没有重大违法记录的书面声明。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spacing w:line="360" w:lineRule="auto"/>
              <w:rPr>
                <w:sz w:val="24"/>
                <w:szCs w:val="24"/>
              </w:rPr>
            </w:pPr>
            <w:r>
              <w:rPr>
                <w:rFonts w:hint="eastAsia"/>
                <w:sz w:val="24"/>
                <w:szCs w:val="24"/>
              </w:rPr>
              <w:t>5.具备法律、行政法规规定的其他条件的证明材料。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spacing w:line="360" w:lineRule="auto"/>
              <w:rPr>
                <w:sz w:val="24"/>
                <w:szCs w:val="24"/>
              </w:rPr>
            </w:pPr>
            <w:r>
              <w:rPr>
                <w:rFonts w:hint="eastAsia"/>
                <w:sz w:val="24"/>
                <w:szCs w:val="24"/>
              </w:rPr>
              <w:t>6.未被列入“信用中国”网站（www.creditchina.gov.cn）失信被执行人、重大税收违法案件当事人名单、政府采购严重违法失信行为记录名单的网页打印件。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2395" w:type="dxa"/>
            <w:vMerge w:val="continue"/>
            <w:tcBorders>
              <w:left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 w:val="24"/>
                <w:szCs w:val="24"/>
              </w:rPr>
            </w:pPr>
            <w:r>
              <w:rPr>
                <w:rFonts w:hint="eastAsia"/>
                <w:sz w:val="24"/>
                <w:szCs w:val="24"/>
              </w:rPr>
              <w:t>7.特定条件：</w:t>
            </w:r>
          </w:p>
          <w:p>
            <w:pPr>
              <w:adjustRightInd w:val="0"/>
              <w:snapToGrid w:val="0"/>
              <w:spacing w:line="360" w:lineRule="auto"/>
              <w:rPr>
                <w:sz w:val="24"/>
                <w:szCs w:val="24"/>
              </w:rPr>
            </w:pPr>
            <w:r>
              <w:rPr>
                <w:rFonts w:hint="eastAsia" w:ascii="宋体" w:hAnsi="宋体" w:cs="宋体"/>
                <w:sz w:val="24"/>
                <w:szCs w:val="24"/>
              </w:rPr>
              <w:t>供应商的营业执照经营范围必须包含</w:t>
            </w:r>
            <w:r>
              <w:rPr>
                <w:rFonts w:hint="eastAsia" w:ascii="宋体" w:hAnsi="宋体" w:cs="宋体"/>
                <w:sz w:val="24"/>
                <w:szCs w:val="24"/>
                <w:lang w:eastAsia="zh-CN"/>
              </w:rPr>
              <w:t>有机物料</w:t>
            </w:r>
            <w:r>
              <w:rPr>
                <w:rFonts w:hint="eastAsia" w:ascii="宋体" w:hAnsi="宋体" w:cs="宋体"/>
                <w:sz w:val="24"/>
                <w:szCs w:val="24"/>
              </w:rPr>
              <w:t>相关的内容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tcBorders>
              <w:left w:val="single" w:color="auto" w:sz="4" w:space="0"/>
              <w:bottom w:val="single" w:color="auto" w:sz="4" w:space="0"/>
              <w:right w:val="single" w:color="auto" w:sz="4" w:space="0"/>
            </w:tcBorders>
          </w:tcPr>
          <w:p>
            <w:pPr>
              <w:rPr>
                <w:b/>
                <w:sz w:val="28"/>
                <w:szCs w:val="28"/>
              </w:rPr>
            </w:pPr>
            <w:r>
              <w:rPr>
                <w:rFonts w:hint="eastAsia"/>
                <w:b/>
                <w:sz w:val="28"/>
                <w:szCs w:val="28"/>
              </w:rPr>
              <w:t>供应商意见</w:t>
            </w:r>
          </w:p>
        </w:tc>
        <w:tc>
          <w:tcPr>
            <w:tcW w:w="6741"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供应商可对本项目采购需求的公正性、专业性、合理性等提出自己正确的意见、建议等（可另页详细表述）。</w:t>
            </w:r>
          </w:p>
        </w:tc>
      </w:tr>
    </w:tbl>
    <w:p>
      <w:pPr>
        <w:pStyle w:val="6"/>
        <w:shd w:val="clear" w:color="auto" w:fill="FFFFFF"/>
        <w:spacing w:before="150" w:beforeAutospacing="0" w:after="150" w:afterAutospacing="0" w:line="360" w:lineRule="atLeast"/>
        <w:ind w:left="150"/>
        <w:rPr>
          <w:rStyle w:val="11"/>
          <w:b w:val="0"/>
          <w:color w:val="000000" w:themeColor="text1"/>
          <w14:textFill>
            <w14:solidFill>
              <w14:schemeClr w14:val="tx1"/>
            </w14:solidFill>
          </w14:textFill>
        </w:rPr>
      </w:pPr>
      <w:r>
        <w:rPr>
          <w:rStyle w:val="11"/>
          <w:rFonts w:hint="eastAsia"/>
          <w:b w:val="0"/>
          <w:color w:val="000000" w:themeColor="text1"/>
          <w14:textFill>
            <w14:solidFill>
              <w14:schemeClr w14:val="tx1"/>
            </w14:solidFill>
          </w14:textFill>
        </w:rPr>
        <w:t>注意事项：</w:t>
      </w:r>
    </w:p>
    <w:p>
      <w:pPr>
        <w:pStyle w:val="6"/>
        <w:shd w:val="clear" w:color="auto" w:fill="FFFFFF"/>
        <w:spacing w:before="150" w:beforeAutospacing="0" w:after="150" w:afterAutospacing="0" w:line="360" w:lineRule="atLeast"/>
        <w:ind w:left="150" w:firstLine="480" w:firstLineChars="200"/>
        <w:rPr>
          <w:rStyle w:val="11"/>
          <w:b w:val="0"/>
          <w:color w:val="000000" w:themeColor="text1"/>
          <w14:textFill>
            <w14:solidFill>
              <w14:schemeClr w14:val="tx1"/>
            </w14:solidFill>
          </w14:textFill>
        </w:rPr>
      </w:pPr>
      <w:r>
        <w:rPr>
          <w:rFonts w:hint="eastAsia"/>
          <w:color w:val="000000" w:themeColor="text1"/>
          <w14:textFill>
            <w14:solidFill>
              <w14:schemeClr w14:val="tx1"/>
            </w14:solidFill>
          </w14:textFill>
        </w:rPr>
        <w:t>1.供应商必须严格按照公告的内容和要求，完整递交有关资料，</w:t>
      </w:r>
      <w:r>
        <w:rPr>
          <w:rStyle w:val="11"/>
          <w:rFonts w:hint="eastAsia"/>
          <w:b w:val="0"/>
          <w:color w:val="000000" w:themeColor="text1"/>
          <w14:textFill>
            <w14:solidFill>
              <w14:schemeClr w14:val="tx1"/>
            </w14:solidFill>
          </w14:textFill>
        </w:rPr>
        <w:t>逾期递交的将予以拒收。</w:t>
      </w:r>
    </w:p>
    <w:p>
      <w:pPr>
        <w:pStyle w:val="6"/>
        <w:shd w:val="clear" w:color="auto" w:fill="FFFFFF"/>
        <w:spacing w:before="150" w:beforeAutospacing="0" w:after="150" w:afterAutospacing="0" w:line="360" w:lineRule="atLeast"/>
        <w:ind w:left="150" w:firstLine="480" w:firstLineChars="200"/>
        <w:rPr>
          <w:rFonts w:ascii="微软雅黑" w:hAnsi="微软雅黑" w:eastAsia="微软雅黑"/>
          <w:color w:val="000000" w:themeColor="text1"/>
          <w:sz w:val="18"/>
          <w:szCs w:val="18"/>
          <w14:textFill>
            <w14:solidFill>
              <w14:schemeClr w14:val="tx1"/>
            </w14:solidFill>
          </w14:textFill>
        </w:rPr>
      </w:pPr>
      <w:r>
        <w:rPr>
          <w:rFonts w:ascii="宋体" w:hAnsi="宋体" w:cs="宋体"/>
          <w:color w:val="000000" w:themeColor="text1"/>
          <w:szCs w:val="24"/>
          <w14:textFill>
            <w14:solidFill>
              <w14:schemeClr w14:val="tx1"/>
            </w14:solidFill>
          </w14:textFill>
        </w:rPr>
        <w:t>2.</w:t>
      </w:r>
      <w:r>
        <w:rPr>
          <w:rFonts w:ascii="宋体" w:hAnsi="宋体" w:cs="宋体"/>
          <w:bCs/>
          <w:color w:val="000000" w:themeColor="text1"/>
          <w:szCs w:val="24"/>
          <w14:textFill>
            <w14:solidFill>
              <w14:schemeClr w14:val="tx1"/>
            </w14:solidFill>
          </w14:textFill>
        </w:rPr>
        <w:t xml:space="preserve">供应商所递交的资料（全部盖有单位公章）必须为一般常用电脑办公软件能够读取的清晰、易于辨识的彩色电子扫描件、照片（相关证书和证明材料的原件）,并对其他递交资料内容的真实性、有效性及完整性负责，如提供文件资料有错漏、模糊不清、复印件的电子扫描件、照片、无法读取识别或弄虚作假等，一律属于无效文件。 </w:t>
      </w:r>
    </w:p>
    <w:p>
      <w:pPr>
        <w:pStyle w:val="6"/>
        <w:shd w:val="clear" w:color="auto" w:fill="FFFFFF"/>
        <w:spacing w:before="150" w:beforeAutospacing="0" w:after="150" w:afterAutospacing="0" w:line="360" w:lineRule="atLeast"/>
        <w:ind w:left="150" w:firstLine="480" w:firstLineChars="200"/>
        <w:rPr>
          <w:rFonts w:ascii="微软雅黑" w:hAnsi="微软雅黑" w:eastAsia="微软雅黑"/>
          <w:color w:val="000000" w:themeColor="text1"/>
          <w:sz w:val="18"/>
          <w:szCs w:val="18"/>
          <w14:textFill>
            <w14:solidFill>
              <w14:schemeClr w14:val="tx1"/>
            </w14:solidFill>
          </w14:textFill>
        </w:rPr>
      </w:pPr>
      <w:r>
        <w:rPr>
          <w:rFonts w:hint="eastAsia"/>
          <w:color w:val="000000" w:themeColor="text1"/>
          <w14:textFill>
            <w14:solidFill>
              <w14:schemeClr w14:val="tx1"/>
            </w14:solidFill>
          </w14:textFill>
        </w:rPr>
        <w:t>3.须在邮件（附件文件名注明公司全称）注明公司全称、项目名称及项目编号（不注明我单位将拒收报名邮件）。</w:t>
      </w:r>
    </w:p>
    <w:p>
      <w:pPr>
        <w:spacing w:line="360" w:lineRule="auto"/>
        <w:rPr>
          <w:sz w:val="24"/>
          <w:szCs w:val="24"/>
        </w:rPr>
      </w:pPr>
    </w:p>
    <w:p>
      <w:pPr>
        <w:rPr>
          <w:szCs w:val="24"/>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Gqq&#10;A1u2AQAAVgMAAA4AAAAAAAAAAQAgAAAAHgEAAGRycy9lMm9Eb2MueG1sUEsFBgAAAAAGAAYAWQEA&#10;AEY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O3c&#10;/KC2AQAAVgMAAA4AAAAAAAAAAQAgAAAAHgEAAGRycy9lMm9Eb2MueG1sUEsFBgAAAAAGAAYAWQEA&#10;AEY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79A3E1"/>
    <w:multiLevelType w:val="singleLevel"/>
    <w:tmpl w:val="BA79A3E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E9"/>
    <w:rsid w:val="00014427"/>
    <w:rsid w:val="00016BFD"/>
    <w:rsid w:val="000207EE"/>
    <w:rsid w:val="000309EC"/>
    <w:rsid w:val="00036573"/>
    <w:rsid w:val="000527BB"/>
    <w:rsid w:val="0008654C"/>
    <w:rsid w:val="0009726D"/>
    <w:rsid w:val="000A6872"/>
    <w:rsid w:val="000C0355"/>
    <w:rsid w:val="000D627B"/>
    <w:rsid w:val="000F2FCD"/>
    <w:rsid w:val="00104393"/>
    <w:rsid w:val="00122B5C"/>
    <w:rsid w:val="00127B67"/>
    <w:rsid w:val="00134C55"/>
    <w:rsid w:val="00165789"/>
    <w:rsid w:val="00177E91"/>
    <w:rsid w:val="00202200"/>
    <w:rsid w:val="00241FC1"/>
    <w:rsid w:val="00247E29"/>
    <w:rsid w:val="002806DD"/>
    <w:rsid w:val="00286F91"/>
    <w:rsid w:val="002912E3"/>
    <w:rsid w:val="002C21DD"/>
    <w:rsid w:val="003140BD"/>
    <w:rsid w:val="00354132"/>
    <w:rsid w:val="00355164"/>
    <w:rsid w:val="003631EA"/>
    <w:rsid w:val="00365C6D"/>
    <w:rsid w:val="0038354E"/>
    <w:rsid w:val="003A3307"/>
    <w:rsid w:val="003C37BB"/>
    <w:rsid w:val="003D45F1"/>
    <w:rsid w:val="003D538D"/>
    <w:rsid w:val="004357AA"/>
    <w:rsid w:val="00457399"/>
    <w:rsid w:val="00462B04"/>
    <w:rsid w:val="00465FFA"/>
    <w:rsid w:val="004D47AE"/>
    <w:rsid w:val="004E1732"/>
    <w:rsid w:val="005172B4"/>
    <w:rsid w:val="00524371"/>
    <w:rsid w:val="00526415"/>
    <w:rsid w:val="005432B8"/>
    <w:rsid w:val="00577CD8"/>
    <w:rsid w:val="00587588"/>
    <w:rsid w:val="005D172E"/>
    <w:rsid w:val="005D7FA4"/>
    <w:rsid w:val="005F25BA"/>
    <w:rsid w:val="005F4DA3"/>
    <w:rsid w:val="00606E1E"/>
    <w:rsid w:val="006101C6"/>
    <w:rsid w:val="006262CC"/>
    <w:rsid w:val="006351B8"/>
    <w:rsid w:val="00636104"/>
    <w:rsid w:val="006574F4"/>
    <w:rsid w:val="006649D1"/>
    <w:rsid w:val="006C664E"/>
    <w:rsid w:val="006E2183"/>
    <w:rsid w:val="00710283"/>
    <w:rsid w:val="00714951"/>
    <w:rsid w:val="00731C4C"/>
    <w:rsid w:val="00736D9C"/>
    <w:rsid w:val="00770BDF"/>
    <w:rsid w:val="00796001"/>
    <w:rsid w:val="007B6DD0"/>
    <w:rsid w:val="007C0A9A"/>
    <w:rsid w:val="00814392"/>
    <w:rsid w:val="00821E2C"/>
    <w:rsid w:val="00841971"/>
    <w:rsid w:val="00843EA0"/>
    <w:rsid w:val="00856758"/>
    <w:rsid w:val="00862199"/>
    <w:rsid w:val="00864D2B"/>
    <w:rsid w:val="00866190"/>
    <w:rsid w:val="00866C44"/>
    <w:rsid w:val="00877547"/>
    <w:rsid w:val="00894E5E"/>
    <w:rsid w:val="008D5B51"/>
    <w:rsid w:val="009111CF"/>
    <w:rsid w:val="00912E34"/>
    <w:rsid w:val="00917353"/>
    <w:rsid w:val="0094287C"/>
    <w:rsid w:val="00965878"/>
    <w:rsid w:val="00984E78"/>
    <w:rsid w:val="009859D5"/>
    <w:rsid w:val="00A3581A"/>
    <w:rsid w:val="00A43C9F"/>
    <w:rsid w:val="00AC2B24"/>
    <w:rsid w:val="00AC4743"/>
    <w:rsid w:val="00AC4FF6"/>
    <w:rsid w:val="00AC7064"/>
    <w:rsid w:val="00B16BC9"/>
    <w:rsid w:val="00B35A21"/>
    <w:rsid w:val="00B37D97"/>
    <w:rsid w:val="00B422CC"/>
    <w:rsid w:val="00B508D1"/>
    <w:rsid w:val="00BB6A0A"/>
    <w:rsid w:val="00BD15BE"/>
    <w:rsid w:val="00BD2586"/>
    <w:rsid w:val="00BF72B6"/>
    <w:rsid w:val="00C4140D"/>
    <w:rsid w:val="00C47D3B"/>
    <w:rsid w:val="00C54DC5"/>
    <w:rsid w:val="00C554DF"/>
    <w:rsid w:val="00C77263"/>
    <w:rsid w:val="00C8060B"/>
    <w:rsid w:val="00C94576"/>
    <w:rsid w:val="00CB3416"/>
    <w:rsid w:val="00CE7D3C"/>
    <w:rsid w:val="00D00E99"/>
    <w:rsid w:val="00D0134A"/>
    <w:rsid w:val="00D049F5"/>
    <w:rsid w:val="00D239DE"/>
    <w:rsid w:val="00D34002"/>
    <w:rsid w:val="00D340AE"/>
    <w:rsid w:val="00D63126"/>
    <w:rsid w:val="00D665CD"/>
    <w:rsid w:val="00D9157E"/>
    <w:rsid w:val="00DA12FB"/>
    <w:rsid w:val="00DA3AC3"/>
    <w:rsid w:val="00DC47E0"/>
    <w:rsid w:val="00E06921"/>
    <w:rsid w:val="00E1013F"/>
    <w:rsid w:val="00E14B01"/>
    <w:rsid w:val="00E652DF"/>
    <w:rsid w:val="00E721AB"/>
    <w:rsid w:val="00E94B33"/>
    <w:rsid w:val="00EB5D3C"/>
    <w:rsid w:val="00EF14CE"/>
    <w:rsid w:val="00F02BD0"/>
    <w:rsid w:val="00F10D7E"/>
    <w:rsid w:val="00F127D1"/>
    <w:rsid w:val="00F213CB"/>
    <w:rsid w:val="00F256F0"/>
    <w:rsid w:val="00F2695D"/>
    <w:rsid w:val="00F27BC7"/>
    <w:rsid w:val="00F52DE9"/>
    <w:rsid w:val="00F53CD3"/>
    <w:rsid w:val="00F67B38"/>
    <w:rsid w:val="00F83087"/>
    <w:rsid w:val="00FD4208"/>
    <w:rsid w:val="00FD6919"/>
    <w:rsid w:val="00FF19EE"/>
    <w:rsid w:val="01872895"/>
    <w:rsid w:val="022B3AFE"/>
    <w:rsid w:val="04346B82"/>
    <w:rsid w:val="06C17668"/>
    <w:rsid w:val="07971AA6"/>
    <w:rsid w:val="0A2A472A"/>
    <w:rsid w:val="0C434229"/>
    <w:rsid w:val="0CA01FE6"/>
    <w:rsid w:val="0E9A61DA"/>
    <w:rsid w:val="0EC560EB"/>
    <w:rsid w:val="0FBC11B7"/>
    <w:rsid w:val="130C0381"/>
    <w:rsid w:val="15553959"/>
    <w:rsid w:val="174A4F7A"/>
    <w:rsid w:val="194B3B72"/>
    <w:rsid w:val="19CB1D1B"/>
    <w:rsid w:val="1B9C6FDB"/>
    <w:rsid w:val="1D3A4920"/>
    <w:rsid w:val="1D550478"/>
    <w:rsid w:val="1D787598"/>
    <w:rsid w:val="202042A9"/>
    <w:rsid w:val="204F1262"/>
    <w:rsid w:val="2184538E"/>
    <w:rsid w:val="231551CE"/>
    <w:rsid w:val="23596A8F"/>
    <w:rsid w:val="2484191E"/>
    <w:rsid w:val="24D21C20"/>
    <w:rsid w:val="251645AC"/>
    <w:rsid w:val="26CC24A6"/>
    <w:rsid w:val="289C3B8B"/>
    <w:rsid w:val="28CF2353"/>
    <w:rsid w:val="2B6243C8"/>
    <w:rsid w:val="2B9576E6"/>
    <w:rsid w:val="2E420313"/>
    <w:rsid w:val="302450FB"/>
    <w:rsid w:val="334660A9"/>
    <w:rsid w:val="357339ED"/>
    <w:rsid w:val="376E20AC"/>
    <w:rsid w:val="37A1486F"/>
    <w:rsid w:val="3B0F2AD0"/>
    <w:rsid w:val="3DE34450"/>
    <w:rsid w:val="3E1B5CC5"/>
    <w:rsid w:val="3FFE51A1"/>
    <w:rsid w:val="419E781F"/>
    <w:rsid w:val="470D6EBD"/>
    <w:rsid w:val="47405FA0"/>
    <w:rsid w:val="48E113DE"/>
    <w:rsid w:val="49913AAA"/>
    <w:rsid w:val="51D05D76"/>
    <w:rsid w:val="5241589F"/>
    <w:rsid w:val="54A74A73"/>
    <w:rsid w:val="55F15A39"/>
    <w:rsid w:val="570C6CFC"/>
    <w:rsid w:val="57A25FFC"/>
    <w:rsid w:val="5B053506"/>
    <w:rsid w:val="5C6A5471"/>
    <w:rsid w:val="5DB342C3"/>
    <w:rsid w:val="5DB549BD"/>
    <w:rsid w:val="5F3F0F4A"/>
    <w:rsid w:val="61C35369"/>
    <w:rsid w:val="63736F76"/>
    <w:rsid w:val="63DF71CF"/>
    <w:rsid w:val="6419580F"/>
    <w:rsid w:val="65051AE7"/>
    <w:rsid w:val="67E82AA2"/>
    <w:rsid w:val="68B0280C"/>
    <w:rsid w:val="6B313C34"/>
    <w:rsid w:val="6C174E4A"/>
    <w:rsid w:val="6C843DFA"/>
    <w:rsid w:val="74AB3CB7"/>
    <w:rsid w:val="77471B72"/>
    <w:rsid w:val="78196C66"/>
    <w:rsid w:val="7AB02EA0"/>
    <w:rsid w:val="7B0F5349"/>
    <w:rsid w:val="7B5054AA"/>
    <w:rsid w:val="7E091A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2"/>
    <w:qFormat/>
    <w:uiPriority w:val="9"/>
    <w:pPr>
      <w:keepNext/>
      <w:keepLines/>
      <w:spacing w:before="340" w:after="330" w:line="576"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0"/>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Autospacing="1" w:afterAutospacing="1"/>
      <w:jc w:val="left"/>
    </w:pPr>
    <w:rPr>
      <w:rFonts w:cs="Times New Roman"/>
      <w:kern w:val="0"/>
      <w:sz w:val="24"/>
    </w:rPr>
  </w:style>
  <w:style w:type="paragraph" w:styleId="7">
    <w:name w:val="Title"/>
    <w:basedOn w:val="1"/>
    <w:next w:val="1"/>
    <w:link w:val="16"/>
    <w:qFormat/>
    <w:uiPriority w:val="0"/>
    <w:pPr>
      <w:spacing w:before="240" w:after="60"/>
      <w:jc w:val="center"/>
      <w:outlineLvl w:val="0"/>
    </w:pPr>
    <w:rPr>
      <w:rFonts w:ascii="Cambria" w:hAnsi="Cambria" w:eastAsia="方正小标宋简体" w:cs="Times New Roman"/>
      <w:b/>
      <w:bCs/>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basedOn w:val="10"/>
    <w:qFormat/>
    <w:uiPriority w:val="0"/>
    <w:rPr>
      <w:b/>
      <w:bCs/>
    </w:rPr>
  </w:style>
  <w:style w:type="character" w:customStyle="1" w:styleId="12">
    <w:name w:val="标题 1 Char"/>
    <w:basedOn w:val="10"/>
    <w:link w:val="2"/>
    <w:qFormat/>
    <w:uiPriority w:val="9"/>
    <w:rPr>
      <w:rFonts w:eastAsia="宋体"/>
      <w:b/>
      <w:bCs/>
      <w:kern w:val="44"/>
      <w:sz w:val="44"/>
      <w:szCs w:val="44"/>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character" w:customStyle="1" w:styleId="15">
    <w:name w:val="批注框文本 Char"/>
    <w:basedOn w:val="10"/>
    <w:link w:val="3"/>
    <w:semiHidden/>
    <w:qFormat/>
    <w:uiPriority w:val="99"/>
    <w:rPr>
      <w:sz w:val="18"/>
      <w:szCs w:val="18"/>
    </w:rPr>
  </w:style>
  <w:style w:type="character" w:customStyle="1" w:styleId="16">
    <w:name w:val="标题 Char"/>
    <w:basedOn w:val="10"/>
    <w:link w:val="7"/>
    <w:qFormat/>
    <w:uiPriority w:val="0"/>
    <w:rPr>
      <w:rFonts w:ascii="Cambria" w:hAnsi="Cambria" w:eastAsia="方正小标宋简体"/>
      <w:b/>
      <w:bCs/>
      <w:kern w:val="2"/>
      <w:sz w:val="32"/>
      <w:szCs w:val="32"/>
    </w:rPr>
  </w:style>
  <w:style w:type="paragraph" w:styleId="17">
    <w:name w:val="List Paragraph"/>
    <w:basedOn w:val="1"/>
    <w:qFormat/>
    <w:uiPriority w:val="34"/>
    <w:pPr>
      <w:ind w:firstLine="420" w:firstLineChars="200"/>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266</Words>
  <Characters>1521</Characters>
  <Lines>12</Lines>
  <Paragraphs>3</Paragraphs>
  <TotalTime>1</TotalTime>
  <ScaleCrop>false</ScaleCrop>
  <LinksUpToDate>false</LinksUpToDate>
  <CharactersWithSpaces>1784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2019-06-25T07:12:00Z</dcterms:created>
  <dc:creator>wangh</dc:creator>
  <cp:lastModifiedBy>Administrator</cp:lastModifiedBy>
  <cp:lastPrinted>2019-08-21T01:25:59Z</cp:lastPrinted>
  <dcterms:modified xsi:type="dcterms:W3CDTF">2019-08-21T01:26:08Z</dcterms:modified>
  <dc:title>湖北省省级政府采购需求公示</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